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77C6" w:rsidP="000F7EAF" w:rsidRDefault="00D177C6" w14:paraId="6F0E877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0C73AE">
        <w:rPr>
          <w:b/>
          <w:sz w:val="24"/>
          <w:szCs w:val="24"/>
        </w:rPr>
        <w:t>1</w:t>
      </w:r>
      <w:r>
        <w:rPr>
          <w:sz w:val="24"/>
          <w:szCs w:val="24"/>
        </w:rPr>
        <w:t xml:space="preserve">. </w:t>
      </w:r>
      <w:bookmarkStart w:name="_Toc349627712" w:id="0"/>
      <w:bookmarkEnd w:id="0"/>
      <w:r>
        <w:rPr>
          <w:sz w:val="24"/>
          <w:szCs w:val="24"/>
        </w:rPr>
        <w:fldChar w:fldCharType="begin"/>
      </w:r>
      <w:r>
        <w:rPr>
          <w:b/>
          <w:bCs/>
          <w:smallCaps/>
          <w:sz w:val="24"/>
          <w:szCs w:val="24"/>
        </w:rPr>
        <w:instrText>tc "Introduction to Part A " \l 2</w:instrText>
      </w:r>
      <w:r>
        <w:rPr>
          <w:sz w:val="24"/>
          <w:szCs w:val="24"/>
        </w:rPr>
        <w:fldChar w:fldCharType="end"/>
      </w:r>
      <w:r>
        <w:rPr>
          <w:b/>
          <w:bCs/>
          <w:sz w:val="24"/>
          <w:szCs w:val="24"/>
        </w:rPr>
        <w:t>Identification of the Information Collection</w:t>
      </w:r>
    </w:p>
    <w:p w:rsidR="000F7EAF" w:rsidP="000F7EAF" w:rsidRDefault="000F7EAF" w14:paraId="1B6F846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53229E" w:rsidP="0053229E" w:rsidRDefault="000F7EAF" w14:paraId="3AB653E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Pr>
          <w:b/>
          <w:sz w:val="24"/>
          <w:szCs w:val="24"/>
        </w:rPr>
        <w:t>1(a) Title of the Information Collection</w:t>
      </w:r>
    </w:p>
    <w:p w:rsidRPr="0053229E" w:rsidR="000F7EAF" w:rsidP="0053229E" w:rsidRDefault="00916098" w14:paraId="634A2606" w14:textId="5C1B19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Pr>
          <w:b/>
          <w:sz w:val="24"/>
          <w:szCs w:val="24"/>
        </w:rPr>
        <w:t>Recordkeeping for Institutional Dual Use Research of Concern (iDURC) Policy Compliance</w:t>
      </w:r>
      <w:r w:rsidRPr="0053229E" w:rsidR="0007591C">
        <w:rPr>
          <w:b/>
          <w:sz w:val="24"/>
          <w:szCs w:val="24"/>
        </w:rPr>
        <w:t xml:space="preserve"> </w:t>
      </w:r>
      <w:r w:rsidRPr="0053229E" w:rsidR="0007591C">
        <w:rPr>
          <w:b/>
          <w:sz w:val="24"/>
          <w:szCs w:val="24"/>
        </w:rPr>
        <w:br/>
      </w:r>
      <w:r w:rsidRPr="0053229E" w:rsidR="0053229E">
        <w:rPr>
          <w:sz w:val="24"/>
          <w:szCs w:val="24"/>
        </w:rPr>
        <w:t>EPA ICR Number 2</w:t>
      </w:r>
      <w:r>
        <w:rPr>
          <w:sz w:val="24"/>
          <w:szCs w:val="24"/>
        </w:rPr>
        <w:t>530.0</w:t>
      </w:r>
      <w:r w:rsidR="002D3303">
        <w:rPr>
          <w:sz w:val="24"/>
          <w:szCs w:val="24"/>
        </w:rPr>
        <w:t>3</w:t>
      </w:r>
      <w:r w:rsidR="007139C6">
        <w:rPr>
          <w:sz w:val="24"/>
          <w:szCs w:val="24"/>
        </w:rPr>
        <w:t>, OMB Control No. 2080-</w:t>
      </w:r>
      <w:r>
        <w:rPr>
          <w:sz w:val="24"/>
          <w:szCs w:val="24"/>
        </w:rPr>
        <w:t>0082</w:t>
      </w:r>
    </w:p>
    <w:p w:rsidR="0053229E" w:rsidP="000F7EAF" w:rsidRDefault="0053229E" w14:paraId="3025D21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p w:rsidR="000F7EAF" w:rsidP="000F7EAF" w:rsidRDefault="000F7EAF" w14:paraId="2EA1A865" w14:textId="7FBDD1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Pr>
          <w:b/>
          <w:sz w:val="24"/>
          <w:szCs w:val="24"/>
        </w:rPr>
        <w:t>1(b) Short Characterization/Abstract</w:t>
      </w:r>
    </w:p>
    <w:p w:rsidR="00010697" w:rsidP="00010697" w:rsidRDefault="00010697" w14:paraId="4A890CC5" w14:textId="77777777">
      <w:pPr>
        <w:rPr>
          <w:color w:val="FF0000"/>
          <w:sz w:val="24"/>
          <w:szCs w:val="24"/>
        </w:rPr>
      </w:pPr>
    </w:p>
    <w:p w:rsidRPr="00010697" w:rsidR="00010697" w:rsidP="00010697" w:rsidRDefault="00010697" w14:paraId="6208F924" w14:textId="577F365D">
      <w:pPr>
        <w:rPr>
          <w:color w:val="000000" w:themeColor="text1"/>
          <w:sz w:val="24"/>
          <w:szCs w:val="24"/>
        </w:rPr>
      </w:pPr>
      <w:r w:rsidRPr="00010697">
        <w:rPr>
          <w:color w:val="000000" w:themeColor="text1"/>
          <w:sz w:val="24"/>
          <w:szCs w:val="24"/>
        </w:rPr>
        <w:t xml:space="preserve">The White House Office of Science and Technology </w:t>
      </w:r>
      <w:r w:rsidR="000A6B2F">
        <w:rPr>
          <w:color w:val="000000" w:themeColor="text1"/>
          <w:sz w:val="24"/>
          <w:szCs w:val="24"/>
        </w:rPr>
        <w:t>P</w:t>
      </w:r>
      <w:r w:rsidR="00391520">
        <w:rPr>
          <w:color w:val="000000" w:themeColor="text1"/>
          <w:sz w:val="24"/>
          <w:szCs w:val="24"/>
        </w:rPr>
        <w:t>olicy</w:t>
      </w:r>
      <w:r w:rsidRPr="00010697">
        <w:rPr>
          <w:color w:val="000000" w:themeColor="text1"/>
          <w:sz w:val="24"/>
          <w:szCs w:val="24"/>
        </w:rPr>
        <w:t xml:space="preserve"> issued the </w:t>
      </w:r>
      <w:r w:rsidRPr="00010697">
        <w:rPr>
          <w:i/>
          <w:iCs/>
          <w:color w:val="000000" w:themeColor="text1"/>
          <w:sz w:val="24"/>
          <w:szCs w:val="24"/>
        </w:rPr>
        <w:t xml:space="preserve">United States Government </w:t>
      </w:r>
      <w:r w:rsidR="00391520">
        <w:rPr>
          <w:i/>
          <w:iCs/>
          <w:color w:val="000000" w:themeColor="text1"/>
          <w:sz w:val="24"/>
          <w:szCs w:val="24"/>
        </w:rPr>
        <w:t>Policy</w:t>
      </w:r>
      <w:r w:rsidRPr="00010697">
        <w:rPr>
          <w:i/>
          <w:iCs/>
          <w:color w:val="000000" w:themeColor="text1"/>
          <w:sz w:val="24"/>
          <w:szCs w:val="24"/>
        </w:rPr>
        <w:t xml:space="preserve"> for Institutional Oversight of Life Sciences Dual Use Research of Concern</w:t>
      </w:r>
      <w:r w:rsidRPr="00010697">
        <w:rPr>
          <w:color w:val="000000" w:themeColor="text1"/>
          <w:sz w:val="24"/>
          <w:szCs w:val="24"/>
        </w:rPr>
        <w:t xml:space="preserve"> (iDURC </w:t>
      </w:r>
      <w:r w:rsidR="00127A20">
        <w:rPr>
          <w:color w:val="000000" w:themeColor="text1"/>
          <w:sz w:val="24"/>
          <w:szCs w:val="24"/>
        </w:rPr>
        <w:t>P</w:t>
      </w:r>
      <w:r w:rsidR="00391520">
        <w:rPr>
          <w:color w:val="000000" w:themeColor="text1"/>
          <w:sz w:val="24"/>
          <w:szCs w:val="24"/>
        </w:rPr>
        <w:t>olicy</w:t>
      </w:r>
      <w:r w:rsidRPr="00010697">
        <w:rPr>
          <w:color w:val="000000" w:themeColor="text1"/>
          <w:sz w:val="24"/>
          <w:szCs w:val="24"/>
        </w:rPr>
        <w:t xml:space="preserve">) in September 2014. The purpose of the </w:t>
      </w:r>
      <w:r w:rsidR="00127A20">
        <w:rPr>
          <w:color w:val="000000" w:themeColor="text1"/>
          <w:sz w:val="24"/>
          <w:szCs w:val="24"/>
        </w:rPr>
        <w:t>Policy</w:t>
      </w:r>
      <w:r w:rsidRPr="00010697">
        <w:rPr>
          <w:color w:val="000000" w:themeColor="text1"/>
          <w:sz w:val="24"/>
          <w:szCs w:val="24"/>
        </w:rPr>
        <w:t xml:space="preserve"> is to identify Dual Use Research of Concern (DURC) and implement risk mitigation measures where applicable. DURC </w:t>
      </w:r>
      <w:r>
        <w:rPr>
          <w:color w:val="000000" w:themeColor="text1"/>
          <w:sz w:val="24"/>
          <w:szCs w:val="24"/>
        </w:rPr>
        <w:t>applies to</w:t>
      </w:r>
      <w:r w:rsidRPr="00010697">
        <w:rPr>
          <w:color w:val="000000" w:themeColor="text1"/>
          <w:sz w:val="24"/>
          <w:szCs w:val="24"/>
        </w:rPr>
        <w:t xml:space="preserve"> life science research that</w:t>
      </w:r>
      <w:r>
        <w:rPr>
          <w:color w:val="000000" w:themeColor="text1"/>
          <w:sz w:val="24"/>
          <w:szCs w:val="24"/>
        </w:rPr>
        <w:t xml:space="preserve"> </w:t>
      </w:r>
      <w:r w:rsidRPr="00010697">
        <w:rPr>
          <w:color w:val="000000" w:themeColor="text1"/>
          <w:sz w:val="24"/>
          <w:szCs w:val="24"/>
        </w:rPr>
        <w:t>provide</w:t>
      </w:r>
      <w:r>
        <w:rPr>
          <w:color w:val="000000" w:themeColor="text1"/>
          <w:sz w:val="24"/>
          <w:szCs w:val="24"/>
        </w:rPr>
        <w:t>s</w:t>
      </w:r>
      <w:r w:rsidRPr="00010697">
        <w:rPr>
          <w:color w:val="000000" w:themeColor="text1"/>
          <w:sz w:val="24"/>
          <w:szCs w:val="24"/>
        </w:rPr>
        <w:t xml:space="preserve"> knowledge, information, products, or technologies that could be directly misapplied to pose a significant threat with broad potential consequences to public health and safety, agricultural crops and other plants, animals, the environment, material, or national security.</w:t>
      </w:r>
    </w:p>
    <w:p w:rsidRPr="00010697" w:rsidR="00010697" w:rsidP="00010697" w:rsidRDefault="00010697" w14:paraId="0D4AD497" w14:textId="77777777">
      <w:pPr>
        <w:ind w:left="720"/>
        <w:rPr>
          <w:color w:val="000000" w:themeColor="text1"/>
          <w:sz w:val="24"/>
          <w:szCs w:val="24"/>
        </w:rPr>
      </w:pPr>
    </w:p>
    <w:p w:rsidRPr="00010697" w:rsidR="00010697" w:rsidP="303DD680" w:rsidRDefault="00010697" w14:paraId="0ACA57A9" w14:textId="2B1C6FD9">
      <w:pPr>
        <w:rPr>
          <w:color w:val="000000" w:themeColor="text1"/>
          <w:sz w:val="24"/>
          <w:szCs w:val="24"/>
        </w:rPr>
      </w:pPr>
      <w:r w:rsidRPr="00010697">
        <w:rPr>
          <w:color w:val="000000" w:themeColor="text1"/>
          <w:sz w:val="24"/>
          <w:szCs w:val="24"/>
        </w:rPr>
        <w:t xml:space="preserve">Institutions subject to the iDURC </w:t>
      </w:r>
      <w:r w:rsidR="00127A20">
        <w:rPr>
          <w:color w:val="000000" w:themeColor="text1"/>
          <w:sz w:val="24"/>
          <w:szCs w:val="24"/>
        </w:rPr>
        <w:t>P</w:t>
      </w:r>
      <w:r w:rsidR="000210E5">
        <w:rPr>
          <w:color w:val="000000" w:themeColor="text1"/>
          <w:sz w:val="24"/>
          <w:szCs w:val="24"/>
        </w:rPr>
        <w:t>olicy</w:t>
      </w:r>
      <w:r w:rsidRPr="00010697">
        <w:rPr>
          <w:color w:val="000000" w:themeColor="text1"/>
          <w:sz w:val="24"/>
          <w:szCs w:val="24"/>
        </w:rPr>
        <w:t xml:space="preserve"> are those within the United States that</w:t>
      </w:r>
      <w:r>
        <w:rPr>
          <w:color w:val="000000" w:themeColor="text1"/>
          <w:sz w:val="24"/>
          <w:szCs w:val="24"/>
        </w:rPr>
        <w:t xml:space="preserve"> (1)</w:t>
      </w:r>
      <w:r w:rsidRPr="00010697">
        <w:rPr>
          <w:color w:val="000000" w:themeColor="text1"/>
          <w:sz w:val="24"/>
          <w:szCs w:val="24"/>
        </w:rPr>
        <w:t xml:space="preserve"> receive funding from the U.S. Government to conduct or sponsor life sciences research and </w:t>
      </w:r>
      <w:r>
        <w:rPr>
          <w:color w:val="000000" w:themeColor="text1"/>
          <w:sz w:val="24"/>
          <w:szCs w:val="24"/>
        </w:rPr>
        <w:t xml:space="preserve">(2) </w:t>
      </w:r>
      <w:r w:rsidRPr="00010697">
        <w:rPr>
          <w:color w:val="000000" w:themeColor="text1"/>
          <w:sz w:val="24"/>
          <w:szCs w:val="24"/>
        </w:rPr>
        <w:t xml:space="preserve">conduct or sponsor research that involves one or more of the 15 agents or toxins identified in the iDURC </w:t>
      </w:r>
      <w:r w:rsidR="00127A20">
        <w:rPr>
          <w:color w:val="000000" w:themeColor="text1"/>
          <w:sz w:val="24"/>
          <w:szCs w:val="24"/>
        </w:rPr>
        <w:t>P</w:t>
      </w:r>
      <w:r w:rsidR="000210E5">
        <w:rPr>
          <w:color w:val="000000" w:themeColor="text1"/>
          <w:sz w:val="24"/>
          <w:szCs w:val="24"/>
        </w:rPr>
        <w:t>olicy</w:t>
      </w:r>
      <w:r w:rsidRPr="00010697">
        <w:rPr>
          <w:color w:val="000000" w:themeColor="text1"/>
          <w:sz w:val="24"/>
          <w:szCs w:val="24"/>
        </w:rPr>
        <w:t xml:space="preserve">, even if the research is not supported by U.S. Government funding. Institutions outside of the United States that receive U.S. Government funding to conduct or sponsor research that involves one or more of the 15 agents or toxins identified in the iDURC </w:t>
      </w:r>
      <w:r w:rsidR="00127A20">
        <w:rPr>
          <w:color w:val="000000" w:themeColor="text1"/>
          <w:sz w:val="24"/>
          <w:szCs w:val="24"/>
        </w:rPr>
        <w:t>P</w:t>
      </w:r>
      <w:r w:rsidR="000210E5">
        <w:rPr>
          <w:color w:val="000000" w:themeColor="text1"/>
          <w:sz w:val="24"/>
          <w:szCs w:val="24"/>
        </w:rPr>
        <w:t>olicy</w:t>
      </w:r>
      <w:r w:rsidRPr="00010697">
        <w:rPr>
          <w:color w:val="000000" w:themeColor="text1"/>
          <w:sz w:val="24"/>
          <w:szCs w:val="24"/>
        </w:rPr>
        <w:t xml:space="preserve"> are also subject to the </w:t>
      </w:r>
      <w:r w:rsidR="00127A20">
        <w:rPr>
          <w:color w:val="000000" w:themeColor="text1"/>
          <w:sz w:val="24"/>
          <w:szCs w:val="24"/>
        </w:rPr>
        <w:t>P</w:t>
      </w:r>
      <w:r w:rsidR="000210E5">
        <w:rPr>
          <w:color w:val="000000" w:themeColor="text1"/>
          <w:sz w:val="24"/>
          <w:szCs w:val="24"/>
        </w:rPr>
        <w:t>olicy</w:t>
      </w:r>
      <w:r w:rsidRPr="00010697">
        <w:rPr>
          <w:color w:val="000000" w:themeColor="text1"/>
          <w:sz w:val="24"/>
          <w:szCs w:val="24"/>
        </w:rPr>
        <w:t xml:space="preserve">. The iDURC </w:t>
      </w:r>
      <w:r w:rsidR="00127A20">
        <w:rPr>
          <w:color w:val="000000" w:themeColor="text1"/>
          <w:sz w:val="24"/>
          <w:szCs w:val="24"/>
        </w:rPr>
        <w:t>P</w:t>
      </w:r>
      <w:r w:rsidR="000210E5">
        <w:rPr>
          <w:color w:val="000000" w:themeColor="text1"/>
          <w:sz w:val="24"/>
          <w:szCs w:val="24"/>
        </w:rPr>
        <w:t>olicy</w:t>
      </w:r>
      <w:r w:rsidRPr="00010697">
        <w:rPr>
          <w:color w:val="000000" w:themeColor="text1"/>
          <w:sz w:val="24"/>
          <w:szCs w:val="24"/>
        </w:rPr>
        <w:t xml:space="preserve"> requires that institutions subject to the </w:t>
      </w:r>
      <w:r w:rsidR="00127A20">
        <w:rPr>
          <w:color w:val="000000" w:themeColor="text1"/>
          <w:sz w:val="24"/>
          <w:szCs w:val="24"/>
        </w:rPr>
        <w:t>P</w:t>
      </w:r>
      <w:r w:rsidR="000210E5">
        <w:rPr>
          <w:color w:val="000000" w:themeColor="text1"/>
          <w:sz w:val="24"/>
          <w:szCs w:val="24"/>
        </w:rPr>
        <w:t>olicy</w:t>
      </w:r>
      <w:r w:rsidRPr="00010697">
        <w:rPr>
          <w:color w:val="000000" w:themeColor="text1"/>
          <w:sz w:val="24"/>
          <w:szCs w:val="24"/>
        </w:rPr>
        <w:t xml:space="preserve"> provide education and training on DURC for individuals conducting life sciences research with one or more of the 15 agents or toxins identified in the iDURC </w:t>
      </w:r>
      <w:r w:rsidR="00127A20">
        <w:rPr>
          <w:color w:val="000000" w:themeColor="text1"/>
          <w:sz w:val="24"/>
          <w:szCs w:val="24"/>
        </w:rPr>
        <w:t>Policy</w:t>
      </w:r>
      <w:r>
        <w:rPr>
          <w:color w:val="000000" w:themeColor="text1"/>
          <w:sz w:val="24"/>
          <w:szCs w:val="24"/>
        </w:rPr>
        <w:t>. It is also required that they</w:t>
      </w:r>
      <w:r w:rsidRPr="00010697">
        <w:rPr>
          <w:color w:val="000000" w:themeColor="text1"/>
          <w:sz w:val="24"/>
          <w:szCs w:val="24"/>
        </w:rPr>
        <w:t xml:space="preserve"> maintain </w:t>
      </w:r>
      <w:r>
        <w:rPr>
          <w:color w:val="000000" w:themeColor="text1"/>
          <w:sz w:val="24"/>
          <w:szCs w:val="24"/>
        </w:rPr>
        <w:t xml:space="preserve">education and training </w:t>
      </w:r>
      <w:r w:rsidRPr="00010697">
        <w:rPr>
          <w:color w:val="000000" w:themeColor="text1"/>
          <w:sz w:val="24"/>
          <w:szCs w:val="24"/>
        </w:rPr>
        <w:t>records for the term of the research grant or contract</w:t>
      </w:r>
      <w:r>
        <w:rPr>
          <w:color w:val="000000" w:themeColor="text1"/>
          <w:sz w:val="24"/>
          <w:szCs w:val="24"/>
        </w:rPr>
        <w:t xml:space="preserve">. </w:t>
      </w:r>
    </w:p>
    <w:p w:rsidRPr="00010697" w:rsidR="00010697" w:rsidP="00010697" w:rsidRDefault="00010697" w14:paraId="0F91A7B8" w14:textId="77777777">
      <w:pPr>
        <w:ind w:left="720"/>
        <w:rPr>
          <w:color w:val="000000" w:themeColor="text1"/>
          <w:sz w:val="24"/>
          <w:szCs w:val="24"/>
        </w:rPr>
      </w:pPr>
    </w:p>
    <w:p w:rsidRPr="00010697" w:rsidR="0007591C" w:rsidP="303DD680" w:rsidRDefault="00010697" w14:paraId="4761F6F6" w14:textId="5D40D7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themeColor="text1"/>
          <w:sz w:val="24"/>
          <w:szCs w:val="24"/>
        </w:rPr>
      </w:pPr>
      <w:r w:rsidRPr="00010697">
        <w:rPr>
          <w:color w:val="000000" w:themeColor="text1"/>
          <w:sz w:val="24"/>
          <w:szCs w:val="24"/>
        </w:rPr>
        <w:t xml:space="preserve">EPA is submitting an information collection request for the requirement of institutions </w:t>
      </w:r>
      <w:r w:rsidR="0070618E">
        <w:rPr>
          <w:color w:val="000000" w:themeColor="text1"/>
          <w:sz w:val="24"/>
          <w:szCs w:val="24"/>
        </w:rPr>
        <w:t>to</w:t>
      </w:r>
      <w:r w:rsidRPr="00010697">
        <w:rPr>
          <w:color w:val="000000" w:themeColor="text1"/>
          <w:sz w:val="24"/>
          <w:szCs w:val="24"/>
        </w:rPr>
        <w:t xml:space="preserve"> maintain these training records. EPA’s Office of Research and Development may choose to collect these records</w:t>
      </w:r>
      <w:r>
        <w:rPr>
          <w:color w:val="000000" w:themeColor="text1"/>
          <w:sz w:val="24"/>
          <w:szCs w:val="24"/>
        </w:rPr>
        <w:t xml:space="preserve"> </w:t>
      </w:r>
      <w:r w:rsidR="0075144B">
        <w:rPr>
          <w:color w:val="000000" w:themeColor="text1"/>
          <w:sz w:val="24"/>
          <w:szCs w:val="24"/>
        </w:rPr>
        <w:t xml:space="preserve">to ensure </w:t>
      </w:r>
      <w:r w:rsidR="000210E5">
        <w:rPr>
          <w:color w:val="000000" w:themeColor="text1"/>
          <w:sz w:val="24"/>
          <w:szCs w:val="24"/>
        </w:rPr>
        <w:t>policy</w:t>
      </w:r>
      <w:r w:rsidR="0075144B">
        <w:rPr>
          <w:color w:val="000000" w:themeColor="text1"/>
          <w:sz w:val="24"/>
          <w:szCs w:val="24"/>
        </w:rPr>
        <w:t xml:space="preserve"> compliance.</w:t>
      </w:r>
    </w:p>
    <w:p w:rsidRPr="00916098" w:rsidR="00916098" w:rsidP="000F7EAF" w:rsidRDefault="00916098" w14:paraId="7AC56FA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p w:rsidR="00D177C6" w:rsidP="000F7EAF" w:rsidRDefault="00D177C6" w14:paraId="7E1F2D19" w14:textId="20A3CF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r w:rsidRPr="000F7EAF">
        <w:rPr>
          <w:b/>
          <w:sz w:val="24"/>
          <w:szCs w:val="24"/>
        </w:rPr>
        <w:t xml:space="preserve">2. </w:t>
      </w:r>
      <w:r>
        <w:rPr>
          <w:b/>
          <w:bCs/>
          <w:sz w:val="24"/>
          <w:szCs w:val="24"/>
        </w:rPr>
        <w:t>Need for and use of the Collection</w:t>
      </w:r>
    </w:p>
    <w:p w:rsidR="000F7EAF" w:rsidP="000F7EAF" w:rsidRDefault="000F7EAF" w14:paraId="0BF2466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b/>
          <w:bCs/>
          <w:sz w:val="24"/>
          <w:szCs w:val="24"/>
        </w:rPr>
        <w:t>2(a) Need/Authority for Collection</w:t>
      </w:r>
    </w:p>
    <w:p w:rsidR="000F7EAF" w:rsidP="00D177C6" w:rsidRDefault="000F7EAF" w14:paraId="6883CC76" w14:textId="06F7E1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3C76A2" w:rsidR="00010697" w:rsidP="003C76A2" w:rsidRDefault="00010697" w14:paraId="50579D40" w14:textId="2E53B34F">
      <w:pPr>
        <w:rPr>
          <w:color w:val="000000" w:themeColor="text1"/>
          <w:sz w:val="24"/>
          <w:szCs w:val="24"/>
        </w:rPr>
      </w:pPr>
      <w:r w:rsidRPr="003C76A2">
        <w:rPr>
          <w:color w:val="000000" w:themeColor="text1"/>
          <w:sz w:val="24"/>
          <w:szCs w:val="24"/>
        </w:rPr>
        <w:t xml:space="preserve">The White House Office of Science and Technology </w:t>
      </w:r>
      <w:r w:rsidR="000A6B2F">
        <w:rPr>
          <w:color w:val="000000" w:themeColor="text1"/>
          <w:sz w:val="24"/>
          <w:szCs w:val="24"/>
        </w:rPr>
        <w:t>P</w:t>
      </w:r>
      <w:r w:rsidR="00391520">
        <w:rPr>
          <w:color w:val="000000" w:themeColor="text1"/>
          <w:sz w:val="24"/>
          <w:szCs w:val="24"/>
        </w:rPr>
        <w:t>olicy</w:t>
      </w:r>
      <w:r w:rsidRPr="003C76A2">
        <w:rPr>
          <w:color w:val="000000" w:themeColor="text1"/>
          <w:sz w:val="24"/>
          <w:szCs w:val="24"/>
        </w:rPr>
        <w:t xml:space="preserve"> issued the </w:t>
      </w:r>
      <w:r w:rsidRPr="003C76A2">
        <w:rPr>
          <w:i/>
          <w:iCs/>
          <w:color w:val="000000" w:themeColor="text1"/>
          <w:sz w:val="24"/>
          <w:szCs w:val="24"/>
        </w:rPr>
        <w:t xml:space="preserve">United States Government </w:t>
      </w:r>
      <w:r w:rsidR="000A6B2F">
        <w:rPr>
          <w:i/>
          <w:iCs/>
          <w:color w:val="000000" w:themeColor="text1"/>
          <w:sz w:val="24"/>
          <w:szCs w:val="24"/>
        </w:rPr>
        <w:t>P</w:t>
      </w:r>
      <w:r w:rsidR="00391520">
        <w:rPr>
          <w:i/>
          <w:iCs/>
          <w:color w:val="000000" w:themeColor="text1"/>
          <w:sz w:val="24"/>
          <w:szCs w:val="24"/>
        </w:rPr>
        <w:t>olicy</w:t>
      </w:r>
      <w:r w:rsidRPr="003C76A2">
        <w:rPr>
          <w:i/>
          <w:iCs/>
          <w:color w:val="000000" w:themeColor="text1"/>
          <w:sz w:val="24"/>
          <w:szCs w:val="24"/>
        </w:rPr>
        <w:t xml:space="preserve"> for Institutional Oversight of Life Sciences Dual Use Research of Concern</w:t>
      </w:r>
      <w:r w:rsidRPr="003C76A2">
        <w:rPr>
          <w:color w:val="000000" w:themeColor="text1"/>
          <w:sz w:val="24"/>
          <w:szCs w:val="24"/>
        </w:rPr>
        <w:t xml:space="preserve"> (iDURC </w:t>
      </w:r>
      <w:r w:rsidR="00127A20">
        <w:rPr>
          <w:color w:val="000000" w:themeColor="text1"/>
          <w:sz w:val="24"/>
          <w:szCs w:val="24"/>
        </w:rPr>
        <w:t>Policy</w:t>
      </w:r>
      <w:r w:rsidRPr="003C76A2">
        <w:rPr>
          <w:color w:val="000000" w:themeColor="text1"/>
          <w:sz w:val="24"/>
          <w:szCs w:val="24"/>
        </w:rPr>
        <w:t xml:space="preserve">) on September 2014. It became effective on September 24, 2015 (79 </w:t>
      </w:r>
      <w:r w:rsidR="0070618E">
        <w:rPr>
          <w:color w:val="000000" w:themeColor="text1"/>
          <w:sz w:val="24"/>
          <w:szCs w:val="24"/>
        </w:rPr>
        <w:t>FR</w:t>
      </w:r>
      <w:r w:rsidRPr="003C76A2">
        <w:rPr>
          <w:color w:val="000000" w:themeColor="text1"/>
          <w:sz w:val="24"/>
          <w:szCs w:val="24"/>
        </w:rPr>
        <w:t xml:space="preserve"> 57589). All </w:t>
      </w:r>
      <w:r w:rsidR="00127A20">
        <w:rPr>
          <w:color w:val="000000" w:themeColor="text1"/>
          <w:sz w:val="24"/>
          <w:szCs w:val="24"/>
        </w:rPr>
        <w:t>f</w:t>
      </w:r>
      <w:r w:rsidRPr="003C76A2" w:rsidR="00127A20">
        <w:rPr>
          <w:color w:val="000000" w:themeColor="text1"/>
          <w:sz w:val="24"/>
          <w:szCs w:val="24"/>
        </w:rPr>
        <w:t xml:space="preserve">ederal </w:t>
      </w:r>
      <w:r w:rsidRPr="003C76A2">
        <w:rPr>
          <w:color w:val="000000" w:themeColor="text1"/>
          <w:sz w:val="24"/>
          <w:szCs w:val="24"/>
        </w:rPr>
        <w:t xml:space="preserve">departments and agencies are required to implement this </w:t>
      </w:r>
      <w:r w:rsidR="00391520">
        <w:rPr>
          <w:color w:val="000000" w:themeColor="text1"/>
          <w:sz w:val="24"/>
          <w:szCs w:val="24"/>
        </w:rPr>
        <w:t>p</w:t>
      </w:r>
      <w:r w:rsidR="000210E5">
        <w:rPr>
          <w:color w:val="000000" w:themeColor="text1"/>
          <w:sz w:val="24"/>
          <w:szCs w:val="24"/>
        </w:rPr>
        <w:t>olicy</w:t>
      </w:r>
      <w:r w:rsidRPr="003C76A2">
        <w:rPr>
          <w:color w:val="000000" w:themeColor="text1"/>
          <w:sz w:val="24"/>
          <w:szCs w:val="24"/>
        </w:rPr>
        <w:t xml:space="preserve">. The iDURC </w:t>
      </w:r>
      <w:r w:rsidR="00127A20">
        <w:rPr>
          <w:color w:val="000000" w:themeColor="text1"/>
          <w:sz w:val="24"/>
          <w:szCs w:val="24"/>
        </w:rPr>
        <w:t>Policy</w:t>
      </w:r>
      <w:r w:rsidRPr="003C76A2">
        <w:rPr>
          <w:color w:val="000000" w:themeColor="text1"/>
          <w:sz w:val="24"/>
          <w:szCs w:val="24"/>
        </w:rPr>
        <w:t xml:space="preserve"> requires institutions to maintain training records for individuals conducting life sciences research with one or more of the 15 agents or toxins identified in the </w:t>
      </w:r>
      <w:r w:rsidR="00127A20">
        <w:rPr>
          <w:color w:val="000000" w:themeColor="text1"/>
          <w:sz w:val="24"/>
          <w:szCs w:val="24"/>
        </w:rPr>
        <w:t>Policy</w:t>
      </w:r>
      <w:r w:rsidRPr="003C76A2">
        <w:rPr>
          <w:color w:val="000000" w:themeColor="text1"/>
          <w:sz w:val="24"/>
          <w:szCs w:val="24"/>
        </w:rPr>
        <w:t xml:space="preserve">. The goal of this collection is to ensure that all personnel involved in conducting life sciences research with one or more of the 15 agents or toxins identified in the iDURC </w:t>
      </w:r>
      <w:r w:rsidR="00127A20">
        <w:rPr>
          <w:color w:val="000000" w:themeColor="text1"/>
          <w:sz w:val="24"/>
          <w:szCs w:val="24"/>
        </w:rPr>
        <w:t>Policy</w:t>
      </w:r>
      <w:r w:rsidRPr="003C76A2">
        <w:rPr>
          <w:color w:val="000000" w:themeColor="text1"/>
          <w:sz w:val="24"/>
          <w:szCs w:val="24"/>
        </w:rPr>
        <w:t xml:space="preserve"> understand what DURC is, how to mitigate </w:t>
      </w:r>
      <w:r w:rsidRPr="003C76A2">
        <w:rPr>
          <w:color w:val="000000" w:themeColor="text1"/>
          <w:sz w:val="24"/>
          <w:szCs w:val="24"/>
        </w:rPr>
        <w:lastRenderedPageBreak/>
        <w:t>risk, and how to communicate research findings in a responsible manner through the use of training and education.</w:t>
      </w:r>
    </w:p>
    <w:p w:rsidRPr="00A303C8" w:rsidR="00D37D4E" w:rsidP="00D37D4E" w:rsidRDefault="00D37D4E" w14:paraId="745CBEA1" w14:textId="77777777"/>
    <w:p w:rsidR="00916098" w:rsidP="00990886" w:rsidRDefault="00990886" w14:paraId="3D5F3896" w14:textId="3C9C9A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r>
        <w:rPr>
          <w:b/>
          <w:bCs/>
          <w:sz w:val="24"/>
          <w:szCs w:val="24"/>
        </w:rPr>
        <w:t>2(b) Practical Utility/Users of the Data</w:t>
      </w:r>
    </w:p>
    <w:p w:rsidR="0075144B" w:rsidP="00990886" w:rsidRDefault="0075144B" w14:paraId="5ED6CA90" w14:textId="3868CB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szCs w:val="24"/>
        </w:rPr>
      </w:pPr>
    </w:p>
    <w:p w:rsidR="303DD680" w:rsidP="303DD680" w:rsidRDefault="303DD680" w14:paraId="05D016D6" w14:textId="5135678D">
      <w:pPr>
        <w:rPr>
          <w:sz w:val="24"/>
          <w:szCs w:val="24"/>
        </w:rPr>
      </w:pPr>
      <w:r w:rsidRPr="303DD680">
        <w:rPr>
          <w:sz w:val="24"/>
          <w:szCs w:val="24"/>
        </w:rPr>
        <w:t xml:space="preserve">The iDURC </w:t>
      </w:r>
      <w:r w:rsidR="00127A20">
        <w:rPr>
          <w:sz w:val="24"/>
          <w:szCs w:val="24"/>
        </w:rPr>
        <w:t>Policy</w:t>
      </w:r>
      <w:r w:rsidRPr="303DD680">
        <w:rPr>
          <w:sz w:val="24"/>
          <w:szCs w:val="24"/>
        </w:rPr>
        <w:t xml:space="preserve"> requirement for training records helps institute a culture of responsibility for individuals conducting life science research with one or more of the 15 agents or toxins identified in the </w:t>
      </w:r>
      <w:r w:rsidR="00127A20">
        <w:rPr>
          <w:sz w:val="24"/>
          <w:szCs w:val="24"/>
        </w:rPr>
        <w:t>Policy</w:t>
      </w:r>
      <w:r w:rsidRPr="303DD680">
        <w:rPr>
          <w:sz w:val="24"/>
          <w:szCs w:val="24"/>
        </w:rPr>
        <w:t>.</w:t>
      </w:r>
    </w:p>
    <w:p w:rsidRPr="00A303C8" w:rsidR="00D37D4E" w:rsidP="00D37D4E" w:rsidRDefault="00D37D4E" w14:paraId="72BD7E68" w14:textId="77777777"/>
    <w:p w:rsidR="00D37D4E" w:rsidP="00990886" w:rsidRDefault="00D177C6" w14:paraId="52C1EE0A" w14:textId="5A81A5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r w:rsidRPr="000F7EAF">
        <w:rPr>
          <w:b/>
          <w:sz w:val="24"/>
          <w:szCs w:val="24"/>
        </w:rPr>
        <w:t xml:space="preserve">3. </w:t>
      </w:r>
      <w:r w:rsidRPr="000F7EAF">
        <w:rPr>
          <w:b/>
          <w:bCs/>
          <w:sz w:val="24"/>
          <w:szCs w:val="24"/>
        </w:rPr>
        <w:t>Non</w:t>
      </w:r>
      <w:r>
        <w:rPr>
          <w:b/>
          <w:bCs/>
          <w:sz w:val="24"/>
          <w:szCs w:val="24"/>
        </w:rPr>
        <w:t xml:space="preserve"> duplication, Consultations, and Other Collection Criteria</w:t>
      </w:r>
    </w:p>
    <w:p w:rsidR="00990886" w:rsidP="00D177C6" w:rsidRDefault="00990886" w14:paraId="11E1FC4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b/>
          <w:sz w:val="24"/>
          <w:szCs w:val="24"/>
        </w:rPr>
        <w:t>3(a) Non duplication</w:t>
      </w:r>
    </w:p>
    <w:p w:rsidRPr="003C76A2" w:rsidR="00990886" w:rsidP="00D177C6" w:rsidRDefault="00990886" w14:paraId="2598FB34" w14:textId="423222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4"/>
          <w:szCs w:val="24"/>
        </w:rPr>
      </w:pPr>
    </w:p>
    <w:p w:rsidRPr="003C76A2" w:rsidR="0075144B" w:rsidP="003C76A2" w:rsidRDefault="0075144B" w14:paraId="17595BED" w14:textId="045196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4"/>
          <w:szCs w:val="24"/>
        </w:rPr>
      </w:pPr>
      <w:r w:rsidRPr="003C76A2">
        <w:rPr>
          <w:color w:val="000000" w:themeColor="text1"/>
          <w:sz w:val="24"/>
          <w:szCs w:val="24"/>
        </w:rPr>
        <w:t xml:space="preserve">Training information requested from institutions under this ICR is required by the iDURC </w:t>
      </w:r>
      <w:r w:rsidR="00127A20">
        <w:rPr>
          <w:color w:val="000000" w:themeColor="text1"/>
          <w:sz w:val="24"/>
          <w:szCs w:val="24"/>
        </w:rPr>
        <w:t>Policy</w:t>
      </w:r>
      <w:r>
        <w:rPr>
          <w:color w:val="000000" w:themeColor="text1"/>
          <w:sz w:val="24"/>
          <w:szCs w:val="24"/>
        </w:rPr>
        <w:t xml:space="preserve">, which is being </w:t>
      </w:r>
      <w:r w:rsidRPr="003C76A2">
        <w:rPr>
          <w:color w:val="000000" w:themeColor="text1"/>
          <w:sz w:val="24"/>
          <w:szCs w:val="24"/>
        </w:rPr>
        <w:t xml:space="preserve">implemented by all </w:t>
      </w:r>
      <w:r w:rsidR="00127A20">
        <w:rPr>
          <w:color w:val="000000" w:themeColor="text1"/>
          <w:sz w:val="24"/>
          <w:szCs w:val="24"/>
        </w:rPr>
        <w:t>f</w:t>
      </w:r>
      <w:r w:rsidRPr="003C76A2" w:rsidR="00127A20">
        <w:rPr>
          <w:color w:val="000000" w:themeColor="text1"/>
          <w:sz w:val="24"/>
          <w:szCs w:val="24"/>
        </w:rPr>
        <w:t xml:space="preserve">ederal </w:t>
      </w:r>
      <w:r w:rsidRPr="003C76A2">
        <w:rPr>
          <w:color w:val="000000" w:themeColor="text1"/>
          <w:sz w:val="24"/>
          <w:szCs w:val="24"/>
        </w:rPr>
        <w:t>department</w:t>
      </w:r>
      <w:r w:rsidR="0070618E">
        <w:rPr>
          <w:color w:val="000000" w:themeColor="text1"/>
          <w:sz w:val="24"/>
          <w:szCs w:val="24"/>
        </w:rPr>
        <w:t>s</w:t>
      </w:r>
      <w:r w:rsidRPr="003C76A2">
        <w:rPr>
          <w:color w:val="000000" w:themeColor="text1"/>
          <w:sz w:val="24"/>
          <w:szCs w:val="24"/>
        </w:rPr>
        <w:t xml:space="preserve"> and agencies. There are no other sources available to collect this information.</w:t>
      </w:r>
    </w:p>
    <w:p w:rsidR="00916098" w:rsidP="00D177C6" w:rsidRDefault="00916098" w14:paraId="006342E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990886" w:rsidP="00D177C6" w:rsidRDefault="00990886" w14:paraId="6B44098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b/>
          <w:sz w:val="24"/>
          <w:szCs w:val="24"/>
        </w:rPr>
        <w:t>3(b) Public Notice Required Prior to ICR submission to OMB</w:t>
      </w:r>
    </w:p>
    <w:p w:rsidR="00990886" w:rsidP="00D177C6" w:rsidRDefault="00990886" w14:paraId="2C2F877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D37D4E" w:rsidR="00D37D4E" w:rsidP="00D37D4E" w:rsidRDefault="00D37D4E" w14:paraId="65BE9B9A" w14:textId="490ECA22">
      <w:pPr>
        <w:rPr>
          <w:sz w:val="24"/>
        </w:rPr>
      </w:pPr>
      <w:r w:rsidRPr="00D37D4E">
        <w:rPr>
          <w:sz w:val="24"/>
        </w:rPr>
        <w:t xml:space="preserve">To comply with the 1995 Amendments to the Paperwork Reduction Act (PRA), </w:t>
      </w:r>
      <w:r w:rsidR="00335B9D">
        <w:rPr>
          <w:sz w:val="24"/>
        </w:rPr>
        <w:t xml:space="preserve">EPA solicited public comment on this ICR for a 60-day period prior to its submission to OMB. EPA published notice </w:t>
      </w:r>
      <w:r w:rsidR="00121B90">
        <w:rPr>
          <w:sz w:val="24"/>
        </w:rPr>
        <w:t>(</w:t>
      </w:r>
      <w:r w:rsidR="00897550">
        <w:rPr>
          <w:sz w:val="24"/>
        </w:rPr>
        <w:t>84 FR 20352</w:t>
      </w:r>
      <w:r w:rsidR="00121B90">
        <w:rPr>
          <w:sz w:val="24"/>
        </w:rPr>
        <w:t>)</w:t>
      </w:r>
      <w:r w:rsidR="00897550">
        <w:rPr>
          <w:sz w:val="24"/>
        </w:rPr>
        <w:t xml:space="preserve"> </w:t>
      </w:r>
      <w:r w:rsidR="00335B9D">
        <w:rPr>
          <w:sz w:val="24"/>
        </w:rPr>
        <w:t xml:space="preserve">in the </w:t>
      </w:r>
      <w:r w:rsidR="00335B9D">
        <w:rPr>
          <w:i/>
          <w:sz w:val="24"/>
        </w:rPr>
        <w:t>Federal Register</w:t>
      </w:r>
      <w:r w:rsidR="00335B9D">
        <w:rPr>
          <w:sz w:val="24"/>
        </w:rPr>
        <w:t xml:space="preserve"> (FR) on May 9, 2019 requesting comment on the estimated respondent burden and other aspects of this ICR. EPA </w:t>
      </w:r>
      <w:r w:rsidR="00897550">
        <w:rPr>
          <w:sz w:val="24"/>
        </w:rPr>
        <w:t>did</w:t>
      </w:r>
      <w:r w:rsidR="00335B9D">
        <w:rPr>
          <w:sz w:val="24"/>
        </w:rPr>
        <w:t xml:space="preserve"> not receive</w:t>
      </w:r>
      <w:r w:rsidR="00897550">
        <w:rPr>
          <w:sz w:val="24"/>
        </w:rPr>
        <w:t xml:space="preserve"> </w:t>
      </w:r>
      <w:r w:rsidR="00335B9D">
        <w:rPr>
          <w:sz w:val="24"/>
        </w:rPr>
        <w:t xml:space="preserve">any comments. </w:t>
      </w:r>
      <w:r w:rsidRPr="00D37D4E">
        <w:rPr>
          <w:sz w:val="24"/>
        </w:rPr>
        <w:t xml:space="preserve">An additional </w:t>
      </w:r>
      <w:r w:rsidRPr="00897550" w:rsidR="00897550">
        <w:rPr>
          <w:sz w:val="24"/>
        </w:rPr>
        <w:t>FR</w:t>
      </w:r>
      <w:r w:rsidRPr="00D37D4E">
        <w:rPr>
          <w:sz w:val="24"/>
        </w:rPr>
        <w:t xml:space="preserve"> notice will be published when this ICR is submitted to OMB. The public comment period for this additional notice will be 30 days.</w:t>
      </w:r>
    </w:p>
    <w:p w:rsidRPr="00D37D4E" w:rsidR="00990886" w:rsidP="00D177C6" w:rsidRDefault="00990886" w14:paraId="0949DB3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32"/>
          <w:szCs w:val="24"/>
        </w:rPr>
      </w:pPr>
    </w:p>
    <w:p w:rsidR="00990886" w:rsidP="00D177C6" w:rsidRDefault="7E7FEDF5" w14:paraId="716C8D2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7E7FEDF5">
        <w:rPr>
          <w:b/>
          <w:bCs/>
          <w:sz w:val="24"/>
          <w:szCs w:val="24"/>
        </w:rPr>
        <w:t>3(c) Consultations</w:t>
      </w:r>
    </w:p>
    <w:p w:rsidR="7E7FEDF5" w:rsidP="7E7FEDF5" w:rsidRDefault="008E2BD3" w14:paraId="22C3CF62" w14:textId="09124451">
      <w:pPr>
        <w:rPr>
          <w:sz w:val="24"/>
          <w:szCs w:val="24"/>
        </w:rPr>
      </w:pPr>
      <w:r>
        <w:rPr>
          <w:sz w:val="24"/>
          <w:szCs w:val="24"/>
        </w:rPr>
        <w:t>EPA</w:t>
      </w:r>
      <w:r w:rsidR="00CF5436">
        <w:rPr>
          <w:sz w:val="24"/>
          <w:szCs w:val="24"/>
        </w:rPr>
        <w:t xml:space="preserve"> </w:t>
      </w:r>
      <w:r>
        <w:rPr>
          <w:sz w:val="24"/>
          <w:szCs w:val="24"/>
        </w:rPr>
        <w:t>consult</w:t>
      </w:r>
      <w:r w:rsidR="00CF5436">
        <w:rPr>
          <w:sz w:val="24"/>
          <w:szCs w:val="24"/>
        </w:rPr>
        <w:t>ed</w:t>
      </w:r>
      <w:r>
        <w:rPr>
          <w:sz w:val="24"/>
          <w:szCs w:val="24"/>
        </w:rPr>
        <w:t xml:space="preserve"> with one private sector organization, Battelle</w:t>
      </w:r>
      <w:r w:rsidR="00127A20">
        <w:rPr>
          <w:sz w:val="24"/>
          <w:szCs w:val="24"/>
        </w:rPr>
        <w:t xml:space="preserve"> (</w:t>
      </w:r>
      <w:r>
        <w:rPr>
          <w:sz w:val="24"/>
          <w:szCs w:val="24"/>
        </w:rPr>
        <w:t>Brian O’Shea, 615-424-4831</w:t>
      </w:r>
      <w:r w:rsidR="00127A20">
        <w:rPr>
          <w:sz w:val="24"/>
          <w:szCs w:val="24"/>
        </w:rPr>
        <w:t>)</w:t>
      </w:r>
      <w:r>
        <w:rPr>
          <w:sz w:val="24"/>
          <w:szCs w:val="24"/>
        </w:rPr>
        <w:t xml:space="preserve">. This consultation confirmed the </w:t>
      </w:r>
      <w:r w:rsidR="00C31801">
        <w:rPr>
          <w:sz w:val="24"/>
          <w:szCs w:val="24"/>
        </w:rPr>
        <w:t>burden estimation of</w:t>
      </w:r>
      <w:r>
        <w:rPr>
          <w:sz w:val="24"/>
          <w:szCs w:val="24"/>
        </w:rPr>
        <w:t xml:space="preserve"> this ICR. </w:t>
      </w:r>
      <w:r w:rsidR="00CF5436">
        <w:rPr>
          <w:sz w:val="24"/>
          <w:szCs w:val="24"/>
        </w:rPr>
        <w:t xml:space="preserve">EPA consulted with a potential private sector organization, RTI International, but they do not conduct research subject to the iDURC </w:t>
      </w:r>
      <w:r w:rsidR="00127A20">
        <w:rPr>
          <w:sz w:val="24"/>
          <w:szCs w:val="24"/>
        </w:rPr>
        <w:t>Policy</w:t>
      </w:r>
      <w:r w:rsidR="00CF5436">
        <w:rPr>
          <w:sz w:val="24"/>
          <w:szCs w:val="24"/>
        </w:rPr>
        <w:t xml:space="preserve">. </w:t>
      </w:r>
      <w:r w:rsidR="00C31801">
        <w:rPr>
          <w:sz w:val="24"/>
          <w:szCs w:val="24"/>
        </w:rPr>
        <w:t xml:space="preserve">EPA is </w:t>
      </w:r>
      <w:r w:rsidR="00D52790">
        <w:rPr>
          <w:sz w:val="24"/>
          <w:szCs w:val="24"/>
        </w:rPr>
        <w:t xml:space="preserve">currently </w:t>
      </w:r>
      <w:r w:rsidR="00C31801">
        <w:rPr>
          <w:sz w:val="24"/>
          <w:szCs w:val="24"/>
        </w:rPr>
        <w:t>funding 1</w:t>
      </w:r>
      <w:r w:rsidR="001F3BE5">
        <w:rPr>
          <w:sz w:val="24"/>
          <w:szCs w:val="24"/>
        </w:rPr>
        <w:t>0</w:t>
      </w:r>
      <w:r w:rsidR="00C31801">
        <w:rPr>
          <w:sz w:val="24"/>
          <w:szCs w:val="24"/>
        </w:rPr>
        <w:t xml:space="preserve"> projects that are subject to the </w:t>
      </w:r>
      <w:r w:rsidR="00127A20">
        <w:rPr>
          <w:sz w:val="24"/>
          <w:szCs w:val="24"/>
        </w:rPr>
        <w:t>Policy</w:t>
      </w:r>
      <w:r w:rsidR="00C31801">
        <w:rPr>
          <w:sz w:val="24"/>
          <w:szCs w:val="24"/>
        </w:rPr>
        <w:t xml:space="preserve">, </w:t>
      </w:r>
      <w:r w:rsidR="001F3BE5">
        <w:rPr>
          <w:sz w:val="24"/>
          <w:szCs w:val="24"/>
        </w:rPr>
        <w:t>2</w:t>
      </w:r>
      <w:r w:rsidR="00C31801">
        <w:rPr>
          <w:sz w:val="24"/>
          <w:szCs w:val="24"/>
        </w:rPr>
        <w:t xml:space="preserve"> of which are conducted by non-</w:t>
      </w:r>
      <w:r w:rsidR="00121B90">
        <w:rPr>
          <w:sz w:val="24"/>
          <w:szCs w:val="24"/>
        </w:rPr>
        <w:t>F</w:t>
      </w:r>
      <w:r w:rsidR="00C31801">
        <w:rPr>
          <w:sz w:val="24"/>
          <w:szCs w:val="24"/>
        </w:rPr>
        <w:t>ederal organizations</w:t>
      </w:r>
      <w:r w:rsidR="00460220">
        <w:rPr>
          <w:sz w:val="24"/>
          <w:szCs w:val="24"/>
        </w:rPr>
        <w:t xml:space="preserve"> and are subject to Paperwork Reduction Act requirements</w:t>
      </w:r>
      <w:r w:rsidR="00C31801">
        <w:rPr>
          <w:sz w:val="24"/>
          <w:szCs w:val="24"/>
        </w:rPr>
        <w:t>. EPA attempted to contact the non-</w:t>
      </w:r>
      <w:r w:rsidR="00121B90">
        <w:rPr>
          <w:sz w:val="24"/>
          <w:szCs w:val="24"/>
        </w:rPr>
        <w:t>F</w:t>
      </w:r>
      <w:r w:rsidR="00C31801">
        <w:rPr>
          <w:sz w:val="24"/>
          <w:szCs w:val="24"/>
        </w:rPr>
        <w:t xml:space="preserve">ederal entities on multiple occasions but were unable to identify participants to provide feedback on the burden of this ICR. </w:t>
      </w:r>
    </w:p>
    <w:p w:rsidR="000C73AE" w:rsidP="303DD680" w:rsidRDefault="000C73AE" w14:paraId="5E902BBB" w14:textId="673A9E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highlight w:val="yellow"/>
        </w:rPr>
      </w:pPr>
    </w:p>
    <w:p w:rsidR="000C73AE" w:rsidP="00D177C6" w:rsidRDefault="000C73AE" w14:paraId="5BEA8118" w14:textId="08E186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Pr>
          <w:b/>
          <w:sz w:val="24"/>
          <w:szCs w:val="24"/>
        </w:rPr>
        <w:t>3(d)</w:t>
      </w:r>
      <w:r>
        <w:rPr>
          <w:sz w:val="24"/>
          <w:szCs w:val="24"/>
        </w:rPr>
        <w:t xml:space="preserve"> </w:t>
      </w:r>
      <w:r>
        <w:rPr>
          <w:b/>
          <w:sz w:val="24"/>
          <w:szCs w:val="24"/>
        </w:rPr>
        <w:t>Effects of Less Frequent Collection</w:t>
      </w:r>
    </w:p>
    <w:p w:rsidR="0075144B" w:rsidP="00D177C6" w:rsidRDefault="0075144B" w14:paraId="4EE86DB0" w14:textId="45C4DF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p w:rsidRPr="003C76A2" w:rsidR="0075144B" w:rsidP="003C76A2" w:rsidRDefault="0075144B" w14:paraId="70A973C0" w14:textId="7293E951">
      <w:pPr>
        <w:rPr>
          <w:color w:val="000000" w:themeColor="text1"/>
          <w:sz w:val="24"/>
          <w:szCs w:val="24"/>
        </w:rPr>
      </w:pPr>
      <w:r w:rsidRPr="003C76A2">
        <w:rPr>
          <w:color w:val="000000" w:themeColor="text1"/>
          <w:sz w:val="24"/>
          <w:szCs w:val="24"/>
        </w:rPr>
        <w:t xml:space="preserve">The iDURC </w:t>
      </w:r>
      <w:r w:rsidR="00127A20">
        <w:rPr>
          <w:color w:val="000000" w:themeColor="text1"/>
          <w:sz w:val="24"/>
          <w:szCs w:val="24"/>
        </w:rPr>
        <w:t>Policy</w:t>
      </w:r>
      <w:r w:rsidRPr="003C76A2">
        <w:rPr>
          <w:color w:val="000000" w:themeColor="text1"/>
          <w:sz w:val="24"/>
          <w:szCs w:val="24"/>
        </w:rPr>
        <w:t xml:space="preserve"> requirement for training records helps institute a culture of responsibility for individuals conducting life science research with one or more of the 15 agents or toxins identified in the </w:t>
      </w:r>
      <w:r w:rsidR="00127A20">
        <w:rPr>
          <w:color w:val="000000" w:themeColor="text1"/>
          <w:sz w:val="24"/>
          <w:szCs w:val="24"/>
        </w:rPr>
        <w:t>Policy</w:t>
      </w:r>
      <w:r w:rsidRPr="003C76A2">
        <w:rPr>
          <w:color w:val="000000" w:themeColor="text1"/>
          <w:sz w:val="24"/>
          <w:szCs w:val="24"/>
        </w:rPr>
        <w:t xml:space="preserve">. A less frequent collection of these training records may result in non-compliance with the </w:t>
      </w:r>
      <w:r w:rsidR="00127A20">
        <w:rPr>
          <w:color w:val="000000" w:themeColor="text1"/>
          <w:sz w:val="24"/>
          <w:szCs w:val="24"/>
        </w:rPr>
        <w:t>Policy</w:t>
      </w:r>
      <w:r w:rsidRPr="003C76A2">
        <w:rPr>
          <w:color w:val="000000" w:themeColor="text1"/>
          <w:sz w:val="24"/>
          <w:szCs w:val="24"/>
        </w:rPr>
        <w:t xml:space="preserve"> by EPA and/or U.S. Government</w:t>
      </w:r>
      <w:r w:rsidR="00121B90">
        <w:rPr>
          <w:color w:val="000000" w:themeColor="text1"/>
          <w:sz w:val="24"/>
          <w:szCs w:val="24"/>
        </w:rPr>
        <w:t>-</w:t>
      </w:r>
      <w:r w:rsidRPr="003C76A2">
        <w:rPr>
          <w:color w:val="000000" w:themeColor="text1"/>
          <w:sz w:val="24"/>
          <w:szCs w:val="24"/>
        </w:rPr>
        <w:t xml:space="preserve">funded institutions. Non-compliance with the </w:t>
      </w:r>
      <w:r w:rsidR="00127A20">
        <w:rPr>
          <w:color w:val="000000" w:themeColor="text1"/>
          <w:sz w:val="24"/>
          <w:szCs w:val="24"/>
        </w:rPr>
        <w:t>Policy</w:t>
      </w:r>
      <w:r w:rsidRPr="003C76A2">
        <w:rPr>
          <w:color w:val="000000" w:themeColor="text1"/>
          <w:sz w:val="24"/>
          <w:szCs w:val="24"/>
        </w:rPr>
        <w:t xml:space="preserve"> could potentially result in the release of knowledge, information, products, or technologies that could be directly misapplied and pose a significant threat with broad potential consequences to public health and safety, agricultural crops and other plants, animals, the environment, materi</w:t>
      </w:r>
      <w:r w:rsidR="00D52790">
        <w:rPr>
          <w:color w:val="000000" w:themeColor="text1"/>
          <w:sz w:val="24"/>
          <w:szCs w:val="24"/>
        </w:rPr>
        <w:t>e</w:t>
      </w:r>
      <w:r w:rsidRPr="003C76A2">
        <w:rPr>
          <w:color w:val="000000" w:themeColor="text1"/>
          <w:sz w:val="24"/>
          <w:szCs w:val="24"/>
        </w:rPr>
        <w:t>l, or national security.</w:t>
      </w:r>
    </w:p>
    <w:p w:rsidR="00D37D4E" w:rsidP="00D177C6" w:rsidRDefault="00D37D4E" w14:paraId="27ACC7BF" w14:textId="457F45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92178A" w:rsidP="00D177C6" w:rsidRDefault="0092178A" w14:paraId="003C1BC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b/>
          <w:sz w:val="24"/>
          <w:szCs w:val="24"/>
        </w:rPr>
        <w:lastRenderedPageBreak/>
        <w:t>3(e)</w:t>
      </w:r>
      <w:r>
        <w:rPr>
          <w:sz w:val="24"/>
          <w:szCs w:val="24"/>
        </w:rPr>
        <w:t xml:space="preserve"> </w:t>
      </w:r>
      <w:r>
        <w:rPr>
          <w:b/>
          <w:sz w:val="24"/>
          <w:szCs w:val="24"/>
        </w:rPr>
        <w:t>General Guidelines</w:t>
      </w:r>
    </w:p>
    <w:p w:rsidR="0075144B" w:rsidP="000F4A9F" w:rsidRDefault="0075144B" w14:paraId="54EA5BCF" w14:textId="77777777">
      <w:pPr>
        <w:rPr>
          <w:sz w:val="24"/>
        </w:rPr>
      </w:pPr>
    </w:p>
    <w:p w:rsidRPr="00010697" w:rsidR="00127A20" w:rsidP="00127A20" w:rsidRDefault="00127A20" w14:paraId="1CCF4B24" w14:textId="77777777">
      <w:pPr>
        <w:rPr>
          <w:color w:val="000000" w:themeColor="text1"/>
          <w:sz w:val="24"/>
          <w:szCs w:val="24"/>
        </w:rPr>
      </w:pPr>
      <w:r>
        <w:rPr>
          <w:color w:val="000000" w:themeColor="text1"/>
          <w:sz w:val="24"/>
          <w:szCs w:val="24"/>
        </w:rPr>
        <w:t xml:space="preserve">This collection requires record retention beyond the 3-year limit noted in </w:t>
      </w:r>
      <w:r>
        <w:rPr>
          <w:sz w:val="24"/>
          <w:szCs w:val="24"/>
        </w:rPr>
        <w:t xml:space="preserve">5 </w:t>
      </w:r>
      <w:r w:rsidRPr="00B33FDE">
        <w:rPr>
          <w:sz w:val="24"/>
          <w:szCs w:val="24"/>
        </w:rPr>
        <w:t xml:space="preserve">CFR </w:t>
      </w:r>
      <w:r>
        <w:rPr>
          <w:sz w:val="24"/>
          <w:szCs w:val="24"/>
        </w:rPr>
        <w:t xml:space="preserve">1320.5(d)(2). This requirement is driven by the iDURC Policy itself which stipulates that </w:t>
      </w:r>
      <w:r>
        <w:rPr>
          <w:color w:val="000000" w:themeColor="text1"/>
          <w:sz w:val="24"/>
          <w:szCs w:val="24"/>
        </w:rPr>
        <w:t>records must be saved for</w:t>
      </w:r>
      <w:r w:rsidRPr="00010697">
        <w:rPr>
          <w:color w:val="000000" w:themeColor="text1"/>
          <w:sz w:val="24"/>
          <w:szCs w:val="24"/>
        </w:rPr>
        <w:t xml:space="preserve"> three years after its completion, but no less than eight years, unless a shorter period is required by law or regulation.</w:t>
      </w:r>
      <w:r>
        <w:rPr>
          <w:color w:val="000000" w:themeColor="text1"/>
          <w:sz w:val="24"/>
          <w:szCs w:val="24"/>
        </w:rPr>
        <w:t xml:space="preserve"> No other provisions requiring special justification under </w:t>
      </w:r>
      <w:r>
        <w:rPr>
          <w:sz w:val="24"/>
          <w:szCs w:val="24"/>
        </w:rPr>
        <w:t xml:space="preserve">5 </w:t>
      </w:r>
      <w:r w:rsidRPr="00B33FDE">
        <w:rPr>
          <w:sz w:val="24"/>
          <w:szCs w:val="24"/>
        </w:rPr>
        <w:t xml:space="preserve">CFR </w:t>
      </w:r>
      <w:r>
        <w:rPr>
          <w:sz w:val="24"/>
          <w:szCs w:val="24"/>
        </w:rPr>
        <w:t>1320.5(d)(2) are triggered.</w:t>
      </w:r>
    </w:p>
    <w:p w:rsidR="0092178A" w:rsidP="00463D90" w:rsidRDefault="0092178A" w14:paraId="5F85B448" w14:textId="1927FD18">
      <w:pPr>
        <w:keepNext/>
        <w:rPr>
          <w:sz w:val="24"/>
          <w:szCs w:val="24"/>
        </w:rPr>
      </w:pPr>
    </w:p>
    <w:p w:rsidR="0075144B" w:rsidP="303DD680" w:rsidRDefault="303DD680" w14:paraId="4CBB238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303DD680">
        <w:rPr>
          <w:b/>
          <w:bCs/>
          <w:sz w:val="24"/>
          <w:szCs w:val="24"/>
        </w:rPr>
        <w:t>3(f) Confidentiality</w:t>
      </w:r>
      <w:r w:rsidR="0092178A">
        <w:br/>
      </w:r>
    </w:p>
    <w:p w:rsidRPr="000F4A9F" w:rsidR="00463D90" w:rsidP="303DD680" w:rsidRDefault="303DD680" w14:paraId="3BF5EF76" w14:textId="04BFCA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303DD680">
        <w:rPr>
          <w:sz w:val="24"/>
          <w:szCs w:val="24"/>
        </w:rPr>
        <w:t>This information is required to be withheld from the public pursuant to Section 107(a) of the Ethics in Government Act of 1978. Agency personnel shall not publicly release the information contained therein.</w:t>
      </w:r>
    </w:p>
    <w:p w:rsidR="303DD680" w:rsidP="303DD680" w:rsidRDefault="303DD680" w14:paraId="7F3F07BE" w14:textId="57D18540">
      <w:pPr>
        <w:rPr>
          <w:sz w:val="24"/>
          <w:szCs w:val="24"/>
        </w:rPr>
      </w:pPr>
    </w:p>
    <w:p w:rsidR="303DD680" w:rsidP="303DD680" w:rsidRDefault="303DD680" w14:paraId="5F90F47E" w14:textId="28B12461">
      <w:pPr>
        <w:rPr>
          <w:sz w:val="24"/>
          <w:szCs w:val="24"/>
        </w:rPr>
      </w:pPr>
      <w:r w:rsidRPr="303DD680">
        <w:rPr>
          <w:sz w:val="24"/>
          <w:szCs w:val="24"/>
        </w:rPr>
        <w:t xml:space="preserve">If EPA chooses to collect this information, the designated official </w:t>
      </w:r>
      <w:r w:rsidR="00351D50">
        <w:rPr>
          <w:sz w:val="24"/>
          <w:szCs w:val="24"/>
        </w:rPr>
        <w:t>will</w:t>
      </w:r>
      <w:r w:rsidRPr="303DD680">
        <w:rPr>
          <w:sz w:val="24"/>
          <w:szCs w:val="24"/>
        </w:rPr>
        <w:t xml:space="preserve"> store it on the EPA DURC SharePoint Site</w:t>
      </w:r>
      <w:r w:rsidR="00351D50">
        <w:rPr>
          <w:sz w:val="24"/>
          <w:szCs w:val="24"/>
        </w:rPr>
        <w:t xml:space="preserve">, which is only accessible to those </w:t>
      </w:r>
      <w:r w:rsidR="00121B90">
        <w:rPr>
          <w:sz w:val="24"/>
          <w:szCs w:val="24"/>
        </w:rPr>
        <w:t xml:space="preserve">who </w:t>
      </w:r>
      <w:r w:rsidR="00351D50">
        <w:rPr>
          <w:sz w:val="24"/>
          <w:szCs w:val="24"/>
        </w:rPr>
        <w:t xml:space="preserve">have </w:t>
      </w:r>
      <w:r w:rsidR="00121B90">
        <w:rPr>
          <w:sz w:val="24"/>
          <w:szCs w:val="24"/>
        </w:rPr>
        <w:t xml:space="preserve">the appropriate </w:t>
      </w:r>
      <w:r w:rsidR="00351D50">
        <w:rPr>
          <w:sz w:val="24"/>
          <w:szCs w:val="24"/>
        </w:rPr>
        <w:t>privileges</w:t>
      </w:r>
      <w:r w:rsidRPr="303DD680">
        <w:rPr>
          <w:sz w:val="24"/>
          <w:szCs w:val="24"/>
        </w:rPr>
        <w:t>. EPA does not intend to publish or make public any of the information that may be collected through this information request.</w:t>
      </w:r>
    </w:p>
    <w:p w:rsidR="00E42D33" w:rsidP="00D177C6" w:rsidRDefault="00E42D33" w14:paraId="5301A50E" w14:textId="54C110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E75AFB" w:rsidP="00E75AFB" w:rsidRDefault="0092178A" w14:paraId="5B61B058" w14:textId="3060B7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E42D33">
        <w:rPr>
          <w:b/>
          <w:sz w:val="24"/>
          <w:szCs w:val="24"/>
        </w:rPr>
        <w:t>3(g) Sensitive Questions</w:t>
      </w:r>
    </w:p>
    <w:p w:rsidRPr="00A512A7" w:rsidR="00A512A7" w:rsidP="00E75AFB" w:rsidRDefault="00A512A7" w14:paraId="0965C16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p w:rsidR="00E75AFB" w:rsidP="303DD680" w:rsidRDefault="00460220" w14:paraId="28B1838F" w14:textId="21C150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This information collection does not require sensitive information be disclosed by respondents.</w:t>
      </w:r>
    </w:p>
    <w:p w:rsidR="00D37D4E" w:rsidP="00D37D4E" w:rsidRDefault="00D37D4E" w14:paraId="1546A3AD" w14:textId="77777777"/>
    <w:p w:rsidR="00D177C6" w:rsidP="00D177C6" w:rsidRDefault="00D177C6" w14:paraId="6D32712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6CBC">
        <w:rPr>
          <w:b/>
          <w:sz w:val="24"/>
          <w:szCs w:val="24"/>
        </w:rPr>
        <w:t>4.</w:t>
      </w:r>
      <w:r>
        <w:rPr>
          <w:sz w:val="24"/>
          <w:szCs w:val="24"/>
        </w:rPr>
        <w:t xml:space="preserve"> </w:t>
      </w:r>
      <w:r>
        <w:rPr>
          <w:b/>
          <w:bCs/>
          <w:sz w:val="24"/>
          <w:szCs w:val="24"/>
        </w:rPr>
        <w:t>The Respondents and the Information Requested</w:t>
      </w:r>
    </w:p>
    <w:p w:rsidR="007C6CBC" w:rsidP="00D177C6" w:rsidRDefault="007C6CBC" w14:paraId="432D1C9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D177C6" w:rsidP="00D177C6" w:rsidRDefault="00D177C6" w14:paraId="34AFE60A" w14:textId="04B24E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7C6CBC">
        <w:rPr>
          <w:b/>
          <w:sz w:val="24"/>
          <w:szCs w:val="24"/>
        </w:rPr>
        <w:t>4(a) Respondents/</w:t>
      </w:r>
      <w:r w:rsidR="00CE02A5">
        <w:rPr>
          <w:b/>
          <w:sz w:val="24"/>
          <w:szCs w:val="24"/>
        </w:rPr>
        <w:t>NAICS</w:t>
      </w:r>
      <w:r w:rsidRPr="007C6CBC" w:rsidR="00CE02A5">
        <w:rPr>
          <w:b/>
          <w:sz w:val="24"/>
          <w:szCs w:val="24"/>
        </w:rPr>
        <w:t xml:space="preserve"> </w:t>
      </w:r>
      <w:r w:rsidRPr="007C6CBC">
        <w:rPr>
          <w:b/>
          <w:sz w:val="24"/>
          <w:szCs w:val="24"/>
        </w:rPr>
        <w:t>Codes</w:t>
      </w:r>
    </w:p>
    <w:p w:rsidR="000C73AE" w:rsidP="00D177C6" w:rsidRDefault="000C73AE" w14:paraId="5B18E52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4970790F" w:rsidP="303DD680" w:rsidRDefault="303DD680" w14:paraId="6106C662" w14:textId="14A47645">
      <w:pPr>
        <w:rPr>
          <w:sz w:val="24"/>
          <w:szCs w:val="24"/>
        </w:rPr>
      </w:pPr>
      <w:r w:rsidRPr="303DD680">
        <w:rPr>
          <w:sz w:val="24"/>
          <w:szCs w:val="24"/>
        </w:rPr>
        <w:t xml:space="preserve">The iDURC </w:t>
      </w:r>
      <w:r w:rsidR="00127A20">
        <w:rPr>
          <w:sz w:val="24"/>
          <w:szCs w:val="24"/>
        </w:rPr>
        <w:t>Policy</w:t>
      </w:r>
      <w:r w:rsidRPr="303DD680">
        <w:rPr>
          <w:sz w:val="24"/>
          <w:szCs w:val="24"/>
        </w:rPr>
        <w:t xml:space="preserve"> states that institutions subject to the </w:t>
      </w:r>
      <w:r w:rsidR="00127A20">
        <w:rPr>
          <w:sz w:val="24"/>
          <w:szCs w:val="24"/>
        </w:rPr>
        <w:t>Policy</w:t>
      </w:r>
      <w:r w:rsidRPr="303DD680">
        <w:rPr>
          <w:sz w:val="24"/>
          <w:szCs w:val="24"/>
        </w:rPr>
        <w:t xml:space="preserve"> are those within the United States that both receive funding from the U.S. Government to conduct or sponsor life sciences research and conduct or sponsor research that involves one or more of the 15 agents or toxins identified in the iDURC </w:t>
      </w:r>
      <w:r w:rsidR="00127A20">
        <w:rPr>
          <w:sz w:val="24"/>
          <w:szCs w:val="24"/>
        </w:rPr>
        <w:t>Policy</w:t>
      </w:r>
      <w:r w:rsidRPr="303DD680">
        <w:rPr>
          <w:sz w:val="24"/>
          <w:szCs w:val="24"/>
        </w:rPr>
        <w:t xml:space="preserve">, even if the research is not supported by U.S. Government funding. Institutions outside of the United States that receive U.S. Government funding to conduct or sponsor research that involves one or more of the 15 agents or toxins identified in the iDURC </w:t>
      </w:r>
      <w:r w:rsidR="00127A20">
        <w:rPr>
          <w:sz w:val="24"/>
          <w:szCs w:val="24"/>
        </w:rPr>
        <w:t>Policy</w:t>
      </w:r>
      <w:r w:rsidRPr="303DD680">
        <w:rPr>
          <w:sz w:val="24"/>
          <w:szCs w:val="24"/>
        </w:rPr>
        <w:t xml:space="preserve"> are also subject to the </w:t>
      </w:r>
      <w:r w:rsidR="00127A20">
        <w:rPr>
          <w:sz w:val="24"/>
          <w:szCs w:val="24"/>
        </w:rPr>
        <w:t>Policy</w:t>
      </w:r>
      <w:r w:rsidRPr="303DD680">
        <w:rPr>
          <w:sz w:val="24"/>
          <w:szCs w:val="24"/>
        </w:rPr>
        <w:t xml:space="preserve">. Institutions that do not receive U.S. Government funding for life sciences research, but conduct life sciences research that has potential to generate knowledge, information, products, or technologies that could be used in a manner that results in harm, are not subject to oversight as articulated in the </w:t>
      </w:r>
      <w:r w:rsidR="00127A20">
        <w:rPr>
          <w:sz w:val="24"/>
          <w:szCs w:val="24"/>
        </w:rPr>
        <w:t>Policy</w:t>
      </w:r>
      <w:r w:rsidRPr="303DD680">
        <w:rPr>
          <w:sz w:val="24"/>
          <w:szCs w:val="24"/>
        </w:rPr>
        <w:t xml:space="preserve">; however, they are strongly encouraged to implement internal oversight procedures consistent with the culture of shared responsibility and notify the National Institutes of Health (NIH) of any research that is determined to be DURC. NIH will refer the notification to the appropriate agency based upon the nature of the research. </w:t>
      </w:r>
      <w:r w:rsidRPr="4970790F" w:rsidR="4970790F">
        <w:rPr>
          <w:sz w:val="24"/>
          <w:szCs w:val="24"/>
        </w:rPr>
        <w:t xml:space="preserve">The North American Industry Classification System (NAICS) code for </w:t>
      </w:r>
      <w:r w:rsidR="0038031A">
        <w:rPr>
          <w:sz w:val="24"/>
          <w:szCs w:val="24"/>
        </w:rPr>
        <w:t>Research and Development in the Physical, Engineering and Life Sciences is code 54171.</w:t>
      </w:r>
    </w:p>
    <w:p w:rsidR="4970790F" w:rsidRDefault="4970790F" w14:paraId="524B1E4D" w14:textId="5E7F89A3"/>
    <w:p w:rsidRPr="000F4A9F" w:rsidR="007C6CBC" w:rsidP="000F4A9F" w:rsidRDefault="007C6CBC" w14:paraId="7506CD44" w14:textId="07C2339A"/>
    <w:p w:rsidR="007C6CBC" w:rsidP="00D177C6" w:rsidRDefault="00D177C6" w14:paraId="3AF0E31F" w14:textId="6D5A24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7C6CBC">
        <w:rPr>
          <w:b/>
          <w:sz w:val="24"/>
          <w:szCs w:val="24"/>
        </w:rPr>
        <w:t>4(b) Information Requested</w:t>
      </w:r>
    </w:p>
    <w:p w:rsidRPr="00D37D4E" w:rsidR="000210E5" w:rsidP="00D177C6" w:rsidRDefault="000210E5" w14:paraId="1EF6AD5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p w:rsidRPr="003C76A2" w:rsidR="00D37D4E" w:rsidP="00F9736F" w:rsidRDefault="000210E5" w14:paraId="1BD053C2" w14:textId="3161A354">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r w:rsidRPr="4970790F">
        <w:rPr>
          <w:b/>
          <w:bCs/>
          <w:sz w:val="24"/>
          <w:szCs w:val="24"/>
        </w:rPr>
        <w:t xml:space="preserve">(i) </w:t>
      </w:r>
      <w:r w:rsidRPr="303DD680" w:rsidR="303DD680">
        <w:rPr>
          <w:b/>
          <w:bCs/>
          <w:sz w:val="24"/>
          <w:szCs w:val="24"/>
        </w:rPr>
        <w:t>Data items, including record keeping requirements</w:t>
      </w:r>
    </w:p>
    <w:p w:rsidR="00D23737" w:rsidP="00D23737" w:rsidRDefault="00D23737" w14:paraId="38666897" w14:textId="1148F3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p w:rsidR="00D23737" w:rsidP="303DD680" w:rsidRDefault="303DD680" w14:paraId="18B5F727" w14:textId="4DA735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4"/>
          <w:szCs w:val="24"/>
        </w:rPr>
      </w:pPr>
      <w:r w:rsidRPr="001E488A">
        <w:rPr>
          <w:color w:val="000000" w:themeColor="text1"/>
          <w:sz w:val="24"/>
          <w:szCs w:val="24"/>
        </w:rPr>
        <w:t xml:space="preserve">Per iDURC </w:t>
      </w:r>
      <w:r w:rsidR="00127A20">
        <w:rPr>
          <w:color w:val="000000" w:themeColor="text1"/>
          <w:sz w:val="24"/>
          <w:szCs w:val="24"/>
        </w:rPr>
        <w:t>Policy</w:t>
      </w:r>
      <w:r w:rsidRPr="001E488A">
        <w:rPr>
          <w:color w:val="000000" w:themeColor="text1"/>
          <w:sz w:val="24"/>
          <w:szCs w:val="24"/>
        </w:rPr>
        <w:t>, t</w:t>
      </w:r>
      <w:r w:rsidRPr="001E488A" w:rsidR="00D23737">
        <w:rPr>
          <w:color w:val="000000" w:themeColor="text1"/>
          <w:sz w:val="24"/>
          <w:szCs w:val="24"/>
        </w:rPr>
        <w:t>he</w:t>
      </w:r>
      <w:r w:rsidR="00D23737">
        <w:rPr>
          <w:color w:val="000000" w:themeColor="text1"/>
          <w:sz w:val="24"/>
          <w:szCs w:val="24"/>
        </w:rPr>
        <w:t xml:space="preserve"> research</w:t>
      </w:r>
      <w:r w:rsidRPr="001E488A" w:rsidR="00D23737">
        <w:rPr>
          <w:color w:val="000000" w:themeColor="text1"/>
          <w:sz w:val="24"/>
          <w:szCs w:val="24"/>
        </w:rPr>
        <w:t xml:space="preserve"> institution is required to store </w:t>
      </w:r>
      <w:r w:rsidR="00D23737">
        <w:rPr>
          <w:color w:val="000000" w:themeColor="text1"/>
          <w:sz w:val="24"/>
          <w:szCs w:val="24"/>
        </w:rPr>
        <w:t>training</w:t>
      </w:r>
      <w:r w:rsidRPr="001E488A" w:rsidR="00D23737">
        <w:rPr>
          <w:color w:val="000000" w:themeColor="text1"/>
          <w:sz w:val="24"/>
          <w:szCs w:val="24"/>
        </w:rPr>
        <w:t xml:space="preserve"> records for the term of the research grant or contract</w:t>
      </w:r>
      <w:r w:rsidR="00570113">
        <w:rPr>
          <w:color w:val="000000" w:themeColor="text1"/>
          <w:sz w:val="24"/>
          <w:szCs w:val="24"/>
        </w:rPr>
        <w:t>,</w:t>
      </w:r>
      <w:r w:rsidRPr="001E488A" w:rsidR="00D23737">
        <w:rPr>
          <w:color w:val="000000" w:themeColor="text1"/>
          <w:sz w:val="24"/>
          <w:szCs w:val="24"/>
        </w:rPr>
        <w:t xml:space="preserve"> plus three years after its completion, but no less than eight years, unless a shorter period is required by law or regulation. </w:t>
      </w:r>
      <w:r w:rsidR="00D23737">
        <w:rPr>
          <w:color w:val="000000" w:themeColor="text1"/>
          <w:sz w:val="24"/>
          <w:szCs w:val="24"/>
        </w:rPr>
        <w:t xml:space="preserve">EPA may contact the </w:t>
      </w:r>
      <w:r w:rsidRPr="001E488A" w:rsidR="00D23737">
        <w:rPr>
          <w:color w:val="000000" w:themeColor="text1"/>
          <w:sz w:val="24"/>
          <w:szCs w:val="24"/>
        </w:rPr>
        <w:t xml:space="preserve">institution </w:t>
      </w:r>
      <w:r w:rsidRPr="001E488A">
        <w:rPr>
          <w:color w:val="000000" w:themeColor="text1"/>
          <w:sz w:val="24"/>
          <w:szCs w:val="24"/>
        </w:rPr>
        <w:t xml:space="preserve">via email requesting </w:t>
      </w:r>
      <w:r w:rsidR="00D23737">
        <w:rPr>
          <w:color w:val="000000" w:themeColor="text1"/>
          <w:sz w:val="24"/>
          <w:szCs w:val="24"/>
        </w:rPr>
        <w:t xml:space="preserve">these records to </w:t>
      </w:r>
      <w:r w:rsidRPr="001E488A" w:rsidR="00D23737">
        <w:rPr>
          <w:color w:val="000000" w:themeColor="text1"/>
          <w:sz w:val="24"/>
          <w:szCs w:val="24"/>
        </w:rPr>
        <w:t xml:space="preserve">ensure </w:t>
      </w:r>
      <w:r w:rsidR="000210E5">
        <w:rPr>
          <w:color w:val="000000" w:themeColor="text1"/>
          <w:sz w:val="24"/>
          <w:szCs w:val="24"/>
        </w:rPr>
        <w:t>policy</w:t>
      </w:r>
      <w:r w:rsidR="00D23737">
        <w:rPr>
          <w:color w:val="000000" w:themeColor="text1"/>
          <w:sz w:val="24"/>
          <w:szCs w:val="24"/>
        </w:rPr>
        <w:t xml:space="preserve"> </w:t>
      </w:r>
      <w:r w:rsidRPr="001E488A" w:rsidR="00D23737">
        <w:rPr>
          <w:color w:val="000000" w:themeColor="text1"/>
          <w:sz w:val="24"/>
          <w:szCs w:val="24"/>
        </w:rPr>
        <w:t>compliance.</w:t>
      </w:r>
      <w:r w:rsidR="00D720F1">
        <w:rPr>
          <w:color w:val="000000" w:themeColor="text1"/>
          <w:sz w:val="24"/>
          <w:szCs w:val="24"/>
        </w:rPr>
        <w:t xml:space="preserve"> Additional information is found in section 5(b).</w:t>
      </w:r>
    </w:p>
    <w:p w:rsidRPr="007C6CBC" w:rsidR="007C6CBC" w:rsidP="00D177C6" w:rsidRDefault="007C6CBC" w14:paraId="0C4FE0E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D177C6" w:rsidP="00D177C6" w:rsidRDefault="000210E5" w14:paraId="6F747328" w14:textId="51FB31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r>
        <w:rPr>
          <w:b/>
          <w:bCs/>
          <w:sz w:val="24"/>
          <w:szCs w:val="24"/>
        </w:rPr>
        <w:tab/>
      </w:r>
      <w:r w:rsidRPr="4970790F" w:rsidR="4970790F">
        <w:rPr>
          <w:b/>
          <w:bCs/>
          <w:sz w:val="24"/>
          <w:szCs w:val="24"/>
        </w:rPr>
        <w:t>(ii) Respondent Activities</w:t>
      </w:r>
    </w:p>
    <w:p w:rsidR="00D23737" w:rsidP="00D177C6" w:rsidRDefault="00D23737" w14:paraId="42D5E99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FF0000"/>
          <w:sz w:val="24"/>
          <w:szCs w:val="24"/>
        </w:rPr>
      </w:pPr>
    </w:p>
    <w:p w:rsidR="004145A4" w:rsidP="303DD680" w:rsidRDefault="303DD680" w14:paraId="6DBE3168" w14:textId="641157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4"/>
          <w:szCs w:val="24"/>
        </w:rPr>
      </w:pPr>
      <w:r w:rsidRPr="303DD680">
        <w:rPr>
          <w:color w:val="000000" w:themeColor="text1"/>
          <w:sz w:val="24"/>
          <w:szCs w:val="24"/>
        </w:rPr>
        <w:t xml:space="preserve">The U.S. Government developed a compendium of tools to assist investigators and research institutions in the implementation of DURC oversight, including training and education on DURC. Institutions may wish to address dual use topics in existing courses on research ethics or the responsible conduct of research. Per iDURC </w:t>
      </w:r>
      <w:r w:rsidR="00127A20">
        <w:rPr>
          <w:color w:val="000000" w:themeColor="text1"/>
          <w:sz w:val="24"/>
          <w:szCs w:val="24"/>
        </w:rPr>
        <w:t>Policy</w:t>
      </w:r>
      <w:r w:rsidRPr="303DD680">
        <w:rPr>
          <w:color w:val="000000" w:themeColor="text1"/>
          <w:sz w:val="24"/>
          <w:szCs w:val="24"/>
        </w:rPr>
        <w:t xml:space="preserve">, institutions may require additional record keeping and should designate an individual responsible for maintaining documentation. Institutions should ensure that all individuals involved in research subject to iDURC </w:t>
      </w:r>
      <w:r w:rsidR="00127A20">
        <w:rPr>
          <w:color w:val="000000" w:themeColor="text1"/>
          <w:sz w:val="24"/>
          <w:szCs w:val="24"/>
        </w:rPr>
        <w:t>Policy</w:t>
      </w:r>
      <w:r w:rsidRPr="303DD680">
        <w:rPr>
          <w:color w:val="000000" w:themeColor="text1"/>
          <w:sz w:val="24"/>
          <w:szCs w:val="24"/>
        </w:rPr>
        <w:t xml:space="preserve"> have completed this training and provided records of such training to the institution. </w:t>
      </w:r>
    </w:p>
    <w:p w:rsidRPr="00D23737" w:rsidR="00D23737" w:rsidP="00D177C6" w:rsidRDefault="00D23737" w14:paraId="1749F9D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4"/>
          <w:szCs w:val="24"/>
        </w:rPr>
      </w:pPr>
    </w:p>
    <w:p w:rsidR="00D177C6" w:rsidP="00D177C6" w:rsidRDefault="00D177C6" w14:paraId="59D1C20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0C73AE">
        <w:rPr>
          <w:b/>
          <w:sz w:val="24"/>
          <w:szCs w:val="24"/>
        </w:rPr>
        <w:t>5.</w:t>
      </w:r>
      <w:r>
        <w:rPr>
          <w:sz w:val="24"/>
          <w:szCs w:val="24"/>
        </w:rPr>
        <w:t xml:space="preserve"> </w:t>
      </w:r>
      <w:bookmarkStart w:name="_Hlk528679091" w:id="1"/>
      <w:r>
        <w:rPr>
          <w:b/>
          <w:bCs/>
          <w:sz w:val="24"/>
          <w:szCs w:val="24"/>
        </w:rPr>
        <w:t>The Information Collected–Agency Activities, Collection Methodology, and Information Management</w:t>
      </w:r>
      <w:bookmarkEnd w:id="1"/>
    </w:p>
    <w:p w:rsidR="000C73AE" w:rsidP="00D177C6" w:rsidRDefault="000C73AE" w14:paraId="5F0DFBC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D23737" w:rsidRDefault="00D177C6" w14:paraId="57187DA0" w14:textId="1FD35D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0C73AE">
        <w:rPr>
          <w:b/>
          <w:sz w:val="24"/>
          <w:szCs w:val="24"/>
        </w:rPr>
        <w:t>5(a) Agency Activities</w:t>
      </w:r>
    </w:p>
    <w:p w:rsidRPr="003C76A2" w:rsidR="00D23737" w:rsidP="003C76A2" w:rsidRDefault="00D23737" w14:paraId="7746F2F0" w14:textId="2C00C70A">
      <w:pPr>
        <w:spacing w:line="259" w:lineRule="auto"/>
        <w:rPr>
          <w:color w:val="000000" w:themeColor="text1"/>
          <w:sz w:val="24"/>
          <w:szCs w:val="24"/>
        </w:rPr>
      </w:pPr>
      <w:r w:rsidRPr="003C76A2">
        <w:rPr>
          <w:color w:val="000000" w:themeColor="text1"/>
          <w:sz w:val="24"/>
          <w:szCs w:val="24"/>
        </w:rPr>
        <w:t xml:space="preserve">To comply with the iDURC </w:t>
      </w:r>
      <w:r w:rsidR="00127A20">
        <w:rPr>
          <w:color w:val="000000" w:themeColor="text1"/>
          <w:sz w:val="24"/>
          <w:szCs w:val="24"/>
        </w:rPr>
        <w:t>Policy</w:t>
      </w:r>
      <w:r w:rsidRPr="003C76A2">
        <w:rPr>
          <w:color w:val="000000" w:themeColor="text1"/>
          <w:sz w:val="24"/>
          <w:szCs w:val="24"/>
        </w:rPr>
        <w:t xml:space="preserve">, the </w:t>
      </w:r>
      <w:r w:rsidR="00F87637">
        <w:rPr>
          <w:color w:val="000000" w:themeColor="text1"/>
          <w:sz w:val="24"/>
          <w:szCs w:val="24"/>
        </w:rPr>
        <w:t>EPA</w:t>
      </w:r>
      <w:r w:rsidRPr="003C76A2">
        <w:rPr>
          <w:color w:val="000000" w:themeColor="text1"/>
          <w:sz w:val="24"/>
          <w:szCs w:val="24"/>
        </w:rPr>
        <w:t xml:space="preserve"> may </w:t>
      </w:r>
      <w:r w:rsidR="00F87637">
        <w:rPr>
          <w:color w:val="000000" w:themeColor="text1"/>
          <w:sz w:val="24"/>
          <w:szCs w:val="24"/>
        </w:rPr>
        <w:t>have to</w:t>
      </w:r>
      <w:r w:rsidRPr="003C76A2">
        <w:rPr>
          <w:color w:val="000000" w:themeColor="text1"/>
          <w:sz w:val="24"/>
          <w:szCs w:val="24"/>
        </w:rPr>
        <w:t xml:space="preserve"> analyz</w:t>
      </w:r>
      <w:r w:rsidR="00F87637">
        <w:rPr>
          <w:color w:val="000000" w:themeColor="text1"/>
          <w:sz w:val="24"/>
          <w:szCs w:val="24"/>
        </w:rPr>
        <w:t>e</w:t>
      </w:r>
      <w:r w:rsidRPr="003C76A2">
        <w:rPr>
          <w:color w:val="000000" w:themeColor="text1"/>
          <w:sz w:val="24"/>
          <w:szCs w:val="24"/>
        </w:rPr>
        <w:t>, evaluat</w:t>
      </w:r>
      <w:r w:rsidR="00F87637">
        <w:rPr>
          <w:color w:val="000000" w:themeColor="text1"/>
          <w:sz w:val="24"/>
          <w:szCs w:val="24"/>
        </w:rPr>
        <w:t>e</w:t>
      </w:r>
      <w:r w:rsidRPr="003C76A2">
        <w:rPr>
          <w:color w:val="000000" w:themeColor="text1"/>
          <w:sz w:val="24"/>
          <w:szCs w:val="24"/>
        </w:rPr>
        <w:t>, summariz</w:t>
      </w:r>
      <w:r w:rsidR="00F87637">
        <w:rPr>
          <w:color w:val="000000" w:themeColor="text1"/>
          <w:sz w:val="24"/>
          <w:szCs w:val="24"/>
        </w:rPr>
        <w:t>e</w:t>
      </w:r>
      <w:r w:rsidRPr="003C76A2">
        <w:rPr>
          <w:color w:val="000000" w:themeColor="text1"/>
          <w:sz w:val="24"/>
          <w:szCs w:val="24"/>
        </w:rPr>
        <w:t xml:space="preserve">, and/or report on the training records from institutions subject to the iDURC </w:t>
      </w:r>
      <w:r w:rsidR="00127A20">
        <w:rPr>
          <w:color w:val="000000" w:themeColor="text1"/>
          <w:sz w:val="24"/>
          <w:szCs w:val="24"/>
        </w:rPr>
        <w:t>Policy</w:t>
      </w:r>
      <w:r w:rsidRPr="003C76A2">
        <w:rPr>
          <w:color w:val="000000" w:themeColor="text1"/>
          <w:sz w:val="24"/>
          <w:szCs w:val="24"/>
        </w:rPr>
        <w:t>.</w:t>
      </w:r>
    </w:p>
    <w:p w:rsidR="00D23737" w:rsidP="00D177C6" w:rsidRDefault="00D23737" w14:paraId="2B04EEB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D177C6" w:rsidP="00D177C6" w:rsidRDefault="00D177C6" w14:paraId="12F1CC9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0F4A9F">
        <w:rPr>
          <w:b/>
          <w:sz w:val="24"/>
          <w:szCs w:val="24"/>
        </w:rPr>
        <w:t>5(b) Collection Methodology and Management</w:t>
      </w:r>
    </w:p>
    <w:p w:rsidR="00881E06" w:rsidP="00D177C6" w:rsidRDefault="00881E06" w14:paraId="6143074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3C76A2" w:rsidR="00D720F1" w:rsidP="00D720F1" w:rsidRDefault="00D720F1" w14:paraId="14177197" w14:textId="047F391F">
      <w:pPr>
        <w:rPr>
          <w:color w:val="000000" w:themeColor="text1"/>
          <w:sz w:val="24"/>
          <w:szCs w:val="24"/>
        </w:rPr>
      </w:pPr>
      <w:r w:rsidRPr="003C76A2">
        <w:rPr>
          <w:color w:val="000000" w:themeColor="text1"/>
          <w:sz w:val="24"/>
          <w:szCs w:val="24"/>
        </w:rPr>
        <w:t xml:space="preserve">Information collected from institutions subject to the iDURC </w:t>
      </w:r>
      <w:r w:rsidR="00127A20">
        <w:rPr>
          <w:color w:val="000000" w:themeColor="text1"/>
          <w:sz w:val="24"/>
          <w:szCs w:val="24"/>
        </w:rPr>
        <w:t>Policy</w:t>
      </w:r>
      <w:r w:rsidRPr="003C76A2">
        <w:rPr>
          <w:color w:val="000000" w:themeColor="text1"/>
          <w:sz w:val="24"/>
          <w:szCs w:val="24"/>
        </w:rPr>
        <w:t xml:space="preserve"> must be useful, accurate, reliable, and retrievable. Institutions must comply with the practices and procedures outlined in the </w:t>
      </w:r>
      <w:r w:rsidR="00127A20">
        <w:rPr>
          <w:color w:val="000000" w:themeColor="text1"/>
          <w:sz w:val="24"/>
          <w:szCs w:val="24"/>
        </w:rPr>
        <w:t>Policy</w:t>
      </w:r>
      <w:r w:rsidRPr="003C76A2">
        <w:rPr>
          <w:color w:val="000000" w:themeColor="text1"/>
          <w:sz w:val="24"/>
          <w:szCs w:val="24"/>
        </w:rPr>
        <w:t xml:space="preserve">, which includes ensuring data quality. Non-compliance with the iDURC </w:t>
      </w:r>
      <w:r w:rsidR="00127A20">
        <w:rPr>
          <w:color w:val="000000" w:themeColor="text1"/>
          <w:sz w:val="24"/>
          <w:szCs w:val="24"/>
        </w:rPr>
        <w:t>Policy</w:t>
      </w:r>
      <w:r w:rsidRPr="003C76A2">
        <w:rPr>
          <w:color w:val="000000" w:themeColor="text1"/>
          <w:sz w:val="24"/>
          <w:szCs w:val="24"/>
        </w:rPr>
        <w:t xml:space="preserve"> may result in suspension, limitation or termination of U.S. Government funding, or loss of future U.S. Government funding opportunities for the non-compliant U.S. Government-funded research project and of U.S. Government funds for other life sciences research at the institution. </w:t>
      </w:r>
    </w:p>
    <w:p w:rsidRPr="003C76A2" w:rsidR="00D720F1" w:rsidP="00D720F1" w:rsidRDefault="00D720F1" w14:paraId="1C04AB7B" w14:textId="77777777">
      <w:pPr>
        <w:rPr>
          <w:color w:val="000000" w:themeColor="text1"/>
          <w:sz w:val="24"/>
          <w:szCs w:val="24"/>
        </w:rPr>
      </w:pPr>
    </w:p>
    <w:p w:rsidRPr="003C76A2" w:rsidR="00D720F1" w:rsidP="303DD680" w:rsidRDefault="7E7FEDF5" w14:paraId="2F28BB4D" w14:textId="214B39C9">
      <w:pPr>
        <w:rPr>
          <w:color w:val="000000" w:themeColor="text1"/>
          <w:sz w:val="24"/>
          <w:szCs w:val="24"/>
        </w:rPr>
      </w:pPr>
      <w:r w:rsidRPr="7E7FEDF5">
        <w:rPr>
          <w:color w:val="000000" w:themeColor="text1"/>
          <w:sz w:val="24"/>
          <w:szCs w:val="24"/>
        </w:rPr>
        <w:t>If necessary, the designated official from EPA may collect the information via email and</w:t>
      </w:r>
      <w:r w:rsidRPr="7E7FEDF5" w:rsidR="303DD680">
        <w:rPr>
          <w:color w:val="000000" w:themeColor="text1"/>
          <w:sz w:val="24"/>
          <w:szCs w:val="24"/>
        </w:rPr>
        <w:t xml:space="preserve"> </w:t>
      </w:r>
      <w:r w:rsidRPr="003C76A2" w:rsidR="303DD680">
        <w:rPr>
          <w:color w:val="000000" w:themeColor="text1"/>
          <w:sz w:val="24"/>
          <w:szCs w:val="24"/>
        </w:rPr>
        <w:t xml:space="preserve">store it on the </w:t>
      </w:r>
      <w:r w:rsidRPr="003C76A2" w:rsidR="00D720F1">
        <w:rPr>
          <w:color w:val="000000" w:themeColor="text1"/>
          <w:sz w:val="24"/>
          <w:szCs w:val="24"/>
        </w:rPr>
        <w:t>DURC SharePoint Site</w:t>
      </w:r>
      <w:r w:rsidR="00C629D6">
        <w:rPr>
          <w:color w:val="000000" w:themeColor="text1"/>
          <w:sz w:val="24"/>
          <w:szCs w:val="24"/>
        </w:rPr>
        <w:t>.</w:t>
      </w:r>
      <w:r w:rsidRPr="003C76A2" w:rsidR="00D720F1">
        <w:rPr>
          <w:color w:val="000000" w:themeColor="text1"/>
          <w:sz w:val="24"/>
          <w:szCs w:val="24"/>
        </w:rPr>
        <w:t xml:space="preserve"> </w:t>
      </w:r>
      <w:r w:rsidRPr="003C76A2">
        <w:rPr>
          <w:color w:val="000000" w:themeColor="text1"/>
          <w:sz w:val="24"/>
          <w:szCs w:val="24"/>
        </w:rPr>
        <w:t xml:space="preserve">The </w:t>
      </w:r>
      <w:r w:rsidRPr="003C76A2" w:rsidR="00D720F1">
        <w:rPr>
          <w:color w:val="000000" w:themeColor="text1"/>
          <w:sz w:val="24"/>
          <w:szCs w:val="24"/>
        </w:rPr>
        <w:t>E</w:t>
      </w:r>
      <w:r w:rsidRPr="003C76A2">
        <w:rPr>
          <w:color w:val="000000" w:themeColor="text1"/>
          <w:sz w:val="24"/>
          <w:szCs w:val="24"/>
        </w:rPr>
        <w:t>PA DURC SharePoint Site is listed as</w:t>
      </w:r>
      <w:r w:rsidR="00213041">
        <w:rPr>
          <w:color w:val="000000" w:themeColor="text1"/>
          <w:sz w:val="24"/>
          <w:szCs w:val="24"/>
        </w:rPr>
        <w:t xml:space="preserve"> For Official Use Only,</w:t>
      </w:r>
      <w:r w:rsidRPr="003C76A2">
        <w:rPr>
          <w:color w:val="000000" w:themeColor="text1"/>
          <w:sz w:val="24"/>
          <w:szCs w:val="24"/>
        </w:rPr>
        <w:t xml:space="preserve"> and access to the site is managed by EPA’s Office of Homeland Security. E</w:t>
      </w:r>
      <w:r w:rsidRPr="003C76A2" w:rsidR="00D720F1">
        <w:rPr>
          <w:color w:val="000000" w:themeColor="text1"/>
          <w:sz w:val="24"/>
          <w:szCs w:val="24"/>
        </w:rPr>
        <w:t>PA does not intend to publish or make public any of the information that may be collected through this information request.</w:t>
      </w:r>
    </w:p>
    <w:p w:rsidR="000C73AE" w:rsidP="00D177C6" w:rsidRDefault="000C73AE" w14:paraId="1BE3679F" w14:textId="0CCA1C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0C73AE" w:rsidR="00D177C6" w:rsidP="00D177C6" w:rsidRDefault="00D177C6" w14:paraId="7E0B002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0C73AE">
        <w:rPr>
          <w:b/>
          <w:sz w:val="24"/>
          <w:szCs w:val="24"/>
        </w:rPr>
        <w:t>5(c) Small Entity Flexibility</w:t>
      </w:r>
    </w:p>
    <w:p w:rsidR="000C73AE" w:rsidP="00D177C6" w:rsidRDefault="000C73AE" w14:paraId="071287C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0C73AE" w:rsidP="303DD680" w:rsidRDefault="303DD680" w14:paraId="6CEFB76E" w14:textId="1FBEFA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303DD680">
        <w:rPr>
          <w:sz w:val="24"/>
          <w:szCs w:val="24"/>
        </w:rPr>
        <w:t xml:space="preserve">This collection of information is not reasonably expected to impact small businesses or other small entities. For research institutions in low-resource environments outside of the U.S. that </w:t>
      </w:r>
      <w:r w:rsidRPr="303DD680">
        <w:rPr>
          <w:sz w:val="24"/>
          <w:szCs w:val="24"/>
        </w:rPr>
        <w:lastRenderedPageBreak/>
        <w:t xml:space="preserve">receive U.S. Government funds, EPA may consider serving as the implementing Institutional Review Entity, as the funding Agency, thereby providing the necessary oversight and compliance with the iDURC </w:t>
      </w:r>
      <w:r w:rsidR="00127A20">
        <w:rPr>
          <w:sz w:val="24"/>
          <w:szCs w:val="24"/>
        </w:rPr>
        <w:t>Policy</w:t>
      </w:r>
      <w:r w:rsidRPr="303DD680">
        <w:rPr>
          <w:sz w:val="24"/>
          <w:szCs w:val="24"/>
        </w:rPr>
        <w:t xml:space="preserve">. </w:t>
      </w:r>
    </w:p>
    <w:p w:rsidR="000C73AE" w:rsidP="00D177C6" w:rsidRDefault="000C73AE" w14:paraId="435CE48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D177C6" w:rsidP="00D177C6" w:rsidRDefault="00D177C6" w14:paraId="5DB71848" w14:textId="4D799E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0C73AE">
        <w:rPr>
          <w:b/>
          <w:sz w:val="24"/>
          <w:szCs w:val="24"/>
        </w:rPr>
        <w:t>5(d) Collection Schedule</w:t>
      </w:r>
    </w:p>
    <w:p w:rsidR="00D720F1" w:rsidP="00D177C6" w:rsidRDefault="00D720F1" w14:paraId="0D394E0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FF0000"/>
          <w:sz w:val="24"/>
          <w:szCs w:val="24"/>
        </w:rPr>
      </w:pPr>
    </w:p>
    <w:p w:rsidRPr="003C76A2" w:rsidR="00D720F1" w:rsidP="303DD680" w:rsidRDefault="00D720F1" w14:paraId="4DB1E018" w14:textId="31A46F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themeColor="text1"/>
          <w:sz w:val="24"/>
          <w:szCs w:val="24"/>
        </w:rPr>
      </w:pPr>
      <w:r w:rsidRPr="003C76A2">
        <w:rPr>
          <w:color w:val="000000" w:themeColor="text1"/>
          <w:sz w:val="24"/>
          <w:szCs w:val="24"/>
        </w:rPr>
        <w:t xml:space="preserve">Institutions subject to the iDURC </w:t>
      </w:r>
      <w:r w:rsidR="00127A20">
        <w:rPr>
          <w:color w:val="000000" w:themeColor="text1"/>
          <w:sz w:val="24"/>
          <w:szCs w:val="24"/>
        </w:rPr>
        <w:t>Policy</w:t>
      </w:r>
      <w:r w:rsidRPr="003C76A2">
        <w:rPr>
          <w:color w:val="000000" w:themeColor="text1"/>
          <w:sz w:val="24"/>
          <w:szCs w:val="24"/>
        </w:rPr>
        <w:t xml:space="preserve"> should certify that they will comply with the </w:t>
      </w:r>
      <w:r w:rsidR="00127A20">
        <w:rPr>
          <w:color w:val="000000" w:themeColor="text1"/>
          <w:sz w:val="24"/>
          <w:szCs w:val="24"/>
        </w:rPr>
        <w:t>Policy</w:t>
      </w:r>
      <w:r w:rsidRPr="003C76A2">
        <w:rPr>
          <w:color w:val="000000" w:themeColor="text1"/>
          <w:sz w:val="24"/>
          <w:szCs w:val="24"/>
        </w:rPr>
        <w:t xml:space="preserve"> at the time of seeking or receiving EPA funding. These institutions must notify the U.S Government funding agency within 30 calendar days of any research that involves one or more of the 15 agents and one or more of the 7 experiments, including whether it meets or does not meet the definition of DURC. Principal Investigators must ensure that laboratory personnel (i.e. those under the supervision of laboratory leadership, including graduate students, postdoctoral fellows, research technicians, laboratory staff, and visiting scientists) conducting life sciences research with one or more of the 15 agents or toxins identified in the iDURC </w:t>
      </w:r>
      <w:r w:rsidR="00127A20">
        <w:rPr>
          <w:color w:val="000000" w:themeColor="text1"/>
          <w:sz w:val="24"/>
          <w:szCs w:val="24"/>
        </w:rPr>
        <w:t>Policy</w:t>
      </w:r>
      <w:r w:rsidRPr="003C76A2">
        <w:rPr>
          <w:color w:val="000000" w:themeColor="text1"/>
          <w:sz w:val="24"/>
          <w:szCs w:val="24"/>
        </w:rPr>
        <w:t xml:space="preserve"> have received education and training on DURC. These training records must be maintained by the institution for the term of the research grant or contract</w:t>
      </w:r>
      <w:r w:rsidR="00F87637">
        <w:rPr>
          <w:color w:val="000000" w:themeColor="text1"/>
          <w:sz w:val="24"/>
          <w:szCs w:val="24"/>
        </w:rPr>
        <w:t>,</w:t>
      </w:r>
      <w:r w:rsidRPr="003C76A2">
        <w:rPr>
          <w:color w:val="000000" w:themeColor="text1"/>
          <w:sz w:val="24"/>
          <w:szCs w:val="24"/>
        </w:rPr>
        <w:t xml:space="preserve"> plus three years after its completion, but no less than eight years, unless a shorter period is required by law or regulation. EPA may choose to collect these records to ensure compliance with the </w:t>
      </w:r>
      <w:r w:rsidR="00127A20">
        <w:rPr>
          <w:color w:val="000000" w:themeColor="text1"/>
          <w:sz w:val="24"/>
          <w:szCs w:val="24"/>
        </w:rPr>
        <w:t>Policy</w:t>
      </w:r>
      <w:r w:rsidRPr="003C76A2">
        <w:rPr>
          <w:color w:val="000000" w:themeColor="text1"/>
          <w:sz w:val="24"/>
          <w:szCs w:val="24"/>
        </w:rPr>
        <w:t xml:space="preserve"> at any time.</w:t>
      </w:r>
    </w:p>
    <w:p w:rsidR="00D177C6" w:rsidP="00D177C6" w:rsidRDefault="00D177C6" w14:paraId="1F07B0B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045C5D" w:rsidP="00D177C6" w:rsidRDefault="00D177C6" w14:paraId="0513238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E42D33">
        <w:rPr>
          <w:b/>
          <w:sz w:val="24"/>
          <w:szCs w:val="24"/>
        </w:rPr>
        <w:t>6.</w:t>
      </w:r>
      <w:r w:rsidR="00263EB3">
        <w:rPr>
          <w:b/>
          <w:bCs/>
          <w:sz w:val="24"/>
          <w:szCs w:val="24"/>
        </w:rPr>
        <w:t xml:space="preserve"> Estimating t</w:t>
      </w:r>
      <w:r>
        <w:rPr>
          <w:b/>
          <w:bCs/>
          <w:sz w:val="24"/>
          <w:szCs w:val="24"/>
        </w:rPr>
        <w:t>he Burden and Cost of the Collection</w:t>
      </w:r>
    </w:p>
    <w:p w:rsidR="00045C5D" w:rsidP="00D177C6" w:rsidRDefault="00045C5D" w14:paraId="4A4639E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D870B8" w:rsidR="00045C5D" w:rsidP="00D177C6" w:rsidRDefault="00D177C6" w14:paraId="0328EAB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D870B8">
        <w:rPr>
          <w:b/>
          <w:sz w:val="24"/>
          <w:szCs w:val="24"/>
        </w:rPr>
        <w:t>6(a) Estimating Respondent Burden</w:t>
      </w:r>
    </w:p>
    <w:p w:rsidRPr="00EB6D73" w:rsidR="00CF68C0" w:rsidP="00CF68C0" w:rsidRDefault="00CF68C0" w14:paraId="3DEEE503" w14:textId="66C45616">
      <w:pPr>
        <w:textAlignment w:val="baseline"/>
        <w:rPr>
          <w:color w:val="000000" w:themeColor="text1"/>
          <w:sz w:val="24"/>
          <w:szCs w:val="24"/>
        </w:rPr>
      </w:pPr>
      <w:r>
        <w:rPr>
          <w:color w:val="000000" w:themeColor="text1"/>
          <w:sz w:val="24"/>
          <w:szCs w:val="24"/>
        </w:rPr>
        <w:t xml:space="preserve">The mean hourly wage for life, physical and social science occupations is listed in the Bureau of Labor Statistics’ website: </w:t>
      </w:r>
      <w:r w:rsidRPr="00EB6D73">
        <w:rPr>
          <w:color w:val="000000" w:themeColor="text1"/>
          <w:sz w:val="24"/>
          <w:szCs w:val="24"/>
        </w:rPr>
        <w:t xml:space="preserve">https://www.bls.gov/oes/current/oes_nat.htm#19-0000. The mean hourly wage for this occupation group is $35.76. </w:t>
      </w:r>
      <w:r w:rsidR="001F5891">
        <w:rPr>
          <w:color w:val="000000" w:themeColor="text1"/>
          <w:sz w:val="24"/>
          <w:szCs w:val="24"/>
        </w:rPr>
        <w:t xml:space="preserve">In this ICR, that wage rate </w:t>
      </w:r>
      <w:r w:rsidRPr="00EB6D73" w:rsidR="001F5891">
        <w:rPr>
          <w:color w:val="000000" w:themeColor="text1"/>
          <w:sz w:val="24"/>
          <w:szCs w:val="24"/>
        </w:rPr>
        <w:t>is multiplied by the standard overhead factor of 1.6</w:t>
      </w:r>
      <w:r w:rsidR="001F5891">
        <w:rPr>
          <w:color w:val="000000" w:themeColor="text1"/>
          <w:sz w:val="24"/>
          <w:szCs w:val="24"/>
        </w:rPr>
        <w:t xml:space="preserve"> to</w:t>
      </w:r>
      <w:r w:rsidRPr="00EB6D73" w:rsidR="001F5891">
        <w:rPr>
          <w:color w:val="000000" w:themeColor="text1"/>
          <w:sz w:val="24"/>
          <w:szCs w:val="24"/>
        </w:rPr>
        <w:t xml:space="preserve"> produc</w:t>
      </w:r>
      <w:r w:rsidR="001F5891">
        <w:rPr>
          <w:color w:val="000000" w:themeColor="text1"/>
          <w:sz w:val="24"/>
          <w:szCs w:val="24"/>
        </w:rPr>
        <w:t xml:space="preserve">e a total hourly labor cost of approximately </w:t>
      </w:r>
      <w:r w:rsidRPr="00EB6D73" w:rsidR="001F5891">
        <w:rPr>
          <w:color w:val="000000" w:themeColor="text1"/>
          <w:sz w:val="24"/>
          <w:szCs w:val="24"/>
        </w:rPr>
        <w:t>$57.21 (rounded to $58).</w:t>
      </w:r>
    </w:p>
    <w:p w:rsidR="00785716" w:rsidP="00785716" w:rsidRDefault="00785716" w14:paraId="21E45699" w14:textId="68AB0577">
      <w:pPr>
        <w:textAlignment w:val="baseline"/>
        <w:rPr>
          <w:color w:val="000000" w:themeColor="text1"/>
          <w:sz w:val="24"/>
          <w:szCs w:val="24"/>
        </w:rPr>
      </w:pPr>
    </w:p>
    <w:p w:rsidR="001A73A8" w:rsidP="00CF68C0" w:rsidRDefault="00CF68C0" w14:paraId="1282896B" w14:textId="33C663BC">
      <w:pPr>
        <w:textAlignment w:val="baseline"/>
        <w:rPr>
          <w:color w:val="000000" w:themeColor="text1"/>
          <w:sz w:val="24"/>
          <w:szCs w:val="24"/>
        </w:rPr>
      </w:pPr>
      <w:r>
        <w:rPr>
          <w:color w:val="000000" w:themeColor="text1"/>
          <w:sz w:val="24"/>
          <w:szCs w:val="24"/>
        </w:rPr>
        <w:t>I</w:t>
      </w:r>
      <w:r w:rsidRPr="00EB6D73">
        <w:rPr>
          <w:color w:val="000000" w:themeColor="text1"/>
          <w:sz w:val="24"/>
          <w:szCs w:val="24"/>
        </w:rPr>
        <w:t>t is estimated that each respondent will tak</w:t>
      </w:r>
      <w:r>
        <w:rPr>
          <w:color w:val="000000" w:themeColor="text1"/>
          <w:sz w:val="24"/>
          <w:szCs w:val="24"/>
        </w:rPr>
        <w:t>e 30 minutes</w:t>
      </w:r>
      <w:r w:rsidRPr="00EB6D73">
        <w:rPr>
          <w:color w:val="000000" w:themeColor="text1"/>
          <w:sz w:val="24"/>
          <w:szCs w:val="24"/>
        </w:rPr>
        <w:t xml:space="preserve"> to </w:t>
      </w:r>
      <w:r>
        <w:rPr>
          <w:color w:val="000000" w:themeColor="text1"/>
          <w:sz w:val="24"/>
          <w:szCs w:val="24"/>
        </w:rPr>
        <w:t>complete the training and complete recordkeeping activities</w:t>
      </w:r>
      <w:r w:rsidRPr="00EB6D73">
        <w:rPr>
          <w:color w:val="000000" w:themeColor="text1"/>
          <w:sz w:val="24"/>
          <w:szCs w:val="24"/>
        </w:rPr>
        <w:t xml:space="preserve">. Approximately </w:t>
      </w:r>
      <w:r>
        <w:rPr>
          <w:color w:val="000000" w:themeColor="text1"/>
          <w:sz w:val="24"/>
          <w:szCs w:val="24"/>
        </w:rPr>
        <w:t>40</w:t>
      </w:r>
      <w:r w:rsidRPr="00EB6D73">
        <w:rPr>
          <w:color w:val="000000" w:themeColor="text1"/>
          <w:sz w:val="24"/>
          <w:szCs w:val="24"/>
        </w:rPr>
        <w:t xml:space="preserve"> </w:t>
      </w:r>
      <w:r w:rsidR="00AB1222">
        <w:rPr>
          <w:color w:val="000000" w:themeColor="text1"/>
          <w:sz w:val="24"/>
          <w:szCs w:val="24"/>
        </w:rPr>
        <w:t>respondents</w:t>
      </w:r>
      <w:r>
        <w:rPr>
          <w:color w:val="000000" w:themeColor="text1"/>
          <w:sz w:val="24"/>
          <w:szCs w:val="24"/>
        </w:rPr>
        <w:t xml:space="preserve"> could be requested to submit recordkeeping statements </w:t>
      </w:r>
      <w:r w:rsidRPr="00EB6D73">
        <w:rPr>
          <w:color w:val="000000" w:themeColor="text1"/>
          <w:sz w:val="24"/>
          <w:szCs w:val="24"/>
        </w:rPr>
        <w:t>annually.</w:t>
      </w:r>
      <w:r w:rsidR="00AB1222">
        <w:rPr>
          <w:color w:val="000000" w:themeColor="text1"/>
          <w:sz w:val="24"/>
          <w:szCs w:val="24"/>
        </w:rPr>
        <w:t xml:space="preserve"> </w:t>
      </w:r>
      <w:r w:rsidRPr="00171417" w:rsidR="00AB1222">
        <w:rPr>
          <w:color w:val="000000" w:themeColor="text1"/>
          <w:sz w:val="24"/>
          <w:szCs w:val="24"/>
        </w:rPr>
        <w:t xml:space="preserve">These are one-time activities for the life of the research grant/contract. </w:t>
      </w:r>
      <w:r w:rsidRPr="00EB6D73">
        <w:rPr>
          <w:color w:val="000000" w:themeColor="text1"/>
          <w:sz w:val="24"/>
          <w:szCs w:val="24"/>
        </w:rPr>
        <w:t>Multiplying the estimated number of respondents (</w:t>
      </w:r>
      <w:r>
        <w:rPr>
          <w:color w:val="000000" w:themeColor="text1"/>
          <w:sz w:val="24"/>
          <w:szCs w:val="24"/>
        </w:rPr>
        <w:t>40</w:t>
      </w:r>
      <w:r w:rsidRPr="00EB6D73">
        <w:rPr>
          <w:color w:val="000000" w:themeColor="text1"/>
          <w:sz w:val="24"/>
          <w:szCs w:val="24"/>
        </w:rPr>
        <w:t>) by the estimated respondent labor cost ($58)</w:t>
      </w:r>
      <w:r w:rsidR="00F87637">
        <w:rPr>
          <w:color w:val="000000" w:themeColor="text1"/>
          <w:sz w:val="24"/>
          <w:szCs w:val="24"/>
        </w:rPr>
        <w:t>,</w:t>
      </w:r>
      <w:r w:rsidRPr="00EB6D73">
        <w:rPr>
          <w:color w:val="000000" w:themeColor="text1"/>
          <w:sz w:val="24"/>
          <w:szCs w:val="24"/>
        </w:rPr>
        <w:t xml:space="preserve"> by the number of hours (.</w:t>
      </w:r>
      <w:r>
        <w:rPr>
          <w:color w:val="000000" w:themeColor="text1"/>
          <w:sz w:val="24"/>
          <w:szCs w:val="24"/>
        </w:rPr>
        <w:t>5</w:t>
      </w:r>
      <w:r w:rsidRPr="00EB6D73">
        <w:rPr>
          <w:color w:val="000000" w:themeColor="text1"/>
          <w:sz w:val="24"/>
          <w:szCs w:val="24"/>
        </w:rPr>
        <w:t xml:space="preserve">0), we estimate the total dollar burden for this ICR to be </w:t>
      </w:r>
      <w:r>
        <w:rPr>
          <w:color w:val="000000" w:themeColor="text1"/>
          <w:sz w:val="24"/>
          <w:szCs w:val="24"/>
        </w:rPr>
        <w:t>$1,160</w:t>
      </w:r>
      <w:r w:rsidRPr="00EB6D73">
        <w:rPr>
          <w:color w:val="000000" w:themeColor="text1"/>
          <w:sz w:val="24"/>
          <w:szCs w:val="24"/>
        </w:rPr>
        <w:t xml:space="preserve"> annually. </w:t>
      </w:r>
    </w:p>
    <w:p w:rsidRPr="003C76A2" w:rsidR="00045C5D" w:rsidP="00D177C6" w:rsidRDefault="00045C5D" w14:paraId="2D8A07C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themeColor="text1"/>
          <w:sz w:val="24"/>
          <w:szCs w:val="24"/>
        </w:rPr>
      </w:pPr>
    </w:p>
    <w:p w:rsidRPr="00D870B8" w:rsidR="00D177C6" w:rsidP="303DD680" w:rsidRDefault="303DD680" w14:paraId="235960F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r w:rsidRPr="303DD680">
        <w:rPr>
          <w:b/>
          <w:bCs/>
          <w:sz w:val="24"/>
          <w:szCs w:val="24"/>
        </w:rPr>
        <w:t>6(b) Estimating Respondent Costs</w:t>
      </w:r>
    </w:p>
    <w:p w:rsidR="007C6CBC" w:rsidP="00D177C6" w:rsidRDefault="007C6CBC" w14:paraId="36E8DCD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366171" w:rsidR="00D177C6" w:rsidP="00366171" w:rsidRDefault="00D177C6" w14:paraId="1E6DBF90" w14:textId="033DA181">
      <w:pPr>
        <w:pStyle w:val="ListParagraph"/>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366171">
        <w:rPr>
          <w:b/>
          <w:sz w:val="24"/>
          <w:szCs w:val="24"/>
        </w:rPr>
        <w:t>Estimating Labor Costs</w:t>
      </w:r>
    </w:p>
    <w:p w:rsidR="00366171" w:rsidP="00187353" w:rsidRDefault="00366171" w14:paraId="27806208" w14:textId="602DFF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tbl>
      <w:tblPr>
        <w:tblStyle w:val="TableGrid"/>
        <w:tblW w:w="0" w:type="auto"/>
        <w:tblInd w:w="-5" w:type="dxa"/>
        <w:tblLook w:val="06A0" w:firstRow="1" w:lastRow="0" w:firstColumn="1" w:lastColumn="0" w:noHBand="1" w:noVBand="1"/>
      </w:tblPr>
      <w:tblGrid>
        <w:gridCol w:w="2566"/>
        <w:gridCol w:w="1902"/>
        <w:gridCol w:w="1715"/>
        <w:gridCol w:w="1737"/>
        <w:gridCol w:w="1435"/>
      </w:tblGrid>
      <w:tr w:rsidRPr="00187353" w:rsidR="00AB1222" w:rsidTr="303DD680" w14:paraId="42C41854" w14:textId="7CD970F1">
        <w:trPr>
          <w:trHeight w:val="250"/>
        </w:trPr>
        <w:tc>
          <w:tcPr>
            <w:tcW w:w="2566" w:type="dxa"/>
          </w:tcPr>
          <w:p w:rsidRPr="003C76A2" w:rsidR="00AB1222" w:rsidP="001E488A" w:rsidRDefault="00AB1222" w14:paraId="29B9B4EB" w14:textId="27EF1FE9">
            <w:pPr>
              <w:jc w:val="center"/>
              <w:rPr>
                <w:b/>
                <w:color w:val="000000" w:themeColor="text1"/>
                <w:sz w:val="24"/>
                <w:szCs w:val="24"/>
              </w:rPr>
            </w:pPr>
            <w:r w:rsidRPr="003C76A2">
              <w:rPr>
                <w:b/>
                <w:color w:val="000000" w:themeColor="text1"/>
                <w:sz w:val="18"/>
                <w:szCs w:val="24"/>
              </w:rPr>
              <w:t>Respondent Activities</w:t>
            </w:r>
          </w:p>
        </w:tc>
        <w:tc>
          <w:tcPr>
            <w:tcW w:w="1902" w:type="dxa"/>
          </w:tcPr>
          <w:p w:rsidRPr="00187353" w:rsidR="00AB1222" w:rsidP="001E488A" w:rsidRDefault="00AB1222" w14:paraId="5B40815F" w14:textId="0CEE743C">
            <w:pPr>
              <w:jc w:val="center"/>
              <w:rPr>
                <w:b/>
                <w:color w:val="000000" w:themeColor="text1"/>
                <w:sz w:val="24"/>
                <w:szCs w:val="24"/>
              </w:rPr>
            </w:pPr>
            <w:r w:rsidRPr="003C76A2">
              <w:rPr>
                <w:b/>
                <w:color w:val="000000" w:themeColor="text1"/>
                <w:sz w:val="18"/>
                <w:szCs w:val="24"/>
              </w:rPr>
              <w:t>Burden Hours per Respondent</w:t>
            </w:r>
          </w:p>
        </w:tc>
        <w:tc>
          <w:tcPr>
            <w:tcW w:w="1715" w:type="dxa"/>
          </w:tcPr>
          <w:p w:rsidRPr="003C76A2" w:rsidR="00AB1222" w:rsidP="001E488A" w:rsidRDefault="00AB1222" w14:paraId="545E5A89" w14:textId="7AA4E9E6">
            <w:pPr>
              <w:jc w:val="center"/>
              <w:rPr>
                <w:b/>
                <w:color w:val="000000" w:themeColor="text1"/>
                <w:sz w:val="24"/>
                <w:szCs w:val="24"/>
              </w:rPr>
            </w:pPr>
            <w:r w:rsidRPr="003C76A2">
              <w:rPr>
                <w:b/>
                <w:color w:val="000000" w:themeColor="text1"/>
                <w:sz w:val="18"/>
                <w:szCs w:val="24"/>
              </w:rPr>
              <w:t>Burden for Respondent ($35.76 per labor hour multiplied by 1.6 for overhead equals $58)</w:t>
            </w:r>
          </w:p>
        </w:tc>
        <w:tc>
          <w:tcPr>
            <w:tcW w:w="1737" w:type="dxa"/>
          </w:tcPr>
          <w:p w:rsidRPr="003C76A2" w:rsidR="00AB1222" w:rsidP="001E488A" w:rsidRDefault="00AB1222" w14:paraId="1CE9B857" w14:textId="4E6A8F47">
            <w:pPr>
              <w:jc w:val="center"/>
              <w:rPr>
                <w:b/>
                <w:color w:val="000000" w:themeColor="text1"/>
                <w:sz w:val="18"/>
                <w:szCs w:val="24"/>
              </w:rPr>
            </w:pPr>
            <w:r>
              <w:rPr>
                <w:b/>
                <w:color w:val="000000" w:themeColor="text1"/>
                <w:sz w:val="18"/>
                <w:szCs w:val="24"/>
              </w:rPr>
              <w:t>Number of Respondents per Year</w:t>
            </w:r>
          </w:p>
        </w:tc>
        <w:tc>
          <w:tcPr>
            <w:tcW w:w="1435" w:type="dxa"/>
          </w:tcPr>
          <w:p w:rsidR="00AB1222" w:rsidP="303DD680" w:rsidRDefault="00AB1222" w14:paraId="3CCEC92F" w14:textId="3C028E5C">
            <w:pPr>
              <w:jc w:val="center"/>
              <w:rPr>
                <w:b/>
                <w:bCs/>
                <w:color w:val="000000" w:themeColor="text1"/>
                <w:sz w:val="18"/>
                <w:szCs w:val="18"/>
              </w:rPr>
            </w:pPr>
            <w:r w:rsidRPr="303DD680">
              <w:rPr>
                <w:b/>
                <w:bCs/>
                <w:color w:val="000000" w:themeColor="text1"/>
                <w:sz w:val="18"/>
                <w:szCs w:val="18"/>
              </w:rPr>
              <w:t>Total Respondent Cost per Year</w:t>
            </w:r>
          </w:p>
        </w:tc>
      </w:tr>
      <w:tr w:rsidRPr="00187353" w:rsidR="00AB1222" w:rsidTr="303DD680" w14:paraId="1CAF3A6C" w14:textId="6408DED2">
        <w:trPr>
          <w:trHeight w:val="250"/>
        </w:trPr>
        <w:tc>
          <w:tcPr>
            <w:tcW w:w="2566" w:type="dxa"/>
          </w:tcPr>
          <w:p w:rsidRPr="003C76A2" w:rsidR="00AB1222" w:rsidP="001E488A" w:rsidRDefault="00AB1222" w14:paraId="77E63131" w14:textId="77777777">
            <w:pPr>
              <w:rPr>
                <w:color w:val="000000" w:themeColor="text1"/>
                <w:sz w:val="24"/>
                <w:szCs w:val="24"/>
              </w:rPr>
            </w:pPr>
            <w:r w:rsidRPr="003C76A2">
              <w:rPr>
                <w:color w:val="000000" w:themeColor="text1"/>
                <w:sz w:val="24"/>
                <w:szCs w:val="24"/>
              </w:rPr>
              <w:t>Education &amp; Training</w:t>
            </w:r>
          </w:p>
        </w:tc>
        <w:tc>
          <w:tcPr>
            <w:tcW w:w="1902" w:type="dxa"/>
          </w:tcPr>
          <w:p w:rsidR="00AB1222" w:rsidP="001E488A" w:rsidRDefault="00AB1222" w14:paraId="1FBF48C1" w14:textId="77777777">
            <w:pPr>
              <w:jc w:val="center"/>
              <w:rPr>
                <w:color w:val="000000" w:themeColor="text1"/>
                <w:sz w:val="24"/>
                <w:szCs w:val="24"/>
              </w:rPr>
            </w:pPr>
            <w:r>
              <w:rPr>
                <w:color w:val="000000" w:themeColor="text1"/>
                <w:sz w:val="24"/>
                <w:szCs w:val="24"/>
              </w:rPr>
              <w:t>.33</w:t>
            </w:r>
          </w:p>
          <w:p w:rsidR="00AB1222" w:rsidP="001E488A" w:rsidRDefault="00AB1222" w14:paraId="7E200977" w14:textId="55825562">
            <w:pPr>
              <w:jc w:val="center"/>
              <w:rPr>
                <w:color w:val="000000" w:themeColor="text1"/>
                <w:sz w:val="24"/>
                <w:szCs w:val="24"/>
              </w:rPr>
            </w:pPr>
            <w:r>
              <w:rPr>
                <w:color w:val="000000" w:themeColor="text1"/>
                <w:sz w:val="24"/>
                <w:szCs w:val="24"/>
              </w:rPr>
              <w:lastRenderedPageBreak/>
              <w:t>(20 min)</w:t>
            </w:r>
          </w:p>
        </w:tc>
        <w:tc>
          <w:tcPr>
            <w:tcW w:w="1715" w:type="dxa"/>
          </w:tcPr>
          <w:p w:rsidRPr="003C76A2" w:rsidR="00AB1222" w:rsidP="001E488A" w:rsidRDefault="00AB1222" w14:paraId="54FA2D78" w14:textId="46CD1943">
            <w:pPr>
              <w:jc w:val="center"/>
              <w:rPr>
                <w:color w:val="000000" w:themeColor="text1"/>
                <w:sz w:val="24"/>
                <w:szCs w:val="24"/>
              </w:rPr>
            </w:pPr>
            <w:r>
              <w:rPr>
                <w:color w:val="000000" w:themeColor="text1"/>
                <w:sz w:val="24"/>
                <w:szCs w:val="24"/>
              </w:rPr>
              <w:lastRenderedPageBreak/>
              <w:t>$19</w:t>
            </w:r>
          </w:p>
        </w:tc>
        <w:tc>
          <w:tcPr>
            <w:tcW w:w="1737" w:type="dxa"/>
          </w:tcPr>
          <w:p w:rsidR="00AB1222" w:rsidP="001E488A" w:rsidRDefault="00AB1222" w14:paraId="4F04AA76" w14:textId="5E1CA126">
            <w:pPr>
              <w:jc w:val="center"/>
              <w:rPr>
                <w:color w:val="000000" w:themeColor="text1"/>
                <w:sz w:val="24"/>
                <w:szCs w:val="24"/>
              </w:rPr>
            </w:pPr>
            <w:r>
              <w:rPr>
                <w:color w:val="000000" w:themeColor="text1"/>
                <w:sz w:val="24"/>
                <w:szCs w:val="24"/>
              </w:rPr>
              <w:t>40</w:t>
            </w:r>
          </w:p>
        </w:tc>
        <w:tc>
          <w:tcPr>
            <w:tcW w:w="1435" w:type="dxa"/>
          </w:tcPr>
          <w:p w:rsidR="00AB1222" w:rsidP="001E488A" w:rsidRDefault="00AB1222" w14:paraId="43591AD2" w14:textId="304E18E9">
            <w:pPr>
              <w:jc w:val="center"/>
              <w:rPr>
                <w:color w:val="000000" w:themeColor="text1"/>
                <w:sz w:val="24"/>
                <w:szCs w:val="24"/>
              </w:rPr>
            </w:pPr>
            <w:r>
              <w:rPr>
                <w:color w:val="000000" w:themeColor="text1"/>
                <w:sz w:val="24"/>
                <w:szCs w:val="24"/>
              </w:rPr>
              <w:t>$760</w:t>
            </w:r>
          </w:p>
        </w:tc>
      </w:tr>
      <w:tr w:rsidRPr="00187353" w:rsidR="00AB1222" w:rsidTr="303DD680" w14:paraId="4B0EFC36" w14:textId="4C66BFC8">
        <w:trPr>
          <w:trHeight w:val="250"/>
        </w:trPr>
        <w:tc>
          <w:tcPr>
            <w:tcW w:w="2566" w:type="dxa"/>
          </w:tcPr>
          <w:p w:rsidRPr="003C76A2" w:rsidR="00AB1222" w:rsidP="001E488A" w:rsidRDefault="00AB1222" w14:paraId="0961154F" w14:textId="77777777">
            <w:pPr>
              <w:rPr>
                <w:color w:val="000000" w:themeColor="text1"/>
                <w:sz w:val="24"/>
                <w:szCs w:val="24"/>
              </w:rPr>
            </w:pPr>
            <w:r w:rsidRPr="003C76A2">
              <w:rPr>
                <w:color w:val="000000" w:themeColor="text1"/>
                <w:sz w:val="24"/>
                <w:szCs w:val="24"/>
              </w:rPr>
              <w:t>Recordkeeping for Training</w:t>
            </w:r>
          </w:p>
        </w:tc>
        <w:tc>
          <w:tcPr>
            <w:tcW w:w="1902" w:type="dxa"/>
          </w:tcPr>
          <w:p w:rsidR="00AB1222" w:rsidP="001E488A" w:rsidRDefault="00AB1222" w14:paraId="5122C761" w14:textId="77777777">
            <w:pPr>
              <w:jc w:val="center"/>
              <w:rPr>
                <w:color w:val="000000" w:themeColor="text1"/>
                <w:sz w:val="24"/>
                <w:szCs w:val="24"/>
              </w:rPr>
            </w:pPr>
            <w:r>
              <w:rPr>
                <w:color w:val="000000" w:themeColor="text1"/>
                <w:sz w:val="24"/>
                <w:szCs w:val="24"/>
              </w:rPr>
              <w:t>.17</w:t>
            </w:r>
          </w:p>
          <w:p w:rsidRPr="00187353" w:rsidR="00AB1222" w:rsidP="001E488A" w:rsidRDefault="00AB1222" w14:paraId="6E561F16" w14:textId="2001A4BD">
            <w:pPr>
              <w:jc w:val="center"/>
              <w:rPr>
                <w:color w:val="000000" w:themeColor="text1"/>
                <w:sz w:val="24"/>
                <w:szCs w:val="24"/>
              </w:rPr>
            </w:pPr>
            <w:r>
              <w:rPr>
                <w:color w:val="000000" w:themeColor="text1"/>
                <w:sz w:val="24"/>
                <w:szCs w:val="24"/>
              </w:rPr>
              <w:t>(10 min)</w:t>
            </w:r>
          </w:p>
        </w:tc>
        <w:tc>
          <w:tcPr>
            <w:tcW w:w="1715" w:type="dxa"/>
          </w:tcPr>
          <w:p w:rsidRPr="003C76A2" w:rsidR="00AB1222" w:rsidP="001E488A" w:rsidRDefault="00AB1222" w14:paraId="6C7B2388" w14:textId="00BD36C5">
            <w:pPr>
              <w:jc w:val="center"/>
              <w:rPr>
                <w:color w:val="000000" w:themeColor="text1"/>
                <w:sz w:val="24"/>
                <w:szCs w:val="24"/>
              </w:rPr>
            </w:pPr>
            <w:r>
              <w:rPr>
                <w:color w:val="000000" w:themeColor="text1"/>
                <w:sz w:val="24"/>
                <w:szCs w:val="24"/>
              </w:rPr>
              <w:t>$10</w:t>
            </w:r>
          </w:p>
        </w:tc>
        <w:tc>
          <w:tcPr>
            <w:tcW w:w="1737" w:type="dxa"/>
          </w:tcPr>
          <w:p w:rsidR="00AB1222" w:rsidP="001E488A" w:rsidRDefault="00AB1222" w14:paraId="527212B5" w14:textId="3A2DFC6E">
            <w:pPr>
              <w:jc w:val="center"/>
              <w:rPr>
                <w:color w:val="000000" w:themeColor="text1"/>
                <w:sz w:val="24"/>
                <w:szCs w:val="24"/>
              </w:rPr>
            </w:pPr>
            <w:r>
              <w:rPr>
                <w:color w:val="000000" w:themeColor="text1"/>
                <w:sz w:val="24"/>
                <w:szCs w:val="24"/>
              </w:rPr>
              <w:t>40</w:t>
            </w:r>
          </w:p>
        </w:tc>
        <w:tc>
          <w:tcPr>
            <w:tcW w:w="1435" w:type="dxa"/>
          </w:tcPr>
          <w:p w:rsidR="00AB1222" w:rsidP="001E488A" w:rsidRDefault="00AB1222" w14:paraId="1CD83F2A" w14:textId="791145E4">
            <w:pPr>
              <w:jc w:val="center"/>
              <w:rPr>
                <w:color w:val="000000" w:themeColor="text1"/>
                <w:sz w:val="24"/>
                <w:szCs w:val="24"/>
              </w:rPr>
            </w:pPr>
            <w:r>
              <w:rPr>
                <w:color w:val="000000" w:themeColor="text1"/>
                <w:sz w:val="24"/>
                <w:szCs w:val="24"/>
              </w:rPr>
              <w:t>$400</w:t>
            </w:r>
          </w:p>
        </w:tc>
      </w:tr>
      <w:tr w:rsidRPr="00187353" w:rsidR="00AB1222" w:rsidTr="303DD680" w14:paraId="580EA649" w14:textId="2EFBEA20">
        <w:trPr>
          <w:trHeight w:val="250"/>
        </w:trPr>
        <w:tc>
          <w:tcPr>
            <w:tcW w:w="2566" w:type="dxa"/>
          </w:tcPr>
          <w:p w:rsidRPr="003C76A2" w:rsidR="00AB1222" w:rsidP="001E488A" w:rsidRDefault="00AB1222" w14:paraId="2DB72A5B" w14:textId="62229874">
            <w:pPr>
              <w:rPr>
                <w:b/>
                <w:color w:val="000000" w:themeColor="text1"/>
                <w:sz w:val="24"/>
                <w:szCs w:val="24"/>
              </w:rPr>
            </w:pPr>
            <w:r w:rsidRPr="003C76A2">
              <w:rPr>
                <w:b/>
                <w:color w:val="000000" w:themeColor="text1"/>
                <w:sz w:val="24"/>
                <w:szCs w:val="24"/>
              </w:rPr>
              <w:t xml:space="preserve">Total </w:t>
            </w:r>
          </w:p>
        </w:tc>
        <w:tc>
          <w:tcPr>
            <w:tcW w:w="1902" w:type="dxa"/>
          </w:tcPr>
          <w:p w:rsidRPr="003C76A2" w:rsidR="00AB1222" w:rsidP="001E488A" w:rsidRDefault="00AB1222" w14:paraId="66E0A02D" w14:textId="5C2E8A7A">
            <w:pPr>
              <w:jc w:val="center"/>
              <w:rPr>
                <w:b/>
                <w:color w:val="000000" w:themeColor="text1"/>
                <w:sz w:val="24"/>
                <w:szCs w:val="24"/>
              </w:rPr>
            </w:pPr>
            <w:r>
              <w:rPr>
                <w:b/>
                <w:color w:val="000000" w:themeColor="text1"/>
                <w:sz w:val="24"/>
                <w:szCs w:val="24"/>
              </w:rPr>
              <w:t>.5 hours</w:t>
            </w:r>
          </w:p>
        </w:tc>
        <w:tc>
          <w:tcPr>
            <w:tcW w:w="1715" w:type="dxa"/>
          </w:tcPr>
          <w:p w:rsidRPr="003C76A2" w:rsidR="00AB1222" w:rsidP="001E488A" w:rsidRDefault="00AB1222" w14:paraId="526DC440" w14:textId="173745FF">
            <w:pPr>
              <w:jc w:val="center"/>
              <w:rPr>
                <w:b/>
                <w:color w:val="000000" w:themeColor="text1"/>
                <w:sz w:val="24"/>
                <w:szCs w:val="24"/>
              </w:rPr>
            </w:pPr>
            <w:r>
              <w:rPr>
                <w:b/>
                <w:color w:val="000000" w:themeColor="text1"/>
                <w:sz w:val="24"/>
                <w:szCs w:val="24"/>
              </w:rPr>
              <w:t>$29</w:t>
            </w:r>
          </w:p>
        </w:tc>
        <w:tc>
          <w:tcPr>
            <w:tcW w:w="1737" w:type="dxa"/>
          </w:tcPr>
          <w:p w:rsidRPr="003C76A2" w:rsidR="00AB1222" w:rsidP="001E488A" w:rsidRDefault="00AB1222" w14:paraId="476267E6" w14:textId="71ACE8C4">
            <w:pPr>
              <w:jc w:val="center"/>
              <w:rPr>
                <w:b/>
                <w:color w:val="000000" w:themeColor="text1"/>
                <w:sz w:val="24"/>
                <w:szCs w:val="24"/>
              </w:rPr>
            </w:pPr>
            <w:r>
              <w:rPr>
                <w:b/>
                <w:color w:val="000000" w:themeColor="text1"/>
                <w:sz w:val="24"/>
                <w:szCs w:val="24"/>
              </w:rPr>
              <w:t>40</w:t>
            </w:r>
          </w:p>
        </w:tc>
        <w:tc>
          <w:tcPr>
            <w:tcW w:w="1435" w:type="dxa"/>
          </w:tcPr>
          <w:p w:rsidRPr="003C76A2" w:rsidR="00AB1222" w:rsidP="001E488A" w:rsidRDefault="00AB1222" w14:paraId="1151AC7D" w14:textId="7657C651">
            <w:pPr>
              <w:jc w:val="center"/>
              <w:rPr>
                <w:b/>
                <w:color w:val="000000" w:themeColor="text1"/>
                <w:sz w:val="24"/>
                <w:szCs w:val="24"/>
              </w:rPr>
            </w:pPr>
            <w:r>
              <w:rPr>
                <w:b/>
                <w:color w:val="000000" w:themeColor="text1"/>
                <w:sz w:val="24"/>
                <w:szCs w:val="24"/>
              </w:rPr>
              <w:t>$1,160</w:t>
            </w:r>
          </w:p>
        </w:tc>
      </w:tr>
    </w:tbl>
    <w:p w:rsidRPr="003C76A2" w:rsidR="00187353" w:rsidP="003C76A2" w:rsidRDefault="00187353" w14:paraId="5FAA779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p w:rsidR="007C6CBC" w:rsidP="00366171" w:rsidRDefault="00785716" w14:paraId="792E6F5A" w14:textId="5BF023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Pr>
          <w:b/>
          <w:sz w:val="24"/>
          <w:szCs w:val="24"/>
        </w:rPr>
        <w:t>Annual Cost for</w:t>
      </w:r>
      <w:r w:rsidRPr="007C6CBC" w:rsidR="007C6CBC">
        <w:rPr>
          <w:b/>
          <w:sz w:val="24"/>
          <w:szCs w:val="24"/>
        </w:rPr>
        <w:t xml:space="preserve"> Respondents</w:t>
      </w:r>
    </w:p>
    <w:p w:rsidRPr="007C6CBC" w:rsidR="007C6CBC" w:rsidP="007C6CBC" w:rsidRDefault="007C6CBC" w14:paraId="449B801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p>
    <w:p w:rsidRPr="00D870B8" w:rsidR="00D177C6" w:rsidP="00D177C6" w:rsidRDefault="00E51DE7" w14:paraId="1C8E44A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D870B8">
        <w:rPr>
          <w:b/>
          <w:sz w:val="24"/>
          <w:szCs w:val="24"/>
        </w:rPr>
        <w:t xml:space="preserve"> </w:t>
      </w:r>
      <w:r w:rsidRPr="00D870B8" w:rsidR="00D177C6">
        <w:rPr>
          <w:b/>
          <w:sz w:val="24"/>
          <w:szCs w:val="24"/>
        </w:rPr>
        <w:t>(ii) Estimating Capital and Operations and Maintenance Costs</w:t>
      </w:r>
    </w:p>
    <w:p w:rsidR="00D870B8" w:rsidP="00D177C6" w:rsidRDefault="00D870B8" w14:paraId="18ED9BE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7C6CBC" w:rsidP="00D177C6" w:rsidRDefault="004778E9" w14:paraId="6E81EA51" w14:textId="42AD58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There are no capital or operations and maintenance costs.</w:t>
      </w:r>
    </w:p>
    <w:p w:rsidR="007C6CBC" w:rsidP="00D177C6" w:rsidRDefault="007C6CBC" w14:paraId="09070EA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D870B8" w:rsidR="00D177C6" w:rsidP="00D177C6" w:rsidRDefault="00D177C6" w14:paraId="6EC8EAD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D870B8">
        <w:rPr>
          <w:b/>
          <w:sz w:val="24"/>
          <w:szCs w:val="24"/>
        </w:rPr>
        <w:t>(iii) Capital/Start-up Operating and Maintenance (O&amp;M) Costs</w:t>
      </w:r>
    </w:p>
    <w:p w:rsidR="00D870B8" w:rsidP="00D177C6" w:rsidRDefault="00D870B8" w14:paraId="2CE6F8D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7C6CBC" w:rsidP="00D177C6" w:rsidRDefault="004778E9" w14:paraId="33E591A5" w14:textId="5B64AA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There are no capital/startup operating and maintenance costs.</w:t>
      </w:r>
    </w:p>
    <w:p w:rsidR="007C6CBC" w:rsidP="00D177C6" w:rsidRDefault="007C6CBC" w14:paraId="0911479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D870B8" w:rsidR="00D177C6" w:rsidP="00D177C6" w:rsidRDefault="00D177C6" w14:paraId="76F49E8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D870B8">
        <w:rPr>
          <w:b/>
          <w:sz w:val="24"/>
          <w:szCs w:val="24"/>
        </w:rPr>
        <w:t>(i</w:t>
      </w:r>
      <w:r w:rsidR="00E51DE7">
        <w:rPr>
          <w:b/>
          <w:sz w:val="24"/>
          <w:szCs w:val="24"/>
        </w:rPr>
        <w:t xml:space="preserve">v) </w:t>
      </w:r>
      <w:r w:rsidRPr="00D870B8">
        <w:rPr>
          <w:b/>
          <w:sz w:val="24"/>
          <w:szCs w:val="24"/>
        </w:rPr>
        <w:t>Annualizing Capital Costs</w:t>
      </w:r>
    </w:p>
    <w:p w:rsidR="000C73AE" w:rsidP="00D177C6" w:rsidRDefault="000C73AE" w14:paraId="2173B5F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7C6CBC" w:rsidP="00D177C6" w:rsidRDefault="00187353" w14:paraId="10A73890" w14:textId="1C3599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 xml:space="preserve">There are no annualized capital costs. </w:t>
      </w:r>
    </w:p>
    <w:p w:rsidR="00187353" w:rsidP="00D177C6" w:rsidRDefault="00187353" w14:paraId="4F5147A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4145A4" w:rsidP="00D177C6" w:rsidRDefault="00D177C6" w14:paraId="070FD54F" w14:textId="4B670F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D870B8">
        <w:rPr>
          <w:b/>
          <w:sz w:val="24"/>
          <w:szCs w:val="24"/>
        </w:rPr>
        <w:t>(c) Estimating Agency Burden and Cost</w:t>
      </w:r>
    </w:p>
    <w:p w:rsidR="00187353" w:rsidP="00D177C6" w:rsidRDefault="00187353" w14:paraId="4BC576C5" w14:textId="716A33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tbl>
      <w:tblPr>
        <w:tblStyle w:val="TableGrid"/>
        <w:tblW w:w="9070" w:type="dxa"/>
        <w:tblInd w:w="-5" w:type="dxa"/>
        <w:tblLook w:val="06A0" w:firstRow="1" w:lastRow="0" w:firstColumn="1" w:lastColumn="0" w:noHBand="1" w:noVBand="1"/>
      </w:tblPr>
      <w:tblGrid>
        <w:gridCol w:w="4566"/>
        <w:gridCol w:w="2252"/>
        <w:gridCol w:w="2252"/>
      </w:tblGrid>
      <w:tr w:rsidRPr="00187353" w:rsidR="0013435B" w:rsidTr="003C76A2" w14:paraId="6CAABBEE" w14:textId="3F9E89CE">
        <w:trPr>
          <w:trHeight w:val="268"/>
        </w:trPr>
        <w:tc>
          <w:tcPr>
            <w:tcW w:w="4566" w:type="dxa"/>
          </w:tcPr>
          <w:p w:rsidRPr="003C76A2" w:rsidR="0013435B" w:rsidP="001E488A" w:rsidRDefault="0013435B" w14:paraId="5F978825" w14:textId="77777777">
            <w:pPr>
              <w:jc w:val="center"/>
              <w:rPr>
                <w:b/>
                <w:color w:val="000000" w:themeColor="text1"/>
                <w:sz w:val="24"/>
                <w:szCs w:val="24"/>
              </w:rPr>
            </w:pPr>
            <w:r w:rsidRPr="003C76A2">
              <w:rPr>
                <w:b/>
                <w:color w:val="000000" w:themeColor="text1"/>
                <w:sz w:val="24"/>
                <w:szCs w:val="24"/>
              </w:rPr>
              <w:t>Information Collection Activity</w:t>
            </w:r>
          </w:p>
        </w:tc>
        <w:tc>
          <w:tcPr>
            <w:tcW w:w="2252" w:type="dxa"/>
          </w:tcPr>
          <w:p w:rsidRPr="003C76A2" w:rsidR="0013435B" w:rsidP="001E488A" w:rsidRDefault="0013435B" w14:paraId="534EE389" w14:textId="77777777">
            <w:pPr>
              <w:spacing w:line="259" w:lineRule="auto"/>
              <w:jc w:val="center"/>
              <w:rPr>
                <w:b/>
                <w:color w:val="000000" w:themeColor="text1"/>
                <w:sz w:val="24"/>
                <w:szCs w:val="24"/>
              </w:rPr>
            </w:pPr>
            <w:r w:rsidRPr="003C76A2">
              <w:rPr>
                <w:b/>
                <w:color w:val="000000" w:themeColor="text1"/>
                <w:sz w:val="24"/>
                <w:szCs w:val="24"/>
              </w:rPr>
              <w:t>Annual Hours</w:t>
            </w:r>
          </w:p>
        </w:tc>
        <w:tc>
          <w:tcPr>
            <w:tcW w:w="2252" w:type="dxa"/>
          </w:tcPr>
          <w:p w:rsidRPr="003C76A2" w:rsidR="0013435B" w:rsidP="001E488A" w:rsidRDefault="0013435B" w14:paraId="147BCE6C" w14:textId="77777777">
            <w:pPr>
              <w:spacing w:line="259" w:lineRule="auto"/>
              <w:jc w:val="center"/>
              <w:rPr>
                <w:b/>
                <w:color w:val="000000" w:themeColor="text1"/>
                <w:sz w:val="24"/>
                <w:szCs w:val="24"/>
              </w:rPr>
            </w:pPr>
            <w:r w:rsidRPr="003C76A2">
              <w:rPr>
                <w:b/>
                <w:color w:val="000000" w:themeColor="text1"/>
                <w:sz w:val="24"/>
                <w:szCs w:val="24"/>
              </w:rPr>
              <w:t>Annual Costs</w:t>
            </w:r>
          </w:p>
        </w:tc>
      </w:tr>
      <w:tr w:rsidRPr="00187353" w:rsidR="0013435B" w:rsidTr="003C76A2" w14:paraId="1513CBEA" w14:textId="29902EB5">
        <w:trPr>
          <w:trHeight w:val="724"/>
        </w:trPr>
        <w:tc>
          <w:tcPr>
            <w:tcW w:w="4566" w:type="dxa"/>
          </w:tcPr>
          <w:p w:rsidRPr="003C76A2" w:rsidR="0013435B" w:rsidP="001E488A" w:rsidRDefault="0013435B" w14:paraId="6CF88A3A" w14:textId="77777777">
            <w:pPr>
              <w:rPr>
                <w:color w:val="000000" w:themeColor="text1"/>
                <w:sz w:val="24"/>
                <w:szCs w:val="24"/>
              </w:rPr>
            </w:pPr>
            <w:r w:rsidRPr="003C76A2">
              <w:rPr>
                <w:color w:val="000000" w:themeColor="text1"/>
                <w:sz w:val="24"/>
                <w:szCs w:val="24"/>
              </w:rPr>
              <w:t>Analyzing, Evaluating, Summarizing, and/or Reporting on Training Records</w:t>
            </w:r>
          </w:p>
        </w:tc>
        <w:tc>
          <w:tcPr>
            <w:tcW w:w="2252" w:type="dxa"/>
          </w:tcPr>
          <w:p w:rsidRPr="003C76A2" w:rsidR="0013435B" w:rsidP="001E488A" w:rsidRDefault="0013435B" w14:paraId="15DBBB26" w14:textId="77777777">
            <w:pPr>
              <w:spacing w:line="259" w:lineRule="auto"/>
              <w:jc w:val="center"/>
              <w:rPr>
                <w:color w:val="000000" w:themeColor="text1"/>
                <w:sz w:val="24"/>
                <w:szCs w:val="24"/>
              </w:rPr>
            </w:pPr>
            <w:r w:rsidRPr="003C76A2">
              <w:rPr>
                <w:color w:val="000000" w:themeColor="text1"/>
                <w:sz w:val="24"/>
                <w:szCs w:val="24"/>
              </w:rPr>
              <w:t>0.5</w:t>
            </w:r>
          </w:p>
        </w:tc>
        <w:tc>
          <w:tcPr>
            <w:tcW w:w="2252" w:type="dxa"/>
          </w:tcPr>
          <w:p w:rsidRPr="003C76A2" w:rsidR="0013435B" w:rsidP="001E488A" w:rsidRDefault="0013435B" w14:paraId="29A75FD2" w14:textId="13E5C769">
            <w:pPr>
              <w:spacing w:line="259" w:lineRule="auto"/>
              <w:jc w:val="center"/>
              <w:rPr>
                <w:color w:val="000000" w:themeColor="text1"/>
                <w:sz w:val="24"/>
                <w:szCs w:val="24"/>
              </w:rPr>
            </w:pPr>
            <w:r w:rsidRPr="003C76A2">
              <w:rPr>
                <w:color w:val="000000" w:themeColor="text1"/>
                <w:sz w:val="24"/>
                <w:szCs w:val="24"/>
              </w:rPr>
              <w:t>$</w:t>
            </w:r>
            <w:bookmarkStart w:name="_GoBack" w:id="2"/>
            <w:r w:rsidR="00AB1222">
              <w:rPr>
                <w:color w:val="000000" w:themeColor="text1"/>
                <w:sz w:val="24"/>
                <w:szCs w:val="24"/>
              </w:rPr>
              <w:t>26.50</w:t>
            </w:r>
            <w:bookmarkEnd w:id="2"/>
          </w:p>
        </w:tc>
      </w:tr>
    </w:tbl>
    <w:p w:rsidRPr="003C76A2" w:rsidR="00187353" w:rsidP="00187353" w:rsidRDefault="00187353" w14:paraId="5E9AA44E" w14:textId="77777777">
      <w:pPr>
        <w:rPr>
          <w:color w:val="000000" w:themeColor="text1"/>
          <w:sz w:val="24"/>
          <w:szCs w:val="24"/>
        </w:rPr>
      </w:pPr>
    </w:p>
    <w:p w:rsidRPr="003C76A2" w:rsidR="00187353" w:rsidP="303DD680" w:rsidRDefault="00187353" w14:paraId="33829491" w14:textId="4FA2D6F9">
      <w:pPr>
        <w:rPr>
          <w:color w:val="000000" w:themeColor="text1"/>
          <w:sz w:val="24"/>
          <w:szCs w:val="24"/>
        </w:rPr>
      </w:pPr>
      <w:r w:rsidRPr="003C76A2">
        <w:rPr>
          <w:color w:val="000000" w:themeColor="text1"/>
          <w:sz w:val="24"/>
          <w:szCs w:val="24"/>
        </w:rPr>
        <w:t xml:space="preserve">The Agency estimates that it would require 30 minutes </w:t>
      </w:r>
      <w:r>
        <w:rPr>
          <w:color w:val="000000" w:themeColor="text1"/>
          <w:sz w:val="24"/>
          <w:szCs w:val="24"/>
        </w:rPr>
        <w:t>for one staff member</w:t>
      </w:r>
      <w:r w:rsidRPr="003C76A2">
        <w:rPr>
          <w:color w:val="000000" w:themeColor="text1"/>
          <w:sz w:val="24"/>
          <w:szCs w:val="24"/>
        </w:rPr>
        <w:t xml:space="preserve"> to review </w:t>
      </w:r>
      <w:r w:rsidRPr="003C76A2" w:rsidR="303DD680">
        <w:rPr>
          <w:color w:val="000000" w:themeColor="text1"/>
          <w:sz w:val="24"/>
          <w:szCs w:val="24"/>
        </w:rPr>
        <w:t xml:space="preserve">and evaluate </w:t>
      </w:r>
      <w:r w:rsidRPr="003C76A2">
        <w:rPr>
          <w:color w:val="000000" w:themeColor="text1"/>
          <w:sz w:val="24"/>
          <w:szCs w:val="24"/>
        </w:rPr>
        <w:t>training records performed by a GS-11 employee. The annual salary for a GS-11, Step 1 in Washington, DC is $69,581. The hourly rate including benefits is $53.52 ($33.45 hourly rate x 1.6 multiplier).</w:t>
      </w:r>
    </w:p>
    <w:p w:rsidR="007C6CBC" w:rsidP="00D177C6" w:rsidRDefault="007C6CBC" w14:paraId="06276FE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D870B8" w:rsidR="00D177C6" w:rsidP="00D177C6" w:rsidRDefault="000C0631" w14:paraId="31FBADE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Pr>
          <w:b/>
          <w:sz w:val="24"/>
          <w:szCs w:val="24"/>
        </w:rPr>
        <w:t>6</w:t>
      </w:r>
      <w:r w:rsidRPr="00D870B8" w:rsidR="00D177C6">
        <w:rPr>
          <w:b/>
          <w:sz w:val="24"/>
          <w:szCs w:val="24"/>
        </w:rPr>
        <w:t>(d) Estimating the Respondent Universe and Total Burden and Costs</w:t>
      </w:r>
    </w:p>
    <w:p w:rsidR="00D870B8" w:rsidP="00D177C6" w:rsidRDefault="00D870B8" w14:paraId="1F4A71D9" w14:textId="4C8FE2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p w:rsidRPr="00351D50" w:rsidR="00AB1222" w:rsidP="00D177C6" w:rsidRDefault="00AB1222" w14:paraId="46EC5896" w14:textId="5EF17B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351D50">
        <w:rPr>
          <w:sz w:val="24"/>
          <w:szCs w:val="24"/>
        </w:rPr>
        <w:t xml:space="preserve">See 6(a) and 6(b). </w:t>
      </w:r>
    </w:p>
    <w:p w:rsidRPr="00D870B8" w:rsidR="00D870B8" w:rsidP="00D177C6" w:rsidRDefault="00D870B8" w14:paraId="090B9E7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p w:rsidR="00D177C6" w:rsidP="00D177C6" w:rsidRDefault="00D177C6" w14:paraId="1DCB542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D870B8">
        <w:rPr>
          <w:b/>
          <w:sz w:val="24"/>
          <w:szCs w:val="24"/>
        </w:rPr>
        <w:t>6(e) Bottom Line Burden Hours and Cost Tables</w:t>
      </w:r>
    </w:p>
    <w:p w:rsidR="00A14936" w:rsidP="00D177C6" w:rsidRDefault="00A14936" w14:paraId="313FE375" w14:textId="4D5C2A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171417" w:rsidR="00703D91" w:rsidP="00703D91" w:rsidRDefault="00703D91" w14:paraId="2A21B838" w14:textId="56DA2C25">
      <w:pPr>
        <w:rPr>
          <w:color w:val="000000" w:themeColor="text1"/>
          <w:sz w:val="24"/>
          <w:szCs w:val="24"/>
        </w:rPr>
      </w:pPr>
      <w:r w:rsidRPr="00171417">
        <w:rPr>
          <w:color w:val="000000" w:themeColor="text1"/>
          <w:sz w:val="24"/>
          <w:szCs w:val="24"/>
        </w:rPr>
        <w:t xml:space="preserve">EPA estimates a total of 40 respondents would be required to take training and maintain records of that training for the duration of this </w:t>
      </w:r>
      <w:r w:rsidR="003C76A2">
        <w:rPr>
          <w:color w:val="000000" w:themeColor="text1"/>
          <w:sz w:val="24"/>
          <w:szCs w:val="24"/>
        </w:rPr>
        <w:t>I</w:t>
      </w:r>
      <w:r w:rsidRPr="00171417">
        <w:rPr>
          <w:color w:val="000000" w:themeColor="text1"/>
          <w:sz w:val="24"/>
          <w:szCs w:val="24"/>
        </w:rPr>
        <w:t xml:space="preserve">CR. On average, EPA has funded five research projects per year that involve one or more of the 15 agents or toxins identified in the iDURC </w:t>
      </w:r>
      <w:r w:rsidR="00127A20">
        <w:rPr>
          <w:color w:val="000000" w:themeColor="text1"/>
          <w:sz w:val="24"/>
          <w:szCs w:val="24"/>
        </w:rPr>
        <w:t>Policy</w:t>
      </w:r>
      <w:r w:rsidRPr="00171417">
        <w:rPr>
          <w:color w:val="000000" w:themeColor="text1"/>
          <w:sz w:val="24"/>
          <w:szCs w:val="24"/>
        </w:rPr>
        <w:t xml:space="preserve"> through a contract/grant mechanism. Previous consultations with Project Officers determined that there are about 6-8 respondents per research project.</w:t>
      </w:r>
      <w:r>
        <w:rPr>
          <w:color w:val="000000" w:themeColor="text1"/>
          <w:sz w:val="24"/>
          <w:szCs w:val="24"/>
        </w:rPr>
        <w:t xml:space="preserve"> </w:t>
      </w:r>
      <w:r w:rsidR="001F5891">
        <w:rPr>
          <w:color w:val="000000" w:themeColor="text1"/>
          <w:sz w:val="24"/>
          <w:szCs w:val="24"/>
        </w:rPr>
        <w:t>Average annual</w:t>
      </w:r>
      <w:r>
        <w:rPr>
          <w:color w:val="000000" w:themeColor="text1"/>
          <w:sz w:val="24"/>
          <w:szCs w:val="24"/>
        </w:rPr>
        <w:t xml:space="preserve"> total cost</w:t>
      </w:r>
      <w:r w:rsidR="00F9736F">
        <w:rPr>
          <w:color w:val="000000" w:themeColor="text1"/>
          <w:sz w:val="24"/>
          <w:szCs w:val="24"/>
        </w:rPr>
        <w:t>s</w:t>
      </w:r>
      <w:r>
        <w:rPr>
          <w:color w:val="000000" w:themeColor="text1"/>
          <w:sz w:val="24"/>
          <w:szCs w:val="24"/>
        </w:rPr>
        <w:t xml:space="preserve"> </w:t>
      </w:r>
      <w:r w:rsidR="001F5891">
        <w:rPr>
          <w:color w:val="000000" w:themeColor="text1"/>
          <w:sz w:val="24"/>
          <w:szCs w:val="24"/>
        </w:rPr>
        <w:t xml:space="preserve">are estimated to be </w:t>
      </w:r>
      <w:r>
        <w:rPr>
          <w:color w:val="000000" w:themeColor="text1"/>
          <w:sz w:val="24"/>
          <w:szCs w:val="24"/>
        </w:rPr>
        <w:t>$1,160.</w:t>
      </w:r>
    </w:p>
    <w:p w:rsidRPr="00D870B8" w:rsidR="00784B2A" w:rsidP="00D177C6" w:rsidRDefault="00784B2A" w14:paraId="5F493F3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351D50" w:rsidR="00D177C6" w:rsidP="00351D50" w:rsidRDefault="00D177C6" w14:paraId="6EDCA9F1" w14:textId="03FD9D98">
      <w:pPr>
        <w:pStyle w:val="ListParagraph"/>
        <w:numPr>
          <w:ilvl w:val="0"/>
          <w:numId w:val="1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351D50">
        <w:rPr>
          <w:b/>
          <w:sz w:val="24"/>
          <w:szCs w:val="24"/>
        </w:rPr>
        <w:t>Respondent Tally</w:t>
      </w:r>
    </w:p>
    <w:p w:rsidR="00A14936" w:rsidP="00A14936" w:rsidRDefault="00A14936" w14:paraId="1E54F2DB" w14:textId="05AFB0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p w:rsidRPr="00351D50" w:rsidR="00703D91" w:rsidP="00703D91" w:rsidRDefault="00703D91" w14:paraId="3FD2367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r w:rsidRPr="00351D50">
        <w:rPr>
          <w:b/>
          <w:sz w:val="24"/>
          <w:szCs w:val="24"/>
        </w:rPr>
        <w:t>Bottom-Line Annual Burden and Cost for Respondents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548"/>
        <w:gridCol w:w="1705"/>
        <w:gridCol w:w="1446"/>
        <w:gridCol w:w="1869"/>
        <w:gridCol w:w="1607"/>
        <w:gridCol w:w="1175"/>
      </w:tblGrid>
      <w:tr w:rsidRPr="003C76A2" w:rsidR="003C76A2" w:rsidTr="00351D50" w14:paraId="768D4F79" w14:textId="77777777">
        <w:tc>
          <w:tcPr>
            <w:tcW w:w="1548" w:type="dxa"/>
            <w:shd w:val="clear" w:color="auto" w:fill="auto"/>
          </w:tcPr>
          <w:p w:rsidRPr="00351D50" w:rsidR="003C76A2" w:rsidP="00351D50" w:rsidRDefault="003C76A2" w14:paraId="7E80CBE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sidRPr="00351D50">
              <w:rPr>
                <w:szCs w:val="24"/>
              </w:rPr>
              <w:t>Respondent Activities to Complete the Survey</w:t>
            </w:r>
          </w:p>
        </w:tc>
        <w:tc>
          <w:tcPr>
            <w:tcW w:w="1705" w:type="dxa"/>
            <w:shd w:val="clear" w:color="auto" w:fill="auto"/>
          </w:tcPr>
          <w:p w:rsidRPr="00351D50" w:rsidR="003C76A2" w:rsidP="00351D50" w:rsidRDefault="003C76A2" w14:paraId="2E1C024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sidRPr="00351D50">
              <w:rPr>
                <w:szCs w:val="24"/>
              </w:rPr>
              <w:t>Burden Hours/Respondent</w:t>
            </w:r>
          </w:p>
        </w:tc>
        <w:tc>
          <w:tcPr>
            <w:tcW w:w="1446" w:type="dxa"/>
          </w:tcPr>
          <w:p w:rsidRPr="003C76A2" w:rsidR="003C76A2" w:rsidP="00351D50" w:rsidRDefault="003C76A2" w14:paraId="3F676413" w14:textId="60B70A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Pr>
                <w:szCs w:val="24"/>
              </w:rPr>
              <w:t>Number of Hours per Year</w:t>
            </w:r>
          </w:p>
        </w:tc>
        <w:tc>
          <w:tcPr>
            <w:tcW w:w="1869" w:type="dxa"/>
            <w:shd w:val="clear" w:color="auto" w:fill="auto"/>
          </w:tcPr>
          <w:p w:rsidRPr="00351D50" w:rsidR="003C76A2" w:rsidP="00351D50" w:rsidRDefault="003C76A2" w14:paraId="038FA2FA" w14:textId="41ED15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sidRPr="00351D50">
              <w:rPr>
                <w:szCs w:val="24"/>
              </w:rPr>
              <w:t>Burden for Respondent ($23.60 per labor hour multiplied by 1.6 for overhead equals $38)</w:t>
            </w:r>
          </w:p>
        </w:tc>
        <w:tc>
          <w:tcPr>
            <w:tcW w:w="1607" w:type="dxa"/>
            <w:shd w:val="clear" w:color="auto" w:fill="auto"/>
          </w:tcPr>
          <w:p w:rsidRPr="00351D50" w:rsidR="003C76A2" w:rsidP="00351D50" w:rsidRDefault="003C76A2" w14:paraId="386C141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sidRPr="00351D50">
              <w:rPr>
                <w:szCs w:val="24"/>
              </w:rPr>
              <w:t>Number of Respondents Per Year</w:t>
            </w:r>
          </w:p>
        </w:tc>
        <w:tc>
          <w:tcPr>
            <w:tcW w:w="1175" w:type="dxa"/>
            <w:shd w:val="clear" w:color="auto" w:fill="auto"/>
          </w:tcPr>
          <w:p w:rsidRPr="00351D50" w:rsidR="003C76A2" w:rsidP="00351D50" w:rsidRDefault="003C76A2" w14:paraId="254C2DF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sidRPr="00351D50">
              <w:rPr>
                <w:szCs w:val="24"/>
              </w:rPr>
              <w:t>Total Cost Per Year</w:t>
            </w:r>
          </w:p>
        </w:tc>
      </w:tr>
      <w:tr w:rsidRPr="003C76A2" w:rsidR="003C76A2" w:rsidTr="00351D50" w14:paraId="37C4AAB7" w14:textId="77777777">
        <w:tc>
          <w:tcPr>
            <w:tcW w:w="1548" w:type="dxa"/>
            <w:shd w:val="clear" w:color="auto" w:fill="auto"/>
          </w:tcPr>
          <w:p w:rsidRPr="003C76A2" w:rsidR="003C76A2" w:rsidP="00171417" w:rsidRDefault="003C76A2" w14:paraId="262ECBD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3C76A2">
              <w:rPr>
                <w:b/>
                <w:sz w:val="24"/>
                <w:szCs w:val="24"/>
              </w:rPr>
              <w:t>Total Per Year</w:t>
            </w:r>
          </w:p>
        </w:tc>
        <w:tc>
          <w:tcPr>
            <w:tcW w:w="1705" w:type="dxa"/>
            <w:shd w:val="clear" w:color="auto" w:fill="auto"/>
          </w:tcPr>
          <w:p w:rsidRPr="00351D50" w:rsidR="003C76A2" w:rsidP="00351D50" w:rsidRDefault="003C76A2" w14:paraId="6C4FE7AD" w14:textId="3F7A96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Pr>
                <w:sz w:val="24"/>
                <w:szCs w:val="24"/>
              </w:rPr>
              <w:t>.5</w:t>
            </w:r>
          </w:p>
        </w:tc>
        <w:tc>
          <w:tcPr>
            <w:tcW w:w="1446" w:type="dxa"/>
          </w:tcPr>
          <w:p w:rsidR="003C76A2" w:rsidP="00703D91" w:rsidRDefault="003C76A2" w14:paraId="7E8C6A35" w14:textId="3D6AF4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Pr>
                <w:sz w:val="24"/>
                <w:szCs w:val="24"/>
              </w:rPr>
              <w:t>20</w:t>
            </w:r>
          </w:p>
        </w:tc>
        <w:tc>
          <w:tcPr>
            <w:tcW w:w="1869" w:type="dxa"/>
            <w:shd w:val="clear" w:color="auto" w:fill="auto"/>
          </w:tcPr>
          <w:p w:rsidRPr="00351D50" w:rsidR="003C76A2" w:rsidP="00351D50" w:rsidRDefault="003C76A2" w14:paraId="5077C47E" w14:textId="7C770F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Pr>
                <w:sz w:val="24"/>
                <w:szCs w:val="24"/>
              </w:rPr>
              <w:t>$29</w:t>
            </w:r>
          </w:p>
        </w:tc>
        <w:tc>
          <w:tcPr>
            <w:tcW w:w="1607" w:type="dxa"/>
            <w:shd w:val="clear" w:color="auto" w:fill="auto"/>
          </w:tcPr>
          <w:p w:rsidRPr="00351D50" w:rsidR="003C76A2" w:rsidP="00351D50" w:rsidRDefault="003C76A2" w14:paraId="1DB9FE4D" w14:textId="28037B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Pr>
                <w:sz w:val="24"/>
                <w:szCs w:val="24"/>
              </w:rPr>
              <w:t>40</w:t>
            </w:r>
          </w:p>
        </w:tc>
        <w:tc>
          <w:tcPr>
            <w:tcW w:w="1175" w:type="dxa"/>
            <w:shd w:val="clear" w:color="auto" w:fill="auto"/>
          </w:tcPr>
          <w:p w:rsidRPr="00351D50" w:rsidR="003C76A2" w:rsidP="00351D50" w:rsidRDefault="003C76A2" w14:paraId="035D925D" w14:textId="0008C1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r w:rsidRPr="00351D50">
              <w:rPr>
                <w:b/>
                <w:sz w:val="24"/>
                <w:szCs w:val="24"/>
              </w:rPr>
              <w:t>$1,160</w:t>
            </w:r>
          </w:p>
        </w:tc>
      </w:tr>
      <w:tr w:rsidRPr="003C76A2" w:rsidR="003C76A2" w:rsidTr="00351D50" w14:paraId="2C60808A" w14:textId="77777777">
        <w:tc>
          <w:tcPr>
            <w:tcW w:w="1548" w:type="dxa"/>
            <w:shd w:val="clear" w:color="auto" w:fill="auto"/>
          </w:tcPr>
          <w:p w:rsidRPr="00351D50" w:rsidR="003C76A2" w:rsidP="00171417" w:rsidRDefault="003C76A2" w14:paraId="6F8D7BE0" w14:textId="15B565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351D50">
              <w:rPr>
                <w:b/>
                <w:sz w:val="24"/>
                <w:szCs w:val="24"/>
              </w:rPr>
              <w:t xml:space="preserve">3 Years </w:t>
            </w:r>
          </w:p>
        </w:tc>
        <w:tc>
          <w:tcPr>
            <w:tcW w:w="1705" w:type="dxa"/>
            <w:shd w:val="clear" w:color="auto" w:fill="auto"/>
          </w:tcPr>
          <w:p w:rsidRPr="003C76A2" w:rsidR="003C76A2" w:rsidP="00351D50" w:rsidRDefault="003C76A2" w14:paraId="21D620A9" w14:textId="04F1ED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Pr>
                <w:sz w:val="24"/>
                <w:szCs w:val="24"/>
              </w:rPr>
              <w:t>1.5</w:t>
            </w:r>
          </w:p>
        </w:tc>
        <w:tc>
          <w:tcPr>
            <w:tcW w:w="1446" w:type="dxa"/>
          </w:tcPr>
          <w:p w:rsidR="003C76A2" w:rsidP="00703D91" w:rsidRDefault="003C76A2" w14:paraId="29C7A3D7" w14:textId="217FFB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Pr>
                <w:sz w:val="24"/>
                <w:szCs w:val="24"/>
              </w:rPr>
              <w:t>60</w:t>
            </w:r>
          </w:p>
        </w:tc>
        <w:tc>
          <w:tcPr>
            <w:tcW w:w="1869" w:type="dxa"/>
            <w:shd w:val="clear" w:color="auto" w:fill="auto"/>
          </w:tcPr>
          <w:p w:rsidRPr="003C76A2" w:rsidR="003C76A2" w:rsidP="00351D50" w:rsidRDefault="003C76A2" w14:paraId="2EAFB69B" w14:textId="6BD371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Pr>
                <w:sz w:val="24"/>
                <w:szCs w:val="24"/>
              </w:rPr>
              <w:t>$29</w:t>
            </w:r>
          </w:p>
        </w:tc>
        <w:tc>
          <w:tcPr>
            <w:tcW w:w="1607" w:type="dxa"/>
            <w:shd w:val="clear" w:color="auto" w:fill="auto"/>
          </w:tcPr>
          <w:p w:rsidRPr="003C76A2" w:rsidR="003C76A2" w:rsidP="00351D50" w:rsidRDefault="003C76A2" w14:paraId="25FD2F87" w14:textId="5D83CF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Pr>
                <w:sz w:val="24"/>
                <w:szCs w:val="24"/>
              </w:rPr>
              <w:t>120</w:t>
            </w:r>
          </w:p>
        </w:tc>
        <w:tc>
          <w:tcPr>
            <w:tcW w:w="1175" w:type="dxa"/>
            <w:shd w:val="clear" w:color="auto" w:fill="auto"/>
          </w:tcPr>
          <w:p w:rsidRPr="00351D50" w:rsidR="003C76A2" w:rsidP="00351D50" w:rsidRDefault="003C76A2" w14:paraId="7D151200" w14:textId="4F8905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r w:rsidRPr="00351D50">
              <w:rPr>
                <w:b/>
                <w:sz w:val="24"/>
                <w:szCs w:val="24"/>
              </w:rPr>
              <w:t>$3,480</w:t>
            </w:r>
          </w:p>
        </w:tc>
      </w:tr>
    </w:tbl>
    <w:p w:rsidRPr="003C76A2" w:rsidR="00784B2A" w:rsidP="00D870B8" w:rsidRDefault="00784B2A" w14:paraId="3A564AB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A14936" w:rsidP="00703D91" w:rsidRDefault="00D177C6" w14:paraId="508E43BD" w14:textId="3D226859">
      <w:pPr>
        <w:pStyle w:val="ListParagraph"/>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3C76A2">
        <w:rPr>
          <w:b/>
          <w:sz w:val="24"/>
          <w:szCs w:val="24"/>
        </w:rPr>
        <w:t>The Agency Tally</w:t>
      </w:r>
    </w:p>
    <w:p w:rsidR="00703D91" w:rsidP="00703D91" w:rsidRDefault="00703D91" w14:paraId="3BFC4DF9" w14:textId="39484D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p w:rsidRPr="0053229E" w:rsidR="00703D91" w:rsidP="00703D91" w:rsidRDefault="00703D91" w14:paraId="7BBE6F6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highlight w:val="yellow"/>
        </w:rPr>
      </w:pPr>
    </w:p>
    <w:p w:rsidRPr="003C76A2" w:rsidR="00703D91" w:rsidP="00703D91" w:rsidRDefault="00703D91" w14:paraId="53C5C1E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sidRPr="003C76A2">
        <w:rPr>
          <w:b/>
          <w:sz w:val="24"/>
          <w:szCs w:val="24"/>
        </w:rPr>
        <w:t>Bottom-Line Annual Agency Burden and Cost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560"/>
        <w:gridCol w:w="1572"/>
        <w:gridCol w:w="1556"/>
        <w:gridCol w:w="1546"/>
        <w:gridCol w:w="1554"/>
      </w:tblGrid>
      <w:tr w:rsidRPr="003C76A2" w:rsidR="00703D91" w:rsidTr="003C76A2" w14:paraId="236DF2A5" w14:textId="77777777">
        <w:tc>
          <w:tcPr>
            <w:tcW w:w="1560" w:type="dxa"/>
            <w:shd w:val="clear" w:color="auto" w:fill="auto"/>
          </w:tcPr>
          <w:p w:rsidRPr="003C76A2" w:rsidR="00703D91" w:rsidP="00171417" w:rsidRDefault="00703D91" w14:paraId="64AC86F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tc>
        <w:tc>
          <w:tcPr>
            <w:tcW w:w="1572" w:type="dxa"/>
            <w:shd w:val="clear" w:color="auto" w:fill="auto"/>
          </w:tcPr>
          <w:p w:rsidRPr="003C76A2" w:rsidR="00703D91" w:rsidP="003C76A2" w:rsidRDefault="00703D91" w14:paraId="49C2BFF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sidRPr="003C76A2">
              <w:rPr>
                <w:szCs w:val="24"/>
              </w:rPr>
              <w:t>Agency Hours for Each Respondent</w:t>
            </w:r>
          </w:p>
        </w:tc>
        <w:tc>
          <w:tcPr>
            <w:tcW w:w="1556" w:type="dxa"/>
            <w:shd w:val="clear" w:color="auto" w:fill="auto"/>
          </w:tcPr>
          <w:p w:rsidRPr="003C76A2" w:rsidR="00703D91" w:rsidP="003C76A2" w:rsidRDefault="00703D91" w14:paraId="4F4A775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sidRPr="003C76A2">
              <w:rPr>
                <w:szCs w:val="24"/>
              </w:rPr>
              <w:t>Number of Hours Per Year</w:t>
            </w:r>
          </w:p>
        </w:tc>
        <w:tc>
          <w:tcPr>
            <w:tcW w:w="1546" w:type="dxa"/>
            <w:shd w:val="clear" w:color="auto" w:fill="auto"/>
          </w:tcPr>
          <w:p w:rsidRPr="003C76A2" w:rsidR="00703D91" w:rsidP="003C76A2" w:rsidRDefault="00703D91" w14:paraId="76D00E1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sidRPr="003C76A2">
              <w:rPr>
                <w:szCs w:val="24"/>
              </w:rPr>
              <w:t>Labor Cost Per Year</w:t>
            </w:r>
          </w:p>
        </w:tc>
        <w:tc>
          <w:tcPr>
            <w:tcW w:w="1554" w:type="dxa"/>
            <w:shd w:val="clear" w:color="auto" w:fill="auto"/>
          </w:tcPr>
          <w:p w:rsidRPr="003C76A2" w:rsidR="00703D91" w:rsidP="003C76A2" w:rsidRDefault="00703D91" w14:paraId="22BC0DE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sidRPr="003C76A2">
              <w:rPr>
                <w:szCs w:val="24"/>
              </w:rPr>
              <w:t>Total Agency Cost Per year</w:t>
            </w:r>
          </w:p>
        </w:tc>
      </w:tr>
      <w:tr w:rsidRPr="0077193C" w:rsidR="00703D91" w:rsidTr="003C76A2" w14:paraId="24431212" w14:textId="77777777">
        <w:tc>
          <w:tcPr>
            <w:tcW w:w="1560" w:type="dxa"/>
            <w:shd w:val="clear" w:color="auto" w:fill="auto"/>
          </w:tcPr>
          <w:p w:rsidRPr="0077193C" w:rsidR="00703D91" w:rsidP="00171417" w:rsidRDefault="00703D91" w14:paraId="4C025F5C" w14:textId="60FBE2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3C76A2">
              <w:rPr>
                <w:sz w:val="24"/>
                <w:szCs w:val="24"/>
              </w:rPr>
              <w:t xml:space="preserve">Agency Total </w:t>
            </w:r>
          </w:p>
        </w:tc>
        <w:tc>
          <w:tcPr>
            <w:tcW w:w="1572" w:type="dxa"/>
            <w:shd w:val="clear" w:color="auto" w:fill="auto"/>
          </w:tcPr>
          <w:p w:rsidRPr="0077193C" w:rsidR="00703D91" w:rsidP="003C76A2" w:rsidRDefault="00703D91" w14:paraId="121127D6" w14:textId="6DFC50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Pr>
                <w:sz w:val="24"/>
                <w:szCs w:val="24"/>
              </w:rPr>
              <w:t>.5</w:t>
            </w:r>
          </w:p>
        </w:tc>
        <w:tc>
          <w:tcPr>
            <w:tcW w:w="1556" w:type="dxa"/>
            <w:shd w:val="clear" w:color="auto" w:fill="auto"/>
          </w:tcPr>
          <w:p w:rsidRPr="0077193C" w:rsidR="00703D91" w:rsidP="003C76A2" w:rsidRDefault="00703D91" w14:paraId="3732074C" w14:textId="5E68D0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Pr>
                <w:sz w:val="24"/>
                <w:szCs w:val="24"/>
              </w:rPr>
              <w:t>20</w:t>
            </w:r>
          </w:p>
        </w:tc>
        <w:tc>
          <w:tcPr>
            <w:tcW w:w="1546" w:type="dxa"/>
            <w:shd w:val="clear" w:color="auto" w:fill="auto"/>
          </w:tcPr>
          <w:p w:rsidRPr="0077193C" w:rsidR="00703D91" w:rsidP="003C76A2" w:rsidRDefault="00703D91" w14:paraId="154EBE30" w14:textId="7FBF75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Pr>
                <w:sz w:val="24"/>
                <w:szCs w:val="24"/>
              </w:rPr>
              <w:t>$530</w:t>
            </w:r>
          </w:p>
        </w:tc>
        <w:tc>
          <w:tcPr>
            <w:tcW w:w="1554" w:type="dxa"/>
            <w:shd w:val="clear" w:color="auto" w:fill="auto"/>
          </w:tcPr>
          <w:p w:rsidRPr="003C76A2" w:rsidR="00703D91" w:rsidP="003C76A2" w:rsidRDefault="00703D91" w14:paraId="03CB2B26" w14:textId="464F2B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r w:rsidRPr="003C76A2">
              <w:rPr>
                <w:b/>
                <w:sz w:val="24"/>
                <w:szCs w:val="24"/>
              </w:rPr>
              <w:t>$530</w:t>
            </w:r>
          </w:p>
        </w:tc>
      </w:tr>
      <w:tr w:rsidRPr="0077193C" w:rsidR="00703D91" w:rsidTr="003C76A2" w14:paraId="43921F2D" w14:textId="77777777">
        <w:tc>
          <w:tcPr>
            <w:tcW w:w="1560" w:type="dxa"/>
            <w:shd w:val="clear" w:color="auto" w:fill="auto"/>
          </w:tcPr>
          <w:p w:rsidRPr="003C76A2" w:rsidR="00703D91" w:rsidP="00171417" w:rsidRDefault="00703D91" w14:paraId="178EF434" w14:textId="1E61E8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 xml:space="preserve">3 Years </w:t>
            </w:r>
          </w:p>
        </w:tc>
        <w:tc>
          <w:tcPr>
            <w:tcW w:w="1572" w:type="dxa"/>
            <w:shd w:val="clear" w:color="auto" w:fill="auto"/>
          </w:tcPr>
          <w:p w:rsidRPr="0077193C" w:rsidR="00703D91" w:rsidP="003C76A2" w:rsidRDefault="00703D91" w14:paraId="623B2B0E" w14:textId="645F72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Pr>
                <w:sz w:val="24"/>
                <w:szCs w:val="24"/>
              </w:rPr>
              <w:t>1.5</w:t>
            </w:r>
          </w:p>
        </w:tc>
        <w:tc>
          <w:tcPr>
            <w:tcW w:w="1556" w:type="dxa"/>
            <w:shd w:val="clear" w:color="auto" w:fill="auto"/>
          </w:tcPr>
          <w:p w:rsidRPr="0077193C" w:rsidR="00703D91" w:rsidP="003C76A2" w:rsidRDefault="00703D91" w14:paraId="12EFB2D2" w14:textId="4B75EB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Pr>
                <w:sz w:val="24"/>
                <w:szCs w:val="24"/>
              </w:rPr>
              <w:t>60</w:t>
            </w:r>
          </w:p>
        </w:tc>
        <w:tc>
          <w:tcPr>
            <w:tcW w:w="1546" w:type="dxa"/>
            <w:shd w:val="clear" w:color="auto" w:fill="auto"/>
          </w:tcPr>
          <w:p w:rsidRPr="0077193C" w:rsidR="00703D91" w:rsidP="003C76A2" w:rsidRDefault="00703D91" w14:paraId="10ABEA00" w14:textId="4DD840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Pr>
                <w:sz w:val="24"/>
                <w:szCs w:val="24"/>
              </w:rPr>
              <w:t>$1,590</w:t>
            </w:r>
          </w:p>
        </w:tc>
        <w:tc>
          <w:tcPr>
            <w:tcW w:w="1554" w:type="dxa"/>
            <w:shd w:val="clear" w:color="auto" w:fill="auto"/>
          </w:tcPr>
          <w:p w:rsidRPr="003C76A2" w:rsidR="00703D91" w:rsidP="003C76A2" w:rsidRDefault="00703D91" w14:paraId="6910C63E" w14:textId="502C22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r w:rsidRPr="003C76A2">
              <w:rPr>
                <w:b/>
                <w:sz w:val="24"/>
                <w:szCs w:val="24"/>
              </w:rPr>
              <w:t>$1,590</w:t>
            </w:r>
          </w:p>
        </w:tc>
      </w:tr>
    </w:tbl>
    <w:p w:rsidRPr="003C76A2" w:rsidR="00703D91" w:rsidP="003C76A2" w:rsidRDefault="00703D91" w14:paraId="25CBCC9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p w:rsidRPr="00D870B8" w:rsidR="00D870B8" w:rsidP="00D177C6" w:rsidRDefault="00D870B8" w14:paraId="52E1CC2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D177C6" w:rsidP="00D177C6" w:rsidRDefault="00D177C6" w14:paraId="3B61AFA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D870B8">
        <w:rPr>
          <w:b/>
          <w:sz w:val="24"/>
          <w:szCs w:val="24"/>
        </w:rPr>
        <w:t>(iii) Variations in the Annual Bottom Line</w:t>
      </w:r>
    </w:p>
    <w:p w:rsidR="00D870B8" w:rsidP="00D177C6" w:rsidRDefault="00D870B8" w14:paraId="2D9CC8C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213041" w:rsidP="00D177C6" w:rsidRDefault="00D870B8" w14:paraId="0177D5B2" w14:textId="067909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We do not anticipate major variations in the annual bottom line burden hours and costs for the respondents or the Agency.</w:t>
      </w:r>
    </w:p>
    <w:p w:rsidRPr="00D870B8" w:rsidR="00D870B8" w:rsidP="00D177C6" w:rsidRDefault="00D870B8" w14:paraId="13F2EF8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D177C6" w:rsidP="303DD680" w:rsidRDefault="303DD680" w14:paraId="69DB93F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bookmarkStart w:name="_Hlk22635606" w:id="3"/>
      <w:r w:rsidRPr="303DD680">
        <w:rPr>
          <w:b/>
          <w:bCs/>
          <w:sz w:val="24"/>
          <w:szCs w:val="24"/>
        </w:rPr>
        <w:t>6(f) Reasons for Change in Burden</w:t>
      </w:r>
    </w:p>
    <w:p w:rsidR="00D870B8" w:rsidP="00D177C6" w:rsidRDefault="00D870B8" w14:paraId="27C82B9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D870B8" w:rsidP="00F9736F" w:rsidRDefault="7E7FEDF5" w14:paraId="453E31C7" w14:textId="40488C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bookmarkStart w:name="_Hlk6586737" w:id="4"/>
      <w:r w:rsidRPr="7E7FEDF5">
        <w:rPr>
          <w:sz w:val="24"/>
          <w:szCs w:val="24"/>
        </w:rPr>
        <w:t xml:space="preserve">There is a decrease of 52 burden hours in the total estimated respondent burden compared with the ICR currently approved by OMB. </w:t>
      </w:r>
      <w:r w:rsidRPr="7E7FEDF5" w:rsidR="00E9729C">
        <w:rPr>
          <w:sz w:val="24"/>
          <w:szCs w:val="24"/>
        </w:rPr>
        <w:t xml:space="preserve">This decrease is </w:t>
      </w:r>
      <w:r w:rsidR="00E9729C">
        <w:rPr>
          <w:sz w:val="24"/>
          <w:szCs w:val="24"/>
        </w:rPr>
        <w:t xml:space="preserve">a result of </w:t>
      </w:r>
      <w:r w:rsidRPr="7E7FEDF5" w:rsidR="00E9729C">
        <w:rPr>
          <w:sz w:val="24"/>
          <w:szCs w:val="24"/>
        </w:rPr>
        <w:t>adjustment</w:t>
      </w:r>
      <w:r w:rsidR="00E9729C">
        <w:rPr>
          <w:sz w:val="24"/>
          <w:szCs w:val="24"/>
        </w:rPr>
        <w:t>s in</w:t>
      </w:r>
      <w:r w:rsidRPr="7E7FEDF5" w:rsidR="00E9729C">
        <w:rPr>
          <w:sz w:val="24"/>
          <w:szCs w:val="24"/>
        </w:rPr>
        <w:t xml:space="preserve"> estimates </w:t>
      </w:r>
      <w:r w:rsidR="00E9729C">
        <w:rPr>
          <w:sz w:val="24"/>
          <w:szCs w:val="24"/>
        </w:rPr>
        <w:t xml:space="preserve">of time </w:t>
      </w:r>
      <w:r w:rsidRPr="7E7FEDF5" w:rsidR="00E9729C">
        <w:rPr>
          <w:sz w:val="24"/>
          <w:szCs w:val="24"/>
        </w:rPr>
        <w:t xml:space="preserve">required </w:t>
      </w:r>
      <w:r w:rsidR="00E9729C">
        <w:rPr>
          <w:sz w:val="24"/>
          <w:szCs w:val="24"/>
        </w:rPr>
        <w:t xml:space="preserve">for </w:t>
      </w:r>
      <w:r w:rsidRPr="7E7FEDF5" w:rsidR="00E9729C">
        <w:rPr>
          <w:sz w:val="24"/>
          <w:szCs w:val="24"/>
        </w:rPr>
        <w:t xml:space="preserve">recordkeeping duties. </w:t>
      </w:r>
      <w:r w:rsidR="00DD02DD">
        <w:rPr>
          <w:sz w:val="24"/>
          <w:szCs w:val="24"/>
        </w:rPr>
        <w:t>The previous ICR was a first-time estimate of the number of hours it would take for individuals to complete training and maintain those records, based on similar training efforts that were in place</w:t>
      </w:r>
      <w:r w:rsidR="001F59A2">
        <w:rPr>
          <w:sz w:val="24"/>
          <w:szCs w:val="24"/>
        </w:rPr>
        <w:t xml:space="preserve"> at the time</w:t>
      </w:r>
      <w:r w:rsidR="00DD02DD">
        <w:rPr>
          <w:sz w:val="24"/>
          <w:szCs w:val="24"/>
        </w:rPr>
        <w:t xml:space="preserve">. </w:t>
      </w:r>
      <w:commentRangeStart w:id="5"/>
      <w:commentRangeStart w:id="6"/>
      <w:r w:rsidR="00641829">
        <w:rPr>
          <w:sz w:val="24"/>
          <w:szCs w:val="24"/>
        </w:rPr>
        <w:t xml:space="preserve"> </w:t>
      </w:r>
      <w:r w:rsidR="00C91316">
        <w:rPr>
          <w:sz w:val="24"/>
          <w:szCs w:val="24"/>
        </w:rPr>
        <w:t xml:space="preserve">The </w:t>
      </w:r>
      <w:r w:rsidR="001F3BE5">
        <w:rPr>
          <w:sz w:val="24"/>
          <w:szCs w:val="24"/>
        </w:rPr>
        <w:t xml:space="preserve">EPA-developed </w:t>
      </w:r>
      <w:r w:rsidR="00C91316">
        <w:rPr>
          <w:sz w:val="24"/>
          <w:szCs w:val="24"/>
        </w:rPr>
        <w:t>DURC</w:t>
      </w:r>
      <w:r w:rsidR="00641829">
        <w:rPr>
          <w:sz w:val="24"/>
          <w:szCs w:val="24"/>
        </w:rPr>
        <w:t xml:space="preserve"> training</w:t>
      </w:r>
      <w:r w:rsidR="00B21558">
        <w:rPr>
          <w:sz w:val="24"/>
          <w:szCs w:val="24"/>
        </w:rPr>
        <w:t>, as one example,</w:t>
      </w:r>
      <w:r w:rsidR="00641829">
        <w:rPr>
          <w:sz w:val="24"/>
          <w:szCs w:val="24"/>
        </w:rPr>
        <w:t xml:space="preserve"> require</w:t>
      </w:r>
      <w:r w:rsidR="00C91316">
        <w:rPr>
          <w:sz w:val="24"/>
          <w:szCs w:val="24"/>
        </w:rPr>
        <w:t>s</w:t>
      </w:r>
      <w:r w:rsidR="00641829">
        <w:rPr>
          <w:sz w:val="24"/>
          <w:szCs w:val="24"/>
        </w:rPr>
        <w:t xml:space="preserve"> about 20 minutes of an individual</w:t>
      </w:r>
      <w:r w:rsidR="00391C3B">
        <w:rPr>
          <w:sz w:val="24"/>
          <w:szCs w:val="24"/>
        </w:rPr>
        <w:t>’</w:t>
      </w:r>
      <w:r w:rsidR="00641829">
        <w:rPr>
          <w:sz w:val="24"/>
          <w:szCs w:val="24"/>
        </w:rPr>
        <w:t>s time</w:t>
      </w:r>
      <w:r w:rsidR="00391C3B">
        <w:rPr>
          <w:sz w:val="24"/>
          <w:szCs w:val="24"/>
        </w:rPr>
        <w:t>,</w:t>
      </w:r>
      <w:r w:rsidR="00641829">
        <w:rPr>
          <w:sz w:val="24"/>
          <w:szCs w:val="24"/>
        </w:rPr>
        <w:t xml:space="preserve"> with an additional 10 minutes for maintaining those records. </w:t>
      </w:r>
      <w:r w:rsidR="00E9729C">
        <w:rPr>
          <w:sz w:val="24"/>
          <w:szCs w:val="24"/>
        </w:rPr>
        <w:t xml:space="preserve">Since then, in </w:t>
      </w:r>
      <w:r w:rsidR="00C91316">
        <w:rPr>
          <w:sz w:val="24"/>
          <w:szCs w:val="24"/>
        </w:rPr>
        <w:t>EPA’s</w:t>
      </w:r>
      <w:r w:rsidR="00641829">
        <w:rPr>
          <w:sz w:val="24"/>
          <w:szCs w:val="24"/>
        </w:rPr>
        <w:t xml:space="preserve"> consultation with the private sector</w:t>
      </w:r>
      <w:r w:rsidR="00E9729C">
        <w:rPr>
          <w:sz w:val="24"/>
          <w:szCs w:val="24"/>
        </w:rPr>
        <w:t xml:space="preserve">, the Agency </w:t>
      </w:r>
      <w:commentRangeEnd w:id="5"/>
      <w:commentRangeEnd w:id="6"/>
      <w:r w:rsidR="00E9729C">
        <w:rPr>
          <w:sz w:val="24"/>
          <w:szCs w:val="24"/>
        </w:rPr>
        <w:t>learned t</w:t>
      </w:r>
      <w:r w:rsidR="00B21558">
        <w:rPr>
          <w:sz w:val="24"/>
          <w:szCs w:val="24"/>
        </w:rPr>
        <w:t xml:space="preserve">hat DURC training had been incorporated into </w:t>
      </w:r>
      <w:r w:rsidR="00E9729C">
        <w:rPr>
          <w:sz w:val="24"/>
          <w:szCs w:val="24"/>
        </w:rPr>
        <w:t xml:space="preserve">ongoing and </w:t>
      </w:r>
      <w:r w:rsidR="00B21558">
        <w:rPr>
          <w:sz w:val="24"/>
          <w:szCs w:val="24"/>
        </w:rPr>
        <w:t xml:space="preserve">broader biosecurity and biosafety training and that the </w:t>
      </w:r>
      <w:r w:rsidR="00E9729C">
        <w:rPr>
          <w:sz w:val="24"/>
          <w:szCs w:val="24"/>
        </w:rPr>
        <w:t xml:space="preserve">recordkeeping responsibilities covered in this ICR </w:t>
      </w:r>
      <w:r w:rsidR="003E4D62">
        <w:rPr>
          <w:sz w:val="24"/>
          <w:szCs w:val="24"/>
        </w:rPr>
        <w:t xml:space="preserve">consume significantly </w:t>
      </w:r>
      <w:r w:rsidR="00E9729C">
        <w:rPr>
          <w:sz w:val="24"/>
          <w:szCs w:val="24"/>
        </w:rPr>
        <w:t xml:space="preserve">less time than originally anticipated. Total burden hours have been </w:t>
      </w:r>
      <w:r w:rsidR="003E4D62">
        <w:rPr>
          <w:sz w:val="24"/>
          <w:szCs w:val="24"/>
        </w:rPr>
        <w:t xml:space="preserve">adjusted accordingly.  </w:t>
      </w:r>
    </w:p>
    <w:bookmarkEnd w:id="3"/>
    <w:bookmarkEnd w:id="4"/>
    <w:p w:rsidRPr="00D870B8" w:rsidR="00306C84" w:rsidP="00D177C6" w:rsidRDefault="00306C84" w14:paraId="32450108" w14:textId="35625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D870B8" w:rsidR="00D177C6" w:rsidP="00D177C6" w:rsidRDefault="00D177C6" w14:paraId="24BA4EE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D870B8">
        <w:rPr>
          <w:b/>
          <w:sz w:val="24"/>
          <w:szCs w:val="24"/>
        </w:rPr>
        <w:t>6(g) Burden Statement</w:t>
      </w:r>
    </w:p>
    <w:p w:rsidR="00D177C6" w:rsidP="00D177C6" w:rsidRDefault="00D177C6" w14:paraId="1A72E21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2B4E03" w:rsidP="00D177C6" w:rsidRDefault="002B4E03" w14:paraId="44588032" w14:textId="32CFB2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 xml:space="preserve">The annual public reporting and recordkeeping burden for this collection of information is estimated to </w:t>
      </w:r>
      <w:r w:rsidRPr="003C76A2">
        <w:rPr>
          <w:sz w:val="24"/>
          <w:szCs w:val="24"/>
        </w:rPr>
        <w:t>a</w:t>
      </w:r>
      <w:r w:rsidRPr="003C76A2" w:rsidR="00A14936">
        <w:rPr>
          <w:sz w:val="24"/>
          <w:szCs w:val="24"/>
        </w:rPr>
        <w:t xml:space="preserve">verage </w:t>
      </w:r>
      <w:r w:rsidRPr="000A6B2F" w:rsidR="00A14936">
        <w:rPr>
          <w:sz w:val="24"/>
          <w:szCs w:val="24"/>
        </w:rPr>
        <w:t>of</w:t>
      </w:r>
      <w:r w:rsidR="008212C4">
        <w:rPr>
          <w:sz w:val="24"/>
          <w:szCs w:val="24"/>
        </w:rPr>
        <w:t xml:space="preserve"> 0</w:t>
      </w:r>
      <w:r w:rsidRPr="000A6B2F" w:rsidR="00A14936">
        <w:rPr>
          <w:sz w:val="24"/>
          <w:szCs w:val="24"/>
        </w:rPr>
        <w:t>.</w:t>
      </w:r>
      <w:r w:rsidRPr="000A6B2F" w:rsidR="008212C4">
        <w:rPr>
          <w:sz w:val="24"/>
          <w:szCs w:val="24"/>
        </w:rPr>
        <w:t xml:space="preserve">5 </w:t>
      </w:r>
      <w:r w:rsidRPr="000A6B2F" w:rsidR="00A14936">
        <w:rPr>
          <w:sz w:val="24"/>
          <w:szCs w:val="24"/>
        </w:rPr>
        <w:t>hours</w:t>
      </w:r>
      <w:r w:rsidRPr="000A6B2F">
        <w:rPr>
          <w:sz w:val="24"/>
          <w:szCs w:val="24"/>
        </w:rPr>
        <w:t xml:space="preserve"> per response.</w:t>
      </w:r>
      <w:r>
        <w:rPr>
          <w:sz w:val="24"/>
          <w:szCs w:val="24"/>
        </w:rPr>
        <w:t xml:space="preserve"> Burden means the total time, effort, or financial </w:t>
      </w:r>
      <w:r>
        <w:rPr>
          <w:sz w:val="24"/>
          <w:szCs w:val="24"/>
        </w:rPr>
        <w:lastRenderedPageBreak/>
        <w:t>resources expended by persons to generate, maintain, retain, or disclose or provide information to or for a Federal agency. This includes the time needed to review instructions; develop, acquire, install, and utilize technology and systems for the purpose of collecting, validating, and verifying information, processing and maintaining information, and disclosing and providing information; adjusting the existing ways to comply with any previously applicable applications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 for EPA’s regulations are listed in 40 CFR part 9 and 48 CFR chapter 15.</w:t>
      </w:r>
    </w:p>
    <w:p w:rsidR="002B4E03" w:rsidP="00D177C6" w:rsidRDefault="002B4E03" w14:paraId="123AD0F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2B4E03" w:rsidP="00D177C6" w:rsidRDefault="002B4E03" w14:paraId="756F3C30" w14:textId="419F82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To comment on the Agency’s need for this information, the accuracy of the provided burden estimates, and any suggested methods for minimizing respondent burden, including the use of automated collection techniques, EPA has establ</w:t>
      </w:r>
      <w:r w:rsidR="00D86925">
        <w:rPr>
          <w:sz w:val="24"/>
          <w:szCs w:val="24"/>
        </w:rPr>
        <w:t>ished a public docket for this I</w:t>
      </w:r>
      <w:r>
        <w:rPr>
          <w:sz w:val="24"/>
          <w:szCs w:val="24"/>
        </w:rPr>
        <w:t xml:space="preserve">CR under </w:t>
      </w:r>
      <w:r w:rsidRPr="007139C6">
        <w:rPr>
          <w:color w:val="000000" w:themeColor="text1"/>
          <w:sz w:val="24"/>
          <w:szCs w:val="24"/>
        </w:rPr>
        <w:t xml:space="preserve">Docket Number </w:t>
      </w:r>
      <w:r w:rsidRPr="003C76A2" w:rsidR="009A6FCC">
        <w:rPr>
          <w:bCs/>
          <w:color w:val="000000" w:themeColor="text1"/>
          <w:sz w:val="24"/>
          <w:szCs w:val="24"/>
        </w:rPr>
        <w:t>EPA-HQ-</w:t>
      </w:r>
      <w:r w:rsidRPr="003C76A2" w:rsidR="007139C6">
        <w:rPr>
          <w:bCs/>
          <w:color w:val="000000" w:themeColor="text1"/>
          <w:sz w:val="24"/>
          <w:szCs w:val="24"/>
        </w:rPr>
        <w:t>201</w:t>
      </w:r>
      <w:r w:rsidRPr="003C76A2" w:rsidR="00CA3FFB">
        <w:rPr>
          <w:bCs/>
          <w:color w:val="000000" w:themeColor="text1"/>
          <w:sz w:val="24"/>
          <w:szCs w:val="24"/>
        </w:rPr>
        <w:t>6-</w:t>
      </w:r>
      <w:r w:rsidRPr="003C76A2" w:rsidR="00A14936">
        <w:rPr>
          <w:bCs/>
          <w:color w:val="000000" w:themeColor="text1"/>
          <w:sz w:val="24"/>
          <w:szCs w:val="24"/>
        </w:rPr>
        <w:t>0010</w:t>
      </w:r>
      <w:r w:rsidRPr="007139C6" w:rsidR="009A6FCC">
        <w:rPr>
          <w:color w:val="000000" w:themeColor="text1"/>
          <w:sz w:val="24"/>
          <w:szCs w:val="24"/>
        </w:rPr>
        <w:t>,</w:t>
      </w:r>
      <w:r w:rsidRPr="007139C6">
        <w:rPr>
          <w:color w:val="000000" w:themeColor="text1"/>
          <w:sz w:val="24"/>
          <w:szCs w:val="24"/>
        </w:rPr>
        <w:t xml:space="preserve"> </w:t>
      </w:r>
      <w:r>
        <w:rPr>
          <w:sz w:val="24"/>
          <w:szCs w:val="24"/>
        </w:rPr>
        <w:t xml:space="preserve">which is available for online viewing at </w:t>
      </w:r>
      <w:hyperlink w:history="1" r:id="rId12">
        <w:r w:rsidRPr="00C038D8" w:rsidR="00C038D8">
          <w:rPr>
            <w:rStyle w:val="Hyperlink"/>
            <w:color w:val="auto"/>
            <w:sz w:val="24"/>
            <w:szCs w:val="24"/>
            <w:u w:val="none"/>
          </w:rPr>
          <w:t>www.regulations.gov</w:t>
        </w:r>
      </w:hyperlink>
      <w:r w:rsidRPr="00C038D8">
        <w:rPr>
          <w:sz w:val="24"/>
          <w:szCs w:val="24"/>
        </w:rPr>
        <w:t xml:space="preserve">, </w:t>
      </w:r>
      <w:r>
        <w:rPr>
          <w:sz w:val="24"/>
          <w:szCs w:val="24"/>
        </w:rPr>
        <w:t xml:space="preserve">or in person viewing at the Office of </w:t>
      </w:r>
      <w:r w:rsidR="00897550">
        <w:rPr>
          <w:sz w:val="24"/>
          <w:szCs w:val="24"/>
        </w:rPr>
        <w:t>Mission Support</w:t>
      </w:r>
      <w:r w:rsidR="004D22FC">
        <w:rPr>
          <w:sz w:val="24"/>
          <w:szCs w:val="24"/>
        </w:rPr>
        <w:t xml:space="preserve"> Docket in the EPA Docket Center (EPA/DC), EPA William Jefferson Clinton West Building, Room 3334, 1301 Constitution Avenue, NW, Washington, DC. The EPA Docket Center Public Read</w:t>
      </w:r>
      <w:r w:rsidR="00C038D8">
        <w:rPr>
          <w:sz w:val="24"/>
          <w:szCs w:val="24"/>
        </w:rPr>
        <w:t>ing Room is open from 8:30 a.m. –</w:t>
      </w:r>
      <w:r w:rsidR="004D22FC">
        <w:rPr>
          <w:sz w:val="24"/>
          <w:szCs w:val="24"/>
        </w:rPr>
        <w:t xml:space="preserve"> 4:30 p.m., Monday through Friday, excluding legal holidays. The telephone number for the Reading Room is (202) 566-1744, and the telephone number for the Office of </w:t>
      </w:r>
      <w:r w:rsidR="00897550">
        <w:rPr>
          <w:sz w:val="24"/>
          <w:szCs w:val="24"/>
        </w:rPr>
        <w:t>Mission Support</w:t>
      </w:r>
      <w:r w:rsidR="004D22FC">
        <w:rPr>
          <w:sz w:val="24"/>
          <w:szCs w:val="24"/>
        </w:rPr>
        <w:t xml:space="preserve"> Docket is (202) 566-9744. An electronic version of the public docket is available </w:t>
      </w:r>
      <w:r w:rsidRPr="00C038D8" w:rsidR="004D22FC">
        <w:rPr>
          <w:sz w:val="24"/>
          <w:szCs w:val="24"/>
        </w:rPr>
        <w:t xml:space="preserve">at </w:t>
      </w:r>
      <w:hyperlink w:history="1" r:id="rId13">
        <w:r w:rsidRPr="00C038D8" w:rsidR="004D22FC">
          <w:rPr>
            <w:rStyle w:val="Hyperlink"/>
            <w:color w:val="auto"/>
            <w:sz w:val="24"/>
            <w:szCs w:val="24"/>
            <w:u w:val="none"/>
          </w:rPr>
          <w:t>www.regulations.gov</w:t>
        </w:r>
      </w:hyperlink>
      <w:r w:rsidRPr="00C038D8" w:rsidR="004D22FC">
        <w:rPr>
          <w:sz w:val="24"/>
          <w:szCs w:val="24"/>
        </w:rPr>
        <w:t xml:space="preserve">. </w:t>
      </w:r>
      <w:r w:rsidR="004D22FC">
        <w:rPr>
          <w:sz w:val="24"/>
          <w:szCs w:val="24"/>
        </w:rPr>
        <w:t>This site can be used to submit or view public comments, access the index listing of the contents of the public docket, and to access those documents in the public docket that are available electronically. Also, you can send comments to the Office of Information and Regulatory Affairs, Office of Management and Budget, 725 17</w:t>
      </w:r>
      <w:r w:rsidRPr="004D22FC" w:rsidR="004D22FC">
        <w:rPr>
          <w:sz w:val="24"/>
          <w:szCs w:val="24"/>
          <w:vertAlign w:val="superscript"/>
        </w:rPr>
        <w:t>th</w:t>
      </w:r>
      <w:r w:rsidR="004D22FC">
        <w:rPr>
          <w:sz w:val="24"/>
          <w:szCs w:val="24"/>
        </w:rPr>
        <w:t xml:space="preserve"> Street, NW, Washington, D.C. 20503, Attention: Desk Officer for EPA. Please include the </w:t>
      </w:r>
      <w:r w:rsidRPr="007139C6" w:rsidR="004D22FC">
        <w:rPr>
          <w:sz w:val="24"/>
          <w:szCs w:val="24"/>
        </w:rPr>
        <w:t xml:space="preserve">EPA </w:t>
      </w:r>
      <w:r w:rsidRPr="003C76A2" w:rsidR="004D22FC">
        <w:rPr>
          <w:sz w:val="24"/>
          <w:szCs w:val="24"/>
        </w:rPr>
        <w:t xml:space="preserve">Docket ID Number </w:t>
      </w:r>
      <w:r w:rsidRPr="003C76A2" w:rsidR="009A6FCC">
        <w:rPr>
          <w:bCs/>
          <w:sz w:val="24"/>
          <w:szCs w:val="24"/>
        </w:rPr>
        <w:t>EPA-HQ-</w:t>
      </w:r>
      <w:r w:rsidRPr="003C76A2" w:rsidR="007139C6">
        <w:rPr>
          <w:bCs/>
          <w:sz w:val="24"/>
          <w:szCs w:val="24"/>
        </w:rPr>
        <w:t>201</w:t>
      </w:r>
      <w:r w:rsidRPr="003C76A2" w:rsidR="00CA3FFB">
        <w:rPr>
          <w:bCs/>
          <w:sz w:val="24"/>
          <w:szCs w:val="24"/>
        </w:rPr>
        <w:t>6-</w:t>
      </w:r>
      <w:r w:rsidRPr="003C76A2" w:rsidR="00A14936">
        <w:rPr>
          <w:bCs/>
          <w:sz w:val="24"/>
          <w:szCs w:val="24"/>
        </w:rPr>
        <w:t>0010</w:t>
      </w:r>
      <w:r w:rsidRPr="007139C6" w:rsidR="00D86925">
        <w:rPr>
          <w:bCs/>
          <w:sz w:val="24"/>
          <w:szCs w:val="24"/>
        </w:rPr>
        <w:t>,</w:t>
      </w:r>
      <w:r w:rsidR="00D86925">
        <w:rPr>
          <w:bCs/>
          <w:sz w:val="24"/>
          <w:szCs w:val="24"/>
        </w:rPr>
        <w:t xml:space="preserve"> </w:t>
      </w:r>
      <w:r w:rsidRPr="007139C6" w:rsidR="004D22FC">
        <w:rPr>
          <w:sz w:val="24"/>
          <w:szCs w:val="24"/>
        </w:rPr>
        <w:t xml:space="preserve">OMB Control No. </w:t>
      </w:r>
      <w:r w:rsidRPr="007139C6" w:rsidR="007139C6">
        <w:rPr>
          <w:sz w:val="24"/>
          <w:szCs w:val="24"/>
        </w:rPr>
        <w:t>2080-</w:t>
      </w:r>
      <w:r w:rsidR="008212C4">
        <w:rPr>
          <w:sz w:val="24"/>
          <w:szCs w:val="24"/>
        </w:rPr>
        <w:t xml:space="preserve">0082 </w:t>
      </w:r>
      <w:r w:rsidR="004D22FC">
        <w:rPr>
          <w:sz w:val="24"/>
          <w:szCs w:val="24"/>
        </w:rPr>
        <w:t>in any correspondence.</w:t>
      </w:r>
    </w:p>
    <w:p w:rsidR="002B4E03" w:rsidP="00D177C6" w:rsidRDefault="002B4E03" w14:paraId="476500F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2B4E03" w:rsidP="00D177C6" w:rsidRDefault="002B4E03" w14:paraId="08E1C8A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sectPr w:rsidR="002B4E03" w:rsidSect="00D177C6">
      <w:footerReference w:type="default" r:id="rId14"/>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14BBB3" w14:textId="77777777" w:rsidR="003C1B2D" w:rsidRDefault="003C1B2D" w:rsidP="0077193C">
      <w:r>
        <w:separator/>
      </w:r>
    </w:p>
  </w:endnote>
  <w:endnote w:type="continuationSeparator" w:id="0">
    <w:p w14:paraId="45E8B72B" w14:textId="77777777" w:rsidR="003C1B2D" w:rsidRDefault="003C1B2D" w:rsidP="00771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57EC2" w14:textId="4B87E593" w:rsidR="0007591C" w:rsidRDefault="0007591C">
    <w:pPr>
      <w:pStyle w:val="Footer"/>
      <w:jc w:val="center"/>
    </w:pPr>
    <w:r>
      <w:fldChar w:fldCharType="begin"/>
    </w:r>
    <w:r>
      <w:instrText xml:space="preserve"> PAGE   \* MERGEFORMAT </w:instrText>
    </w:r>
    <w:r>
      <w:fldChar w:fldCharType="separate"/>
    </w:r>
    <w:r w:rsidR="0071018F">
      <w:rPr>
        <w:noProof/>
      </w:rPr>
      <w:t>4</w:t>
    </w:r>
    <w:r>
      <w:rPr>
        <w:noProof/>
      </w:rPr>
      <w:fldChar w:fldCharType="end"/>
    </w:r>
  </w:p>
  <w:p w14:paraId="01DC8E94" w14:textId="77777777" w:rsidR="0007591C" w:rsidRDefault="000759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E9AAF4" w14:textId="77777777" w:rsidR="003C1B2D" w:rsidRDefault="003C1B2D" w:rsidP="0077193C">
      <w:r>
        <w:separator/>
      </w:r>
    </w:p>
  </w:footnote>
  <w:footnote w:type="continuationSeparator" w:id="0">
    <w:p w14:paraId="108B0A96" w14:textId="77777777" w:rsidR="003C1B2D" w:rsidRDefault="003C1B2D" w:rsidP="007719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F475D"/>
    <w:multiLevelType w:val="multilevel"/>
    <w:tmpl w:val="22B851E6"/>
    <w:numStyleLink w:val="StyleBulleted"/>
  </w:abstractNum>
  <w:abstractNum w:abstractNumId="1" w15:restartNumberingAfterBreak="0">
    <w:nsid w:val="042F1EA1"/>
    <w:multiLevelType w:val="hybridMultilevel"/>
    <w:tmpl w:val="7654E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7D6AA9"/>
    <w:multiLevelType w:val="hybridMultilevel"/>
    <w:tmpl w:val="29E46C6A"/>
    <w:lvl w:ilvl="0" w:tplc="9B54569C">
      <w:start w:val="1"/>
      <w:numFmt w:val="bullet"/>
      <w:lvlText w:val=""/>
      <w:lvlJc w:val="left"/>
      <w:pPr>
        <w:ind w:left="720" w:hanging="360"/>
      </w:pPr>
      <w:rPr>
        <w:rFonts w:ascii="Symbol" w:hAnsi="Symbol" w:hint="default"/>
      </w:rPr>
    </w:lvl>
    <w:lvl w:ilvl="1" w:tplc="30EC1ACC">
      <w:start w:val="1"/>
      <w:numFmt w:val="bullet"/>
      <w:lvlText w:val="o"/>
      <w:lvlJc w:val="left"/>
      <w:pPr>
        <w:ind w:left="1440" w:hanging="360"/>
      </w:pPr>
      <w:rPr>
        <w:rFonts w:ascii="Courier New" w:hAnsi="Courier New" w:hint="default"/>
      </w:rPr>
    </w:lvl>
    <w:lvl w:ilvl="2" w:tplc="5590E892">
      <w:start w:val="1"/>
      <w:numFmt w:val="bullet"/>
      <w:lvlText w:val=""/>
      <w:lvlJc w:val="left"/>
      <w:pPr>
        <w:ind w:left="2160" w:hanging="360"/>
      </w:pPr>
      <w:rPr>
        <w:rFonts w:ascii="Wingdings" w:hAnsi="Wingdings" w:hint="default"/>
      </w:rPr>
    </w:lvl>
    <w:lvl w:ilvl="3" w:tplc="DDE889F2">
      <w:start w:val="1"/>
      <w:numFmt w:val="bullet"/>
      <w:lvlText w:val=""/>
      <w:lvlJc w:val="left"/>
      <w:pPr>
        <w:ind w:left="2880" w:hanging="360"/>
      </w:pPr>
      <w:rPr>
        <w:rFonts w:ascii="Symbol" w:hAnsi="Symbol" w:hint="default"/>
      </w:rPr>
    </w:lvl>
    <w:lvl w:ilvl="4" w:tplc="84180586">
      <w:start w:val="1"/>
      <w:numFmt w:val="bullet"/>
      <w:lvlText w:val="o"/>
      <w:lvlJc w:val="left"/>
      <w:pPr>
        <w:ind w:left="3600" w:hanging="360"/>
      </w:pPr>
      <w:rPr>
        <w:rFonts w:ascii="Courier New" w:hAnsi="Courier New" w:hint="default"/>
      </w:rPr>
    </w:lvl>
    <w:lvl w:ilvl="5" w:tplc="3788BDE4">
      <w:start w:val="1"/>
      <w:numFmt w:val="bullet"/>
      <w:lvlText w:val=""/>
      <w:lvlJc w:val="left"/>
      <w:pPr>
        <w:ind w:left="4320" w:hanging="360"/>
      </w:pPr>
      <w:rPr>
        <w:rFonts w:ascii="Wingdings" w:hAnsi="Wingdings" w:hint="default"/>
      </w:rPr>
    </w:lvl>
    <w:lvl w:ilvl="6" w:tplc="62445826">
      <w:start w:val="1"/>
      <w:numFmt w:val="bullet"/>
      <w:lvlText w:val=""/>
      <w:lvlJc w:val="left"/>
      <w:pPr>
        <w:ind w:left="5040" w:hanging="360"/>
      </w:pPr>
      <w:rPr>
        <w:rFonts w:ascii="Symbol" w:hAnsi="Symbol" w:hint="default"/>
      </w:rPr>
    </w:lvl>
    <w:lvl w:ilvl="7" w:tplc="01F6BACE">
      <w:start w:val="1"/>
      <w:numFmt w:val="bullet"/>
      <w:lvlText w:val="o"/>
      <w:lvlJc w:val="left"/>
      <w:pPr>
        <w:ind w:left="5760" w:hanging="360"/>
      </w:pPr>
      <w:rPr>
        <w:rFonts w:ascii="Courier New" w:hAnsi="Courier New" w:hint="default"/>
      </w:rPr>
    </w:lvl>
    <w:lvl w:ilvl="8" w:tplc="2982AFA6">
      <w:start w:val="1"/>
      <w:numFmt w:val="bullet"/>
      <w:lvlText w:val=""/>
      <w:lvlJc w:val="left"/>
      <w:pPr>
        <w:ind w:left="6480" w:hanging="360"/>
      </w:pPr>
      <w:rPr>
        <w:rFonts w:ascii="Wingdings" w:hAnsi="Wingdings" w:hint="default"/>
      </w:rPr>
    </w:lvl>
  </w:abstractNum>
  <w:abstractNum w:abstractNumId="3" w15:restartNumberingAfterBreak="0">
    <w:nsid w:val="0FED2DA7"/>
    <w:multiLevelType w:val="multilevel"/>
    <w:tmpl w:val="22B851E6"/>
    <w:numStyleLink w:val="StyleBulleted"/>
  </w:abstractNum>
  <w:abstractNum w:abstractNumId="4" w15:restartNumberingAfterBreak="0">
    <w:nsid w:val="129A5907"/>
    <w:multiLevelType w:val="hybridMultilevel"/>
    <w:tmpl w:val="53D0B768"/>
    <w:lvl w:ilvl="0" w:tplc="D10653A4">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41E01C6"/>
    <w:multiLevelType w:val="hybridMultilevel"/>
    <w:tmpl w:val="69F41B50"/>
    <w:lvl w:ilvl="0" w:tplc="3AB6B248">
      <w:start w:val="1"/>
      <w:numFmt w:val="bullet"/>
      <w:lvlText w:val=""/>
      <w:lvlJc w:val="left"/>
      <w:pPr>
        <w:ind w:left="720" w:hanging="360"/>
      </w:pPr>
      <w:rPr>
        <w:rFonts w:ascii="Symbol" w:hAnsi="Symbol" w:hint="default"/>
      </w:rPr>
    </w:lvl>
    <w:lvl w:ilvl="1" w:tplc="17626444">
      <w:start w:val="1"/>
      <w:numFmt w:val="bullet"/>
      <w:lvlText w:val="o"/>
      <w:lvlJc w:val="left"/>
      <w:pPr>
        <w:ind w:left="1440" w:hanging="360"/>
      </w:pPr>
      <w:rPr>
        <w:rFonts w:ascii="Courier New" w:hAnsi="Courier New" w:hint="default"/>
      </w:rPr>
    </w:lvl>
    <w:lvl w:ilvl="2" w:tplc="19902C2A">
      <w:start w:val="1"/>
      <w:numFmt w:val="bullet"/>
      <w:lvlText w:val=""/>
      <w:lvlJc w:val="left"/>
      <w:pPr>
        <w:ind w:left="2160" w:hanging="360"/>
      </w:pPr>
      <w:rPr>
        <w:rFonts w:ascii="Wingdings" w:hAnsi="Wingdings" w:hint="default"/>
      </w:rPr>
    </w:lvl>
    <w:lvl w:ilvl="3" w:tplc="D6A88E88">
      <w:start w:val="1"/>
      <w:numFmt w:val="bullet"/>
      <w:lvlText w:val=""/>
      <w:lvlJc w:val="left"/>
      <w:pPr>
        <w:ind w:left="2880" w:hanging="360"/>
      </w:pPr>
      <w:rPr>
        <w:rFonts w:ascii="Symbol" w:hAnsi="Symbol" w:hint="default"/>
      </w:rPr>
    </w:lvl>
    <w:lvl w:ilvl="4" w:tplc="5F6658B8">
      <w:start w:val="1"/>
      <w:numFmt w:val="bullet"/>
      <w:lvlText w:val="o"/>
      <w:lvlJc w:val="left"/>
      <w:pPr>
        <w:ind w:left="3600" w:hanging="360"/>
      </w:pPr>
      <w:rPr>
        <w:rFonts w:ascii="Courier New" w:hAnsi="Courier New" w:hint="default"/>
      </w:rPr>
    </w:lvl>
    <w:lvl w:ilvl="5" w:tplc="F75E6606">
      <w:start w:val="1"/>
      <w:numFmt w:val="bullet"/>
      <w:lvlText w:val=""/>
      <w:lvlJc w:val="left"/>
      <w:pPr>
        <w:ind w:left="4320" w:hanging="360"/>
      </w:pPr>
      <w:rPr>
        <w:rFonts w:ascii="Wingdings" w:hAnsi="Wingdings" w:hint="default"/>
      </w:rPr>
    </w:lvl>
    <w:lvl w:ilvl="6" w:tplc="86249F50">
      <w:start w:val="1"/>
      <w:numFmt w:val="bullet"/>
      <w:lvlText w:val=""/>
      <w:lvlJc w:val="left"/>
      <w:pPr>
        <w:ind w:left="5040" w:hanging="360"/>
      </w:pPr>
      <w:rPr>
        <w:rFonts w:ascii="Symbol" w:hAnsi="Symbol" w:hint="default"/>
      </w:rPr>
    </w:lvl>
    <w:lvl w:ilvl="7" w:tplc="3CEA6380">
      <w:start w:val="1"/>
      <w:numFmt w:val="bullet"/>
      <w:lvlText w:val="o"/>
      <w:lvlJc w:val="left"/>
      <w:pPr>
        <w:ind w:left="5760" w:hanging="360"/>
      </w:pPr>
      <w:rPr>
        <w:rFonts w:ascii="Courier New" w:hAnsi="Courier New" w:hint="default"/>
      </w:rPr>
    </w:lvl>
    <w:lvl w:ilvl="8" w:tplc="7D6AE060">
      <w:start w:val="1"/>
      <w:numFmt w:val="bullet"/>
      <w:lvlText w:val=""/>
      <w:lvlJc w:val="left"/>
      <w:pPr>
        <w:ind w:left="6480" w:hanging="360"/>
      </w:pPr>
      <w:rPr>
        <w:rFonts w:ascii="Wingdings" w:hAnsi="Wingdings" w:hint="default"/>
      </w:rPr>
    </w:lvl>
  </w:abstractNum>
  <w:abstractNum w:abstractNumId="6" w15:restartNumberingAfterBreak="0">
    <w:nsid w:val="14773DA2"/>
    <w:multiLevelType w:val="hybridMultilevel"/>
    <w:tmpl w:val="7D607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FF3EC3"/>
    <w:multiLevelType w:val="hybridMultilevel"/>
    <w:tmpl w:val="EB781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655C4C"/>
    <w:multiLevelType w:val="hybridMultilevel"/>
    <w:tmpl w:val="0CFA1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AB4733"/>
    <w:multiLevelType w:val="multilevel"/>
    <w:tmpl w:val="22B851E6"/>
    <w:numStyleLink w:val="StyleBulleted"/>
  </w:abstractNum>
  <w:abstractNum w:abstractNumId="10" w15:restartNumberingAfterBreak="0">
    <w:nsid w:val="30B709DC"/>
    <w:multiLevelType w:val="multilevel"/>
    <w:tmpl w:val="22B851E6"/>
    <w:numStyleLink w:val="StyleBulleted"/>
  </w:abstractNum>
  <w:abstractNum w:abstractNumId="11" w15:restartNumberingAfterBreak="0">
    <w:nsid w:val="30D8092E"/>
    <w:multiLevelType w:val="multilevel"/>
    <w:tmpl w:val="22B851E6"/>
    <w:styleLink w:val="StyleBulleted"/>
    <w:lvl w:ilvl="0">
      <w:start w:val="1"/>
      <w:numFmt w:val="bullet"/>
      <w:lvlText w:val=""/>
      <w:lvlJc w:val="left"/>
      <w:pPr>
        <w:tabs>
          <w:tab w:val="num" w:pos="720"/>
        </w:tabs>
        <w:ind w:left="720" w:hanging="360"/>
      </w:pPr>
      <w:rPr>
        <w:rFonts w:ascii="Symbol" w:hAnsi="Symbol" w:hint="default"/>
        <w:sz w:val="22"/>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2A4833"/>
    <w:multiLevelType w:val="hybridMultilevel"/>
    <w:tmpl w:val="38BE4974"/>
    <w:lvl w:ilvl="0" w:tplc="76ECB682">
      <w:start w:val="1"/>
      <w:numFmt w:val="bullet"/>
      <w:lvlText w:val=""/>
      <w:lvlJc w:val="left"/>
      <w:pPr>
        <w:ind w:left="720" w:hanging="360"/>
      </w:pPr>
      <w:rPr>
        <w:rFonts w:ascii="Symbol" w:hAnsi="Symbol" w:hint="default"/>
      </w:rPr>
    </w:lvl>
    <w:lvl w:ilvl="1" w:tplc="1B7EF26E">
      <w:start w:val="1"/>
      <w:numFmt w:val="bullet"/>
      <w:lvlText w:val="o"/>
      <w:lvlJc w:val="left"/>
      <w:pPr>
        <w:ind w:left="1440" w:hanging="360"/>
      </w:pPr>
      <w:rPr>
        <w:rFonts w:ascii="Courier New" w:hAnsi="Courier New" w:hint="default"/>
      </w:rPr>
    </w:lvl>
    <w:lvl w:ilvl="2" w:tplc="E8BC2848">
      <w:start w:val="1"/>
      <w:numFmt w:val="bullet"/>
      <w:lvlText w:val=""/>
      <w:lvlJc w:val="left"/>
      <w:pPr>
        <w:ind w:left="2160" w:hanging="360"/>
      </w:pPr>
      <w:rPr>
        <w:rFonts w:ascii="Wingdings" w:hAnsi="Wingdings" w:hint="default"/>
      </w:rPr>
    </w:lvl>
    <w:lvl w:ilvl="3" w:tplc="D4181B4A">
      <w:start w:val="1"/>
      <w:numFmt w:val="bullet"/>
      <w:lvlText w:val=""/>
      <w:lvlJc w:val="left"/>
      <w:pPr>
        <w:ind w:left="2880" w:hanging="360"/>
      </w:pPr>
      <w:rPr>
        <w:rFonts w:ascii="Symbol" w:hAnsi="Symbol" w:hint="default"/>
      </w:rPr>
    </w:lvl>
    <w:lvl w:ilvl="4" w:tplc="2EDC2F40">
      <w:start w:val="1"/>
      <w:numFmt w:val="bullet"/>
      <w:lvlText w:val="o"/>
      <w:lvlJc w:val="left"/>
      <w:pPr>
        <w:ind w:left="3600" w:hanging="360"/>
      </w:pPr>
      <w:rPr>
        <w:rFonts w:ascii="Courier New" w:hAnsi="Courier New" w:hint="default"/>
      </w:rPr>
    </w:lvl>
    <w:lvl w:ilvl="5" w:tplc="39CA72FE">
      <w:start w:val="1"/>
      <w:numFmt w:val="bullet"/>
      <w:lvlText w:val=""/>
      <w:lvlJc w:val="left"/>
      <w:pPr>
        <w:ind w:left="4320" w:hanging="360"/>
      </w:pPr>
      <w:rPr>
        <w:rFonts w:ascii="Wingdings" w:hAnsi="Wingdings" w:hint="default"/>
      </w:rPr>
    </w:lvl>
    <w:lvl w:ilvl="6" w:tplc="F7201C7A">
      <w:start w:val="1"/>
      <w:numFmt w:val="bullet"/>
      <w:lvlText w:val=""/>
      <w:lvlJc w:val="left"/>
      <w:pPr>
        <w:ind w:left="5040" w:hanging="360"/>
      </w:pPr>
      <w:rPr>
        <w:rFonts w:ascii="Symbol" w:hAnsi="Symbol" w:hint="default"/>
      </w:rPr>
    </w:lvl>
    <w:lvl w:ilvl="7" w:tplc="D816533C">
      <w:start w:val="1"/>
      <w:numFmt w:val="bullet"/>
      <w:lvlText w:val="o"/>
      <w:lvlJc w:val="left"/>
      <w:pPr>
        <w:ind w:left="5760" w:hanging="360"/>
      </w:pPr>
      <w:rPr>
        <w:rFonts w:ascii="Courier New" w:hAnsi="Courier New" w:hint="default"/>
      </w:rPr>
    </w:lvl>
    <w:lvl w:ilvl="8" w:tplc="8DE87EE6">
      <w:start w:val="1"/>
      <w:numFmt w:val="bullet"/>
      <w:lvlText w:val=""/>
      <w:lvlJc w:val="left"/>
      <w:pPr>
        <w:ind w:left="6480" w:hanging="360"/>
      </w:pPr>
      <w:rPr>
        <w:rFonts w:ascii="Wingdings" w:hAnsi="Wingdings" w:hint="default"/>
      </w:rPr>
    </w:lvl>
  </w:abstractNum>
  <w:abstractNum w:abstractNumId="13" w15:restartNumberingAfterBreak="0">
    <w:nsid w:val="525D79B9"/>
    <w:multiLevelType w:val="hybridMultilevel"/>
    <w:tmpl w:val="FB904690"/>
    <w:lvl w:ilvl="0" w:tplc="AC664B1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DB3E69"/>
    <w:multiLevelType w:val="hybridMultilevel"/>
    <w:tmpl w:val="A710A98A"/>
    <w:lvl w:ilvl="0" w:tplc="5EB4AA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1C53AE"/>
    <w:multiLevelType w:val="multilevel"/>
    <w:tmpl w:val="22B851E6"/>
    <w:numStyleLink w:val="StyleBulleted"/>
  </w:abstractNum>
  <w:abstractNum w:abstractNumId="16" w15:restartNumberingAfterBreak="0">
    <w:nsid w:val="6BF434A6"/>
    <w:multiLevelType w:val="multilevel"/>
    <w:tmpl w:val="22B851E6"/>
    <w:numStyleLink w:val="StyleBulleted"/>
  </w:abstractNum>
  <w:abstractNum w:abstractNumId="17" w15:restartNumberingAfterBreak="0">
    <w:nsid w:val="6E686196"/>
    <w:multiLevelType w:val="hybridMultilevel"/>
    <w:tmpl w:val="0F187E52"/>
    <w:lvl w:ilvl="0" w:tplc="D65E6CC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71B231E"/>
    <w:multiLevelType w:val="multilevel"/>
    <w:tmpl w:val="22B851E6"/>
    <w:numStyleLink w:val="StyleBulleted"/>
  </w:abstractNum>
  <w:num w:numId="1">
    <w:abstractNumId w:val="2"/>
  </w:num>
  <w:num w:numId="2">
    <w:abstractNumId w:val="5"/>
  </w:num>
  <w:num w:numId="3">
    <w:abstractNumId w:val="12"/>
  </w:num>
  <w:num w:numId="4">
    <w:abstractNumId w:val="1"/>
  </w:num>
  <w:num w:numId="5">
    <w:abstractNumId w:val="7"/>
  </w:num>
  <w:num w:numId="6">
    <w:abstractNumId w:val="17"/>
  </w:num>
  <w:num w:numId="7">
    <w:abstractNumId w:val="14"/>
  </w:num>
  <w:num w:numId="8">
    <w:abstractNumId w:val="11"/>
  </w:num>
  <w:num w:numId="9">
    <w:abstractNumId w:val="18"/>
  </w:num>
  <w:num w:numId="10">
    <w:abstractNumId w:val="6"/>
  </w:num>
  <w:num w:numId="11">
    <w:abstractNumId w:val="8"/>
  </w:num>
  <w:num w:numId="12">
    <w:abstractNumId w:val="15"/>
  </w:num>
  <w:num w:numId="13">
    <w:abstractNumId w:val="0"/>
  </w:num>
  <w:num w:numId="14">
    <w:abstractNumId w:val="3"/>
  </w:num>
  <w:num w:numId="15">
    <w:abstractNumId w:val="9"/>
  </w:num>
  <w:num w:numId="16">
    <w:abstractNumId w:val="10"/>
  </w:num>
  <w:num w:numId="17">
    <w:abstractNumId w:val="16"/>
  </w:num>
  <w:num w:numId="18">
    <w:abstractNumId w:val="4"/>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7C6"/>
    <w:rsid w:val="00010697"/>
    <w:rsid w:val="000210E5"/>
    <w:rsid w:val="00033E7E"/>
    <w:rsid w:val="00045C5D"/>
    <w:rsid w:val="00073A79"/>
    <w:rsid w:val="0007591C"/>
    <w:rsid w:val="00090FF5"/>
    <w:rsid w:val="000A6B2F"/>
    <w:rsid w:val="000B203F"/>
    <w:rsid w:val="000C0631"/>
    <w:rsid w:val="000C06C6"/>
    <w:rsid w:val="000C73AE"/>
    <w:rsid w:val="000E06DE"/>
    <w:rsid w:val="000F4A9F"/>
    <w:rsid w:val="000F5F6E"/>
    <w:rsid w:val="000F7EAF"/>
    <w:rsid w:val="00121B90"/>
    <w:rsid w:val="00127A20"/>
    <w:rsid w:val="0013435B"/>
    <w:rsid w:val="001626E8"/>
    <w:rsid w:val="0018030B"/>
    <w:rsid w:val="001814FA"/>
    <w:rsid w:val="00187353"/>
    <w:rsid w:val="001A73A8"/>
    <w:rsid w:val="001C0FF0"/>
    <w:rsid w:val="001D1F8C"/>
    <w:rsid w:val="001E0165"/>
    <w:rsid w:val="001F3BE5"/>
    <w:rsid w:val="001F5891"/>
    <w:rsid w:val="001F59A2"/>
    <w:rsid w:val="0021147A"/>
    <w:rsid w:val="00213041"/>
    <w:rsid w:val="00216A14"/>
    <w:rsid w:val="00236BB0"/>
    <w:rsid w:val="0025384E"/>
    <w:rsid w:val="00263EB3"/>
    <w:rsid w:val="00267C51"/>
    <w:rsid w:val="0027076B"/>
    <w:rsid w:val="00273E9B"/>
    <w:rsid w:val="00286646"/>
    <w:rsid w:val="002B4E03"/>
    <w:rsid w:val="002C37DF"/>
    <w:rsid w:val="002C3C9B"/>
    <w:rsid w:val="002C6E90"/>
    <w:rsid w:val="002D3303"/>
    <w:rsid w:val="002E3F74"/>
    <w:rsid w:val="003020A8"/>
    <w:rsid w:val="00306C84"/>
    <w:rsid w:val="0033095E"/>
    <w:rsid w:val="0033149D"/>
    <w:rsid w:val="00335B9D"/>
    <w:rsid w:val="00350313"/>
    <w:rsid w:val="00351D50"/>
    <w:rsid w:val="00366171"/>
    <w:rsid w:val="0038031A"/>
    <w:rsid w:val="00380458"/>
    <w:rsid w:val="00382E34"/>
    <w:rsid w:val="0038661C"/>
    <w:rsid w:val="003868B5"/>
    <w:rsid w:val="00391520"/>
    <w:rsid w:val="00391C3B"/>
    <w:rsid w:val="003A4066"/>
    <w:rsid w:val="003C1B2D"/>
    <w:rsid w:val="003C76A2"/>
    <w:rsid w:val="003E2728"/>
    <w:rsid w:val="003E4D62"/>
    <w:rsid w:val="003F64D3"/>
    <w:rsid w:val="003F7AF5"/>
    <w:rsid w:val="004145A4"/>
    <w:rsid w:val="0043164F"/>
    <w:rsid w:val="00434229"/>
    <w:rsid w:val="0044582A"/>
    <w:rsid w:val="0045050D"/>
    <w:rsid w:val="00460220"/>
    <w:rsid w:val="00463D90"/>
    <w:rsid w:val="004778E9"/>
    <w:rsid w:val="004976D8"/>
    <w:rsid w:val="004A56CB"/>
    <w:rsid w:val="004C51F8"/>
    <w:rsid w:val="004D22FC"/>
    <w:rsid w:val="004F19C5"/>
    <w:rsid w:val="0052503F"/>
    <w:rsid w:val="00526163"/>
    <w:rsid w:val="005312FB"/>
    <w:rsid w:val="0053229E"/>
    <w:rsid w:val="005623C0"/>
    <w:rsid w:val="00570113"/>
    <w:rsid w:val="0059437F"/>
    <w:rsid w:val="005A7CFC"/>
    <w:rsid w:val="005C7131"/>
    <w:rsid w:val="005E1B5C"/>
    <w:rsid w:val="005E4F99"/>
    <w:rsid w:val="00603865"/>
    <w:rsid w:val="00641829"/>
    <w:rsid w:val="006819F8"/>
    <w:rsid w:val="006A41D3"/>
    <w:rsid w:val="006B032F"/>
    <w:rsid w:val="006C3FBA"/>
    <w:rsid w:val="006D43EF"/>
    <w:rsid w:val="006F10C3"/>
    <w:rsid w:val="006F24C3"/>
    <w:rsid w:val="00703D91"/>
    <w:rsid w:val="0070618E"/>
    <w:rsid w:val="0071018F"/>
    <w:rsid w:val="007139C6"/>
    <w:rsid w:val="0074191E"/>
    <w:rsid w:val="00741C45"/>
    <w:rsid w:val="0075144B"/>
    <w:rsid w:val="0077193C"/>
    <w:rsid w:val="00784B2A"/>
    <w:rsid w:val="00785716"/>
    <w:rsid w:val="007A0F3F"/>
    <w:rsid w:val="007C6CBC"/>
    <w:rsid w:val="007D3975"/>
    <w:rsid w:val="007E0305"/>
    <w:rsid w:val="007E65CF"/>
    <w:rsid w:val="007F3D89"/>
    <w:rsid w:val="007F6B3A"/>
    <w:rsid w:val="0081215C"/>
    <w:rsid w:val="00814FDB"/>
    <w:rsid w:val="00815B8E"/>
    <w:rsid w:val="00820852"/>
    <w:rsid w:val="008212C4"/>
    <w:rsid w:val="00874C43"/>
    <w:rsid w:val="00881E06"/>
    <w:rsid w:val="00886F2E"/>
    <w:rsid w:val="00897550"/>
    <w:rsid w:val="008B092C"/>
    <w:rsid w:val="008B0CDF"/>
    <w:rsid w:val="008E2BD3"/>
    <w:rsid w:val="00900F85"/>
    <w:rsid w:val="00916098"/>
    <w:rsid w:val="0092178A"/>
    <w:rsid w:val="00924269"/>
    <w:rsid w:val="00952437"/>
    <w:rsid w:val="00957DD7"/>
    <w:rsid w:val="00972F08"/>
    <w:rsid w:val="00990886"/>
    <w:rsid w:val="009A6971"/>
    <w:rsid w:val="009A6FCC"/>
    <w:rsid w:val="009B4B88"/>
    <w:rsid w:val="009B7BE2"/>
    <w:rsid w:val="009B7CE1"/>
    <w:rsid w:val="009C6117"/>
    <w:rsid w:val="009C6A18"/>
    <w:rsid w:val="009D0AC5"/>
    <w:rsid w:val="009D5844"/>
    <w:rsid w:val="009E6FD3"/>
    <w:rsid w:val="009F7726"/>
    <w:rsid w:val="00A14936"/>
    <w:rsid w:val="00A1696F"/>
    <w:rsid w:val="00A33C07"/>
    <w:rsid w:val="00A35742"/>
    <w:rsid w:val="00A512A7"/>
    <w:rsid w:val="00A66968"/>
    <w:rsid w:val="00AB0380"/>
    <w:rsid w:val="00AB1222"/>
    <w:rsid w:val="00AB3ECC"/>
    <w:rsid w:val="00AC186F"/>
    <w:rsid w:val="00AD3117"/>
    <w:rsid w:val="00B024C0"/>
    <w:rsid w:val="00B03D2C"/>
    <w:rsid w:val="00B11B33"/>
    <w:rsid w:val="00B176CA"/>
    <w:rsid w:val="00B21558"/>
    <w:rsid w:val="00B4448C"/>
    <w:rsid w:val="00B607C1"/>
    <w:rsid w:val="00B72549"/>
    <w:rsid w:val="00B94CA1"/>
    <w:rsid w:val="00B951F1"/>
    <w:rsid w:val="00BB719A"/>
    <w:rsid w:val="00BC61EA"/>
    <w:rsid w:val="00C038D8"/>
    <w:rsid w:val="00C31801"/>
    <w:rsid w:val="00C34762"/>
    <w:rsid w:val="00C4126F"/>
    <w:rsid w:val="00C43166"/>
    <w:rsid w:val="00C62892"/>
    <w:rsid w:val="00C629D6"/>
    <w:rsid w:val="00C75208"/>
    <w:rsid w:val="00C91316"/>
    <w:rsid w:val="00C92A7C"/>
    <w:rsid w:val="00CA3FFB"/>
    <w:rsid w:val="00CB4774"/>
    <w:rsid w:val="00CB7FCD"/>
    <w:rsid w:val="00CC2D06"/>
    <w:rsid w:val="00CE02A5"/>
    <w:rsid w:val="00CF0631"/>
    <w:rsid w:val="00CF5436"/>
    <w:rsid w:val="00CF68C0"/>
    <w:rsid w:val="00D177C6"/>
    <w:rsid w:val="00D23737"/>
    <w:rsid w:val="00D24614"/>
    <w:rsid w:val="00D27163"/>
    <w:rsid w:val="00D32A8B"/>
    <w:rsid w:val="00D37D4E"/>
    <w:rsid w:val="00D52790"/>
    <w:rsid w:val="00D60EE3"/>
    <w:rsid w:val="00D6457F"/>
    <w:rsid w:val="00D720F1"/>
    <w:rsid w:val="00D82EB6"/>
    <w:rsid w:val="00D86925"/>
    <w:rsid w:val="00D870B8"/>
    <w:rsid w:val="00DC37B7"/>
    <w:rsid w:val="00DD02DD"/>
    <w:rsid w:val="00DD679B"/>
    <w:rsid w:val="00E30745"/>
    <w:rsid w:val="00E36F2B"/>
    <w:rsid w:val="00E42D33"/>
    <w:rsid w:val="00E51DE7"/>
    <w:rsid w:val="00E54627"/>
    <w:rsid w:val="00E56596"/>
    <w:rsid w:val="00E75AFB"/>
    <w:rsid w:val="00E766B7"/>
    <w:rsid w:val="00E850E8"/>
    <w:rsid w:val="00E9729C"/>
    <w:rsid w:val="00EA018A"/>
    <w:rsid w:val="00EB4E3B"/>
    <w:rsid w:val="00EE0198"/>
    <w:rsid w:val="00EE2DEC"/>
    <w:rsid w:val="00EE3CD3"/>
    <w:rsid w:val="00EE577E"/>
    <w:rsid w:val="00EF4E57"/>
    <w:rsid w:val="00EF52C6"/>
    <w:rsid w:val="00F111F2"/>
    <w:rsid w:val="00F22698"/>
    <w:rsid w:val="00F25C98"/>
    <w:rsid w:val="00F36121"/>
    <w:rsid w:val="00F60678"/>
    <w:rsid w:val="00F87637"/>
    <w:rsid w:val="00F9736F"/>
    <w:rsid w:val="00FF1F96"/>
    <w:rsid w:val="19F4F74C"/>
    <w:rsid w:val="303DD680"/>
    <w:rsid w:val="4970790F"/>
    <w:rsid w:val="7E7FE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A14B1A"/>
  <w15:chartTrackingRefBased/>
  <w15:docId w15:val="{56833E82-CCFD-435E-9E17-E214BE1CF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177C6"/>
    <w:pPr>
      <w:autoSpaceDE w:val="0"/>
      <w:autoSpaceDN w:val="0"/>
      <w:adjustRightInd w:val="0"/>
    </w:pPr>
  </w:style>
  <w:style w:type="paragraph" w:styleId="Heading3">
    <w:name w:val="heading 3"/>
    <w:basedOn w:val="Normal"/>
    <w:next w:val="Normal"/>
    <w:link w:val="Heading3Char"/>
    <w:qFormat/>
    <w:rsid w:val="00D37D4E"/>
    <w:pPr>
      <w:keepNext/>
      <w:autoSpaceDE/>
      <w:autoSpaceDN/>
      <w:adjustRightInd/>
      <w:spacing w:after="200"/>
      <w:outlineLvl w:val="2"/>
    </w:pPr>
    <w:rPr>
      <w:rFonts w:cs="Arial"/>
      <w:b/>
      <w:bCs/>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C6C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B4B88"/>
    <w:rPr>
      <w:color w:val="0563C1"/>
      <w:u w:val="single"/>
    </w:rPr>
  </w:style>
  <w:style w:type="paragraph" w:styleId="Header">
    <w:name w:val="header"/>
    <w:basedOn w:val="Normal"/>
    <w:link w:val="HeaderChar"/>
    <w:rsid w:val="0077193C"/>
    <w:pPr>
      <w:tabs>
        <w:tab w:val="center" w:pos="4680"/>
        <w:tab w:val="right" w:pos="9360"/>
      </w:tabs>
    </w:pPr>
  </w:style>
  <w:style w:type="character" w:customStyle="1" w:styleId="HeaderChar">
    <w:name w:val="Header Char"/>
    <w:basedOn w:val="DefaultParagraphFont"/>
    <w:link w:val="Header"/>
    <w:rsid w:val="0077193C"/>
  </w:style>
  <w:style w:type="paragraph" w:styleId="Footer">
    <w:name w:val="footer"/>
    <w:basedOn w:val="Normal"/>
    <w:link w:val="FooterChar"/>
    <w:uiPriority w:val="99"/>
    <w:rsid w:val="0077193C"/>
    <w:pPr>
      <w:tabs>
        <w:tab w:val="center" w:pos="4680"/>
        <w:tab w:val="right" w:pos="9360"/>
      </w:tabs>
    </w:pPr>
  </w:style>
  <w:style w:type="character" w:customStyle="1" w:styleId="FooterChar">
    <w:name w:val="Footer Char"/>
    <w:basedOn w:val="DefaultParagraphFont"/>
    <w:link w:val="Footer"/>
    <w:uiPriority w:val="99"/>
    <w:rsid w:val="0077193C"/>
  </w:style>
  <w:style w:type="paragraph" w:styleId="BalloonText">
    <w:name w:val="Balloon Text"/>
    <w:basedOn w:val="Normal"/>
    <w:link w:val="BalloonTextChar"/>
    <w:rsid w:val="0038661C"/>
    <w:rPr>
      <w:rFonts w:ascii="Segoe UI" w:hAnsi="Segoe UI" w:cs="Segoe UI"/>
      <w:sz w:val="18"/>
      <w:szCs w:val="18"/>
    </w:rPr>
  </w:style>
  <w:style w:type="character" w:customStyle="1" w:styleId="BalloonTextChar">
    <w:name w:val="Balloon Text Char"/>
    <w:link w:val="BalloonText"/>
    <w:rsid w:val="0038661C"/>
    <w:rPr>
      <w:rFonts w:ascii="Segoe UI" w:hAnsi="Segoe UI" w:cs="Segoe UI"/>
      <w:sz w:val="18"/>
      <w:szCs w:val="18"/>
    </w:rPr>
  </w:style>
  <w:style w:type="character" w:styleId="CommentReference">
    <w:name w:val="annotation reference"/>
    <w:basedOn w:val="DefaultParagraphFont"/>
    <w:uiPriority w:val="99"/>
    <w:rsid w:val="00F60678"/>
    <w:rPr>
      <w:sz w:val="16"/>
      <w:szCs w:val="16"/>
    </w:rPr>
  </w:style>
  <w:style w:type="paragraph" w:styleId="CommentText">
    <w:name w:val="annotation text"/>
    <w:basedOn w:val="Normal"/>
    <w:link w:val="CommentTextChar"/>
    <w:uiPriority w:val="99"/>
    <w:rsid w:val="00F60678"/>
  </w:style>
  <w:style w:type="character" w:customStyle="1" w:styleId="CommentTextChar">
    <w:name w:val="Comment Text Char"/>
    <w:basedOn w:val="DefaultParagraphFont"/>
    <w:link w:val="CommentText"/>
    <w:uiPriority w:val="99"/>
    <w:rsid w:val="00F60678"/>
  </w:style>
  <w:style w:type="paragraph" w:styleId="CommentSubject">
    <w:name w:val="annotation subject"/>
    <w:basedOn w:val="CommentText"/>
    <w:next w:val="CommentText"/>
    <w:link w:val="CommentSubjectChar"/>
    <w:rsid w:val="00F60678"/>
    <w:rPr>
      <w:b/>
      <w:bCs/>
    </w:rPr>
  </w:style>
  <w:style w:type="character" w:customStyle="1" w:styleId="CommentSubjectChar">
    <w:name w:val="Comment Subject Char"/>
    <w:basedOn w:val="CommentTextChar"/>
    <w:link w:val="CommentSubject"/>
    <w:rsid w:val="00F60678"/>
    <w:rPr>
      <w:b/>
      <w:bCs/>
    </w:rPr>
  </w:style>
  <w:style w:type="paragraph" w:styleId="ListParagraph">
    <w:name w:val="List Paragraph"/>
    <w:basedOn w:val="Normal"/>
    <w:uiPriority w:val="34"/>
    <w:qFormat/>
    <w:rsid w:val="00366171"/>
    <w:pPr>
      <w:ind w:left="720"/>
      <w:contextualSpacing/>
    </w:pPr>
  </w:style>
  <w:style w:type="paragraph" w:styleId="NoSpacing">
    <w:name w:val="No Spacing"/>
    <w:uiPriority w:val="1"/>
    <w:qFormat/>
    <w:rsid w:val="00366171"/>
    <w:pPr>
      <w:autoSpaceDE w:val="0"/>
      <w:autoSpaceDN w:val="0"/>
      <w:adjustRightInd w:val="0"/>
    </w:pPr>
  </w:style>
  <w:style w:type="numbering" w:customStyle="1" w:styleId="StyleBulleted">
    <w:name w:val="Style Bulleted"/>
    <w:basedOn w:val="NoList"/>
    <w:rsid w:val="00D37D4E"/>
    <w:pPr>
      <w:numPr>
        <w:numId w:val="8"/>
      </w:numPr>
    </w:pPr>
  </w:style>
  <w:style w:type="character" w:customStyle="1" w:styleId="Heading3Char">
    <w:name w:val="Heading 3 Char"/>
    <w:basedOn w:val="DefaultParagraphFont"/>
    <w:link w:val="Heading3"/>
    <w:rsid w:val="00D37D4E"/>
    <w:rPr>
      <w:rFonts w:cs="Arial"/>
      <w:b/>
      <w:bCs/>
      <w:sz w:val="22"/>
      <w:szCs w:val="26"/>
    </w:rPr>
  </w:style>
  <w:style w:type="character" w:styleId="FollowedHyperlink">
    <w:name w:val="FollowedHyperlink"/>
    <w:basedOn w:val="DefaultParagraphFont"/>
    <w:rsid w:val="00350313"/>
    <w:rPr>
      <w:color w:val="954F72" w:themeColor="followedHyperlink"/>
      <w:u w:val="single"/>
    </w:rPr>
  </w:style>
  <w:style w:type="character" w:styleId="UnresolvedMention">
    <w:name w:val="Unresolved Mention"/>
    <w:basedOn w:val="DefaultParagraphFont"/>
    <w:uiPriority w:val="99"/>
    <w:semiHidden/>
    <w:unhideWhenUsed/>
    <w:rsid w:val="00350313"/>
    <w:rPr>
      <w:color w:val="808080"/>
      <w:shd w:val="clear" w:color="auto" w:fill="E6E6E6"/>
    </w:rPr>
  </w:style>
  <w:style w:type="paragraph" w:styleId="NormalWeb">
    <w:name w:val="Normal (Web)"/>
    <w:basedOn w:val="Normal"/>
    <w:uiPriority w:val="99"/>
    <w:unhideWhenUsed/>
    <w:rsid w:val="0007591C"/>
    <w:pPr>
      <w:autoSpaceDE/>
      <w:autoSpaceDN/>
      <w:adjustRightInd/>
      <w:spacing w:before="100" w:beforeAutospacing="1" w:after="100" w:afterAutospacing="1"/>
    </w:pPr>
    <w:rPr>
      <w:sz w:val="24"/>
      <w:szCs w:val="24"/>
    </w:rPr>
  </w:style>
  <w:style w:type="paragraph" w:styleId="Revision">
    <w:name w:val="Revision"/>
    <w:hidden/>
    <w:uiPriority w:val="99"/>
    <w:semiHidden/>
    <w:rsid w:val="003C76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9548361">
      <w:bodyDiv w:val="1"/>
      <w:marLeft w:val="0"/>
      <w:marRight w:val="0"/>
      <w:marTop w:val="0"/>
      <w:marBottom w:val="0"/>
      <w:divBdr>
        <w:top w:val="none" w:sz="0" w:space="0" w:color="auto"/>
        <w:left w:val="none" w:sz="0" w:space="0" w:color="auto"/>
        <w:bottom w:val="none" w:sz="0" w:space="0" w:color="auto"/>
        <w:right w:val="none" w:sz="0" w:space="0" w:color="auto"/>
      </w:divBdr>
      <w:divsChild>
        <w:div w:id="1084448364">
          <w:marLeft w:val="300"/>
          <w:marRight w:val="0"/>
          <w:marTop w:val="0"/>
          <w:marBottom w:val="0"/>
          <w:divBdr>
            <w:top w:val="none" w:sz="0" w:space="0" w:color="auto"/>
            <w:left w:val="none" w:sz="0" w:space="0" w:color="auto"/>
            <w:bottom w:val="none" w:sz="0" w:space="0" w:color="auto"/>
            <w:right w:val="none" w:sz="0" w:space="0" w:color="auto"/>
          </w:divBdr>
        </w:div>
        <w:div w:id="1462336422">
          <w:marLeft w:val="300"/>
          <w:marRight w:val="0"/>
          <w:marTop w:val="0"/>
          <w:marBottom w:val="0"/>
          <w:divBdr>
            <w:top w:val="none" w:sz="0" w:space="0" w:color="auto"/>
            <w:left w:val="none" w:sz="0" w:space="0" w:color="auto"/>
            <w:bottom w:val="none" w:sz="0" w:space="0" w:color="auto"/>
            <w:right w:val="none" w:sz="0" w:space="0" w:color="auto"/>
          </w:divBdr>
        </w:div>
        <w:div w:id="2121559714">
          <w:marLeft w:val="30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regulations.gov"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regulations.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2018-11-08T18:34:17+00:00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4FC74A2D666A44ADA9673866002688" ma:contentTypeVersion="9" ma:contentTypeDescription="Create a new document." ma:contentTypeScope="" ma:versionID="c79112594b66acbc3073654fe5e0f408">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af879a09-0cf9-4eea-9634-f7a2d445d5c1" targetNamespace="http://schemas.microsoft.com/office/2006/metadata/properties" ma:root="true" ma:fieldsID="b2fc9449840fb94265131631c8dfe842" ns1:_="" ns3:_="" ns4:_="" ns5:_="" ns6:_="">
    <xsd:import namespace="http://schemas.microsoft.com/sharepoint/v3"/>
    <xsd:import namespace="4ffa91fb-a0ff-4ac5-b2db-65c790d184a4"/>
    <xsd:import namespace="http://schemas.microsoft.com/sharepoint.v3"/>
    <xsd:import namespace="http://schemas.microsoft.com/sharepoint/v3/fields"/>
    <xsd:import namespace="af879a09-0cf9-4eea-9634-f7a2d445d5c1"/>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MediaServiceMetadata" minOccurs="0"/>
                <xsd:element ref="ns6:MediaServiceFastMetadata" minOccurs="0"/>
                <xsd:element ref="ns6:MediaServiceDateTaken" minOccurs="0"/>
                <xsd:element ref="ns6:MediaServiceAutoTags" minOccurs="0"/>
                <xsd:element ref="ns6:MediaServiceGenerationTime" minOccurs="0"/>
                <xsd:element ref="ns6:MediaServiceEventHashCode" minOccurs="0"/>
                <xsd:element ref="ns6: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1ff4f7ee-2cec-4f75-8359-18fea5c1f072}" ma:internalName="TaxCatchAllLabel" ma:readOnly="true" ma:showField="CatchAllDataLabel" ma:web="9ff7ff4e-aef6-4ce7-8612-694feda45ae4">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1ff4f7ee-2cec-4f75-8359-18fea5c1f072}" ma:internalName="TaxCatchAll" ma:showField="CatchAllData" ma:web="9ff7ff4e-aef6-4ce7-8612-694feda45a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879a09-0cf9-4eea-9634-f7a2d445d5c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ternalName="MediaServiceDateTaken" ma:readOnly="true">
      <xsd:simpleType>
        <xsd:restriction base="dms:Text"/>
      </xsd:simpleType>
    </xsd:element>
    <xsd:element name="MediaServiceAutoTags" ma:index="31" nillable="true" ma:displayName="Tags" ma:internalName="MediaServiceAutoTags"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29f62856-1543-49d4-a736-4569d363f533"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DCB2A1-8CBD-4C9F-A2B0-97C1053D03C0}">
  <ds:schemaRefs>
    <ds:schemaRef ds:uri="http://schemas.microsoft.com/sharepoint/v3/contenttype/forms"/>
  </ds:schemaRefs>
</ds:datastoreItem>
</file>

<file path=customXml/itemProps2.xml><?xml version="1.0" encoding="utf-8"?>
<ds:datastoreItem xmlns:ds="http://schemas.openxmlformats.org/officeDocument/2006/customXml" ds:itemID="{69B45D0A-01DE-4228-9CE6-3B1FCEC6B125}">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s>
</ds:datastoreItem>
</file>

<file path=customXml/itemProps3.xml><?xml version="1.0" encoding="utf-8"?>
<ds:datastoreItem xmlns:ds="http://schemas.openxmlformats.org/officeDocument/2006/customXml" ds:itemID="{D26B12D4-8FFE-49DE-873B-014C5208CE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af879a09-0cf9-4eea-9634-f7a2d445d5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235AE6-A819-4495-B907-B1CA775A98EB}">
  <ds:schemaRefs>
    <ds:schemaRef ds:uri="Microsoft.SharePoint.Taxonomy.ContentTypeSync"/>
  </ds:schemaRefs>
</ds:datastoreItem>
</file>

<file path=customXml/itemProps5.xml><?xml version="1.0" encoding="utf-8"?>
<ds:datastoreItem xmlns:ds="http://schemas.openxmlformats.org/officeDocument/2006/customXml" ds:itemID="{02FEDF04-0BA9-4D8A-9DD5-2B6D234EE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2908</Words>
  <Characters>16581</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ICR SUPPORTING STATEMENT OUTLINE</vt:lpstr>
    </vt:vector>
  </TitlesOfParts>
  <Company>EPA</Company>
  <LinksUpToDate>false</LinksUpToDate>
  <CharactersWithSpaces>19451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SUPPORTING STATEMENT OUTLINE</dc:title>
  <dc:subject/>
  <dc:creator>MDSADM10</dc:creator>
  <cp:keywords/>
  <dc:description/>
  <cp:lastModifiedBy>Schultz, Eric</cp:lastModifiedBy>
  <cp:revision>5</cp:revision>
  <cp:lastPrinted>2015-06-09T13:23:00Z</cp:lastPrinted>
  <dcterms:created xsi:type="dcterms:W3CDTF">2020-01-23T23:45:00Z</dcterms:created>
  <dcterms:modified xsi:type="dcterms:W3CDTF">2020-01-23T23:56:00Z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0x010100CC4FC74A2D666A44ADA9673866002688</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y fmtid="{D5CDD505-2E9C-101B-9397-08002B2CF9AE}" pid="6" name="AuthorIds_UIVersion_2560">
    <vt:lpwstr>4119</vt:lpwstr>
  </property>
</Properties>
</file>