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1C07" w:rsidR="007E0199" w:rsidP="00291E4A" w:rsidRDefault="007E0199" w14:paraId="0F463DC5" w14:textId="77777777">
      <w:pPr>
        <w:jc w:val="center"/>
        <w:rPr>
          <w:rFonts w:ascii="Times New Roman" w:hAnsi="Times New Roman" w:cs="Times New Roman"/>
          <w:b/>
          <w:sz w:val="24"/>
          <w:szCs w:val="24"/>
        </w:rPr>
      </w:pPr>
      <w:r w:rsidRPr="00461C07">
        <w:rPr>
          <w:rFonts w:ascii="Times New Roman" w:hAnsi="Times New Roman" w:cs="Times New Roman"/>
          <w:b/>
          <w:sz w:val="24"/>
          <w:szCs w:val="24"/>
        </w:rPr>
        <w:t>Supporting Statement for Paperwork Reduction Act Submissions</w:t>
      </w:r>
    </w:p>
    <w:p w:rsidRPr="00461C07" w:rsidR="00145412" w:rsidP="00145412" w:rsidRDefault="00145412" w14:paraId="6ECEF0AC" w14:textId="77777777">
      <w:pPr>
        <w:tabs>
          <w:tab w:val="center" w:pos="4680"/>
        </w:tabs>
        <w:suppressAutoHyphens/>
        <w:spacing w:after="0" w:line="480" w:lineRule="auto"/>
        <w:jc w:val="center"/>
        <w:rPr>
          <w:rFonts w:ascii="Times New Roman" w:hAnsi="Times New Roman" w:eastAsia="Times New Roman" w:cs="Times New Roman"/>
          <w:b/>
          <w:color w:val="000000"/>
          <w:sz w:val="24"/>
          <w:szCs w:val="24"/>
        </w:rPr>
      </w:pPr>
      <w:r w:rsidRPr="00461C07">
        <w:rPr>
          <w:rFonts w:ascii="Times New Roman" w:hAnsi="Times New Roman" w:eastAsia="Times New Roman" w:cs="Times New Roman"/>
          <w:b/>
          <w:color w:val="000000"/>
          <w:sz w:val="24"/>
          <w:szCs w:val="24"/>
        </w:rPr>
        <w:t>Section 8 Moderate Rehabilitation Single Room Occupancy (SRO) Program</w:t>
      </w:r>
    </w:p>
    <w:p w:rsidRPr="00461C07" w:rsidR="007E0199" w:rsidP="00145412" w:rsidRDefault="007E0199" w14:paraId="1A99CB34" w14:textId="583D3113">
      <w:pPr>
        <w:jc w:val="center"/>
        <w:rPr>
          <w:rFonts w:ascii="Times New Roman" w:hAnsi="Times New Roman" w:cs="Times New Roman"/>
          <w:b/>
          <w:sz w:val="24"/>
          <w:szCs w:val="24"/>
        </w:rPr>
      </w:pPr>
      <w:r w:rsidRPr="00461C07">
        <w:rPr>
          <w:rFonts w:ascii="Times New Roman" w:hAnsi="Times New Roman" w:cs="Times New Roman"/>
          <w:b/>
          <w:sz w:val="24"/>
          <w:szCs w:val="24"/>
        </w:rPr>
        <w:t xml:space="preserve">OMB# </w:t>
      </w:r>
      <w:r w:rsidRPr="00461C07" w:rsidR="00145412">
        <w:rPr>
          <w:rFonts w:ascii="Times New Roman" w:hAnsi="Times New Roman" w:cs="Times New Roman"/>
          <w:b/>
          <w:sz w:val="24"/>
          <w:szCs w:val="24"/>
        </w:rPr>
        <w:t>2506</w:t>
      </w:r>
      <w:r w:rsidRPr="00461C07">
        <w:rPr>
          <w:rFonts w:ascii="Times New Roman" w:hAnsi="Times New Roman" w:cs="Times New Roman"/>
          <w:b/>
          <w:sz w:val="24"/>
          <w:szCs w:val="24"/>
        </w:rPr>
        <w:t>-</w:t>
      </w:r>
      <w:r w:rsidRPr="00461C07" w:rsidR="00145412">
        <w:rPr>
          <w:rFonts w:ascii="Times New Roman" w:hAnsi="Times New Roman" w:cs="Times New Roman"/>
          <w:b/>
          <w:sz w:val="24"/>
          <w:szCs w:val="24"/>
        </w:rPr>
        <w:t>new</w:t>
      </w:r>
    </w:p>
    <w:p w:rsidRPr="00461C07" w:rsidR="007E0199" w:rsidP="007E0199" w:rsidRDefault="007E0199" w14:paraId="1915550C" w14:textId="77777777">
      <w:pPr>
        <w:rPr>
          <w:rFonts w:ascii="Times New Roman" w:hAnsi="Times New Roman" w:cs="Times New Roman"/>
          <w:b/>
          <w:sz w:val="24"/>
          <w:szCs w:val="24"/>
        </w:rPr>
      </w:pPr>
    </w:p>
    <w:p w:rsidRPr="00461C07" w:rsidR="007E0199" w:rsidP="007E0199" w:rsidRDefault="007E0199" w14:paraId="626C67F4" w14:textId="77777777">
      <w:pPr>
        <w:rPr>
          <w:rFonts w:ascii="Times New Roman" w:hAnsi="Times New Roman" w:cs="Times New Roman"/>
          <w:sz w:val="24"/>
          <w:szCs w:val="24"/>
        </w:rPr>
      </w:pPr>
      <w:r w:rsidRPr="00461C07">
        <w:rPr>
          <w:rFonts w:ascii="Times New Roman" w:hAnsi="Times New Roman" w:cs="Times New Roman"/>
          <w:b/>
          <w:sz w:val="24"/>
          <w:szCs w:val="24"/>
        </w:rPr>
        <w:t xml:space="preserve">A. </w:t>
      </w:r>
      <w:r w:rsidRPr="00461C07">
        <w:rPr>
          <w:rFonts w:ascii="Times New Roman" w:hAnsi="Times New Roman" w:cs="Times New Roman"/>
          <w:b/>
          <w:sz w:val="24"/>
          <w:szCs w:val="24"/>
        </w:rPr>
        <w:tab/>
        <w:t>Justification</w:t>
      </w:r>
    </w:p>
    <w:p w:rsidRPr="00461C07" w:rsidR="007E0199" w:rsidP="007E0199" w:rsidRDefault="007E0199" w14:paraId="7A35DE82" w14:textId="77777777">
      <w:pPr>
        <w:numPr>
          <w:ilvl w:val="0"/>
          <w:numId w:val="2"/>
        </w:numPr>
        <w:rPr>
          <w:rFonts w:ascii="Times New Roman" w:hAnsi="Times New Roman" w:cs="Times New Roman"/>
          <w:sz w:val="24"/>
          <w:szCs w:val="24"/>
        </w:rPr>
      </w:pPr>
      <w:r w:rsidRPr="00461C07">
        <w:rPr>
          <w:rFonts w:ascii="Times New Roman" w:hAnsi="Times New Roman" w:cs="Times New Roman"/>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072F1A" w:rsidR="007E0199" w:rsidP="000160F8" w:rsidRDefault="007E0199" w14:paraId="7FA6130A" w14:textId="3FC1A996">
      <w:pPr>
        <w:ind w:left="720"/>
        <w:rPr>
          <w:rFonts w:ascii="Times New Roman" w:hAnsi="Times New Roman" w:cs="Times New Roman"/>
          <w:sz w:val="24"/>
          <w:szCs w:val="24"/>
        </w:rPr>
      </w:pPr>
      <w:r w:rsidRPr="00072F1A">
        <w:rPr>
          <w:rFonts w:ascii="Times New Roman" w:hAnsi="Times New Roman" w:cs="Times New Roman"/>
          <w:sz w:val="24"/>
          <w:szCs w:val="24"/>
        </w:rPr>
        <w:t>The McKinney-Vento Homeless Assistance Act established legislative authority for homeless assistance programs. The purpose of the Multifamily Assisted Housing Reform and Affordability Act of 1997</w:t>
      </w:r>
      <w:r w:rsidR="00020EE8">
        <w:rPr>
          <w:rFonts w:ascii="Times New Roman" w:hAnsi="Times New Roman" w:cs="Times New Roman"/>
          <w:sz w:val="24"/>
          <w:szCs w:val="24"/>
        </w:rPr>
        <w:t>(MAHRA)</w:t>
      </w:r>
      <w:r w:rsidRPr="00072F1A">
        <w:rPr>
          <w:rFonts w:ascii="Times New Roman" w:hAnsi="Times New Roman" w:cs="Times New Roman"/>
          <w:sz w:val="24"/>
          <w:szCs w:val="24"/>
        </w:rPr>
        <w:t xml:space="preserve"> Act is to retain critical affordable housing resources represented by the supply of Section 8 assisted housing and maintain it in good physical and financial condition</w:t>
      </w:r>
      <w:r w:rsidR="00F07463">
        <w:rPr>
          <w:rFonts w:ascii="Times New Roman" w:hAnsi="Times New Roman" w:cs="Times New Roman"/>
          <w:sz w:val="24"/>
          <w:szCs w:val="24"/>
        </w:rPr>
        <w:t>.</w:t>
      </w:r>
      <w:r w:rsidRPr="00072F1A">
        <w:rPr>
          <w:rFonts w:ascii="Times New Roman" w:hAnsi="Times New Roman" w:cs="Times New Roman"/>
          <w:sz w:val="24"/>
          <w:szCs w:val="24"/>
        </w:rPr>
        <w:t xml:space="preserve"> The Section 8 Moderate Rehabilitation Single Room Occupancy (SRO) program collects annual information via the housing assistance program renewal contracts and rent calculation worksheets.  The information collected is used to determine program eligibility and the correct amount of renewal rents. The rental assistance renewal payments compensate owners for ongoing cost of owning and maintaining the property. The renewal and replacement of expiring Housing Assistance Payments Contracts are set forth on the following notices: </w:t>
      </w:r>
    </w:p>
    <w:p w:rsidRPr="00072F1A" w:rsidR="00D77D91" w:rsidP="000160F8" w:rsidRDefault="00D77D91" w14:paraId="4813AF80" w14:textId="3CE115AC">
      <w:pPr>
        <w:ind w:left="720"/>
        <w:rPr>
          <w:rFonts w:ascii="Times New Roman" w:hAnsi="Times New Roman" w:cs="Times New Roman"/>
          <w:sz w:val="24"/>
          <w:szCs w:val="24"/>
          <w:u w:val="single"/>
        </w:rPr>
      </w:pPr>
      <w:r w:rsidRPr="00072F1A">
        <w:rPr>
          <w:rFonts w:ascii="Times New Roman" w:hAnsi="Times New Roman" w:cs="Times New Roman"/>
          <w:sz w:val="24"/>
          <w:szCs w:val="24"/>
        </w:rPr>
        <w:t>The renewal authority under Section 524(b)(1) of the (MAHRA) governing the renewal of Housing Assistance Payments (HAP) contracts under the Section 8 Moderate Rehabilitation (SRO) program.</w:t>
      </w:r>
      <w:r w:rsidRPr="00072F1A" w:rsidR="00ED16C1">
        <w:rPr>
          <w:rFonts w:ascii="Times New Roman" w:hAnsi="Times New Roman" w:cs="Times New Roman"/>
          <w:sz w:val="24"/>
          <w:szCs w:val="24"/>
        </w:rPr>
        <w:t xml:space="preserve"> </w:t>
      </w:r>
      <w:r w:rsidRPr="00072F1A" w:rsidR="00ED16C1">
        <w:rPr>
          <w:rFonts w:ascii="Times New Roman" w:hAnsi="Times New Roman" w:cs="Times New Roman"/>
          <w:sz w:val="24"/>
          <w:szCs w:val="24"/>
          <w:u w:val="single"/>
        </w:rPr>
        <w:t>See attachment.</w:t>
      </w:r>
    </w:p>
    <w:p w:rsidRPr="00072F1A" w:rsidR="0052209C" w:rsidP="000160F8" w:rsidRDefault="009A75C3" w14:paraId="59E7D521" w14:textId="6838048E">
      <w:pPr>
        <w:ind w:left="720"/>
        <w:rPr>
          <w:rFonts w:ascii="Times New Roman" w:hAnsi="Times New Roman" w:cs="Times New Roman"/>
          <w:sz w:val="24"/>
          <w:szCs w:val="24"/>
        </w:rPr>
      </w:pPr>
      <w:r w:rsidRPr="00072F1A">
        <w:rPr>
          <w:rFonts w:ascii="Times New Roman" w:hAnsi="Times New Roman" w:cs="Times New Roman"/>
          <w:sz w:val="24"/>
          <w:szCs w:val="24"/>
        </w:rPr>
        <w:t xml:space="preserve">The regulations covering Section 8 SRO renewals are contained in 24 CFR Part 402.5 (b) (1-2).  </w:t>
      </w:r>
    </w:p>
    <w:p w:rsidRPr="00461C07" w:rsidR="007E0199" w:rsidP="000160F8" w:rsidRDefault="007E0199" w14:paraId="132998B9" w14:textId="3930233C">
      <w:pPr>
        <w:pStyle w:val="ListParagraph"/>
        <w:numPr>
          <w:ilvl w:val="0"/>
          <w:numId w:val="2"/>
        </w:numPr>
        <w:rPr>
          <w:rFonts w:ascii="Times New Roman" w:hAnsi="Times New Roman" w:cs="Times New Roman"/>
          <w:sz w:val="24"/>
          <w:szCs w:val="24"/>
        </w:rPr>
      </w:pPr>
      <w:r w:rsidRPr="00461C07">
        <w:rPr>
          <w:rFonts w:ascii="Times New Roman" w:hAnsi="Times New Roman" w:cs="Times New Roman"/>
          <w:sz w:val="24"/>
          <w:szCs w:val="24"/>
        </w:rPr>
        <w:t>Indicate how, by whom and for what purpose the information is to be used.  Except for a new collection, indicate the actual use the agency has made of the information received from the current collection.</w:t>
      </w:r>
    </w:p>
    <w:p w:rsidRPr="00072F1A" w:rsidR="007E0199" w:rsidP="000160F8" w:rsidRDefault="007E0199" w14:paraId="3DD4AC40" w14:textId="22093111">
      <w:pPr>
        <w:ind w:left="720"/>
        <w:rPr>
          <w:rFonts w:ascii="Times New Roman" w:hAnsi="Times New Roman" w:cs="Times New Roman"/>
          <w:sz w:val="24"/>
          <w:szCs w:val="24"/>
        </w:rPr>
      </w:pPr>
      <w:r w:rsidRPr="00072F1A">
        <w:rPr>
          <w:rFonts w:ascii="Times New Roman" w:hAnsi="Times New Roman" w:cs="Times New Roman"/>
          <w:sz w:val="24"/>
          <w:szCs w:val="24"/>
        </w:rPr>
        <w:t>While this is a new collection, this information is collected by H</w:t>
      </w:r>
      <w:r w:rsidR="00020EE8">
        <w:rPr>
          <w:rFonts w:ascii="Times New Roman" w:hAnsi="Times New Roman" w:cs="Times New Roman"/>
          <w:sz w:val="24"/>
          <w:szCs w:val="24"/>
        </w:rPr>
        <w:t>ousing and Urban Development (HUD)</w:t>
      </w:r>
      <w:r w:rsidRPr="00072F1A">
        <w:rPr>
          <w:rFonts w:ascii="Times New Roman" w:hAnsi="Times New Roman" w:cs="Times New Roman"/>
          <w:sz w:val="24"/>
          <w:szCs w:val="24"/>
        </w:rPr>
        <w:t xml:space="preserve"> </w:t>
      </w:r>
      <w:proofErr w:type="gramStart"/>
      <w:r w:rsidRPr="00072F1A">
        <w:rPr>
          <w:rFonts w:ascii="Times New Roman" w:hAnsi="Times New Roman" w:cs="Times New Roman"/>
          <w:sz w:val="24"/>
          <w:szCs w:val="24"/>
        </w:rPr>
        <w:t>in order to</w:t>
      </w:r>
      <w:proofErr w:type="gramEnd"/>
      <w:r w:rsidRPr="00072F1A">
        <w:rPr>
          <w:rFonts w:ascii="Times New Roman" w:hAnsi="Times New Roman" w:cs="Times New Roman"/>
          <w:sz w:val="24"/>
          <w:szCs w:val="24"/>
        </w:rPr>
        <w:t xml:space="preserve"> renew expiring SRO Program Housing Assistance (HAP) contracts. The HAP contract is a written agreement between the Public Housing Authority (PHA) and the property owner for the purpose of providing housing assistance payments to the owner on behalf of an eligible individual. The rent calculation worksheet is completed by the property owner and PHA and submitted to the local HUD</w:t>
      </w:r>
      <w:r w:rsidR="00F07463">
        <w:rPr>
          <w:rFonts w:ascii="Times New Roman" w:hAnsi="Times New Roman" w:cs="Times New Roman"/>
          <w:sz w:val="24"/>
          <w:szCs w:val="24"/>
        </w:rPr>
        <w:t>’s</w:t>
      </w:r>
      <w:r w:rsidRPr="00072F1A">
        <w:rPr>
          <w:rFonts w:ascii="Times New Roman" w:hAnsi="Times New Roman" w:cs="Times New Roman"/>
          <w:sz w:val="24"/>
          <w:szCs w:val="24"/>
        </w:rPr>
        <w:t xml:space="preserve"> Office of Public Housing by the PHA. The rent calculation worksheet constitutes the renewal request and is used to determine the specified in the HAP contract as payable to the owner.            </w:t>
      </w:r>
    </w:p>
    <w:p w:rsidRPr="00461C07" w:rsidR="007E0199" w:rsidP="007E0199" w:rsidRDefault="007E0199" w14:paraId="2AB7D43C" w14:textId="77777777">
      <w:pPr>
        <w:numPr>
          <w:ilvl w:val="0"/>
          <w:numId w:val="3"/>
        </w:numPr>
        <w:rPr>
          <w:rFonts w:ascii="Times New Roman" w:hAnsi="Times New Roman" w:cs="Times New Roman"/>
          <w:sz w:val="24"/>
          <w:szCs w:val="24"/>
        </w:rPr>
      </w:pPr>
      <w:r w:rsidRPr="00461C07">
        <w:rPr>
          <w:rFonts w:ascii="Times New Roman" w:hAnsi="Times New Roman" w:cs="Times New Roman"/>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461C07">
        <w:rPr>
          <w:rFonts w:ascii="Times New Roman" w:hAnsi="Times New Roman" w:cs="Times New Roman"/>
          <w:sz w:val="24"/>
          <w:szCs w:val="24"/>
        </w:rPr>
        <w:lastRenderedPageBreak/>
        <w:t>decision for adopting this means of collection.  Also describe any consideration of using information technology to reduce burden.</w:t>
      </w:r>
    </w:p>
    <w:p w:rsidRPr="00072F1A" w:rsidR="007E0199" w:rsidP="000160F8" w:rsidRDefault="007E0199" w14:paraId="1C0622D7" w14:textId="746E9CB6">
      <w:pPr>
        <w:ind w:left="720"/>
        <w:rPr>
          <w:rFonts w:ascii="Times New Roman" w:hAnsi="Times New Roman" w:cs="Times New Roman"/>
          <w:sz w:val="24"/>
          <w:szCs w:val="24"/>
        </w:rPr>
      </w:pPr>
      <w:r w:rsidRPr="00072F1A">
        <w:rPr>
          <w:rFonts w:ascii="Times New Roman" w:hAnsi="Times New Roman" w:cs="Times New Roman"/>
          <w:sz w:val="24"/>
          <w:szCs w:val="24"/>
        </w:rPr>
        <w:t xml:space="preserve">The Financial Management Center (FMC) posts the annual inventory of expiring HAP contracts to their SharePoint site and notifies HUD Public Housing </w:t>
      </w:r>
      <w:r w:rsidR="00F07463">
        <w:rPr>
          <w:rFonts w:ascii="Times New Roman" w:hAnsi="Times New Roman" w:cs="Times New Roman"/>
          <w:sz w:val="24"/>
          <w:szCs w:val="24"/>
        </w:rPr>
        <w:t>F</w:t>
      </w:r>
      <w:r w:rsidRPr="00072F1A">
        <w:rPr>
          <w:rFonts w:ascii="Times New Roman" w:hAnsi="Times New Roman" w:cs="Times New Roman"/>
          <w:sz w:val="24"/>
          <w:szCs w:val="24"/>
        </w:rPr>
        <w:t xml:space="preserve">ield </w:t>
      </w:r>
      <w:r w:rsidR="00F07463">
        <w:rPr>
          <w:rFonts w:ascii="Times New Roman" w:hAnsi="Times New Roman" w:cs="Times New Roman"/>
          <w:sz w:val="24"/>
          <w:szCs w:val="24"/>
        </w:rPr>
        <w:t>O</w:t>
      </w:r>
      <w:r w:rsidRPr="00072F1A">
        <w:rPr>
          <w:rFonts w:ascii="Times New Roman" w:hAnsi="Times New Roman" w:cs="Times New Roman"/>
          <w:sz w:val="24"/>
          <w:szCs w:val="24"/>
        </w:rPr>
        <w:t xml:space="preserve">ffices (FO) when posted. The FO will access the SharePoint website when they are ready to submit renewal or replacement information for an expiring SRO unit. Next, the FMC will review and calculate the renewal funding needs based on the data provided. </w:t>
      </w:r>
      <w:r w:rsidR="00F07463">
        <w:rPr>
          <w:rFonts w:ascii="Times New Roman" w:hAnsi="Times New Roman" w:cs="Times New Roman"/>
          <w:sz w:val="24"/>
          <w:szCs w:val="24"/>
        </w:rPr>
        <w:t xml:space="preserve">The </w:t>
      </w:r>
      <w:r w:rsidRPr="00072F1A">
        <w:rPr>
          <w:rFonts w:ascii="Times New Roman" w:hAnsi="Times New Roman" w:cs="Times New Roman"/>
          <w:sz w:val="24"/>
          <w:szCs w:val="24"/>
        </w:rPr>
        <w:t>SharePoint will calculate the funding based on the data entered. When the FMC receives the funding package back from HUD Headquarters, it will be prepared and distributed to the FMC</w:t>
      </w:r>
      <w:r w:rsidR="00F07463">
        <w:rPr>
          <w:rFonts w:ascii="Times New Roman" w:hAnsi="Times New Roman" w:cs="Times New Roman"/>
          <w:sz w:val="24"/>
          <w:szCs w:val="24"/>
        </w:rPr>
        <w:t>’s</w:t>
      </w:r>
      <w:r w:rsidRPr="00072F1A">
        <w:rPr>
          <w:rFonts w:ascii="Times New Roman" w:hAnsi="Times New Roman" w:cs="Times New Roman"/>
          <w:sz w:val="24"/>
          <w:szCs w:val="24"/>
        </w:rPr>
        <w:t xml:space="preserve"> financial analysts where they will process the funding in HUDCAPS.</w:t>
      </w:r>
    </w:p>
    <w:p w:rsidRPr="00461C07" w:rsidR="007E0199" w:rsidP="007E0199" w:rsidRDefault="007E0199" w14:paraId="0D801CF0" w14:textId="77777777">
      <w:pPr>
        <w:numPr>
          <w:ilvl w:val="0"/>
          <w:numId w:val="3"/>
        </w:numPr>
        <w:rPr>
          <w:rFonts w:ascii="Times New Roman" w:hAnsi="Times New Roman" w:cs="Times New Roman"/>
          <w:sz w:val="24"/>
          <w:szCs w:val="24"/>
        </w:rPr>
      </w:pPr>
      <w:r w:rsidRPr="00461C07">
        <w:rPr>
          <w:rFonts w:ascii="Times New Roman" w:hAnsi="Times New Roman" w:cs="Times New Roman"/>
          <w:sz w:val="24"/>
          <w:szCs w:val="24"/>
        </w:rPr>
        <w:t>Describe efforts to identify duplication.  Show specifically why any similar information already available cannot be used or modified for use for the purposes described in Item 2 above.</w:t>
      </w:r>
    </w:p>
    <w:p w:rsidRPr="00072F1A" w:rsidR="007E0199" w:rsidP="000160F8" w:rsidRDefault="007E0199" w14:paraId="06E2EA00" w14:textId="77777777">
      <w:pPr>
        <w:ind w:left="720"/>
        <w:rPr>
          <w:rFonts w:ascii="Times New Roman" w:hAnsi="Times New Roman" w:cs="Times New Roman"/>
          <w:sz w:val="24"/>
          <w:szCs w:val="24"/>
        </w:rPr>
      </w:pPr>
      <w:r w:rsidRPr="00072F1A">
        <w:rPr>
          <w:rFonts w:ascii="Times New Roman" w:hAnsi="Times New Roman" w:cs="Times New Roman"/>
          <w:sz w:val="24"/>
          <w:szCs w:val="24"/>
        </w:rPr>
        <w:t xml:space="preserve">This is a new collection as described in item 2 above. CPD is not aware of any duplication in effort, or where any of the information being collected is already available from an existing source. </w:t>
      </w:r>
    </w:p>
    <w:p w:rsidRPr="00461C07" w:rsidR="007E0199" w:rsidP="007E0199" w:rsidRDefault="007E0199" w14:paraId="54375224" w14:textId="77777777">
      <w:pPr>
        <w:numPr>
          <w:ilvl w:val="0"/>
          <w:numId w:val="3"/>
        </w:numPr>
        <w:rPr>
          <w:rFonts w:ascii="Times New Roman" w:hAnsi="Times New Roman" w:cs="Times New Roman"/>
          <w:sz w:val="24"/>
          <w:szCs w:val="24"/>
        </w:rPr>
      </w:pPr>
      <w:r w:rsidRPr="00461C07">
        <w:rPr>
          <w:rFonts w:ascii="Times New Roman" w:hAnsi="Times New Roman" w:cs="Times New Roman"/>
          <w:sz w:val="24"/>
          <w:szCs w:val="24"/>
        </w:rPr>
        <w:t>If the collection of information impacts small businesses or other small entities (Item 5 of OMB Form 83-I) describe any methods used to minimize burden.</w:t>
      </w:r>
    </w:p>
    <w:p w:rsidRPr="00072F1A" w:rsidR="007E0199" w:rsidP="000160F8" w:rsidRDefault="007E0199" w14:paraId="6957113B" w14:textId="77777777">
      <w:pPr>
        <w:ind w:left="720"/>
        <w:rPr>
          <w:rFonts w:ascii="Times New Roman" w:hAnsi="Times New Roman" w:cs="Times New Roman"/>
          <w:sz w:val="24"/>
          <w:szCs w:val="24"/>
        </w:rPr>
      </w:pPr>
      <w:r w:rsidRPr="00072F1A">
        <w:rPr>
          <w:rFonts w:ascii="Times New Roman" w:hAnsi="Times New Roman" w:cs="Times New Roman"/>
          <w:sz w:val="24"/>
          <w:szCs w:val="24"/>
        </w:rPr>
        <w:t>As indicated in Item 5 of OMB Form 83-I, there is no significant economic impact on the Public Housing Authorities and property owners who are requesting renewal funding under this program.</w:t>
      </w:r>
    </w:p>
    <w:p w:rsidRPr="00461C07" w:rsidR="007E0199" w:rsidP="007E0199" w:rsidRDefault="007E0199" w14:paraId="5B9CF63F" w14:textId="77777777">
      <w:pPr>
        <w:numPr>
          <w:ilvl w:val="0"/>
          <w:numId w:val="3"/>
        </w:numPr>
        <w:rPr>
          <w:rFonts w:ascii="Times New Roman" w:hAnsi="Times New Roman" w:cs="Times New Roman"/>
          <w:sz w:val="24"/>
          <w:szCs w:val="24"/>
        </w:rPr>
      </w:pPr>
      <w:r w:rsidRPr="00461C07">
        <w:rPr>
          <w:rFonts w:ascii="Times New Roman" w:hAnsi="Times New Roman" w:cs="Times New Roman"/>
          <w:sz w:val="24"/>
          <w:szCs w:val="24"/>
        </w:rPr>
        <w:t>Describe the consequence to Federal program or policy activities if the collection is not conducted or is conducted less frequently, as well as any technical or legal obstacles to reducing burden.</w:t>
      </w:r>
    </w:p>
    <w:p w:rsidRPr="00072F1A" w:rsidR="007E0199" w:rsidP="000160F8" w:rsidRDefault="007E0199" w14:paraId="2F9FC6B3" w14:textId="5A782AF9">
      <w:pPr>
        <w:ind w:left="720" w:firstLine="45"/>
        <w:rPr>
          <w:rFonts w:ascii="Times New Roman" w:hAnsi="Times New Roman" w:cs="Times New Roman"/>
          <w:sz w:val="24"/>
          <w:szCs w:val="24"/>
        </w:rPr>
      </w:pPr>
      <w:r w:rsidRPr="00072F1A">
        <w:rPr>
          <w:rFonts w:ascii="Times New Roman" w:hAnsi="Times New Roman" w:cs="Times New Roman"/>
          <w:sz w:val="24"/>
          <w:szCs w:val="24"/>
        </w:rPr>
        <w:t xml:space="preserve">If the collection (SRO renewal requests) is not conducted as each HAP contract expires, ongoing rental assistance will cease upon expiration.  The likely result will be the assisted program participants will lose their housing and be at risk of returning to homelessness. </w:t>
      </w:r>
    </w:p>
    <w:p w:rsidRPr="00461C07" w:rsidR="007E0199" w:rsidP="007E0199" w:rsidRDefault="007E0199" w14:paraId="1F968584" w14:textId="77777777">
      <w:pPr>
        <w:numPr>
          <w:ilvl w:val="0"/>
          <w:numId w:val="3"/>
        </w:numPr>
        <w:rPr>
          <w:rFonts w:ascii="Times New Roman" w:hAnsi="Times New Roman" w:cs="Times New Roman"/>
          <w:sz w:val="24"/>
          <w:szCs w:val="24"/>
        </w:rPr>
      </w:pPr>
      <w:r w:rsidRPr="00461C07">
        <w:rPr>
          <w:rFonts w:ascii="Times New Roman" w:hAnsi="Times New Roman" w:cs="Times New Roman"/>
          <w:sz w:val="24"/>
          <w:szCs w:val="24"/>
        </w:rPr>
        <w:t xml:space="preserve">Explain any special circumstances that would cause an information collection to be conducted in a manner: </w:t>
      </w:r>
    </w:p>
    <w:p w:rsidRPr="00461C07" w:rsidR="007E0199" w:rsidP="00D34ADB" w:rsidRDefault="007E0199" w14:paraId="6C8CCD2D" w14:textId="77777777">
      <w:pPr>
        <w:numPr>
          <w:ilvl w:val="0"/>
          <w:numId w:val="4"/>
        </w:numPr>
        <w:spacing w:after="0"/>
        <w:rPr>
          <w:rFonts w:ascii="Times New Roman" w:hAnsi="Times New Roman" w:cs="Times New Roman"/>
          <w:b/>
          <w:bCs/>
          <w:sz w:val="24"/>
          <w:szCs w:val="24"/>
        </w:rPr>
      </w:pPr>
      <w:r w:rsidRPr="00461C07">
        <w:rPr>
          <w:rFonts w:ascii="Times New Roman" w:hAnsi="Times New Roman" w:cs="Times New Roman"/>
          <w:sz w:val="24"/>
          <w:szCs w:val="24"/>
        </w:rPr>
        <w:t xml:space="preserve">requiring respondents to report information to the agency more than </w:t>
      </w:r>
      <w:proofErr w:type="gramStart"/>
      <w:r w:rsidRPr="00461C07">
        <w:rPr>
          <w:rFonts w:ascii="Times New Roman" w:hAnsi="Times New Roman" w:cs="Times New Roman"/>
          <w:sz w:val="24"/>
          <w:szCs w:val="24"/>
        </w:rPr>
        <w:t>quarterly;</w:t>
      </w:r>
      <w:proofErr w:type="gramEnd"/>
      <w:r w:rsidRPr="00461C07">
        <w:rPr>
          <w:rFonts w:ascii="Times New Roman" w:hAnsi="Times New Roman" w:cs="Times New Roman"/>
          <w:sz w:val="24"/>
          <w:szCs w:val="24"/>
        </w:rPr>
        <w:t xml:space="preserve"> </w:t>
      </w:r>
      <w:r w:rsidRPr="00461C07">
        <w:rPr>
          <w:rFonts w:ascii="Times New Roman" w:hAnsi="Times New Roman" w:cs="Times New Roman"/>
          <w:b/>
          <w:bCs/>
          <w:sz w:val="24"/>
          <w:szCs w:val="24"/>
        </w:rPr>
        <w:t>NA</w:t>
      </w:r>
    </w:p>
    <w:p w:rsidRPr="00461C07" w:rsidR="007E0199" w:rsidP="00D34ADB" w:rsidRDefault="007E0199" w14:paraId="70A82856" w14:textId="77777777">
      <w:pPr>
        <w:numPr>
          <w:ilvl w:val="0"/>
          <w:numId w:val="4"/>
        </w:numPr>
        <w:spacing w:after="0"/>
        <w:rPr>
          <w:rFonts w:ascii="Times New Roman" w:hAnsi="Times New Roman" w:cs="Times New Roman"/>
          <w:b/>
          <w:bCs/>
          <w:sz w:val="24"/>
          <w:szCs w:val="24"/>
        </w:rPr>
      </w:pPr>
      <w:r w:rsidRPr="00461C07">
        <w:rPr>
          <w:rFonts w:ascii="Times New Roman" w:hAnsi="Times New Roman" w:cs="Times New Roman"/>
          <w:sz w:val="24"/>
          <w:szCs w:val="24"/>
        </w:rPr>
        <w:t xml:space="preserve">requiring respondents to prepare a written response to a collection of information in fewer than 30 days after receipt of </w:t>
      </w:r>
      <w:proofErr w:type="gramStart"/>
      <w:r w:rsidRPr="00461C07">
        <w:rPr>
          <w:rFonts w:ascii="Times New Roman" w:hAnsi="Times New Roman" w:cs="Times New Roman"/>
          <w:sz w:val="24"/>
          <w:szCs w:val="24"/>
        </w:rPr>
        <w:t>it</w:t>
      </w:r>
      <w:r w:rsidRPr="00461C07">
        <w:rPr>
          <w:rFonts w:ascii="Times New Roman" w:hAnsi="Times New Roman" w:cs="Times New Roman"/>
          <w:b/>
          <w:bCs/>
          <w:sz w:val="24"/>
          <w:szCs w:val="24"/>
        </w:rPr>
        <w:t>;</w:t>
      </w:r>
      <w:proofErr w:type="gramEnd"/>
      <w:r w:rsidRPr="00461C07">
        <w:rPr>
          <w:rFonts w:ascii="Times New Roman" w:hAnsi="Times New Roman" w:cs="Times New Roman"/>
          <w:b/>
          <w:bCs/>
          <w:sz w:val="24"/>
          <w:szCs w:val="24"/>
        </w:rPr>
        <w:t xml:space="preserve"> NA</w:t>
      </w:r>
    </w:p>
    <w:p w:rsidRPr="00461C07" w:rsidR="007E0199" w:rsidP="00D34ADB" w:rsidRDefault="007E0199" w14:paraId="7E206825" w14:textId="77777777">
      <w:pPr>
        <w:pStyle w:val="ListParagraph"/>
        <w:numPr>
          <w:ilvl w:val="0"/>
          <w:numId w:val="5"/>
        </w:numPr>
        <w:rPr>
          <w:rFonts w:ascii="Times New Roman" w:hAnsi="Times New Roman" w:cs="Times New Roman"/>
          <w:sz w:val="24"/>
          <w:szCs w:val="24"/>
        </w:rPr>
      </w:pPr>
      <w:r w:rsidRPr="00461C07">
        <w:rPr>
          <w:rFonts w:ascii="Times New Roman" w:hAnsi="Times New Roman" w:cs="Times New Roman"/>
          <w:sz w:val="24"/>
          <w:szCs w:val="24"/>
        </w:rPr>
        <w:t xml:space="preserve">requiring respondents to submit more than an original and two copies of any </w:t>
      </w:r>
      <w:proofErr w:type="gramStart"/>
      <w:r w:rsidRPr="00461C07">
        <w:rPr>
          <w:rFonts w:ascii="Times New Roman" w:hAnsi="Times New Roman" w:cs="Times New Roman"/>
          <w:sz w:val="24"/>
          <w:szCs w:val="24"/>
        </w:rPr>
        <w:t>document;</w:t>
      </w:r>
      <w:proofErr w:type="gramEnd"/>
      <w:r w:rsidRPr="00461C07">
        <w:rPr>
          <w:rFonts w:ascii="Times New Roman" w:hAnsi="Times New Roman" w:cs="Times New Roman"/>
          <w:b/>
          <w:bCs/>
          <w:sz w:val="24"/>
          <w:szCs w:val="24"/>
        </w:rPr>
        <w:t xml:space="preserve"> NA</w:t>
      </w:r>
    </w:p>
    <w:p w:rsidRPr="00461C07" w:rsidR="007E0199" w:rsidP="00D34ADB" w:rsidRDefault="007E0199" w14:paraId="3C484BDA" w14:textId="77777777">
      <w:pPr>
        <w:pStyle w:val="ListParagraph"/>
        <w:numPr>
          <w:ilvl w:val="0"/>
          <w:numId w:val="5"/>
        </w:numPr>
        <w:rPr>
          <w:rFonts w:ascii="Times New Roman" w:hAnsi="Times New Roman" w:cs="Times New Roman"/>
          <w:b/>
          <w:bCs/>
          <w:sz w:val="24"/>
          <w:szCs w:val="24"/>
        </w:rPr>
      </w:pPr>
      <w:r w:rsidRPr="00461C07">
        <w:rPr>
          <w:rFonts w:ascii="Times New Roman" w:hAnsi="Times New Roman" w:cs="Times New Roman"/>
          <w:sz w:val="24"/>
          <w:szCs w:val="24"/>
        </w:rPr>
        <w:t xml:space="preserve">requiring respondents to retain records other than health, medical, government contract, grant-in-aid, or tax records for more than three </w:t>
      </w:r>
      <w:proofErr w:type="gramStart"/>
      <w:r w:rsidRPr="00461C07">
        <w:rPr>
          <w:rFonts w:ascii="Times New Roman" w:hAnsi="Times New Roman" w:cs="Times New Roman"/>
          <w:sz w:val="24"/>
          <w:szCs w:val="24"/>
        </w:rPr>
        <w:t>years;</w:t>
      </w:r>
      <w:proofErr w:type="gramEnd"/>
      <w:r w:rsidRPr="00461C07">
        <w:rPr>
          <w:rFonts w:ascii="Times New Roman" w:hAnsi="Times New Roman" w:cs="Times New Roman"/>
          <w:sz w:val="24"/>
          <w:szCs w:val="24"/>
        </w:rPr>
        <w:t xml:space="preserve"> </w:t>
      </w:r>
      <w:r w:rsidRPr="00461C07">
        <w:rPr>
          <w:rFonts w:ascii="Times New Roman" w:hAnsi="Times New Roman" w:cs="Times New Roman"/>
          <w:b/>
          <w:bCs/>
          <w:sz w:val="24"/>
          <w:szCs w:val="24"/>
        </w:rPr>
        <w:t>NA</w:t>
      </w:r>
    </w:p>
    <w:p w:rsidRPr="00461C07" w:rsidR="007E0199" w:rsidP="00372473" w:rsidRDefault="007E0199" w14:paraId="3C92C023" w14:textId="77777777">
      <w:pPr>
        <w:pStyle w:val="ListParagraph"/>
        <w:numPr>
          <w:ilvl w:val="0"/>
          <w:numId w:val="5"/>
        </w:numPr>
        <w:rPr>
          <w:rFonts w:ascii="Times New Roman" w:hAnsi="Times New Roman" w:cs="Times New Roman"/>
          <w:sz w:val="24"/>
          <w:szCs w:val="24"/>
        </w:rPr>
      </w:pPr>
      <w:r w:rsidRPr="00461C07">
        <w:rPr>
          <w:rFonts w:ascii="Times New Roman" w:hAnsi="Times New Roman" w:cs="Times New Roman"/>
          <w:sz w:val="24"/>
          <w:szCs w:val="24"/>
        </w:rPr>
        <w:t xml:space="preserve">in connection with a statistical survey, that is not designed to produce valid and reliable results than can be generalized to the universe of </w:t>
      </w:r>
      <w:proofErr w:type="gramStart"/>
      <w:r w:rsidRPr="00461C07">
        <w:rPr>
          <w:rFonts w:ascii="Times New Roman" w:hAnsi="Times New Roman" w:cs="Times New Roman"/>
          <w:sz w:val="24"/>
          <w:szCs w:val="24"/>
        </w:rPr>
        <w:t>study;</w:t>
      </w:r>
      <w:proofErr w:type="gramEnd"/>
      <w:r w:rsidRPr="00461C07">
        <w:rPr>
          <w:rFonts w:ascii="Times New Roman" w:hAnsi="Times New Roman" w:cs="Times New Roman"/>
          <w:sz w:val="24"/>
          <w:szCs w:val="24"/>
        </w:rPr>
        <w:t xml:space="preserve"> </w:t>
      </w:r>
      <w:r w:rsidRPr="00461C07">
        <w:rPr>
          <w:rFonts w:ascii="Times New Roman" w:hAnsi="Times New Roman" w:cs="Times New Roman"/>
          <w:b/>
          <w:bCs/>
          <w:sz w:val="24"/>
          <w:szCs w:val="24"/>
        </w:rPr>
        <w:t>NA</w:t>
      </w:r>
    </w:p>
    <w:p w:rsidRPr="00461C07" w:rsidR="007E0199" w:rsidP="00372473" w:rsidRDefault="007E0199" w14:paraId="64E1E5AA" w14:textId="77777777">
      <w:pPr>
        <w:pStyle w:val="ListParagraph"/>
        <w:numPr>
          <w:ilvl w:val="0"/>
          <w:numId w:val="5"/>
        </w:numPr>
        <w:rPr>
          <w:rFonts w:ascii="Times New Roman" w:hAnsi="Times New Roman" w:cs="Times New Roman"/>
          <w:sz w:val="24"/>
          <w:szCs w:val="24"/>
        </w:rPr>
      </w:pPr>
      <w:r w:rsidRPr="00461C07">
        <w:rPr>
          <w:rFonts w:ascii="Times New Roman" w:hAnsi="Times New Roman" w:cs="Times New Roman"/>
          <w:sz w:val="24"/>
          <w:szCs w:val="24"/>
        </w:rPr>
        <w:t xml:space="preserve">requiring the use of a statistical data classification that has not been reviewed and approved by </w:t>
      </w:r>
      <w:proofErr w:type="gramStart"/>
      <w:r w:rsidRPr="00461C07">
        <w:rPr>
          <w:rFonts w:ascii="Times New Roman" w:hAnsi="Times New Roman" w:cs="Times New Roman"/>
          <w:sz w:val="24"/>
          <w:szCs w:val="24"/>
        </w:rPr>
        <w:t>OMB;</w:t>
      </w:r>
      <w:proofErr w:type="gramEnd"/>
      <w:r w:rsidRPr="00461C07">
        <w:rPr>
          <w:rFonts w:ascii="Times New Roman" w:hAnsi="Times New Roman" w:cs="Times New Roman"/>
          <w:sz w:val="24"/>
          <w:szCs w:val="24"/>
        </w:rPr>
        <w:t xml:space="preserve"> </w:t>
      </w:r>
      <w:r w:rsidRPr="00461C07">
        <w:rPr>
          <w:rFonts w:ascii="Times New Roman" w:hAnsi="Times New Roman" w:cs="Times New Roman"/>
          <w:b/>
          <w:bCs/>
          <w:sz w:val="24"/>
          <w:szCs w:val="24"/>
        </w:rPr>
        <w:t>NA</w:t>
      </w:r>
    </w:p>
    <w:p w:rsidRPr="00461C07" w:rsidR="007E0199" w:rsidP="00372473" w:rsidRDefault="007E0199" w14:paraId="49349AA0" w14:textId="77777777">
      <w:pPr>
        <w:pStyle w:val="ListParagraph"/>
        <w:numPr>
          <w:ilvl w:val="0"/>
          <w:numId w:val="5"/>
        </w:numPr>
        <w:rPr>
          <w:rFonts w:ascii="Times New Roman" w:hAnsi="Times New Roman" w:cs="Times New Roman"/>
          <w:sz w:val="24"/>
          <w:szCs w:val="24"/>
        </w:rPr>
      </w:pPr>
      <w:r w:rsidRPr="00461C07">
        <w:rPr>
          <w:rFonts w:ascii="Times New Roman" w:hAnsi="Times New Roman" w:cs="Times New Roman"/>
          <w:sz w:val="24"/>
          <w:szCs w:val="24"/>
        </w:rPr>
        <w:lastRenderedPageBreak/>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461C07">
        <w:rPr>
          <w:rFonts w:ascii="Times New Roman" w:hAnsi="Times New Roman" w:cs="Times New Roman"/>
          <w:b/>
          <w:bCs/>
          <w:sz w:val="24"/>
          <w:szCs w:val="24"/>
        </w:rPr>
        <w:t>NA</w:t>
      </w:r>
    </w:p>
    <w:p w:rsidRPr="00461C07" w:rsidR="007E0199" w:rsidP="00372473" w:rsidRDefault="007E0199" w14:paraId="021CCD3C" w14:textId="77777777">
      <w:pPr>
        <w:pStyle w:val="ListParagraph"/>
        <w:numPr>
          <w:ilvl w:val="0"/>
          <w:numId w:val="5"/>
        </w:numPr>
        <w:rPr>
          <w:rFonts w:ascii="Times New Roman" w:hAnsi="Times New Roman" w:cs="Times New Roman"/>
          <w:sz w:val="24"/>
          <w:szCs w:val="24"/>
        </w:rPr>
      </w:pPr>
      <w:r w:rsidRPr="00461C07">
        <w:rPr>
          <w:rFonts w:ascii="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461C07">
        <w:rPr>
          <w:rFonts w:ascii="Times New Roman" w:hAnsi="Times New Roman" w:cs="Times New Roman"/>
          <w:b/>
          <w:bCs/>
          <w:sz w:val="24"/>
          <w:szCs w:val="24"/>
        </w:rPr>
        <w:t xml:space="preserve"> NA</w:t>
      </w:r>
    </w:p>
    <w:p w:rsidRPr="00461C07" w:rsidR="007E0199" w:rsidP="00372473" w:rsidRDefault="007E0199" w14:paraId="0B8A7635" w14:textId="53D6ED9C">
      <w:pPr>
        <w:ind w:left="720" w:hanging="315"/>
        <w:rPr>
          <w:rFonts w:ascii="Times New Roman" w:hAnsi="Times New Roman" w:cs="Times New Roman"/>
          <w:sz w:val="24"/>
          <w:szCs w:val="24"/>
        </w:rPr>
      </w:pPr>
      <w:r w:rsidRPr="00461C07">
        <w:rPr>
          <w:rFonts w:ascii="Times New Roman" w:hAnsi="Times New Roman" w:cs="Times New Roman"/>
          <w:sz w:val="24"/>
          <w:szCs w:val="24"/>
        </w:rPr>
        <w:t>8.</w:t>
      </w:r>
      <w:r w:rsidRPr="00461C07">
        <w:rPr>
          <w:rFonts w:ascii="Times New Roman" w:hAnsi="Times New Roman" w:cs="Times New Roman"/>
          <w:sz w:val="24"/>
          <w:szCs w:val="24"/>
        </w:rPr>
        <w:tab/>
        <w:t xml:space="preserve">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DE1CFF" w:rsidP="00291E4A" w:rsidRDefault="007E0199" w14:paraId="1EC387A3" w14:textId="77777777">
      <w:pPr>
        <w:pStyle w:val="ListParagraph"/>
        <w:numPr>
          <w:ilvl w:val="0"/>
          <w:numId w:val="11"/>
        </w:numPr>
        <w:rPr>
          <w:rFonts w:ascii="Times New Roman" w:hAnsi="Times New Roman" w:cs="Times New Roman"/>
          <w:sz w:val="24"/>
          <w:szCs w:val="24"/>
        </w:rPr>
      </w:pPr>
      <w:r w:rsidRPr="00461C07">
        <w:rPr>
          <w:rFonts w:ascii="Times New Roman" w:hAnsi="Times New Roman" w:cs="Times New Roman"/>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895BD5" w:rsidR="007E0199" w:rsidP="00895BD5" w:rsidRDefault="00E24A96" w14:paraId="59E58C18" w14:textId="0AB6A8A6">
      <w:pPr>
        <w:ind w:left="720"/>
        <w:rPr>
          <w:rFonts w:ascii="Times New Roman" w:hAnsi="Times New Roman" w:cs="Times New Roman"/>
          <w:sz w:val="24"/>
          <w:szCs w:val="24"/>
        </w:rPr>
      </w:pPr>
      <w:r>
        <w:rPr>
          <w:rFonts w:ascii="Times New Roman" w:hAnsi="Times New Roman" w:cs="Times New Roman"/>
          <w:sz w:val="24"/>
          <w:szCs w:val="24"/>
        </w:rPr>
        <w:t xml:space="preserve">SNAPS did not directly consult with PHAs on this collection. Rather, the Financial Management Center (FMC) which collect the SRO renewal requests was asked to provide any feedback it had received from Office of Public Housing field office staff who collect the renewal requests directly from the PHAs.  No feedback from PHAs has been reported on this collection burden. </w:t>
      </w:r>
    </w:p>
    <w:p w:rsidRPr="00461C07" w:rsidR="007E0199" w:rsidP="00291E4A" w:rsidRDefault="007E0199" w14:paraId="55B66F7D" w14:textId="55AC1AE3">
      <w:pPr>
        <w:pStyle w:val="ListParagraph"/>
        <w:numPr>
          <w:ilvl w:val="0"/>
          <w:numId w:val="11"/>
        </w:numPr>
        <w:rPr>
          <w:rFonts w:ascii="Times New Roman" w:hAnsi="Times New Roman" w:cs="Times New Roman"/>
          <w:sz w:val="24"/>
          <w:szCs w:val="24"/>
        </w:rPr>
      </w:pPr>
      <w:r w:rsidRPr="00461C07">
        <w:rPr>
          <w:rFonts w:ascii="Times New Roman" w:hAnsi="Times New Roman" w:cs="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Pr="00461C07">
        <w:rPr>
          <w:rFonts w:ascii="Times New Roman" w:hAnsi="Times New Roman" w:cs="Times New Roman"/>
          <w:b/>
          <w:bCs/>
          <w:sz w:val="24"/>
          <w:szCs w:val="24"/>
        </w:rPr>
        <w:t xml:space="preserve"> </w:t>
      </w:r>
    </w:p>
    <w:p w:rsidR="00072F1A" w:rsidP="00072F1A" w:rsidRDefault="00072F1A" w14:paraId="49D501ED" w14:textId="77777777">
      <w:pPr>
        <w:pStyle w:val="ListParagraph"/>
        <w:rPr>
          <w:rFonts w:ascii="Times New Roman" w:hAnsi="Times New Roman" w:cs="Times New Roman"/>
          <w:sz w:val="24"/>
          <w:szCs w:val="24"/>
        </w:rPr>
      </w:pPr>
    </w:p>
    <w:p w:rsidRPr="00072F1A" w:rsidR="00072F1A" w:rsidP="00072F1A" w:rsidRDefault="00072F1A" w14:paraId="0D818F4A" w14:textId="70E39753">
      <w:pPr>
        <w:pStyle w:val="ListParagraph"/>
        <w:rPr>
          <w:rFonts w:ascii="Times New Roman" w:hAnsi="Times New Roman" w:cs="Times New Roman"/>
          <w:sz w:val="24"/>
          <w:szCs w:val="24"/>
        </w:rPr>
      </w:pPr>
      <w:r w:rsidRPr="00072F1A">
        <w:rPr>
          <w:rFonts w:ascii="Times New Roman" w:hAnsi="Times New Roman" w:cs="Times New Roman"/>
          <w:sz w:val="24"/>
          <w:szCs w:val="24"/>
        </w:rPr>
        <w:t xml:space="preserve">The field offices </w:t>
      </w:r>
      <w:r w:rsidR="00F07463">
        <w:rPr>
          <w:rFonts w:ascii="Times New Roman" w:hAnsi="Times New Roman" w:cs="Times New Roman"/>
          <w:sz w:val="24"/>
          <w:szCs w:val="24"/>
        </w:rPr>
        <w:t xml:space="preserve">will </w:t>
      </w:r>
      <w:r w:rsidRPr="00072F1A">
        <w:rPr>
          <w:rFonts w:ascii="Times New Roman" w:hAnsi="Times New Roman" w:cs="Times New Roman"/>
          <w:sz w:val="24"/>
          <w:szCs w:val="24"/>
        </w:rPr>
        <w:t xml:space="preserve">consult with the local PHAs at a minimum annually in order to receive the renewal requests (the information collection).  Any comments from the PHAs on their views on availability of data, frequency of collection and to provide clarity of instructions can be received at that point. </w:t>
      </w:r>
    </w:p>
    <w:p w:rsidR="00072F1A" w:rsidP="00072F1A" w:rsidRDefault="00072F1A" w14:paraId="68D4F7FA" w14:textId="77777777">
      <w:pPr>
        <w:pStyle w:val="ListParagraph"/>
        <w:rPr>
          <w:rFonts w:ascii="Times New Roman" w:hAnsi="Times New Roman" w:eastAsia="Calibri" w:cs="Times New Roman"/>
          <w:sz w:val="24"/>
          <w:szCs w:val="24"/>
        </w:rPr>
      </w:pPr>
    </w:p>
    <w:p w:rsidRPr="00072F1A" w:rsidR="00072F1A" w:rsidP="00072F1A" w:rsidRDefault="00072F1A" w14:paraId="3E62C12E" w14:textId="7E1438D3">
      <w:pPr>
        <w:pStyle w:val="ListParagraph"/>
        <w:rPr>
          <w:rFonts w:ascii="Times New Roman" w:hAnsi="Times New Roman" w:eastAsia="Calibri" w:cs="Times New Roman"/>
          <w:sz w:val="24"/>
          <w:szCs w:val="24"/>
        </w:rPr>
      </w:pPr>
      <w:r w:rsidRPr="00072F1A">
        <w:rPr>
          <w:rFonts w:ascii="Times New Roman" w:hAnsi="Times New Roman" w:eastAsia="Calibri" w:cs="Times New Roman"/>
          <w:sz w:val="24"/>
          <w:szCs w:val="24"/>
        </w:rPr>
        <w:t>In accordance with the Paperwork Reduction Act of 1995, the Department of Housing and Urban Development published a notice in the Federal Register on January 6, 2020 (vol 85, page 519). No comments were received.</w:t>
      </w:r>
    </w:p>
    <w:p w:rsidRPr="00461C07" w:rsidR="00AD63FB" w:rsidP="00AD63FB" w:rsidRDefault="00AD63FB" w14:paraId="127E1534" w14:textId="77777777">
      <w:pPr>
        <w:pStyle w:val="ListParagraph"/>
        <w:rPr>
          <w:rFonts w:ascii="Times New Roman" w:hAnsi="Times New Roman" w:cs="Times New Roman"/>
          <w:sz w:val="24"/>
          <w:szCs w:val="24"/>
        </w:rPr>
      </w:pPr>
    </w:p>
    <w:p w:rsidR="00072F1A" w:rsidP="00993FCD" w:rsidRDefault="007E0199" w14:paraId="2069336F" w14:textId="77777777">
      <w:pPr>
        <w:pStyle w:val="ListParagraph"/>
        <w:numPr>
          <w:ilvl w:val="0"/>
          <w:numId w:val="7"/>
        </w:numPr>
        <w:rPr>
          <w:rFonts w:ascii="Times New Roman" w:hAnsi="Times New Roman" w:cs="Times New Roman"/>
          <w:sz w:val="24"/>
          <w:szCs w:val="24"/>
        </w:rPr>
      </w:pPr>
      <w:r w:rsidRPr="00461C07">
        <w:rPr>
          <w:rFonts w:ascii="Times New Roman" w:hAnsi="Times New Roman" w:cs="Times New Roman"/>
          <w:sz w:val="24"/>
          <w:szCs w:val="24"/>
        </w:rPr>
        <w:t xml:space="preserve">Explain any decision to provide any payment or gift to respondents, other than renumeration of contractors or grantees. </w:t>
      </w:r>
    </w:p>
    <w:p w:rsidR="00072F1A" w:rsidP="00072F1A" w:rsidRDefault="00072F1A" w14:paraId="7BFBDBC2" w14:textId="77777777">
      <w:pPr>
        <w:pStyle w:val="ListParagraph"/>
        <w:rPr>
          <w:rFonts w:ascii="Times New Roman" w:hAnsi="Times New Roman" w:cs="Times New Roman"/>
          <w:sz w:val="24"/>
          <w:szCs w:val="24"/>
        </w:rPr>
      </w:pPr>
    </w:p>
    <w:p w:rsidR="007E0199" w:rsidP="00072F1A" w:rsidRDefault="007E0199" w14:paraId="75BD8FD0" w14:textId="082AA4AE">
      <w:pPr>
        <w:pStyle w:val="ListParagraph"/>
        <w:rPr>
          <w:rFonts w:ascii="Times New Roman" w:hAnsi="Times New Roman" w:cs="Times New Roman"/>
          <w:b/>
          <w:bCs/>
          <w:sz w:val="24"/>
          <w:szCs w:val="24"/>
        </w:rPr>
      </w:pPr>
      <w:r w:rsidRPr="00461C07">
        <w:rPr>
          <w:rFonts w:ascii="Times New Roman" w:hAnsi="Times New Roman" w:cs="Times New Roman"/>
          <w:b/>
          <w:bCs/>
          <w:sz w:val="24"/>
          <w:szCs w:val="24"/>
        </w:rPr>
        <w:t>NA</w:t>
      </w:r>
    </w:p>
    <w:p w:rsidR="00072F1A" w:rsidP="00072F1A" w:rsidRDefault="00072F1A" w14:paraId="66FC5CC8" w14:textId="7A805FFC">
      <w:pPr>
        <w:pStyle w:val="ListParagraph"/>
        <w:rPr>
          <w:rFonts w:ascii="Times New Roman" w:hAnsi="Times New Roman" w:cs="Times New Roman"/>
          <w:b/>
          <w:bCs/>
          <w:sz w:val="24"/>
          <w:szCs w:val="24"/>
        </w:rPr>
      </w:pPr>
    </w:p>
    <w:p w:rsidRPr="00461C07" w:rsidR="00072F1A" w:rsidP="00072F1A" w:rsidRDefault="00072F1A" w14:paraId="29EF4600" w14:textId="77777777">
      <w:pPr>
        <w:pStyle w:val="ListParagraph"/>
        <w:rPr>
          <w:rFonts w:ascii="Times New Roman" w:hAnsi="Times New Roman" w:cs="Times New Roman"/>
          <w:sz w:val="24"/>
          <w:szCs w:val="24"/>
        </w:rPr>
      </w:pPr>
    </w:p>
    <w:p w:rsidRPr="00461C07" w:rsidR="007E0199" w:rsidP="00993FCD" w:rsidRDefault="007E0199" w14:paraId="1B0EF8D6" w14:textId="77777777">
      <w:pPr>
        <w:ind w:left="720" w:hanging="360"/>
        <w:rPr>
          <w:rFonts w:ascii="Times New Roman" w:hAnsi="Times New Roman" w:cs="Times New Roman"/>
          <w:sz w:val="24"/>
          <w:szCs w:val="24"/>
        </w:rPr>
      </w:pPr>
      <w:r w:rsidRPr="00461C07">
        <w:rPr>
          <w:rFonts w:ascii="Times New Roman" w:hAnsi="Times New Roman" w:cs="Times New Roman"/>
          <w:sz w:val="24"/>
          <w:szCs w:val="24"/>
        </w:rPr>
        <w:lastRenderedPageBreak/>
        <w:t>10.</w:t>
      </w:r>
      <w:r w:rsidRPr="00461C07">
        <w:rPr>
          <w:rFonts w:ascii="Times New Roman" w:hAnsi="Times New Roman" w:cs="Times New Roman"/>
          <w:sz w:val="24"/>
          <w:szCs w:val="24"/>
        </w:rPr>
        <w:tab/>
        <w:t xml:space="preserve">Describe any assurance of confidentiality provided to respondents and the basis for assurance in statute, </w:t>
      </w:r>
      <w:proofErr w:type="gramStart"/>
      <w:r w:rsidRPr="00461C07">
        <w:rPr>
          <w:rFonts w:ascii="Times New Roman" w:hAnsi="Times New Roman" w:cs="Times New Roman"/>
          <w:sz w:val="24"/>
          <w:szCs w:val="24"/>
        </w:rPr>
        <w:t>regulation</w:t>
      </w:r>
      <w:proofErr w:type="gramEnd"/>
      <w:r w:rsidRPr="00461C07">
        <w:rPr>
          <w:rFonts w:ascii="Times New Roman" w:hAnsi="Times New Roman" w:cs="Times New Roman"/>
          <w:sz w:val="24"/>
          <w:szCs w:val="24"/>
        </w:rPr>
        <w:t xml:space="preserve"> or agency policy.</w:t>
      </w:r>
    </w:p>
    <w:p w:rsidR="007E0199" w:rsidP="00993FCD" w:rsidRDefault="007E0199" w14:paraId="286CE948" w14:textId="2B1D5E39">
      <w:pPr>
        <w:ind w:left="720"/>
        <w:rPr>
          <w:rFonts w:ascii="Times New Roman" w:hAnsi="Times New Roman" w:cs="Times New Roman"/>
          <w:sz w:val="24"/>
          <w:szCs w:val="24"/>
        </w:rPr>
      </w:pPr>
      <w:r w:rsidRPr="00072F1A">
        <w:rPr>
          <w:rFonts w:ascii="Times New Roman" w:hAnsi="Times New Roman" w:cs="Times New Roman"/>
          <w:sz w:val="24"/>
          <w:szCs w:val="24"/>
        </w:rPr>
        <w:t xml:space="preserve">. </w:t>
      </w:r>
    </w:p>
    <w:p w:rsidRPr="00020EE8" w:rsidR="00020EE8" w:rsidP="00020EE8" w:rsidRDefault="00020EE8" w14:paraId="21D0B382" w14:textId="77777777">
      <w:pPr>
        <w:autoSpaceDN w:val="0"/>
        <w:spacing w:after="0" w:line="240" w:lineRule="auto"/>
        <w:ind w:left="360"/>
        <w:rPr>
          <w:rFonts w:ascii="Times New Roman" w:hAnsi="Times New Roman" w:eastAsia="Calibri" w:cs="Times New Roman"/>
          <w:sz w:val="24"/>
          <w:szCs w:val="24"/>
        </w:rPr>
      </w:pPr>
      <w:r w:rsidRPr="00020EE8">
        <w:rPr>
          <w:rFonts w:ascii="Times New Roman" w:hAnsi="Times New Roman" w:eastAsia="Calibri" w:cs="Times New Roman"/>
          <w:sz w:val="24"/>
          <w:szCs w:val="24"/>
        </w:rPr>
        <w:t>The Privacy Act of 1974 provided privacy protection to respondents.  There are no assurances of confidentiality provided.</w:t>
      </w:r>
    </w:p>
    <w:p w:rsidRPr="00072F1A" w:rsidR="00020EE8" w:rsidP="00895BD5" w:rsidRDefault="00020EE8" w14:paraId="12C62DC9" w14:textId="2B44C750">
      <w:pPr>
        <w:tabs>
          <w:tab w:val="left" w:pos="6180"/>
        </w:tabs>
        <w:ind w:left="720"/>
        <w:rPr>
          <w:rFonts w:ascii="Times New Roman" w:hAnsi="Times New Roman" w:cs="Times New Roman"/>
          <w:sz w:val="24"/>
          <w:szCs w:val="24"/>
        </w:rPr>
      </w:pPr>
      <w:r>
        <w:rPr>
          <w:rFonts w:ascii="Times New Roman" w:hAnsi="Times New Roman" w:cs="Times New Roman"/>
          <w:sz w:val="24"/>
          <w:szCs w:val="24"/>
        </w:rPr>
        <w:tab/>
      </w:r>
    </w:p>
    <w:p w:rsidR="00072F1A" w:rsidP="00993FCD" w:rsidRDefault="007E0199" w14:paraId="24719697" w14:textId="77777777">
      <w:pPr>
        <w:pStyle w:val="ListParagraph"/>
        <w:numPr>
          <w:ilvl w:val="0"/>
          <w:numId w:val="8"/>
        </w:numPr>
        <w:rPr>
          <w:rFonts w:ascii="Times New Roman" w:hAnsi="Times New Roman" w:cs="Times New Roman"/>
          <w:sz w:val="24"/>
          <w:szCs w:val="24"/>
        </w:rPr>
      </w:pPr>
      <w:r w:rsidRPr="00461C07">
        <w:rPr>
          <w:rFonts w:ascii="Times New Roman" w:hAnsi="Times New Roman" w:cs="Times New Roman"/>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72F1A" w:rsidP="00072F1A" w:rsidRDefault="00072F1A" w14:paraId="1B2837F7" w14:textId="77777777">
      <w:pPr>
        <w:pStyle w:val="ListParagraph"/>
        <w:rPr>
          <w:rFonts w:ascii="Times New Roman" w:hAnsi="Times New Roman" w:cs="Times New Roman"/>
          <w:sz w:val="24"/>
          <w:szCs w:val="24"/>
        </w:rPr>
      </w:pPr>
    </w:p>
    <w:p w:rsidRPr="00461C07" w:rsidR="007E0199" w:rsidP="00072F1A" w:rsidRDefault="007E0199" w14:paraId="71B12E3D" w14:textId="20B47964">
      <w:pPr>
        <w:pStyle w:val="ListParagraph"/>
        <w:rPr>
          <w:rFonts w:ascii="Times New Roman" w:hAnsi="Times New Roman" w:cs="Times New Roman"/>
          <w:sz w:val="24"/>
          <w:szCs w:val="24"/>
        </w:rPr>
      </w:pPr>
      <w:r w:rsidRPr="00461C07">
        <w:rPr>
          <w:rFonts w:ascii="Times New Roman" w:hAnsi="Times New Roman" w:cs="Times New Roman"/>
          <w:b/>
          <w:bCs/>
          <w:sz w:val="24"/>
          <w:szCs w:val="24"/>
        </w:rPr>
        <w:t>NA</w:t>
      </w:r>
      <w:r w:rsidR="007B6742">
        <w:rPr>
          <w:rFonts w:ascii="Times New Roman" w:hAnsi="Times New Roman" w:cs="Times New Roman"/>
          <w:b/>
          <w:bCs/>
          <w:sz w:val="24"/>
          <w:szCs w:val="24"/>
        </w:rPr>
        <w:t xml:space="preserve">.  Such private information of sensitive nature is not collected. </w:t>
      </w:r>
    </w:p>
    <w:p w:rsidRPr="00461C07" w:rsidR="007E0199" w:rsidP="00993FCD" w:rsidRDefault="007E0199" w14:paraId="1C63A3A5" w14:textId="77777777">
      <w:pPr>
        <w:ind w:firstLine="360"/>
        <w:rPr>
          <w:rFonts w:ascii="Times New Roman" w:hAnsi="Times New Roman" w:cs="Times New Roman"/>
          <w:sz w:val="24"/>
          <w:szCs w:val="24"/>
        </w:rPr>
      </w:pPr>
      <w:r w:rsidRPr="00461C07">
        <w:rPr>
          <w:rFonts w:ascii="Times New Roman" w:hAnsi="Times New Roman" w:cs="Times New Roman"/>
          <w:sz w:val="24"/>
          <w:szCs w:val="24"/>
        </w:rPr>
        <w:t>12.</w:t>
      </w:r>
      <w:r w:rsidRPr="00461C07">
        <w:rPr>
          <w:rFonts w:ascii="Times New Roman" w:hAnsi="Times New Roman" w:cs="Times New Roman"/>
          <w:sz w:val="24"/>
          <w:szCs w:val="24"/>
        </w:rPr>
        <w:tab/>
        <w:t xml:space="preserve">Provide estimates of the hour burden of the collection of information.  The statement should: </w:t>
      </w:r>
    </w:p>
    <w:p w:rsidRPr="00461C07" w:rsidR="007E0199" w:rsidP="00993FCD" w:rsidRDefault="007E0199" w14:paraId="3589A970" w14:textId="77777777">
      <w:pPr>
        <w:pStyle w:val="ListParagraph"/>
        <w:numPr>
          <w:ilvl w:val="0"/>
          <w:numId w:val="6"/>
        </w:numPr>
        <w:rPr>
          <w:rFonts w:ascii="Times New Roman" w:hAnsi="Times New Roman" w:cs="Times New Roman"/>
          <w:sz w:val="24"/>
          <w:szCs w:val="24"/>
        </w:rPr>
      </w:pPr>
      <w:r w:rsidRPr="00461C07">
        <w:rPr>
          <w:rFonts w:ascii="Times New Roman" w:hAnsi="Times New Roman" w:cs="Times New Roman"/>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proofErr w:type="gramStart"/>
      <w:r w:rsidRPr="00461C07">
        <w:rPr>
          <w:rFonts w:ascii="Times New Roman" w:hAnsi="Times New Roman" w:cs="Times New Roman"/>
          <w:sz w:val="24"/>
          <w:szCs w:val="24"/>
        </w:rPr>
        <w:t>practices;</w:t>
      </w:r>
      <w:proofErr w:type="gramEnd"/>
      <w:r w:rsidRPr="00461C07">
        <w:rPr>
          <w:rFonts w:ascii="Times New Roman" w:hAnsi="Times New Roman" w:cs="Times New Roman"/>
          <w:sz w:val="24"/>
          <w:szCs w:val="24"/>
        </w:rPr>
        <w:t xml:space="preserve"> </w:t>
      </w:r>
    </w:p>
    <w:p w:rsidRPr="00461C07" w:rsidR="007E0199" w:rsidP="000621B0" w:rsidRDefault="007E0199" w14:paraId="7D3605E0" w14:textId="77777777">
      <w:pPr>
        <w:pStyle w:val="ListParagraph"/>
        <w:numPr>
          <w:ilvl w:val="0"/>
          <w:numId w:val="6"/>
        </w:numPr>
        <w:rPr>
          <w:rFonts w:ascii="Times New Roman" w:hAnsi="Times New Roman" w:cs="Times New Roman"/>
          <w:sz w:val="24"/>
          <w:szCs w:val="24"/>
        </w:rPr>
      </w:pPr>
      <w:r w:rsidRPr="00461C07">
        <w:rPr>
          <w:rFonts w:ascii="Times New Roman" w:hAnsi="Times New Roman" w:cs="Times New Roman"/>
          <w:sz w:val="24"/>
          <w:szCs w:val="24"/>
        </w:rPr>
        <w:t>if this request covers more than one form, provide separate hour burden estimates for each form and aggregate the hour burdens in Item 13 of OMB Form 83-</w:t>
      </w:r>
      <w:proofErr w:type="gramStart"/>
      <w:r w:rsidRPr="00461C07">
        <w:rPr>
          <w:rFonts w:ascii="Times New Roman" w:hAnsi="Times New Roman" w:cs="Times New Roman"/>
          <w:sz w:val="24"/>
          <w:szCs w:val="24"/>
        </w:rPr>
        <w:t>I;</w:t>
      </w:r>
      <w:proofErr w:type="gramEnd"/>
      <w:r w:rsidRPr="00461C07">
        <w:rPr>
          <w:rFonts w:ascii="Times New Roman" w:hAnsi="Times New Roman" w:cs="Times New Roman"/>
          <w:sz w:val="24"/>
          <w:szCs w:val="24"/>
        </w:rPr>
        <w:t xml:space="preserve"> and </w:t>
      </w:r>
    </w:p>
    <w:p w:rsidRPr="00461C07" w:rsidR="007E0199" w:rsidP="000621B0" w:rsidRDefault="007E0199" w14:paraId="1C8C5A90" w14:textId="77777777">
      <w:pPr>
        <w:pStyle w:val="ListParagraph"/>
        <w:numPr>
          <w:ilvl w:val="0"/>
          <w:numId w:val="6"/>
        </w:numPr>
        <w:rPr>
          <w:rFonts w:ascii="Times New Roman" w:hAnsi="Times New Roman" w:cs="Times New Roman"/>
          <w:sz w:val="24"/>
          <w:szCs w:val="24"/>
        </w:rPr>
      </w:pPr>
      <w:r w:rsidRPr="00461C07">
        <w:rPr>
          <w:rFonts w:ascii="Times New Roman" w:hAnsi="Times New Roman" w:cs="Times New Roman"/>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461C07" w:rsidR="007E0199" w:rsidP="007E0199" w:rsidRDefault="007E0199" w14:paraId="4F7B0746" w14:textId="77777777">
      <w:pPr>
        <w:rPr>
          <w:rFonts w:ascii="Times New Roman" w:hAnsi="Times New Roman" w:cs="Times New Roman"/>
          <w:sz w:val="24"/>
          <w:szCs w:val="24"/>
        </w:rPr>
      </w:pPr>
    </w:p>
    <w:tbl>
      <w:tblPr>
        <w:tblW w:w="980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620"/>
        <w:gridCol w:w="1260"/>
        <w:gridCol w:w="1080"/>
        <w:gridCol w:w="1170"/>
        <w:gridCol w:w="1080"/>
        <w:gridCol w:w="1170"/>
        <w:gridCol w:w="1260"/>
        <w:gridCol w:w="1165"/>
      </w:tblGrid>
      <w:tr w:rsidRPr="00CA22AA" w:rsidR="00461C07" w:rsidTr="00CA22AA" w14:paraId="636C78A7" w14:textId="77777777">
        <w:trPr>
          <w:trHeight w:val="687"/>
        </w:trPr>
        <w:tc>
          <w:tcPr>
            <w:tcW w:w="1620" w:type="dxa"/>
            <w:tcMar>
              <w:top w:w="0" w:type="dxa"/>
              <w:left w:w="108" w:type="dxa"/>
              <w:bottom w:w="0" w:type="dxa"/>
              <w:right w:w="108" w:type="dxa"/>
            </w:tcMar>
            <w:hideMark/>
          </w:tcPr>
          <w:p w:rsidRPr="00CA22AA" w:rsidR="007E0199" w:rsidP="00CA22AA" w:rsidRDefault="007E0199" w14:paraId="3DD2F4C7" w14:textId="325DDF62">
            <w:pPr>
              <w:jc w:val="center"/>
              <w:rPr>
                <w:rFonts w:ascii="Times New Roman" w:hAnsi="Times New Roman" w:cs="Times New Roman"/>
                <w:b/>
                <w:bCs/>
                <w:sz w:val="18"/>
                <w:szCs w:val="18"/>
              </w:rPr>
            </w:pPr>
            <w:r w:rsidRPr="00CA22AA">
              <w:rPr>
                <w:rFonts w:ascii="Times New Roman" w:hAnsi="Times New Roman" w:cs="Times New Roman"/>
                <w:b/>
                <w:bCs/>
                <w:sz w:val="18"/>
                <w:szCs w:val="18"/>
              </w:rPr>
              <w:t>Informati</w:t>
            </w:r>
            <w:r w:rsidRPr="00CA22AA" w:rsidR="00461C07">
              <w:rPr>
                <w:rFonts w:ascii="Times New Roman" w:hAnsi="Times New Roman" w:cs="Times New Roman"/>
                <w:b/>
                <w:bCs/>
                <w:sz w:val="18"/>
                <w:szCs w:val="18"/>
              </w:rPr>
              <w:t xml:space="preserve">on </w:t>
            </w:r>
            <w:r w:rsidRPr="00CA22AA">
              <w:rPr>
                <w:rFonts w:ascii="Times New Roman" w:hAnsi="Times New Roman" w:cs="Times New Roman"/>
                <w:b/>
                <w:bCs/>
                <w:sz w:val="18"/>
                <w:szCs w:val="18"/>
              </w:rPr>
              <w:t>Collection</w:t>
            </w:r>
          </w:p>
        </w:tc>
        <w:tc>
          <w:tcPr>
            <w:tcW w:w="1260" w:type="dxa"/>
            <w:tcMar>
              <w:top w:w="0" w:type="dxa"/>
              <w:left w:w="108" w:type="dxa"/>
              <w:bottom w:w="0" w:type="dxa"/>
              <w:right w:w="108" w:type="dxa"/>
            </w:tcMar>
            <w:hideMark/>
          </w:tcPr>
          <w:p w:rsidRPr="00CA22AA" w:rsidR="007E0199" w:rsidP="00CA22AA" w:rsidRDefault="007E0199" w14:paraId="610542CB" w14:textId="77777777">
            <w:pPr>
              <w:jc w:val="center"/>
              <w:rPr>
                <w:rFonts w:ascii="Times New Roman" w:hAnsi="Times New Roman" w:cs="Times New Roman"/>
                <w:b/>
                <w:bCs/>
                <w:sz w:val="18"/>
                <w:szCs w:val="18"/>
              </w:rPr>
            </w:pPr>
            <w:r w:rsidRPr="00CA22AA">
              <w:rPr>
                <w:rFonts w:ascii="Times New Roman" w:hAnsi="Times New Roman" w:cs="Times New Roman"/>
                <w:b/>
                <w:bCs/>
                <w:sz w:val="18"/>
                <w:szCs w:val="18"/>
              </w:rPr>
              <w:t>Number of Respondents</w:t>
            </w:r>
          </w:p>
        </w:tc>
        <w:tc>
          <w:tcPr>
            <w:tcW w:w="1080" w:type="dxa"/>
            <w:tcMar>
              <w:top w:w="0" w:type="dxa"/>
              <w:left w:w="108" w:type="dxa"/>
              <w:bottom w:w="0" w:type="dxa"/>
              <w:right w:w="108" w:type="dxa"/>
            </w:tcMar>
            <w:hideMark/>
          </w:tcPr>
          <w:p w:rsidRPr="00CA22AA" w:rsidR="007E0199" w:rsidP="00CA22AA" w:rsidRDefault="007E0199" w14:paraId="21E0510C" w14:textId="77777777">
            <w:pPr>
              <w:jc w:val="center"/>
              <w:rPr>
                <w:rFonts w:ascii="Times New Roman" w:hAnsi="Times New Roman" w:cs="Times New Roman"/>
                <w:b/>
                <w:bCs/>
                <w:sz w:val="18"/>
                <w:szCs w:val="18"/>
              </w:rPr>
            </w:pPr>
            <w:r w:rsidRPr="00CA22AA">
              <w:rPr>
                <w:rFonts w:ascii="Times New Roman" w:hAnsi="Times New Roman" w:cs="Times New Roman"/>
                <w:b/>
                <w:bCs/>
                <w:sz w:val="18"/>
                <w:szCs w:val="18"/>
              </w:rPr>
              <w:t>Frequency of Response</w:t>
            </w:r>
          </w:p>
        </w:tc>
        <w:tc>
          <w:tcPr>
            <w:tcW w:w="1170" w:type="dxa"/>
            <w:tcMar>
              <w:top w:w="0" w:type="dxa"/>
              <w:left w:w="108" w:type="dxa"/>
              <w:bottom w:w="0" w:type="dxa"/>
              <w:right w:w="108" w:type="dxa"/>
            </w:tcMar>
            <w:hideMark/>
          </w:tcPr>
          <w:p w:rsidRPr="00CA22AA" w:rsidR="007E0199" w:rsidP="00CA22AA" w:rsidRDefault="007E0199" w14:paraId="3AD8982C" w14:textId="3196EECB">
            <w:pPr>
              <w:jc w:val="center"/>
              <w:rPr>
                <w:rFonts w:ascii="Times New Roman" w:hAnsi="Times New Roman" w:cs="Times New Roman"/>
                <w:b/>
                <w:bCs/>
                <w:sz w:val="18"/>
                <w:szCs w:val="18"/>
              </w:rPr>
            </w:pPr>
            <w:r w:rsidRPr="00CA22AA">
              <w:rPr>
                <w:rFonts w:ascii="Times New Roman" w:hAnsi="Times New Roman" w:cs="Times New Roman"/>
                <w:b/>
                <w:bCs/>
                <w:sz w:val="18"/>
                <w:szCs w:val="18"/>
              </w:rPr>
              <w:t>Responses</w:t>
            </w:r>
            <w:r w:rsidRPr="00CA22AA" w:rsidR="00461C07">
              <w:rPr>
                <w:rFonts w:ascii="Times New Roman" w:hAnsi="Times New Roman" w:cs="Times New Roman"/>
                <w:b/>
                <w:bCs/>
                <w:sz w:val="18"/>
                <w:szCs w:val="18"/>
              </w:rPr>
              <w:t xml:space="preserve"> </w:t>
            </w:r>
            <w:r w:rsidRPr="00CA22AA">
              <w:rPr>
                <w:rFonts w:ascii="Times New Roman" w:hAnsi="Times New Roman" w:cs="Times New Roman"/>
                <w:b/>
                <w:bCs/>
                <w:sz w:val="18"/>
                <w:szCs w:val="18"/>
              </w:rPr>
              <w:t>Per Annum</w:t>
            </w:r>
          </w:p>
        </w:tc>
        <w:tc>
          <w:tcPr>
            <w:tcW w:w="1080" w:type="dxa"/>
            <w:tcMar>
              <w:top w:w="0" w:type="dxa"/>
              <w:left w:w="108" w:type="dxa"/>
              <w:bottom w:w="0" w:type="dxa"/>
              <w:right w:w="108" w:type="dxa"/>
            </w:tcMar>
            <w:hideMark/>
          </w:tcPr>
          <w:p w:rsidRPr="00CA22AA" w:rsidR="007E0199" w:rsidP="00CA22AA" w:rsidRDefault="007E0199" w14:paraId="2252A8C7" w14:textId="77777777">
            <w:pPr>
              <w:jc w:val="center"/>
              <w:rPr>
                <w:rFonts w:ascii="Times New Roman" w:hAnsi="Times New Roman" w:cs="Times New Roman"/>
                <w:b/>
                <w:bCs/>
                <w:sz w:val="18"/>
                <w:szCs w:val="18"/>
              </w:rPr>
            </w:pPr>
            <w:r w:rsidRPr="00CA22AA">
              <w:rPr>
                <w:rFonts w:ascii="Times New Roman" w:hAnsi="Times New Roman" w:cs="Times New Roman"/>
                <w:b/>
                <w:bCs/>
                <w:sz w:val="18"/>
                <w:szCs w:val="18"/>
              </w:rPr>
              <w:t>Burden Hour Per Response</w:t>
            </w:r>
          </w:p>
        </w:tc>
        <w:tc>
          <w:tcPr>
            <w:tcW w:w="1170" w:type="dxa"/>
            <w:tcMar>
              <w:top w:w="0" w:type="dxa"/>
              <w:left w:w="108" w:type="dxa"/>
              <w:bottom w:w="0" w:type="dxa"/>
              <w:right w:w="108" w:type="dxa"/>
            </w:tcMar>
            <w:hideMark/>
          </w:tcPr>
          <w:p w:rsidRPr="00CA22AA" w:rsidR="007E0199" w:rsidP="00CA22AA" w:rsidRDefault="007E0199" w14:paraId="58219722" w14:textId="77777777">
            <w:pPr>
              <w:jc w:val="center"/>
              <w:rPr>
                <w:rFonts w:ascii="Times New Roman" w:hAnsi="Times New Roman" w:cs="Times New Roman"/>
                <w:b/>
                <w:bCs/>
                <w:sz w:val="18"/>
                <w:szCs w:val="18"/>
              </w:rPr>
            </w:pPr>
            <w:r w:rsidRPr="00CA22AA">
              <w:rPr>
                <w:rFonts w:ascii="Times New Roman" w:hAnsi="Times New Roman" w:cs="Times New Roman"/>
                <w:b/>
                <w:bCs/>
                <w:sz w:val="18"/>
                <w:szCs w:val="18"/>
              </w:rPr>
              <w:t>Annual Burden Hours</w:t>
            </w:r>
          </w:p>
        </w:tc>
        <w:tc>
          <w:tcPr>
            <w:tcW w:w="1260" w:type="dxa"/>
            <w:tcMar>
              <w:top w:w="0" w:type="dxa"/>
              <w:left w:w="108" w:type="dxa"/>
              <w:bottom w:w="0" w:type="dxa"/>
              <w:right w:w="108" w:type="dxa"/>
            </w:tcMar>
            <w:hideMark/>
          </w:tcPr>
          <w:p w:rsidRPr="00CA22AA" w:rsidR="007E0199" w:rsidP="00CA22AA" w:rsidRDefault="007E0199" w14:paraId="1BAFE013" w14:textId="77777777">
            <w:pPr>
              <w:jc w:val="center"/>
              <w:rPr>
                <w:rFonts w:ascii="Times New Roman" w:hAnsi="Times New Roman" w:cs="Times New Roman"/>
                <w:b/>
                <w:bCs/>
                <w:sz w:val="18"/>
                <w:szCs w:val="18"/>
              </w:rPr>
            </w:pPr>
            <w:r w:rsidRPr="00CA22AA">
              <w:rPr>
                <w:rFonts w:ascii="Times New Roman" w:hAnsi="Times New Roman" w:cs="Times New Roman"/>
                <w:b/>
                <w:bCs/>
                <w:sz w:val="18"/>
                <w:szCs w:val="18"/>
              </w:rPr>
              <w:t>Hourly Cost Per Response</w:t>
            </w:r>
          </w:p>
        </w:tc>
        <w:tc>
          <w:tcPr>
            <w:tcW w:w="1165" w:type="dxa"/>
            <w:tcMar>
              <w:top w:w="0" w:type="dxa"/>
              <w:left w:w="108" w:type="dxa"/>
              <w:bottom w:w="0" w:type="dxa"/>
              <w:right w:w="108" w:type="dxa"/>
            </w:tcMar>
          </w:tcPr>
          <w:p w:rsidRPr="00CA22AA" w:rsidR="007E0199" w:rsidP="00CA22AA" w:rsidRDefault="007E0199" w14:paraId="773911CA" w14:textId="742C9C01">
            <w:pPr>
              <w:jc w:val="center"/>
              <w:rPr>
                <w:rFonts w:ascii="Times New Roman" w:hAnsi="Times New Roman" w:cs="Times New Roman"/>
                <w:b/>
                <w:bCs/>
                <w:sz w:val="18"/>
                <w:szCs w:val="18"/>
              </w:rPr>
            </w:pPr>
            <w:r w:rsidRPr="00CA22AA">
              <w:rPr>
                <w:rFonts w:ascii="Times New Roman" w:hAnsi="Times New Roman" w:cs="Times New Roman"/>
                <w:b/>
                <w:bCs/>
                <w:sz w:val="18"/>
                <w:szCs w:val="18"/>
              </w:rPr>
              <w:t>Annual Cost</w:t>
            </w:r>
          </w:p>
        </w:tc>
      </w:tr>
      <w:tr w:rsidRPr="00CA22AA" w:rsidR="00356E90" w:rsidTr="00CA22AA" w14:paraId="1625EC0B" w14:textId="77777777">
        <w:trPr>
          <w:trHeight w:val="323"/>
        </w:trPr>
        <w:tc>
          <w:tcPr>
            <w:tcW w:w="1620" w:type="dxa"/>
            <w:tcMar>
              <w:top w:w="0" w:type="dxa"/>
              <w:left w:w="108" w:type="dxa"/>
              <w:bottom w:w="0" w:type="dxa"/>
              <w:right w:w="108" w:type="dxa"/>
            </w:tcMar>
          </w:tcPr>
          <w:p w:rsidRPr="00CA22AA" w:rsidR="00356E90" w:rsidP="00356E90" w:rsidRDefault="00356E90" w14:paraId="535D8BB0" w14:textId="6252ED8D">
            <w:pPr>
              <w:rPr>
                <w:rFonts w:ascii="Times New Roman" w:hAnsi="Times New Roman" w:cs="Times New Roman"/>
                <w:b/>
                <w:bCs/>
                <w:sz w:val="18"/>
                <w:szCs w:val="18"/>
              </w:rPr>
            </w:pPr>
            <w:r w:rsidRPr="00CA22AA">
              <w:rPr>
                <w:rFonts w:ascii="Times New Roman" w:hAnsi="Times New Roman" w:cs="Times New Roman"/>
                <w:b/>
                <w:bCs/>
                <w:sz w:val="18"/>
                <w:szCs w:val="18"/>
              </w:rPr>
              <w:t>HAP</w:t>
            </w:r>
          </w:p>
        </w:tc>
        <w:tc>
          <w:tcPr>
            <w:tcW w:w="1260" w:type="dxa"/>
            <w:tcMar>
              <w:top w:w="0" w:type="dxa"/>
              <w:left w:w="108" w:type="dxa"/>
              <w:bottom w:w="0" w:type="dxa"/>
              <w:right w:w="108" w:type="dxa"/>
            </w:tcMar>
          </w:tcPr>
          <w:p w:rsidRPr="00CA22AA" w:rsidR="00356E90" w:rsidP="00356E90" w:rsidRDefault="00356E90" w14:paraId="46C4C3CA" w14:textId="12B6A86B">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378.00 </w:t>
            </w:r>
          </w:p>
        </w:tc>
        <w:tc>
          <w:tcPr>
            <w:tcW w:w="1080" w:type="dxa"/>
            <w:tcMar>
              <w:top w:w="0" w:type="dxa"/>
              <w:left w:w="108" w:type="dxa"/>
              <w:bottom w:w="0" w:type="dxa"/>
              <w:right w:w="108" w:type="dxa"/>
            </w:tcMar>
          </w:tcPr>
          <w:p w:rsidRPr="00CA22AA" w:rsidR="00356E90" w:rsidP="00356E90" w:rsidRDefault="00356E90" w14:paraId="059808F5" w14:textId="1D06AEF2">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1.00 </w:t>
            </w:r>
          </w:p>
        </w:tc>
        <w:tc>
          <w:tcPr>
            <w:tcW w:w="1170" w:type="dxa"/>
            <w:tcMar>
              <w:top w:w="0" w:type="dxa"/>
              <w:left w:w="108" w:type="dxa"/>
              <w:bottom w:w="0" w:type="dxa"/>
              <w:right w:w="108" w:type="dxa"/>
            </w:tcMar>
          </w:tcPr>
          <w:p w:rsidRPr="00CA22AA" w:rsidR="00356E90" w:rsidP="00356E90" w:rsidRDefault="00356E90" w14:paraId="349C5A0C" w14:textId="4C103DD1">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378.00 </w:t>
            </w:r>
          </w:p>
        </w:tc>
        <w:tc>
          <w:tcPr>
            <w:tcW w:w="1080" w:type="dxa"/>
            <w:tcMar>
              <w:top w:w="0" w:type="dxa"/>
              <w:left w:w="108" w:type="dxa"/>
              <w:bottom w:w="0" w:type="dxa"/>
              <w:right w:w="108" w:type="dxa"/>
            </w:tcMar>
          </w:tcPr>
          <w:p w:rsidRPr="00CA22AA" w:rsidR="00356E90" w:rsidP="00356E90" w:rsidRDefault="00356E90" w14:paraId="6D375D4B" w14:textId="43747CF3">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2.00 </w:t>
            </w:r>
          </w:p>
        </w:tc>
        <w:tc>
          <w:tcPr>
            <w:tcW w:w="1170" w:type="dxa"/>
            <w:tcMar>
              <w:top w:w="0" w:type="dxa"/>
              <w:left w:w="108" w:type="dxa"/>
              <w:bottom w:w="0" w:type="dxa"/>
              <w:right w:w="108" w:type="dxa"/>
            </w:tcMar>
          </w:tcPr>
          <w:p w:rsidRPr="00CA22AA" w:rsidR="00356E90" w:rsidP="00356E90" w:rsidRDefault="00356E90" w14:paraId="0002E569" w14:textId="46B9F8F1">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756.00 </w:t>
            </w:r>
          </w:p>
        </w:tc>
        <w:tc>
          <w:tcPr>
            <w:tcW w:w="1260" w:type="dxa"/>
            <w:tcMar>
              <w:top w:w="0" w:type="dxa"/>
              <w:left w:w="108" w:type="dxa"/>
              <w:bottom w:w="0" w:type="dxa"/>
              <w:right w:w="108" w:type="dxa"/>
            </w:tcMar>
          </w:tcPr>
          <w:p w:rsidRPr="00356E90" w:rsidR="00356E90" w:rsidP="00356E90" w:rsidRDefault="00356E90" w14:paraId="0A2794A3" w14:textId="46A1AC26">
            <w:pPr>
              <w:jc w:val="right"/>
              <w:rPr>
                <w:rFonts w:ascii="Times New Roman" w:hAnsi="Times New Roman" w:cs="Times New Roman"/>
                <w:b/>
                <w:bCs/>
                <w:sz w:val="18"/>
                <w:szCs w:val="18"/>
              </w:rPr>
            </w:pPr>
            <w:r w:rsidRPr="00356E90">
              <w:rPr>
                <w:rFonts w:ascii="Times New Roman" w:hAnsi="Times New Roman" w:cs="Times New Roman"/>
                <w:b/>
                <w:bCs/>
                <w:sz w:val="18"/>
                <w:szCs w:val="18"/>
              </w:rPr>
              <w:t xml:space="preserve"> $41.</w:t>
            </w:r>
            <w:r w:rsidR="00935E5C">
              <w:rPr>
                <w:rFonts w:ascii="Times New Roman" w:hAnsi="Times New Roman" w:cs="Times New Roman"/>
                <w:b/>
                <w:bCs/>
                <w:sz w:val="18"/>
                <w:szCs w:val="18"/>
              </w:rPr>
              <w:t>66</w:t>
            </w:r>
          </w:p>
        </w:tc>
        <w:tc>
          <w:tcPr>
            <w:tcW w:w="1165" w:type="dxa"/>
            <w:tcMar>
              <w:top w:w="0" w:type="dxa"/>
              <w:left w:w="108" w:type="dxa"/>
              <w:bottom w:w="0" w:type="dxa"/>
              <w:right w:w="108" w:type="dxa"/>
            </w:tcMar>
          </w:tcPr>
          <w:p w:rsidRPr="00356E90" w:rsidR="00356E90" w:rsidP="00356E90" w:rsidRDefault="00356E90" w14:paraId="2B7DDA21" w14:textId="4355F7D5">
            <w:pPr>
              <w:jc w:val="right"/>
              <w:rPr>
                <w:rFonts w:ascii="Times New Roman" w:hAnsi="Times New Roman" w:cs="Times New Roman"/>
                <w:b/>
                <w:bCs/>
                <w:sz w:val="18"/>
                <w:szCs w:val="18"/>
              </w:rPr>
            </w:pPr>
            <w:r w:rsidRPr="00356E90">
              <w:rPr>
                <w:rFonts w:ascii="Times New Roman" w:hAnsi="Times New Roman" w:cs="Times New Roman"/>
                <w:b/>
                <w:bCs/>
                <w:sz w:val="18"/>
                <w:szCs w:val="18"/>
              </w:rPr>
              <w:t xml:space="preserve"> $31,</w:t>
            </w:r>
            <w:r w:rsidR="00935E5C">
              <w:rPr>
                <w:rFonts w:ascii="Times New Roman" w:hAnsi="Times New Roman" w:cs="Times New Roman"/>
                <w:b/>
                <w:bCs/>
                <w:sz w:val="18"/>
                <w:szCs w:val="18"/>
              </w:rPr>
              <w:t>494.96</w:t>
            </w:r>
            <w:r w:rsidRPr="00356E90">
              <w:rPr>
                <w:rFonts w:ascii="Times New Roman" w:hAnsi="Times New Roman" w:cs="Times New Roman"/>
                <w:b/>
                <w:bCs/>
                <w:sz w:val="18"/>
                <w:szCs w:val="18"/>
              </w:rPr>
              <w:t xml:space="preserve"> </w:t>
            </w:r>
          </w:p>
        </w:tc>
      </w:tr>
      <w:tr w:rsidRPr="00CA22AA" w:rsidR="00356E90" w:rsidTr="00CA22AA" w14:paraId="5C212F43" w14:textId="77777777">
        <w:trPr>
          <w:trHeight w:val="602"/>
        </w:trPr>
        <w:tc>
          <w:tcPr>
            <w:tcW w:w="1620" w:type="dxa"/>
            <w:tcMar>
              <w:top w:w="0" w:type="dxa"/>
              <w:left w:w="108" w:type="dxa"/>
              <w:bottom w:w="0" w:type="dxa"/>
              <w:right w:w="108" w:type="dxa"/>
            </w:tcMar>
          </w:tcPr>
          <w:p w:rsidRPr="00CA22AA" w:rsidR="00356E90" w:rsidP="00356E90" w:rsidRDefault="00356E90" w14:paraId="47DD2A60" w14:textId="77777777">
            <w:pPr>
              <w:rPr>
                <w:rFonts w:ascii="Times New Roman" w:hAnsi="Times New Roman" w:cs="Times New Roman"/>
                <w:b/>
                <w:bCs/>
                <w:sz w:val="18"/>
                <w:szCs w:val="18"/>
              </w:rPr>
            </w:pPr>
            <w:r w:rsidRPr="00CA22AA">
              <w:rPr>
                <w:rFonts w:ascii="Times New Roman" w:hAnsi="Times New Roman" w:cs="Times New Roman"/>
                <w:b/>
                <w:bCs/>
                <w:sz w:val="18"/>
                <w:szCs w:val="18"/>
              </w:rPr>
              <w:t>Rent Calculation Worksheet Addendum</w:t>
            </w:r>
          </w:p>
        </w:tc>
        <w:tc>
          <w:tcPr>
            <w:tcW w:w="1260" w:type="dxa"/>
            <w:tcMar>
              <w:top w:w="0" w:type="dxa"/>
              <w:left w:w="108" w:type="dxa"/>
              <w:bottom w:w="0" w:type="dxa"/>
              <w:right w:w="108" w:type="dxa"/>
            </w:tcMar>
          </w:tcPr>
          <w:p w:rsidRPr="00CA22AA" w:rsidR="00356E90" w:rsidP="00356E90" w:rsidRDefault="00356E90" w14:paraId="0AAF908D" w14:textId="7F2B8449">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378.00 </w:t>
            </w:r>
          </w:p>
        </w:tc>
        <w:tc>
          <w:tcPr>
            <w:tcW w:w="1080" w:type="dxa"/>
            <w:tcMar>
              <w:top w:w="0" w:type="dxa"/>
              <w:left w:w="108" w:type="dxa"/>
              <w:bottom w:w="0" w:type="dxa"/>
              <w:right w:w="108" w:type="dxa"/>
            </w:tcMar>
          </w:tcPr>
          <w:p w:rsidRPr="00CA22AA" w:rsidR="00356E90" w:rsidP="00356E90" w:rsidRDefault="00356E90" w14:paraId="0C492560" w14:textId="437EDC54">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1.00 </w:t>
            </w:r>
          </w:p>
        </w:tc>
        <w:tc>
          <w:tcPr>
            <w:tcW w:w="1170" w:type="dxa"/>
            <w:tcMar>
              <w:top w:w="0" w:type="dxa"/>
              <w:left w:w="108" w:type="dxa"/>
              <w:bottom w:w="0" w:type="dxa"/>
              <w:right w:w="108" w:type="dxa"/>
            </w:tcMar>
          </w:tcPr>
          <w:p w:rsidRPr="00CA22AA" w:rsidR="00356E90" w:rsidP="00356E90" w:rsidRDefault="00356E90" w14:paraId="6D2B9788" w14:textId="74D76D6F">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378.00 </w:t>
            </w:r>
          </w:p>
        </w:tc>
        <w:tc>
          <w:tcPr>
            <w:tcW w:w="1080" w:type="dxa"/>
            <w:tcMar>
              <w:top w:w="0" w:type="dxa"/>
              <w:left w:w="108" w:type="dxa"/>
              <w:bottom w:w="0" w:type="dxa"/>
              <w:right w:w="108" w:type="dxa"/>
            </w:tcMar>
          </w:tcPr>
          <w:p w:rsidRPr="00CA22AA" w:rsidR="00356E90" w:rsidP="00356E90" w:rsidRDefault="00356E90" w14:paraId="3C613D6F" w14:textId="078E433F">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3.00 </w:t>
            </w:r>
          </w:p>
        </w:tc>
        <w:tc>
          <w:tcPr>
            <w:tcW w:w="1170" w:type="dxa"/>
            <w:tcMar>
              <w:top w:w="0" w:type="dxa"/>
              <w:left w:w="108" w:type="dxa"/>
              <w:bottom w:w="0" w:type="dxa"/>
              <w:right w:w="108" w:type="dxa"/>
            </w:tcMar>
          </w:tcPr>
          <w:p w:rsidRPr="00CA22AA" w:rsidR="00356E90" w:rsidP="00356E90" w:rsidRDefault="00356E90" w14:paraId="797E9D11" w14:textId="77B68E8B">
            <w:pPr>
              <w:jc w:val="right"/>
              <w:rPr>
                <w:rFonts w:ascii="Times New Roman" w:hAnsi="Times New Roman" w:cs="Times New Roman"/>
                <w:b/>
                <w:bCs/>
                <w:sz w:val="18"/>
                <w:szCs w:val="18"/>
              </w:rPr>
            </w:pPr>
            <w:r w:rsidRPr="00CA22AA">
              <w:rPr>
                <w:rFonts w:ascii="Times New Roman" w:hAnsi="Times New Roman" w:cs="Times New Roman"/>
                <w:b/>
                <w:bCs/>
                <w:sz w:val="18"/>
                <w:szCs w:val="18"/>
              </w:rPr>
              <w:t xml:space="preserve"> 1,134.00 </w:t>
            </w:r>
          </w:p>
        </w:tc>
        <w:tc>
          <w:tcPr>
            <w:tcW w:w="1260" w:type="dxa"/>
            <w:tcMar>
              <w:top w:w="0" w:type="dxa"/>
              <w:left w:w="108" w:type="dxa"/>
              <w:bottom w:w="0" w:type="dxa"/>
              <w:right w:w="108" w:type="dxa"/>
            </w:tcMar>
          </w:tcPr>
          <w:p w:rsidRPr="00356E90" w:rsidR="00356E90" w:rsidP="00356E90" w:rsidRDefault="00356E90" w14:paraId="095C9BE7" w14:textId="541191E6">
            <w:pPr>
              <w:jc w:val="right"/>
              <w:rPr>
                <w:rFonts w:ascii="Times New Roman" w:hAnsi="Times New Roman" w:cs="Times New Roman"/>
                <w:b/>
                <w:bCs/>
                <w:sz w:val="18"/>
                <w:szCs w:val="18"/>
              </w:rPr>
            </w:pPr>
            <w:r w:rsidRPr="00356E90">
              <w:rPr>
                <w:rFonts w:ascii="Times New Roman" w:hAnsi="Times New Roman" w:cs="Times New Roman"/>
                <w:b/>
                <w:bCs/>
                <w:sz w:val="18"/>
                <w:szCs w:val="18"/>
              </w:rPr>
              <w:t xml:space="preserve"> $41.</w:t>
            </w:r>
            <w:r w:rsidR="00935E5C">
              <w:rPr>
                <w:rFonts w:ascii="Times New Roman" w:hAnsi="Times New Roman" w:cs="Times New Roman"/>
                <w:b/>
                <w:bCs/>
                <w:sz w:val="18"/>
                <w:szCs w:val="18"/>
              </w:rPr>
              <w:t>66</w:t>
            </w:r>
            <w:r w:rsidRPr="00356E90" w:rsidR="00935E5C">
              <w:rPr>
                <w:rFonts w:ascii="Times New Roman" w:hAnsi="Times New Roman" w:cs="Times New Roman"/>
                <w:b/>
                <w:bCs/>
                <w:sz w:val="18"/>
                <w:szCs w:val="18"/>
              </w:rPr>
              <w:t xml:space="preserve"> </w:t>
            </w:r>
          </w:p>
        </w:tc>
        <w:tc>
          <w:tcPr>
            <w:tcW w:w="1165" w:type="dxa"/>
            <w:tcMar>
              <w:top w:w="0" w:type="dxa"/>
              <w:left w:w="108" w:type="dxa"/>
              <w:bottom w:w="0" w:type="dxa"/>
              <w:right w:w="108" w:type="dxa"/>
            </w:tcMar>
          </w:tcPr>
          <w:p w:rsidRPr="00356E90" w:rsidR="00356E90" w:rsidP="00356E90" w:rsidRDefault="00356E90" w14:paraId="40D590CF" w14:textId="4117177F">
            <w:pPr>
              <w:jc w:val="right"/>
              <w:rPr>
                <w:rFonts w:ascii="Times New Roman" w:hAnsi="Times New Roman" w:cs="Times New Roman"/>
                <w:b/>
                <w:bCs/>
                <w:sz w:val="18"/>
                <w:szCs w:val="18"/>
              </w:rPr>
            </w:pPr>
            <w:r w:rsidRPr="00356E90">
              <w:rPr>
                <w:rFonts w:ascii="Times New Roman" w:hAnsi="Times New Roman" w:cs="Times New Roman"/>
                <w:b/>
                <w:bCs/>
                <w:sz w:val="18"/>
                <w:szCs w:val="18"/>
              </w:rPr>
              <w:t xml:space="preserve"> $</w:t>
            </w:r>
            <w:r w:rsidR="00935E5C">
              <w:rPr>
                <w:rFonts w:ascii="Times New Roman" w:hAnsi="Times New Roman" w:cs="Times New Roman"/>
                <w:b/>
                <w:bCs/>
                <w:sz w:val="18"/>
                <w:szCs w:val="18"/>
              </w:rPr>
              <w:t>47,242.44</w:t>
            </w:r>
            <w:r w:rsidRPr="00356E90">
              <w:rPr>
                <w:rFonts w:ascii="Times New Roman" w:hAnsi="Times New Roman" w:cs="Times New Roman"/>
                <w:b/>
                <w:bCs/>
                <w:sz w:val="18"/>
                <w:szCs w:val="18"/>
              </w:rPr>
              <w:t xml:space="preserve"> </w:t>
            </w:r>
          </w:p>
        </w:tc>
      </w:tr>
      <w:tr w:rsidRPr="00CA22AA" w:rsidR="00A35873" w:rsidTr="00CA22AA" w14:paraId="46E155ED" w14:textId="77777777">
        <w:trPr>
          <w:trHeight w:val="602"/>
        </w:trPr>
        <w:tc>
          <w:tcPr>
            <w:tcW w:w="1620" w:type="dxa"/>
            <w:tcMar>
              <w:top w:w="0" w:type="dxa"/>
              <w:left w:w="108" w:type="dxa"/>
              <w:bottom w:w="0" w:type="dxa"/>
              <w:right w:w="108" w:type="dxa"/>
            </w:tcMar>
          </w:tcPr>
          <w:p w:rsidRPr="00CA22AA" w:rsidR="00A35873" w:rsidP="00356E90" w:rsidRDefault="00A35873" w14:paraId="52D4D721" w14:textId="7F1F3554">
            <w:pPr>
              <w:rPr>
                <w:rFonts w:ascii="Times New Roman" w:hAnsi="Times New Roman" w:cs="Times New Roman"/>
                <w:b/>
                <w:bCs/>
                <w:sz w:val="18"/>
                <w:szCs w:val="18"/>
              </w:rPr>
            </w:pPr>
            <w:r>
              <w:rPr>
                <w:rFonts w:ascii="Times New Roman" w:hAnsi="Times New Roman" w:cs="Times New Roman"/>
                <w:b/>
                <w:bCs/>
                <w:sz w:val="18"/>
                <w:szCs w:val="18"/>
              </w:rPr>
              <w:t>Total</w:t>
            </w:r>
          </w:p>
        </w:tc>
        <w:tc>
          <w:tcPr>
            <w:tcW w:w="1260" w:type="dxa"/>
            <w:tcMar>
              <w:top w:w="0" w:type="dxa"/>
              <w:left w:w="108" w:type="dxa"/>
              <w:bottom w:w="0" w:type="dxa"/>
              <w:right w:w="108" w:type="dxa"/>
            </w:tcMar>
          </w:tcPr>
          <w:p w:rsidRPr="00CA22AA" w:rsidR="00A35873" w:rsidP="00356E90" w:rsidRDefault="00A35873" w14:paraId="4A4DF0A5" w14:textId="77777777">
            <w:pPr>
              <w:jc w:val="right"/>
              <w:rPr>
                <w:rFonts w:ascii="Times New Roman" w:hAnsi="Times New Roman" w:cs="Times New Roman"/>
                <w:b/>
                <w:bCs/>
                <w:sz w:val="18"/>
                <w:szCs w:val="18"/>
              </w:rPr>
            </w:pPr>
          </w:p>
        </w:tc>
        <w:tc>
          <w:tcPr>
            <w:tcW w:w="1080" w:type="dxa"/>
            <w:tcMar>
              <w:top w:w="0" w:type="dxa"/>
              <w:left w:w="108" w:type="dxa"/>
              <w:bottom w:w="0" w:type="dxa"/>
              <w:right w:w="108" w:type="dxa"/>
            </w:tcMar>
          </w:tcPr>
          <w:p w:rsidRPr="00CA22AA" w:rsidR="00A35873" w:rsidP="00356E90" w:rsidRDefault="00A35873" w14:paraId="2B15B3BF" w14:textId="77777777">
            <w:pPr>
              <w:jc w:val="right"/>
              <w:rPr>
                <w:rFonts w:ascii="Times New Roman" w:hAnsi="Times New Roman" w:cs="Times New Roman"/>
                <w:b/>
                <w:bCs/>
                <w:sz w:val="18"/>
                <w:szCs w:val="18"/>
              </w:rPr>
            </w:pPr>
          </w:p>
        </w:tc>
        <w:tc>
          <w:tcPr>
            <w:tcW w:w="1170" w:type="dxa"/>
            <w:tcMar>
              <w:top w:w="0" w:type="dxa"/>
              <w:left w:w="108" w:type="dxa"/>
              <w:bottom w:w="0" w:type="dxa"/>
              <w:right w:w="108" w:type="dxa"/>
            </w:tcMar>
          </w:tcPr>
          <w:p w:rsidRPr="00CA22AA" w:rsidR="00A35873" w:rsidP="00356E90" w:rsidRDefault="00A35873" w14:paraId="7A9D7D00" w14:textId="77777777">
            <w:pPr>
              <w:jc w:val="right"/>
              <w:rPr>
                <w:rFonts w:ascii="Times New Roman" w:hAnsi="Times New Roman" w:cs="Times New Roman"/>
                <w:b/>
                <w:bCs/>
                <w:sz w:val="18"/>
                <w:szCs w:val="18"/>
              </w:rPr>
            </w:pPr>
          </w:p>
        </w:tc>
        <w:tc>
          <w:tcPr>
            <w:tcW w:w="1080" w:type="dxa"/>
            <w:tcMar>
              <w:top w:w="0" w:type="dxa"/>
              <w:left w:w="108" w:type="dxa"/>
              <w:bottom w:w="0" w:type="dxa"/>
              <w:right w:w="108" w:type="dxa"/>
            </w:tcMar>
          </w:tcPr>
          <w:p w:rsidRPr="00CA22AA" w:rsidR="00A35873" w:rsidP="00356E90" w:rsidRDefault="00A35873" w14:paraId="06D1684F" w14:textId="77777777">
            <w:pPr>
              <w:jc w:val="right"/>
              <w:rPr>
                <w:rFonts w:ascii="Times New Roman" w:hAnsi="Times New Roman" w:cs="Times New Roman"/>
                <w:b/>
                <w:bCs/>
                <w:sz w:val="18"/>
                <w:szCs w:val="18"/>
              </w:rPr>
            </w:pPr>
          </w:p>
        </w:tc>
        <w:tc>
          <w:tcPr>
            <w:tcW w:w="1170" w:type="dxa"/>
            <w:tcMar>
              <w:top w:w="0" w:type="dxa"/>
              <w:left w:w="108" w:type="dxa"/>
              <w:bottom w:w="0" w:type="dxa"/>
              <w:right w:w="108" w:type="dxa"/>
            </w:tcMar>
          </w:tcPr>
          <w:p w:rsidRPr="00CA22AA" w:rsidR="00A35873" w:rsidP="00356E90" w:rsidRDefault="00A35873" w14:paraId="2A9B4331" w14:textId="7ABE54F5">
            <w:pPr>
              <w:jc w:val="right"/>
              <w:rPr>
                <w:rFonts w:ascii="Times New Roman" w:hAnsi="Times New Roman" w:cs="Times New Roman"/>
                <w:b/>
                <w:bCs/>
                <w:sz w:val="18"/>
                <w:szCs w:val="18"/>
              </w:rPr>
            </w:pPr>
            <w:r>
              <w:rPr>
                <w:rFonts w:ascii="Times New Roman" w:hAnsi="Times New Roman" w:cs="Times New Roman"/>
                <w:b/>
                <w:bCs/>
                <w:sz w:val="18"/>
                <w:szCs w:val="18"/>
              </w:rPr>
              <w:t>1,890.00</w:t>
            </w:r>
          </w:p>
        </w:tc>
        <w:tc>
          <w:tcPr>
            <w:tcW w:w="1260" w:type="dxa"/>
            <w:tcMar>
              <w:top w:w="0" w:type="dxa"/>
              <w:left w:w="108" w:type="dxa"/>
              <w:bottom w:w="0" w:type="dxa"/>
              <w:right w:w="108" w:type="dxa"/>
            </w:tcMar>
          </w:tcPr>
          <w:p w:rsidRPr="00356E90" w:rsidR="00A35873" w:rsidP="00356E90" w:rsidRDefault="00A35873" w14:paraId="216D73E3" w14:textId="77777777">
            <w:pPr>
              <w:jc w:val="right"/>
              <w:rPr>
                <w:rFonts w:ascii="Times New Roman" w:hAnsi="Times New Roman" w:cs="Times New Roman"/>
                <w:b/>
                <w:bCs/>
                <w:sz w:val="18"/>
                <w:szCs w:val="18"/>
              </w:rPr>
            </w:pPr>
          </w:p>
        </w:tc>
        <w:tc>
          <w:tcPr>
            <w:tcW w:w="1165" w:type="dxa"/>
            <w:tcMar>
              <w:top w:w="0" w:type="dxa"/>
              <w:left w:w="108" w:type="dxa"/>
              <w:bottom w:w="0" w:type="dxa"/>
              <w:right w:w="108" w:type="dxa"/>
            </w:tcMar>
          </w:tcPr>
          <w:p w:rsidRPr="00356E90" w:rsidR="00A35873" w:rsidP="00356E90" w:rsidRDefault="00A35873" w14:paraId="7F039112" w14:textId="7E916631">
            <w:pPr>
              <w:jc w:val="right"/>
              <w:rPr>
                <w:rFonts w:ascii="Times New Roman" w:hAnsi="Times New Roman" w:cs="Times New Roman"/>
                <w:b/>
                <w:bCs/>
                <w:sz w:val="18"/>
                <w:szCs w:val="18"/>
              </w:rPr>
            </w:pPr>
            <w:r>
              <w:rPr>
                <w:rFonts w:ascii="Times New Roman" w:hAnsi="Times New Roman" w:cs="Times New Roman"/>
                <w:b/>
                <w:bCs/>
                <w:sz w:val="18"/>
                <w:szCs w:val="18"/>
              </w:rPr>
              <w:t>$78,737.40</w:t>
            </w:r>
          </w:p>
        </w:tc>
      </w:tr>
    </w:tbl>
    <w:p w:rsidR="007E0199" w:rsidP="007E0199" w:rsidRDefault="007E0199" w14:paraId="001F03EC" w14:textId="73915998">
      <w:pPr>
        <w:rPr>
          <w:rFonts w:ascii="Times New Roman" w:hAnsi="Times New Roman" w:cs="Times New Roman"/>
          <w:sz w:val="24"/>
          <w:szCs w:val="24"/>
        </w:rPr>
      </w:pPr>
    </w:p>
    <w:p w:rsidR="00CA22AA" w:rsidP="007E0199" w:rsidRDefault="00CA22AA" w14:paraId="2A271FB8" w14:textId="53DF6020">
      <w:pPr>
        <w:rPr>
          <w:rFonts w:ascii="Times New Roman" w:hAnsi="Times New Roman" w:cs="Times New Roman"/>
          <w:sz w:val="24"/>
          <w:szCs w:val="24"/>
        </w:rPr>
      </w:pPr>
    </w:p>
    <w:p w:rsidR="00CA22AA" w:rsidP="007E0199" w:rsidRDefault="00CA22AA" w14:paraId="3B778FE1" w14:textId="77777777">
      <w:pPr>
        <w:rPr>
          <w:rFonts w:ascii="Times New Roman" w:hAnsi="Times New Roman" w:cs="Times New Roman"/>
          <w:sz w:val="24"/>
          <w:szCs w:val="24"/>
        </w:rPr>
      </w:pPr>
    </w:p>
    <w:p w:rsidRPr="00461C07" w:rsidR="007E0199" w:rsidP="00461C07" w:rsidRDefault="007E0199" w14:paraId="40E61B66" w14:textId="1BCCBCD1">
      <w:pPr>
        <w:pStyle w:val="ListParagraph"/>
        <w:numPr>
          <w:ilvl w:val="0"/>
          <w:numId w:val="12"/>
        </w:numPr>
        <w:rPr>
          <w:rFonts w:ascii="Times New Roman" w:hAnsi="Times New Roman" w:cs="Times New Roman"/>
          <w:sz w:val="24"/>
          <w:szCs w:val="24"/>
        </w:rPr>
      </w:pPr>
      <w:r w:rsidRPr="00461C07">
        <w:rPr>
          <w:rFonts w:ascii="Times New Roman" w:hAnsi="Times New Roman" w:cs="Times New Roman"/>
          <w:sz w:val="24"/>
          <w:szCs w:val="24"/>
        </w:rPr>
        <w:t xml:space="preserve">Provide an estimate of the total annual cost burden to respondents or recordkeepers resulting from the collection of information (do not include the cost of any hour burden shown in Items 12 and 14). </w:t>
      </w:r>
    </w:p>
    <w:p w:rsidRPr="00461C07" w:rsidR="007E0199" w:rsidP="003D6DA3" w:rsidRDefault="007E0199" w14:paraId="56B5E767" w14:textId="77777777">
      <w:pPr>
        <w:pStyle w:val="ListParagraph"/>
        <w:numPr>
          <w:ilvl w:val="0"/>
          <w:numId w:val="9"/>
        </w:numPr>
        <w:rPr>
          <w:rFonts w:ascii="Times New Roman" w:hAnsi="Times New Roman" w:cs="Times New Roman"/>
          <w:sz w:val="24"/>
          <w:szCs w:val="24"/>
        </w:rPr>
      </w:pPr>
      <w:r w:rsidRPr="00461C07">
        <w:rPr>
          <w:rFonts w:ascii="Times New Roman" w:hAnsi="Times New Roman" w:cs="Times New Roman"/>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461C07">
        <w:rPr>
          <w:rFonts w:ascii="Times New Roman" w:hAnsi="Times New Roman" w:cs="Times New Roman"/>
          <w:sz w:val="24"/>
          <w:szCs w:val="24"/>
        </w:rPr>
        <w:t>take into account</w:t>
      </w:r>
      <w:proofErr w:type="gramEnd"/>
      <w:r w:rsidRPr="00461C07">
        <w:rPr>
          <w:rFonts w:ascii="Times New Roman" w:hAnsi="Times New Roman" w:cs="Times New Roman"/>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461C07">
        <w:rPr>
          <w:rFonts w:ascii="Times New Roman" w:hAnsi="Times New Roman" w:cs="Times New Roman"/>
          <w:sz w:val="24"/>
          <w:szCs w:val="24"/>
        </w:rPr>
        <w:t>facilities;</w:t>
      </w:r>
      <w:proofErr w:type="gramEnd"/>
      <w:r w:rsidRPr="00461C07">
        <w:rPr>
          <w:rFonts w:ascii="Times New Roman" w:hAnsi="Times New Roman" w:cs="Times New Roman"/>
          <w:sz w:val="24"/>
          <w:szCs w:val="24"/>
        </w:rPr>
        <w:t xml:space="preserve"> </w:t>
      </w:r>
    </w:p>
    <w:p w:rsidRPr="00461C07" w:rsidR="007E0199" w:rsidP="003D6DA3" w:rsidRDefault="007E0199" w14:paraId="1B7B505C" w14:textId="77777777">
      <w:pPr>
        <w:pStyle w:val="ListParagraph"/>
        <w:numPr>
          <w:ilvl w:val="0"/>
          <w:numId w:val="9"/>
        </w:numPr>
        <w:rPr>
          <w:rFonts w:ascii="Times New Roman" w:hAnsi="Times New Roman" w:cs="Times New Roman"/>
          <w:sz w:val="24"/>
          <w:szCs w:val="24"/>
        </w:rPr>
      </w:pPr>
      <w:r w:rsidRPr="00461C07">
        <w:rPr>
          <w:rFonts w:ascii="Times New Roman" w:hAnsi="Times New Roman" w:cs="Times New Roman"/>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461C07" w:rsidP="00461C07" w:rsidRDefault="007E0199" w14:paraId="1B020546" w14:textId="302CE535">
      <w:pPr>
        <w:pStyle w:val="ListParagraph"/>
        <w:numPr>
          <w:ilvl w:val="0"/>
          <w:numId w:val="9"/>
        </w:numPr>
        <w:rPr>
          <w:rFonts w:ascii="Times New Roman" w:hAnsi="Times New Roman" w:cs="Times New Roman"/>
          <w:sz w:val="24"/>
          <w:szCs w:val="24"/>
        </w:rPr>
      </w:pPr>
      <w:r w:rsidRPr="00461C07">
        <w:rPr>
          <w:rFonts w:ascii="Times New Roman" w:hAnsi="Times New Roman" w:cs="Times New Roman"/>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61C07" w:rsidP="00461C07" w:rsidRDefault="00461C07" w14:paraId="4561DFEB" w14:textId="77777777">
      <w:pPr>
        <w:pStyle w:val="ListParagraph"/>
        <w:ind w:left="1080"/>
        <w:rPr>
          <w:rFonts w:ascii="Times New Roman" w:hAnsi="Times New Roman" w:cs="Times New Roman"/>
          <w:sz w:val="24"/>
          <w:szCs w:val="24"/>
        </w:rPr>
      </w:pPr>
    </w:p>
    <w:p w:rsidRPr="00461C07" w:rsidR="007E0199" w:rsidP="00461C07" w:rsidRDefault="007E0199" w14:paraId="1F984CEE" w14:textId="263F043F">
      <w:pPr>
        <w:pStyle w:val="ListParagraph"/>
        <w:numPr>
          <w:ilvl w:val="0"/>
          <w:numId w:val="12"/>
        </w:numPr>
        <w:rPr>
          <w:rFonts w:ascii="Times New Roman" w:hAnsi="Times New Roman" w:cs="Times New Roman"/>
          <w:sz w:val="24"/>
          <w:szCs w:val="24"/>
        </w:rPr>
      </w:pPr>
      <w:r w:rsidRPr="00461C07">
        <w:rPr>
          <w:rFonts w:ascii="Times New Roman" w:hAnsi="Times New Roman" w:cs="Times New Roman"/>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461C07" w:rsidR="007E0199" w:rsidP="007E0199" w:rsidRDefault="007E0199" w14:paraId="30CC01F5" w14:textId="77777777">
      <w:pPr>
        <w:rPr>
          <w:rFonts w:ascii="Times New Roman" w:hAnsi="Times New Roman" w:cs="Times New Roman"/>
          <w:sz w:val="24"/>
          <w:szCs w:val="24"/>
        </w:rPr>
      </w:pPr>
    </w:p>
    <w:tbl>
      <w:tblPr>
        <w:tblW w:w="951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507"/>
        <w:gridCol w:w="1350"/>
        <w:gridCol w:w="1147"/>
        <w:gridCol w:w="1094"/>
        <w:gridCol w:w="1017"/>
        <w:gridCol w:w="1062"/>
        <w:gridCol w:w="1080"/>
        <w:gridCol w:w="1260"/>
      </w:tblGrid>
      <w:tr w:rsidRPr="00461C07" w:rsidR="00816F8F" w:rsidTr="003179E9" w14:paraId="756F2CE8" w14:textId="77777777">
        <w:trPr>
          <w:trHeight w:val="872"/>
        </w:trPr>
        <w:tc>
          <w:tcPr>
            <w:tcW w:w="1507" w:type="dxa"/>
            <w:tcMar>
              <w:top w:w="0" w:type="dxa"/>
              <w:left w:w="108" w:type="dxa"/>
              <w:bottom w:w="0" w:type="dxa"/>
              <w:right w:w="108" w:type="dxa"/>
            </w:tcMar>
            <w:hideMark/>
          </w:tcPr>
          <w:p w:rsidRPr="00461C07" w:rsidR="007E0199" w:rsidP="00816F8F" w:rsidRDefault="007E0199" w14:paraId="1D73D006" w14:textId="77777777">
            <w:pPr>
              <w:jc w:val="center"/>
              <w:rPr>
                <w:rFonts w:ascii="Times New Roman" w:hAnsi="Times New Roman" w:cs="Times New Roman"/>
                <w:b/>
                <w:bCs/>
                <w:sz w:val="20"/>
                <w:szCs w:val="20"/>
              </w:rPr>
            </w:pPr>
            <w:r w:rsidRPr="00461C07">
              <w:rPr>
                <w:rFonts w:ascii="Times New Roman" w:hAnsi="Times New Roman" w:cs="Times New Roman"/>
                <w:b/>
                <w:bCs/>
                <w:sz w:val="20"/>
                <w:szCs w:val="20"/>
              </w:rPr>
              <w:t>Information Collection</w:t>
            </w:r>
          </w:p>
        </w:tc>
        <w:tc>
          <w:tcPr>
            <w:tcW w:w="1350" w:type="dxa"/>
            <w:tcMar>
              <w:top w:w="0" w:type="dxa"/>
              <w:left w:w="108" w:type="dxa"/>
              <w:bottom w:w="0" w:type="dxa"/>
              <w:right w:w="108" w:type="dxa"/>
            </w:tcMar>
            <w:hideMark/>
          </w:tcPr>
          <w:p w:rsidRPr="00461C07" w:rsidR="007E0199" w:rsidP="00816F8F" w:rsidRDefault="007E0199" w14:paraId="7F003C9C" w14:textId="77777777">
            <w:pPr>
              <w:jc w:val="center"/>
              <w:rPr>
                <w:rFonts w:ascii="Times New Roman" w:hAnsi="Times New Roman" w:cs="Times New Roman"/>
                <w:b/>
                <w:bCs/>
                <w:sz w:val="20"/>
                <w:szCs w:val="20"/>
              </w:rPr>
            </w:pPr>
            <w:r w:rsidRPr="00461C07">
              <w:rPr>
                <w:rFonts w:ascii="Times New Roman" w:hAnsi="Times New Roman" w:cs="Times New Roman"/>
                <w:b/>
                <w:bCs/>
                <w:sz w:val="20"/>
                <w:szCs w:val="20"/>
              </w:rPr>
              <w:t>Number of Respondents</w:t>
            </w:r>
          </w:p>
        </w:tc>
        <w:tc>
          <w:tcPr>
            <w:tcW w:w="1147" w:type="dxa"/>
            <w:tcMar>
              <w:top w:w="0" w:type="dxa"/>
              <w:left w:w="108" w:type="dxa"/>
              <w:bottom w:w="0" w:type="dxa"/>
              <w:right w:w="108" w:type="dxa"/>
            </w:tcMar>
            <w:hideMark/>
          </w:tcPr>
          <w:p w:rsidRPr="00461C07" w:rsidR="007E0199" w:rsidP="00816F8F" w:rsidRDefault="007E0199" w14:paraId="472222FC" w14:textId="77777777">
            <w:pPr>
              <w:jc w:val="center"/>
              <w:rPr>
                <w:rFonts w:ascii="Times New Roman" w:hAnsi="Times New Roman" w:cs="Times New Roman"/>
                <w:b/>
                <w:bCs/>
                <w:sz w:val="20"/>
                <w:szCs w:val="20"/>
              </w:rPr>
            </w:pPr>
            <w:r w:rsidRPr="00461C07">
              <w:rPr>
                <w:rFonts w:ascii="Times New Roman" w:hAnsi="Times New Roman" w:cs="Times New Roman"/>
                <w:b/>
                <w:bCs/>
                <w:sz w:val="20"/>
                <w:szCs w:val="20"/>
              </w:rPr>
              <w:t>Frequency of Response</w:t>
            </w:r>
          </w:p>
        </w:tc>
        <w:tc>
          <w:tcPr>
            <w:tcW w:w="1094" w:type="dxa"/>
            <w:tcMar>
              <w:top w:w="0" w:type="dxa"/>
              <w:left w:w="108" w:type="dxa"/>
              <w:bottom w:w="0" w:type="dxa"/>
              <w:right w:w="108" w:type="dxa"/>
            </w:tcMar>
            <w:hideMark/>
          </w:tcPr>
          <w:p w:rsidRPr="00461C07" w:rsidR="007E0199" w:rsidP="00816F8F" w:rsidRDefault="007E0199" w14:paraId="699F6F0D" w14:textId="08BFC3F4">
            <w:pPr>
              <w:jc w:val="center"/>
              <w:rPr>
                <w:rFonts w:ascii="Times New Roman" w:hAnsi="Times New Roman" w:cs="Times New Roman"/>
                <w:b/>
                <w:bCs/>
                <w:sz w:val="20"/>
                <w:szCs w:val="20"/>
              </w:rPr>
            </w:pPr>
            <w:r w:rsidRPr="00461C07">
              <w:rPr>
                <w:rFonts w:ascii="Times New Roman" w:hAnsi="Times New Roman" w:cs="Times New Roman"/>
                <w:b/>
                <w:bCs/>
                <w:sz w:val="20"/>
                <w:szCs w:val="20"/>
              </w:rPr>
              <w:t>Responses</w:t>
            </w:r>
            <w:r w:rsidRPr="00461C07" w:rsidR="00816F8F">
              <w:rPr>
                <w:rFonts w:ascii="Times New Roman" w:hAnsi="Times New Roman" w:cs="Times New Roman"/>
                <w:b/>
                <w:bCs/>
                <w:sz w:val="20"/>
                <w:szCs w:val="20"/>
              </w:rPr>
              <w:t xml:space="preserve"> </w:t>
            </w:r>
            <w:r w:rsidRPr="00461C07">
              <w:rPr>
                <w:rFonts w:ascii="Times New Roman" w:hAnsi="Times New Roman" w:cs="Times New Roman"/>
                <w:b/>
                <w:bCs/>
                <w:sz w:val="20"/>
                <w:szCs w:val="20"/>
              </w:rPr>
              <w:t>Per Annum</w:t>
            </w:r>
          </w:p>
        </w:tc>
        <w:tc>
          <w:tcPr>
            <w:tcW w:w="1017" w:type="dxa"/>
            <w:tcMar>
              <w:top w:w="0" w:type="dxa"/>
              <w:left w:w="108" w:type="dxa"/>
              <w:bottom w:w="0" w:type="dxa"/>
              <w:right w:w="108" w:type="dxa"/>
            </w:tcMar>
            <w:hideMark/>
          </w:tcPr>
          <w:p w:rsidRPr="00461C07" w:rsidR="007E0199" w:rsidP="00816F8F" w:rsidRDefault="007E0199" w14:paraId="24742B1A" w14:textId="77777777">
            <w:pPr>
              <w:jc w:val="center"/>
              <w:rPr>
                <w:rFonts w:ascii="Times New Roman" w:hAnsi="Times New Roman" w:cs="Times New Roman"/>
                <w:b/>
                <w:bCs/>
                <w:sz w:val="20"/>
                <w:szCs w:val="20"/>
              </w:rPr>
            </w:pPr>
            <w:r w:rsidRPr="00461C07">
              <w:rPr>
                <w:rFonts w:ascii="Times New Roman" w:hAnsi="Times New Roman" w:cs="Times New Roman"/>
                <w:b/>
                <w:bCs/>
                <w:sz w:val="20"/>
                <w:szCs w:val="20"/>
              </w:rPr>
              <w:t>Burden Hour Per Response</w:t>
            </w:r>
          </w:p>
        </w:tc>
        <w:tc>
          <w:tcPr>
            <w:tcW w:w="1062" w:type="dxa"/>
            <w:tcMar>
              <w:top w:w="0" w:type="dxa"/>
              <w:left w:w="108" w:type="dxa"/>
              <w:bottom w:w="0" w:type="dxa"/>
              <w:right w:w="108" w:type="dxa"/>
            </w:tcMar>
            <w:hideMark/>
          </w:tcPr>
          <w:p w:rsidRPr="00461C07" w:rsidR="007E0199" w:rsidP="00816F8F" w:rsidRDefault="007E0199" w14:paraId="17A65512" w14:textId="77777777">
            <w:pPr>
              <w:jc w:val="center"/>
              <w:rPr>
                <w:rFonts w:ascii="Times New Roman" w:hAnsi="Times New Roman" w:cs="Times New Roman"/>
                <w:b/>
                <w:bCs/>
                <w:sz w:val="20"/>
                <w:szCs w:val="20"/>
              </w:rPr>
            </w:pPr>
            <w:r w:rsidRPr="00461C07">
              <w:rPr>
                <w:rFonts w:ascii="Times New Roman" w:hAnsi="Times New Roman" w:cs="Times New Roman"/>
                <w:b/>
                <w:bCs/>
                <w:sz w:val="20"/>
                <w:szCs w:val="20"/>
              </w:rPr>
              <w:t>Annual Burden Hours</w:t>
            </w:r>
          </w:p>
        </w:tc>
        <w:tc>
          <w:tcPr>
            <w:tcW w:w="1080" w:type="dxa"/>
            <w:tcMar>
              <w:top w:w="0" w:type="dxa"/>
              <w:left w:w="108" w:type="dxa"/>
              <w:bottom w:w="0" w:type="dxa"/>
              <w:right w:w="108" w:type="dxa"/>
            </w:tcMar>
            <w:hideMark/>
          </w:tcPr>
          <w:p w:rsidRPr="00461C07" w:rsidR="007E0199" w:rsidP="00816F8F" w:rsidRDefault="007E0199" w14:paraId="631A5819" w14:textId="77777777">
            <w:pPr>
              <w:jc w:val="center"/>
              <w:rPr>
                <w:rFonts w:ascii="Times New Roman" w:hAnsi="Times New Roman" w:cs="Times New Roman"/>
                <w:b/>
                <w:bCs/>
                <w:sz w:val="20"/>
                <w:szCs w:val="20"/>
              </w:rPr>
            </w:pPr>
            <w:r w:rsidRPr="00461C07">
              <w:rPr>
                <w:rFonts w:ascii="Times New Roman" w:hAnsi="Times New Roman" w:cs="Times New Roman"/>
                <w:b/>
                <w:bCs/>
                <w:sz w:val="20"/>
                <w:szCs w:val="20"/>
              </w:rPr>
              <w:t>Hourly Cost Per Response</w:t>
            </w:r>
          </w:p>
        </w:tc>
        <w:tc>
          <w:tcPr>
            <w:tcW w:w="1260" w:type="dxa"/>
            <w:tcMar>
              <w:top w:w="0" w:type="dxa"/>
              <w:left w:w="108" w:type="dxa"/>
              <w:bottom w:w="0" w:type="dxa"/>
              <w:right w:w="108" w:type="dxa"/>
            </w:tcMar>
          </w:tcPr>
          <w:p w:rsidRPr="00461C07" w:rsidR="007E0199" w:rsidP="00816F8F" w:rsidRDefault="007E0199" w14:paraId="52969216" w14:textId="0C077A83">
            <w:pPr>
              <w:jc w:val="center"/>
              <w:rPr>
                <w:rFonts w:ascii="Times New Roman" w:hAnsi="Times New Roman" w:cs="Times New Roman"/>
                <w:b/>
                <w:bCs/>
                <w:sz w:val="20"/>
                <w:szCs w:val="20"/>
              </w:rPr>
            </w:pPr>
            <w:r w:rsidRPr="00461C07">
              <w:rPr>
                <w:rFonts w:ascii="Times New Roman" w:hAnsi="Times New Roman" w:cs="Times New Roman"/>
                <w:b/>
                <w:bCs/>
                <w:sz w:val="20"/>
                <w:szCs w:val="20"/>
              </w:rPr>
              <w:t>Annual Cost</w:t>
            </w:r>
          </w:p>
        </w:tc>
      </w:tr>
      <w:tr w:rsidRPr="00461C07" w:rsidR="00356E90" w:rsidTr="003179E9" w14:paraId="3949AE10" w14:textId="77777777">
        <w:trPr>
          <w:trHeight w:val="422"/>
        </w:trPr>
        <w:tc>
          <w:tcPr>
            <w:tcW w:w="1507" w:type="dxa"/>
            <w:tcMar>
              <w:top w:w="0" w:type="dxa"/>
              <w:left w:w="108" w:type="dxa"/>
              <w:bottom w:w="0" w:type="dxa"/>
              <w:right w:w="108" w:type="dxa"/>
            </w:tcMar>
          </w:tcPr>
          <w:p w:rsidRPr="00461C07" w:rsidR="00356E90" w:rsidP="00356E90" w:rsidRDefault="00356E90" w14:paraId="451AB518" w14:textId="77777777">
            <w:pPr>
              <w:rPr>
                <w:rFonts w:ascii="Times New Roman" w:hAnsi="Times New Roman" w:cs="Times New Roman"/>
                <w:b/>
                <w:bCs/>
                <w:sz w:val="20"/>
                <w:szCs w:val="20"/>
              </w:rPr>
            </w:pPr>
            <w:r w:rsidRPr="00461C07">
              <w:rPr>
                <w:rFonts w:ascii="Times New Roman" w:hAnsi="Times New Roman" w:cs="Times New Roman"/>
                <w:b/>
                <w:bCs/>
                <w:sz w:val="20"/>
                <w:szCs w:val="20"/>
              </w:rPr>
              <w:t>HAP Contract</w:t>
            </w:r>
          </w:p>
        </w:tc>
        <w:tc>
          <w:tcPr>
            <w:tcW w:w="1350" w:type="dxa"/>
            <w:tcMar>
              <w:top w:w="0" w:type="dxa"/>
              <w:left w:w="108" w:type="dxa"/>
              <w:bottom w:w="0" w:type="dxa"/>
              <w:right w:w="108" w:type="dxa"/>
            </w:tcMar>
          </w:tcPr>
          <w:p w:rsidRPr="00461C07" w:rsidR="00356E90" w:rsidP="00356E90" w:rsidRDefault="00356E90" w14:paraId="2CA23A74" w14:textId="64409679">
            <w:pPr>
              <w:jc w:val="right"/>
              <w:rPr>
                <w:rFonts w:ascii="Times New Roman" w:hAnsi="Times New Roman" w:cs="Times New Roman"/>
                <w:b/>
                <w:bCs/>
                <w:sz w:val="20"/>
                <w:szCs w:val="20"/>
              </w:rPr>
            </w:pPr>
            <w:r w:rsidRPr="00461C07">
              <w:rPr>
                <w:rFonts w:ascii="Times New Roman" w:hAnsi="Times New Roman" w:cs="Times New Roman"/>
                <w:b/>
                <w:bCs/>
                <w:sz w:val="20"/>
                <w:szCs w:val="20"/>
              </w:rPr>
              <w:t>378</w:t>
            </w:r>
            <w:r w:rsidR="003179E9">
              <w:rPr>
                <w:rFonts w:ascii="Times New Roman" w:hAnsi="Times New Roman" w:cs="Times New Roman"/>
                <w:b/>
                <w:bCs/>
                <w:sz w:val="20"/>
                <w:szCs w:val="20"/>
              </w:rPr>
              <w:t>.00</w:t>
            </w:r>
          </w:p>
        </w:tc>
        <w:tc>
          <w:tcPr>
            <w:tcW w:w="1147" w:type="dxa"/>
            <w:tcMar>
              <w:top w:w="0" w:type="dxa"/>
              <w:left w:w="108" w:type="dxa"/>
              <w:bottom w:w="0" w:type="dxa"/>
              <w:right w:w="108" w:type="dxa"/>
            </w:tcMar>
          </w:tcPr>
          <w:p w:rsidRPr="00461C07" w:rsidR="00356E90" w:rsidP="00356E90" w:rsidRDefault="00356E90" w14:paraId="66A93AB9" w14:textId="4C163309">
            <w:pPr>
              <w:jc w:val="right"/>
              <w:rPr>
                <w:rFonts w:ascii="Times New Roman" w:hAnsi="Times New Roman" w:cs="Times New Roman"/>
                <w:b/>
                <w:bCs/>
                <w:sz w:val="20"/>
                <w:szCs w:val="20"/>
              </w:rPr>
            </w:pPr>
            <w:r w:rsidRPr="00461C07">
              <w:rPr>
                <w:rFonts w:ascii="Times New Roman" w:hAnsi="Times New Roman" w:cs="Times New Roman"/>
                <w:b/>
                <w:bCs/>
                <w:sz w:val="20"/>
                <w:szCs w:val="20"/>
              </w:rPr>
              <w:t>1</w:t>
            </w:r>
            <w:r w:rsidR="003179E9">
              <w:rPr>
                <w:rFonts w:ascii="Times New Roman" w:hAnsi="Times New Roman" w:cs="Times New Roman"/>
                <w:b/>
                <w:bCs/>
                <w:sz w:val="20"/>
                <w:szCs w:val="20"/>
              </w:rPr>
              <w:t>.00</w:t>
            </w:r>
          </w:p>
        </w:tc>
        <w:tc>
          <w:tcPr>
            <w:tcW w:w="1094" w:type="dxa"/>
            <w:tcMar>
              <w:top w:w="0" w:type="dxa"/>
              <w:left w:w="108" w:type="dxa"/>
              <w:bottom w:w="0" w:type="dxa"/>
              <w:right w:w="108" w:type="dxa"/>
            </w:tcMar>
          </w:tcPr>
          <w:p w:rsidRPr="00461C07" w:rsidR="00356E90" w:rsidP="00356E90" w:rsidRDefault="00356E90" w14:paraId="053EA919" w14:textId="3804475A">
            <w:pPr>
              <w:jc w:val="right"/>
              <w:rPr>
                <w:rFonts w:ascii="Times New Roman" w:hAnsi="Times New Roman" w:cs="Times New Roman"/>
                <w:b/>
                <w:bCs/>
                <w:sz w:val="20"/>
                <w:szCs w:val="20"/>
              </w:rPr>
            </w:pPr>
            <w:r w:rsidRPr="00461C07">
              <w:rPr>
                <w:rFonts w:ascii="Times New Roman" w:hAnsi="Times New Roman" w:cs="Times New Roman"/>
                <w:b/>
                <w:bCs/>
                <w:sz w:val="20"/>
                <w:szCs w:val="20"/>
              </w:rPr>
              <w:t>378</w:t>
            </w:r>
            <w:r w:rsidR="003179E9">
              <w:rPr>
                <w:rFonts w:ascii="Times New Roman" w:hAnsi="Times New Roman" w:cs="Times New Roman"/>
                <w:b/>
                <w:bCs/>
                <w:sz w:val="20"/>
                <w:szCs w:val="20"/>
              </w:rPr>
              <w:t>.00</w:t>
            </w:r>
          </w:p>
        </w:tc>
        <w:tc>
          <w:tcPr>
            <w:tcW w:w="1017" w:type="dxa"/>
            <w:tcMar>
              <w:top w:w="0" w:type="dxa"/>
              <w:left w:w="108" w:type="dxa"/>
              <w:bottom w:w="0" w:type="dxa"/>
              <w:right w:w="108" w:type="dxa"/>
            </w:tcMar>
          </w:tcPr>
          <w:p w:rsidRPr="00461C07" w:rsidR="00356E90" w:rsidP="00356E90" w:rsidRDefault="00356E90" w14:paraId="4FE9C80C" w14:textId="748F01CF">
            <w:pPr>
              <w:jc w:val="right"/>
              <w:rPr>
                <w:rFonts w:ascii="Times New Roman" w:hAnsi="Times New Roman" w:cs="Times New Roman"/>
                <w:b/>
                <w:bCs/>
                <w:sz w:val="20"/>
                <w:szCs w:val="20"/>
              </w:rPr>
            </w:pPr>
            <w:r w:rsidRPr="00461C07">
              <w:rPr>
                <w:rFonts w:ascii="Times New Roman" w:hAnsi="Times New Roman" w:cs="Times New Roman"/>
                <w:b/>
                <w:bCs/>
                <w:sz w:val="20"/>
                <w:szCs w:val="20"/>
              </w:rPr>
              <w:t>2</w:t>
            </w:r>
            <w:r w:rsidR="003179E9">
              <w:rPr>
                <w:rFonts w:ascii="Times New Roman" w:hAnsi="Times New Roman" w:cs="Times New Roman"/>
                <w:b/>
                <w:bCs/>
                <w:sz w:val="20"/>
                <w:szCs w:val="20"/>
              </w:rPr>
              <w:t>.00</w:t>
            </w:r>
          </w:p>
        </w:tc>
        <w:tc>
          <w:tcPr>
            <w:tcW w:w="1062" w:type="dxa"/>
            <w:tcMar>
              <w:top w:w="0" w:type="dxa"/>
              <w:left w:w="108" w:type="dxa"/>
              <w:bottom w:w="0" w:type="dxa"/>
              <w:right w:w="108" w:type="dxa"/>
            </w:tcMar>
          </w:tcPr>
          <w:p w:rsidRPr="00461C07" w:rsidR="00356E90" w:rsidP="00356E90" w:rsidRDefault="00356E90" w14:paraId="56AC5564" w14:textId="4041B854">
            <w:pPr>
              <w:jc w:val="right"/>
              <w:rPr>
                <w:rFonts w:ascii="Times New Roman" w:hAnsi="Times New Roman" w:cs="Times New Roman"/>
                <w:b/>
                <w:bCs/>
                <w:sz w:val="20"/>
                <w:szCs w:val="20"/>
              </w:rPr>
            </w:pPr>
            <w:r w:rsidRPr="00461C07">
              <w:rPr>
                <w:rFonts w:ascii="Times New Roman" w:hAnsi="Times New Roman" w:cs="Times New Roman"/>
                <w:b/>
                <w:bCs/>
                <w:sz w:val="20"/>
                <w:szCs w:val="20"/>
              </w:rPr>
              <w:t>756</w:t>
            </w:r>
            <w:r w:rsidR="003179E9">
              <w:rPr>
                <w:rFonts w:ascii="Times New Roman" w:hAnsi="Times New Roman" w:cs="Times New Roman"/>
                <w:b/>
                <w:bCs/>
                <w:sz w:val="20"/>
                <w:szCs w:val="20"/>
              </w:rPr>
              <w:t>.00</w:t>
            </w:r>
          </w:p>
        </w:tc>
        <w:tc>
          <w:tcPr>
            <w:tcW w:w="1080" w:type="dxa"/>
            <w:tcMar>
              <w:top w:w="0" w:type="dxa"/>
              <w:left w:w="108" w:type="dxa"/>
              <w:bottom w:w="0" w:type="dxa"/>
              <w:right w:w="108" w:type="dxa"/>
            </w:tcMar>
          </w:tcPr>
          <w:p w:rsidRPr="00356E90" w:rsidR="00356E90" w:rsidP="00356E90" w:rsidRDefault="00356E90" w14:paraId="2C54BFC9" w14:textId="2DED2F0A">
            <w:pPr>
              <w:jc w:val="right"/>
              <w:rPr>
                <w:rFonts w:ascii="Times New Roman" w:hAnsi="Times New Roman" w:cs="Times New Roman"/>
                <w:b/>
                <w:bCs/>
                <w:sz w:val="18"/>
                <w:szCs w:val="18"/>
              </w:rPr>
            </w:pPr>
            <w:r w:rsidRPr="00356E90">
              <w:rPr>
                <w:rFonts w:ascii="Times New Roman" w:hAnsi="Times New Roman" w:cs="Times New Roman"/>
                <w:b/>
                <w:bCs/>
                <w:sz w:val="18"/>
                <w:szCs w:val="18"/>
              </w:rPr>
              <w:t xml:space="preserve"> $41.</w:t>
            </w:r>
            <w:r w:rsidR="00935E5C">
              <w:rPr>
                <w:rFonts w:ascii="Times New Roman" w:hAnsi="Times New Roman" w:cs="Times New Roman"/>
                <w:b/>
                <w:bCs/>
                <w:sz w:val="18"/>
                <w:szCs w:val="18"/>
              </w:rPr>
              <w:t>66</w:t>
            </w:r>
            <w:r w:rsidRPr="00356E90">
              <w:rPr>
                <w:rFonts w:ascii="Times New Roman" w:hAnsi="Times New Roman" w:cs="Times New Roman"/>
                <w:b/>
                <w:bCs/>
                <w:sz w:val="18"/>
                <w:szCs w:val="18"/>
              </w:rPr>
              <w:t xml:space="preserve"> </w:t>
            </w:r>
          </w:p>
        </w:tc>
        <w:tc>
          <w:tcPr>
            <w:tcW w:w="1260" w:type="dxa"/>
            <w:tcMar>
              <w:top w:w="0" w:type="dxa"/>
              <w:left w:w="108" w:type="dxa"/>
              <w:bottom w:w="0" w:type="dxa"/>
              <w:right w:w="108" w:type="dxa"/>
            </w:tcMar>
          </w:tcPr>
          <w:p w:rsidRPr="00356E90" w:rsidR="00356E90" w:rsidP="00356E90" w:rsidRDefault="00356E90" w14:paraId="4A4E4F6C" w14:textId="7F326C8B">
            <w:pPr>
              <w:jc w:val="right"/>
              <w:rPr>
                <w:rFonts w:ascii="Times New Roman" w:hAnsi="Times New Roman" w:cs="Times New Roman"/>
                <w:b/>
                <w:bCs/>
                <w:sz w:val="18"/>
                <w:szCs w:val="18"/>
              </w:rPr>
            </w:pPr>
            <w:r w:rsidRPr="00356E90">
              <w:rPr>
                <w:rFonts w:ascii="Times New Roman" w:hAnsi="Times New Roman" w:cs="Times New Roman"/>
                <w:b/>
                <w:bCs/>
                <w:sz w:val="18"/>
                <w:szCs w:val="18"/>
              </w:rPr>
              <w:t xml:space="preserve"> $31,</w:t>
            </w:r>
            <w:r w:rsidR="00935E5C">
              <w:rPr>
                <w:rFonts w:ascii="Times New Roman" w:hAnsi="Times New Roman" w:cs="Times New Roman"/>
                <w:b/>
                <w:bCs/>
                <w:sz w:val="18"/>
                <w:szCs w:val="18"/>
              </w:rPr>
              <w:t>494.96</w:t>
            </w:r>
            <w:r w:rsidRPr="00356E90">
              <w:rPr>
                <w:rFonts w:ascii="Times New Roman" w:hAnsi="Times New Roman" w:cs="Times New Roman"/>
                <w:b/>
                <w:bCs/>
                <w:sz w:val="18"/>
                <w:szCs w:val="18"/>
              </w:rPr>
              <w:t xml:space="preserve"> </w:t>
            </w:r>
          </w:p>
        </w:tc>
      </w:tr>
    </w:tbl>
    <w:p w:rsidR="00461C07" w:rsidP="00461C07" w:rsidRDefault="00461C07" w14:paraId="6135EC83" w14:textId="77777777">
      <w:pPr>
        <w:rPr>
          <w:rFonts w:ascii="Times New Roman" w:hAnsi="Times New Roman" w:cs="Times New Roman"/>
          <w:sz w:val="24"/>
          <w:szCs w:val="24"/>
        </w:rPr>
      </w:pPr>
    </w:p>
    <w:p w:rsidRPr="00461C07" w:rsidR="00816F8F" w:rsidP="00461C07" w:rsidRDefault="007E0199" w14:paraId="53E30657" w14:textId="0E2190E2">
      <w:pPr>
        <w:pStyle w:val="ListParagraph"/>
        <w:numPr>
          <w:ilvl w:val="0"/>
          <w:numId w:val="12"/>
        </w:numPr>
        <w:rPr>
          <w:rFonts w:ascii="Times New Roman" w:hAnsi="Times New Roman" w:cs="Times New Roman"/>
          <w:sz w:val="24"/>
          <w:szCs w:val="24"/>
        </w:rPr>
      </w:pPr>
      <w:r w:rsidRPr="00461C07">
        <w:rPr>
          <w:rFonts w:ascii="Times New Roman" w:hAnsi="Times New Roman" w:cs="Times New Roman"/>
          <w:sz w:val="24"/>
          <w:szCs w:val="24"/>
        </w:rPr>
        <w:lastRenderedPageBreak/>
        <w:t xml:space="preserve">Explain the reasons for any program changes or adjustments reported in Items 13 and 14 of the OMB Form 83-I. </w:t>
      </w:r>
    </w:p>
    <w:p w:rsidR="00461C07" w:rsidP="00461C07" w:rsidRDefault="007B6742" w14:paraId="5CA5735F" w14:textId="4C7B0F80">
      <w:pPr>
        <w:ind w:left="720"/>
        <w:rPr>
          <w:rFonts w:ascii="Times New Roman" w:hAnsi="Times New Roman" w:cs="Times New Roman"/>
          <w:b/>
          <w:bCs/>
          <w:sz w:val="24"/>
          <w:szCs w:val="24"/>
        </w:rPr>
      </w:pPr>
      <w:r>
        <w:rPr>
          <w:rFonts w:ascii="Times New Roman" w:hAnsi="Times New Roman" w:cs="Times New Roman"/>
          <w:b/>
          <w:bCs/>
          <w:sz w:val="24"/>
          <w:szCs w:val="24"/>
        </w:rPr>
        <w:t xml:space="preserve"> This is the initial submission of this collection, therefore, there are no changes or adjustments. </w:t>
      </w:r>
    </w:p>
    <w:p w:rsidRPr="00461C07" w:rsidR="00816F8F" w:rsidP="00461C07" w:rsidRDefault="007E0199" w14:paraId="388E96CD" w14:textId="5719638F">
      <w:pPr>
        <w:pStyle w:val="ListParagraph"/>
        <w:numPr>
          <w:ilvl w:val="0"/>
          <w:numId w:val="12"/>
        </w:numPr>
        <w:rPr>
          <w:rFonts w:ascii="Times New Roman" w:hAnsi="Times New Roman" w:cs="Times New Roman"/>
          <w:b/>
          <w:bCs/>
          <w:sz w:val="24"/>
          <w:szCs w:val="24"/>
        </w:rPr>
      </w:pPr>
      <w:r w:rsidRPr="00461C07">
        <w:rPr>
          <w:rFonts w:ascii="Times New Roman" w:hAnsi="Times New Roman" w:cs="Times New Roman"/>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61C07">
        <w:rPr>
          <w:rFonts w:ascii="Times New Roman" w:hAnsi="Times New Roman" w:cs="Times New Roman"/>
          <w:b/>
          <w:bCs/>
          <w:sz w:val="24"/>
          <w:szCs w:val="24"/>
        </w:rPr>
        <w:t xml:space="preserve"> </w:t>
      </w:r>
    </w:p>
    <w:p w:rsidRPr="00461C07" w:rsidR="007E0199" w:rsidP="00A02FA1" w:rsidRDefault="007B6742" w14:paraId="719B1920" w14:textId="280E76D8">
      <w:pPr>
        <w:ind w:left="720"/>
        <w:rPr>
          <w:rFonts w:ascii="Times New Roman" w:hAnsi="Times New Roman" w:cs="Times New Roman"/>
          <w:sz w:val="24"/>
          <w:szCs w:val="24"/>
        </w:rPr>
      </w:pPr>
      <w:r>
        <w:rPr>
          <w:rFonts w:ascii="Times New Roman" w:hAnsi="Times New Roman" w:cs="Times New Roman"/>
          <w:b/>
          <w:bCs/>
          <w:sz w:val="24"/>
          <w:szCs w:val="24"/>
        </w:rPr>
        <w:t xml:space="preserve"> A notice on the SRO renewal process will be published which explains </w:t>
      </w:r>
      <w:r w:rsidR="00162004">
        <w:rPr>
          <w:rFonts w:ascii="Times New Roman" w:hAnsi="Times New Roman" w:cs="Times New Roman"/>
          <w:b/>
          <w:bCs/>
          <w:sz w:val="24"/>
          <w:szCs w:val="24"/>
        </w:rPr>
        <w:t xml:space="preserve">how the collected information will be used to determine the renewal rent for the expiring SRO contract.  HUD does not publish the results of the annual collection, which is the renewal rents for all the expiring SRO contracts.  The authorizing statute for the renewal of SRO contracts does not require such a publication. </w:t>
      </w:r>
    </w:p>
    <w:p w:rsidRPr="00461C07" w:rsidR="00816F8F" w:rsidP="00461C07" w:rsidRDefault="007E0199" w14:paraId="07114CD6" w14:textId="7C2505AA">
      <w:pPr>
        <w:pStyle w:val="ListParagraph"/>
        <w:numPr>
          <w:ilvl w:val="0"/>
          <w:numId w:val="12"/>
        </w:numPr>
        <w:rPr>
          <w:rFonts w:ascii="Times New Roman" w:hAnsi="Times New Roman" w:cs="Times New Roman"/>
          <w:sz w:val="24"/>
          <w:szCs w:val="24"/>
        </w:rPr>
      </w:pPr>
      <w:r w:rsidRPr="00461C07">
        <w:rPr>
          <w:rFonts w:ascii="Times New Roman" w:hAnsi="Times New Roman" w:cs="Times New Roman"/>
          <w:sz w:val="24"/>
          <w:szCs w:val="24"/>
        </w:rPr>
        <w:t xml:space="preserve">If seeking approval to not display the expiration date for OMB approval of the information collection, explain the reasons that display would be inappropriate. </w:t>
      </w:r>
    </w:p>
    <w:p w:rsidRPr="00BE7331" w:rsidR="00461C07" w:rsidP="00461C07" w:rsidRDefault="007E0199" w14:paraId="48D9D85A" w14:textId="77777777">
      <w:pPr>
        <w:ind w:left="720"/>
        <w:rPr>
          <w:rFonts w:ascii="Times New Roman" w:hAnsi="Times New Roman" w:cs="Times New Roman"/>
          <w:b/>
          <w:bCs/>
          <w:sz w:val="24"/>
          <w:szCs w:val="24"/>
        </w:rPr>
      </w:pPr>
      <w:r w:rsidRPr="00BE7331">
        <w:rPr>
          <w:rFonts w:ascii="Times New Roman" w:hAnsi="Times New Roman" w:cs="Times New Roman"/>
          <w:b/>
          <w:bCs/>
          <w:sz w:val="24"/>
          <w:szCs w:val="24"/>
        </w:rPr>
        <w:t>NA</w:t>
      </w:r>
    </w:p>
    <w:p w:rsidRPr="00461C07" w:rsidR="00816F8F" w:rsidP="00461C07" w:rsidRDefault="007E0199" w14:paraId="2389E710" w14:textId="40ADB2D9">
      <w:pPr>
        <w:pStyle w:val="ListParagraph"/>
        <w:numPr>
          <w:ilvl w:val="0"/>
          <w:numId w:val="12"/>
        </w:numPr>
        <w:rPr>
          <w:rFonts w:ascii="Times New Roman" w:hAnsi="Times New Roman" w:cs="Times New Roman"/>
          <w:sz w:val="24"/>
          <w:szCs w:val="24"/>
        </w:rPr>
      </w:pPr>
      <w:r w:rsidRPr="00461C07">
        <w:rPr>
          <w:rFonts w:ascii="Times New Roman" w:hAnsi="Times New Roman" w:cs="Times New Roman"/>
          <w:sz w:val="24"/>
          <w:szCs w:val="24"/>
        </w:rPr>
        <w:t>Explain each exception to the certification statement identified in item 19</w:t>
      </w:r>
      <w:r w:rsidRPr="00461C07">
        <w:rPr>
          <w:rFonts w:ascii="Times New Roman" w:hAnsi="Times New Roman" w:cs="Times New Roman"/>
          <w:b/>
          <w:bCs/>
          <w:sz w:val="24"/>
          <w:szCs w:val="24"/>
        </w:rPr>
        <w:t xml:space="preserve">. </w:t>
      </w:r>
    </w:p>
    <w:p w:rsidRPr="00461C07" w:rsidR="007E0199" w:rsidP="00A02FA1" w:rsidRDefault="007E0199" w14:paraId="13B4845D" w14:textId="3DBD559B">
      <w:pPr>
        <w:ind w:firstLine="720"/>
        <w:rPr>
          <w:rFonts w:ascii="Times New Roman" w:hAnsi="Times New Roman" w:cs="Times New Roman"/>
          <w:sz w:val="24"/>
          <w:szCs w:val="24"/>
        </w:rPr>
      </w:pPr>
      <w:r w:rsidRPr="00461C07">
        <w:rPr>
          <w:rFonts w:ascii="Times New Roman" w:hAnsi="Times New Roman" w:cs="Times New Roman"/>
          <w:b/>
          <w:bCs/>
          <w:sz w:val="24"/>
          <w:szCs w:val="24"/>
        </w:rPr>
        <w:t>NA</w:t>
      </w:r>
    </w:p>
    <w:p w:rsidRPr="00BE7331" w:rsidR="007E0199" w:rsidP="00461C07" w:rsidRDefault="007E0199" w14:paraId="120AFBD8" w14:textId="62B30632">
      <w:pPr>
        <w:rPr>
          <w:rFonts w:ascii="Times New Roman" w:hAnsi="Times New Roman" w:cs="Times New Roman"/>
          <w:bCs/>
          <w:sz w:val="24"/>
          <w:szCs w:val="24"/>
        </w:rPr>
      </w:pPr>
      <w:r w:rsidRPr="00BE7331">
        <w:rPr>
          <w:rFonts w:ascii="Times New Roman" w:hAnsi="Times New Roman" w:cs="Times New Roman"/>
          <w:bCs/>
          <w:sz w:val="24"/>
          <w:szCs w:val="24"/>
        </w:rPr>
        <w:t>B. Collections of Information Employing Statistical Methods</w:t>
      </w:r>
    </w:p>
    <w:p w:rsidRPr="00461C07" w:rsidR="00BD3E93" w:rsidRDefault="003179E9" w14:paraId="6A443D44" w14:textId="77777777">
      <w:pPr>
        <w:rPr>
          <w:rFonts w:ascii="Times New Roman" w:hAnsi="Times New Roman" w:cs="Times New Roman"/>
          <w:sz w:val="24"/>
          <w:szCs w:val="24"/>
        </w:rPr>
      </w:pPr>
    </w:p>
    <w:sectPr w:rsidRPr="00461C07" w:rsidR="00BD3E93" w:rsidSect="006C7FAE">
      <w:headerReference w:type="default" r:id="rId11"/>
      <w:pgSz w:w="12240" w:h="15840"/>
      <w:pgMar w:top="1440" w:right="1440" w:bottom="1440" w:left="900" w:header="480" w:footer="480" w:gutter="0"/>
      <w:cols w:equalWidth="0" w:space="48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05524" w14:textId="77777777" w:rsidR="00261955" w:rsidRDefault="00261955">
      <w:pPr>
        <w:spacing w:after="0" w:line="240" w:lineRule="auto"/>
      </w:pPr>
      <w:r>
        <w:separator/>
      </w:r>
    </w:p>
  </w:endnote>
  <w:endnote w:type="continuationSeparator" w:id="0">
    <w:p w14:paraId="4CD224BA" w14:textId="77777777" w:rsidR="00261955" w:rsidRDefault="002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12604" w14:textId="77777777" w:rsidR="00261955" w:rsidRDefault="00261955">
      <w:pPr>
        <w:spacing w:after="0" w:line="240" w:lineRule="auto"/>
      </w:pPr>
      <w:r>
        <w:separator/>
      </w:r>
    </w:p>
  </w:footnote>
  <w:footnote w:type="continuationSeparator" w:id="0">
    <w:p w14:paraId="3BB36DAC" w14:textId="77777777" w:rsidR="00261955" w:rsidRDefault="0026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64C0" w14:textId="77777777" w:rsidR="009E13B1" w:rsidRDefault="0031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EE87656"/>
    <w:lvl w:ilvl="0">
      <w:numFmt w:val="decimal"/>
      <w:lvlText w:val="*"/>
      <w:lvlJc w:val="left"/>
    </w:lvl>
  </w:abstractNum>
  <w:abstractNum w:abstractNumId="1" w15:restartNumberingAfterBreak="0">
    <w:nsid w:val="0BDB1306"/>
    <w:multiLevelType w:val="hybridMultilevel"/>
    <w:tmpl w:val="11E6EC78"/>
    <w:lvl w:ilvl="0" w:tplc="54FA6AFE">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4421B"/>
    <w:multiLevelType w:val="hybridMultilevel"/>
    <w:tmpl w:val="D1D2006C"/>
    <w:lvl w:ilvl="0" w:tplc="91026DE2">
      <w:start w:val="1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22E0"/>
    <w:multiLevelType w:val="hybridMultilevel"/>
    <w:tmpl w:val="B11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55E6C"/>
    <w:multiLevelType w:val="hybridMultilevel"/>
    <w:tmpl w:val="46E631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52192"/>
    <w:multiLevelType w:val="hybridMultilevel"/>
    <w:tmpl w:val="3544D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8443FD"/>
    <w:multiLevelType w:val="hybridMultilevel"/>
    <w:tmpl w:val="8F9CE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C54B29"/>
    <w:multiLevelType w:val="hybridMultilevel"/>
    <w:tmpl w:val="E9087F8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85C62"/>
    <w:multiLevelType w:val="hybridMultilevel"/>
    <w:tmpl w:val="C4FA2FC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667BA"/>
    <w:multiLevelType w:val="hybridMultilevel"/>
    <w:tmpl w:val="BD0CF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7A34E2"/>
    <w:multiLevelType w:val="hybridMultilevel"/>
    <w:tmpl w:val="D612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A5F51"/>
    <w:multiLevelType w:val="hybridMultilevel"/>
    <w:tmpl w:val="FE605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䌀၊伀Ŋ儀Ŋ漀(桰＀좘ÿ"/>
        <w:legacy w:legacy="1" w:legacySpace="0" w:legacyIndent="144"/>
        <w:lvlJc w:val="left"/>
        <w:pPr>
          <w:ind w:left="504" w:hanging="144"/>
        </w:pPr>
      </w:lvl>
    </w:lvlOverride>
  </w:num>
  <w:num w:numId="2">
    <w:abstractNumId w:val="10"/>
  </w:num>
  <w:num w:numId="3">
    <w:abstractNumId w:val="4"/>
  </w:num>
  <w:num w:numId="4">
    <w:abstractNumId w:val="1"/>
  </w:num>
  <w:num w:numId="5">
    <w:abstractNumId w:val="11"/>
  </w:num>
  <w:num w:numId="6">
    <w:abstractNumId w:val="9"/>
  </w:num>
  <w:num w:numId="7">
    <w:abstractNumId w:val="7"/>
  </w:num>
  <w:num w:numId="8">
    <w:abstractNumId w:val="8"/>
  </w:num>
  <w:num w:numId="9">
    <w:abstractNumId w:val="6"/>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99"/>
    <w:rsid w:val="000160F8"/>
    <w:rsid w:val="00020EE8"/>
    <w:rsid w:val="00043577"/>
    <w:rsid w:val="000621B0"/>
    <w:rsid w:val="00072F1A"/>
    <w:rsid w:val="00145412"/>
    <w:rsid w:val="00162004"/>
    <w:rsid w:val="00217BDE"/>
    <w:rsid w:val="00261955"/>
    <w:rsid w:val="00291E4A"/>
    <w:rsid w:val="003179E9"/>
    <w:rsid w:val="00356E90"/>
    <w:rsid w:val="00372473"/>
    <w:rsid w:val="003C6F7C"/>
    <w:rsid w:val="003D6DA3"/>
    <w:rsid w:val="00461C07"/>
    <w:rsid w:val="004E245F"/>
    <w:rsid w:val="005042D9"/>
    <w:rsid w:val="0052209C"/>
    <w:rsid w:val="005A3164"/>
    <w:rsid w:val="006C1966"/>
    <w:rsid w:val="006D7F20"/>
    <w:rsid w:val="007B6742"/>
    <w:rsid w:val="007E0199"/>
    <w:rsid w:val="007E1C93"/>
    <w:rsid w:val="00816F8F"/>
    <w:rsid w:val="00840A18"/>
    <w:rsid w:val="00895BD5"/>
    <w:rsid w:val="00935E5C"/>
    <w:rsid w:val="00993FCD"/>
    <w:rsid w:val="009A75C3"/>
    <w:rsid w:val="00A02FA1"/>
    <w:rsid w:val="00A33AA3"/>
    <w:rsid w:val="00A35825"/>
    <w:rsid w:val="00A35873"/>
    <w:rsid w:val="00A856E2"/>
    <w:rsid w:val="00A87D90"/>
    <w:rsid w:val="00AA6EE5"/>
    <w:rsid w:val="00AD63FB"/>
    <w:rsid w:val="00B07F72"/>
    <w:rsid w:val="00B802CA"/>
    <w:rsid w:val="00BA63CC"/>
    <w:rsid w:val="00BE3391"/>
    <w:rsid w:val="00BE7331"/>
    <w:rsid w:val="00C315C4"/>
    <w:rsid w:val="00CA22AA"/>
    <w:rsid w:val="00CA7EDA"/>
    <w:rsid w:val="00D34ADB"/>
    <w:rsid w:val="00D71CC8"/>
    <w:rsid w:val="00D77D91"/>
    <w:rsid w:val="00DE1CFF"/>
    <w:rsid w:val="00DE3E21"/>
    <w:rsid w:val="00E24A96"/>
    <w:rsid w:val="00ED16C1"/>
    <w:rsid w:val="00F06F5B"/>
    <w:rsid w:val="00F07463"/>
    <w:rsid w:val="00F07D6B"/>
    <w:rsid w:val="00F31E2B"/>
    <w:rsid w:val="00F7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4F82"/>
  <w15:docId w15:val="{8BE3E42A-CF87-43BB-9E43-CFA8E967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1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199"/>
  </w:style>
  <w:style w:type="character" w:styleId="CommentReference">
    <w:name w:val="annotation reference"/>
    <w:uiPriority w:val="99"/>
    <w:semiHidden/>
    <w:unhideWhenUsed/>
    <w:rsid w:val="007E0199"/>
    <w:rPr>
      <w:sz w:val="16"/>
      <w:szCs w:val="16"/>
    </w:rPr>
  </w:style>
  <w:style w:type="paragraph" w:styleId="CommentText">
    <w:name w:val="annotation text"/>
    <w:basedOn w:val="Normal"/>
    <w:link w:val="CommentTextChar"/>
    <w:uiPriority w:val="99"/>
    <w:unhideWhenUsed/>
    <w:rsid w:val="007E01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E01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E0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199"/>
    <w:rPr>
      <w:rFonts w:ascii="Segoe UI" w:hAnsi="Segoe UI" w:cs="Segoe UI"/>
      <w:sz w:val="18"/>
      <w:szCs w:val="18"/>
    </w:rPr>
  </w:style>
  <w:style w:type="paragraph" w:styleId="ListParagraph">
    <w:name w:val="List Paragraph"/>
    <w:basedOn w:val="Normal"/>
    <w:uiPriority w:val="34"/>
    <w:qFormat/>
    <w:rsid w:val="000160F8"/>
    <w:pPr>
      <w:ind w:left="720"/>
      <w:contextualSpacing/>
    </w:pPr>
  </w:style>
  <w:style w:type="paragraph" w:styleId="CommentSubject">
    <w:name w:val="annotation subject"/>
    <w:basedOn w:val="CommentText"/>
    <w:next w:val="CommentText"/>
    <w:link w:val="CommentSubjectChar"/>
    <w:uiPriority w:val="99"/>
    <w:semiHidden/>
    <w:unhideWhenUsed/>
    <w:rsid w:val="005A3164"/>
    <w:pPr>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3164"/>
    <w:rPr>
      <w:rFonts w:ascii="Times New Roman" w:eastAsia="Times New Roman" w:hAnsi="Times New Roman" w:cs="Times New Roman"/>
      <w:b/>
      <w:bCs/>
      <w:sz w:val="20"/>
      <w:szCs w:val="20"/>
    </w:rPr>
  </w:style>
  <w:style w:type="paragraph" w:styleId="NoSpacing">
    <w:name w:val="No Spacing"/>
    <w:uiPriority w:val="1"/>
    <w:qFormat/>
    <w:rsid w:val="00816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7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F9D34AFA12E48AF97C297B62B45B5" ma:contentTypeVersion="13" ma:contentTypeDescription="Create a new document." ma:contentTypeScope="" ma:versionID="f06ec29c66dd389f21281ec4f4de4494">
  <xsd:schema xmlns:xsd="http://www.w3.org/2001/XMLSchema" xmlns:xs="http://www.w3.org/2001/XMLSchema" xmlns:p="http://schemas.microsoft.com/office/2006/metadata/properties" xmlns:ns1="http://schemas.microsoft.com/sharepoint/v3" xmlns:ns3="48542c6f-c2c7-4fbc-81ce-69cb8a6e22a9" xmlns:ns4="ea70550a-8389-4df6-95aa-5f33fc5448c9" targetNamespace="http://schemas.microsoft.com/office/2006/metadata/properties" ma:root="true" ma:fieldsID="c1b0ebe7b27939c5130d4f03cf21e177" ns1:_="" ns3:_="" ns4:_="">
    <xsd:import namespace="http://schemas.microsoft.com/sharepoint/v3"/>
    <xsd:import namespace="48542c6f-c2c7-4fbc-81ce-69cb8a6e22a9"/>
    <xsd:import namespace="ea70550a-8389-4df6-95aa-5f33fc5448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42c6f-c2c7-4fbc-81ce-69cb8a6e2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0550a-8389-4df6-95aa-5f33fc54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CED7-1368-4A82-9E30-FB74DF2023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FDC436-D7A1-4218-932A-7E022FDC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542c6f-c2c7-4fbc-81ce-69cb8a6e22a9"/>
    <ds:schemaRef ds:uri="ea70550a-8389-4df6-95aa-5f33fc544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41532-582F-4755-97AC-3721554D1D6D}">
  <ds:schemaRefs>
    <ds:schemaRef ds:uri="http://schemas.microsoft.com/sharepoint/v3/contenttype/forms"/>
  </ds:schemaRefs>
</ds:datastoreItem>
</file>

<file path=customXml/itemProps4.xml><?xml version="1.0" encoding="utf-8"?>
<ds:datastoreItem xmlns:ds="http://schemas.openxmlformats.org/officeDocument/2006/customXml" ds:itemID="{5EDA6D53-8FAD-4FC8-925D-2953C6DB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McBee, Michell M</dc:creator>
  <cp:keywords/>
  <dc:description/>
  <cp:lastModifiedBy>Guido, Anna P</cp:lastModifiedBy>
  <cp:revision>2</cp:revision>
  <cp:lastPrinted>2019-12-18T19:46:00Z</cp:lastPrinted>
  <dcterms:created xsi:type="dcterms:W3CDTF">2020-05-29T18:43:00Z</dcterms:created>
  <dcterms:modified xsi:type="dcterms:W3CDTF">2020-05-29T18:43:00Z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0x0101006C4F9D34AFA12E48AF97C297B62B45B5</vt:lpwstr>
  </property>
</Properties>
</file>