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44F1" w:rsidR="001D027A" w:rsidP="007F2738" w:rsidRDefault="001D027A" w14:paraId="4C3C441A" w14:textId="77777777">
      <w:pPr>
        <w:pStyle w:val="Heading1"/>
      </w:pPr>
    </w:p>
    <w:p w:rsidRPr="00BA44F1" w:rsidR="001D027A" w:rsidRDefault="001D027A" w14:paraId="3F0D6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s>
        <w:rPr>
          <w:rFonts w:cs="Times New Roman"/>
          <w:sz w:val="22"/>
          <w:szCs w:val="22"/>
        </w:rPr>
      </w:pPr>
    </w:p>
    <w:p w:rsidR="001D027A" w:rsidRDefault="009F7862" w14:paraId="01770FEC" w14:textId="17DDEE2F">
      <w:pPr>
        <w:pStyle w:val="Heading1"/>
        <w:tabs>
          <w:tab w:val="clear" w:pos="9360"/>
          <w:tab w:val="clear" w:pos="10080"/>
          <w:tab w:val="clear" w:pos="10800"/>
          <w:tab w:val="clear" w:pos="11520"/>
          <w:tab w:val="clear" w:pos="12240"/>
          <w:tab w:val="clear" w:pos="12960"/>
          <w:tab w:val="clear" w:pos="13680"/>
          <w:tab w:val="clear" w:pos="14400"/>
          <w:tab w:val="left" w:pos="8860"/>
          <w:tab w:val="left" w:pos="8860"/>
          <w:tab w:val="left" w:pos="8860"/>
          <w:tab w:val="left" w:pos="8860"/>
          <w:tab w:val="left" w:pos="8860"/>
          <w:tab w:val="left" w:pos="8860"/>
          <w:tab w:val="left" w:pos="8860"/>
          <w:tab w:val="left" w:pos="8860"/>
        </w:tabs>
        <w:rPr>
          <w:rFonts w:ascii="Times New Roman" w:hAnsi="Times New Roman" w:cs="Times New Roman"/>
          <w:sz w:val="22"/>
          <w:szCs w:val="22"/>
        </w:rPr>
      </w:pPr>
      <w:r w:rsidRPr="00BA44F1">
        <w:rPr>
          <w:rFonts w:ascii="Times New Roman" w:hAnsi="Times New Roman" w:cs="Times New Roman"/>
          <w:sz w:val="22"/>
          <w:szCs w:val="22"/>
        </w:rPr>
        <w:t>Supporting Statement for Paperwork Reduction Act Submissions</w:t>
      </w:r>
    </w:p>
    <w:p w:rsidR="005904D6" w:rsidP="005904D6" w:rsidRDefault="005904D6" w14:paraId="38073EBE" w14:textId="32458018">
      <w:pPr>
        <w:jc w:val="center"/>
        <w:rPr>
          <w:rFonts w:cs="Times New Roman"/>
          <w:b/>
          <w:bCs/>
          <w:sz w:val="22"/>
          <w:szCs w:val="22"/>
        </w:rPr>
      </w:pPr>
      <w:r w:rsidRPr="005904D6">
        <w:rPr>
          <w:rFonts w:cs="Times New Roman"/>
          <w:b/>
          <w:bCs/>
          <w:sz w:val="22"/>
          <w:szCs w:val="22"/>
        </w:rPr>
        <w:t>Disaster Recovery</w:t>
      </w:r>
      <w:r w:rsidR="00655871">
        <w:rPr>
          <w:rFonts w:cs="Times New Roman"/>
          <w:b/>
          <w:bCs/>
          <w:sz w:val="22"/>
          <w:szCs w:val="22"/>
        </w:rPr>
        <w:t xml:space="preserve"> Grant Reporting System</w:t>
      </w:r>
    </w:p>
    <w:p w:rsidRPr="005904D6" w:rsidR="005904D6" w:rsidP="005904D6" w:rsidRDefault="005904D6" w14:paraId="43CF1870" w14:textId="3AE1B70C">
      <w:pPr>
        <w:jc w:val="center"/>
        <w:rPr>
          <w:b/>
          <w:bCs/>
        </w:rPr>
      </w:pPr>
      <w:r>
        <w:rPr>
          <w:rFonts w:cs="Times New Roman"/>
          <w:b/>
          <w:bCs/>
          <w:sz w:val="22"/>
          <w:szCs w:val="22"/>
        </w:rPr>
        <w:t>(OMB# 2506-0165)</w:t>
      </w:r>
    </w:p>
    <w:p w:rsidRPr="00BA44F1" w:rsidR="001D027A" w:rsidP="005904D6" w:rsidRDefault="001D027A" w14:paraId="4FAA73E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s>
        <w:jc w:val="center"/>
        <w:rPr>
          <w:rFonts w:cs="Times New Roman"/>
          <w:sz w:val="22"/>
          <w:szCs w:val="22"/>
        </w:rPr>
      </w:pPr>
    </w:p>
    <w:p w:rsidRPr="00BA44F1" w:rsidR="001D027A" w:rsidRDefault="009F7862" w14:paraId="592C397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s>
        <w:rPr>
          <w:rFonts w:cs="Times New Roman"/>
          <w:sz w:val="22"/>
          <w:szCs w:val="22"/>
        </w:rPr>
      </w:pPr>
      <w:r w:rsidRPr="00BA44F1">
        <w:rPr>
          <w:rFonts w:cs="Times New Roman"/>
          <w:sz w:val="22"/>
          <w:szCs w:val="22"/>
        </w:rPr>
        <w:t xml:space="preserve">A. </w:t>
      </w:r>
      <w:r w:rsidRPr="00BA44F1">
        <w:rPr>
          <w:rFonts w:cs="Times New Roman"/>
          <w:sz w:val="22"/>
          <w:szCs w:val="22"/>
        </w:rPr>
        <w:tab/>
        <w:t>Justification</w:t>
      </w:r>
    </w:p>
    <w:p w:rsidRPr="00BA44F1" w:rsidR="001D027A" w:rsidRDefault="001D027A" w14:paraId="10A618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s>
        <w:rPr>
          <w:rFonts w:cs="Times New Roman"/>
          <w:sz w:val="22"/>
          <w:szCs w:val="22"/>
        </w:rPr>
      </w:pPr>
    </w:p>
    <w:p w:rsidRPr="00BA44F1" w:rsidR="001D027A" w:rsidRDefault="009F7862" w14:paraId="4F0980AA" w14:textId="77777777">
      <w:pPr>
        <w:pStyle w:val="BodyTextIndent"/>
        <w:rPr>
          <w:rFonts w:cs="Times New Roman"/>
          <w14:textOutline w14:w="0" w14:cap="flat" w14:cmpd="sng" w14:algn="ctr">
            <w14:noFill/>
            <w14:prstDash w14:val="solid"/>
            <w14:bevel/>
          </w14:textOutline>
        </w:rPr>
      </w:pPr>
      <w:r w:rsidRPr="00BA44F1">
        <w:rPr>
          <w:rFonts w:cs="Times New Roman"/>
          <w14:textOutline w14:w="0" w14:cap="flat" w14:cmpd="sng" w14:algn="ctr">
            <w14:noFill/>
            <w14:prstDash w14:val="solid"/>
            <w14:bevel/>
          </w14:textOutline>
        </w:rPr>
        <w:t>1.</w:t>
      </w:r>
      <w:r w:rsidRPr="00BA44F1">
        <w:rPr>
          <w:rFonts w:cs="Times New Roman"/>
          <w14:textOutline w14:w="0" w14:cap="flat" w14:cmpd="sng" w14:algn="ctr">
            <w14:noFill/>
            <w14:prstDash w14:val="solid"/>
            <w14:bevel/>
          </w14:textOutline>
        </w:rPr>
        <w:tab/>
        <w:t xml:space="preserve">Why is the information necessary? </w:t>
      </w:r>
    </w:p>
    <w:p w:rsidRPr="00BA44F1" w:rsidR="001D027A" w:rsidRDefault="009F7862" w14:paraId="3A99DB9D" w14:textId="77777777">
      <w:pPr>
        <w:pStyle w:val="BodyTextIndent"/>
        <w:rPr>
          <w:rFonts w:cs="Times New Roman"/>
          <w14:textOutline w14:w="0" w14:cap="flat" w14:cmpd="sng" w14:algn="ctr">
            <w14:noFill/>
            <w14:prstDash w14:val="solid"/>
            <w14:bevel/>
          </w14:textOutline>
        </w:rPr>
      </w:pPr>
      <w:r w:rsidRPr="00BA44F1">
        <w:rPr>
          <w:rFonts w:cs="Times New Roman"/>
          <w14:textOutline w14:w="0" w14:cap="flat" w14:cmpd="sng" w14:algn="ctr">
            <w14:noFill/>
            <w14:prstDash w14:val="solid"/>
            <w14:bevel/>
          </w14:textOutline>
        </w:rPr>
        <w:tab/>
        <w:t xml:space="preserve">Identify the legal or administrative requirements that necessitate the collection.  </w:t>
      </w:r>
    </w:p>
    <w:p w:rsidRPr="00BA44F1" w:rsidR="001D027A" w:rsidRDefault="009F7862" w14:paraId="3B8AF86B" w14:textId="77777777">
      <w:pPr>
        <w:pStyle w:val="BodyTextIndent2"/>
        <w:rPr>
          <w:rFonts w:cs="Times New Roman"/>
          <w14:textOutline w14:w="0" w14:cap="flat" w14:cmpd="sng" w14:algn="ctr">
            <w14:noFill/>
            <w14:prstDash w14:val="solid"/>
            <w14:bevel/>
          </w14:textOutline>
        </w:rPr>
      </w:pPr>
      <w:r w:rsidRPr="00BA44F1">
        <w:rPr>
          <w:rFonts w:cs="Times New Roman"/>
          <w14:textOutline w14:w="0" w14:cap="flat" w14:cmpd="sng" w14:algn="ctr">
            <w14:noFill/>
            <w14:prstDash w14:val="solid"/>
            <w14:bevel/>
          </w14:textOutline>
        </w:rPr>
        <w:t>Attach a copy of the appropriate section of each statute and regulation mandating/authorizing the collection of information.</w:t>
      </w:r>
    </w:p>
    <w:p w:rsidRPr="00BA44F1" w:rsidR="001D027A" w:rsidRDefault="001D027A" w14:paraId="5D68E74D" w14:textId="77777777">
      <w:pPr>
        <w:pStyle w:val="BodyTextIndent2"/>
        <w:rPr>
          <w:rFonts w:cs="Times New Roman"/>
          <w14:textOutline w14:w="0" w14:cap="flat" w14:cmpd="sng" w14:algn="ctr">
            <w14:noFill/>
            <w14:prstDash w14:val="solid"/>
            <w14:bevel/>
          </w14:textOutline>
        </w:rPr>
      </w:pPr>
    </w:p>
    <w:p w:rsidRPr="00BA44F1" w:rsidR="001D027A" w:rsidRDefault="009F7862" w14:paraId="1C7E6B49" w14:textId="78A65B1C">
      <w:pPr>
        <w:pStyle w:val="ListParagraph"/>
        <w:numPr>
          <w:ilvl w:val="0"/>
          <w:numId w:val="2"/>
        </w:numPr>
        <w:spacing w:line="360" w:lineRule="auto"/>
        <w:rPr>
          <w:rFonts w:cs="Times New Roman"/>
          <w:sz w:val="22"/>
          <w:szCs w:val="22"/>
          <w14:textOutline w14:w="0" w14:cap="flat" w14:cmpd="sng" w14:algn="ctr">
            <w14:noFill/>
            <w14:prstDash w14:val="solid"/>
            <w14:bevel/>
          </w14:textOutline>
        </w:rPr>
      </w:pPr>
      <w:bookmarkStart w:name="_Hlk28956827" w:id="0"/>
      <w:r w:rsidRPr="00BA44F1">
        <w:rPr>
          <w:rFonts w:cs="Times New Roman"/>
          <w:sz w:val="22"/>
          <w:szCs w:val="22"/>
          <w14:textOutline w14:w="0" w14:cap="flat" w14:cmpd="sng" w14:algn="ctr">
            <w14:noFill/>
            <w14:prstDash w14:val="solid"/>
            <w14:bevel/>
          </w14:textOutline>
        </w:rPr>
        <w:t xml:space="preserve">CDBG </w:t>
      </w:r>
      <w:bookmarkStart w:name="_Hlk32909056" w:id="1"/>
      <w:r w:rsidRPr="00BA44F1">
        <w:rPr>
          <w:rFonts w:cs="Times New Roman"/>
          <w:sz w:val="22"/>
          <w:szCs w:val="22"/>
          <w14:textOutline w14:w="0" w14:cap="flat" w14:cmpd="sng" w14:algn="ctr">
            <w14:noFill/>
            <w14:prstDash w14:val="solid"/>
            <w14:bevel/>
          </w14:textOutline>
        </w:rPr>
        <w:t xml:space="preserve">Disaster Recovery </w:t>
      </w:r>
      <w:bookmarkEnd w:id="1"/>
      <w:r w:rsidRPr="00BA44F1">
        <w:rPr>
          <w:rFonts w:cs="Times New Roman"/>
          <w:sz w:val="22"/>
          <w:szCs w:val="22"/>
          <w14:textOutline w14:w="0" w14:cap="flat" w14:cmpd="sng" w14:algn="ctr">
            <w14:noFill/>
            <w14:prstDash w14:val="solid"/>
            <w14:bevel/>
          </w14:textOutline>
        </w:rPr>
        <w:t>(CDBG-DR)</w:t>
      </w:r>
    </w:p>
    <w:bookmarkEnd w:id="0"/>
    <w:p w:rsidRPr="00BA44F1" w:rsidR="001D027A" w:rsidRDefault="009F7862" w14:paraId="38E6A217" w14:textId="4F7DE442">
      <w:pPr>
        <w:tabs>
          <w:tab w:val="left" w:pos="4050"/>
        </w:tabs>
        <w:ind w:left="360"/>
        <w:rPr>
          <w:rFonts w:cs="Times New Roman"/>
          <w:sz w:val="22"/>
          <w:szCs w:val="22"/>
        </w:rPr>
      </w:pPr>
      <w:r w:rsidRPr="00BA44F1">
        <w:rPr>
          <w:rFonts w:cs="Times New Roman"/>
          <w:sz w:val="22"/>
          <w:szCs w:val="22"/>
        </w:rPr>
        <w:t xml:space="preserve">The Community Development Block Grant (CDBG) program is authorized under Title I of the Housing and Community Development Act of 1974 (HCDA), as amended.  According to Section 104(e)(1) of the Act, HUD is responsible for reviewing grantees’ compliance with applicable requirements and their continuing capacity to carry out their programs.  Program rules are published in the Federal Register pursuant to specific appropriation acts.  Under this program, HUD provides supplemental CDBG funds appropriated by Congress for recovery from major disasters declared by the President of the United States.  Each supplemental appropriations statute specifies the disasters or time </w:t>
      </w:r>
      <w:r w:rsidR="00E060A2">
        <w:rPr>
          <w:rFonts w:cs="Times New Roman"/>
          <w:sz w:val="22"/>
          <w:szCs w:val="22"/>
        </w:rPr>
        <w:t xml:space="preserve">period </w:t>
      </w:r>
      <w:r w:rsidRPr="00BA44F1">
        <w:rPr>
          <w:rFonts w:cs="Times New Roman"/>
          <w:sz w:val="22"/>
          <w:szCs w:val="22"/>
        </w:rPr>
        <w:t xml:space="preserve">of disaster declarations for which funding is available. Grant funds are made available to </w:t>
      </w:r>
      <w:r w:rsidR="00E060A2">
        <w:rPr>
          <w:rFonts w:cs="Times New Roman"/>
          <w:sz w:val="22"/>
          <w:szCs w:val="22"/>
        </w:rPr>
        <w:t>s</w:t>
      </w:r>
      <w:r w:rsidRPr="00BA44F1">
        <w:rPr>
          <w:rFonts w:cs="Times New Roman"/>
          <w:sz w:val="22"/>
          <w:szCs w:val="22"/>
        </w:rPr>
        <w:t>tates</w:t>
      </w:r>
      <w:r w:rsidR="00AF7299">
        <w:rPr>
          <w:rFonts w:cs="Times New Roman"/>
          <w:sz w:val="22"/>
          <w:szCs w:val="22"/>
        </w:rPr>
        <w:t>,</w:t>
      </w:r>
      <w:r w:rsidRPr="00BA44F1">
        <w:rPr>
          <w:rFonts w:cs="Times New Roman"/>
          <w:sz w:val="22"/>
          <w:szCs w:val="22"/>
        </w:rPr>
        <w:t xml:space="preserve"> units of general local government, Indian tribes, and insular areas, unless provided otherwise by supplemental appropriations statute, based on unmet disaster recovery needs. Unless otherwise restricted by statute or provided by waiver, the funds may be used for any activity eligible under section 105(a) of the Housing and Community Development Act of 1974</w:t>
      </w:r>
      <w:r w:rsidR="00980D1B">
        <w:rPr>
          <w:rFonts w:cs="Times New Roman"/>
          <w:sz w:val="22"/>
          <w:szCs w:val="22"/>
        </w:rPr>
        <w:t xml:space="preserve"> (42 U.S.C. 5301 </w:t>
      </w:r>
      <w:r w:rsidRPr="00980D1B" w:rsidR="00980D1B">
        <w:rPr>
          <w:rFonts w:cs="Times New Roman"/>
          <w:i/>
          <w:iCs/>
          <w:sz w:val="22"/>
          <w:szCs w:val="22"/>
        </w:rPr>
        <w:t>et seq.</w:t>
      </w:r>
      <w:r w:rsidR="00980D1B">
        <w:rPr>
          <w:rFonts w:cs="Times New Roman"/>
          <w:sz w:val="22"/>
          <w:szCs w:val="22"/>
        </w:rPr>
        <w:t xml:space="preserve">) (HCD Act).  Each funded program or activity must also meet a national objective and address a direct or indirect impact from the applicable disaster(s).  Unless waived by the applicable </w:t>
      </w:r>
      <w:r w:rsidRPr="00980D1B" w:rsidR="00980D1B">
        <w:rPr>
          <w:rFonts w:cs="Times New Roman"/>
          <w:i/>
          <w:iCs/>
          <w:sz w:val="22"/>
          <w:szCs w:val="22"/>
        </w:rPr>
        <w:t xml:space="preserve">Federal Register </w:t>
      </w:r>
      <w:r w:rsidR="00980D1B">
        <w:rPr>
          <w:rFonts w:cs="Times New Roman"/>
          <w:sz w:val="22"/>
          <w:szCs w:val="22"/>
        </w:rPr>
        <w:t>notice,</w:t>
      </w:r>
      <w:r w:rsidRPr="00BA44F1">
        <w:rPr>
          <w:rFonts w:cs="Times New Roman"/>
          <w:sz w:val="22"/>
          <w:szCs w:val="22"/>
        </w:rPr>
        <w:t xml:space="preserve"> at least 70 percent of the funds must be </w:t>
      </w:r>
      <w:r w:rsidR="00980D1B">
        <w:rPr>
          <w:rFonts w:cs="Times New Roman"/>
          <w:sz w:val="22"/>
          <w:szCs w:val="22"/>
        </w:rPr>
        <w:t xml:space="preserve">used </w:t>
      </w:r>
      <w:r w:rsidRPr="00BA44F1">
        <w:rPr>
          <w:rFonts w:cs="Times New Roman"/>
          <w:sz w:val="22"/>
          <w:szCs w:val="22"/>
        </w:rPr>
        <w:t xml:space="preserve">for activities that principally benefit persons of low and moderate income.  Grantees must report program progress quarterly via the web-based Disaster Recovery Grant Reporting (DRGR) system. </w:t>
      </w:r>
    </w:p>
    <w:p w:rsidRPr="00BA44F1" w:rsidR="001D027A" w:rsidRDefault="001D027A" w14:paraId="02E52CA4" w14:textId="77777777">
      <w:pPr>
        <w:ind w:firstLine="720"/>
        <w:rPr>
          <w:rFonts w:cs="Times New Roman"/>
          <w:sz w:val="22"/>
          <w:szCs w:val="22"/>
        </w:rPr>
      </w:pPr>
    </w:p>
    <w:p w:rsidR="001D027A" w:rsidRDefault="009F7862" w14:paraId="2CEE52B7" w14:textId="6976F99C">
      <w:pPr>
        <w:tabs>
          <w:tab w:val="left" w:pos="4050"/>
        </w:tabs>
        <w:spacing w:after="120"/>
        <w:ind w:left="360"/>
        <w:rPr>
          <w:rFonts w:cs="Times New Roman"/>
          <w:sz w:val="22"/>
          <w:szCs w:val="22"/>
        </w:rPr>
      </w:pPr>
      <w:r w:rsidRPr="00BA44F1">
        <w:rPr>
          <w:rFonts w:cs="Times New Roman"/>
          <w:sz w:val="22"/>
          <w:szCs w:val="22"/>
        </w:rPr>
        <w:t>This update includes fifty-</w:t>
      </w:r>
      <w:r w:rsidR="00CE468D">
        <w:rPr>
          <w:rFonts w:cs="Times New Roman"/>
          <w:sz w:val="22"/>
          <w:szCs w:val="22"/>
        </w:rPr>
        <w:t>one</w:t>
      </w:r>
      <w:r w:rsidRPr="00BA44F1">
        <w:rPr>
          <w:rFonts w:cs="Times New Roman"/>
          <w:sz w:val="22"/>
          <w:szCs w:val="22"/>
        </w:rPr>
        <w:t xml:space="preserve"> (5</w:t>
      </w:r>
      <w:r w:rsidR="00CE468D">
        <w:rPr>
          <w:rFonts w:cs="Times New Roman"/>
          <w:sz w:val="22"/>
          <w:szCs w:val="22"/>
        </w:rPr>
        <w:t>1</w:t>
      </w:r>
      <w:r w:rsidRPr="00BA44F1">
        <w:rPr>
          <w:rFonts w:cs="Times New Roman"/>
          <w:sz w:val="22"/>
          <w:szCs w:val="22"/>
        </w:rPr>
        <w:t>) new Community Development Block Grant</w:t>
      </w:r>
      <w:r w:rsidR="00980D1B">
        <w:rPr>
          <w:rFonts w:cs="Times New Roman"/>
          <w:sz w:val="22"/>
          <w:szCs w:val="22"/>
        </w:rPr>
        <w:t xml:space="preserve"> d</w:t>
      </w:r>
      <w:r w:rsidRPr="00BA44F1">
        <w:rPr>
          <w:rFonts w:cs="Times New Roman"/>
          <w:sz w:val="22"/>
          <w:szCs w:val="22"/>
        </w:rPr>
        <w:t xml:space="preserve">isaster </w:t>
      </w:r>
      <w:r w:rsidR="00980D1B">
        <w:rPr>
          <w:rFonts w:cs="Times New Roman"/>
          <w:sz w:val="22"/>
          <w:szCs w:val="22"/>
        </w:rPr>
        <w:t>r</w:t>
      </w:r>
      <w:r w:rsidRPr="00BA44F1">
        <w:rPr>
          <w:rFonts w:cs="Times New Roman"/>
          <w:sz w:val="22"/>
          <w:szCs w:val="22"/>
        </w:rPr>
        <w:t>ecovery (CDBG-DR) grants added to the DRGR system due to the following five supplemental appropriations:</w:t>
      </w:r>
    </w:p>
    <w:p w:rsidR="00CE468D" w:rsidRDefault="00CE468D" w14:paraId="14189E49" w14:textId="0F7D21AD">
      <w:pPr>
        <w:tabs>
          <w:tab w:val="left" w:pos="4050"/>
        </w:tabs>
        <w:spacing w:after="120"/>
        <w:ind w:left="360"/>
        <w:rPr>
          <w:rFonts w:cs="Times New Roman"/>
          <w:sz w:val="22"/>
          <w:szCs w:val="22"/>
        </w:rPr>
      </w:pPr>
    </w:p>
    <w:tbl>
      <w:tblPr>
        <w:tblW w:w="0" w:type="auto"/>
        <w:tblInd w:w="19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82"/>
      </w:tblGrid>
      <w:tr w:rsidR="00102283" w:rsidTr="00102283" w14:paraId="16CDA5A8" w14:textId="3AAFBA0E">
        <w:trPr>
          <w:trHeight w:val="133"/>
        </w:trPr>
        <w:tc>
          <w:tcPr>
            <w:tcW w:w="5482" w:type="dxa"/>
          </w:tcPr>
          <w:p w:rsidR="00102283" w:rsidP="00102283" w:rsidRDefault="00102283" w14:paraId="5E8E5E89" w14:textId="367E9DAA">
            <w:r>
              <w:t>Public Law 114-223, provided $500 million</w:t>
            </w:r>
          </w:p>
        </w:tc>
      </w:tr>
      <w:tr w:rsidR="00102283" w:rsidTr="00102283" w14:paraId="70021083" w14:textId="3D680EAF">
        <w:trPr>
          <w:trHeight w:val="133"/>
        </w:trPr>
        <w:tc>
          <w:tcPr>
            <w:tcW w:w="5482" w:type="dxa"/>
          </w:tcPr>
          <w:p w:rsidR="00102283" w:rsidP="00102283" w:rsidRDefault="00102283" w14:paraId="6A58E97B" w14:textId="173503B5">
            <w:r>
              <w:t>Public Law 114-254, provided $1.8 billion</w:t>
            </w:r>
          </w:p>
        </w:tc>
      </w:tr>
      <w:tr w:rsidR="00102283" w:rsidTr="00102283" w14:paraId="3321241A" w14:textId="40912B87">
        <w:trPr>
          <w:trHeight w:val="158"/>
        </w:trPr>
        <w:tc>
          <w:tcPr>
            <w:tcW w:w="5482" w:type="dxa"/>
          </w:tcPr>
          <w:p w:rsidR="00102283" w:rsidP="00102283" w:rsidRDefault="00102283" w14:paraId="1A4062F5" w14:textId="3ADFF0EE">
            <w:r>
              <w:t>Public Law 115-31, provided $400 million</w:t>
            </w:r>
          </w:p>
        </w:tc>
      </w:tr>
      <w:tr w:rsidR="00102283" w:rsidTr="00102283" w14:paraId="61E76E4E" w14:textId="523B1E67">
        <w:trPr>
          <w:trHeight w:val="109"/>
        </w:trPr>
        <w:tc>
          <w:tcPr>
            <w:tcW w:w="5482" w:type="dxa"/>
          </w:tcPr>
          <w:p w:rsidR="00102283" w:rsidP="00102283" w:rsidRDefault="00102283" w14:paraId="1972BDC8" w14:textId="0E321036">
            <w:r>
              <w:t>Public Law 115-56, provided $7.4 billion</w:t>
            </w:r>
          </w:p>
        </w:tc>
      </w:tr>
      <w:tr w:rsidR="00102283" w:rsidTr="00102283" w14:paraId="691979D4" w14:textId="40A3D30D">
        <w:trPr>
          <w:trHeight w:val="133"/>
        </w:trPr>
        <w:tc>
          <w:tcPr>
            <w:tcW w:w="5482" w:type="dxa"/>
          </w:tcPr>
          <w:p w:rsidR="00102283" w:rsidP="00102283" w:rsidRDefault="00102283" w14:paraId="067F9F93" w14:textId="75F8A94A">
            <w:r>
              <w:t>Public Law 115-123, provided $28 billion</w:t>
            </w:r>
          </w:p>
        </w:tc>
      </w:tr>
      <w:tr w:rsidR="00102283" w:rsidTr="00102283" w14:paraId="5CFAB332" w14:textId="77777777">
        <w:trPr>
          <w:trHeight w:val="133"/>
        </w:trPr>
        <w:tc>
          <w:tcPr>
            <w:tcW w:w="5482" w:type="dxa"/>
          </w:tcPr>
          <w:p w:rsidR="00102283" w:rsidP="00102283" w:rsidRDefault="00102283" w14:paraId="444317F4" w14:textId="57D05DEC">
            <w:r>
              <w:t xml:space="preserve">Public Law 115-254, provided </w:t>
            </w:r>
            <w:r w:rsidR="0070381F">
              <w:t>$1.6 billion</w:t>
            </w:r>
          </w:p>
        </w:tc>
      </w:tr>
      <w:tr w:rsidR="00102283" w:rsidTr="00102283" w14:paraId="39CC2970" w14:textId="427A09C0">
        <w:trPr>
          <w:trHeight w:val="133"/>
        </w:trPr>
        <w:tc>
          <w:tcPr>
            <w:tcW w:w="5482" w:type="dxa"/>
          </w:tcPr>
          <w:p w:rsidR="00102283" w:rsidP="00102283" w:rsidRDefault="00102283" w14:paraId="1163B966" w14:textId="7E7A3E2D">
            <w:r>
              <w:t>Public Law 116-20, provided $2.4 billion</w:t>
            </w:r>
          </w:p>
        </w:tc>
      </w:tr>
    </w:tbl>
    <w:p w:rsidRPr="00BA44F1" w:rsidR="00CE468D" w:rsidRDefault="00CE468D" w14:paraId="4E81A471" w14:textId="77777777">
      <w:pPr>
        <w:tabs>
          <w:tab w:val="left" w:pos="4050"/>
        </w:tabs>
        <w:spacing w:after="120"/>
        <w:ind w:left="360"/>
        <w:rPr>
          <w:rFonts w:cs="Times New Roman"/>
          <w:sz w:val="22"/>
          <w:szCs w:val="22"/>
        </w:rPr>
      </w:pPr>
    </w:p>
    <w:p w:rsidRPr="00BA44F1" w:rsidR="001D027A" w:rsidRDefault="001D027A" w14:paraId="5DE1D2A6" w14:textId="77777777">
      <w:pPr>
        <w:tabs>
          <w:tab w:val="left" w:pos="4050"/>
        </w:tabs>
        <w:ind w:left="360"/>
        <w:rPr>
          <w:rFonts w:cs="Times New Roman"/>
          <w:sz w:val="22"/>
          <w:szCs w:val="22"/>
        </w:rPr>
      </w:pPr>
    </w:p>
    <w:p w:rsidRPr="00BA44F1" w:rsidR="001D027A" w:rsidRDefault="009F7862" w14:paraId="3B5B1B99" w14:textId="2636CC77">
      <w:pPr>
        <w:tabs>
          <w:tab w:val="left" w:pos="4050"/>
        </w:tabs>
        <w:ind w:left="360"/>
        <w:rPr>
          <w:rFonts w:cs="Times New Roman"/>
          <w:sz w:val="22"/>
          <w:szCs w:val="22"/>
        </w:rPr>
      </w:pPr>
      <w:r w:rsidRPr="00BA44F1">
        <w:rPr>
          <w:rFonts w:cs="Times New Roman"/>
          <w:sz w:val="22"/>
          <w:szCs w:val="22"/>
        </w:rPr>
        <w:t>These revisions update the previously approved DRGR PRA information collection to account for the increase in burden hours associated with these fifty</w:t>
      </w:r>
      <w:r w:rsidRPr="00BA44F1" w:rsidR="000B5360">
        <w:rPr>
          <w:rFonts w:cs="Times New Roman"/>
          <w:sz w:val="22"/>
          <w:szCs w:val="22"/>
        </w:rPr>
        <w:t>-</w:t>
      </w:r>
      <w:r w:rsidR="0075456A">
        <w:rPr>
          <w:rFonts w:cs="Times New Roman"/>
          <w:sz w:val="22"/>
          <w:szCs w:val="22"/>
        </w:rPr>
        <w:t>one</w:t>
      </w:r>
      <w:r w:rsidRPr="00BA44F1">
        <w:rPr>
          <w:rFonts w:cs="Times New Roman"/>
          <w:sz w:val="22"/>
          <w:szCs w:val="22"/>
        </w:rPr>
        <w:t xml:space="preserve"> (5</w:t>
      </w:r>
      <w:r w:rsidR="0075456A">
        <w:rPr>
          <w:rFonts w:cs="Times New Roman"/>
          <w:sz w:val="22"/>
          <w:szCs w:val="22"/>
        </w:rPr>
        <w:t>1</w:t>
      </w:r>
      <w:r w:rsidRPr="00BA44F1">
        <w:rPr>
          <w:rFonts w:cs="Times New Roman"/>
          <w:sz w:val="22"/>
          <w:szCs w:val="22"/>
        </w:rPr>
        <w:t>) new CDBG-DR grants.</w:t>
      </w:r>
    </w:p>
    <w:p w:rsidRPr="00BA44F1" w:rsidR="001D027A" w:rsidRDefault="001D027A" w14:paraId="313E88A3" w14:textId="77777777">
      <w:pPr>
        <w:ind w:left="360"/>
        <w:rPr>
          <w:rFonts w:cs="Times New Roman"/>
          <w:sz w:val="22"/>
          <w:szCs w:val="22"/>
        </w:rPr>
      </w:pPr>
    </w:p>
    <w:p w:rsidR="001D027A" w:rsidRDefault="009F7862" w14:paraId="470C96B4" w14:textId="705674C7">
      <w:pPr>
        <w:ind w:left="360"/>
        <w:rPr>
          <w:rFonts w:cs="Times New Roman"/>
        </w:rPr>
      </w:pPr>
      <w:r w:rsidRPr="00BA44F1">
        <w:rPr>
          <w:rFonts w:cs="Times New Roman"/>
          <w:sz w:val="22"/>
          <w:szCs w:val="22"/>
        </w:rPr>
        <w:t xml:space="preserve">Congress has appropriated funds for CDBG disaster recovery since September 18, 2001. CDBG-DR statutes are located here: </w:t>
      </w:r>
      <w:hyperlink w:history="1" r:id="rId11">
        <w:r w:rsidRPr="00A36275" w:rsidR="00E060A2">
          <w:rPr>
            <w:rStyle w:val="Hyperlink"/>
            <w:rFonts w:cs="Times New Roman"/>
          </w:rPr>
          <w:t>https://www.hudexchange.info/cdbg-dr/cdbg-dr-laws-regulations-and-federal-register-notices/</w:t>
        </w:r>
      </w:hyperlink>
    </w:p>
    <w:p w:rsidRPr="00BA44F1" w:rsidR="001D027A" w:rsidP="0038126C" w:rsidRDefault="001D027A" w14:paraId="48FE47CA" w14:textId="77777777">
      <w:pPr>
        <w:tabs>
          <w:tab w:val="left" w:pos="720"/>
        </w:tabs>
        <w:rPr>
          <w:rFonts w:cs="Times New Roman"/>
          <w:sz w:val="22"/>
          <w:szCs w:val="22"/>
        </w:rPr>
      </w:pPr>
    </w:p>
    <w:p w:rsidRPr="00AF0EE7" w:rsidR="001D027A" w:rsidP="00AF0EE7" w:rsidRDefault="0038126C" w14:paraId="5E14E666" w14:textId="4F78F89D">
      <w:pPr>
        <w:spacing w:line="360" w:lineRule="auto"/>
        <w:ind w:firstLine="360"/>
        <w:rPr>
          <w:rFonts w:cs="Times New Roman"/>
          <w:sz w:val="22"/>
          <w:szCs w:val="22"/>
        </w:rPr>
      </w:pPr>
      <w:r>
        <w:rPr>
          <w:rFonts w:cs="Times New Roman"/>
          <w:i/>
          <w:iCs/>
          <w:sz w:val="22"/>
          <w:szCs w:val="22"/>
        </w:rPr>
        <w:t>b</w:t>
      </w:r>
      <w:r w:rsidRPr="00AF0EE7" w:rsidR="00AF0EE7">
        <w:rPr>
          <w:rFonts w:cs="Times New Roman"/>
          <w:i/>
          <w:iCs/>
          <w:sz w:val="22"/>
          <w:szCs w:val="22"/>
        </w:rPr>
        <w:t>.</w:t>
      </w:r>
      <w:r w:rsidR="00AF0EE7">
        <w:rPr>
          <w:rFonts w:cs="Times New Roman"/>
          <w:sz w:val="22"/>
          <w:szCs w:val="22"/>
        </w:rPr>
        <w:tab/>
      </w:r>
      <w:r w:rsidRPr="00AF0EE7" w:rsidR="009F7862">
        <w:rPr>
          <w:rFonts w:cs="Times New Roman"/>
          <w:sz w:val="22"/>
          <w:szCs w:val="22"/>
        </w:rPr>
        <w:t>Neighborhood Stabilization Program (NSP1, NSP2 &amp; NSP3)</w:t>
      </w:r>
    </w:p>
    <w:p w:rsidRPr="00BA44F1" w:rsidR="001D027A" w:rsidRDefault="009F7862" w14:paraId="62D7C4F9" w14:textId="77777777">
      <w:pPr>
        <w:ind w:left="360"/>
        <w:rPr>
          <w:rFonts w:cs="Times New Roman"/>
          <w:sz w:val="22"/>
          <w:szCs w:val="22"/>
        </w:rPr>
      </w:pPr>
      <w:r w:rsidRPr="00BA44F1">
        <w:rPr>
          <w:rFonts w:cs="Times New Roman"/>
          <w:sz w:val="22"/>
          <w:szCs w:val="22"/>
        </w:rPr>
        <w:t>The Neighborhood Stabilization Program (NSP) was established for the purpose of stabilizing communities that have suffered from foreclosures and property abandonment.  On July 21, 2010, President Obama signed the Dodd-Frank Wall Street Reform and Consumer Protection Act (“Dodd-Frank Act”) into law (Public Law 111-203).  This law provides $1 billion of formula grant funding for the redevelopment of foreclosed upon and abandoned homes to be allocated under the terms of Title XII, Division A, Section 2 of the American Recovery and Reinvestment Act (“Recovery Act”) and by the formula factors provided in Title III of Division B of the Housing and Economic Recovery Act of 2008 (Public Law 110-289) (“HERA”).  In 2008, HERA provided for an initial round of formula funding to regular State and entitlement Community Development Block Grant (“CDBG”) grantees through the Neighborhood Stabilization Program (“NSP1”).  The Recovery Act provided for a neighborhood stabilization grant competition open to State and local governments, as well as non-profit groups and consortia that may include for-profit entities (“NSP2”).</w:t>
      </w:r>
      <w:r w:rsidRPr="00BA44F1">
        <w:rPr>
          <w:rFonts w:cs="Times New Roman"/>
          <w:sz w:val="22"/>
          <w:szCs w:val="22"/>
        </w:rPr>
        <w:footnoteReference w:id="2"/>
      </w:r>
      <w:r w:rsidRPr="00BA44F1">
        <w:rPr>
          <w:rFonts w:cs="Times New Roman"/>
          <w:sz w:val="22"/>
          <w:szCs w:val="22"/>
        </w:rPr>
        <w:t xml:space="preserve">  The Dodd-Frank Act is the third round of Neighborhood Stabilization Funding (“NSP3”).</w:t>
      </w:r>
    </w:p>
    <w:p w:rsidRPr="00BA44F1" w:rsidR="001D027A" w:rsidRDefault="001D027A" w14:paraId="0AAC7035" w14:textId="77777777">
      <w:pPr>
        <w:rPr>
          <w:rFonts w:cs="Times New Roman"/>
          <w:sz w:val="22"/>
          <w:szCs w:val="22"/>
        </w:rPr>
      </w:pPr>
    </w:p>
    <w:p w:rsidRPr="00BA44F1" w:rsidR="001D027A" w:rsidRDefault="009F7862" w14:paraId="14595C60" w14:textId="77777777">
      <w:pPr>
        <w:ind w:left="360"/>
        <w:rPr>
          <w:rFonts w:cs="Times New Roman"/>
          <w:sz w:val="22"/>
          <w:szCs w:val="22"/>
        </w:rPr>
      </w:pPr>
      <w:r w:rsidRPr="00BA44F1">
        <w:rPr>
          <w:rFonts w:cs="Times New Roman"/>
          <w:sz w:val="22"/>
          <w:szCs w:val="22"/>
        </w:rPr>
        <w:t xml:space="preserve">Although NSP funds are otherwise to be considered CDBG funds, HERA, the Recovery Act and the Dodd-Frank Act make substantive revisions to the eligibility, use, and method of distribution of NSP3 funds.  For NSP1 and NSP3, grantees are required to submit substantial amendments to their consolidated plans to secure funding they are entitled to under the formulas. </w:t>
      </w:r>
    </w:p>
    <w:p w:rsidRPr="00BA44F1" w:rsidR="001D027A" w:rsidRDefault="001D027A" w14:paraId="43398E6A" w14:textId="77777777">
      <w:pPr>
        <w:ind w:left="360"/>
        <w:rPr>
          <w:rFonts w:cs="Times New Roman"/>
          <w:sz w:val="22"/>
          <w:szCs w:val="22"/>
        </w:rPr>
      </w:pPr>
    </w:p>
    <w:p w:rsidRPr="00BA44F1" w:rsidR="001D027A" w:rsidRDefault="009F7862" w14:paraId="1219538C" w14:textId="77777777">
      <w:pPr>
        <w:ind w:left="360"/>
        <w:rPr>
          <w:rFonts w:cs="Times New Roman"/>
          <w:sz w:val="22"/>
          <w:szCs w:val="22"/>
        </w:rPr>
      </w:pPr>
      <w:r w:rsidRPr="00BA44F1">
        <w:rPr>
          <w:rFonts w:cs="Times New Roman"/>
          <w:sz w:val="22"/>
          <w:szCs w:val="22"/>
        </w:rPr>
        <w:t>The applicable section of the Dodd-Frank Act, Recovery Act and HERA are attached to this submission. These statutes, along with the Housing and Community Development Act of 1974, mandate and/or authorize the collection of data in this submission.</w:t>
      </w:r>
    </w:p>
    <w:p w:rsidRPr="00BA44F1" w:rsidR="001D027A" w:rsidRDefault="001D027A" w14:paraId="70A6EFEF" w14:textId="77777777">
      <w:pPr>
        <w:ind w:left="360"/>
        <w:rPr>
          <w:rFonts w:cs="Times New Roman"/>
          <w:sz w:val="22"/>
          <w:szCs w:val="22"/>
        </w:rPr>
      </w:pPr>
    </w:p>
    <w:p w:rsidRPr="00BA44F1" w:rsidR="001D027A" w:rsidRDefault="009F7862" w14:paraId="4F4F8801" w14:textId="77777777">
      <w:pPr>
        <w:ind w:left="360"/>
        <w:rPr>
          <w:rFonts w:cs="Times New Roman"/>
          <w:sz w:val="22"/>
          <w:szCs w:val="22"/>
        </w:rPr>
      </w:pPr>
      <w:r w:rsidRPr="00BA44F1">
        <w:rPr>
          <w:rFonts w:cs="Times New Roman"/>
          <w:sz w:val="22"/>
          <w:szCs w:val="22"/>
        </w:rPr>
        <w:t xml:space="preserve">NSP statutes are located here: </w:t>
      </w:r>
      <w:hyperlink w:history="1" r:id="rId12">
        <w:r w:rsidRPr="00BA44F1">
          <w:rPr>
            <w:rFonts w:cs="Times New Roman"/>
          </w:rPr>
          <w:t>https://www.hudexchange.info/nsp/nsp-laws-regulations-and-federal-register-notices/</w:t>
        </w:r>
      </w:hyperlink>
    </w:p>
    <w:p w:rsidRPr="00BA44F1" w:rsidR="001D027A" w:rsidRDefault="001D027A" w14:paraId="392162A9" w14:textId="77777777">
      <w:pPr>
        <w:rPr>
          <w:rFonts w:cs="Times New Roman"/>
          <w:sz w:val="22"/>
          <w:szCs w:val="22"/>
        </w:rPr>
      </w:pPr>
    </w:p>
    <w:p w:rsidRPr="00BA44F1" w:rsidR="001D027A" w:rsidRDefault="0038126C" w14:paraId="50D2AE22" w14:textId="2128336B">
      <w:pPr>
        <w:spacing w:line="360" w:lineRule="auto"/>
        <w:ind w:left="360"/>
        <w:rPr>
          <w:rFonts w:cs="Times New Roman"/>
          <w:sz w:val="22"/>
          <w:szCs w:val="22"/>
        </w:rPr>
      </w:pPr>
      <w:r>
        <w:rPr>
          <w:rFonts w:cs="Times New Roman"/>
          <w:i/>
          <w:iCs/>
          <w:sz w:val="22"/>
          <w:szCs w:val="22"/>
        </w:rPr>
        <w:t>c</w:t>
      </w:r>
      <w:r w:rsidRPr="00AF0EE7" w:rsidR="009F7862">
        <w:rPr>
          <w:rFonts w:cs="Times New Roman"/>
          <w:i/>
          <w:iCs/>
          <w:sz w:val="22"/>
          <w:szCs w:val="22"/>
        </w:rPr>
        <w:t>.</w:t>
      </w:r>
      <w:r w:rsidR="00AF0EE7">
        <w:rPr>
          <w:rFonts w:cs="Times New Roman"/>
          <w:sz w:val="22"/>
          <w:szCs w:val="22"/>
        </w:rPr>
        <w:tab/>
      </w:r>
      <w:r w:rsidRPr="00BA44F1" w:rsidR="009F7862">
        <w:rPr>
          <w:rFonts w:cs="Times New Roman"/>
          <w:sz w:val="22"/>
          <w:szCs w:val="22"/>
        </w:rPr>
        <w:t>NSP3 Technical Assistance Grants</w:t>
      </w:r>
    </w:p>
    <w:p w:rsidRPr="00BA44F1" w:rsidR="001D027A" w:rsidRDefault="009F7862" w14:paraId="3D6F25CB" w14:textId="77777777">
      <w:pPr>
        <w:ind w:left="360"/>
        <w:rPr>
          <w:rFonts w:cs="Times New Roman"/>
          <w:sz w:val="22"/>
          <w:szCs w:val="22"/>
        </w:rPr>
      </w:pPr>
      <w:r w:rsidRPr="00BA44F1">
        <w:rPr>
          <w:rFonts w:cs="Times New Roman"/>
          <w:sz w:val="22"/>
          <w:szCs w:val="22"/>
        </w:rPr>
        <w:t xml:space="preserve">Authorized under Section 1497 of the Wall Street Reform and Consumer Protection Act of 2010 (Pub. L. 111-203, approved July 21, 2010) (“NSP3”), NSP3 Technical Assistance (TA) provides $20 million to organizations that are experienced and successful in providing program, technical, planning, financial, and organizational capacity building assistance, or consulting in such areas as community development, affordable housing, organizational management, financing and underwriting, construction and rehabilitation management, land banking, project management and strategic planning. NSP3-TA follows these key objectives: (1) improve grantees' ability to assess conditions in the affordable segment of their local housing market consistent with the jurisdiction's Consolidated Plan and Analysis of Impediments; (2) improve grantees' ability to design and appropriately implement neighborhood stabilization programs based upon an accurate assessment of the affordable segment of their local housing market; (3) increase organizational capacity to leverage private and public dollars; and (4) improve grantees understanding of and compliance with statutory and regulatory requirements. Teams of providers with a broad range of complementary skills and expertise, working collaboratively, were selected through a competitive process. </w:t>
      </w:r>
    </w:p>
    <w:p w:rsidRPr="00BA44F1" w:rsidR="001D027A" w:rsidRDefault="001D027A" w14:paraId="6C09B59C" w14:textId="77777777">
      <w:pPr>
        <w:ind w:left="360"/>
        <w:rPr>
          <w:rFonts w:cs="Times New Roman"/>
          <w:sz w:val="22"/>
          <w:szCs w:val="22"/>
        </w:rPr>
      </w:pPr>
    </w:p>
    <w:p w:rsidRPr="00BA44F1" w:rsidR="001D027A" w:rsidRDefault="0038126C" w14:paraId="4B890BD8" w14:textId="2EE7C340">
      <w:pPr>
        <w:spacing w:line="360" w:lineRule="auto"/>
        <w:ind w:left="360"/>
        <w:rPr>
          <w:rFonts w:cs="Times New Roman"/>
          <w:sz w:val="22"/>
          <w:szCs w:val="22"/>
        </w:rPr>
      </w:pPr>
      <w:r>
        <w:rPr>
          <w:rFonts w:cs="Times New Roman"/>
          <w:i/>
          <w:iCs/>
          <w:sz w:val="22"/>
          <w:szCs w:val="22"/>
        </w:rPr>
        <w:t>d</w:t>
      </w:r>
      <w:r w:rsidRPr="00AF0EE7" w:rsidR="009F7862">
        <w:rPr>
          <w:rFonts w:cs="Times New Roman"/>
          <w:i/>
          <w:iCs/>
          <w:sz w:val="22"/>
          <w:szCs w:val="22"/>
        </w:rPr>
        <w:t>.</w:t>
      </w:r>
      <w:r w:rsidR="00AF0EE7">
        <w:rPr>
          <w:rFonts w:cs="Times New Roman"/>
          <w:sz w:val="22"/>
          <w:szCs w:val="22"/>
        </w:rPr>
        <w:tab/>
      </w:r>
      <w:r w:rsidRPr="00BA44F1" w:rsidR="009F7862">
        <w:rPr>
          <w:rFonts w:cs="Times New Roman"/>
          <w:sz w:val="22"/>
          <w:szCs w:val="22"/>
        </w:rPr>
        <w:t>Rural Capacity Building and Section 4 programs</w:t>
      </w:r>
    </w:p>
    <w:p w:rsidRPr="00BA44F1" w:rsidR="001D027A" w:rsidRDefault="009F7862" w14:paraId="63984624" w14:textId="77777777">
      <w:pPr>
        <w:ind w:left="360"/>
        <w:rPr>
          <w:rFonts w:cs="Times New Roman"/>
          <w:sz w:val="22"/>
          <w:szCs w:val="22"/>
        </w:rPr>
      </w:pPr>
      <w:r w:rsidRPr="00BA44F1">
        <w:rPr>
          <w:rFonts w:cs="Times New Roman"/>
          <w:sz w:val="22"/>
          <w:szCs w:val="22"/>
        </w:rPr>
        <w:t>Rural Capacity Building for Community Development and Affordable Housing: Through the funding of national organizations with expertise in rural housing and community development, the Rural Capacity Building (RCB) Program enhances the capacity and ability of local governments, Indian tribes, housing development organizations, rural Community Development Corporations (CDCs), and rural Community Housing Development Organizations (CHDOs), to carry out community development and affordable housing activities that benefit low- and moderate-income families and persons in rural areas.</w:t>
      </w:r>
    </w:p>
    <w:p w:rsidRPr="00BA44F1" w:rsidR="001D027A" w:rsidRDefault="001D027A" w14:paraId="63C7C9C3" w14:textId="77777777">
      <w:pPr>
        <w:ind w:left="360"/>
        <w:rPr>
          <w:rFonts w:cs="Times New Roman"/>
          <w:sz w:val="22"/>
          <w:szCs w:val="22"/>
        </w:rPr>
      </w:pPr>
    </w:p>
    <w:p w:rsidRPr="00BA44F1" w:rsidR="001D027A" w:rsidRDefault="009F7862" w14:paraId="02943342" w14:textId="77777777">
      <w:pPr>
        <w:ind w:left="360"/>
        <w:rPr>
          <w:rFonts w:cs="Times New Roman"/>
          <w:sz w:val="22"/>
          <w:szCs w:val="22"/>
        </w:rPr>
      </w:pPr>
      <w:r w:rsidRPr="00BA44F1">
        <w:rPr>
          <w:rFonts w:cs="Times New Roman"/>
          <w:sz w:val="22"/>
          <w:szCs w:val="22"/>
        </w:rPr>
        <w:t xml:space="preserve">Funds may be used under the RCB program to provide capacity building support across the following three eligible activity categories: </w:t>
      </w:r>
    </w:p>
    <w:p w:rsidRPr="00BA44F1" w:rsidR="001D027A" w:rsidRDefault="001D027A" w14:paraId="0A7F104B" w14:textId="77777777">
      <w:pPr>
        <w:ind w:left="360"/>
        <w:rPr>
          <w:rFonts w:cs="Times New Roman"/>
          <w:sz w:val="22"/>
          <w:szCs w:val="22"/>
        </w:rPr>
      </w:pPr>
    </w:p>
    <w:p w:rsidRPr="00BA44F1" w:rsidR="001D027A" w:rsidRDefault="009F7862" w14:paraId="47A0D242" w14:textId="77777777">
      <w:pPr>
        <w:numPr>
          <w:ilvl w:val="0"/>
          <w:numId w:val="7"/>
        </w:numPr>
        <w:rPr>
          <w:rFonts w:cs="Times New Roman"/>
          <w:sz w:val="22"/>
          <w:szCs w:val="22"/>
        </w:rPr>
      </w:pPr>
      <w:r w:rsidRPr="00BA44F1">
        <w:rPr>
          <w:rFonts w:cs="Times New Roman"/>
          <w:sz w:val="22"/>
          <w:szCs w:val="22"/>
        </w:rPr>
        <w:t>Training, education, support, and advice to enhance the technical and administrative capabilities of rural housing development organizations, CDCs, CHDOs, local governments, and Indian tribes, including the capacity to participate in consolidated planning, as well as in fair housing planning and Continuum of Care homeless assistance efforts that help ensure community-wide participation in assessing area needs; consulting broadly within the community; cooperatively planning for the use of available resources in a comprehensive and holistic manner; and assisting in evaluating performance under these community efforts and in linking plans with neighboring communities in order to foster regional planning;</w:t>
      </w:r>
    </w:p>
    <w:p w:rsidRPr="00BA44F1" w:rsidR="001D027A" w:rsidRDefault="001D027A" w14:paraId="7FAF039B" w14:textId="77777777">
      <w:pPr>
        <w:ind w:left="1080"/>
        <w:rPr>
          <w:rFonts w:cs="Times New Roman"/>
          <w:sz w:val="22"/>
          <w:szCs w:val="22"/>
        </w:rPr>
      </w:pPr>
    </w:p>
    <w:p w:rsidRPr="00BA44F1" w:rsidR="001D027A" w:rsidRDefault="009F7862" w14:paraId="782A59D3" w14:textId="77777777">
      <w:pPr>
        <w:numPr>
          <w:ilvl w:val="0"/>
          <w:numId w:val="7"/>
        </w:numPr>
        <w:rPr>
          <w:rFonts w:cs="Times New Roman"/>
          <w:sz w:val="22"/>
          <w:szCs w:val="22"/>
        </w:rPr>
      </w:pPr>
      <w:r w:rsidRPr="00BA44F1">
        <w:rPr>
          <w:rFonts w:cs="Times New Roman"/>
          <w:sz w:val="22"/>
          <w:szCs w:val="22"/>
        </w:rPr>
        <w:t>Loans, pass-through grants, predevelopment assistance, or other financial assistance to rural housing organizations, CDCs, CHDOs, local governments, and Indian tribes to carry-out community development and affordable housing activities that benefit low-income or low- and moderate-income families and persons, including the acquisition, construction, or rehabilitation of housing for low-income or low- and moderate-income families and persons, and community and economic development activities that create jobs for low-income persons; and;</w:t>
      </w:r>
    </w:p>
    <w:p w:rsidRPr="00BA44F1" w:rsidR="001D027A" w:rsidRDefault="001D027A" w14:paraId="0BC4F20F" w14:textId="77777777">
      <w:pPr>
        <w:pStyle w:val="ListParagraph"/>
        <w:rPr>
          <w:rFonts w:cs="Times New Roman"/>
          <w:sz w:val="22"/>
          <w:szCs w:val="22"/>
          <w14:textOutline w14:w="0" w14:cap="flat" w14:cmpd="sng" w14:algn="ctr">
            <w14:noFill/>
            <w14:prstDash w14:val="solid"/>
            <w14:bevel/>
          </w14:textOutline>
        </w:rPr>
      </w:pPr>
    </w:p>
    <w:p w:rsidRPr="00BA44F1" w:rsidR="001D027A" w:rsidRDefault="009F7862" w14:paraId="1D86ED69" w14:textId="77777777">
      <w:pPr>
        <w:numPr>
          <w:ilvl w:val="0"/>
          <w:numId w:val="7"/>
        </w:numPr>
        <w:rPr>
          <w:rFonts w:cs="Times New Roman"/>
          <w:sz w:val="22"/>
          <w:szCs w:val="22"/>
        </w:rPr>
      </w:pPr>
      <w:r w:rsidRPr="00BA44F1">
        <w:rPr>
          <w:rFonts w:cs="Times New Roman"/>
          <w:sz w:val="22"/>
          <w:szCs w:val="22"/>
        </w:rPr>
        <w:t>Such other activities as may be determined by the grantees in consultation with the Secretary or his or her designee.</w:t>
      </w:r>
    </w:p>
    <w:p w:rsidRPr="00BA44F1" w:rsidR="001D027A" w:rsidRDefault="001D027A" w14:paraId="5C4EA551" w14:textId="77777777">
      <w:pPr>
        <w:ind w:left="360"/>
        <w:rPr>
          <w:rFonts w:cs="Times New Roman"/>
          <w:sz w:val="22"/>
          <w:szCs w:val="22"/>
        </w:rPr>
      </w:pPr>
    </w:p>
    <w:p w:rsidRPr="00BA44F1" w:rsidR="001D027A" w:rsidRDefault="009F7862" w14:paraId="5028FBE7" w14:textId="77777777">
      <w:pPr>
        <w:ind w:left="360"/>
        <w:rPr>
          <w:rFonts w:cs="Times New Roman"/>
          <w:sz w:val="22"/>
          <w:szCs w:val="22"/>
        </w:rPr>
      </w:pPr>
      <w:r w:rsidRPr="00BA44F1">
        <w:rPr>
          <w:rFonts w:cs="Times New Roman"/>
          <w:sz w:val="22"/>
          <w:szCs w:val="22"/>
        </w:rPr>
        <w:t xml:space="preserve">The original authorizing statute for the RCB program is the Consolidated and Further Continuing Appropriations Act, 2012, Pub. L. 112-55. The statute link is </w:t>
      </w:r>
      <w:hyperlink w:history="1" r:id="rId13">
        <w:r w:rsidRPr="00BA44F1">
          <w:rPr>
            <w:rFonts w:cs="Times New Roman"/>
          </w:rPr>
          <w:t>http://uscode.house.gov/statutes/pl/112/55.pdf</w:t>
        </w:r>
      </w:hyperlink>
      <w:r w:rsidRPr="00BA44F1">
        <w:rPr>
          <w:rFonts w:cs="Times New Roman"/>
          <w:sz w:val="22"/>
          <w:szCs w:val="22"/>
        </w:rPr>
        <w:t xml:space="preserve">. </w:t>
      </w:r>
    </w:p>
    <w:p w:rsidRPr="00BA44F1" w:rsidR="001D027A" w:rsidRDefault="001D027A" w14:paraId="4F54A0D6" w14:textId="77777777">
      <w:pPr>
        <w:ind w:left="360"/>
        <w:rPr>
          <w:rFonts w:cs="Times New Roman"/>
          <w:sz w:val="22"/>
          <w:szCs w:val="22"/>
        </w:rPr>
      </w:pPr>
    </w:p>
    <w:p w:rsidRPr="00BA44F1" w:rsidR="001D027A" w:rsidRDefault="009F7862" w14:paraId="7CAB1C5D" w14:textId="77777777">
      <w:pPr>
        <w:ind w:left="360"/>
        <w:rPr>
          <w:rFonts w:cs="Times New Roman"/>
          <w:sz w:val="22"/>
          <w:szCs w:val="22"/>
        </w:rPr>
      </w:pPr>
      <w:r w:rsidRPr="00BA44F1">
        <w:rPr>
          <w:rFonts w:cs="Times New Roman"/>
          <w:sz w:val="22"/>
          <w:szCs w:val="22"/>
        </w:rPr>
        <w:t>Section 4: The Capacity Building for Affordable Housing and Community Development Program, also known as the Section 4 program, was originally authorized under Section 4 of the HUD Demonstration Act of 1993 (Pub. L. 103-120, 107 Stat. 1148, 42 U.S.C. 9816 note), as amended.  The program enhances the capacity and ability of community development corporations (CDCs) and community housing development organizations (CHDOs) to carry out community development and affordable housing activities that benefit low-income persons. The Section 4 program allows for the same three eligible activity categories detailed above for the RCB program.</w:t>
      </w:r>
      <w:r w:rsidRPr="00BA44F1">
        <w:rPr>
          <w:rFonts w:cs="Times New Roman"/>
          <w:sz w:val="22"/>
          <w:szCs w:val="22"/>
        </w:rPr>
        <w:br/>
      </w:r>
      <w:r w:rsidRPr="00BA44F1">
        <w:rPr>
          <w:rFonts w:cs="Times New Roman"/>
          <w:sz w:val="22"/>
          <w:szCs w:val="22"/>
        </w:rPr>
        <w:br/>
        <w:t xml:space="preserve">The authorizing legislation and amendments list five eligible grantees:  The National Community Development Initiative (now called Living Cities), Local Initiatives Support Corporation (LISC), The Enterprise Foundation (now called Enterprise Community Partners), Habitat for Humanity International (HFHI) and </w:t>
      </w:r>
      <w:proofErr w:type="spellStart"/>
      <w:r w:rsidRPr="00BA44F1">
        <w:rPr>
          <w:rFonts w:cs="Times New Roman"/>
          <w:sz w:val="22"/>
          <w:szCs w:val="22"/>
        </w:rPr>
        <w:t>YouthBuild</w:t>
      </w:r>
      <w:proofErr w:type="spellEnd"/>
      <w:r w:rsidRPr="00BA44F1">
        <w:rPr>
          <w:rFonts w:cs="Times New Roman"/>
          <w:sz w:val="22"/>
          <w:szCs w:val="22"/>
        </w:rPr>
        <w:t xml:space="preserve"> USA.  In recent appropriation acts, Congress has limited eligible applicants to LISC, HFHI and Enterprise Community Partners.</w:t>
      </w:r>
    </w:p>
    <w:p w:rsidRPr="00BA44F1" w:rsidR="001D027A" w:rsidRDefault="001D027A" w14:paraId="4B6C07D5" w14:textId="77777777">
      <w:pPr>
        <w:ind w:left="360"/>
        <w:rPr>
          <w:rFonts w:cs="Times New Roman"/>
          <w:sz w:val="22"/>
          <w:szCs w:val="22"/>
        </w:rPr>
      </w:pPr>
    </w:p>
    <w:p w:rsidRPr="00BA44F1" w:rsidR="001D027A" w:rsidRDefault="009F7862" w14:paraId="0A754D86" w14:textId="77777777">
      <w:pPr>
        <w:ind w:left="360"/>
        <w:rPr>
          <w:rFonts w:cs="Times New Roman"/>
          <w:sz w:val="22"/>
          <w:szCs w:val="22"/>
        </w:rPr>
      </w:pPr>
      <w:r w:rsidRPr="00BA44F1">
        <w:rPr>
          <w:rFonts w:cs="Times New Roman"/>
          <w:sz w:val="22"/>
          <w:szCs w:val="22"/>
        </w:rPr>
        <w:t xml:space="preserve">The original authorizing statute for the Section 4 program is HUD Demonstration Act of 1993, Section 4, Public Law 103-120, 107 Stat. 1148, 42 U.S.C 9816 note. The statute link is </w:t>
      </w:r>
      <w:hyperlink w:history="1" r:id="rId14">
        <w:r w:rsidRPr="00BA44F1">
          <w:rPr>
            <w:rFonts w:cs="Times New Roman"/>
          </w:rPr>
          <w:t>http://uscode.house.gov/statutes/pl/103/120.pdf</w:t>
        </w:r>
      </w:hyperlink>
      <w:r w:rsidRPr="00BA44F1">
        <w:rPr>
          <w:rFonts w:cs="Times New Roman"/>
          <w:sz w:val="22"/>
          <w:szCs w:val="22"/>
        </w:rPr>
        <w:t xml:space="preserve">. </w:t>
      </w:r>
    </w:p>
    <w:p w:rsidRPr="00BA44F1" w:rsidR="001D027A" w:rsidRDefault="001D027A" w14:paraId="512BCAAC" w14:textId="77777777">
      <w:pPr>
        <w:ind w:left="360"/>
        <w:rPr>
          <w:rFonts w:cs="Times New Roman"/>
          <w:sz w:val="22"/>
          <w:szCs w:val="22"/>
        </w:rPr>
      </w:pPr>
    </w:p>
    <w:p w:rsidRPr="00BA44F1" w:rsidR="001D027A" w:rsidRDefault="009F7862" w14:paraId="180AFCC8" w14:textId="77777777">
      <w:pPr>
        <w:keepLines/>
        <w:tabs>
          <w:tab w:val="left" w:pos="360"/>
        </w:tabs>
        <w:spacing w:after="80"/>
        <w:ind w:left="360" w:hanging="360"/>
        <w:rPr>
          <w:rFonts w:cs="Times New Roman"/>
          <w:sz w:val="22"/>
          <w:szCs w:val="22"/>
        </w:rPr>
      </w:pPr>
      <w:r w:rsidRPr="00BA44F1">
        <w:rPr>
          <w:rFonts w:cs="Times New Roman"/>
          <w:sz w:val="22"/>
          <w:szCs w:val="22"/>
        </w:rPr>
        <w:t>2.</w:t>
      </w:r>
      <w:r w:rsidRPr="00BA44F1">
        <w:rPr>
          <w:rFonts w:cs="Times New Roman"/>
          <w:sz w:val="22"/>
          <w:szCs w:val="22"/>
        </w:rPr>
        <w:tab/>
        <w:t>What information is to be collected?</w:t>
      </w:r>
    </w:p>
    <w:p w:rsidRPr="00BA44F1" w:rsidR="001D027A" w:rsidRDefault="009F7862" w14:paraId="78904564" w14:textId="77777777">
      <w:pPr>
        <w:keepLines/>
        <w:tabs>
          <w:tab w:val="left" w:pos="360"/>
        </w:tabs>
        <w:spacing w:after="80"/>
        <w:ind w:left="360" w:hanging="360"/>
        <w:rPr>
          <w:rFonts w:cs="Times New Roman"/>
          <w:sz w:val="22"/>
          <w:szCs w:val="22"/>
        </w:rPr>
      </w:pPr>
      <w:r w:rsidRPr="00BA44F1">
        <w:rPr>
          <w:rFonts w:cs="Times New Roman"/>
          <w:sz w:val="22"/>
          <w:szCs w:val="22"/>
        </w:rPr>
        <w:tab/>
        <w:t>From whom?</w:t>
      </w:r>
    </w:p>
    <w:p w:rsidRPr="00BA44F1" w:rsidR="001D027A" w:rsidRDefault="009F7862" w14:paraId="51C30B22" w14:textId="77777777">
      <w:pPr>
        <w:keepLines/>
        <w:tabs>
          <w:tab w:val="left" w:pos="360"/>
        </w:tabs>
        <w:spacing w:after="80"/>
        <w:ind w:left="360" w:hanging="360"/>
        <w:rPr>
          <w:rFonts w:cs="Times New Roman"/>
          <w:sz w:val="22"/>
          <w:szCs w:val="22"/>
        </w:rPr>
      </w:pPr>
      <w:r w:rsidRPr="00BA44F1">
        <w:rPr>
          <w:rFonts w:cs="Times New Roman"/>
          <w:sz w:val="22"/>
          <w:szCs w:val="22"/>
        </w:rPr>
        <w:tab/>
        <w:t xml:space="preserve">How is it collected?   </w:t>
      </w:r>
    </w:p>
    <w:p w:rsidRPr="00BA44F1" w:rsidR="001D027A" w:rsidRDefault="009F7862" w14:paraId="428EF04B" w14:textId="77777777">
      <w:pPr>
        <w:keepLines/>
        <w:tabs>
          <w:tab w:val="left" w:pos="360"/>
        </w:tabs>
        <w:spacing w:after="80"/>
        <w:ind w:left="360" w:hanging="360"/>
        <w:rPr>
          <w:rFonts w:cs="Times New Roman"/>
          <w:sz w:val="22"/>
          <w:szCs w:val="22"/>
        </w:rPr>
      </w:pPr>
      <w:r w:rsidRPr="00BA44F1">
        <w:rPr>
          <w:rFonts w:cs="Times New Roman"/>
          <w:sz w:val="22"/>
          <w:szCs w:val="22"/>
        </w:rPr>
        <w:tab/>
        <w:t>How will the information be used; for what purpose and by whom.</w:t>
      </w:r>
    </w:p>
    <w:p w:rsidRPr="00BA44F1" w:rsidR="001D027A" w:rsidRDefault="009F7862" w14:paraId="00A53807" w14:textId="77777777">
      <w:pPr>
        <w:keepLines/>
        <w:tabs>
          <w:tab w:val="left" w:pos="360"/>
        </w:tabs>
        <w:spacing w:after="80"/>
        <w:ind w:left="360" w:hanging="360"/>
        <w:rPr>
          <w:rFonts w:cs="Times New Roman"/>
          <w:sz w:val="22"/>
          <w:szCs w:val="22"/>
        </w:rPr>
      </w:pPr>
      <w:r w:rsidRPr="00BA44F1">
        <w:rPr>
          <w:rFonts w:cs="Times New Roman"/>
          <w:sz w:val="22"/>
          <w:szCs w:val="22"/>
        </w:rPr>
        <w:tab/>
        <w:t xml:space="preserve">How has it been used in the past?   </w:t>
      </w:r>
    </w:p>
    <w:p w:rsidRPr="00BA44F1" w:rsidR="001D027A" w:rsidRDefault="001D027A" w14:paraId="5D6322A8" w14:textId="77777777">
      <w:pPr>
        <w:ind w:left="360"/>
        <w:rPr>
          <w:rFonts w:cs="Times New Roman"/>
          <w:sz w:val="22"/>
          <w:szCs w:val="22"/>
        </w:rPr>
      </w:pPr>
    </w:p>
    <w:p w:rsidRPr="00BA44F1" w:rsidR="001D027A" w:rsidRDefault="009F7862" w14:paraId="3F357720" w14:textId="77777777">
      <w:pPr>
        <w:pStyle w:val="ListParagraph"/>
        <w:numPr>
          <w:ilvl w:val="0"/>
          <w:numId w:val="9"/>
        </w:numPr>
        <w:spacing w:line="360" w:lineRule="auto"/>
        <w:rPr>
          <w:rFonts w:cs="Times New Roman"/>
          <w:sz w:val="22"/>
          <w:szCs w:val="22"/>
          <w14:textOutline w14:w="0" w14:cap="flat" w14:cmpd="sng" w14:algn="ctr">
            <w14:noFill/>
            <w14:prstDash w14:val="solid"/>
            <w14:bevel/>
          </w14:textOutline>
        </w:rPr>
      </w:pPr>
      <w:r w:rsidRPr="00BA44F1">
        <w:rPr>
          <w:rFonts w:cs="Times New Roman"/>
          <w:sz w:val="22"/>
          <w:szCs w:val="22"/>
          <w14:textOutline w14:w="0" w14:cap="flat" w14:cmpd="sng" w14:algn="ctr">
            <w14:noFill/>
            <w14:prstDash w14:val="solid"/>
            <w14:bevel/>
          </w14:textOutline>
        </w:rPr>
        <w:t>CDBG Disaster Recovery</w:t>
      </w:r>
    </w:p>
    <w:p w:rsidRPr="00BA44F1" w:rsidR="001D027A" w:rsidRDefault="009F7862" w14:paraId="0127E1BE" w14:textId="7FF57764">
      <w:pPr>
        <w:ind w:left="360"/>
        <w:rPr>
          <w:rFonts w:cs="Times New Roman"/>
          <w:sz w:val="22"/>
          <w:szCs w:val="22"/>
        </w:rPr>
      </w:pPr>
      <w:r w:rsidRPr="00BA44F1">
        <w:rPr>
          <w:rFonts w:cs="Times New Roman"/>
          <w:sz w:val="22"/>
          <w:szCs w:val="22"/>
        </w:rPr>
        <w:lastRenderedPageBreak/>
        <w:t xml:space="preserve">Grantees (cities, counties, and states that have received program grants) describe their </w:t>
      </w:r>
      <w:r w:rsidR="00915BC2">
        <w:rPr>
          <w:rFonts w:cs="Times New Roman"/>
          <w:sz w:val="22"/>
          <w:szCs w:val="22"/>
        </w:rPr>
        <w:t xml:space="preserve">program </w:t>
      </w:r>
      <w:r w:rsidRPr="00BA44F1">
        <w:rPr>
          <w:rFonts w:cs="Times New Roman"/>
          <w:sz w:val="22"/>
          <w:szCs w:val="22"/>
        </w:rPr>
        <w:t xml:space="preserve">needs, develop action plans, drawdown funds, report performance, and submit the information to their assigned HUD office for formal review.  Grantees may use the system to submit key information on funded activities such as responsible organization, beneficiary data, and grantee oversight.  HUD reviews these items, approves or rejects them, and writes comments on its decisions.  HUD HQ can work with the data to produce required reports to Congress.  HUD HQ uses this data for program management purposes such as risk analysis, remote monitoring, and to respond to inquiries.  </w:t>
      </w:r>
    </w:p>
    <w:p w:rsidRPr="00BA44F1" w:rsidR="001D027A" w:rsidRDefault="001D027A" w14:paraId="720BE4B3" w14:textId="77777777">
      <w:pPr>
        <w:ind w:left="360"/>
        <w:rPr>
          <w:rFonts w:cs="Times New Roman"/>
          <w:sz w:val="22"/>
          <w:szCs w:val="22"/>
        </w:rPr>
      </w:pPr>
    </w:p>
    <w:p w:rsidRPr="00BA44F1" w:rsidR="001D027A" w:rsidRDefault="009F7862" w14:paraId="4D51AD73" w14:textId="77777777">
      <w:pPr>
        <w:pStyle w:val="ListParagraph"/>
        <w:keepNext/>
        <w:numPr>
          <w:ilvl w:val="0"/>
          <w:numId w:val="10"/>
        </w:numPr>
        <w:spacing w:line="360" w:lineRule="auto"/>
        <w:rPr>
          <w:rFonts w:cs="Times New Roman"/>
          <w:sz w:val="22"/>
          <w:szCs w:val="22"/>
          <w14:textOutline w14:w="0" w14:cap="flat" w14:cmpd="sng" w14:algn="ctr">
            <w14:noFill/>
            <w14:prstDash w14:val="solid"/>
            <w14:bevel/>
          </w14:textOutline>
        </w:rPr>
      </w:pPr>
      <w:r w:rsidRPr="00BA44F1">
        <w:rPr>
          <w:rFonts w:cs="Times New Roman"/>
          <w:sz w:val="22"/>
          <w:szCs w:val="22"/>
          <w14:textOutline w14:w="0" w14:cap="flat" w14:cmpd="sng" w14:algn="ctr">
            <w14:noFill/>
            <w14:prstDash w14:val="solid"/>
            <w14:bevel/>
          </w14:textOutline>
        </w:rPr>
        <w:t xml:space="preserve">Neighborhood Stabilization Program </w:t>
      </w:r>
    </w:p>
    <w:p w:rsidRPr="00BA44F1" w:rsidR="001D027A" w:rsidRDefault="009F7862" w14:paraId="5177F4E9" w14:textId="77777777">
      <w:pPr>
        <w:ind w:left="360"/>
        <w:rPr>
          <w:rFonts w:cs="Times New Roman"/>
          <w:sz w:val="22"/>
          <w:szCs w:val="22"/>
        </w:rPr>
      </w:pPr>
      <w:r w:rsidRPr="00BA44F1">
        <w:rPr>
          <w:rFonts w:cs="Times New Roman"/>
          <w:sz w:val="22"/>
          <w:szCs w:val="22"/>
        </w:rPr>
        <w:t>The respondents are formula grantees (states and units of local governments) under NSP1 and NSP3 and competitively selected grantees under NSP2 and NSP-TA.  To comply with regulations, NSP1 and NSP3 grantees must submit substantial amendments to their annual action plans or abbreviated plans to receive NSP funds.  Substantial amendments will be reviewed by HUD for compliance with requirements set forth in the combined NSP formula notice.</w:t>
      </w:r>
    </w:p>
    <w:p w:rsidRPr="00BA44F1" w:rsidR="001D027A" w:rsidRDefault="001D027A" w14:paraId="01FB6A36" w14:textId="77777777">
      <w:pPr>
        <w:ind w:left="360"/>
        <w:rPr>
          <w:rFonts w:cs="Times New Roman"/>
          <w:sz w:val="22"/>
          <w:szCs w:val="22"/>
        </w:rPr>
      </w:pPr>
    </w:p>
    <w:p w:rsidRPr="00BA44F1" w:rsidR="001D027A" w:rsidRDefault="009F7862" w14:paraId="25264BBF" w14:textId="77777777">
      <w:pPr>
        <w:ind w:left="360"/>
        <w:rPr>
          <w:rFonts w:cs="Times New Roman"/>
          <w:sz w:val="22"/>
          <w:szCs w:val="22"/>
        </w:rPr>
      </w:pPr>
      <w:r w:rsidRPr="00BA44F1">
        <w:rPr>
          <w:rFonts w:cs="Times New Roman"/>
          <w:sz w:val="22"/>
          <w:szCs w:val="22"/>
        </w:rPr>
        <w:t xml:space="preserve">HUD requires all NSP grantees to collect information on the activities undertaken with NSP funds.  HUD collects this information from recipients through DRGR.  HUD Headquarters will use the information collected through DRGR to track compliance with NSP’s statutory commitment and expenditure requirements and to generate the OMB prescribed quarterly reports.  Program management reports are generated by DRGR to provide data on the status of each NSP recipients’ commitment and disbursement of NSP funds.  For NSP2, HUD will use this data to compile quarterly and annual reports to be posted on </w:t>
      </w:r>
      <w:hyperlink w:history="1" r:id="rId15">
        <w:r w:rsidRPr="00BA44F1">
          <w:rPr>
            <w:rFonts w:cs="Times New Roman"/>
          </w:rPr>
          <w:t>www.recovery.gov</w:t>
        </w:r>
      </w:hyperlink>
      <w:r w:rsidRPr="00BA44F1">
        <w:rPr>
          <w:rFonts w:cs="Times New Roman"/>
          <w:sz w:val="22"/>
          <w:szCs w:val="22"/>
        </w:rPr>
        <w:t xml:space="preserve"> and </w:t>
      </w:r>
      <w:hyperlink w:history="1" r:id="rId16">
        <w:r w:rsidRPr="00BA44F1">
          <w:rPr>
            <w:rFonts w:cs="Times New Roman"/>
          </w:rPr>
          <w:t>www.hud.gov/recovery/</w:t>
        </w:r>
      </w:hyperlink>
      <w:r w:rsidRPr="00BA44F1">
        <w:rPr>
          <w:rFonts w:cs="Times New Roman"/>
          <w:sz w:val="22"/>
          <w:szCs w:val="22"/>
        </w:rPr>
        <w:t xml:space="preserve">.  HUD HQ uses DRGR data for program management purposes such as risk analysis, remote monitoring, and to respond to inquiries. </w:t>
      </w:r>
    </w:p>
    <w:p w:rsidRPr="00BA44F1" w:rsidR="001D027A" w:rsidRDefault="001D027A" w14:paraId="4934A5B8" w14:textId="77777777">
      <w:pPr>
        <w:ind w:left="360"/>
        <w:rPr>
          <w:rFonts w:cs="Times New Roman"/>
          <w:sz w:val="22"/>
          <w:szCs w:val="22"/>
        </w:rPr>
      </w:pPr>
    </w:p>
    <w:p w:rsidRPr="00BA44F1" w:rsidR="001D027A" w:rsidRDefault="009F7862" w14:paraId="03C671B1" w14:textId="77777777">
      <w:pPr>
        <w:pStyle w:val="ListParagraph"/>
        <w:numPr>
          <w:ilvl w:val="0"/>
          <w:numId w:val="11"/>
        </w:numPr>
        <w:spacing w:line="360" w:lineRule="auto"/>
        <w:rPr>
          <w:rFonts w:cs="Times New Roman"/>
          <w:sz w:val="22"/>
          <w:szCs w:val="22"/>
          <w14:textOutline w14:w="0" w14:cap="flat" w14:cmpd="sng" w14:algn="ctr">
            <w14:noFill/>
            <w14:prstDash w14:val="solid"/>
            <w14:bevel/>
          </w14:textOutline>
        </w:rPr>
      </w:pPr>
      <w:r w:rsidRPr="00BA44F1">
        <w:rPr>
          <w:rFonts w:cs="Times New Roman"/>
          <w:sz w:val="22"/>
          <w:szCs w:val="22"/>
          <w14:textOutline w14:w="0" w14:cap="flat" w14:cmpd="sng" w14:algn="ctr">
            <w14:noFill/>
            <w14:prstDash w14:val="solid"/>
            <w14:bevel/>
          </w14:textOutline>
        </w:rPr>
        <w:t xml:space="preserve">Neighborhood Stabilization 3 - Technical Assistance </w:t>
      </w:r>
    </w:p>
    <w:p w:rsidRPr="00BA44F1" w:rsidR="001D027A" w:rsidRDefault="009F7862" w14:paraId="6F0451B7" w14:textId="77777777">
      <w:pPr>
        <w:ind w:left="360"/>
        <w:rPr>
          <w:rFonts w:cs="Times New Roman"/>
          <w:sz w:val="22"/>
          <w:szCs w:val="22"/>
        </w:rPr>
      </w:pPr>
      <w:r w:rsidRPr="00BA44F1">
        <w:rPr>
          <w:rFonts w:cs="Times New Roman"/>
          <w:sz w:val="22"/>
          <w:szCs w:val="22"/>
        </w:rPr>
        <w:t>NSP3-TA awardees are competitively selected. Non-recurring pre-award information collections include applications and accompanying material.  Post-award documentation includes the sub-grant award and executive compensation information as required by the Federal Funding Accountability and Transparency Act of 2006 (Public Law 109-282), and grant agreements.  NSP TA awardees are required to report to the Government Technical Representatives no less than quarterly unless otherwise specified in the cooperative agreement.  As part of this required report to HUD, award recipients will update DRGR with actual outputs and data related to outcomes achieved, and a</w:t>
      </w:r>
      <w:r w:rsidRPr="00BA44F1">
        <w:rPr>
          <w:rFonts w:cs="Times New Roman"/>
          <w:color w:val="1F4E79"/>
          <w:sz w:val="22"/>
          <w:szCs w:val="22"/>
          <w:u w:color="1F4E79"/>
          <w:shd w:val="clear" w:color="auto" w:fill="FFFF00"/>
        </w:rPr>
        <w:t xml:space="preserve"> </w:t>
      </w:r>
      <w:r w:rsidRPr="00BA44F1">
        <w:rPr>
          <w:rFonts w:cs="Times New Roman"/>
          <w:sz w:val="22"/>
          <w:szCs w:val="22"/>
        </w:rPr>
        <w:t>narrative explanation of any disparity between projected and actual results.  HUD Headquarters will use the information collected through DRGR to track compliance by the technical assistance providers with NSP TA’s statutory commitment and expenditure requirements, and with the goals of technical assistance stated in the NSP TA Notice of Funding Availability [Docket No. FR-5499-N-01].</w:t>
      </w:r>
    </w:p>
    <w:p w:rsidRPr="00BA44F1" w:rsidR="001D027A" w:rsidRDefault="001D027A" w14:paraId="13BFBF16" w14:textId="77777777">
      <w:pPr>
        <w:ind w:left="360"/>
        <w:rPr>
          <w:rFonts w:cs="Times New Roman"/>
          <w:sz w:val="22"/>
          <w:szCs w:val="22"/>
        </w:rPr>
      </w:pPr>
    </w:p>
    <w:p w:rsidRPr="00BA44F1" w:rsidR="001D027A" w:rsidRDefault="009F7862" w14:paraId="3E126E28" w14:textId="77777777">
      <w:pPr>
        <w:spacing w:line="360" w:lineRule="auto"/>
        <w:ind w:left="360"/>
        <w:rPr>
          <w:rFonts w:cs="Times New Roman"/>
          <w:sz w:val="22"/>
          <w:szCs w:val="22"/>
        </w:rPr>
      </w:pPr>
      <w:r w:rsidRPr="00BA44F1">
        <w:rPr>
          <w:rFonts w:cs="Times New Roman"/>
          <w:sz w:val="22"/>
          <w:szCs w:val="22"/>
        </w:rPr>
        <w:t>d.   Rural Capacity Building and Section 4 programs</w:t>
      </w:r>
    </w:p>
    <w:p w:rsidRPr="00BA44F1" w:rsidR="001D027A" w:rsidRDefault="009F7862" w14:paraId="6418D317" w14:textId="77777777">
      <w:pPr>
        <w:ind w:left="360"/>
        <w:rPr>
          <w:rFonts w:cs="Times New Roman"/>
          <w:sz w:val="22"/>
          <w:szCs w:val="22"/>
        </w:rPr>
      </w:pPr>
      <w:r w:rsidRPr="00BA44F1">
        <w:rPr>
          <w:rFonts w:cs="Times New Roman"/>
          <w:sz w:val="22"/>
          <w:szCs w:val="22"/>
        </w:rPr>
        <w:t xml:space="preserve">Grantees (national housing and community development non-profits) describe the capacity building needs of proposed beneficiaries, develop action plans, drawdown funds, report performance, and submit the information to their assigned HUD office for formal review.  Grantees may use the system to submit key information on funded activities such as responsible organization, beneficiary data, and grantee oversight.  HUD reviews these items, approves or rejects them, and writes comments on its decisions.  HUD HQ uses this data to produce required reports to Congress.  HUD HQ uses this data for program management purposes, such as risk analysis, monitoring, marketing materials and responses to inquiries.  </w:t>
      </w:r>
    </w:p>
    <w:p w:rsidRPr="00BA44F1" w:rsidR="001D027A" w:rsidRDefault="001D027A" w14:paraId="2766FC0A" w14:textId="77777777">
      <w:pPr>
        <w:tabs>
          <w:tab w:val="left" w:pos="360"/>
        </w:tabs>
        <w:rPr>
          <w:rFonts w:cs="Times New Roman"/>
          <w:sz w:val="22"/>
          <w:szCs w:val="22"/>
        </w:rPr>
      </w:pPr>
    </w:p>
    <w:p w:rsidRPr="00BA44F1" w:rsidR="001D027A" w:rsidRDefault="009F7862" w14:paraId="34DFC794" w14:textId="06F239EF">
      <w:pPr>
        <w:tabs>
          <w:tab w:val="left" w:pos="360"/>
        </w:tabs>
        <w:rPr>
          <w:rFonts w:cs="Times New Roman"/>
          <w:sz w:val="22"/>
          <w:szCs w:val="22"/>
        </w:rPr>
      </w:pPr>
      <w:r w:rsidRPr="00BA44F1">
        <w:rPr>
          <w:rFonts w:cs="Times New Roman"/>
          <w:sz w:val="22"/>
          <w:szCs w:val="22"/>
        </w:rPr>
        <w:t>3.</w:t>
      </w:r>
      <w:r w:rsidRPr="00BA44F1">
        <w:rPr>
          <w:rFonts w:cs="Times New Roman"/>
          <w:sz w:val="22"/>
          <w:szCs w:val="22"/>
        </w:rPr>
        <w:tab/>
        <w:t xml:space="preserve">Is the information submitted electronically?  If not, why?  </w:t>
      </w:r>
    </w:p>
    <w:p w:rsidRPr="00BA44F1" w:rsidR="001D027A" w:rsidRDefault="009F7862" w14:paraId="07F8383C" w14:textId="77777777">
      <w:pPr>
        <w:pStyle w:val="BodyTextIndent"/>
        <w:rPr>
          <w:rFonts w:cs="Times New Roman"/>
          <w14:textOutline w14:w="0" w14:cap="flat" w14:cmpd="sng" w14:algn="ctr">
            <w14:noFill/>
            <w14:prstDash w14:val="solid"/>
            <w14:bevel/>
          </w14:textOutline>
        </w:rPr>
      </w:pPr>
      <w:r w:rsidRPr="00BA44F1">
        <w:rPr>
          <w:rFonts w:cs="Times New Roman"/>
          <w14:textOutline w14:w="0" w14:cap="flat" w14:cmpd="sng" w14:algn="ctr">
            <w14:noFill/>
            <w14:prstDash w14:val="solid"/>
            <w14:bevel/>
          </w14:textOutline>
        </w:rPr>
        <w:tab/>
        <w:t xml:space="preserve">Will it ultimately be managed in an automated system?  Identify the system. </w:t>
      </w:r>
    </w:p>
    <w:p w:rsidRPr="00BA44F1" w:rsidR="001D027A" w:rsidRDefault="009F7862" w14:paraId="58920381" w14:textId="77777777">
      <w:pPr>
        <w:pStyle w:val="BodyTextIndent"/>
        <w:ind w:firstLine="0"/>
        <w:rPr>
          <w:rFonts w:cs="Times New Roman"/>
          <w14:textOutline w14:w="0" w14:cap="flat" w14:cmpd="sng" w14:algn="ctr">
            <w14:noFill/>
            <w14:prstDash w14:val="solid"/>
            <w14:bevel/>
          </w14:textOutline>
        </w:rPr>
      </w:pPr>
      <w:r w:rsidRPr="00BA44F1">
        <w:rPr>
          <w:rFonts w:cs="Times New Roman"/>
          <w14:textOutline w14:w="0" w14:cap="flat" w14:cmpd="sng" w14:algn="ctr">
            <w14:noFill/>
            <w14:prstDash w14:val="solid"/>
            <w14:bevel/>
          </w14:textOutline>
        </w:rPr>
        <w:t xml:space="preserve">Describe whether, and to what extent, the collection of information is automated (item 13b1 of OMB form 83-i).  </w:t>
      </w:r>
    </w:p>
    <w:p w:rsidRPr="00BA44F1" w:rsidR="001D027A" w:rsidRDefault="009F7862" w14:paraId="749D3E0F" w14:textId="77777777">
      <w:pPr>
        <w:keepLines/>
        <w:tabs>
          <w:tab w:val="left" w:pos="360"/>
        </w:tabs>
        <w:spacing w:after="80"/>
        <w:ind w:left="360"/>
        <w:rPr>
          <w:rFonts w:cs="Times New Roman"/>
          <w:sz w:val="22"/>
          <w:szCs w:val="22"/>
        </w:rPr>
      </w:pPr>
      <w:r w:rsidRPr="00BA44F1">
        <w:rPr>
          <w:rFonts w:cs="Times New Roman"/>
          <w:sz w:val="22"/>
          <w:szCs w:val="22"/>
        </w:rPr>
        <w:lastRenderedPageBreak/>
        <w:t>Under the Government Paperwork Elimination Act (GPEA), the public must be provided with the option of responding electronically.  If that is not feasible, explain why. This must be addressed.</w:t>
      </w:r>
    </w:p>
    <w:p w:rsidRPr="00BA44F1" w:rsidR="001D027A" w:rsidRDefault="009F7862" w14:paraId="4F62A941" w14:textId="77777777">
      <w:pPr>
        <w:tabs>
          <w:tab w:val="left" w:pos="360"/>
        </w:tabs>
        <w:ind w:left="360" w:hanging="360"/>
        <w:rPr>
          <w:rFonts w:cs="Times New Roman"/>
          <w:sz w:val="22"/>
          <w:szCs w:val="22"/>
        </w:rPr>
      </w:pPr>
      <w:r w:rsidRPr="00BA44F1">
        <w:rPr>
          <w:rFonts w:cs="Times New Roman"/>
          <w:sz w:val="22"/>
          <w:szCs w:val="22"/>
        </w:rPr>
        <w:tab/>
      </w:r>
    </w:p>
    <w:p w:rsidRPr="00BA44F1" w:rsidR="001D027A" w:rsidRDefault="009F7862" w14:paraId="1703FA5B" w14:textId="77777777">
      <w:pPr>
        <w:tabs>
          <w:tab w:val="left" w:pos="360"/>
        </w:tabs>
        <w:ind w:left="360" w:hanging="360"/>
        <w:rPr>
          <w:rFonts w:cs="Times New Roman"/>
          <w:sz w:val="22"/>
          <w:szCs w:val="22"/>
        </w:rPr>
      </w:pPr>
      <w:r w:rsidRPr="00BA44F1">
        <w:rPr>
          <w:rFonts w:cs="Times New Roman"/>
          <w:sz w:val="22"/>
          <w:szCs w:val="22"/>
        </w:rPr>
        <w:tab/>
        <w:t>Yes, the information is submitted electronically via HUD’s Disaster Recovery Grant Reporting System (DRGR)</w:t>
      </w:r>
    </w:p>
    <w:p w:rsidRPr="00BA44F1" w:rsidR="001D027A" w:rsidRDefault="001D027A" w14:paraId="0EA84370" w14:textId="77777777">
      <w:pPr>
        <w:tabs>
          <w:tab w:val="left" w:pos="360"/>
        </w:tabs>
        <w:ind w:left="360" w:hanging="360"/>
        <w:rPr>
          <w:rFonts w:cs="Times New Roman"/>
          <w:sz w:val="22"/>
          <w:szCs w:val="22"/>
        </w:rPr>
      </w:pPr>
    </w:p>
    <w:p w:rsidRPr="00BA44F1" w:rsidR="001D027A" w:rsidRDefault="009F7862" w14:paraId="682FD303" w14:textId="77777777">
      <w:pPr>
        <w:keepLines/>
        <w:tabs>
          <w:tab w:val="left" w:pos="360"/>
        </w:tabs>
        <w:spacing w:after="80"/>
        <w:ind w:left="360" w:hanging="360"/>
        <w:rPr>
          <w:rFonts w:cs="Times New Roman"/>
          <w:sz w:val="22"/>
          <w:szCs w:val="22"/>
        </w:rPr>
      </w:pPr>
      <w:r w:rsidRPr="00BA44F1">
        <w:rPr>
          <w:rFonts w:cs="Times New Roman"/>
          <w:sz w:val="22"/>
          <w:szCs w:val="22"/>
        </w:rPr>
        <w:t>4.</w:t>
      </w:r>
      <w:r w:rsidRPr="00BA44F1">
        <w:rPr>
          <w:rFonts w:cs="Times New Roman"/>
          <w:sz w:val="22"/>
          <w:szCs w:val="22"/>
        </w:rPr>
        <w:tab/>
        <w:t>Is this information collected elsewhere?  Review current information collection packages for potential consolidation.</w:t>
      </w:r>
    </w:p>
    <w:p w:rsidRPr="00BA44F1" w:rsidR="001D027A" w:rsidRDefault="009F7862" w14:paraId="0DBF0431" w14:textId="77777777">
      <w:pPr>
        <w:tabs>
          <w:tab w:val="left" w:pos="360"/>
        </w:tabs>
        <w:ind w:left="360" w:hanging="360"/>
        <w:rPr>
          <w:rFonts w:cs="Times New Roman"/>
          <w:sz w:val="22"/>
          <w:szCs w:val="22"/>
        </w:rPr>
      </w:pPr>
      <w:r w:rsidRPr="00BA44F1">
        <w:rPr>
          <w:rFonts w:cs="Times New Roman"/>
          <w:sz w:val="22"/>
          <w:szCs w:val="22"/>
        </w:rPr>
        <w:tab/>
      </w:r>
    </w:p>
    <w:p w:rsidRPr="00BA44F1" w:rsidR="001D027A" w:rsidRDefault="009F7862" w14:paraId="74108711" w14:textId="77777777">
      <w:pPr>
        <w:tabs>
          <w:tab w:val="left" w:pos="360"/>
        </w:tabs>
        <w:ind w:left="360" w:hanging="360"/>
        <w:rPr>
          <w:rFonts w:cs="Times New Roman"/>
          <w:sz w:val="22"/>
          <w:szCs w:val="22"/>
        </w:rPr>
      </w:pPr>
      <w:r w:rsidRPr="00BA44F1">
        <w:rPr>
          <w:rFonts w:cs="Times New Roman"/>
          <w:sz w:val="22"/>
          <w:szCs w:val="22"/>
        </w:rPr>
        <w:tab/>
        <w:t>No, the information is not collected elsewhere.</w:t>
      </w:r>
    </w:p>
    <w:p w:rsidRPr="00BA44F1" w:rsidR="001D027A" w:rsidRDefault="009F7862" w14:paraId="391A8B04" w14:textId="77777777">
      <w:pPr>
        <w:tabs>
          <w:tab w:val="left" w:pos="360"/>
        </w:tabs>
        <w:ind w:left="360" w:hanging="360"/>
        <w:rPr>
          <w:rFonts w:cs="Times New Roman"/>
          <w:sz w:val="22"/>
          <w:szCs w:val="22"/>
        </w:rPr>
      </w:pPr>
      <w:r w:rsidRPr="00BA44F1">
        <w:rPr>
          <w:rFonts w:cs="Times New Roman"/>
          <w:sz w:val="22"/>
          <w:szCs w:val="22"/>
        </w:rPr>
        <w:tab/>
      </w:r>
    </w:p>
    <w:p w:rsidRPr="00BA44F1" w:rsidR="001D027A" w:rsidRDefault="009F7862" w14:paraId="4A53EB66" w14:textId="77777777">
      <w:pPr>
        <w:keepLines/>
        <w:tabs>
          <w:tab w:val="left" w:pos="360"/>
        </w:tabs>
        <w:spacing w:after="80"/>
        <w:ind w:left="360" w:hanging="360"/>
        <w:rPr>
          <w:rFonts w:cs="Times New Roman"/>
          <w:sz w:val="22"/>
          <w:szCs w:val="22"/>
        </w:rPr>
      </w:pPr>
      <w:r w:rsidRPr="00BA44F1">
        <w:rPr>
          <w:rFonts w:cs="Times New Roman"/>
          <w:sz w:val="22"/>
          <w:szCs w:val="22"/>
        </w:rPr>
        <w:t>5.</w:t>
      </w:r>
      <w:r w:rsidRPr="00BA44F1">
        <w:rPr>
          <w:rFonts w:cs="Times New Roman"/>
          <w:sz w:val="22"/>
          <w:szCs w:val="22"/>
        </w:rPr>
        <w:tab/>
        <w:t>Does the collection of information impact small businesses or other small entities (item 5 of OMB form 83-i)?  Describe any methods used to minimize burden.</w:t>
      </w:r>
    </w:p>
    <w:p w:rsidRPr="00BA44F1" w:rsidR="001D027A" w:rsidRDefault="001D027A" w14:paraId="107A84D2" w14:textId="77777777">
      <w:pPr>
        <w:keepLines/>
        <w:tabs>
          <w:tab w:val="left" w:pos="360"/>
        </w:tabs>
        <w:spacing w:after="80"/>
        <w:ind w:left="360" w:hanging="360"/>
        <w:rPr>
          <w:rFonts w:cs="Times New Roman"/>
          <w:sz w:val="22"/>
          <w:szCs w:val="22"/>
        </w:rPr>
      </w:pPr>
    </w:p>
    <w:p w:rsidRPr="00BA44F1" w:rsidR="001D027A" w:rsidRDefault="009F7862" w14:paraId="47461AD2" w14:textId="77777777">
      <w:pPr>
        <w:keepLines/>
        <w:tabs>
          <w:tab w:val="left" w:pos="360"/>
        </w:tabs>
        <w:spacing w:after="80"/>
        <w:ind w:left="360" w:hanging="360"/>
        <w:rPr>
          <w:rFonts w:cs="Times New Roman"/>
          <w:sz w:val="22"/>
          <w:szCs w:val="22"/>
        </w:rPr>
      </w:pPr>
      <w:r w:rsidRPr="00BA44F1">
        <w:rPr>
          <w:rFonts w:cs="Times New Roman"/>
          <w:sz w:val="22"/>
          <w:szCs w:val="22"/>
        </w:rPr>
        <w:tab/>
        <w:t>While some small communities have received CDBG disaster recovery grants, the economic impact of this information collection effort should be small.  Currently, active CDBG DR and NSP grantee users are mostly State, local, or tribal governments.  Some non-profit NSP2 grantees and approximately 10 NSP technical assistance providers also use DRGR for reporting and draw down of funds.</w:t>
      </w:r>
    </w:p>
    <w:p w:rsidRPr="00BA44F1" w:rsidR="001D027A" w:rsidRDefault="001D027A" w14:paraId="677FBC69" w14:textId="77777777">
      <w:pPr>
        <w:tabs>
          <w:tab w:val="left" w:pos="360"/>
        </w:tabs>
        <w:ind w:left="360" w:hanging="360"/>
        <w:rPr>
          <w:rFonts w:cs="Times New Roman"/>
          <w:sz w:val="22"/>
          <w:szCs w:val="22"/>
        </w:rPr>
      </w:pPr>
    </w:p>
    <w:p w:rsidRPr="00BA44F1" w:rsidR="001D027A" w:rsidRDefault="009F7862" w14:paraId="2A6BE4FB" w14:textId="77777777">
      <w:pPr>
        <w:pStyle w:val="BodyTextIndent"/>
        <w:rPr>
          <w:rFonts w:cs="Times New Roman"/>
          <w14:textOutline w14:w="0" w14:cap="flat" w14:cmpd="sng" w14:algn="ctr">
            <w14:noFill/>
            <w14:prstDash w14:val="solid"/>
            <w14:bevel/>
          </w14:textOutline>
        </w:rPr>
      </w:pPr>
      <w:r w:rsidRPr="00BA44F1">
        <w:rPr>
          <w:rFonts w:cs="Times New Roman"/>
          <w14:textOutline w14:w="0" w14:cap="flat" w14:cmpd="sng" w14:algn="ctr">
            <w14:noFill/>
            <w14:prstDash w14:val="solid"/>
            <w14:bevel/>
          </w14:textOutline>
        </w:rPr>
        <w:t>6.</w:t>
      </w:r>
      <w:r w:rsidRPr="00BA44F1">
        <w:rPr>
          <w:rFonts w:cs="Times New Roman"/>
          <w14:textOutline w14:w="0" w14:cap="flat" w14:cmpd="sng" w14:algn="ctr">
            <w14:noFill/>
            <w14:prstDash w14:val="solid"/>
            <w14:bevel/>
          </w14:textOutline>
        </w:rPr>
        <w:tab/>
        <w:t xml:space="preserve">Why can’t the information be collected less frequently – or not at all?  </w:t>
      </w:r>
    </w:p>
    <w:p w:rsidRPr="00BA44F1" w:rsidR="001D027A" w:rsidRDefault="009F7862" w14:paraId="083C4D0D" w14:textId="77777777">
      <w:pPr>
        <w:keepLines/>
        <w:tabs>
          <w:tab w:val="left" w:pos="360"/>
        </w:tabs>
        <w:spacing w:after="80"/>
        <w:ind w:left="360"/>
        <w:rPr>
          <w:rFonts w:cs="Times New Roman"/>
          <w:sz w:val="22"/>
          <w:szCs w:val="22"/>
        </w:rPr>
      </w:pPr>
      <w:r w:rsidRPr="00BA44F1">
        <w:rPr>
          <w:rFonts w:cs="Times New Roman"/>
          <w:sz w:val="22"/>
          <w:szCs w:val="22"/>
        </w:rPr>
        <w:t>Describe the consequence to Federal program or policy activities if the collection is not conducted or is conducted less frequently, as well as any technical or legal obstacles to reducing burden.</w:t>
      </w:r>
    </w:p>
    <w:p w:rsidRPr="00BA44F1" w:rsidR="001D027A" w:rsidRDefault="001D027A" w14:paraId="0C64935D" w14:textId="77777777">
      <w:pPr>
        <w:rPr>
          <w:rFonts w:cs="Times New Roman"/>
          <w:sz w:val="22"/>
          <w:szCs w:val="22"/>
        </w:rPr>
      </w:pPr>
    </w:p>
    <w:p w:rsidRPr="00BA44F1" w:rsidR="001D027A" w:rsidRDefault="009F7862" w14:paraId="09760DA3" w14:textId="77777777">
      <w:pPr>
        <w:keepLines/>
        <w:tabs>
          <w:tab w:val="left" w:pos="360"/>
        </w:tabs>
        <w:spacing w:after="80"/>
        <w:ind w:left="360" w:hanging="360"/>
        <w:rPr>
          <w:rFonts w:cs="Times New Roman"/>
          <w:sz w:val="22"/>
          <w:szCs w:val="22"/>
        </w:rPr>
      </w:pPr>
      <w:r w:rsidRPr="00BA44F1">
        <w:rPr>
          <w:rFonts w:cs="Times New Roman"/>
          <w:sz w:val="22"/>
          <w:szCs w:val="22"/>
        </w:rPr>
        <w:tab/>
        <w:t>For disaster recovery and NSP2, HUD requires grantees to report to HUD only as frequently as Congress requires HUD to report to Congress (House and Senate Appropriations Committees).  As the recovery efforts from each disaster vary considerably, HUD would be unable to report to Congress on the activity of any grantee not reporting to HUD on a quarterly basis.</w:t>
      </w:r>
    </w:p>
    <w:p w:rsidRPr="00BA44F1" w:rsidR="001D027A" w:rsidRDefault="009F7862" w14:paraId="10F5D832" w14:textId="77777777">
      <w:pPr>
        <w:keepLines/>
        <w:tabs>
          <w:tab w:val="left" w:pos="360"/>
        </w:tabs>
        <w:spacing w:after="80"/>
        <w:ind w:left="360" w:hanging="360"/>
        <w:rPr>
          <w:rFonts w:cs="Times New Roman"/>
          <w:sz w:val="22"/>
          <w:szCs w:val="22"/>
        </w:rPr>
      </w:pPr>
      <w:r w:rsidRPr="00BA44F1">
        <w:rPr>
          <w:rFonts w:cs="Times New Roman"/>
          <w:sz w:val="22"/>
          <w:szCs w:val="22"/>
        </w:rPr>
        <w:tab/>
        <w:t xml:space="preserve">For NSP1 and NSP3, HUD considered configuring DRGR for less frequent reporting, but concluded that the risks of not maintaining up-to-date program information were too high regarding program performance and possible fund recapture. </w:t>
      </w:r>
      <w:r w:rsidRPr="00BA44F1">
        <w:rPr>
          <w:rFonts w:cs="Times New Roman"/>
          <w:sz w:val="22"/>
          <w:szCs w:val="22"/>
        </w:rPr>
        <w:br/>
      </w:r>
    </w:p>
    <w:p w:rsidRPr="00BA44F1" w:rsidR="001D027A" w:rsidRDefault="009F7862" w14:paraId="4273AF8F" w14:textId="77777777">
      <w:pPr>
        <w:tabs>
          <w:tab w:val="left" w:pos="360"/>
        </w:tabs>
        <w:rPr>
          <w:rFonts w:cs="Times New Roman"/>
          <w:sz w:val="22"/>
          <w:szCs w:val="22"/>
        </w:rPr>
      </w:pPr>
      <w:r w:rsidRPr="00BA44F1">
        <w:rPr>
          <w:rFonts w:cs="Times New Roman"/>
          <w:sz w:val="22"/>
          <w:szCs w:val="22"/>
        </w:rPr>
        <w:t>7.</w:t>
      </w:r>
      <w:r w:rsidRPr="00BA44F1">
        <w:rPr>
          <w:rFonts w:cs="Times New Roman"/>
          <w:sz w:val="22"/>
          <w:szCs w:val="22"/>
        </w:rPr>
        <w:tab/>
        <w:t xml:space="preserve">Explain any special circumstances requiring: </w:t>
      </w:r>
    </w:p>
    <w:p w:rsidRPr="00BA44F1" w:rsidR="001D027A" w:rsidRDefault="009F7862" w14:paraId="6B22E008" w14:textId="77777777">
      <w:pPr>
        <w:numPr>
          <w:ilvl w:val="0"/>
          <w:numId w:val="13"/>
        </w:numPr>
        <w:rPr>
          <w:rFonts w:cs="Times New Roman"/>
          <w:sz w:val="22"/>
          <w:szCs w:val="22"/>
        </w:rPr>
      </w:pPr>
      <w:r w:rsidRPr="00BA44F1">
        <w:rPr>
          <w:rFonts w:cs="Times New Roman"/>
          <w:sz w:val="22"/>
          <w:szCs w:val="22"/>
        </w:rPr>
        <w:t>response more than quarterly; N/A</w:t>
      </w:r>
    </w:p>
    <w:p w:rsidRPr="00BA44F1" w:rsidR="001D027A" w:rsidRDefault="009F7862" w14:paraId="33F98001" w14:textId="77777777">
      <w:pPr>
        <w:numPr>
          <w:ilvl w:val="0"/>
          <w:numId w:val="13"/>
        </w:numPr>
        <w:rPr>
          <w:rFonts w:cs="Times New Roman"/>
          <w:sz w:val="22"/>
          <w:szCs w:val="22"/>
        </w:rPr>
      </w:pPr>
      <w:r w:rsidRPr="00BA44F1">
        <w:rPr>
          <w:rFonts w:cs="Times New Roman"/>
          <w:sz w:val="22"/>
          <w:szCs w:val="22"/>
        </w:rPr>
        <w:t>response in fewer than 30 days; N/A</w:t>
      </w:r>
    </w:p>
    <w:p w:rsidRPr="00BA44F1" w:rsidR="001D027A" w:rsidRDefault="009F7862" w14:paraId="05B06BD3" w14:textId="77777777">
      <w:pPr>
        <w:numPr>
          <w:ilvl w:val="0"/>
          <w:numId w:val="13"/>
        </w:numPr>
        <w:rPr>
          <w:rFonts w:cs="Times New Roman"/>
          <w:sz w:val="22"/>
          <w:szCs w:val="22"/>
        </w:rPr>
      </w:pPr>
      <w:r w:rsidRPr="00BA44F1">
        <w:rPr>
          <w:rFonts w:cs="Times New Roman"/>
          <w:sz w:val="22"/>
          <w:szCs w:val="22"/>
        </w:rPr>
        <w:t>more than an original and two copies of any document; N/A</w:t>
      </w:r>
    </w:p>
    <w:p w:rsidRPr="00BA44F1" w:rsidR="001D027A" w:rsidRDefault="009F7862" w14:paraId="5C253FBD" w14:textId="77777777">
      <w:pPr>
        <w:numPr>
          <w:ilvl w:val="0"/>
          <w:numId w:val="13"/>
        </w:numPr>
        <w:rPr>
          <w:rFonts w:cs="Times New Roman"/>
          <w:sz w:val="22"/>
          <w:szCs w:val="22"/>
        </w:rPr>
      </w:pPr>
      <w:r w:rsidRPr="00BA44F1">
        <w:rPr>
          <w:rFonts w:cs="Times New Roman"/>
          <w:sz w:val="22"/>
          <w:szCs w:val="22"/>
        </w:rPr>
        <w:t>retain records for more than three years (other than health, medical, government contract, grant-in-aid, or tax records); N/A</w:t>
      </w:r>
    </w:p>
    <w:p w:rsidRPr="00BA44F1" w:rsidR="001D027A" w:rsidRDefault="009F7862" w14:paraId="1C0B1772" w14:textId="77777777">
      <w:pPr>
        <w:numPr>
          <w:ilvl w:val="0"/>
          <w:numId w:val="13"/>
        </w:numPr>
        <w:rPr>
          <w:rFonts w:cs="Times New Roman"/>
          <w:sz w:val="22"/>
          <w:szCs w:val="22"/>
        </w:rPr>
      </w:pPr>
      <w:r w:rsidRPr="00BA44F1">
        <w:rPr>
          <w:rFonts w:cs="Times New Roman"/>
          <w:sz w:val="22"/>
          <w:szCs w:val="22"/>
        </w:rPr>
        <w:t xml:space="preserve">statistical surveys not designed to produce results than can be generalized to the universe of study; </w:t>
      </w:r>
    </w:p>
    <w:p w:rsidRPr="00BA44F1" w:rsidR="001D027A" w:rsidRDefault="009F7862" w14:paraId="708F2576" w14:textId="77777777">
      <w:pPr>
        <w:numPr>
          <w:ilvl w:val="0"/>
          <w:numId w:val="13"/>
        </w:numPr>
        <w:rPr>
          <w:rFonts w:cs="Times New Roman"/>
          <w:sz w:val="22"/>
          <w:szCs w:val="22"/>
        </w:rPr>
      </w:pPr>
      <w:r w:rsidRPr="00BA44F1">
        <w:rPr>
          <w:rFonts w:cs="Times New Roman"/>
          <w:sz w:val="22"/>
          <w:szCs w:val="22"/>
        </w:rPr>
        <w:t>statistical data classification not been approved by OMB; N/A</w:t>
      </w:r>
    </w:p>
    <w:p w:rsidRPr="00BA44F1" w:rsidR="001D027A" w:rsidRDefault="009F7862" w14:paraId="3E9D10C9" w14:textId="77777777">
      <w:pPr>
        <w:numPr>
          <w:ilvl w:val="0"/>
          <w:numId w:val="13"/>
        </w:numPr>
        <w:rPr>
          <w:rFonts w:cs="Times New Roman"/>
          <w:sz w:val="22"/>
          <w:szCs w:val="22"/>
        </w:rPr>
      </w:pPr>
      <w:r w:rsidRPr="00BA44F1">
        <w:rPr>
          <w:rFonts w:cs="Times New Roman"/>
          <w:sz w:val="22"/>
          <w:szCs w:val="22"/>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 or N/A</w:t>
      </w:r>
    </w:p>
    <w:p w:rsidRPr="00BA44F1" w:rsidR="001D027A" w:rsidRDefault="009F7862" w14:paraId="2A99BEAC" w14:textId="77777777">
      <w:pPr>
        <w:numPr>
          <w:ilvl w:val="0"/>
          <w:numId w:val="13"/>
        </w:numPr>
        <w:rPr>
          <w:rFonts w:cs="Times New Roman"/>
          <w:sz w:val="22"/>
          <w:szCs w:val="22"/>
        </w:rPr>
      </w:pPr>
      <w:r w:rsidRPr="00BA44F1">
        <w:rPr>
          <w:rFonts w:cs="Times New Roman"/>
          <w:sz w:val="22"/>
          <w:szCs w:val="22"/>
        </w:rPr>
        <w:t>respondents to submit proprietary trade secret, or other confidential information. N/A</w:t>
      </w:r>
    </w:p>
    <w:p w:rsidRPr="00BA44F1" w:rsidR="001D027A" w:rsidRDefault="001D027A" w14:paraId="6734832E" w14:textId="77777777">
      <w:pPr>
        <w:tabs>
          <w:tab w:val="left" w:pos="600"/>
        </w:tabs>
        <w:rPr>
          <w:rFonts w:cs="Times New Roman"/>
          <w:sz w:val="22"/>
          <w:szCs w:val="22"/>
        </w:rPr>
      </w:pPr>
    </w:p>
    <w:p w:rsidRPr="00BA44F1" w:rsidR="001D027A" w:rsidRDefault="009F7862" w14:paraId="64996C7A" w14:textId="77777777">
      <w:pPr>
        <w:keepLines/>
        <w:tabs>
          <w:tab w:val="left" w:pos="360"/>
        </w:tabs>
        <w:spacing w:after="80"/>
        <w:ind w:left="360" w:hanging="360"/>
        <w:rPr>
          <w:rFonts w:cs="Times New Roman"/>
          <w:sz w:val="22"/>
          <w:szCs w:val="22"/>
        </w:rPr>
      </w:pPr>
      <w:r w:rsidRPr="00BA44F1">
        <w:rPr>
          <w:rFonts w:cs="Times New Roman"/>
          <w:sz w:val="22"/>
          <w:szCs w:val="22"/>
        </w:rPr>
        <w:tab/>
        <w:t>There are no special circumstances that require:  responses more than quarterly; response in fewer than 30 days; more than an original and two copies of any document; retain records for more than three years; statistical surveys not designed to produce results than can be generalized to the universe of study; statistical data classification not been approved by OMB; a pledge of confidentiality that is not supported by statute or regulation, that is not supported by disclosure and data security policies that are consistent with the pledge, or which unnecessarily impedes sharing of data with other agencies for compatible confidential use; or respondents to submit proprietary trade secret, or other confidential information.</w:t>
      </w:r>
    </w:p>
    <w:p w:rsidRPr="00BA44F1" w:rsidR="001D027A" w:rsidRDefault="001D027A" w14:paraId="6CE36C52" w14:textId="77777777">
      <w:pPr>
        <w:tabs>
          <w:tab w:val="left" w:pos="600"/>
        </w:tabs>
        <w:rPr>
          <w:rFonts w:cs="Times New Roman"/>
          <w:sz w:val="22"/>
          <w:szCs w:val="22"/>
        </w:rPr>
      </w:pPr>
    </w:p>
    <w:p w:rsidRPr="00BA44F1" w:rsidR="001D027A" w:rsidRDefault="009F7862" w14:paraId="6BBF641F" w14:textId="77777777">
      <w:pPr>
        <w:keepLines/>
        <w:tabs>
          <w:tab w:val="left" w:pos="360"/>
        </w:tabs>
        <w:spacing w:after="80"/>
        <w:ind w:left="360" w:hanging="360"/>
        <w:rPr>
          <w:rFonts w:cs="Times New Roman"/>
          <w:sz w:val="22"/>
          <w:szCs w:val="22"/>
        </w:rPr>
      </w:pPr>
      <w:r w:rsidRPr="00BA44F1">
        <w:rPr>
          <w:rFonts w:cs="Times New Roman"/>
          <w:sz w:val="22"/>
          <w:szCs w:val="22"/>
        </w:rPr>
        <w:t>8.</w:t>
      </w:r>
      <w:r w:rsidRPr="00BA44F1">
        <w:rPr>
          <w:rFonts w:cs="Times New Roman"/>
          <w:sz w:val="22"/>
          <w:szCs w:val="22"/>
        </w:rPr>
        <w:tab/>
        <w:t xml:space="preserve">Date and page number of the Federal Register notice (provide a copy) soliciting comments and public input. Summarize any public comments and describe response to comments.  Describe all efforts to consult with persons outside the agency to obtain their input. </w:t>
      </w:r>
    </w:p>
    <w:p w:rsidRPr="00BA44F1" w:rsidR="001D027A" w:rsidRDefault="001D027A" w14:paraId="2870ED7A" w14:textId="77777777">
      <w:pPr>
        <w:tabs>
          <w:tab w:val="left" w:pos="360"/>
        </w:tabs>
        <w:ind w:left="360" w:hanging="360"/>
        <w:rPr>
          <w:rFonts w:cs="Times New Roman"/>
          <w:sz w:val="22"/>
          <w:szCs w:val="22"/>
        </w:rPr>
      </w:pPr>
    </w:p>
    <w:p w:rsidRPr="00BA44F1" w:rsidR="001D027A" w:rsidP="004709F4" w:rsidRDefault="00D20497" w14:paraId="057EF7AD" w14:textId="54FEBC58">
      <w:pPr>
        <w:tabs>
          <w:tab w:val="left" w:pos="360"/>
        </w:tabs>
        <w:ind w:left="360"/>
        <w:rPr>
          <w:rFonts w:cs="Times New Roman"/>
          <w:sz w:val="22"/>
          <w:szCs w:val="22"/>
        </w:rPr>
      </w:pPr>
      <w:r w:rsidRPr="00D20497">
        <w:rPr>
          <w:rFonts w:eastAsia="Times New Roman" w:cs="Times New Roman"/>
          <w:color w:val="auto"/>
          <w:bdr w:val="none" w:color="auto" w:sz="0" w:space="0"/>
          <w14:textOutline w14:w="0" w14:cap="rnd" w14:cmpd="sng" w14:algn="ctr">
            <w14:noFill/>
            <w14:prstDash w14:val="solid"/>
            <w14:bevel/>
          </w14:textOutline>
        </w:rPr>
        <w:t xml:space="preserve">Published in the Federal Register on </w:t>
      </w:r>
      <w:r>
        <w:rPr>
          <w:rFonts w:eastAsia="Times New Roman" w:cs="Times New Roman"/>
          <w:color w:val="auto"/>
          <w:bdr w:val="none" w:color="auto" w:sz="0" w:space="0"/>
          <w14:textOutline w14:w="0" w14:cap="rnd" w14:cmpd="sng" w14:algn="ctr">
            <w14:noFill/>
            <w14:prstDash w14:val="solid"/>
            <w14:bevel/>
          </w14:textOutline>
        </w:rPr>
        <w:t>January 28, 2020</w:t>
      </w:r>
      <w:r w:rsidRPr="00D20497">
        <w:rPr>
          <w:rFonts w:eastAsia="Times New Roman" w:cs="Times New Roman"/>
          <w:color w:val="auto"/>
          <w:bdr w:val="none" w:color="auto" w:sz="0" w:space="0"/>
          <w14:textOutline w14:w="0" w14:cap="rnd" w14:cmpd="sng" w14:algn="ctr">
            <w14:noFill/>
            <w14:prstDash w14:val="solid"/>
            <w14:bevel/>
          </w14:textOutline>
        </w:rPr>
        <w:t xml:space="preserve">; </w:t>
      </w:r>
      <w:r>
        <w:rPr>
          <w:rFonts w:eastAsia="Times New Roman" w:cs="Times New Roman"/>
          <w:color w:val="auto"/>
          <w:bdr w:val="none" w:color="auto" w:sz="0" w:space="0"/>
          <w14:textOutline w14:w="0" w14:cap="rnd" w14:cmpd="sng" w14:algn="ctr">
            <w14:noFill/>
            <w14:prstDash w14:val="solid"/>
            <w14:bevel/>
          </w14:textOutline>
        </w:rPr>
        <w:t>vol 85, page 5015</w:t>
      </w:r>
      <w:r w:rsidRPr="00D20497">
        <w:rPr>
          <w:rFonts w:eastAsia="Times New Roman" w:cs="Times New Roman"/>
          <w:color w:val="auto"/>
          <w:bdr w:val="none" w:color="auto" w:sz="0" w:space="0"/>
          <w14:textOutline w14:w="0" w14:cap="rnd" w14:cmpd="sng" w14:algn="ctr">
            <w14:noFill/>
            <w14:prstDash w14:val="solid"/>
            <w14:bevel/>
          </w14:textOutline>
        </w:rPr>
        <w:t>. No comments were received</w:t>
      </w:r>
      <w:r w:rsidR="00E712FD">
        <w:rPr>
          <w:rFonts w:eastAsia="Times New Roman" w:cs="Times New Roman"/>
          <w:color w:val="auto"/>
          <w:bdr w:val="none" w:color="auto" w:sz="0" w:space="0"/>
          <w14:textOutline w14:w="0" w14:cap="rnd" w14:cmpd="sng" w14:algn="ctr">
            <w14:noFill/>
            <w14:prstDash w14:val="solid"/>
            <w14:bevel/>
          </w14:textOutline>
        </w:rPr>
        <w:t xml:space="preserve">. No other consultation with persons outside the agency was conducted. </w:t>
      </w:r>
    </w:p>
    <w:p w:rsidRPr="00BA44F1" w:rsidR="001D027A" w:rsidRDefault="001D027A" w14:paraId="72F05C5F" w14:textId="77777777">
      <w:pPr>
        <w:tabs>
          <w:tab w:val="left" w:pos="360"/>
        </w:tabs>
        <w:ind w:left="360" w:hanging="360"/>
        <w:rPr>
          <w:rFonts w:cs="Times New Roman"/>
          <w:sz w:val="22"/>
          <w:szCs w:val="22"/>
        </w:rPr>
      </w:pPr>
    </w:p>
    <w:p w:rsidRPr="00BA44F1" w:rsidR="001D027A" w:rsidRDefault="009F7862" w14:paraId="0A148F04" w14:textId="77777777">
      <w:pPr>
        <w:keepLines/>
        <w:tabs>
          <w:tab w:val="left" w:pos="360"/>
        </w:tabs>
        <w:spacing w:after="80"/>
        <w:ind w:left="360" w:hanging="360"/>
        <w:rPr>
          <w:rFonts w:cs="Times New Roman"/>
          <w:sz w:val="22"/>
          <w:szCs w:val="22"/>
        </w:rPr>
      </w:pPr>
      <w:r w:rsidRPr="00BA44F1">
        <w:rPr>
          <w:rFonts w:cs="Times New Roman"/>
          <w:sz w:val="22"/>
          <w:szCs w:val="22"/>
        </w:rPr>
        <w:t>9.</w:t>
      </w:r>
      <w:r w:rsidRPr="00BA44F1">
        <w:rPr>
          <w:rFonts w:cs="Times New Roman"/>
          <w:sz w:val="22"/>
          <w:szCs w:val="22"/>
        </w:rPr>
        <w:tab/>
        <w:t>Explain any payments or gifts to respondents, other than remuneration of contractors or grantees.</w:t>
      </w:r>
    </w:p>
    <w:p w:rsidRPr="00BA44F1" w:rsidR="001D027A" w:rsidRDefault="001D027A" w14:paraId="51BF5283" w14:textId="77777777">
      <w:pPr>
        <w:keepLines/>
        <w:tabs>
          <w:tab w:val="left" w:pos="360"/>
        </w:tabs>
        <w:spacing w:after="80"/>
        <w:ind w:left="360" w:hanging="360"/>
        <w:rPr>
          <w:rFonts w:cs="Times New Roman"/>
          <w:sz w:val="22"/>
          <w:szCs w:val="22"/>
        </w:rPr>
      </w:pPr>
    </w:p>
    <w:p w:rsidRPr="00BA44F1" w:rsidR="001D027A" w:rsidRDefault="009F7862" w14:paraId="33CD3F10" w14:textId="77777777">
      <w:pPr>
        <w:keepLines/>
        <w:tabs>
          <w:tab w:val="left" w:pos="360"/>
        </w:tabs>
        <w:spacing w:after="80"/>
        <w:ind w:left="360" w:hanging="360"/>
        <w:rPr>
          <w:rFonts w:cs="Times New Roman"/>
          <w:sz w:val="22"/>
          <w:szCs w:val="22"/>
        </w:rPr>
      </w:pPr>
      <w:r w:rsidRPr="00BA44F1">
        <w:rPr>
          <w:rFonts w:cs="Times New Roman"/>
          <w:sz w:val="22"/>
          <w:szCs w:val="22"/>
        </w:rPr>
        <w:tab/>
        <w:t>No payment or gift is provided to respondents.</w:t>
      </w:r>
      <w:r w:rsidRPr="00BA44F1">
        <w:rPr>
          <w:rFonts w:cs="Times New Roman"/>
          <w:sz w:val="22"/>
          <w:szCs w:val="22"/>
        </w:rPr>
        <w:br/>
      </w:r>
    </w:p>
    <w:p w:rsidRPr="00BA44F1" w:rsidR="001D027A" w:rsidRDefault="009F7862" w14:paraId="63F909A0" w14:textId="77777777">
      <w:pPr>
        <w:keepLines/>
        <w:tabs>
          <w:tab w:val="left" w:pos="360"/>
        </w:tabs>
        <w:spacing w:after="80"/>
        <w:ind w:left="360" w:hanging="360"/>
        <w:rPr>
          <w:rFonts w:cs="Times New Roman"/>
          <w:sz w:val="22"/>
          <w:szCs w:val="22"/>
        </w:rPr>
      </w:pPr>
      <w:r w:rsidRPr="00BA44F1">
        <w:rPr>
          <w:rFonts w:cs="Times New Roman"/>
          <w:sz w:val="22"/>
          <w:szCs w:val="22"/>
        </w:rPr>
        <w:t>10.</w:t>
      </w:r>
      <w:r w:rsidRPr="00BA44F1">
        <w:rPr>
          <w:rFonts w:cs="Times New Roman"/>
          <w:sz w:val="22"/>
          <w:szCs w:val="22"/>
        </w:rPr>
        <w:tab/>
        <w:t>Describe any assurance of confidentiality provided to respondents and the basis for assurance in statute, regulation or agency policy.</w:t>
      </w:r>
    </w:p>
    <w:p w:rsidRPr="00BA44F1" w:rsidR="001D027A" w:rsidRDefault="001D027A" w14:paraId="63F31D88" w14:textId="77777777">
      <w:pPr>
        <w:tabs>
          <w:tab w:val="left" w:pos="360"/>
        </w:tabs>
        <w:ind w:left="360" w:hanging="360"/>
        <w:rPr>
          <w:rFonts w:cs="Times New Roman"/>
          <w:sz w:val="22"/>
          <w:szCs w:val="22"/>
        </w:rPr>
      </w:pPr>
    </w:p>
    <w:p w:rsidR="00694BD0" w:rsidRDefault="009F7862" w14:paraId="76A5D6C4" w14:textId="05EE2CC6">
      <w:pPr>
        <w:tabs>
          <w:tab w:val="left" w:pos="360"/>
        </w:tabs>
        <w:ind w:left="360" w:hanging="360"/>
        <w:rPr>
          <w:rFonts w:cs="Times New Roman"/>
          <w:sz w:val="22"/>
          <w:szCs w:val="22"/>
        </w:rPr>
      </w:pPr>
      <w:r w:rsidRPr="00BA44F1">
        <w:rPr>
          <w:rFonts w:cs="Times New Roman"/>
          <w:sz w:val="22"/>
          <w:szCs w:val="22"/>
        </w:rPr>
        <w:tab/>
        <w:t xml:space="preserve">This issue does not pertain to the data stored in DRGR.  However, access to the system is restricted to ensure that only authorized users are entering information into the system.  Grantee users are only allowed to work with their own grant’s data.  A local grantee system administrator has control over who from the local staff can work on the grantee’s data.  Except for </w:t>
      </w:r>
      <w:r w:rsidR="00D27EFC">
        <w:rPr>
          <w:rFonts w:cs="Times New Roman"/>
          <w:sz w:val="22"/>
          <w:szCs w:val="22"/>
        </w:rPr>
        <w:t>three</w:t>
      </w:r>
      <w:r w:rsidRPr="00BA44F1">
        <w:rPr>
          <w:rFonts w:cs="Times New Roman"/>
          <w:sz w:val="22"/>
          <w:szCs w:val="22"/>
        </w:rPr>
        <w:t xml:space="preserve"> “super users” from the HQ program office, HUD staff cannot change local data.  They can only view it and submit comments on it.  The system records user logins and can track certain changes by the user who made them.</w:t>
      </w:r>
      <w:r w:rsidR="00694BD0">
        <w:rPr>
          <w:rFonts w:cs="Times New Roman"/>
          <w:sz w:val="22"/>
          <w:szCs w:val="22"/>
        </w:rPr>
        <w:t xml:space="preserve">  Information stored in DRGR is subject to FO</w:t>
      </w:r>
      <w:r w:rsidR="00C25C29">
        <w:rPr>
          <w:rFonts w:cs="Times New Roman"/>
          <w:sz w:val="22"/>
          <w:szCs w:val="22"/>
        </w:rPr>
        <w:t>I</w:t>
      </w:r>
      <w:r w:rsidR="00694BD0">
        <w:rPr>
          <w:rFonts w:cs="Times New Roman"/>
          <w:sz w:val="22"/>
          <w:szCs w:val="22"/>
        </w:rPr>
        <w:t>A however no PIIA is stored within DRGR.</w:t>
      </w:r>
    </w:p>
    <w:p w:rsidR="007F2738" w:rsidRDefault="007F2738" w14:paraId="1D384887" w14:textId="1343170C">
      <w:pPr>
        <w:tabs>
          <w:tab w:val="left" w:pos="360"/>
        </w:tabs>
        <w:ind w:left="360" w:hanging="360"/>
        <w:rPr>
          <w:rFonts w:cs="Times New Roman"/>
          <w:sz w:val="22"/>
          <w:szCs w:val="22"/>
        </w:rPr>
      </w:pPr>
    </w:p>
    <w:p w:rsidRPr="00BA44F1" w:rsidR="007F2738" w:rsidRDefault="007F2738" w14:paraId="0FD7DD16" w14:textId="22EC2C70">
      <w:pPr>
        <w:tabs>
          <w:tab w:val="left" w:pos="360"/>
        </w:tabs>
        <w:ind w:left="360" w:hanging="360"/>
        <w:rPr>
          <w:rFonts w:cs="Times New Roman"/>
          <w:sz w:val="22"/>
          <w:szCs w:val="22"/>
        </w:rPr>
      </w:pPr>
      <w:r>
        <w:rPr>
          <w:rFonts w:cs="Times New Roman"/>
          <w:sz w:val="22"/>
          <w:szCs w:val="22"/>
        </w:rPr>
        <w:tab/>
      </w:r>
      <w:r w:rsidRPr="007F2738">
        <w:rPr>
          <w:rFonts w:cs="Times New Roman"/>
          <w:sz w:val="22"/>
          <w:szCs w:val="22"/>
        </w:rPr>
        <w:t xml:space="preserve">There </w:t>
      </w:r>
      <w:proofErr w:type="gramStart"/>
      <w:r w:rsidRPr="007F2738">
        <w:rPr>
          <w:rFonts w:cs="Times New Roman"/>
          <w:sz w:val="22"/>
          <w:szCs w:val="22"/>
        </w:rPr>
        <w:t>are</w:t>
      </w:r>
      <w:proofErr w:type="gramEnd"/>
      <w:r w:rsidRPr="007F2738">
        <w:rPr>
          <w:rFonts w:cs="Times New Roman"/>
          <w:sz w:val="22"/>
          <w:szCs w:val="22"/>
        </w:rPr>
        <w:t xml:space="preserve"> no assurance of confidentiality provided or needed for this collections.  The Privacy Act of 1974 provided privacy protection to respondents.</w:t>
      </w:r>
    </w:p>
    <w:p w:rsidRPr="00BA44F1" w:rsidR="001D027A" w:rsidRDefault="001D027A" w14:paraId="0331BD24" w14:textId="77777777">
      <w:pPr>
        <w:tabs>
          <w:tab w:val="left" w:pos="360"/>
        </w:tabs>
        <w:ind w:left="360" w:hanging="360"/>
        <w:rPr>
          <w:rFonts w:cs="Times New Roman"/>
          <w:sz w:val="22"/>
          <w:szCs w:val="22"/>
        </w:rPr>
      </w:pPr>
    </w:p>
    <w:p w:rsidRPr="00BA44F1" w:rsidR="001D027A" w:rsidRDefault="009F7862" w14:paraId="2631CCCC" w14:textId="77777777">
      <w:pPr>
        <w:keepLines/>
        <w:tabs>
          <w:tab w:val="left" w:pos="360"/>
          <w:tab w:val="left" w:pos="720"/>
        </w:tabs>
        <w:ind w:left="360" w:hanging="360"/>
        <w:rPr>
          <w:rFonts w:cs="Times New Roman"/>
          <w:sz w:val="22"/>
          <w:szCs w:val="22"/>
        </w:rPr>
      </w:pPr>
      <w:r w:rsidRPr="00BA44F1">
        <w:rPr>
          <w:rFonts w:cs="Times New Roman"/>
          <w:sz w:val="22"/>
          <w:szCs w:val="22"/>
        </w:rPr>
        <w:t>11.</w:t>
      </w:r>
      <w:r w:rsidRPr="00BA44F1">
        <w:rPr>
          <w:rFonts w:cs="Times New Roman"/>
          <w:sz w:val="22"/>
          <w:szCs w:val="22"/>
        </w:rPr>
        <w:tab/>
        <w:t>Justify any questions of a sensitive nature, such as sexual, religious beliefs, and other matters that are commonly considered private.</w:t>
      </w:r>
    </w:p>
    <w:p w:rsidRPr="00BA44F1" w:rsidR="001D027A" w:rsidRDefault="001D027A" w14:paraId="5F8A6E5B" w14:textId="77777777">
      <w:pPr>
        <w:keepLines/>
        <w:tabs>
          <w:tab w:val="left" w:pos="360"/>
          <w:tab w:val="left" w:pos="720"/>
        </w:tabs>
        <w:ind w:left="360" w:hanging="360"/>
        <w:rPr>
          <w:rFonts w:cs="Times New Roman"/>
          <w:sz w:val="22"/>
          <w:szCs w:val="22"/>
        </w:rPr>
      </w:pPr>
    </w:p>
    <w:p w:rsidR="001D027A" w:rsidRDefault="009F7862" w14:paraId="5CB88C1C" w14:textId="677E5717">
      <w:pPr>
        <w:keepLines/>
        <w:tabs>
          <w:tab w:val="left" w:pos="360"/>
          <w:tab w:val="left" w:pos="720"/>
        </w:tabs>
        <w:ind w:left="360" w:hanging="360"/>
        <w:rPr>
          <w:rFonts w:cs="Times New Roman"/>
          <w:sz w:val="22"/>
          <w:szCs w:val="22"/>
        </w:rPr>
      </w:pPr>
      <w:r w:rsidRPr="00BA44F1">
        <w:rPr>
          <w:rFonts w:cs="Times New Roman"/>
          <w:sz w:val="22"/>
          <w:szCs w:val="22"/>
        </w:rPr>
        <w:tab/>
        <w:t>There are no questions of a sensitive nature, such as sexual, religious beliefs, and other matters that are commonly considered private.</w:t>
      </w:r>
    </w:p>
    <w:p w:rsidR="002600A0" w:rsidRDefault="002600A0" w14:paraId="74E00756" w14:textId="5186635B">
      <w:pPr>
        <w:keepLines/>
        <w:tabs>
          <w:tab w:val="left" w:pos="360"/>
          <w:tab w:val="left" w:pos="720"/>
        </w:tabs>
        <w:ind w:left="360" w:hanging="360"/>
        <w:rPr>
          <w:rFonts w:cs="Times New Roman"/>
          <w:sz w:val="22"/>
          <w:szCs w:val="22"/>
        </w:rPr>
      </w:pPr>
    </w:p>
    <w:p w:rsidRPr="00BA44F1" w:rsidR="001D027A" w:rsidRDefault="009F7862" w14:paraId="7AA151BB" w14:textId="36FC3E48">
      <w:pPr>
        <w:keepLines/>
        <w:tabs>
          <w:tab w:val="left" w:pos="360"/>
          <w:tab w:val="left" w:pos="720"/>
        </w:tabs>
        <w:ind w:left="360" w:hanging="360"/>
        <w:rPr>
          <w:rFonts w:cs="Times New Roman"/>
          <w:sz w:val="22"/>
          <w:szCs w:val="22"/>
        </w:rPr>
      </w:pPr>
      <w:r w:rsidRPr="00BA44F1">
        <w:rPr>
          <w:rFonts w:cs="Times New Roman"/>
          <w:sz w:val="22"/>
          <w:szCs w:val="22"/>
        </w:rPr>
        <w:t>12.</w:t>
      </w:r>
      <w:r w:rsidRPr="00BA44F1">
        <w:rPr>
          <w:rFonts w:cs="Times New Roman"/>
          <w:sz w:val="22"/>
          <w:szCs w:val="22"/>
        </w:rPr>
        <w:tab/>
        <w:t xml:space="preserve">Estimate public burden: </w:t>
      </w:r>
    </w:p>
    <w:p w:rsidRPr="00BA44F1" w:rsidR="001D027A" w:rsidRDefault="009F7862" w14:paraId="19C96161" w14:textId="77777777">
      <w:pPr>
        <w:keepLines/>
        <w:numPr>
          <w:ilvl w:val="0"/>
          <w:numId w:val="15"/>
        </w:numPr>
        <w:rPr>
          <w:rFonts w:cs="Times New Roman"/>
          <w:sz w:val="22"/>
          <w:szCs w:val="22"/>
        </w:rPr>
      </w:pPr>
      <w:r w:rsidRPr="00BA44F1">
        <w:rPr>
          <w:rFonts w:cs="Times New Roman"/>
          <w:sz w:val="22"/>
          <w:szCs w:val="22"/>
        </w:rPr>
        <w:t xml:space="preserve">number of respondents, </w:t>
      </w:r>
    </w:p>
    <w:p w:rsidRPr="00BA44F1" w:rsidR="001D027A" w:rsidRDefault="009F7862" w14:paraId="5DA9962F" w14:textId="77777777">
      <w:pPr>
        <w:keepLines/>
        <w:numPr>
          <w:ilvl w:val="0"/>
          <w:numId w:val="15"/>
        </w:numPr>
        <w:rPr>
          <w:rFonts w:cs="Times New Roman"/>
          <w:sz w:val="22"/>
          <w:szCs w:val="22"/>
        </w:rPr>
      </w:pPr>
      <w:r w:rsidRPr="00BA44F1">
        <w:rPr>
          <w:rFonts w:cs="Times New Roman"/>
          <w:sz w:val="22"/>
          <w:szCs w:val="22"/>
        </w:rPr>
        <w:t>frequency of response (if a respondent provides multiple documents at one time, consider that a single response),</w:t>
      </w:r>
    </w:p>
    <w:p w:rsidRPr="00BA44F1" w:rsidR="001D027A" w:rsidRDefault="009F7862" w14:paraId="4DF38202" w14:textId="77777777">
      <w:pPr>
        <w:keepLines/>
        <w:numPr>
          <w:ilvl w:val="0"/>
          <w:numId w:val="15"/>
        </w:numPr>
        <w:rPr>
          <w:rFonts w:cs="Times New Roman"/>
          <w:sz w:val="22"/>
          <w:szCs w:val="22"/>
        </w:rPr>
      </w:pPr>
      <w:r w:rsidRPr="00BA44F1">
        <w:rPr>
          <w:rFonts w:cs="Times New Roman"/>
          <w:sz w:val="22"/>
          <w:szCs w:val="22"/>
        </w:rPr>
        <w:t xml:space="preserve">average total responses annually </w:t>
      </w:r>
    </w:p>
    <w:p w:rsidRPr="00BA44F1" w:rsidR="001D027A" w:rsidRDefault="009F7862" w14:paraId="11CF6703" w14:textId="77777777">
      <w:pPr>
        <w:keepLines/>
        <w:numPr>
          <w:ilvl w:val="0"/>
          <w:numId w:val="15"/>
        </w:numPr>
        <w:rPr>
          <w:rFonts w:cs="Times New Roman"/>
          <w:sz w:val="22"/>
          <w:szCs w:val="22"/>
        </w:rPr>
      </w:pPr>
      <w:r w:rsidRPr="00BA44F1">
        <w:rPr>
          <w:rFonts w:cs="Times New Roman"/>
          <w:sz w:val="22"/>
          <w:szCs w:val="22"/>
        </w:rPr>
        <w:t xml:space="preserve">average annual hour burden.  </w:t>
      </w:r>
    </w:p>
    <w:p w:rsidRPr="00BA44F1" w:rsidR="001D027A" w:rsidRDefault="009F7862" w14:paraId="5CAFA139" w14:textId="77777777">
      <w:pPr>
        <w:keepLines/>
        <w:tabs>
          <w:tab w:val="left" w:pos="360"/>
          <w:tab w:val="left" w:pos="720"/>
        </w:tabs>
        <w:spacing w:before="120"/>
        <w:ind w:left="360" w:hanging="360"/>
        <w:rPr>
          <w:rFonts w:cs="Times New Roman"/>
          <w:sz w:val="22"/>
          <w:szCs w:val="22"/>
        </w:rPr>
      </w:pPr>
      <w:r w:rsidRPr="00BA44F1">
        <w:rPr>
          <w:rFonts w:cs="Times New Roman"/>
          <w:sz w:val="22"/>
          <w:szCs w:val="22"/>
        </w:rPr>
        <w:tab/>
        <w:t xml:space="preserve">Read the complete instructions on the form 83i.  Explain how the burden was estimated.  Generally, estimates should not include burden hours for customary and usual business practices; </w:t>
      </w:r>
    </w:p>
    <w:p w:rsidRPr="00BA44F1" w:rsidR="001D027A" w:rsidRDefault="009F7862" w14:paraId="58C8FE51" w14:textId="77777777">
      <w:pPr>
        <w:numPr>
          <w:ilvl w:val="0"/>
          <w:numId w:val="17"/>
        </w:numPr>
        <w:rPr>
          <w:rFonts w:cs="Times New Roman"/>
          <w:sz w:val="22"/>
          <w:szCs w:val="22"/>
        </w:rPr>
      </w:pPr>
      <w:r w:rsidRPr="00BA44F1">
        <w:rPr>
          <w:rFonts w:cs="Times New Roman"/>
          <w:sz w:val="22"/>
          <w:szCs w:val="22"/>
        </w:rPr>
        <w:t xml:space="preserve">if this collection uses more than one form, provide separate estimates for each form and aggregate the hour burdens in item 13 of OMB Form 83i; and </w:t>
      </w:r>
    </w:p>
    <w:p w:rsidRPr="00BA44F1" w:rsidR="001D027A" w:rsidRDefault="009F7862" w14:paraId="31D157DF" w14:textId="77777777">
      <w:pPr>
        <w:keepLines/>
        <w:numPr>
          <w:ilvl w:val="0"/>
          <w:numId w:val="17"/>
        </w:numPr>
        <w:spacing w:after="80"/>
        <w:rPr>
          <w:rFonts w:cs="Times New Roman"/>
          <w:sz w:val="22"/>
          <w:szCs w:val="22"/>
        </w:rPr>
      </w:pPr>
      <w:r w:rsidRPr="00BA44F1">
        <w:rPr>
          <w:rFonts w:cs="Times New Roman"/>
          <w:sz w:val="22"/>
          <w:szCs w:val="22"/>
        </w:rPr>
        <w:t xml:space="preserve">provide estimates of annualized cost to respondents for the hour burdens for collections of information, identifying and using appropriate wage rate categories.  </w:t>
      </w:r>
    </w:p>
    <w:p w:rsidRPr="00BA44F1" w:rsidR="001D027A" w:rsidRDefault="009F7862" w14:paraId="4724D5CF" w14:textId="77777777">
      <w:pPr>
        <w:keepLines/>
        <w:numPr>
          <w:ilvl w:val="0"/>
          <w:numId w:val="17"/>
        </w:numPr>
        <w:spacing w:after="80"/>
        <w:rPr>
          <w:rFonts w:cs="Times New Roman"/>
          <w:sz w:val="22"/>
          <w:szCs w:val="22"/>
        </w:rPr>
      </w:pPr>
      <w:r w:rsidRPr="00BA44F1">
        <w:rPr>
          <w:rFonts w:cs="Times New Roman"/>
          <w:sz w:val="22"/>
          <w:szCs w:val="22"/>
        </w:rPr>
        <w:t>The cost of contracting out or paying outside parties for information collection activities should not be included here.  Instead this cost should be included in Item 13.</w:t>
      </w:r>
    </w:p>
    <w:p w:rsidRPr="00BA44F1" w:rsidR="001D027A" w:rsidRDefault="001D027A" w14:paraId="6B2B5132" w14:textId="77777777">
      <w:pPr>
        <w:keepLines/>
        <w:tabs>
          <w:tab w:val="left" w:pos="480"/>
        </w:tabs>
        <w:spacing w:after="80"/>
        <w:rPr>
          <w:rFonts w:cs="Times New Roman"/>
          <w:sz w:val="22"/>
          <w:szCs w:val="22"/>
        </w:rPr>
      </w:pPr>
    </w:p>
    <w:p w:rsidRPr="00BA44F1" w:rsidR="001D027A" w:rsidP="00FA2198" w:rsidRDefault="009F7862" w14:paraId="77D6D3B0" w14:textId="77777777">
      <w:pPr>
        <w:keepLines/>
        <w:ind w:left="360"/>
        <w:rPr>
          <w:rFonts w:cs="Times New Roman"/>
          <w:sz w:val="22"/>
          <w:szCs w:val="22"/>
        </w:rPr>
      </w:pPr>
      <w:r w:rsidRPr="00BA44F1">
        <w:rPr>
          <w:rFonts w:cs="Times New Roman"/>
          <w:sz w:val="22"/>
          <w:szCs w:val="22"/>
        </w:rPr>
        <w:t>a.   Disaster Recovery</w:t>
      </w:r>
    </w:p>
    <w:p w:rsidRPr="00BA44F1" w:rsidR="001D027A" w:rsidP="00FA2198" w:rsidRDefault="009F7862" w14:paraId="0783EFC4" w14:textId="351A72A8">
      <w:pPr>
        <w:keepLines/>
        <w:ind w:left="360"/>
        <w:rPr>
          <w:rFonts w:cs="Times New Roman"/>
          <w:sz w:val="22"/>
          <w:szCs w:val="22"/>
        </w:rPr>
      </w:pPr>
      <w:r w:rsidRPr="00BA44F1">
        <w:rPr>
          <w:rFonts w:cs="Times New Roman"/>
          <w:sz w:val="22"/>
          <w:szCs w:val="22"/>
        </w:rPr>
        <w:t>The DRGR system has 1</w:t>
      </w:r>
      <w:r w:rsidR="000D250C">
        <w:rPr>
          <w:rFonts w:cs="Times New Roman"/>
          <w:sz w:val="22"/>
          <w:szCs w:val="22"/>
        </w:rPr>
        <w:t>41</w:t>
      </w:r>
      <w:r w:rsidRPr="00BA44F1">
        <w:rPr>
          <w:rFonts w:cs="Times New Roman"/>
          <w:sz w:val="22"/>
          <w:szCs w:val="22"/>
        </w:rPr>
        <w:t xml:space="preserve"> open CDBG-DR grants in DRGR, including the 5</w:t>
      </w:r>
      <w:r w:rsidR="000D250C">
        <w:rPr>
          <w:rFonts w:cs="Times New Roman"/>
          <w:sz w:val="22"/>
          <w:szCs w:val="22"/>
        </w:rPr>
        <w:t>1</w:t>
      </w:r>
      <w:r w:rsidRPr="00BA44F1">
        <w:rPr>
          <w:rFonts w:cs="Times New Roman"/>
          <w:sz w:val="22"/>
          <w:szCs w:val="22"/>
        </w:rPr>
        <w:t xml:space="preserve"> grants generated by allocations under the five supplemental appropriations covered by this update and all remaining open grants from prior supplemental appropriations (see Section A.1.a). The summary information and table below include both one-time only and recurring submission reporting burden calculations.  </w:t>
      </w:r>
    </w:p>
    <w:p w:rsidRPr="00BA44F1" w:rsidR="001D027A" w:rsidP="00FA2198" w:rsidRDefault="009F7862" w14:paraId="6B91EA2C" w14:textId="77777777">
      <w:pPr>
        <w:keepLines/>
        <w:ind w:left="360"/>
        <w:rPr>
          <w:rFonts w:cs="Times New Roman"/>
          <w:sz w:val="22"/>
          <w:szCs w:val="22"/>
        </w:rPr>
      </w:pPr>
      <w:r w:rsidRPr="00BA44F1">
        <w:rPr>
          <w:rFonts w:cs="Times New Roman"/>
          <w:sz w:val="22"/>
          <w:szCs w:val="22"/>
        </w:rPr>
        <w:lastRenderedPageBreak/>
        <w:t xml:space="preserve">The calculation of cost burden for CDBG-DR grantees </w:t>
      </w:r>
      <w:proofErr w:type="gramStart"/>
      <w:r w:rsidRPr="00BA44F1">
        <w:rPr>
          <w:rFonts w:cs="Times New Roman"/>
          <w:sz w:val="22"/>
          <w:szCs w:val="22"/>
        </w:rPr>
        <w:t>takes into account</w:t>
      </w:r>
      <w:proofErr w:type="gramEnd"/>
      <w:r w:rsidRPr="00BA44F1">
        <w:rPr>
          <w:rFonts w:cs="Times New Roman"/>
          <w:sz w:val="22"/>
          <w:szCs w:val="22"/>
        </w:rPr>
        <w:t xml:space="preserve"> the size of the grantee based on amount of funds received. Grantees have been divided between average-sized (less than $100M) and large (over $100M).  </w:t>
      </w:r>
    </w:p>
    <w:p w:rsidRPr="00BA44F1" w:rsidR="00045F2E" w:rsidP="00FA2198" w:rsidRDefault="00045F2E" w14:paraId="25A2D2E2" w14:textId="77777777">
      <w:pPr>
        <w:keepLines/>
        <w:ind w:left="360"/>
        <w:rPr>
          <w:rFonts w:cs="Times New Roman"/>
          <w:sz w:val="22"/>
          <w:szCs w:val="22"/>
        </w:rPr>
      </w:pPr>
    </w:p>
    <w:p w:rsidR="001D027A" w:rsidP="00FA2198" w:rsidRDefault="009F7862" w14:paraId="57D18E1F" w14:textId="58B51F2F">
      <w:pPr>
        <w:keepLines/>
        <w:ind w:left="360"/>
        <w:rPr>
          <w:rFonts w:cs="Times New Roman"/>
          <w:sz w:val="22"/>
          <w:szCs w:val="22"/>
        </w:rPr>
      </w:pPr>
      <w:r w:rsidRPr="00BA44F1">
        <w:rPr>
          <w:rFonts w:cs="Times New Roman"/>
          <w:sz w:val="22"/>
          <w:szCs w:val="22"/>
        </w:rPr>
        <w:t xml:space="preserve">HUD requires each grantee to report their performances to the system quarterly.  Some grantees have more than one open grant under </w:t>
      </w:r>
      <w:r w:rsidR="008D2339">
        <w:rPr>
          <w:rFonts w:cs="Times New Roman"/>
          <w:sz w:val="22"/>
          <w:szCs w:val="22"/>
        </w:rPr>
        <w:t>multiple</w:t>
      </w:r>
      <w:r w:rsidRPr="00BA44F1" w:rsidR="008D2339">
        <w:rPr>
          <w:rFonts w:cs="Times New Roman"/>
          <w:sz w:val="22"/>
          <w:szCs w:val="22"/>
        </w:rPr>
        <w:t xml:space="preserve"> </w:t>
      </w:r>
      <w:r w:rsidRPr="00BA44F1">
        <w:rPr>
          <w:rFonts w:cs="Times New Roman"/>
          <w:sz w:val="22"/>
          <w:szCs w:val="22"/>
        </w:rPr>
        <w:t>appropriation</w:t>
      </w:r>
      <w:r w:rsidR="008D2339">
        <w:rPr>
          <w:rFonts w:cs="Times New Roman"/>
          <w:sz w:val="22"/>
          <w:szCs w:val="22"/>
        </w:rPr>
        <w:t xml:space="preserve">s, but HUD only requires grantees to report quarterly on each </w:t>
      </w:r>
      <w:r w:rsidR="0071661E">
        <w:rPr>
          <w:rFonts w:cs="Times New Roman"/>
          <w:sz w:val="22"/>
          <w:szCs w:val="22"/>
        </w:rPr>
        <w:t>DRGR Action Plan in the system.</w:t>
      </w:r>
      <w:r w:rsidR="008D2339">
        <w:rPr>
          <w:rFonts w:cs="Times New Roman"/>
          <w:sz w:val="22"/>
          <w:szCs w:val="22"/>
        </w:rPr>
        <w:t xml:space="preserve">  </w:t>
      </w:r>
    </w:p>
    <w:p w:rsidRPr="00BA44F1" w:rsidR="0071661E" w:rsidP="00FA2198" w:rsidRDefault="0071661E" w14:paraId="632628CD" w14:textId="77777777">
      <w:pPr>
        <w:keepLines/>
        <w:ind w:left="360"/>
        <w:rPr>
          <w:rFonts w:cs="Times New Roman"/>
          <w:sz w:val="22"/>
          <w:szCs w:val="22"/>
        </w:rPr>
      </w:pPr>
    </w:p>
    <w:p w:rsidRPr="00BA44F1" w:rsidR="001D027A" w:rsidP="00FA2198" w:rsidRDefault="009F7862" w14:paraId="1D462A15" w14:textId="24B90C4E">
      <w:pPr>
        <w:keepLines/>
        <w:ind w:left="360"/>
        <w:rPr>
          <w:rFonts w:cs="Times New Roman"/>
          <w:sz w:val="22"/>
          <w:szCs w:val="22"/>
        </w:rPr>
      </w:pPr>
      <w:r w:rsidRPr="00BA44F1">
        <w:rPr>
          <w:rFonts w:cs="Times New Roman"/>
          <w:sz w:val="22"/>
          <w:szCs w:val="22"/>
        </w:rPr>
        <w:t>Submissions include drawdown vouchers and quarterly performance reports (QPR).</w:t>
      </w:r>
      <w:r w:rsidR="008D2339">
        <w:rPr>
          <w:rFonts w:cs="Times New Roman"/>
          <w:sz w:val="22"/>
          <w:szCs w:val="22"/>
        </w:rPr>
        <w:t xml:space="preserve"> </w:t>
      </w:r>
      <w:r w:rsidRPr="00BA44F1">
        <w:rPr>
          <w:rFonts w:cs="Times New Roman"/>
          <w:sz w:val="22"/>
          <w:szCs w:val="22"/>
        </w:rPr>
        <w:t xml:space="preserve"> There may be several line items included in each voucher and several activities reported on within a QPR.  The QPR also includes submission of the SF-425 report and contract reporting. </w:t>
      </w:r>
      <w:r w:rsidR="008D2339">
        <w:rPr>
          <w:rFonts w:cs="Times New Roman"/>
          <w:sz w:val="22"/>
          <w:szCs w:val="22"/>
        </w:rPr>
        <w:t xml:space="preserve"> </w:t>
      </w:r>
      <w:r w:rsidRPr="00BA44F1">
        <w:rPr>
          <w:rFonts w:cs="Times New Roman"/>
          <w:sz w:val="22"/>
          <w:szCs w:val="22"/>
        </w:rPr>
        <w:t>Vouchers from large grantees normally tend to include significantly more line items and require much greater time to process than average grantees.</w:t>
      </w:r>
    </w:p>
    <w:p w:rsidRPr="00BA44F1" w:rsidR="00045F2E" w:rsidP="00FA2198" w:rsidRDefault="00045F2E" w14:paraId="567FB6E6" w14:textId="77777777">
      <w:pPr>
        <w:keepLines/>
        <w:ind w:left="360"/>
        <w:rPr>
          <w:rFonts w:cs="Times New Roman"/>
          <w:sz w:val="22"/>
          <w:szCs w:val="22"/>
        </w:rPr>
      </w:pPr>
    </w:p>
    <w:p w:rsidRPr="00BA44F1" w:rsidR="001D027A" w:rsidP="00FA2198" w:rsidRDefault="009F7862" w14:paraId="27C933E8" w14:textId="2EBA307A">
      <w:pPr>
        <w:keepLines/>
        <w:ind w:left="360"/>
        <w:rPr>
          <w:rFonts w:cs="Times New Roman"/>
          <w:sz w:val="22"/>
          <w:szCs w:val="22"/>
        </w:rPr>
      </w:pPr>
      <w:r w:rsidRPr="00BA44F1">
        <w:rPr>
          <w:rFonts w:cs="Times New Roman"/>
          <w:sz w:val="22"/>
          <w:szCs w:val="22"/>
        </w:rPr>
        <w:t>Submissions during the pre- and post-award periods only take place once.</w:t>
      </w:r>
      <w:r w:rsidR="008D2339">
        <w:rPr>
          <w:rFonts w:cs="Times New Roman"/>
          <w:sz w:val="22"/>
          <w:szCs w:val="22"/>
        </w:rPr>
        <w:t xml:space="preserve"> </w:t>
      </w:r>
      <w:r w:rsidRPr="00BA44F1">
        <w:rPr>
          <w:rFonts w:cs="Times New Roman"/>
          <w:sz w:val="22"/>
          <w:szCs w:val="22"/>
        </w:rPr>
        <w:t xml:space="preserve"> Submissions during the quarterly reporting period continue through the life of the grant.</w:t>
      </w:r>
      <w:r w:rsidR="008D2339">
        <w:rPr>
          <w:rFonts w:cs="Times New Roman"/>
          <w:sz w:val="22"/>
          <w:szCs w:val="22"/>
        </w:rPr>
        <w:t xml:space="preserve"> </w:t>
      </w:r>
      <w:r w:rsidRPr="00BA44F1">
        <w:rPr>
          <w:rFonts w:cs="Times New Roman"/>
          <w:sz w:val="22"/>
          <w:szCs w:val="22"/>
        </w:rPr>
        <w:t xml:space="preserve"> The figures below represent submissions that will occur during the time period associated with this collection based on averages derived from FY18.</w:t>
      </w:r>
      <w:r w:rsidR="008D2339">
        <w:rPr>
          <w:rFonts w:cs="Times New Roman"/>
          <w:sz w:val="22"/>
          <w:szCs w:val="22"/>
        </w:rPr>
        <w:t xml:space="preserve"> </w:t>
      </w:r>
      <w:r w:rsidRPr="00BA44F1">
        <w:rPr>
          <w:rFonts w:cs="Times New Roman"/>
          <w:sz w:val="22"/>
          <w:szCs w:val="22"/>
        </w:rPr>
        <w:t xml:space="preserve"> A copy of the estimation calculation worksheet is attached.</w:t>
      </w:r>
    </w:p>
    <w:p w:rsidRPr="00BA44F1" w:rsidR="001D027A" w:rsidP="00FA2198" w:rsidRDefault="009F7862" w14:paraId="6CD921AC" w14:textId="77777777">
      <w:pPr>
        <w:keepLines/>
        <w:ind w:left="360"/>
        <w:rPr>
          <w:rFonts w:cs="Times New Roman"/>
          <w:sz w:val="22"/>
          <w:szCs w:val="22"/>
        </w:rPr>
      </w:pPr>
      <w:r w:rsidRPr="00BA44F1">
        <w:rPr>
          <w:rFonts w:cs="Times New Roman"/>
          <w:sz w:val="22"/>
          <w:szCs w:val="22"/>
        </w:rPr>
        <w:t>Cost figures are estimated based on local staff earning the equivalent of a GS-11 hourly rate.</w:t>
      </w:r>
    </w:p>
    <w:p w:rsidRPr="00BA44F1" w:rsidR="001D027A" w:rsidP="00FA2198" w:rsidRDefault="001D027A" w14:paraId="60EDADE2" w14:textId="77777777">
      <w:pPr>
        <w:keepLines/>
        <w:ind w:left="360"/>
        <w:rPr>
          <w:rFonts w:cs="Times New Roman"/>
          <w:sz w:val="22"/>
          <w:szCs w:val="22"/>
        </w:rPr>
      </w:pPr>
    </w:p>
    <w:p w:rsidRPr="00BA44F1" w:rsidR="001D027A" w:rsidP="00FA2198" w:rsidRDefault="009F7862" w14:paraId="19348E3F" w14:textId="77777777">
      <w:pPr>
        <w:keepLines/>
        <w:ind w:left="360"/>
        <w:rPr>
          <w:rFonts w:cs="Times New Roman"/>
          <w:sz w:val="22"/>
          <w:szCs w:val="22"/>
        </w:rPr>
      </w:pPr>
      <w:r w:rsidRPr="00BA44F1">
        <w:rPr>
          <w:rFonts w:cs="Times New Roman"/>
          <w:sz w:val="22"/>
          <w:szCs w:val="22"/>
        </w:rPr>
        <w:t>One-time only submissions:</w:t>
      </w:r>
    </w:p>
    <w:p w:rsidRPr="00BA44F1" w:rsidR="001D027A" w:rsidP="00FA2198" w:rsidRDefault="001D027A" w14:paraId="1041C3E2" w14:textId="77777777">
      <w:pPr>
        <w:keepLines/>
        <w:ind w:left="360"/>
        <w:rPr>
          <w:rFonts w:cs="Times New Roman"/>
          <w:sz w:val="22"/>
          <w:szCs w:val="22"/>
        </w:rPr>
      </w:pPr>
    </w:p>
    <w:p w:rsidRPr="00BA44F1" w:rsidR="001D027A" w:rsidP="00FA2198" w:rsidRDefault="009F7862" w14:paraId="46046308" w14:textId="2A37A0C7">
      <w:pPr>
        <w:keepLines/>
        <w:ind w:left="360"/>
        <w:rPr>
          <w:rFonts w:cs="Times New Roman"/>
          <w:sz w:val="22"/>
          <w:szCs w:val="22"/>
        </w:rPr>
      </w:pPr>
      <w:r w:rsidRPr="00BA44F1">
        <w:rPr>
          <w:rFonts w:cs="Times New Roman"/>
          <w:sz w:val="22"/>
          <w:szCs w:val="22"/>
        </w:rPr>
        <w:t>The one-time only pre- and post-award submissions for the 5</w:t>
      </w:r>
      <w:r w:rsidR="000D250C">
        <w:rPr>
          <w:rFonts w:cs="Times New Roman"/>
          <w:sz w:val="22"/>
          <w:szCs w:val="22"/>
        </w:rPr>
        <w:t>1</w:t>
      </w:r>
      <w:r w:rsidRPr="00BA44F1">
        <w:rPr>
          <w:rFonts w:cs="Times New Roman"/>
          <w:sz w:val="22"/>
          <w:szCs w:val="22"/>
        </w:rPr>
        <w:t xml:space="preserve"> grants generated by allocations under the </w:t>
      </w:r>
      <w:r w:rsidR="0071661E">
        <w:rPr>
          <w:rFonts w:cs="Times New Roman"/>
          <w:sz w:val="22"/>
          <w:szCs w:val="22"/>
        </w:rPr>
        <w:t>seven</w:t>
      </w:r>
      <w:r w:rsidRPr="00BA44F1">
        <w:rPr>
          <w:rFonts w:cs="Times New Roman"/>
          <w:sz w:val="22"/>
          <w:szCs w:val="22"/>
        </w:rPr>
        <w:t xml:space="preserve"> supplemental appropriations covered by this update include </w:t>
      </w:r>
      <w:r w:rsidR="0071661E">
        <w:rPr>
          <w:rFonts w:cs="Times New Roman"/>
          <w:sz w:val="22"/>
          <w:szCs w:val="22"/>
        </w:rPr>
        <w:t xml:space="preserve">the published Action Plan, </w:t>
      </w:r>
      <w:r w:rsidRPr="00BA44F1">
        <w:rPr>
          <w:rFonts w:cs="Times New Roman"/>
          <w:sz w:val="22"/>
          <w:szCs w:val="22"/>
        </w:rPr>
        <w:t xml:space="preserve">standard forms, DRGR Action Plan, and required </w:t>
      </w:r>
      <w:r w:rsidRPr="0071661E">
        <w:rPr>
          <w:rFonts w:cs="Times New Roman"/>
          <w:sz w:val="22"/>
          <w:szCs w:val="22"/>
        </w:rPr>
        <w:t>financial control documentation.</w:t>
      </w:r>
      <w:r w:rsidRPr="00BA44F1">
        <w:rPr>
          <w:rFonts w:cs="Times New Roman"/>
          <w:sz w:val="22"/>
          <w:szCs w:val="22"/>
        </w:rPr>
        <w:t xml:space="preserve"> Total hours are estimated at </w:t>
      </w:r>
      <w:r w:rsidR="000D250C">
        <w:rPr>
          <w:rFonts w:cs="Times New Roman"/>
          <w:sz w:val="22"/>
          <w:szCs w:val="22"/>
        </w:rPr>
        <w:t>6,630</w:t>
      </w:r>
      <w:r w:rsidRPr="00BA44F1">
        <w:rPr>
          <w:rFonts w:cs="Times New Roman"/>
          <w:sz w:val="22"/>
          <w:szCs w:val="22"/>
        </w:rPr>
        <w:t xml:space="preserve"> at a cost of </w:t>
      </w:r>
      <w:r w:rsidR="00072E89">
        <w:rPr>
          <w:rFonts w:cs="Times New Roman"/>
          <w:sz w:val="22"/>
          <w:szCs w:val="22"/>
        </w:rPr>
        <w:t>approximately $175,000.</w:t>
      </w:r>
    </w:p>
    <w:p w:rsidRPr="00BA44F1" w:rsidR="001D027A" w:rsidP="00FA2198" w:rsidRDefault="001D027A" w14:paraId="31581102" w14:textId="77777777">
      <w:pPr>
        <w:keepLines/>
        <w:ind w:left="360"/>
        <w:rPr>
          <w:rFonts w:cs="Times New Roman"/>
          <w:sz w:val="22"/>
          <w:szCs w:val="22"/>
        </w:rPr>
      </w:pPr>
    </w:p>
    <w:p w:rsidRPr="00BA44F1" w:rsidR="001D027A" w:rsidP="00FA2198" w:rsidRDefault="009F7862" w14:paraId="1A91512C" w14:textId="77777777">
      <w:pPr>
        <w:keepLines/>
        <w:ind w:left="360"/>
        <w:rPr>
          <w:rFonts w:cs="Times New Roman"/>
          <w:sz w:val="22"/>
          <w:szCs w:val="22"/>
        </w:rPr>
      </w:pPr>
      <w:r w:rsidRPr="00BA44F1">
        <w:rPr>
          <w:rFonts w:cs="Times New Roman"/>
          <w:sz w:val="22"/>
          <w:szCs w:val="22"/>
        </w:rPr>
        <w:t>Recurring submissions:</w:t>
      </w:r>
    </w:p>
    <w:p w:rsidRPr="00BA44F1" w:rsidR="001D027A" w:rsidRDefault="001D027A" w14:paraId="53E3B77C" w14:textId="77777777">
      <w:pPr>
        <w:keepLines/>
        <w:ind w:left="360"/>
        <w:rPr>
          <w:rFonts w:cs="Times New Roman"/>
          <w:color w:val="1F4E79"/>
          <w:sz w:val="22"/>
          <w:szCs w:val="22"/>
          <w:u w:color="1F4E79"/>
        </w:rPr>
      </w:pPr>
    </w:p>
    <w:p w:rsidRPr="00BA44F1" w:rsidR="001D027A" w:rsidP="00FA2198" w:rsidRDefault="009F7862" w14:paraId="6202FA38" w14:textId="55890BA2">
      <w:pPr>
        <w:keepLines/>
        <w:ind w:left="360"/>
        <w:rPr>
          <w:rFonts w:cs="Times New Roman"/>
          <w:sz w:val="22"/>
          <w:szCs w:val="22"/>
        </w:rPr>
      </w:pPr>
      <w:r w:rsidRPr="00BA44F1">
        <w:rPr>
          <w:rFonts w:cs="Times New Roman"/>
          <w:sz w:val="22"/>
          <w:szCs w:val="22"/>
        </w:rPr>
        <w:t xml:space="preserve">Recurring submissions include </w:t>
      </w:r>
      <w:r w:rsidR="004A3D93">
        <w:rPr>
          <w:rFonts w:cs="Times New Roman"/>
          <w:sz w:val="22"/>
          <w:szCs w:val="22"/>
        </w:rPr>
        <w:t xml:space="preserve">Action Plan amendments, </w:t>
      </w:r>
      <w:r w:rsidRPr="00BA44F1">
        <w:rPr>
          <w:rFonts w:cs="Times New Roman"/>
          <w:sz w:val="22"/>
          <w:szCs w:val="22"/>
        </w:rPr>
        <w:t xml:space="preserve">quarterly performance reports and voucher submissions. For average-sized grants, the Department estimates 13 minutes needed per voucher. CDBG-DR grantees process approximately </w:t>
      </w:r>
      <w:r w:rsidR="00FB5873">
        <w:rPr>
          <w:rFonts w:cs="Times New Roman"/>
          <w:sz w:val="22"/>
          <w:szCs w:val="22"/>
        </w:rPr>
        <w:t>16</w:t>
      </w:r>
      <w:r w:rsidRPr="00BA44F1" w:rsidR="00FB5873">
        <w:rPr>
          <w:rFonts w:cs="Times New Roman"/>
          <w:sz w:val="22"/>
          <w:szCs w:val="22"/>
        </w:rPr>
        <w:t xml:space="preserve"> </w:t>
      </w:r>
      <w:r w:rsidRPr="00BA44F1">
        <w:rPr>
          <w:rFonts w:cs="Times New Roman"/>
          <w:sz w:val="22"/>
          <w:szCs w:val="22"/>
        </w:rPr>
        <w:t>vouchers per year.</w:t>
      </w:r>
      <w:r w:rsidR="00216FE2">
        <w:rPr>
          <w:rFonts w:cs="Times New Roman"/>
          <w:sz w:val="22"/>
          <w:szCs w:val="22"/>
        </w:rPr>
        <w:t xml:space="preserve"> </w:t>
      </w:r>
      <w:r w:rsidRPr="00BA44F1">
        <w:rPr>
          <w:rFonts w:cs="Times New Roman"/>
          <w:sz w:val="22"/>
          <w:szCs w:val="22"/>
        </w:rPr>
        <w:t xml:space="preserve"> This requires a record keeping and reporting burden of approximately 13 hours per grantee, per year.  Larger CDBG-DR grantees take approximately 22 minutes for each voucher and submit an average of </w:t>
      </w:r>
      <w:r w:rsidR="00FB5873">
        <w:rPr>
          <w:rFonts w:cs="Times New Roman"/>
          <w:sz w:val="22"/>
          <w:szCs w:val="22"/>
        </w:rPr>
        <w:t>202</w:t>
      </w:r>
      <w:r w:rsidRPr="00BA44F1" w:rsidR="00FB5873">
        <w:rPr>
          <w:rFonts w:cs="Times New Roman"/>
          <w:sz w:val="22"/>
          <w:szCs w:val="22"/>
        </w:rPr>
        <w:t xml:space="preserve"> </w:t>
      </w:r>
      <w:r w:rsidRPr="00BA44F1">
        <w:rPr>
          <w:rFonts w:cs="Times New Roman"/>
          <w:sz w:val="22"/>
          <w:szCs w:val="22"/>
        </w:rPr>
        <w:t>vouchers per year.</w:t>
      </w:r>
      <w:r w:rsidR="00216FE2">
        <w:rPr>
          <w:rFonts w:cs="Times New Roman"/>
          <w:sz w:val="22"/>
          <w:szCs w:val="22"/>
        </w:rPr>
        <w:t xml:space="preserve"> </w:t>
      </w:r>
      <w:r w:rsidRPr="00BA44F1">
        <w:rPr>
          <w:rFonts w:cs="Times New Roman"/>
          <w:sz w:val="22"/>
          <w:szCs w:val="22"/>
        </w:rPr>
        <w:t xml:space="preserve"> Therefore, all CDBG-DR grantees collectively spend an estimated </w:t>
      </w:r>
      <w:r w:rsidR="00FB5873">
        <w:rPr>
          <w:rFonts w:cs="Times New Roman"/>
          <w:sz w:val="22"/>
          <w:szCs w:val="22"/>
        </w:rPr>
        <w:t>2,</w:t>
      </w:r>
      <w:r w:rsidR="008D1D9F">
        <w:rPr>
          <w:rFonts w:cs="Times New Roman"/>
          <w:sz w:val="22"/>
          <w:szCs w:val="22"/>
        </w:rPr>
        <w:t>704</w:t>
      </w:r>
      <w:r w:rsidRPr="00BA44F1">
        <w:rPr>
          <w:rFonts w:cs="Times New Roman"/>
          <w:sz w:val="22"/>
          <w:szCs w:val="22"/>
        </w:rPr>
        <w:t xml:space="preserve"> hours submitting vouchers in the DRGR system for a total estimated annual voucher submission cost of </w:t>
      </w:r>
      <w:r w:rsidR="00072E89">
        <w:rPr>
          <w:rFonts w:cs="Times New Roman"/>
          <w:sz w:val="22"/>
          <w:szCs w:val="22"/>
        </w:rPr>
        <w:t xml:space="preserve">approximately </w:t>
      </w:r>
      <w:r w:rsidRPr="00BA44F1">
        <w:rPr>
          <w:rFonts w:cs="Times New Roman"/>
          <w:sz w:val="22"/>
          <w:szCs w:val="22"/>
        </w:rPr>
        <w:t>$</w:t>
      </w:r>
      <w:r w:rsidR="00FB5873">
        <w:rPr>
          <w:rFonts w:cs="Times New Roman"/>
          <w:sz w:val="22"/>
          <w:szCs w:val="22"/>
        </w:rPr>
        <w:t>7</w:t>
      </w:r>
      <w:r w:rsidR="00072E89">
        <w:rPr>
          <w:rFonts w:cs="Times New Roman"/>
          <w:sz w:val="22"/>
          <w:szCs w:val="22"/>
        </w:rPr>
        <w:t>1,500</w:t>
      </w:r>
      <w:r w:rsidRPr="00BA44F1">
        <w:rPr>
          <w:rFonts w:cs="Times New Roman"/>
          <w:sz w:val="22"/>
          <w:szCs w:val="22"/>
        </w:rPr>
        <w:t>.</w:t>
      </w:r>
    </w:p>
    <w:p w:rsidRPr="00BA44F1" w:rsidR="001D027A" w:rsidP="00FA2198" w:rsidRDefault="001D027A" w14:paraId="27461EF2" w14:textId="77777777">
      <w:pPr>
        <w:keepLines/>
        <w:ind w:left="360"/>
        <w:rPr>
          <w:rFonts w:cs="Times New Roman"/>
          <w:sz w:val="22"/>
          <w:szCs w:val="22"/>
        </w:rPr>
      </w:pPr>
    </w:p>
    <w:p w:rsidR="001D027A" w:rsidRDefault="009F7862" w14:paraId="481DF345" w14:textId="697358C9">
      <w:pPr>
        <w:keepLines/>
        <w:ind w:left="360"/>
        <w:rPr>
          <w:rFonts w:cs="Times New Roman"/>
          <w:sz w:val="22"/>
          <w:szCs w:val="22"/>
        </w:rPr>
      </w:pPr>
      <w:r w:rsidRPr="00BA44F1">
        <w:rPr>
          <w:rFonts w:cs="Times New Roman"/>
          <w:sz w:val="22"/>
          <w:szCs w:val="22"/>
        </w:rPr>
        <w:t>Average-sized grantees spend an estimated 9 hours on each QPR, for a total of 3,</w:t>
      </w:r>
      <w:r w:rsidR="00FB5873">
        <w:rPr>
          <w:rFonts w:cs="Times New Roman"/>
          <w:sz w:val="22"/>
          <w:szCs w:val="22"/>
        </w:rPr>
        <w:t>960</w:t>
      </w:r>
      <w:r w:rsidRPr="00BA44F1" w:rsidR="00FB5873">
        <w:rPr>
          <w:rFonts w:cs="Times New Roman"/>
          <w:sz w:val="22"/>
          <w:szCs w:val="22"/>
        </w:rPr>
        <w:t xml:space="preserve"> </w:t>
      </w:r>
      <w:r w:rsidRPr="00BA44F1">
        <w:rPr>
          <w:rFonts w:cs="Times New Roman"/>
          <w:sz w:val="22"/>
          <w:szCs w:val="22"/>
        </w:rPr>
        <w:t xml:space="preserve">hours. </w:t>
      </w:r>
      <w:r w:rsidR="00216FE2">
        <w:rPr>
          <w:rFonts w:cs="Times New Roman"/>
          <w:sz w:val="22"/>
          <w:szCs w:val="22"/>
        </w:rPr>
        <w:t xml:space="preserve"> </w:t>
      </w:r>
      <w:r w:rsidRPr="00BA44F1">
        <w:rPr>
          <w:rFonts w:cs="Times New Roman"/>
          <w:sz w:val="22"/>
          <w:szCs w:val="22"/>
        </w:rPr>
        <w:t xml:space="preserve">Large grantees spend an estimated 57 hours per QPR for a total of </w:t>
      </w:r>
      <w:r w:rsidR="00FB5873">
        <w:rPr>
          <w:rFonts w:cs="Times New Roman"/>
          <w:sz w:val="22"/>
          <w:szCs w:val="22"/>
        </w:rPr>
        <w:t>7,068</w:t>
      </w:r>
      <w:r w:rsidRPr="00BA44F1">
        <w:rPr>
          <w:rFonts w:cs="Times New Roman"/>
          <w:sz w:val="22"/>
          <w:szCs w:val="22"/>
        </w:rPr>
        <w:t xml:space="preserve"> hours.</w:t>
      </w:r>
      <w:r w:rsidR="00216FE2">
        <w:rPr>
          <w:rFonts w:cs="Times New Roman"/>
          <w:sz w:val="22"/>
          <w:szCs w:val="22"/>
        </w:rPr>
        <w:t xml:space="preserve"> </w:t>
      </w:r>
      <w:r w:rsidRPr="00BA44F1">
        <w:rPr>
          <w:rFonts w:cs="Times New Roman"/>
          <w:sz w:val="22"/>
          <w:szCs w:val="22"/>
        </w:rPr>
        <w:t xml:space="preserve"> Therefore, all grantees collectively spend an estimated </w:t>
      </w:r>
      <w:r w:rsidR="00FB5873">
        <w:rPr>
          <w:rFonts w:cs="Times New Roman"/>
          <w:sz w:val="22"/>
          <w:szCs w:val="22"/>
        </w:rPr>
        <w:t>11,028</w:t>
      </w:r>
      <w:r w:rsidRPr="00BA44F1">
        <w:rPr>
          <w:rFonts w:cs="Times New Roman"/>
          <w:sz w:val="22"/>
          <w:szCs w:val="22"/>
        </w:rPr>
        <w:t xml:space="preserve"> hours per year submitting QPR data in DRGR. Total annual QPR submissions cost an estimated $</w:t>
      </w:r>
      <w:r w:rsidR="00FB5873">
        <w:rPr>
          <w:rFonts w:cs="Times New Roman"/>
          <w:sz w:val="22"/>
          <w:szCs w:val="22"/>
        </w:rPr>
        <w:t>2</w:t>
      </w:r>
      <w:r w:rsidR="00072E89">
        <w:rPr>
          <w:rFonts w:cs="Times New Roman"/>
          <w:sz w:val="22"/>
          <w:szCs w:val="22"/>
        </w:rPr>
        <w:t>90,000</w:t>
      </w:r>
      <w:r w:rsidRPr="00BA44F1" w:rsidR="000B5360">
        <w:rPr>
          <w:rFonts w:cs="Times New Roman"/>
          <w:sz w:val="22"/>
          <w:szCs w:val="22"/>
        </w:rPr>
        <w:t>.</w:t>
      </w:r>
    </w:p>
    <w:p w:rsidR="00E968D6" w:rsidRDefault="00E968D6" w14:paraId="34B5DDCA" w14:textId="400A56B0">
      <w:pPr>
        <w:keepLines/>
        <w:ind w:left="360"/>
        <w:rPr>
          <w:rFonts w:cs="Times New Roman"/>
          <w:sz w:val="22"/>
          <w:szCs w:val="22"/>
        </w:rPr>
      </w:pPr>
    </w:p>
    <w:p w:rsidRPr="00BA44F1" w:rsidR="00E968D6" w:rsidRDefault="00E968D6" w14:paraId="67AC82A4" w14:textId="63AE3544">
      <w:pPr>
        <w:keepLines/>
        <w:ind w:left="360"/>
        <w:rPr>
          <w:rFonts w:cs="Times New Roman"/>
          <w:sz w:val="22"/>
          <w:szCs w:val="22"/>
        </w:rPr>
      </w:pPr>
      <w:r>
        <w:rPr>
          <w:rFonts w:cs="Times New Roman"/>
          <w:sz w:val="22"/>
          <w:szCs w:val="22"/>
        </w:rPr>
        <w:t xml:space="preserve">Additionally, grantees are required to amend the Action Plan if there are changes to the types of programs offered with CDBG-DR funds or if there are significant changes to the programs themselves.  The Federal Register notices define what is considered a significant change.  The Department estimates that grantees would amend the Action Plan at least twice per year, which also triggers an update to the Performance and Financial Projections.  Based on this estimation, grantees collectively spend an estimated 4,230 hours amending the Action Plan annually.  The total annual cost associated with amending the Action Plan is estimated at </w:t>
      </w:r>
      <w:r w:rsidRPr="00E968D6">
        <w:rPr>
          <w:rFonts w:cs="Times New Roman"/>
          <w:sz w:val="22"/>
          <w:szCs w:val="22"/>
        </w:rPr>
        <w:t>$1</w:t>
      </w:r>
      <w:r w:rsidR="00072E89">
        <w:rPr>
          <w:rFonts w:cs="Times New Roman"/>
          <w:sz w:val="22"/>
          <w:szCs w:val="22"/>
        </w:rPr>
        <w:t>1,800</w:t>
      </w:r>
      <w:r>
        <w:rPr>
          <w:rFonts w:cs="Times New Roman"/>
          <w:sz w:val="22"/>
          <w:szCs w:val="22"/>
        </w:rPr>
        <w:t>.</w:t>
      </w:r>
    </w:p>
    <w:p w:rsidRPr="00BA44F1" w:rsidR="001D027A" w:rsidRDefault="001D027A" w14:paraId="400A713D" w14:textId="77777777">
      <w:pPr>
        <w:keepLines/>
        <w:ind w:left="360"/>
        <w:rPr>
          <w:rFonts w:cs="Times New Roman"/>
          <w:color w:val="1F4E79"/>
          <w:sz w:val="22"/>
          <w:szCs w:val="22"/>
          <w:u w:color="1F4E79"/>
        </w:rPr>
      </w:pPr>
    </w:p>
    <w:tbl>
      <w:tblPr>
        <w:tblW w:w="9476" w:type="dxa"/>
        <w:tblInd w:w="22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944"/>
        <w:gridCol w:w="1440"/>
        <w:gridCol w:w="1080"/>
        <w:gridCol w:w="1123"/>
        <w:gridCol w:w="984"/>
        <w:gridCol w:w="871"/>
        <w:gridCol w:w="976"/>
        <w:gridCol w:w="985"/>
        <w:gridCol w:w="1073"/>
      </w:tblGrid>
      <w:tr w:rsidRPr="00BA44F1" w:rsidR="001D027A" w:rsidTr="0071661E" w14:paraId="52BEF116" w14:textId="77777777">
        <w:trPr>
          <w:trHeight w:val="210"/>
        </w:trPr>
        <w:tc>
          <w:tcPr>
            <w:tcW w:w="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BA6FC76" w14:textId="77777777">
            <w:pPr>
              <w:rPr>
                <w:rFonts w:cs="Times New Roman"/>
              </w:rPr>
            </w:pPr>
            <w:r w:rsidRPr="00BA44F1">
              <w:rPr>
                <w:rFonts w:eastAsia="Calibri" w:cs="Times New Roman"/>
                <w:sz w:val="16"/>
                <w:szCs w:val="16"/>
              </w:rPr>
              <w:t> </w:t>
            </w:r>
          </w:p>
        </w:tc>
        <w:tc>
          <w:tcPr>
            <w:tcW w:w="8532" w:type="dxa"/>
            <w:gridSpan w:val="8"/>
            <w:tcBorders>
              <w:top w:val="single" w:color="000000" w:sz="4" w:space="0"/>
              <w:left w:val="single" w:color="000000" w:sz="4" w:space="0"/>
              <w:bottom w:val="single" w:color="000000" w:sz="4" w:space="0"/>
              <w:right w:val="single" w:color="000000" w:sz="4" w:space="0"/>
            </w:tcBorders>
            <w:shd w:val="clear" w:color="auto" w:fill="A5A5A5"/>
            <w:tcMar>
              <w:top w:w="80" w:type="dxa"/>
              <w:left w:w="80" w:type="dxa"/>
              <w:bottom w:w="80" w:type="dxa"/>
              <w:right w:w="80" w:type="dxa"/>
            </w:tcMar>
            <w:vAlign w:val="center"/>
          </w:tcPr>
          <w:p w:rsidRPr="00BA44F1" w:rsidR="001D027A" w:rsidRDefault="009F7862" w14:paraId="003029C4" w14:textId="77777777">
            <w:pPr>
              <w:jc w:val="center"/>
              <w:rPr>
                <w:rFonts w:cs="Times New Roman"/>
              </w:rPr>
            </w:pPr>
            <w:r w:rsidRPr="00BA44F1">
              <w:rPr>
                <w:rFonts w:eastAsia="Calibri" w:cs="Times New Roman"/>
                <w:b/>
                <w:bCs/>
                <w:color w:val="FFFFFF"/>
                <w:sz w:val="16"/>
                <w:szCs w:val="16"/>
                <w:u w:color="FFFFFF"/>
              </w:rPr>
              <w:t>CDBG – DR</w:t>
            </w:r>
          </w:p>
        </w:tc>
      </w:tr>
      <w:tr w:rsidRPr="00BA44F1" w:rsidR="001D027A" w:rsidTr="0071661E" w14:paraId="69493B43" w14:textId="77777777">
        <w:trPr>
          <w:trHeight w:val="810"/>
        </w:trPr>
        <w:tc>
          <w:tcPr>
            <w:tcW w:w="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233AB45" w14:textId="77777777">
            <w:pPr>
              <w:rPr>
                <w:rFonts w:cs="Times New Roman"/>
              </w:rPr>
            </w:pPr>
            <w:r w:rsidRPr="00BA44F1">
              <w:rPr>
                <w:rFonts w:eastAsia="Calibri" w:cs="Times New Roman"/>
                <w:sz w:val="16"/>
                <w:szCs w:val="16"/>
              </w:rPr>
              <w:t>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33E2280" w14:textId="77777777">
            <w:pPr>
              <w:jc w:val="center"/>
              <w:rPr>
                <w:rFonts w:cs="Times New Roman"/>
              </w:rPr>
            </w:pPr>
            <w:r w:rsidRPr="00BA44F1">
              <w:rPr>
                <w:rFonts w:eastAsia="Calibri" w:cs="Times New Roman"/>
                <w:b/>
                <w:bCs/>
                <w:sz w:val="16"/>
                <w:szCs w:val="16"/>
              </w:rPr>
              <w:t>Description of Information Collection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1BE5753" w14:textId="77777777">
            <w:pPr>
              <w:jc w:val="center"/>
              <w:rPr>
                <w:rFonts w:cs="Times New Roman"/>
              </w:rPr>
            </w:pPr>
            <w:r w:rsidRPr="00BA44F1">
              <w:rPr>
                <w:rFonts w:eastAsia="Calibri" w:cs="Times New Roman"/>
                <w:b/>
                <w:bCs/>
                <w:sz w:val="16"/>
                <w:szCs w:val="16"/>
              </w:rPr>
              <w:t>Number of Respondents</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E28FF4B" w14:textId="77777777">
            <w:pPr>
              <w:jc w:val="center"/>
              <w:rPr>
                <w:rFonts w:cs="Times New Roman"/>
              </w:rPr>
            </w:pPr>
            <w:r w:rsidRPr="00BA44F1">
              <w:rPr>
                <w:rFonts w:eastAsia="Calibri" w:cs="Times New Roman"/>
                <w:b/>
                <w:bCs/>
                <w:sz w:val="16"/>
                <w:szCs w:val="16"/>
              </w:rPr>
              <w:t>Frequency of Response</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5D6A88D" w14:textId="77777777">
            <w:pPr>
              <w:jc w:val="center"/>
              <w:rPr>
                <w:rFonts w:cs="Times New Roman"/>
              </w:rPr>
            </w:pPr>
            <w:r w:rsidRPr="00BA44F1">
              <w:rPr>
                <w:rFonts w:eastAsia="Calibri" w:cs="Times New Roman"/>
                <w:b/>
                <w:bCs/>
                <w:sz w:val="16"/>
                <w:szCs w:val="16"/>
              </w:rPr>
              <w:t>Responses</w:t>
            </w:r>
            <w:r w:rsidRPr="00BA44F1">
              <w:rPr>
                <w:rFonts w:eastAsia="Calibri" w:cs="Times New Roman"/>
                <w:b/>
                <w:bCs/>
                <w:sz w:val="16"/>
                <w:szCs w:val="16"/>
              </w:rPr>
              <w:br/>
              <w:t>Per Annum</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70D0DEE" w14:textId="77777777">
            <w:pPr>
              <w:jc w:val="center"/>
              <w:rPr>
                <w:rFonts w:cs="Times New Roman"/>
              </w:rPr>
            </w:pPr>
            <w:r w:rsidRPr="00BA44F1">
              <w:rPr>
                <w:rFonts w:eastAsia="Calibri" w:cs="Times New Roman"/>
                <w:b/>
                <w:bCs/>
                <w:sz w:val="16"/>
                <w:szCs w:val="16"/>
              </w:rPr>
              <w:t>Burden Hour Per Response</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ADC1BBC" w14:textId="77777777">
            <w:pPr>
              <w:jc w:val="center"/>
              <w:rPr>
                <w:rFonts w:cs="Times New Roman"/>
              </w:rPr>
            </w:pPr>
            <w:r w:rsidRPr="00BA44F1">
              <w:rPr>
                <w:rFonts w:eastAsia="Calibri" w:cs="Times New Roman"/>
                <w:b/>
                <w:bCs/>
                <w:sz w:val="16"/>
                <w:szCs w:val="16"/>
              </w:rPr>
              <w:t>Annual Burden Hours</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920BE96" w14:textId="77777777">
            <w:pPr>
              <w:jc w:val="center"/>
              <w:rPr>
                <w:rFonts w:cs="Times New Roman"/>
              </w:rPr>
            </w:pPr>
            <w:r w:rsidRPr="00BA44F1">
              <w:rPr>
                <w:rFonts w:eastAsia="Calibri" w:cs="Times New Roman"/>
                <w:b/>
                <w:bCs/>
                <w:sz w:val="16"/>
                <w:szCs w:val="16"/>
              </w:rPr>
              <w:t>Hourly Cost Per Response</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83C3850" w14:textId="77777777">
            <w:pPr>
              <w:jc w:val="center"/>
              <w:rPr>
                <w:rFonts w:cs="Times New Roman"/>
              </w:rPr>
            </w:pPr>
            <w:r w:rsidRPr="00BA44F1">
              <w:rPr>
                <w:rFonts w:eastAsia="Calibri" w:cs="Times New Roman"/>
                <w:b/>
                <w:bCs/>
                <w:sz w:val="16"/>
                <w:szCs w:val="16"/>
              </w:rPr>
              <w:t>Annual Cost</w:t>
            </w:r>
          </w:p>
        </w:tc>
      </w:tr>
      <w:tr w:rsidRPr="00BA44F1" w:rsidR="001D027A" w:rsidTr="0071661E" w14:paraId="416D2A99" w14:textId="77777777">
        <w:trPr>
          <w:trHeight w:val="210"/>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9737040" w14:textId="77777777">
            <w:pPr>
              <w:jc w:val="center"/>
              <w:rPr>
                <w:rFonts w:cs="Times New Roman"/>
              </w:rPr>
            </w:pPr>
            <w:r w:rsidRPr="00BA44F1">
              <w:rPr>
                <w:rFonts w:eastAsia="Calibri" w:cs="Times New Roman"/>
                <w:b/>
                <w:bCs/>
                <w:sz w:val="16"/>
                <w:szCs w:val="16"/>
              </w:rPr>
              <w:lastRenderedPageBreak/>
              <w:t>Non-recurring</w:t>
            </w:r>
          </w:p>
        </w:tc>
        <w:tc>
          <w:tcPr>
            <w:tcW w:w="144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1CA62B35" w14:textId="77777777">
            <w:pPr>
              <w:jc w:val="center"/>
              <w:rPr>
                <w:rFonts w:cs="Times New Roman"/>
              </w:rPr>
            </w:pPr>
            <w:r w:rsidRPr="00BA44F1">
              <w:rPr>
                <w:rFonts w:eastAsia="Calibri" w:cs="Times New Roman"/>
                <w:b/>
                <w:bCs/>
                <w:sz w:val="16"/>
                <w:szCs w:val="16"/>
              </w:rPr>
              <w:t>PRE-AWARD</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2DD44F92" w14:textId="77777777">
            <w:pPr>
              <w:jc w:val="center"/>
              <w:rPr>
                <w:rFonts w:cs="Times New Roman"/>
              </w:rPr>
            </w:pPr>
            <w:r w:rsidRPr="00BA44F1">
              <w:rPr>
                <w:rFonts w:eastAsia="Calibri" w:cs="Times New Roman"/>
                <w:b/>
                <w:bCs/>
                <w:sz w:val="16"/>
                <w:szCs w:val="16"/>
              </w:rPr>
              <w:t> </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44FD5A2C" w14:textId="77777777">
            <w:pPr>
              <w:jc w:val="center"/>
              <w:rPr>
                <w:rFonts w:cs="Times New Roman"/>
              </w:rPr>
            </w:pPr>
            <w:r w:rsidRPr="00BA44F1">
              <w:rPr>
                <w:rFonts w:eastAsia="Calibri" w:cs="Times New Roman"/>
                <w:b/>
                <w:bCs/>
                <w:sz w:val="16"/>
                <w:szCs w:val="16"/>
              </w:rPr>
              <w:t> </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4679246C" w14:textId="77777777">
            <w:pPr>
              <w:jc w:val="center"/>
              <w:rPr>
                <w:rFonts w:cs="Times New Roman"/>
              </w:rPr>
            </w:pPr>
            <w:r w:rsidRPr="00BA44F1">
              <w:rPr>
                <w:rFonts w:eastAsia="Calibri" w:cs="Times New Roman"/>
                <w:b/>
                <w:bCs/>
                <w:sz w:val="16"/>
                <w:szCs w:val="16"/>
              </w:rPr>
              <w:t> </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3077264A" w14:textId="77777777">
            <w:pPr>
              <w:jc w:val="center"/>
              <w:rPr>
                <w:rFonts w:cs="Times New Roman"/>
              </w:rPr>
            </w:pPr>
            <w:r w:rsidRPr="00BA44F1">
              <w:rPr>
                <w:rFonts w:eastAsia="Calibri" w:cs="Times New Roman"/>
                <w:b/>
                <w:bCs/>
                <w:sz w:val="16"/>
                <w:szCs w:val="16"/>
              </w:rPr>
              <w:t> </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6604C3AA" w14:textId="77777777">
            <w:pPr>
              <w:jc w:val="center"/>
              <w:rPr>
                <w:rFonts w:cs="Times New Roman"/>
              </w:rPr>
            </w:pPr>
            <w:r w:rsidRPr="00BA44F1">
              <w:rPr>
                <w:rFonts w:eastAsia="Calibri" w:cs="Times New Roman"/>
                <w:b/>
                <w:bCs/>
                <w:sz w:val="16"/>
                <w:szCs w:val="16"/>
              </w:rPr>
              <w:t> </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5FD34857" w14:textId="77777777">
            <w:pPr>
              <w:jc w:val="center"/>
              <w:rPr>
                <w:rFonts w:cs="Times New Roman"/>
              </w:rPr>
            </w:pPr>
            <w:r w:rsidRPr="00BA44F1">
              <w:rPr>
                <w:rFonts w:eastAsia="Calibri" w:cs="Times New Roman"/>
                <w:b/>
                <w:bCs/>
                <w:sz w:val="16"/>
                <w:szCs w:val="16"/>
              </w:rPr>
              <w:t> </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478B2DE9" w14:textId="77777777">
            <w:pPr>
              <w:jc w:val="center"/>
              <w:rPr>
                <w:rFonts w:cs="Times New Roman"/>
              </w:rPr>
            </w:pPr>
            <w:r w:rsidRPr="00BA44F1">
              <w:rPr>
                <w:rFonts w:eastAsia="Calibri" w:cs="Times New Roman"/>
                <w:b/>
                <w:bCs/>
                <w:sz w:val="16"/>
                <w:szCs w:val="16"/>
              </w:rPr>
              <w:t> </w:t>
            </w:r>
          </w:p>
        </w:tc>
      </w:tr>
      <w:tr w:rsidRPr="00BA44F1" w:rsidR="001D027A" w:rsidTr="0071661E" w14:paraId="256158AA" w14:textId="77777777">
        <w:trPr>
          <w:trHeight w:val="6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1407F917"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10EBA21A" w14:textId="77777777">
            <w:pPr>
              <w:jc w:val="center"/>
              <w:rPr>
                <w:rFonts w:cs="Times New Roman"/>
              </w:rPr>
            </w:pPr>
            <w:r w:rsidRPr="00BA44F1">
              <w:rPr>
                <w:rFonts w:eastAsia="Calibri" w:cs="Times New Roman"/>
                <w:b/>
                <w:bCs/>
                <w:sz w:val="16"/>
                <w:szCs w:val="16"/>
              </w:rPr>
              <w:t>SUBMISSION REQUIREMENTS</w:t>
            </w:r>
          </w:p>
        </w:tc>
        <w:tc>
          <w:tcPr>
            <w:tcW w:w="1080" w:type="dxa"/>
            <w:vMerge/>
            <w:tcBorders>
              <w:top w:val="single" w:color="000000" w:sz="4" w:space="0"/>
              <w:left w:val="single" w:color="000000" w:sz="4" w:space="0"/>
              <w:bottom w:val="single" w:color="000000" w:sz="4" w:space="0"/>
              <w:right w:val="single" w:color="000000" w:sz="4" w:space="0"/>
            </w:tcBorders>
            <w:shd w:val="clear" w:color="auto" w:fill="D9D9D9"/>
          </w:tcPr>
          <w:p w:rsidRPr="00BA44F1" w:rsidR="001D027A" w:rsidRDefault="001D027A" w14:paraId="3AB68282" w14:textId="77777777">
            <w:pPr>
              <w:rPr>
                <w:rFonts w:cs="Times New Roman"/>
              </w:rPr>
            </w:pPr>
          </w:p>
        </w:tc>
        <w:tc>
          <w:tcPr>
            <w:tcW w:w="1123" w:type="dxa"/>
            <w:vMerge/>
            <w:tcBorders>
              <w:top w:val="single" w:color="000000" w:sz="4" w:space="0"/>
              <w:left w:val="single" w:color="000000" w:sz="4" w:space="0"/>
              <w:bottom w:val="single" w:color="000000" w:sz="4" w:space="0"/>
              <w:right w:val="single" w:color="000000" w:sz="4" w:space="0"/>
            </w:tcBorders>
            <w:shd w:val="clear" w:color="auto" w:fill="D9D9D9"/>
          </w:tcPr>
          <w:p w:rsidRPr="00BA44F1" w:rsidR="001D027A" w:rsidRDefault="001D027A" w14:paraId="06B97E83" w14:textId="77777777">
            <w:pPr>
              <w:rPr>
                <w:rFonts w:cs="Times New Roman"/>
              </w:rPr>
            </w:pPr>
          </w:p>
        </w:tc>
        <w:tc>
          <w:tcPr>
            <w:tcW w:w="984" w:type="dxa"/>
            <w:vMerge/>
            <w:tcBorders>
              <w:top w:val="single" w:color="000000" w:sz="4" w:space="0"/>
              <w:left w:val="single" w:color="000000" w:sz="4" w:space="0"/>
              <w:bottom w:val="single" w:color="000000" w:sz="4" w:space="0"/>
              <w:right w:val="single" w:color="000000" w:sz="4" w:space="0"/>
            </w:tcBorders>
            <w:shd w:val="clear" w:color="auto" w:fill="D9D9D9"/>
          </w:tcPr>
          <w:p w:rsidRPr="00BA44F1" w:rsidR="001D027A" w:rsidRDefault="001D027A" w14:paraId="15370D6E" w14:textId="77777777">
            <w:pPr>
              <w:rPr>
                <w:rFonts w:cs="Times New Roman"/>
              </w:rPr>
            </w:pPr>
          </w:p>
        </w:tc>
        <w:tc>
          <w:tcPr>
            <w:tcW w:w="871" w:type="dxa"/>
            <w:vMerge/>
            <w:tcBorders>
              <w:top w:val="single" w:color="000000" w:sz="4" w:space="0"/>
              <w:left w:val="single" w:color="000000" w:sz="4" w:space="0"/>
              <w:bottom w:val="single" w:color="000000" w:sz="4" w:space="0"/>
              <w:right w:val="single" w:color="000000" w:sz="4" w:space="0"/>
            </w:tcBorders>
            <w:shd w:val="clear" w:color="auto" w:fill="D9D9D9"/>
          </w:tcPr>
          <w:p w:rsidRPr="00BA44F1" w:rsidR="001D027A" w:rsidRDefault="001D027A" w14:paraId="7C0B0462" w14:textId="77777777">
            <w:pPr>
              <w:rPr>
                <w:rFonts w:cs="Times New Roman"/>
              </w:rPr>
            </w:pPr>
          </w:p>
        </w:tc>
        <w:tc>
          <w:tcPr>
            <w:tcW w:w="976" w:type="dxa"/>
            <w:vMerge/>
            <w:tcBorders>
              <w:top w:val="single" w:color="000000" w:sz="4" w:space="0"/>
              <w:left w:val="single" w:color="000000" w:sz="4" w:space="0"/>
              <w:bottom w:val="single" w:color="000000" w:sz="4" w:space="0"/>
              <w:right w:val="single" w:color="000000" w:sz="4" w:space="0"/>
            </w:tcBorders>
            <w:shd w:val="clear" w:color="auto" w:fill="D9D9D9"/>
          </w:tcPr>
          <w:p w:rsidRPr="00BA44F1" w:rsidR="001D027A" w:rsidRDefault="001D027A" w14:paraId="4DB4121F" w14:textId="77777777">
            <w:pPr>
              <w:rPr>
                <w:rFonts w:cs="Times New Roman"/>
              </w:rPr>
            </w:pPr>
          </w:p>
        </w:tc>
        <w:tc>
          <w:tcPr>
            <w:tcW w:w="985" w:type="dxa"/>
            <w:vMerge/>
            <w:tcBorders>
              <w:top w:val="single" w:color="000000" w:sz="4" w:space="0"/>
              <w:left w:val="single" w:color="000000" w:sz="4" w:space="0"/>
              <w:bottom w:val="single" w:color="000000" w:sz="4" w:space="0"/>
              <w:right w:val="single" w:color="000000" w:sz="4" w:space="0"/>
            </w:tcBorders>
            <w:shd w:val="clear" w:color="auto" w:fill="D9D9D9"/>
          </w:tcPr>
          <w:p w:rsidRPr="00BA44F1" w:rsidR="001D027A" w:rsidRDefault="001D027A" w14:paraId="1028061B" w14:textId="77777777">
            <w:pPr>
              <w:rPr>
                <w:rFonts w:cs="Times New Roman"/>
              </w:rPr>
            </w:pPr>
          </w:p>
        </w:tc>
        <w:tc>
          <w:tcPr>
            <w:tcW w:w="1073" w:type="dxa"/>
            <w:vMerge/>
            <w:tcBorders>
              <w:top w:val="single" w:color="000000" w:sz="4" w:space="0"/>
              <w:left w:val="single" w:color="000000" w:sz="4" w:space="0"/>
              <w:bottom w:val="single" w:color="000000" w:sz="4" w:space="0"/>
              <w:right w:val="single" w:color="000000" w:sz="4" w:space="0"/>
            </w:tcBorders>
            <w:shd w:val="clear" w:color="auto" w:fill="D9D9D9"/>
          </w:tcPr>
          <w:p w:rsidRPr="00BA44F1" w:rsidR="001D027A" w:rsidRDefault="001D027A" w14:paraId="6A7F014A" w14:textId="77777777">
            <w:pPr>
              <w:rPr>
                <w:rFonts w:cs="Times New Roman"/>
              </w:rPr>
            </w:pPr>
          </w:p>
        </w:tc>
      </w:tr>
      <w:tr w:rsidRPr="00BA44F1" w:rsidR="001D027A" w:rsidTr="0071661E" w14:paraId="4E73899D" w14:textId="77777777">
        <w:trPr>
          <w:trHeight w:val="4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22933100"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3CB8C2B" w14:textId="77777777">
            <w:pPr>
              <w:jc w:val="center"/>
              <w:rPr>
                <w:rFonts w:cs="Times New Roman"/>
              </w:rPr>
            </w:pPr>
            <w:r w:rsidRPr="00BA44F1">
              <w:rPr>
                <w:rFonts w:eastAsia="Calibri" w:cs="Times New Roman"/>
                <w:sz w:val="16"/>
                <w:szCs w:val="16"/>
              </w:rPr>
              <w:t>Published Action Plan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2CD05D2" w14:textId="5887A017">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E65059A" w14:textId="63F9E614">
            <w:pPr>
              <w:jc w:val="center"/>
              <w:rPr>
                <w:rFonts w:cs="Times New Roman"/>
              </w:rPr>
            </w:pPr>
            <w:r w:rsidRPr="00BA44F1">
              <w:rPr>
                <w:rFonts w:eastAsia="Calibri" w:cs="Times New Roman"/>
                <w:sz w:val="16"/>
                <w:szCs w:val="16"/>
              </w:rPr>
              <w:t>1</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494ED9E" w14:textId="73FD6205">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06C85DC" w14:textId="5343D74A">
            <w:pPr>
              <w:jc w:val="center"/>
              <w:rPr>
                <w:rFonts w:cs="Times New Roman"/>
              </w:rPr>
            </w:pPr>
            <w:r w:rsidRPr="00BA44F1">
              <w:rPr>
                <w:rFonts w:eastAsia="Calibri" w:cs="Times New Roman"/>
                <w:sz w:val="16"/>
                <w:szCs w:val="16"/>
              </w:rPr>
              <w:t>40</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E58435B" w14:textId="52E38F3F">
            <w:pPr>
              <w:jc w:val="center"/>
              <w:rPr>
                <w:rFonts w:cs="Times New Roman"/>
              </w:rPr>
            </w:pPr>
            <w:r w:rsidRPr="00BA44F1">
              <w:rPr>
                <w:rFonts w:eastAsia="Calibri" w:cs="Times New Roman"/>
                <w:sz w:val="16"/>
                <w:szCs w:val="16"/>
              </w:rPr>
              <w:t>2</w:t>
            </w:r>
            <w:r w:rsidR="002D4DD4">
              <w:rPr>
                <w:rFonts w:eastAsia="Calibri" w:cs="Times New Roman"/>
                <w:sz w:val="16"/>
                <w:szCs w:val="16"/>
              </w:rPr>
              <w:t>,</w:t>
            </w:r>
            <w:r w:rsidR="0075456A">
              <w:rPr>
                <w:rFonts w:eastAsia="Calibri" w:cs="Times New Roman"/>
                <w:sz w:val="16"/>
                <w:szCs w:val="16"/>
              </w:rPr>
              <w:t>040</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B1CCC41" w14:textId="3E2176C0">
            <w:pPr>
              <w:jc w:val="center"/>
              <w:rPr>
                <w:rFonts w:cs="Times New Roman"/>
              </w:rPr>
            </w:pPr>
            <w:r w:rsidRPr="00BA44F1">
              <w:rPr>
                <w:rFonts w:eastAsia="Calibri" w:cs="Times New Roman"/>
                <w:sz w:val="16"/>
                <w:szCs w:val="16"/>
              </w:rPr>
              <w:t>$26</w:t>
            </w:r>
            <w:r w:rsidR="0004425D">
              <w:rPr>
                <w:rFonts w:eastAsia="Calibri" w:cs="Times New Roman"/>
                <w:sz w:val="16"/>
                <w:szCs w:val="16"/>
              </w:rPr>
              <w:t>.45</w:t>
            </w:r>
            <w:r w:rsidRPr="00BA44F1">
              <w:rPr>
                <w:rFonts w:eastAsia="Calibri" w:cs="Times New Roman"/>
                <w:sz w:val="16"/>
                <w:szCs w:val="16"/>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AD4BD6A" w14:textId="3A6E4D81">
            <w:pPr>
              <w:jc w:val="center"/>
              <w:rPr>
                <w:rFonts w:cs="Times New Roman"/>
              </w:rPr>
            </w:pPr>
            <w:r w:rsidRPr="00BA44F1">
              <w:rPr>
                <w:rFonts w:eastAsia="Calibri" w:cs="Times New Roman"/>
                <w:sz w:val="16"/>
                <w:szCs w:val="16"/>
              </w:rPr>
              <w:t>$</w:t>
            </w:r>
            <w:r w:rsidR="002D4DD4">
              <w:rPr>
                <w:rFonts w:eastAsia="Calibri" w:cs="Times New Roman"/>
                <w:sz w:val="16"/>
                <w:szCs w:val="16"/>
              </w:rPr>
              <w:t>53,</w:t>
            </w:r>
            <w:r w:rsidR="0004425D">
              <w:rPr>
                <w:rFonts w:eastAsia="Calibri" w:cs="Times New Roman"/>
                <w:sz w:val="16"/>
                <w:szCs w:val="16"/>
              </w:rPr>
              <w:t>958</w:t>
            </w:r>
          </w:p>
        </w:tc>
      </w:tr>
      <w:tr w:rsidRPr="00BA44F1" w:rsidR="001D027A" w:rsidTr="0071661E" w14:paraId="1B082AF2" w14:textId="77777777">
        <w:trPr>
          <w:trHeight w:val="245"/>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41731A7C"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7CBE7B4" w14:textId="77777777">
            <w:pPr>
              <w:jc w:val="center"/>
              <w:rPr>
                <w:rFonts w:cs="Times New Roman"/>
              </w:rPr>
            </w:pPr>
            <w:r w:rsidRPr="00BA44F1">
              <w:rPr>
                <w:rFonts w:eastAsia="Calibri" w:cs="Times New Roman"/>
                <w:sz w:val="16"/>
                <w:szCs w:val="16"/>
              </w:rPr>
              <w:t>SF 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484CA5E" w14:textId="39B0D77B">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5545A3B" w14:textId="0AF8C5B9">
            <w:pPr>
              <w:jc w:val="center"/>
              <w:rPr>
                <w:rFonts w:cs="Times New Roman"/>
              </w:rPr>
            </w:pPr>
            <w:r w:rsidRPr="00BA44F1">
              <w:rPr>
                <w:rFonts w:eastAsia="Calibri" w:cs="Times New Roman"/>
                <w:sz w:val="16"/>
                <w:szCs w:val="16"/>
              </w:rPr>
              <w:t>1</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0165A5C" w14:textId="311C3071">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495357F" w14:textId="0DEA98E1">
            <w:pPr>
              <w:jc w:val="center"/>
              <w:rPr>
                <w:rFonts w:cs="Times New Roman"/>
              </w:rPr>
            </w:pPr>
            <w:r w:rsidRPr="00BA44F1">
              <w:rPr>
                <w:rFonts w:eastAsia="Calibri" w:cs="Times New Roman"/>
                <w:sz w:val="16"/>
                <w:szCs w:val="16"/>
              </w:rPr>
              <w:t>1</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B31F3D9" w14:textId="044F9601">
            <w:pPr>
              <w:jc w:val="center"/>
              <w:rPr>
                <w:rFonts w:cs="Times New Roman"/>
              </w:rPr>
            </w:pPr>
            <w:r w:rsidRPr="00BA44F1">
              <w:rPr>
                <w:rFonts w:eastAsia="Calibri" w:cs="Times New Roman"/>
                <w:sz w:val="16"/>
                <w:szCs w:val="16"/>
              </w:rPr>
              <w:t>5</w:t>
            </w:r>
            <w:r w:rsidR="0001477C">
              <w:rPr>
                <w:rFonts w:eastAsia="Calibri" w:cs="Times New Roman"/>
                <w:sz w:val="16"/>
                <w:szCs w:val="16"/>
              </w:rPr>
              <w:t>1</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04425D" w14:paraId="066493D8" w14:textId="176925AC">
            <w:pPr>
              <w:jc w:val="center"/>
              <w:rPr>
                <w:rFonts w:cs="Times New Roman"/>
              </w:rPr>
            </w:pPr>
            <w:r w:rsidRPr="00BA44F1">
              <w:rPr>
                <w:rFonts w:eastAsia="Calibri" w:cs="Times New Roman"/>
                <w:sz w:val="16"/>
                <w:szCs w:val="16"/>
              </w:rPr>
              <w:t>$26</w:t>
            </w:r>
            <w:r>
              <w:rPr>
                <w:rFonts w:eastAsia="Calibri" w:cs="Times New Roman"/>
                <w:sz w:val="16"/>
                <w:szCs w:val="16"/>
              </w:rPr>
              <w:t>.45</w:t>
            </w:r>
            <w:r w:rsidRPr="00BA44F1" w:rsidR="009F7862">
              <w:rPr>
                <w:rFonts w:eastAsia="Calibri" w:cs="Times New Roman"/>
                <w:sz w:val="16"/>
                <w:szCs w:val="16"/>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B8867EF" w14:textId="72CE09E1">
            <w:pPr>
              <w:jc w:val="center"/>
              <w:rPr>
                <w:rFonts w:cs="Times New Roman"/>
              </w:rPr>
            </w:pPr>
            <w:r w:rsidRPr="00BA44F1">
              <w:rPr>
                <w:rFonts w:eastAsia="Calibri" w:cs="Times New Roman"/>
                <w:sz w:val="16"/>
                <w:szCs w:val="16"/>
              </w:rPr>
              <w:t>$1,</w:t>
            </w:r>
            <w:r w:rsidR="0001477C">
              <w:rPr>
                <w:rFonts w:eastAsia="Calibri" w:cs="Times New Roman"/>
                <w:sz w:val="16"/>
                <w:szCs w:val="16"/>
              </w:rPr>
              <w:t>3</w:t>
            </w:r>
            <w:r w:rsidR="0004425D">
              <w:rPr>
                <w:rFonts w:eastAsia="Calibri" w:cs="Times New Roman"/>
                <w:sz w:val="16"/>
                <w:szCs w:val="16"/>
              </w:rPr>
              <w:t>48.95</w:t>
            </w:r>
          </w:p>
        </w:tc>
      </w:tr>
      <w:tr w:rsidRPr="00BA44F1" w:rsidR="001D027A" w:rsidTr="0071661E" w14:paraId="7F6B494E" w14:textId="77777777">
        <w:trPr>
          <w:trHeight w:val="12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236447B4"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91F8A4C" w14:textId="77777777">
            <w:pPr>
              <w:jc w:val="center"/>
              <w:rPr>
                <w:rFonts w:cs="Times New Roman"/>
              </w:rPr>
            </w:pPr>
            <w:r w:rsidRPr="00BA44F1">
              <w:rPr>
                <w:rFonts w:eastAsia="Calibri" w:cs="Times New Roman"/>
                <w:sz w:val="16"/>
                <w:szCs w:val="16"/>
              </w:rPr>
              <w:t>Procurement Financial Controls and DOB documentation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A097182" w14:textId="3C28DCC2">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7545148" w14:textId="4D0ECBD0">
            <w:pPr>
              <w:jc w:val="center"/>
              <w:rPr>
                <w:rFonts w:cs="Times New Roman"/>
              </w:rPr>
            </w:pPr>
            <w:r w:rsidRPr="00BA44F1">
              <w:rPr>
                <w:rFonts w:eastAsia="Calibri" w:cs="Times New Roman"/>
                <w:sz w:val="16"/>
                <w:szCs w:val="16"/>
              </w:rPr>
              <w:t>1</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8BF14D2" w14:textId="4371C60D">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58E71B7" w14:textId="5D80488C">
            <w:pPr>
              <w:jc w:val="center"/>
              <w:rPr>
                <w:rFonts w:cs="Times New Roman"/>
              </w:rPr>
            </w:pPr>
            <w:r w:rsidRPr="00BA44F1">
              <w:rPr>
                <w:rFonts w:eastAsia="Calibri" w:cs="Times New Roman"/>
                <w:sz w:val="16"/>
                <w:szCs w:val="16"/>
              </w:rPr>
              <w:t>6</w:t>
            </w:r>
            <w:r w:rsidR="0075456A">
              <w:rPr>
                <w:rFonts w:eastAsia="Calibri" w:cs="Times New Roman"/>
                <w:sz w:val="16"/>
                <w:szCs w:val="16"/>
              </w:rPr>
              <w:t>0</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4AD4083" w14:textId="1108A2A0">
            <w:pPr>
              <w:jc w:val="center"/>
              <w:rPr>
                <w:rFonts w:cs="Times New Roman"/>
              </w:rPr>
            </w:pPr>
            <w:r w:rsidRPr="00BA44F1">
              <w:rPr>
                <w:rFonts w:eastAsia="Calibri" w:cs="Times New Roman"/>
                <w:sz w:val="16"/>
                <w:szCs w:val="16"/>
              </w:rPr>
              <w:t>3</w:t>
            </w:r>
            <w:r w:rsidR="0075456A">
              <w:rPr>
                <w:rFonts w:eastAsia="Calibri" w:cs="Times New Roman"/>
                <w:sz w:val="16"/>
                <w:szCs w:val="16"/>
              </w:rPr>
              <w:t>,</w:t>
            </w:r>
            <w:r w:rsidR="0001477C">
              <w:rPr>
                <w:rFonts w:eastAsia="Calibri" w:cs="Times New Roman"/>
                <w:sz w:val="16"/>
                <w:szCs w:val="16"/>
              </w:rPr>
              <w:t>060</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04425D" w14:paraId="6590C2EB" w14:textId="05548A73">
            <w:pPr>
              <w:jc w:val="center"/>
              <w:rPr>
                <w:rFonts w:cs="Times New Roman"/>
              </w:rPr>
            </w:pPr>
            <w:r w:rsidRPr="00BA44F1">
              <w:rPr>
                <w:rFonts w:eastAsia="Calibri" w:cs="Times New Roman"/>
                <w:sz w:val="16"/>
                <w:szCs w:val="16"/>
              </w:rPr>
              <w:t>$26</w:t>
            </w:r>
            <w:r>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D92AFB2" w14:textId="5B6530E3">
            <w:pPr>
              <w:jc w:val="center"/>
              <w:rPr>
                <w:rFonts w:cs="Times New Roman"/>
              </w:rPr>
            </w:pPr>
            <w:r w:rsidRPr="00BA44F1">
              <w:rPr>
                <w:rFonts w:eastAsia="Calibri" w:cs="Times New Roman"/>
                <w:sz w:val="16"/>
                <w:szCs w:val="16"/>
              </w:rPr>
              <w:t>$</w:t>
            </w:r>
            <w:r w:rsidR="0004425D">
              <w:rPr>
                <w:rFonts w:eastAsia="Calibri" w:cs="Times New Roman"/>
                <w:sz w:val="16"/>
                <w:szCs w:val="16"/>
              </w:rPr>
              <w:t>80,937</w:t>
            </w:r>
          </w:p>
        </w:tc>
      </w:tr>
      <w:tr w:rsidRPr="00BA44F1" w:rsidR="001D027A" w:rsidTr="0071661E" w14:paraId="128EB7F1" w14:textId="77777777">
        <w:trPr>
          <w:trHeight w:val="6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51E82919"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27D9659" w14:textId="77777777">
            <w:pPr>
              <w:jc w:val="center"/>
              <w:rPr>
                <w:rFonts w:cs="Times New Roman"/>
              </w:rPr>
            </w:pPr>
            <w:r w:rsidRPr="00BA44F1">
              <w:rPr>
                <w:rFonts w:eastAsia="Calibri" w:cs="Times New Roman"/>
                <w:sz w:val="16"/>
                <w:szCs w:val="16"/>
              </w:rPr>
              <w:t>Performance and Financial Projections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6FDAE3F" w14:textId="20D048C8">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D127F87" w14:textId="7D7A5362">
            <w:pPr>
              <w:jc w:val="center"/>
              <w:rPr>
                <w:rFonts w:cs="Times New Roman"/>
              </w:rPr>
            </w:pPr>
            <w:r w:rsidRPr="00BA44F1">
              <w:rPr>
                <w:rFonts w:eastAsia="Calibri" w:cs="Times New Roman"/>
                <w:sz w:val="16"/>
                <w:szCs w:val="16"/>
              </w:rPr>
              <w:t>1</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9B33351" w14:textId="5D2295BC">
            <w:pPr>
              <w:jc w:val="center"/>
              <w:rPr>
                <w:rFonts w:cs="Times New Roman"/>
              </w:rPr>
            </w:pPr>
            <w:r w:rsidRPr="00BA44F1">
              <w:rPr>
                <w:rFonts w:eastAsia="Calibri" w:cs="Times New Roman"/>
                <w:sz w:val="16"/>
                <w:szCs w:val="16"/>
              </w:rPr>
              <w:t>5</w:t>
            </w:r>
            <w:r w:rsidR="0075456A">
              <w:rPr>
                <w:rFonts w:eastAsia="Calibri" w:cs="Times New Roman"/>
                <w:sz w:val="16"/>
                <w:szCs w:val="16"/>
              </w:rPr>
              <w:t>1</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AC452AA" w14:textId="17FC1A47">
            <w:pPr>
              <w:jc w:val="center"/>
              <w:rPr>
                <w:rFonts w:cs="Times New Roman"/>
              </w:rPr>
            </w:pPr>
            <w:r w:rsidRPr="00BA44F1">
              <w:rPr>
                <w:rFonts w:eastAsia="Calibri" w:cs="Times New Roman"/>
                <w:sz w:val="16"/>
                <w:szCs w:val="16"/>
              </w:rPr>
              <w:t>8</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8A40BFE" w14:textId="043737E2">
            <w:pPr>
              <w:jc w:val="center"/>
              <w:rPr>
                <w:rFonts w:cs="Times New Roman"/>
              </w:rPr>
            </w:pPr>
            <w:r w:rsidRPr="00BA44F1">
              <w:rPr>
                <w:rFonts w:eastAsia="Calibri" w:cs="Times New Roman"/>
                <w:sz w:val="16"/>
                <w:szCs w:val="16"/>
              </w:rPr>
              <w:t>4</w:t>
            </w:r>
            <w:r w:rsidR="0001477C">
              <w:rPr>
                <w:rFonts w:eastAsia="Calibri" w:cs="Times New Roman"/>
                <w:sz w:val="16"/>
                <w:szCs w:val="16"/>
              </w:rPr>
              <w:t>08</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04425D" w14:paraId="686CC6A5" w14:textId="08013F83">
            <w:pPr>
              <w:jc w:val="center"/>
              <w:rPr>
                <w:rFonts w:cs="Times New Roman"/>
              </w:rPr>
            </w:pPr>
            <w:r w:rsidRPr="00BA44F1">
              <w:rPr>
                <w:rFonts w:eastAsia="Calibri" w:cs="Times New Roman"/>
                <w:sz w:val="16"/>
                <w:szCs w:val="16"/>
              </w:rPr>
              <w:t>$26</w:t>
            </w:r>
            <w:r>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00D8AB3" w14:textId="1BD3CDC9">
            <w:pPr>
              <w:jc w:val="center"/>
              <w:rPr>
                <w:rFonts w:cs="Times New Roman"/>
              </w:rPr>
            </w:pPr>
            <w:r w:rsidRPr="00BA44F1">
              <w:rPr>
                <w:rFonts w:eastAsia="Calibri" w:cs="Times New Roman"/>
                <w:sz w:val="16"/>
                <w:szCs w:val="16"/>
              </w:rPr>
              <w:t>$1</w:t>
            </w:r>
            <w:r w:rsidR="0001477C">
              <w:rPr>
                <w:rFonts w:eastAsia="Calibri" w:cs="Times New Roman"/>
                <w:sz w:val="16"/>
                <w:szCs w:val="16"/>
              </w:rPr>
              <w:t>0,</w:t>
            </w:r>
            <w:r w:rsidR="0004425D">
              <w:rPr>
                <w:rFonts w:eastAsia="Calibri" w:cs="Times New Roman"/>
                <w:sz w:val="16"/>
                <w:szCs w:val="16"/>
              </w:rPr>
              <w:t>791.16</w:t>
            </w:r>
          </w:p>
        </w:tc>
      </w:tr>
      <w:tr w:rsidRPr="00BA44F1" w:rsidR="001D027A" w:rsidTr="0071661E" w14:paraId="32027A03" w14:textId="77777777">
        <w:trPr>
          <w:trHeight w:val="2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083353E6"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34264CA3" w14:textId="77777777">
            <w:pPr>
              <w:jc w:val="center"/>
              <w:rPr>
                <w:rFonts w:cs="Times New Roman"/>
              </w:rPr>
            </w:pPr>
            <w:r w:rsidRPr="00BA44F1">
              <w:rPr>
                <w:rFonts w:eastAsia="Calibri" w:cs="Times New Roman"/>
                <w:b/>
                <w:bCs/>
                <w:sz w:val="16"/>
                <w:szCs w:val="16"/>
              </w:rPr>
              <w:t>POST-AWARD</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3C56D7E4" w14:textId="77777777">
            <w:pPr>
              <w:jc w:val="center"/>
              <w:rPr>
                <w:rFonts w:cs="Times New Roman"/>
              </w:rPr>
            </w:pPr>
            <w:r w:rsidRPr="00BA44F1">
              <w:rPr>
                <w:rFonts w:eastAsia="Calibri" w:cs="Times New Roman"/>
                <w:sz w:val="16"/>
                <w:szCs w:val="16"/>
              </w:rPr>
              <w:t> </w:t>
            </w:r>
          </w:p>
        </w:tc>
        <w:tc>
          <w:tcPr>
            <w:tcW w:w="1123"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6AA51506" w14:textId="77777777">
            <w:pPr>
              <w:jc w:val="center"/>
              <w:rPr>
                <w:rFonts w:cs="Times New Roman"/>
              </w:rPr>
            </w:pPr>
            <w:r w:rsidRPr="00BA44F1">
              <w:rPr>
                <w:rFonts w:eastAsia="Calibri" w:cs="Times New Roman"/>
                <w:sz w:val="16"/>
                <w:szCs w:val="16"/>
              </w:rPr>
              <w:t> </w:t>
            </w:r>
          </w:p>
        </w:tc>
        <w:tc>
          <w:tcPr>
            <w:tcW w:w="984"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5A248728" w14:textId="77777777">
            <w:pPr>
              <w:jc w:val="center"/>
              <w:rPr>
                <w:rFonts w:cs="Times New Roman"/>
              </w:rPr>
            </w:pPr>
            <w:r w:rsidRPr="00BA44F1">
              <w:rPr>
                <w:rFonts w:eastAsia="Calibri" w:cs="Times New Roman"/>
                <w:sz w:val="16"/>
                <w:szCs w:val="16"/>
              </w:rPr>
              <w:t> </w:t>
            </w:r>
          </w:p>
        </w:tc>
        <w:tc>
          <w:tcPr>
            <w:tcW w:w="871"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4661ECA9" w14:textId="77777777">
            <w:pPr>
              <w:jc w:val="center"/>
              <w:rPr>
                <w:rFonts w:cs="Times New Roman"/>
              </w:rPr>
            </w:pPr>
            <w:r w:rsidRPr="00BA44F1">
              <w:rPr>
                <w:rFonts w:eastAsia="Calibri" w:cs="Times New Roman"/>
                <w:sz w:val="16"/>
                <w:szCs w:val="16"/>
              </w:rPr>
              <w:t> </w:t>
            </w:r>
          </w:p>
        </w:tc>
        <w:tc>
          <w:tcPr>
            <w:tcW w:w="976"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35C0F526" w14:textId="77777777">
            <w:pPr>
              <w:jc w:val="center"/>
              <w:rPr>
                <w:rFonts w:cs="Times New Roman"/>
              </w:rPr>
            </w:pPr>
            <w:r w:rsidRPr="00BA44F1">
              <w:rPr>
                <w:rFonts w:eastAsia="Calibri" w:cs="Times New Roman"/>
                <w:sz w:val="16"/>
                <w:szCs w:val="16"/>
              </w:rPr>
              <w:t> </w:t>
            </w:r>
          </w:p>
        </w:tc>
        <w:tc>
          <w:tcPr>
            <w:tcW w:w="985"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46897FE8" w14:textId="77777777">
            <w:pPr>
              <w:jc w:val="center"/>
              <w:rPr>
                <w:rFonts w:cs="Times New Roman"/>
              </w:rPr>
            </w:pPr>
            <w:r w:rsidRPr="00BA44F1">
              <w:rPr>
                <w:rFonts w:eastAsia="Calibri" w:cs="Times New Roman"/>
                <w:sz w:val="16"/>
                <w:szCs w:val="16"/>
              </w:rPr>
              <w:t> </w:t>
            </w:r>
          </w:p>
        </w:tc>
        <w:tc>
          <w:tcPr>
            <w:tcW w:w="1073"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23FCBD9A" w14:textId="77777777">
            <w:pPr>
              <w:jc w:val="center"/>
              <w:rPr>
                <w:rFonts w:cs="Times New Roman"/>
              </w:rPr>
            </w:pPr>
            <w:r w:rsidRPr="00BA44F1">
              <w:rPr>
                <w:rFonts w:eastAsia="Calibri" w:cs="Times New Roman"/>
                <w:sz w:val="16"/>
                <w:szCs w:val="16"/>
              </w:rPr>
              <w:t> </w:t>
            </w:r>
          </w:p>
        </w:tc>
      </w:tr>
      <w:tr w:rsidRPr="00BA44F1" w:rsidR="001D027A" w:rsidTr="0071661E" w14:paraId="4172BC1F" w14:textId="77777777">
        <w:trPr>
          <w:trHeight w:val="6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240FA05B"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6877FAE" w14:textId="7343BAC1">
            <w:pPr>
              <w:jc w:val="center"/>
              <w:rPr>
                <w:rFonts w:cs="Times New Roman"/>
              </w:rPr>
            </w:pPr>
            <w:r w:rsidRPr="00BA44F1">
              <w:rPr>
                <w:rFonts w:eastAsia="Calibri" w:cs="Times New Roman"/>
                <w:sz w:val="16"/>
                <w:szCs w:val="16"/>
              </w:rPr>
              <w:t>Grant Agreement</w:t>
            </w:r>
            <w:r w:rsidR="00B73E44">
              <w:rPr>
                <w:rFonts w:eastAsia="Calibri" w:cs="Times New Roman"/>
                <w:sz w:val="16"/>
                <w:szCs w:val="16"/>
              </w:rPr>
              <w:t xml:space="preserve"> </w:t>
            </w:r>
            <w:r w:rsidR="00E242B0">
              <w:rPr>
                <w:rFonts w:eastAsia="Calibri" w:cs="Times New Roman"/>
                <w:sz w:val="16"/>
                <w:szCs w:val="16"/>
              </w:rPr>
              <w:t>(HUD 40092)</w:t>
            </w:r>
            <w:r w:rsidR="00B73E44">
              <w:rPr>
                <w:rFonts w:eastAsia="Arial"/>
                <w:sz w:val="18"/>
              </w:rPr>
              <w:t xml:space="preserve"> </w:t>
            </w:r>
            <w:r w:rsidRPr="00BA44F1">
              <w:rPr>
                <w:rFonts w:eastAsia="Calibri" w:cs="Times New Roman"/>
                <w:sz w:val="16"/>
                <w:szCs w:val="16"/>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739E7AB" w14:textId="43961D2B">
            <w:pPr>
              <w:jc w:val="center"/>
              <w:rPr>
                <w:rFonts w:eastAsia="Calibri" w:cs="Times New Roman"/>
                <w:sz w:val="16"/>
                <w:szCs w:val="16"/>
              </w:rPr>
            </w:pPr>
            <w:r w:rsidRPr="00BA44F1">
              <w:rPr>
                <w:rFonts w:eastAsia="Calibri" w:cs="Times New Roman"/>
                <w:sz w:val="16"/>
                <w:szCs w:val="16"/>
              </w:rPr>
              <w:t>5</w:t>
            </w:r>
            <w:r w:rsidR="0001477C">
              <w:rPr>
                <w:rFonts w:eastAsia="Calibri" w:cs="Times New Roman"/>
                <w:sz w:val="16"/>
                <w:szCs w:val="16"/>
              </w:rPr>
              <w:t>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3793A1A" w14:textId="5F8F3B4A">
            <w:pPr>
              <w:jc w:val="center"/>
              <w:rPr>
                <w:rFonts w:eastAsia="Calibri" w:cs="Times New Roman"/>
                <w:sz w:val="16"/>
                <w:szCs w:val="16"/>
              </w:rPr>
            </w:pPr>
            <w:r w:rsidRPr="00BA44F1">
              <w:rPr>
                <w:rFonts w:eastAsia="Calibri" w:cs="Times New Roman"/>
                <w:sz w:val="16"/>
                <w:szCs w:val="16"/>
              </w:rPr>
              <w:t>1</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CB6CD03" w14:textId="6BC305D2">
            <w:pPr>
              <w:jc w:val="center"/>
              <w:rPr>
                <w:rFonts w:eastAsia="Calibri" w:cs="Times New Roman"/>
                <w:sz w:val="16"/>
                <w:szCs w:val="16"/>
              </w:rPr>
            </w:pPr>
            <w:r w:rsidRPr="00BA44F1">
              <w:rPr>
                <w:rFonts w:eastAsia="Calibri" w:cs="Times New Roman"/>
                <w:sz w:val="16"/>
                <w:szCs w:val="16"/>
              </w:rPr>
              <w:t>5</w:t>
            </w:r>
            <w:r w:rsidR="0001477C">
              <w:rPr>
                <w:rFonts w:eastAsia="Calibri" w:cs="Times New Roman"/>
                <w:sz w:val="16"/>
                <w:szCs w:val="16"/>
              </w:rPr>
              <w:t>1</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BE3D691" w14:textId="2BEC09B3">
            <w:pPr>
              <w:jc w:val="center"/>
              <w:rPr>
                <w:rFonts w:eastAsia="Calibri" w:cs="Times New Roman"/>
                <w:sz w:val="16"/>
                <w:szCs w:val="16"/>
              </w:rPr>
            </w:pPr>
            <w:r w:rsidRPr="00BA44F1">
              <w:rPr>
                <w:rFonts w:eastAsia="Calibri" w:cs="Times New Roman"/>
                <w:sz w:val="16"/>
                <w:szCs w:val="16"/>
              </w:rPr>
              <w:t>1</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EAB307F" w14:textId="7E2E4169">
            <w:pPr>
              <w:jc w:val="center"/>
              <w:rPr>
                <w:rFonts w:eastAsia="Calibri" w:cs="Times New Roman"/>
                <w:sz w:val="16"/>
                <w:szCs w:val="16"/>
              </w:rPr>
            </w:pPr>
            <w:r w:rsidRPr="00BA44F1">
              <w:rPr>
                <w:rFonts w:eastAsia="Calibri" w:cs="Times New Roman"/>
                <w:sz w:val="16"/>
                <w:szCs w:val="16"/>
              </w:rPr>
              <w:t>5</w:t>
            </w:r>
            <w:r w:rsidR="0001477C">
              <w:rPr>
                <w:rFonts w:eastAsia="Calibri" w:cs="Times New Roman"/>
                <w:sz w:val="16"/>
                <w:szCs w:val="16"/>
              </w:rPr>
              <w:t>1</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04425D" w14:paraId="48705E57" w14:textId="3DB44596">
            <w:pPr>
              <w:jc w:val="center"/>
              <w:rPr>
                <w:rFonts w:eastAsia="Calibri" w:cs="Times New Roman"/>
                <w:sz w:val="16"/>
                <w:szCs w:val="16"/>
              </w:rPr>
            </w:pPr>
            <w:r w:rsidRPr="00BA44F1">
              <w:rPr>
                <w:rFonts w:eastAsia="Calibri" w:cs="Times New Roman"/>
                <w:sz w:val="16"/>
                <w:szCs w:val="16"/>
              </w:rPr>
              <w:t>$26</w:t>
            </w:r>
            <w:r>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9E00028" w14:textId="388AECDE">
            <w:pPr>
              <w:jc w:val="center"/>
              <w:rPr>
                <w:rFonts w:eastAsia="Calibri" w:cs="Times New Roman"/>
                <w:sz w:val="16"/>
                <w:szCs w:val="16"/>
              </w:rPr>
            </w:pPr>
            <w:r w:rsidRPr="00BA44F1">
              <w:rPr>
                <w:rFonts w:eastAsia="Calibri" w:cs="Times New Roman"/>
                <w:sz w:val="16"/>
                <w:szCs w:val="16"/>
              </w:rPr>
              <w:t>$1,</w:t>
            </w:r>
            <w:r w:rsidR="002D4DD4">
              <w:rPr>
                <w:rFonts w:eastAsia="Calibri" w:cs="Times New Roman"/>
                <w:sz w:val="16"/>
                <w:szCs w:val="16"/>
              </w:rPr>
              <w:t>3</w:t>
            </w:r>
            <w:r w:rsidR="0004425D">
              <w:rPr>
                <w:rFonts w:eastAsia="Calibri" w:cs="Times New Roman"/>
                <w:sz w:val="16"/>
                <w:szCs w:val="16"/>
              </w:rPr>
              <w:t>48.95</w:t>
            </w:r>
          </w:p>
        </w:tc>
      </w:tr>
      <w:tr w:rsidRPr="00BA44F1" w:rsidR="001D027A" w:rsidTr="0071661E" w14:paraId="2DBF5FE2" w14:textId="77777777">
        <w:trPr>
          <w:trHeight w:val="10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57603578"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0F02C3D" w14:textId="77777777">
            <w:pPr>
              <w:jc w:val="center"/>
              <w:rPr>
                <w:rFonts w:eastAsia="Calibri" w:cs="Times New Roman"/>
                <w:sz w:val="16"/>
                <w:szCs w:val="16"/>
              </w:rPr>
            </w:pPr>
            <w:r w:rsidRPr="00BA44F1">
              <w:rPr>
                <w:rFonts w:eastAsia="Calibri" w:cs="Times New Roman"/>
                <w:sz w:val="16"/>
                <w:szCs w:val="16"/>
              </w:rPr>
              <w:t>DRGR Activation, Activity Set-Up and Completion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8DDEC5D" w14:textId="2107CBF3">
            <w:pPr>
              <w:jc w:val="center"/>
              <w:rPr>
                <w:rFonts w:eastAsia="Calibri" w:cs="Times New Roman"/>
                <w:sz w:val="16"/>
                <w:szCs w:val="16"/>
              </w:rPr>
            </w:pPr>
            <w:r w:rsidRPr="00BA44F1">
              <w:rPr>
                <w:rFonts w:eastAsia="Calibri" w:cs="Times New Roman"/>
                <w:sz w:val="16"/>
                <w:szCs w:val="16"/>
              </w:rPr>
              <w:t>5</w:t>
            </w:r>
            <w:r w:rsidR="0001477C">
              <w:rPr>
                <w:rFonts w:eastAsia="Calibri" w:cs="Times New Roman"/>
                <w:sz w:val="16"/>
                <w:szCs w:val="16"/>
              </w:rPr>
              <w:t>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4C17B36" w14:textId="5717A1FF">
            <w:pPr>
              <w:jc w:val="center"/>
              <w:rPr>
                <w:rFonts w:eastAsia="Calibri" w:cs="Times New Roman"/>
                <w:sz w:val="16"/>
                <w:szCs w:val="16"/>
              </w:rPr>
            </w:pPr>
            <w:r w:rsidRPr="00BA44F1">
              <w:rPr>
                <w:rFonts w:eastAsia="Calibri" w:cs="Times New Roman"/>
                <w:sz w:val="16"/>
                <w:szCs w:val="16"/>
              </w:rPr>
              <w:t>1</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DA08EC5" w14:textId="4F796EE2">
            <w:pPr>
              <w:jc w:val="center"/>
              <w:rPr>
                <w:rFonts w:eastAsia="Calibri" w:cs="Times New Roman"/>
                <w:sz w:val="16"/>
                <w:szCs w:val="16"/>
              </w:rPr>
            </w:pPr>
            <w:r w:rsidRPr="00BA44F1">
              <w:rPr>
                <w:rFonts w:eastAsia="Calibri" w:cs="Times New Roman"/>
                <w:sz w:val="16"/>
                <w:szCs w:val="16"/>
              </w:rPr>
              <w:t>5</w:t>
            </w:r>
            <w:r w:rsidR="0001477C">
              <w:rPr>
                <w:rFonts w:eastAsia="Calibri" w:cs="Times New Roman"/>
                <w:sz w:val="16"/>
                <w:szCs w:val="16"/>
              </w:rPr>
              <w:t>1</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39218B3" w14:textId="6C226166">
            <w:pPr>
              <w:jc w:val="center"/>
              <w:rPr>
                <w:rFonts w:eastAsia="Calibri" w:cs="Times New Roman"/>
                <w:sz w:val="16"/>
                <w:szCs w:val="16"/>
              </w:rPr>
            </w:pPr>
            <w:r w:rsidRPr="00BA44F1">
              <w:rPr>
                <w:rFonts w:eastAsia="Calibri" w:cs="Times New Roman"/>
                <w:sz w:val="16"/>
                <w:szCs w:val="16"/>
              </w:rPr>
              <w:t>20</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6CA4BB0" w14:textId="6E0A772E">
            <w:pPr>
              <w:jc w:val="center"/>
              <w:rPr>
                <w:rFonts w:eastAsia="Calibri" w:cs="Times New Roman"/>
                <w:sz w:val="16"/>
                <w:szCs w:val="16"/>
              </w:rPr>
            </w:pPr>
            <w:r w:rsidRPr="00BA44F1">
              <w:rPr>
                <w:rFonts w:eastAsia="Calibri" w:cs="Times New Roman"/>
                <w:sz w:val="16"/>
                <w:szCs w:val="16"/>
              </w:rPr>
              <w:t>1</w:t>
            </w:r>
            <w:r w:rsidR="002D4DD4">
              <w:rPr>
                <w:rFonts w:eastAsia="Calibri" w:cs="Times New Roman"/>
                <w:sz w:val="16"/>
                <w:szCs w:val="16"/>
              </w:rPr>
              <w:t>,</w:t>
            </w:r>
            <w:r w:rsidR="0001477C">
              <w:rPr>
                <w:rFonts w:eastAsia="Calibri" w:cs="Times New Roman"/>
                <w:sz w:val="16"/>
                <w:szCs w:val="16"/>
              </w:rPr>
              <w:t>020</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04425D" w14:paraId="79C695C5" w14:textId="1ECD79A8">
            <w:pPr>
              <w:jc w:val="center"/>
              <w:rPr>
                <w:rFonts w:eastAsia="Calibri" w:cs="Times New Roman"/>
                <w:sz w:val="16"/>
                <w:szCs w:val="16"/>
              </w:rPr>
            </w:pPr>
            <w:r w:rsidRPr="00BA44F1">
              <w:rPr>
                <w:rFonts w:eastAsia="Calibri" w:cs="Times New Roman"/>
                <w:sz w:val="16"/>
                <w:szCs w:val="16"/>
              </w:rPr>
              <w:t>$26</w:t>
            </w:r>
            <w:r>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26CA9EA" w14:textId="6FC4100A">
            <w:pPr>
              <w:jc w:val="center"/>
              <w:rPr>
                <w:rFonts w:eastAsia="Calibri" w:cs="Times New Roman"/>
                <w:sz w:val="16"/>
                <w:szCs w:val="16"/>
              </w:rPr>
            </w:pPr>
            <w:r w:rsidRPr="00BA44F1">
              <w:rPr>
                <w:rFonts w:eastAsia="Calibri" w:cs="Times New Roman"/>
                <w:sz w:val="16"/>
                <w:szCs w:val="16"/>
              </w:rPr>
              <w:t>$2</w:t>
            </w:r>
            <w:r w:rsidR="0001477C">
              <w:rPr>
                <w:rFonts w:eastAsia="Calibri" w:cs="Times New Roman"/>
                <w:sz w:val="16"/>
                <w:szCs w:val="16"/>
              </w:rPr>
              <w:t>6,</w:t>
            </w:r>
            <w:r w:rsidR="00072E89">
              <w:rPr>
                <w:rFonts w:eastAsia="Calibri" w:cs="Times New Roman"/>
                <w:sz w:val="16"/>
                <w:szCs w:val="16"/>
              </w:rPr>
              <w:t>979</w:t>
            </w:r>
            <w:r w:rsidRPr="00BA44F1">
              <w:rPr>
                <w:rFonts w:eastAsia="Calibri" w:cs="Times New Roman"/>
                <w:sz w:val="16"/>
                <w:szCs w:val="16"/>
              </w:rPr>
              <w:t xml:space="preserve"> </w:t>
            </w:r>
          </w:p>
        </w:tc>
      </w:tr>
      <w:tr w:rsidRPr="00BA44F1" w:rsidR="001D027A" w:rsidTr="0071661E" w14:paraId="6EF15E3A" w14:textId="77777777">
        <w:trPr>
          <w:trHeight w:val="210"/>
        </w:trPr>
        <w:tc>
          <w:tcPr>
            <w:tcW w:w="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1CE2DD5" w14:textId="77777777">
            <w:pPr>
              <w:jc w:val="center"/>
              <w:rPr>
                <w:rFonts w:cs="Times New Roman"/>
              </w:rPr>
            </w:pPr>
            <w:r w:rsidRPr="00BA44F1">
              <w:rPr>
                <w:rFonts w:eastAsia="Calibri" w:cs="Times New Roman"/>
                <w:b/>
                <w:bCs/>
                <w:sz w:val="16"/>
                <w:szCs w:val="16"/>
              </w:rPr>
              <w:t> </w:t>
            </w:r>
          </w:p>
        </w:tc>
        <w:tc>
          <w:tcPr>
            <w:tcW w:w="8532"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DC0F7DA" w14:textId="77777777">
            <w:pPr>
              <w:jc w:val="center"/>
              <w:rPr>
                <w:rFonts w:cs="Times New Roman"/>
              </w:rPr>
            </w:pPr>
            <w:r w:rsidRPr="00BA44F1">
              <w:rPr>
                <w:rFonts w:eastAsia="Calibri" w:cs="Times New Roman"/>
                <w:b/>
                <w:bCs/>
                <w:color w:val="FFFFFF"/>
                <w:sz w:val="16"/>
                <w:szCs w:val="16"/>
                <w:u w:color="FFFFFF"/>
              </w:rPr>
              <w:t> </w:t>
            </w:r>
          </w:p>
        </w:tc>
      </w:tr>
      <w:tr w:rsidRPr="00BA44F1" w:rsidR="001D027A" w:rsidTr="0071661E" w14:paraId="67A0B5C0" w14:textId="77777777">
        <w:trPr>
          <w:trHeight w:val="810"/>
        </w:trPr>
        <w:tc>
          <w:tcPr>
            <w:tcW w:w="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CB8D6F9" w14:textId="77777777">
            <w:pPr>
              <w:jc w:val="center"/>
              <w:rPr>
                <w:rFonts w:cs="Times New Roman"/>
              </w:rPr>
            </w:pPr>
            <w:r w:rsidRPr="00BA44F1">
              <w:rPr>
                <w:rFonts w:eastAsia="Calibri" w:cs="Times New Roman"/>
                <w:b/>
                <w:bCs/>
                <w:sz w:val="16"/>
                <w:szCs w:val="16"/>
              </w:rPr>
              <w:t>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A1BEAB2" w14:textId="77777777">
            <w:pPr>
              <w:jc w:val="center"/>
              <w:rPr>
                <w:rFonts w:cs="Times New Roman"/>
              </w:rPr>
            </w:pPr>
            <w:r w:rsidRPr="00BA44F1">
              <w:rPr>
                <w:rFonts w:eastAsia="Calibri" w:cs="Times New Roman"/>
                <w:b/>
                <w:bCs/>
                <w:sz w:val="16"/>
                <w:szCs w:val="16"/>
              </w:rPr>
              <w:t>Description of Information Collection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C077925" w14:textId="77777777">
            <w:pPr>
              <w:jc w:val="center"/>
              <w:rPr>
                <w:rFonts w:cs="Times New Roman"/>
              </w:rPr>
            </w:pPr>
            <w:r w:rsidRPr="00BA44F1">
              <w:rPr>
                <w:rFonts w:eastAsia="Calibri" w:cs="Times New Roman"/>
                <w:b/>
                <w:bCs/>
                <w:sz w:val="16"/>
                <w:szCs w:val="16"/>
              </w:rPr>
              <w:t>Number of Respondents</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5BF490D" w14:textId="77777777">
            <w:pPr>
              <w:jc w:val="center"/>
              <w:rPr>
                <w:rFonts w:cs="Times New Roman"/>
              </w:rPr>
            </w:pPr>
            <w:r w:rsidRPr="00BA44F1">
              <w:rPr>
                <w:rFonts w:eastAsia="Calibri" w:cs="Times New Roman"/>
                <w:b/>
                <w:bCs/>
                <w:sz w:val="16"/>
                <w:szCs w:val="16"/>
              </w:rPr>
              <w:t>Frequency of Response</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6622B93" w14:textId="77777777">
            <w:pPr>
              <w:jc w:val="center"/>
              <w:rPr>
                <w:rFonts w:cs="Times New Roman"/>
              </w:rPr>
            </w:pPr>
            <w:r w:rsidRPr="00BA44F1">
              <w:rPr>
                <w:rFonts w:eastAsia="Calibri" w:cs="Times New Roman"/>
                <w:b/>
                <w:bCs/>
                <w:sz w:val="16"/>
                <w:szCs w:val="16"/>
              </w:rPr>
              <w:t>Responses</w:t>
            </w:r>
            <w:r w:rsidRPr="00BA44F1">
              <w:rPr>
                <w:rFonts w:eastAsia="Calibri" w:cs="Times New Roman"/>
                <w:b/>
                <w:bCs/>
                <w:sz w:val="16"/>
                <w:szCs w:val="16"/>
              </w:rPr>
              <w:br/>
              <w:t>Per Annum</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F2E748D" w14:textId="77777777">
            <w:pPr>
              <w:jc w:val="center"/>
              <w:rPr>
                <w:rFonts w:cs="Times New Roman"/>
              </w:rPr>
            </w:pPr>
            <w:r w:rsidRPr="00BA44F1">
              <w:rPr>
                <w:rFonts w:eastAsia="Calibri" w:cs="Times New Roman"/>
                <w:b/>
                <w:bCs/>
                <w:sz w:val="16"/>
                <w:szCs w:val="16"/>
              </w:rPr>
              <w:t>Burden Hour Per Response</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43A305F" w14:textId="77777777">
            <w:pPr>
              <w:jc w:val="center"/>
              <w:rPr>
                <w:rFonts w:cs="Times New Roman"/>
              </w:rPr>
            </w:pPr>
            <w:r w:rsidRPr="00BA44F1">
              <w:rPr>
                <w:rFonts w:eastAsia="Calibri" w:cs="Times New Roman"/>
                <w:b/>
                <w:bCs/>
                <w:sz w:val="16"/>
                <w:szCs w:val="16"/>
              </w:rPr>
              <w:t>Annual Burden Hours</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75E7C9D" w14:textId="77777777">
            <w:pPr>
              <w:jc w:val="center"/>
              <w:rPr>
                <w:rFonts w:cs="Times New Roman"/>
              </w:rPr>
            </w:pPr>
            <w:r w:rsidRPr="00BA44F1">
              <w:rPr>
                <w:rFonts w:eastAsia="Calibri" w:cs="Times New Roman"/>
                <w:b/>
                <w:bCs/>
                <w:sz w:val="16"/>
                <w:szCs w:val="16"/>
              </w:rPr>
              <w:t>Hourly Cost Per Response</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EDF4D2E" w14:textId="77777777">
            <w:pPr>
              <w:jc w:val="center"/>
              <w:rPr>
                <w:rFonts w:cs="Times New Roman"/>
              </w:rPr>
            </w:pPr>
            <w:r w:rsidRPr="00BA44F1">
              <w:rPr>
                <w:rFonts w:eastAsia="Calibri" w:cs="Times New Roman"/>
                <w:b/>
                <w:bCs/>
                <w:sz w:val="16"/>
                <w:szCs w:val="16"/>
              </w:rPr>
              <w:t>Annual Cost</w:t>
            </w:r>
          </w:p>
        </w:tc>
      </w:tr>
      <w:tr w:rsidRPr="00BA44F1" w:rsidR="001D027A" w:rsidTr="0071661E" w14:paraId="789358CD" w14:textId="77777777">
        <w:trPr>
          <w:trHeight w:val="410"/>
        </w:trPr>
        <w:tc>
          <w:tcPr>
            <w:tcW w:w="9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B697100" w14:textId="77777777">
            <w:pPr>
              <w:jc w:val="center"/>
              <w:rPr>
                <w:rFonts w:cs="Times New Roman"/>
              </w:rPr>
            </w:pPr>
            <w:r w:rsidRPr="00BA44F1">
              <w:rPr>
                <w:rFonts w:eastAsia="Calibri" w:cs="Times New Roman"/>
                <w:b/>
                <w:bCs/>
                <w:sz w:val="16"/>
                <w:szCs w:val="16"/>
              </w:rPr>
              <w:t> </w:t>
            </w:r>
          </w:p>
        </w:tc>
        <w:tc>
          <w:tcPr>
            <w:tcW w:w="144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3720D635" w14:textId="77777777">
            <w:pPr>
              <w:jc w:val="center"/>
              <w:rPr>
                <w:rFonts w:cs="Times New Roman"/>
              </w:rPr>
            </w:pPr>
            <w:r w:rsidRPr="00BA44F1">
              <w:rPr>
                <w:rFonts w:eastAsia="Calibri" w:cs="Times New Roman"/>
                <w:b/>
                <w:bCs/>
                <w:sz w:val="16"/>
                <w:szCs w:val="16"/>
              </w:rPr>
              <w:t>REPORTING (Annual)</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01C6747E" w14:textId="77777777">
            <w:pPr>
              <w:jc w:val="center"/>
              <w:rPr>
                <w:rFonts w:cs="Times New Roman"/>
              </w:rPr>
            </w:pPr>
            <w:r w:rsidRPr="00BA44F1">
              <w:rPr>
                <w:rFonts w:eastAsia="Calibri" w:cs="Times New Roman"/>
                <w:b/>
                <w:bCs/>
                <w:sz w:val="16"/>
                <w:szCs w:val="16"/>
              </w:rPr>
              <w:t> </w:t>
            </w:r>
          </w:p>
        </w:tc>
        <w:tc>
          <w:tcPr>
            <w:tcW w:w="1123"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356FB2F5" w14:textId="77777777">
            <w:pPr>
              <w:jc w:val="center"/>
              <w:rPr>
                <w:rFonts w:cs="Times New Roman"/>
              </w:rPr>
            </w:pPr>
            <w:r w:rsidRPr="00BA44F1">
              <w:rPr>
                <w:rFonts w:eastAsia="Calibri" w:cs="Times New Roman"/>
                <w:b/>
                <w:bCs/>
                <w:sz w:val="16"/>
                <w:szCs w:val="16"/>
              </w:rPr>
              <w:t> </w:t>
            </w:r>
          </w:p>
        </w:tc>
        <w:tc>
          <w:tcPr>
            <w:tcW w:w="984"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193128CA" w14:textId="77777777">
            <w:pPr>
              <w:jc w:val="center"/>
              <w:rPr>
                <w:rFonts w:cs="Times New Roman"/>
              </w:rPr>
            </w:pPr>
            <w:r w:rsidRPr="00BA44F1">
              <w:rPr>
                <w:rFonts w:eastAsia="Calibri" w:cs="Times New Roman"/>
                <w:b/>
                <w:bCs/>
                <w:sz w:val="16"/>
                <w:szCs w:val="16"/>
              </w:rPr>
              <w:t> </w:t>
            </w:r>
          </w:p>
        </w:tc>
        <w:tc>
          <w:tcPr>
            <w:tcW w:w="871"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0DF69851" w14:textId="77777777">
            <w:pPr>
              <w:jc w:val="center"/>
              <w:rPr>
                <w:rFonts w:cs="Times New Roman"/>
              </w:rPr>
            </w:pPr>
            <w:r w:rsidRPr="00BA44F1">
              <w:rPr>
                <w:rFonts w:eastAsia="Calibri" w:cs="Times New Roman"/>
                <w:b/>
                <w:bCs/>
                <w:sz w:val="16"/>
                <w:szCs w:val="16"/>
              </w:rPr>
              <w:t> </w:t>
            </w:r>
          </w:p>
        </w:tc>
        <w:tc>
          <w:tcPr>
            <w:tcW w:w="976"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483E011D" w14:textId="77777777">
            <w:pPr>
              <w:jc w:val="center"/>
              <w:rPr>
                <w:rFonts w:cs="Times New Roman"/>
              </w:rPr>
            </w:pPr>
            <w:r w:rsidRPr="00BA44F1">
              <w:rPr>
                <w:rFonts w:eastAsia="Calibri" w:cs="Times New Roman"/>
                <w:b/>
                <w:bCs/>
                <w:sz w:val="16"/>
                <w:szCs w:val="16"/>
              </w:rPr>
              <w:t> </w:t>
            </w:r>
          </w:p>
        </w:tc>
        <w:tc>
          <w:tcPr>
            <w:tcW w:w="985"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0DBD9D64" w14:textId="77777777">
            <w:pPr>
              <w:jc w:val="center"/>
              <w:rPr>
                <w:rFonts w:cs="Times New Roman"/>
              </w:rPr>
            </w:pPr>
            <w:r w:rsidRPr="00BA44F1">
              <w:rPr>
                <w:rFonts w:eastAsia="Calibri" w:cs="Times New Roman"/>
                <w:b/>
                <w:bCs/>
                <w:sz w:val="16"/>
                <w:szCs w:val="16"/>
              </w:rPr>
              <w:t> </w:t>
            </w:r>
          </w:p>
        </w:tc>
        <w:tc>
          <w:tcPr>
            <w:tcW w:w="1073"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center"/>
          </w:tcPr>
          <w:p w:rsidRPr="00BA44F1" w:rsidR="001D027A" w:rsidRDefault="009F7862" w14:paraId="3E4BAF5D" w14:textId="77777777">
            <w:pPr>
              <w:jc w:val="center"/>
              <w:rPr>
                <w:rFonts w:cs="Times New Roman"/>
              </w:rPr>
            </w:pPr>
            <w:r w:rsidRPr="00BA44F1">
              <w:rPr>
                <w:rFonts w:eastAsia="Calibri" w:cs="Times New Roman"/>
                <w:b/>
                <w:bCs/>
                <w:sz w:val="16"/>
                <w:szCs w:val="16"/>
              </w:rPr>
              <w:t> </w:t>
            </w:r>
          </w:p>
        </w:tc>
      </w:tr>
      <w:tr w:rsidRPr="00BA44F1" w:rsidR="001D027A" w:rsidTr="0071661E" w14:paraId="137FC03D" w14:textId="77777777">
        <w:trPr>
          <w:trHeight w:val="1010"/>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7C29E64" w14:textId="77777777">
            <w:pPr>
              <w:jc w:val="center"/>
              <w:rPr>
                <w:rFonts w:cs="Times New Roman"/>
              </w:rPr>
            </w:pPr>
            <w:r w:rsidRPr="00BA44F1">
              <w:rPr>
                <w:rFonts w:eastAsia="Calibri" w:cs="Times New Roman"/>
                <w:b/>
                <w:bCs/>
                <w:sz w:val="16"/>
                <w:szCs w:val="16"/>
              </w:rPr>
              <w:t>Recurring</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0434E27" w14:textId="77777777">
            <w:pPr>
              <w:jc w:val="center"/>
              <w:rPr>
                <w:rFonts w:eastAsia="Calibri" w:cs="Times New Roman"/>
                <w:sz w:val="16"/>
                <w:szCs w:val="16"/>
              </w:rPr>
            </w:pPr>
            <w:r w:rsidRPr="00BA44F1">
              <w:rPr>
                <w:rFonts w:eastAsia="Calibri" w:cs="Times New Roman"/>
                <w:sz w:val="16"/>
                <w:szCs w:val="16"/>
              </w:rPr>
              <w:t>Average Sized Grants Online Quarterly Reporting via DRGR</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C6714F" w14:paraId="0119F042" w14:textId="4652E509">
            <w:pPr>
              <w:jc w:val="center"/>
              <w:rPr>
                <w:rFonts w:eastAsia="Calibri" w:cs="Times New Roman"/>
                <w:sz w:val="16"/>
                <w:szCs w:val="16"/>
              </w:rPr>
            </w:pPr>
            <w:r>
              <w:rPr>
                <w:rFonts w:eastAsia="Calibri" w:cs="Times New Roman"/>
                <w:sz w:val="16"/>
                <w:szCs w:val="16"/>
              </w:rPr>
              <w:t>110</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B22CF65" w14:textId="7144188C">
            <w:pPr>
              <w:jc w:val="center"/>
              <w:rPr>
                <w:rFonts w:eastAsia="Calibri" w:cs="Times New Roman"/>
                <w:sz w:val="16"/>
                <w:szCs w:val="16"/>
              </w:rPr>
            </w:pPr>
            <w:r w:rsidRPr="00BA44F1">
              <w:rPr>
                <w:rFonts w:eastAsia="Calibri" w:cs="Times New Roman"/>
                <w:sz w:val="16"/>
                <w:szCs w:val="16"/>
              </w:rPr>
              <w:t>4</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17B311A" w14:textId="1A0BFCA2">
            <w:pPr>
              <w:jc w:val="center"/>
              <w:rPr>
                <w:rFonts w:eastAsia="Calibri" w:cs="Times New Roman"/>
                <w:sz w:val="16"/>
                <w:szCs w:val="16"/>
              </w:rPr>
            </w:pPr>
            <w:r w:rsidRPr="00BA44F1">
              <w:rPr>
                <w:rFonts w:eastAsia="Calibri" w:cs="Times New Roman"/>
                <w:sz w:val="16"/>
                <w:szCs w:val="16"/>
              </w:rPr>
              <w:t>4</w:t>
            </w:r>
            <w:r w:rsidR="005E575D">
              <w:rPr>
                <w:rFonts w:eastAsia="Calibri" w:cs="Times New Roman"/>
                <w:sz w:val="16"/>
                <w:szCs w:val="16"/>
              </w:rPr>
              <w:t>40</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E17AED3" w14:textId="6578C41C">
            <w:pPr>
              <w:jc w:val="center"/>
              <w:rPr>
                <w:rFonts w:eastAsia="Calibri" w:cs="Times New Roman"/>
                <w:sz w:val="16"/>
                <w:szCs w:val="16"/>
              </w:rPr>
            </w:pPr>
            <w:r w:rsidRPr="00BA44F1">
              <w:rPr>
                <w:rFonts w:eastAsia="Calibri" w:cs="Times New Roman"/>
                <w:sz w:val="16"/>
                <w:szCs w:val="16"/>
              </w:rPr>
              <w:t>9</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D9AC292" w14:textId="13B4EA4C">
            <w:pPr>
              <w:jc w:val="center"/>
              <w:rPr>
                <w:rFonts w:eastAsia="Calibri" w:cs="Times New Roman"/>
                <w:sz w:val="16"/>
                <w:szCs w:val="16"/>
              </w:rPr>
            </w:pPr>
            <w:r w:rsidRPr="00BA44F1">
              <w:rPr>
                <w:rFonts w:eastAsia="Calibri" w:cs="Times New Roman"/>
                <w:sz w:val="16"/>
                <w:szCs w:val="16"/>
              </w:rPr>
              <w:t>3</w:t>
            </w:r>
            <w:r w:rsidR="00FB5873">
              <w:rPr>
                <w:rFonts w:eastAsia="Calibri" w:cs="Times New Roman"/>
                <w:sz w:val="16"/>
                <w:szCs w:val="16"/>
              </w:rPr>
              <w:t>,</w:t>
            </w:r>
            <w:r w:rsidR="005E575D">
              <w:rPr>
                <w:rFonts w:eastAsia="Calibri" w:cs="Times New Roman"/>
                <w:sz w:val="16"/>
                <w:szCs w:val="16"/>
              </w:rPr>
              <w:t>960</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52746C9" w14:textId="53969470">
            <w:pPr>
              <w:jc w:val="center"/>
              <w:rPr>
                <w:rFonts w:eastAsia="Calibri" w:cs="Times New Roman"/>
                <w:sz w:val="16"/>
                <w:szCs w:val="16"/>
              </w:rPr>
            </w:pPr>
            <w:r w:rsidRPr="00BA44F1">
              <w:rPr>
                <w:rFonts w:eastAsia="Calibri" w:cs="Times New Roman"/>
                <w:sz w:val="16"/>
                <w:szCs w:val="16"/>
              </w:rPr>
              <w:t>$26</w:t>
            </w:r>
            <w:r w:rsidR="0004425D">
              <w:rPr>
                <w:rFonts w:eastAsia="Calibri" w:cs="Times New Roman"/>
                <w:sz w:val="16"/>
                <w:szCs w:val="16"/>
              </w:rPr>
              <w:t>.45</w:t>
            </w:r>
            <w:r w:rsidRPr="00BA44F1">
              <w:rPr>
                <w:rFonts w:eastAsia="Calibri" w:cs="Times New Roman"/>
                <w:sz w:val="16"/>
                <w:szCs w:val="16"/>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1D027A" w14:paraId="3ED36EA7" w14:textId="77777777">
            <w:pPr>
              <w:jc w:val="center"/>
              <w:rPr>
                <w:rFonts w:eastAsia="Calibri" w:cs="Times New Roman"/>
                <w:sz w:val="16"/>
                <w:szCs w:val="16"/>
              </w:rPr>
            </w:pPr>
          </w:p>
          <w:p w:rsidRPr="00BA44F1" w:rsidR="001D027A" w:rsidRDefault="009F7862" w14:paraId="5048CA25" w14:textId="655E7512">
            <w:pPr>
              <w:jc w:val="center"/>
              <w:rPr>
                <w:rFonts w:eastAsia="Calibri" w:cs="Times New Roman"/>
                <w:sz w:val="16"/>
                <w:szCs w:val="16"/>
              </w:rPr>
            </w:pPr>
            <w:r w:rsidRPr="00BA44F1">
              <w:rPr>
                <w:rFonts w:eastAsia="Calibri" w:cs="Times New Roman"/>
                <w:sz w:val="16"/>
                <w:szCs w:val="16"/>
              </w:rPr>
              <w:t>$</w:t>
            </w:r>
            <w:r w:rsidR="005E575D">
              <w:rPr>
                <w:rFonts w:eastAsia="Calibri" w:cs="Times New Roman"/>
                <w:sz w:val="16"/>
                <w:szCs w:val="16"/>
              </w:rPr>
              <w:t>10</w:t>
            </w:r>
            <w:r w:rsidR="0004425D">
              <w:rPr>
                <w:rFonts w:eastAsia="Calibri" w:cs="Times New Roman"/>
                <w:sz w:val="16"/>
                <w:szCs w:val="16"/>
              </w:rPr>
              <w:t>4,742</w:t>
            </w:r>
            <w:r w:rsidR="004709F4">
              <w:rPr>
                <w:rFonts w:eastAsia="Calibri" w:cs="Times New Roman"/>
                <w:sz w:val="16"/>
                <w:szCs w:val="16"/>
              </w:rPr>
              <w:t>.00</w:t>
            </w:r>
          </w:p>
        </w:tc>
      </w:tr>
      <w:tr w:rsidRPr="00BA44F1" w:rsidR="001D027A" w:rsidTr="0071661E" w14:paraId="5486B370" w14:textId="77777777">
        <w:trPr>
          <w:trHeight w:val="10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26FEB2FD"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4254AB0" w14:textId="77777777">
            <w:pPr>
              <w:jc w:val="center"/>
              <w:rPr>
                <w:rFonts w:eastAsia="Calibri" w:cs="Times New Roman"/>
                <w:sz w:val="16"/>
                <w:szCs w:val="16"/>
              </w:rPr>
            </w:pPr>
            <w:r w:rsidRPr="00BA44F1">
              <w:rPr>
                <w:rFonts w:eastAsia="Calibri" w:cs="Times New Roman"/>
                <w:sz w:val="16"/>
                <w:szCs w:val="16"/>
              </w:rPr>
              <w:t>Large Grants Online Quarterly Reporting via DRGR</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C6714F" w14:paraId="75AEECF2" w14:textId="46DE3BA2">
            <w:pPr>
              <w:jc w:val="center"/>
              <w:rPr>
                <w:rFonts w:eastAsia="Calibri" w:cs="Times New Roman"/>
                <w:sz w:val="16"/>
                <w:szCs w:val="16"/>
              </w:rPr>
            </w:pPr>
            <w:r>
              <w:rPr>
                <w:rFonts w:eastAsia="Calibri" w:cs="Times New Roman"/>
                <w:sz w:val="16"/>
                <w:szCs w:val="16"/>
              </w:rPr>
              <w:t>31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2C4E3CB" w14:textId="3F380D53">
            <w:pPr>
              <w:jc w:val="center"/>
              <w:rPr>
                <w:rFonts w:eastAsia="Calibri" w:cs="Times New Roman"/>
                <w:sz w:val="16"/>
                <w:szCs w:val="16"/>
              </w:rPr>
            </w:pPr>
            <w:r w:rsidRPr="00BA44F1">
              <w:rPr>
                <w:rFonts w:eastAsia="Calibri" w:cs="Times New Roman"/>
                <w:sz w:val="16"/>
                <w:szCs w:val="16"/>
              </w:rPr>
              <w:t>4</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5E575D" w14:paraId="6663C187" w14:textId="17206CD0">
            <w:pPr>
              <w:jc w:val="center"/>
              <w:rPr>
                <w:rFonts w:eastAsia="Calibri" w:cs="Times New Roman"/>
                <w:sz w:val="16"/>
                <w:szCs w:val="16"/>
              </w:rPr>
            </w:pPr>
            <w:r>
              <w:rPr>
                <w:rFonts w:eastAsia="Calibri" w:cs="Times New Roman"/>
                <w:sz w:val="16"/>
                <w:szCs w:val="16"/>
              </w:rPr>
              <w:t>124</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C044FA2" w14:textId="255E9E34">
            <w:pPr>
              <w:jc w:val="center"/>
              <w:rPr>
                <w:rFonts w:eastAsia="Calibri" w:cs="Times New Roman"/>
                <w:sz w:val="16"/>
                <w:szCs w:val="16"/>
              </w:rPr>
            </w:pPr>
            <w:r w:rsidRPr="00BA44F1">
              <w:rPr>
                <w:rFonts w:eastAsia="Calibri" w:cs="Times New Roman"/>
                <w:sz w:val="16"/>
                <w:szCs w:val="16"/>
              </w:rPr>
              <w:t>57</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5E575D" w14:paraId="6C6FA96E" w14:textId="686CD469">
            <w:pPr>
              <w:jc w:val="center"/>
              <w:rPr>
                <w:rFonts w:eastAsia="Calibri" w:cs="Times New Roman"/>
                <w:sz w:val="16"/>
                <w:szCs w:val="16"/>
              </w:rPr>
            </w:pPr>
            <w:r>
              <w:rPr>
                <w:rFonts w:eastAsia="Calibri" w:cs="Times New Roman"/>
                <w:sz w:val="16"/>
                <w:szCs w:val="16"/>
              </w:rPr>
              <w:t>7,068</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2C3C7EA" w14:textId="49708B99">
            <w:pPr>
              <w:jc w:val="center"/>
              <w:rPr>
                <w:rFonts w:eastAsia="Calibri" w:cs="Times New Roman"/>
                <w:sz w:val="16"/>
                <w:szCs w:val="16"/>
              </w:rPr>
            </w:pPr>
            <w:r w:rsidRPr="00BA44F1">
              <w:rPr>
                <w:rFonts w:eastAsia="Calibri" w:cs="Times New Roman"/>
                <w:sz w:val="16"/>
                <w:szCs w:val="16"/>
              </w:rPr>
              <w:t xml:space="preserve">$26 </w:t>
            </w:r>
            <w:r w:rsidR="0004425D">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BD925A9" w14:textId="7B8E442D">
            <w:pPr>
              <w:jc w:val="center"/>
              <w:rPr>
                <w:rFonts w:eastAsia="Calibri" w:cs="Times New Roman"/>
                <w:sz w:val="16"/>
                <w:szCs w:val="16"/>
              </w:rPr>
            </w:pPr>
            <w:r w:rsidRPr="00BA44F1">
              <w:rPr>
                <w:rFonts w:eastAsia="Calibri" w:cs="Times New Roman"/>
                <w:sz w:val="16"/>
                <w:szCs w:val="16"/>
              </w:rPr>
              <w:t>$</w:t>
            </w:r>
            <w:r w:rsidR="005E575D">
              <w:rPr>
                <w:rFonts w:eastAsia="Calibri" w:cs="Times New Roman"/>
                <w:sz w:val="16"/>
                <w:szCs w:val="16"/>
              </w:rPr>
              <w:t>18</w:t>
            </w:r>
            <w:r w:rsidR="0004425D">
              <w:rPr>
                <w:rFonts w:eastAsia="Calibri" w:cs="Times New Roman"/>
                <w:sz w:val="16"/>
                <w:szCs w:val="16"/>
              </w:rPr>
              <w:t>6,948.60</w:t>
            </w:r>
          </w:p>
        </w:tc>
      </w:tr>
      <w:tr w:rsidRPr="00BA44F1" w:rsidR="001D027A" w:rsidTr="0071661E" w14:paraId="216E56CA" w14:textId="77777777">
        <w:trPr>
          <w:trHeight w:val="8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4E9EB105"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8F9E4C8" w14:textId="77777777">
            <w:pPr>
              <w:jc w:val="center"/>
              <w:rPr>
                <w:rFonts w:eastAsia="Calibri" w:cs="Times New Roman"/>
                <w:sz w:val="16"/>
                <w:szCs w:val="16"/>
              </w:rPr>
            </w:pPr>
            <w:r w:rsidRPr="00BA44F1">
              <w:rPr>
                <w:rFonts w:eastAsia="Calibri" w:cs="Times New Roman"/>
                <w:sz w:val="16"/>
                <w:szCs w:val="16"/>
              </w:rPr>
              <w:t>Average-sized grants online voucher submissions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5E575D" w14:paraId="65CAAFEF" w14:textId="25548AB4">
            <w:pPr>
              <w:jc w:val="center"/>
              <w:rPr>
                <w:rFonts w:eastAsia="Calibri" w:cs="Times New Roman"/>
                <w:sz w:val="16"/>
                <w:szCs w:val="16"/>
              </w:rPr>
            </w:pPr>
            <w:r>
              <w:rPr>
                <w:rFonts w:eastAsia="Calibri" w:cs="Times New Roman"/>
                <w:sz w:val="16"/>
                <w:szCs w:val="16"/>
              </w:rPr>
              <w:t>110</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D4DD4" w14:paraId="2BCC5784" w14:textId="04E6585C">
            <w:pPr>
              <w:jc w:val="center"/>
              <w:rPr>
                <w:rFonts w:eastAsia="Calibri" w:cs="Times New Roman"/>
                <w:sz w:val="16"/>
                <w:szCs w:val="16"/>
              </w:rPr>
            </w:pPr>
            <w:r>
              <w:rPr>
                <w:rFonts w:eastAsia="Calibri" w:cs="Times New Roman"/>
                <w:sz w:val="16"/>
                <w:szCs w:val="16"/>
              </w:rPr>
              <w:t>16</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D4DD4" w14:paraId="594627D0" w14:textId="55A4A887">
            <w:pPr>
              <w:jc w:val="center"/>
              <w:rPr>
                <w:rFonts w:eastAsia="Calibri" w:cs="Times New Roman"/>
                <w:sz w:val="16"/>
                <w:szCs w:val="16"/>
              </w:rPr>
            </w:pPr>
            <w:r>
              <w:rPr>
                <w:rFonts w:eastAsia="Calibri" w:cs="Times New Roman"/>
                <w:sz w:val="16"/>
                <w:szCs w:val="16"/>
              </w:rPr>
              <w:t>1,760</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3722DA0" w14:textId="77777777">
            <w:pPr>
              <w:jc w:val="center"/>
              <w:rPr>
                <w:rFonts w:eastAsia="Calibri" w:cs="Times New Roman"/>
                <w:sz w:val="16"/>
                <w:szCs w:val="16"/>
              </w:rPr>
            </w:pPr>
            <w:r w:rsidRPr="00BA44F1">
              <w:rPr>
                <w:rFonts w:eastAsia="Calibri" w:cs="Times New Roman"/>
                <w:sz w:val="16"/>
                <w:szCs w:val="16"/>
              </w:rPr>
              <w:t>0.22</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E0423B" w14:paraId="7E4D55DF" w14:textId="7958DF08">
            <w:pPr>
              <w:jc w:val="center"/>
              <w:rPr>
                <w:rFonts w:eastAsia="Calibri" w:cs="Times New Roman"/>
                <w:sz w:val="16"/>
                <w:szCs w:val="16"/>
              </w:rPr>
            </w:pPr>
            <w:r>
              <w:rPr>
                <w:rFonts w:eastAsia="Calibri" w:cs="Times New Roman"/>
                <w:sz w:val="16"/>
                <w:szCs w:val="16"/>
              </w:rPr>
              <w:t>38</w:t>
            </w:r>
            <w:r w:rsidR="00B73E44">
              <w:rPr>
                <w:rFonts w:eastAsia="Calibri" w:cs="Times New Roman"/>
                <w:sz w:val="16"/>
                <w:szCs w:val="16"/>
              </w:rPr>
              <w:t>7.2</w:t>
            </w:r>
            <w:r w:rsidR="004709F4">
              <w:rPr>
                <w:rFonts w:eastAsia="Calibri" w:cs="Times New Roman"/>
                <w:sz w:val="16"/>
                <w:szCs w:val="16"/>
              </w:rPr>
              <w:t>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7E44ADD" w14:textId="288B094B">
            <w:pPr>
              <w:jc w:val="center"/>
              <w:rPr>
                <w:rFonts w:eastAsia="Calibri" w:cs="Times New Roman"/>
                <w:sz w:val="16"/>
                <w:szCs w:val="16"/>
              </w:rPr>
            </w:pPr>
            <w:r w:rsidRPr="00BA44F1">
              <w:rPr>
                <w:rFonts w:eastAsia="Calibri" w:cs="Times New Roman"/>
                <w:sz w:val="16"/>
                <w:szCs w:val="16"/>
              </w:rPr>
              <w:t xml:space="preserve">$26 </w:t>
            </w:r>
            <w:r w:rsidR="0004425D">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1D027A" w14:paraId="0C18EE0F" w14:textId="77777777">
            <w:pPr>
              <w:jc w:val="center"/>
              <w:rPr>
                <w:rFonts w:eastAsia="Calibri" w:cs="Times New Roman"/>
                <w:sz w:val="16"/>
                <w:szCs w:val="16"/>
              </w:rPr>
            </w:pPr>
          </w:p>
          <w:p w:rsidRPr="00BA44F1" w:rsidR="001D027A" w:rsidRDefault="009F7862" w14:paraId="33716CF9" w14:textId="7B3756D4">
            <w:pPr>
              <w:jc w:val="center"/>
              <w:rPr>
                <w:rFonts w:eastAsia="Calibri" w:cs="Times New Roman"/>
                <w:sz w:val="16"/>
                <w:szCs w:val="16"/>
              </w:rPr>
            </w:pPr>
            <w:r w:rsidRPr="00BA44F1">
              <w:rPr>
                <w:rFonts w:eastAsia="Calibri" w:cs="Times New Roman"/>
                <w:sz w:val="16"/>
                <w:szCs w:val="16"/>
              </w:rPr>
              <w:t>$</w:t>
            </w:r>
            <w:r w:rsidR="00E0423B">
              <w:rPr>
                <w:rFonts w:eastAsia="Calibri" w:cs="Times New Roman"/>
                <w:sz w:val="16"/>
                <w:szCs w:val="16"/>
              </w:rPr>
              <w:t>10,</w:t>
            </w:r>
            <w:r w:rsidR="0004425D">
              <w:rPr>
                <w:rFonts w:eastAsia="Calibri" w:cs="Times New Roman"/>
                <w:sz w:val="16"/>
                <w:szCs w:val="16"/>
              </w:rPr>
              <w:t>241.44</w:t>
            </w:r>
          </w:p>
        </w:tc>
      </w:tr>
      <w:tr w:rsidRPr="00BA44F1" w:rsidR="001D027A" w:rsidTr="0071661E" w14:paraId="3CA06BBD" w14:textId="77777777">
        <w:trPr>
          <w:trHeight w:val="8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21043E0E"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ACD5B2E" w14:textId="77777777">
            <w:pPr>
              <w:jc w:val="center"/>
              <w:rPr>
                <w:rFonts w:eastAsia="Calibri" w:cs="Times New Roman"/>
                <w:sz w:val="16"/>
                <w:szCs w:val="16"/>
              </w:rPr>
            </w:pPr>
            <w:r w:rsidRPr="00BA44F1">
              <w:rPr>
                <w:rFonts w:eastAsia="Calibri" w:cs="Times New Roman"/>
                <w:sz w:val="16"/>
                <w:szCs w:val="16"/>
              </w:rPr>
              <w:t>Large-sized grants online voucher submission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5E575D" w14:paraId="732FC11C" w14:textId="2653CC73">
            <w:pPr>
              <w:jc w:val="center"/>
              <w:rPr>
                <w:rFonts w:eastAsia="Calibri" w:cs="Times New Roman"/>
                <w:sz w:val="16"/>
                <w:szCs w:val="16"/>
              </w:rPr>
            </w:pPr>
            <w:r>
              <w:rPr>
                <w:rFonts w:eastAsia="Calibri" w:cs="Times New Roman"/>
                <w:sz w:val="16"/>
                <w:szCs w:val="16"/>
              </w:rPr>
              <w:t>31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D4DD4" w14:paraId="0A10415E" w14:textId="626132FA">
            <w:pPr>
              <w:jc w:val="center"/>
              <w:rPr>
                <w:rFonts w:eastAsia="Calibri" w:cs="Times New Roman"/>
                <w:sz w:val="16"/>
                <w:szCs w:val="16"/>
              </w:rPr>
            </w:pPr>
            <w:r>
              <w:rPr>
                <w:rFonts w:eastAsia="Calibri" w:cs="Times New Roman"/>
                <w:sz w:val="16"/>
                <w:szCs w:val="16"/>
              </w:rPr>
              <w:t>202</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D4DD4" w14:paraId="2CA85FBB" w14:textId="6501A941">
            <w:pPr>
              <w:jc w:val="center"/>
              <w:rPr>
                <w:rFonts w:eastAsia="Calibri" w:cs="Times New Roman"/>
                <w:sz w:val="16"/>
                <w:szCs w:val="16"/>
              </w:rPr>
            </w:pPr>
            <w:r>
              <w:rPr>
                <w:rFonts w:eastAsia="Calibri" w:cs="Times New Roman"/>
                <w:sz w:val="16"/>
                <w:szCs w:val="16"/>
              </w:rPr>
              <w:t>6,262</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26D65B2" w14:textId="2A67E83A">
            <w:pPr>
              <w:jc w:val="center"/>
              <w:rPr>
                <w:rFonts w:eastAsia="Calibri" w:cs="Times New Roman"/>
                <w:sz w:val="16"/>
                <w:szCs w:val="16"/>
              </w:rPr>
            </w:pPr>
            <w:r w:rsidRPr="00BA44F1">
              <w:rPr>
                <w:rFonts w:eastAsia="Calibri" w:cs="Times New Roman"/>
                <w:sz w:val="16"/>
                <w:szCs w:val="16"/>
              </w:rPr>
              <w:t>0.37</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E0423B" w14:paraId="49E3328F" w14:textId="354E6250">
            <w:pPr>
              <w:jc w:val="center"/>
              <w:rPr>
                <w:rFonts w:eastAsia="Calibri" w:cs="Times New Roman"/>
                <w:sz w:val="16"/>
                <w:szCs w:val="16"/>
              </w:rPr>
            </w:pPr>
            <w:r>
              <w:rPr>
                <w:rFonts w:eastAsia="Calibri" w:cs="Times New Roman"/>
                <w:sz w:val="16"/>
                <w:szCs w:val="16"/>
              </w:rPr>
              <w:t>2,31</w:t>
            </w:r>
            <w:r w:rsidR="00B73E44">
              <w:rPr>
                <w:rFonts w:eastAsia="Calibri" w:cs="Times New Roman"/>
                <w:sz w:val="16"/>
                <w:szCs w:val="16"/>
              </w:rPr>
              <w:t>6.94</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C176A12" w14:textId="0F00BEBA">
            <w:pPr>
              <w:jc w:val="center"/>
              <w:rPr>
                <w:rFonts w:eastAsia="Calibri" w:cs="Times New Roman"/>
                <w:sz w:val="16"/>
                <w:szCs w:val="16"/>
              </w:rPr>
            </w:pPr>
            <w:r w:rsidRPr="00BA44F1">
              <w:rPr>
                <w:rFonts w:eastAsia="Calibri" w:cs="Times New Roman"/>
                <w:sz w:val="16"/>
                <w:szCs w:val="16"/>
              </w:rPr>
              <w:t xml:space="preserve">$26 </w:t>
            </w:r>
            <w:r w:rsidR="0004425D">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94D1161" w14:textId="18E8A48E">
            <w:pPr>
              <w:jc w:val="center"/>
              <w:rPr>
                <w:rFonts w:eastAsia="Calibri" w:cs="Times New Roman"/>
                <w:sz w:val="16"/>
                <w:szCs w:val="16"/>
              </w:rPr>
            </w:pPr>
            <w:r w:rsidRPr="00BA44F1">
              <w:rPr>
                <w:rFonts w:eastAsia="Calibri" w:cs="Times New Roman"/>
                <w:sz w:val="16"/>
                <w:szCs w:val="16"/>
              </w:rPr>
              <w:t>$</w:t>
            </w:r>
            <w:r w:rsidR="00E0423B">
              <w:rPr>
                <w:rFonts w:eastAsia="Calibri" w:cs="Times New Roman"/>
                <w:sz w:val="16"/>
                <w:szCs w:val="16"/>
              </w:rPr>
              <w:t>6</w:t>
            </w:r>
            <w:r w:rsidR="0004425D">
              <w:rPr>
                <w:rFonts w:eastAsia="Calibri" w:cs="Times New Roman"/>
                <w:sz w:val="16"/>
                <w:szCs w:val="16"/>
              </w:rPr>
              <w:t>1,283.06</w:t>
            </w:r>
            <w:r w:rsidRPr="00BA44F1">
              <w:rPr>
                <w:rFonts w:eastAsia="Calibri" w:cs="Times New Roman"/>
                <w:sz w:val="16"/>
                <w:szCs w:val="16"/>
              </w:rPr>
              <w:t xml:space="preserve"> </w:t>
            </w:r>
          </w:p>
        </w:tc>
      </w:tr>
      <w:tr w:rsidRPr="00BA44F1" w:rsidR="00FE2954" w:rsidTr="0071661E" w14:paraId="63906566" w14:textId="77777777">
        <w:trPr>
          <w:trHeight w:val="6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FE2954" w:rsidRDefault="00FE2954" w14:paraId="45242ECB"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FE2954" w:rsidRDefault="00FE2954" w14:paraId="1823FA3D" w14:textId="6B6187B6">
            <w:pPr>
              <w:jc w:val="center"/>
              <w:rPr>
                <w:rFonts w:eastAsia="Calibri" w:cs="Times New Roman"/>
                <w:sz w:val="16"/>
                <w:szCs w:val="16"/>
              </w:rPr>
            </w:pPr>
            <w:r>
              <w:rPr>
                <w:rFonts w:eastAsia="Calibri" w:cs="Times New Roman"/>
                <w:sz w:val="16"/>
                <w:szCs w:val="16"/>
              </w:rPr>
              <w:t>Action Plan Amendments (includes updated Projections)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FE2954" w:rsidRDefault="00FE2954" w14:paraId="3743BD7E" w14:textId="41A8C531">
            <w:pPr>
              <w:jc w:val="center"/>
              <w:rPr>
                <w:rFonts w:eastAsia="Calibri" w:cs="Times New Roman"/>
                <w:sz w:val="16"/>
                <w:szCs w:val="16"/>
              </w:rPr>
            </w:pPr>
            <w:r>
              <w:rPr>
                <w:rFonts w:eastAsia="Calibri" w:cs="Times New Roman"/>
                <w:sz w:val="16"/>
                <w:szCs w:val="16"/>
              </w:rPr>
              <w:t>141</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FE2954" w:rsidRDefault="00FE2954" w14:paraId="3CC9619E" w14:textId="7CEC0070">
            <w:pPr>
              <w:jc w:val="center"/>
              <w:rPr>
                <w:rFonts w:eastAsia="Calibri" w:cs="Times New Roman"/>
                <w:sz w:val="16"/>
                <w:szCs w:val="16"/>
              </w:rPr>
            </w:pPr>
            <w:r>
              <w:rPr>
                <w:rFonts w:eastAsia="Calibri" w:cs="Times New Roman"/>
                <w:sz w:val="16"/>
                <w:szCs w:val="16"/>
              </w:rPr>
              <w:t>2</w:t>
            </w:r>
            <w:r w:rsidR="004709F4">
              <w:rPr>
                <w:rFonts w:eastAsia="Calibri" w:cs="Times New Roman"/>
                <w:sz w:val="16"/>
                <w:szCs w:val="16"/>
              </w:rPr>
              <w:t>.00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FE2954" w:rsidRDefault="00FE2954" w14:paraId="14B2B1E2" w14:textId="32B1FB9D">
            <w:pPr>
              <w:jc w:val="center"/>
              <w:rPr>
                <w:rFonts w:eastAsia="Calibri" w:cs="Times New Roman"/>
                <w:sz w:val="16"/>
                <w:szCs w:val="16"/>
              </w:rPr>
            </w:pPr>
            <w:r>
              <w:rPr>
                <w:rFonts w:eastAsia="Calibri" w:cs="Times New Roman"/>
                <w:sz w:val="16"/>
                <w:szCs w:val="16"/>
              </w:rPr>
              <w:t>282</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FE2954" w:rsidRDefault="00FE2954" w14:paraId="265EE985" w14:textId="5BE594D3">
            <w:pPr>
              <w:jc w:val="center"/>
              <w:rPr>
                <w:rFonts w:eastAsia="Calibri" w:cs="Times New Roman"/>
                <w:sz w:val="16"/>
                <w:szCs w:val="16"/>
              </w:rPr>
            </w:pPr>
            <w:r>
              <w:rPr>
                <w:rFonts w:eastAsia="Calibri" w:cs="Times New Roman"/>
                <w:sz w:val="16"/>
                <w:szCs w:val="16"/>
              </w:rPr>
              <w:t>15</w:t>
            </w:r>
            <w:r w:rsidR="004709F4">
              <w:rPr>
                <w:rFonts w:eastAsia="Calibri" w:cs="Times New Roman"/>
                <w:sz w:val="16"/>
                <w:szCs w:val="16"/>
              </w:rPr>
              <w:t>.00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00FE2954" w:rsidRDefault="00FE2954" w14:paraId="2231528F" w14:textId="75B04BF2">
            <w:pPr>
              <w:jc w:val="center"/>
              <w:rPr>
                <w:rFonts w:eastAsia="Calibri" w:cs="Times New Roman"/>
                <w:sz w:val="16"/>
                <w:szCs w:val="16"/>
              </w:rPr>
            </w:pPr>
            <w:r>
              <w:rPr>
                <w:rFonts w:eastAsia="Calibri" w:cs="Times New Roman"/>
                <w:sz w:val="16"/>
                <w:szCs w:val="16"/>
              </w:rPr>
              <w:t>4,230</w:t>
            </w:r>
            <w:r w:rsidR="004709F4">
              <w:rPr>
                <w:rFonts w:eastAsia="Calibri" w:cs="Times New Roman"/>
                <w:sz w:val="16"/>
                <w:szCs w:val="16"/>
              </w:rPr>
              <w:t>.00</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FE2954" w:rsidRDefault="00FE2954" w14:paraId="5938F71D" w14:textId="6D2D4EA7">
            <w:pPr>
              <w:jc w:val="center"/>
              <w:rPr>
                <w:rFonts w:eastAsia="Calibri" w:cs="Times New Roman"/>
                <w:sz w:val="16"/>
                <w:szCs w:val="16"/>
              </w:rPr>
            </w:pPr>
            <w:r w:rsidRPr="00BA44F1">
              <w:rPr>
                <w:rFonts w:eastAsia="Calibri" w:cs="Times New Roman"/>
                <w:sz w:val="16"/>
                <w:szCs w:val="16"/>
              </w:rPr>
              <w:t>$26</w:t>
            </w:r>
            <w:r w:rsidR="0004425D">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FE2954" w:rsidRDefault="00FE2954" w14:paraId="796CF217" w14:textId="3D6D1417">
            <w:pPr>
              <w:jc w:val="center"/>
              <w:rPr>
                <w:rFonts w:eastAsia="Calibri" w:cs="Times New Roman"/>
                <w:sz w:val="16"/>
                <w:szCs w:val="16"/>
              </w:rPr>
            </w:pPr>
            <w:r>
              <w:rPr>
                <w:rFonts w:eastAsia="Calibri" w:cs="Times New Roman"/>
                <w:sz w:val="16"/>
                <w:szCs w:val="16"/>
              </w:rPr>
              <w:t>$1</w:t>
            </w:r>
            <w:r w:rsidR="0004425D">
              <w:rPr>
                <w:rFonts w:eastAsia="Calibri" w:cs="Times New Roman"/>
                <w:sz w:val="16"/>
                <w:szCs w:val="16"/>
              </w:rPr>
              <w:t>11,883.50</w:t>
            </w:r>
          </w:p>
        </w:tc>
      </w:tr>
      <w:tr w:rsidRPr="00BA44F1" w:rsidR="001D027A" w:rsidTr="0071661E" w14:paraId="31F15F16" w14:textId="77777777">
        <w:trPr>
          <w:trHeight w:val="610"/>
        </w:trPr>
        <w:tc>
          <w:tcPr>
            <w:tcW w:w="944" w:type="dxa"/>
            <w:vMerge/>
            <w:tcBorders>
              <w:top w:val="single" w:color="000000" w:sz="4" w:space="0"/>
              <w:left w:val="single" w:color="000000" w:sz="4" w:space="0"/>
              <w:bottom w:val="single" w:color="000000" w:sz="4" w:space="0"/>
              <w:right w:val="single" w:color="000000" w:sz="4" w:space="0"/>
            </w:tcBorders>
            <w:shd w:val="clear" w:color="auto" w:fill="auto"/>
          </w:tcPr>
          <w:p w:rsidRPr="00BA44F1" w:rsidR="001D027A" w:rsidRDefault="001D027A" w14:paraId="7151FFA8" w14:textId="77777777">
            <w:pPr>
              <w:rPr>
                <w:rFonts w:cs="Times New Roma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1C9D39A" w14:textId="77777777">
            <w:pPr>
              <w:jc w:val="center"/>
              <w:rPr>
                <w:rFonts w:eastAsia="Calibri" w:cs="Times New Roman"/>
                <w:sz w:val="16"/>
                <w:szCs w:val="16"/>
              </w:rPr>
            </w:pPr>
            <w:r w:rsidRPr="00BA44F1">
              <w:rPr>
                <w:rFonts w:eastAsia="Calibri" w:cs="Times New Roman"/>
                <w:sz w:val="16"/>
                <w:szCs w:val="16"/>
              </w:rPr>
              <w:t>TOTAL PAPERWORK BURDEN</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90152" w14:paraId="66C7B9A6" w14:textId="05B3D511">
            <w:pPr>
              <w:jc w:val="center"/>
              <w:rPr>
                <w:rFonts w:eastAsia="Calibri" w:cs="Times New Roman"/>
                <w:sz w:val="16"/>
                <w:szCs w:val="16"/>
              </w:rPr>
            </w:pPr>
            <w:r>
              <w:rPr>
                <w:rFonts w:eastAsia="Calibri" w:cs="Times New Roman"/>
                <w:sz w:val="16"/>
                <w:szCs w:val="16"/>
              </w:rPr>
              <w:t>729</w:t>
            </w:r>
            <w:r w:rsidR="004709F4">
              <w:rPr>
                <w:rFonts w:eastAsia="Calibri" w:cs="Times New Roman"/>
                <w:sz w:val="16"/>
                <w:szCs w:val="16"/>
              </w:rPr>
              <w:t>.00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729F524" w14:textId="77777777">
            <w:pPr>
              <w:jc w:val="center"/>
              <w:rPr>
                <w:rFonts w:eastAsia="Calibri" w:cs="Times New Roman"/>
                <w:sz w:val="16"/>
                <w:szCs w:val="16"/>
              </w:rPr>
            </w:pPr>
            <w:r w:rsidRPr="00BA44F1">
              <w:rPr>
                <w:rFonts w:eastAsia="Calibri" w:cs="Times New Roman"/>
                <w:sz w:val="16"/>
                <w:szCs w:val="16"/>
              </w:rPr>
              <w:t>Varies</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90152" w14:paraId="3FAE25C4" w14:textId="2C06D6F9">
            <w:pPr>
              <w:jc w:val="center"/>
              <w:rPr>
                <w:rFonts w:eastAsia="Calibri" w:cs="Times New Roman"/>
                <w:sz w:val="16"/>
                <w:szCs w:val="16"/>
              </w:rPr>
            </w:pPr>
            <w:r>
              <w:rPr>
                <w:rFonts w:eastAsia="Calibri" w:cs="Times New Roman"/>
                <w:sz w:val="16"/>
                <w:szCs w:val="16"/>
              </w:rPr>
              <w:t>9,174</w:t>
            </w:r>
            <w:r w:rsidR="004709F4">
              <w:rPr>
                <w:rFonts w:eastAsia="Calibri" w:cs="Times New Roman"/>
                <w:sz w:val="16"/>
                <w:szCs w:val="16"/>
              </w:rPr>
              <w:t>.00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6EBB92E" w14:textId="77777777">
            <w:pPr>
              <w:jc w:val="center"/>
              <w:rPr>
                <w:rFonts w:eastAsia="Calibri" w:cs="Times New Roman"/>
                <w:sz w:val="16"/>
                <w:szCs w:val="16"/>
              </w:rPr>
            </w:pPr>
            <w:r w:rsidRPr="00BA44F1">
              <w:rPr>
                <w:rFonts w:eastAsia="Calibri" w:cs="Times New Roman"/>
                <w:sz w:val="16"/>
                <w:szCs w:val="16"/>
              </w:rPr>
              <w:t>Varies</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075269" w14:paraId="6C2BDF8B" w14:textId="1AFA2918">
            <w:pPr>
              <w:jc w:val="center"/>
              <w:rPr>
                <w:rFonts w:eastAsia="Calibri" w:cs="Times New Roman"/>
                <w:sz w:val="16"/>
                <w:szCs w:val="16"/>
              </w:rPr>
            </w:pPr>
            <w:r>
              <w:rPr>
                <w:rFonts w:eastAsia="Calibri" w:cs="Times New Roman"/>
                <w:sz w:val="16"/>
                <w:szCs w:val="16"/>
              </w:rPr>
              <w:t>24,592.14</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A2BBC6C" w14:textId="37F386A5">
            <w:pPr>
              <w:jc w:val="center"/>
              <w:rPr>
                <w:rFonts w:eastAsia="Calibri" w:cs="Times New Roman"/>
                <w:sz w:val="16"/>
                <w:szCs w:val="16"/>
              </w:rPr>
            </w:pPr>
            <w:r w:rsidRPr="00BA44F1">
              <w:rPr>
                <w:rFonts w:eastAsia="Calibri" w:cs="Times New Roman"/>
                <w:sz w:val="16"/>
                <w:szCs w:val="16"/>
              </w:rPr>
              <w:t>$26</w:t>
            </w:r>
            <w:r w:rsidR="0004425D">
              <w:rPr>
                <w:rFonts w:eastAsia="Calibri" w:cs="Times New Roman"/>
                <w:sz w:val="16"/>
                <w:szCs w:val="16"/>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AE86EDA" w14:textId="0F81FB76">
            <w:pPr>
              <w:jc w:val="center"/>
              <w:rPr>
                <w:rFonts w:eastAsia="Calibri" w:cs="Times New Roman"/>
                <w:sz w:val="16"/>
                <w:szCs w:val="16"/>
              </w:rPr>
            </w:pPr>
            <w:r w:rsidRPr="00BA44F1">
              <w:rPr>
                <w:rFonts w:eastAsia="Calibri" w:cs="Times New Roman"/>
                <w:sz w:val="16"/>
                <w:szCs w:val="16"/>
              </w:rPr>
              <w:t>$</w:t>
            </w:r>
            <w:r w:rsidR="00E968D6">
              <w:rPr>
                <w:rFonts w:eastAsia="Calibri" w:cs="Times New Roman"/>
                <w:sz w:val="16"/>
                <w:szCs w:val="16"/>
              </w:rPr>
              <w:t>6</w:t>
            </w:r>
            <w:r w:rsidR="0004425D">
              <w:rPr>
                <w:rFonts w:eastAsia="Calibri" w:cs="Times New Roman"/>
                <w:sz w:val="16"/>
                <w:szCs w:val="16"/>
              </w:rPr>
              <w:t>50,462.10</w:t>
            </w:r>
          </w:p>
        </w:tc>
      </w:tr>
    </w:tbl>
    <w:p w:rsidRPr="00BA44F1" w:rsidR="001D027A" w:rsidP="00E968D6" w:rsidRDefault="001D027A" w14:paraId="7E3DCF24" w14:textId="77777777">
      <w:pPr>
        <w:keepLines/>
        <w:rPr>
          <w:rFonts w:cs="Times New Roman"/>
          <w:color w:val="1F4E79"/>
          <w:sz w:val="22"/>
          <w:szCs w:val="22"/>
          <w:u w:color="1F4E79"/>
        </w:rPr>
      </w:pPr>
    </w:p>
    <w:p w:rsidRPr="00BA44F1" w:rsidR="001D027A" w:rsidRDefault="001D027A" w14:paraId="2440936A" w14:textId="77777777">
      <w:pPr>
        <w:keepLines/>
        <w:ind w:left="360"/>
        <w:rPr>
          <w:rFonts w:cs="Times New Roman"/>
          <w:color w:val="1F4E79"/>
          <w:sz w:val="22"/>
          <w:szCs w:val="22"/>
          <w:u w:color="1F4E79"/>
        </w:rPr>
      </w:pPr>
    </w:p>
    <w:p w:rsidRPr="00BA44F1" w:rsidR="001D027A" w:rsidRDefault="009F7862" w14:paraId="5C63FC62" w14:textId="77777777">
      <w:pPr>
        <w:pStyle w:val="ListParagraph"/>
        <w:tabs>
          <w:tab w:val="left" w:pos="270"/>
        </w:tabs>
        <w:spacing w:line="360" w:lineRule="auto"/>
        <w:ind w:left="360"/>
        <w:rPr>
          <w:rFonts w:cs="Times New Roman"/>
          <w:i/>
          <w:iCs/>
          <w:color w:val="auto"/>
          <w:sz w:val="22"/>
          <w:szCs w:val="22"/>
          <w:u w:color="1F4E79"/>
        </w:rPr>
      </w:pPr>
      <w:r w:rsidRPr="00BA44F1">
        <w:rPr>
          <w:rFonts w:cs="Times New Roman"/>
          <w:color w:val="1F4E79"/>
          <w:u w:color="1F4E79"/>
        </w:rPr>
        <w:t xml:space="preserve"> </w:t>
      </w:r>
      <w:r w:rsidRPr="00BA44F1">
        <w:rPr>
          <w:rFonts w:cs="Times New Roman"/>
          <w:i/>
          <w:iCs/>
          <w:color w:val="auto"/>
          <w:sz w:val="22"/>
          <w:szCs w:val="22"/>
          <w:u w:color="1F4E79"/>
        </w:rPr>
        <w:t>b</w:t>
      </w:r>
      <w:r w:rsidRPr="00BA44F1">
        <w:rPr>
          <w:rFonts w:cs="Times New Roman"/>
          <w:color w:val="auto"/>
          <w:sz w:val="22"/>
          <w:szCs w:val="22"/>
          <w:u w:color="1F4E79"/>
        </w:rPr>
        <w:t>.</w:t>
      </w:r>
      <w:r w:rsidRPr="00BA44F1">
        <w:rPr>
          <w:rFonts w:cs="Times New Roman"/>
          <w:i/>
          <w:iCs/>
          <w:color w:val="auto"/>
          <w:sz w:val="22"/>
          <w:szCs w:val="22"/>
          <w:u w:color="1F4E79"/>
        </w:rPr>
        <w:t xml:space="preserve">   Neighborhood Stabilization Program </w:t>
      </w:r>
    </w:p>
    <w:p w:rsidRPr="00BA44F1" w:rsidR="001D027A" w:rsidRDefault="009F7862" w14:paraId="02D62242" w14:textId="506BDA5E">
      <w:pPr>
        <w:pStyle w:val="ListParagraph"/>
        <w:numPr>
          <w:ilvl w:val="0"/>
          <w:numId w:val="19"/>
        </w:numPr>
        <w:spacing w:after="120"/>
        <w:rPr>
          <w:rFonts w:cs="Times New Roman"/>
          <w:color w:val="auto"/>
          <w:sz w:val="22"/>
          <w:szCs w:val="22"/>
          <w:u w:color="1F4E79"/>
        </w:rPr>
      </w:pPr>
      <w:r w:rsidRPr="00BA44F1">
        <w:rPr>
          <w:rFonts w:cs="Times New Roman"/>
          <w:color w:val="auto"/>
          <w:sz w:val="22"/>
          <w:szCs w:val="22"/>
          <w:u w:color="1F4E79"/>
        </w:rPr>
        <w:t>There are currently 397 open NSP grants in DRGR. The following table demonstrates the estimated paperwork burden for recurring submissions.</w:t>
      </w:r>
    </w:p>
    <w:p w:rsidRPr="00BA44F1" w:rsidR="001D027A" w:rsidRDefault="009F7862" w14:paraId="6BECEB9B" w14:textId="77777777">
      <w:pPr>
        <w:pStyle w:val="ListParagraph"/>
        <w:numPr>
          <w:ilvl w:val="0"/>
          <w:numId w:val="19"/>
        </w:numPr>
        <w:spacing w:after="120"/>
        <w:rPr>
          <w:rFonts w:cs="Times New Roman"/>
          <w:color w:val="auto"/>
          <w:sz w:val="22"/>
          <w:szCs w:val="22"/>
          <w:u w:color="1F4E79"/>
        </w:rPr>
      </w:pPr>
      <w:r w:rsidRPr="00BA44F1">
        <w:rPr>
          <w:rFonts w:cs="Times New Roman"/>
          <w:color w:val="auto"/>
          <w:sz w:val="22"/>
          <w:szCs w:val="22"/>
          <w:u w:color="1F4E79"/>
        </w:rPr>
        <w:t xml:space="preserve">HUD requires each grantee to report their performances to the system quarterly.  Some grantees have more than one open grant under different appropriation rules.  Such a grantee must make one submission per grant per quarter. </w:t>
      </w:r>
    </w:p>
    <w:p w:rsidRPr="00BA44F1" w:rsidR="001D027A" w:rsidRDefault="009F7862" w14:paraId="7B178AE6" w14:textId="77777777">
      <w:pPr>
        <w:pStyle w:val="ListParagraph"/>
        <w:numPr>
          <w:ilvl w:val="0"/>
          <w:numId w:val="19"/>
        </w:numPr>
        <w:spacing w:after="120"/>
        <w:rPr>
          <w:rFonts w:cs="Times New Roman"/>
          <w:color w:val="auto"/>
          <w:sz w:val="22"/>
          <w:szCs w:val="22"/>
          <w:u w:color="1F4E79"/>
        </w:rPr>
      </w:pPr>
      <w:r w:rsidRPr="00BA44F1">
        <w:rPr>
          <w:rFonts w:cs="Times New Roman"/>
          <w:color w:val="auto"/>
          <w:sz w:val="22"/>
          <w:szCs w:val="22"/>
          <w:u w:color="1F4E79"/>
        </w:rPr>
        <w:t>Submissions include drawdown vouchers and quarterly performance reports (QPR). There may be several line items included in each voucher and several activities reported on within a QPR.   Vouchers from large grantees normally tend to include significantly more line items and require much greater time to process than average grantees,</w:t>
      </w:r>
    </w:p>
    <w:p w:rsidRPr="00BA44F1" w:rsidR="001D027A" w:rsidRDefault="009F7862" w14:paraId="5138988F" w14:textId="1267F1C8">
      <w:pPr>
        <w:pStyle w:val="ListParagraph"/>
        <w:numPr>
          <w:ilvl w:val="0"/>
          <w:numId w:val="19"/>
        </w:numPr>
        <w:spacing w:after="120"/>
        <w:rPr>
          <w:rFonts w:cs="Times New Roman"/>
          <w:color w:val="auto"/>
          <w:sz w:val="22"/>
          <w:szCs w:val="22"/>
          <w:u w:color="1F4E79"/>
        </w:rPr>
      </w:pPr>
      <w:r w:rsidRPr="00BA44F1">
        <w:rPr>
          <w:rFonts w:cs="Times New Roman"/>
          <w:color w:val="auto"/>
          <w:sz w:val="22"/>
          <w:szCs w:val="22"/>
          <w:u w:color="1F4E79"/>
        </w:rPr>
        <w:t>Submissions during the pre-award and post-award periods only take place once. Submissions during the quarterly reporting period continue through the life of the grant.</w:t>
      </w:r>
    </w:p>
    <w:p w:rsidRPr="00BA44F1" w:rsidR="001D027A" w:rsidP="00385CAF" w:rsidRDefault="009F7862" w14:paraId="03417B4C" w14:textId="77777777">
      <w:pPr>
        <w:pStyle w:val="ListParagraph"/>
        <w:numPr>
          <w:ilvl w:val="0"/>
          <w:numId w:val="19"/>
        </w:numPr>
        <w:spacing w:after="120"/>
        <w:rPr>
          <w:rFonts w:cs="Times New Roman"/>
          <w:color w:val="auto"/>
          <w:sz w:val="22"/>
          <w:szCs w:val="22"/>
          <w:u w:color="1F4E79"/>
        </w:rPr>
      </w:pPr>
      <w:r w:rsidRPr="00BA44F1">
        <w:rPr>
          <w:rFonts w:cs="Times New Roman"/>
          <w:color w:val="auto"/>
          <w:sz w:val="22"/>
          <w:szCs w:val="22"/>
          <w:u w:color="1F4E79"/>
        </w:rPr>
        <w:t>Cost figures are estimated based on local staff earning the equivalent of a GS-11 hourly rate.</w:t>
      </w:r>
    </w:p>
    <w:p w:rsidRPr="00BA44F1" w:rsidR="001D027A" w:rsidRDefault="001D027A" w14:paraId="0223C1D1" w14:textId="77777777">
      <w:pPr>
        <w:rPr>
          <w:rFonts w:cs="Times New Roman"/>
          <w:color w:val="auto"/>
          <w:sz w:val="22"/>
          <w:szCs w:val="22"/>
          <w:u w:color="1F4E79"/>
        </w:rPr>
      </w:pPr>
    </w:p>
    <w:p w:rsidRPr="00BA44F1" w:rsidR="001D027A" w:rsidRDefault="009F7862" w14:paraId="30CF330A" w14:textId="77777777">
      <w:pPr>
        <w:keepLines/>
        <w:ind w:firstLine="360"/>
        <w:rPr>
          <w:rFonts w:cs="Times New Roman"/>
          <w:color w:val="auto"/>
          <w:sz w:val="22"/>
          <w:szCs w:val="22"/>
          <w:u w:color="1F4E79"/>
        </w:rPr>
      </w:pPr>
      <w:r w:rsidRPr="00BA44F1">
        <w:rPr>
          <w:rFonts w:cs="Times New Roman"/>
          <w:color w:val="auto"/>
          <w:sz w:val="22"/>
          <w:szCs w:val="22"/>
          <w:u w:color="1F4E79"/>
        </w:rPr>
        <w:t>Recurring submissions:</w:t>
      </w:r>
    </w:p>
    <w:p w:rsidRPr="00BA44F1" w:rsidR="001D027A" w:rsidRDefault="001D027A" w14:paraId="17E5D561" w14:textId="77777777">
      <w:pPr>
        <w:keepLines/>
        <w:rPr>
          <w:rFonts w:cs="Times New Roman"/>
          <w:color w:val="auto"/>
          <w:sz w:val="22"/>
          <w:szCs w:val="22"/>
          <w:u w:color="1F4E79"/>
        </w:rPr>
      </w:pPr>
    </w:p>
    <w:p w:rsidRPr="00BA44F1" w:rsidR="001D027A" w:rsidRDefault="009F7862" w14:paraId="6737B8C3" w14:textId="0CA3905B">
      <w:pPr>
        <w:keepLines/>
        <w:ind w:left="360"/>
        <w:rPr>
          <w:rFonts w:cs="Times New Roman"/>
          <w:color w:val="auto"/>
          <w:sz w:val="22"/>
          <w:szCs w:val="22"/>
          <w:u w:color="1F4E79"/>
        </w:rPr>
      </w:pPr>
      <w:r w:rsidRPr="00BA44F1">
        <w:rPr>
          <w:rFonts w:cs="Times New Roman"/>
          <w:color w:val="auto"/>
          <w:sz w:val="22"/>
          <w:szCs w:val="22"/>
          <w:u w:color="1F4E79"/>
        </w:rPr>
        <w:t>For the 397 open NSP grants in the DRGR system, the Department estimates 11 minutes per voucher submission.  NSP grantees process approximately 38 vouchers per year. This requires a record keeping and reporting burden of approximately 3,817.73 hours for an annual voucher submission cost of $99,</w:t>
      </w:r>
      <w:r w:rsidR="000179EA">
        <w:rPr>
          <w:rFonts w:cs="Times New Roman"/>
          <w:color w:val="auto"/>
          <w:sz w:val="22"/>
          <w:szCs w:val="22"/>
          <w:u w:color="1F4E79"/>
        </w:rPr>
        <w:t>143.06</w:t>
      </w:r>
      <w:r w:rsidRPr="00BA44F1">
        <w:rPr>
          <w:rFonts w:cs="Times New Roman"/>
          <w:color w:val="auto"/>
          <w:sz w:val="22"/>
          <w:szCs w:val="22"/>
          <w:u w:color="1F4E79"/>
        </w:rPr>
        <w:t>.</w:t>
      </w:r>
    </w:p>
    <w:p w:rsidRPr="00BA44F1" w:rsidR="001D027A" w:rsidRDefault="001D027A" w14:paraId="5FB7F877" w14:textId="77777777">
      <w:pPr>
        <w:keepLines/>
        <w:rPr>
          <w:rFonts w:cs="Times New Roman"/>
          <w:color w:val="auto"/>
          <w:sz w:val="22"/>
          <w:szCs w:val="22"/>
          <w:u w:color="1F4E79"/>
        </w:rPr>
      </w:pPr>
    </w:p>
    <w:p w:rsidRPr="00BA44F1" w:rsidR="001D027A" w:rsidRDefault="009F7862" w14:paraId="2FC3CF17" w14:textId="6B0FD768">
      <w:pPr>
        <w:ind w:left="360"/>
        <w:rPr>
          <w:rFonts w:cs="Times New Roman"/>
          <w:color w:val="auto"/>
          <w:sz w:val="22"/>
          <w:szCs w:val="22"/>
          <w:u w:color="1F4E79"/>
        </w:rPr>
      </w:pPr>
      <w:r w:rsidRPr="00BA44F1">
        <w:rPr>
          <w:rFonts w:cs="Times New Roman"/>
          <w:color w:val="auto"/>
          <w:sz w:val="22"/>
          <w:szCs w:val="22"/>
          <w:u w:color="1F4E79"/>
        </w:rPr>
        <w:t>NSP grantees spend an estimated four hours per QPR submission, for a total of 8,768 hours for a total annual QPR submission costs $2</w:t>
      </w:r>
      <w:r w:rsidR="000179EA">
        <w:rPr>
          <w:rFonts w:cs="Times New Roman"/>
          <w:color w:val="auto"/>
          <w:sz w:val="22"/>
          <w:szCs w:val="22"/>
          <w:u w:color="1F4E79"/>
        </w:rPr>
        <w:t>31,913.60</w:t>
      </w:r>
      <w:r w:rsidRPr="00BA44F1">
        <w:rPr>
          <w:rFonts w:cs="Times New Roman"/>
          <w:color w:val="auto"/>
          <w:sz w:val="22"/>
          <w:szCs w:val="22"/>
          <w:u w:color="1F4E79"/>
        </w:rPr>
        <w:t>.</w:t>
      </w:r>
    </w:p>
    <w:p w:rsidRPr="00BA44F1" w:rsidR="001D027A" w:rsidRDefault="001D027A" w14:paraId="05EC6160" w14:textId="77777777">
      <w:pPr>
        <w:rPr>
          <w:rFonts w:cs="Times New Roman"/>
          <w:color w:val="auto"/>
          <w:sz w:val="22"/>
          <w:szCs w:val="22"/>
          <w:u w:color="1F4E79"/>
        </w:rPr>
      </w:pPr>
    </w:p>
    <w:tbl>
      <w:tblPr>
        <w:tblW w:w="10340" w:type="dxa"/>
        <w:tblInd w:w="22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180"/>
        <w:gridCol w:w="1320"/>
        <w:gridCol w:w="1120"/>
        <w:gridCol w:w="1120"/>
        <w:gridCol w:w="1120"/>
        <w:gridCol w:w="1120"/>
        <w:gridCol w:w="1120"/>
        <w:gridCol w:w="1120"/>
        <w:gridCol w:w="1120"/>
      </w:tblGrid>
      <w:tr w:rsidRPr="00BA44F1" w:rsidR="001D027A" w14:paraId="44BC16E0" w14:textId="77777777">
        <w:trPr>
          <w:trHeight w:val="241"/>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860664E" w14:textId="77777777">
            <w:pPr>
              <w:rPr>
                <w:rFonts w:cs="Times New Roman"/>
              </w:rPr>
            </w:pPr>
            <w:r w:rsidRPr="00BA44F1">
              <w:rPr>
                <w:rFonts w:eastAsia="Calibri" w:cs="Times New Roman"/>
                <w:color w:val="1F4E79"/>
                <w:sz w:val="22"/>
                <w:szCs w:val="22"/>
                <w:u w:color="1F4E79"/>
              </w:rPr>
              <w:t xml:space="preserve"> </w:t>
            </w:r>
            <w:r w:rsidRPr="00BA44F1">
              <w:rPr>
                <w:rFonts w:eastAsia="Calibri" w:cs="Times New Roman"/>
                <w:sz w:val="16"/>
                <w:szCs w:val="16"/>
              </w:rPr>
              <w:t> </w:t>
            </w:r>
          </w:p>
        </w:tc>
        <w:tc>
          <w:tcPr>
            <w:tcW w:w="9160" w:type="dxa"/>
            <w:gridSpan w:val="8"/>
            <w:tcBorders>
              <w:top w:val="single" w:color="000000" w:sz="4" w:space="0"/>
              <w:left w:val="single" w:color="000000" w:sz="4" w:space="0"/>
              <w:bottom w:val="single" w:color="000000" w:sz="4" w:space="0"/>
              <w:right w:val="single" w:color="000000" w:sz="4" w:space="0"/>
            </w:tcBorders>
            <w:shd w:val="clear" w:color="auto" w:fill="A5A5A5"/>
            <w:tcMar>
              <w:top w:w="80" w:type="dxa"/>
              <w:left w:w="80" w:type="dxa"/>
              <w:bottom w:w="80" w:type="dxa"/>
              <w:right w:w="80" w:type="dxa"/>
            </w:tcMar>
            <w:vAlign w:val="center"/>
          </w:tcPr>
          <w:p w:rsidRPr="00BA44F1" w:rsidR="001D027A" w:rsidRDefault="009F7862" w14:paraId="0541B4A7" w14:textId="0DEDB44E">
            <w:pPr>
              <w:jc w:val="center"/>
              <w:rPr>
                <w:rFonts w:cs="Times New Roman"/>
              </w:rPr>
            </w:pPr>
            <w:r w:rsidRPr="00BA44F1">
              <w:rPr>
                <w:rFonts w:eastAsia="Calibri" w:cs="Times New Roman"/>
                <w:b/>
                <w:bCs/>
                <w:color w:val="FFFFFF"/>
                <w:sz w:val="16"/>
                <w:szCs w:val="16"/>
                <w:u w:color="FFFFFF"/>
              </w:rPr>
              <w:t xml:space="preserve">Neighborhood Stabilization Program </w:t>
            </w:r>
          </w:p>
        </w:tc>
      </w:tr>
      <w:tr w:rsidRPr="00BA44F1" w:rsidR="001D027A" w14:paraId="2DB8933B" w14:textId="77777777">
        <w:trPr>
          <w:trHeight w:val="8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EC66FA8" w14:textId="77777777">
            <w:pPr>
              <w:rPr>
                <w:rFonts w:cs="Times New Roman"/>
              </w:rPr>
            </w:pPr>
            <w:r w:rsidRPr="00BA44F1">
              <w:rPr>
                <w:rFonts w:eastAsia="Calibri" w:cs="Times New Roman"/>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DB66988" w14:textId="77777777">
            <w:pPr>
              <w:jc w:val="center"/>
              <w:rPr>
                <w:rFonts w:cs="Times New Roman"/>
              </w:rPr>
            </w:pPr>
            <w:r w:rsidRPr="00BA44F1">
              <w:rPr>
                <w:rFonts w:eastAsia="Calibri" w:cs="Times New Roman"/>
                <w:b/>
                <w:bCs/>
                <w:sz w:val="16"/>
                <w:szCs w:val="16"/>
              </w:rPr>
              <w:t>Description of Information Collection</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9FB56A7" w14:textId="77777777">
            <w:pPr>
              <w:jc w:val="center"/>
              <w:rPr>
                <w:rFonts w:cs="Times New Roman"/>
              </w:rPr>
            </w:pPr>
            <w:r w:rsidRPr="00BA44F1">
              <w:rPr>
                <w:rFonts w:eastAsia="Calibri" w:cs="Times New Roman"/>
                <w:b/>
                <w:bCs/>
                <w:sz w:val="16"/>
                <w:szCs w:val="16"/>
              </w:rPr>
              <w:t>Number of Respondents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A38331D" w14:textId="77777777">
            <w:pPr>
              <w:jc w:val="center"/>
              <w:rPr>
                <w:rFonts w:cs="Times New Roman"/>
              </w:rPr>
            </w:pPr>
            <w:r w:rsidRPr="00BA44F1">
              <w:rPr>
                <w:rFonts w:eastAsia="Calibri" w:cs="Times New Roman"/>
                <w:b/>
                <w:bCs/>
                <w:sz w:val="16"/>
                <w:szCs w:val="16"/>
              </w:rPr>
              <w:t>Frequency of Response</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90DAF7D" w14:textId="77777777">
            <w:pPr>
              <w:jc w:val="center"/>
              <w:rPr>
                <w:rFonts w:cs="Times New Roman"/>
              </w:rPr>
            </w:pPr>
            <w:r w:rsidRPr="00BA44F1">
              <w:rPr>
                <w:rFonts w:eastAsia="Calibri" w:cs="Times New Roman"/>
                <w:b/>
                <w:bCs/>
                <w:sz w:val="16"/>
                <w:szCs w:val="16"/>
              </w:rPr>
              <w:t>Responses</w:t>
            </w:r>
            <w:r w:rsidRPr="00BA44F1">
              <w:rPr>
                <w:rFonts w:eastAsia="Calibri" w:cs="Times New Roman"/>
                <w:b/>
                <w:bCs/>
                <w:sz w:val="16"/>
                <w:szCs w:val="16"/>
              </w:rPr>
              <w:br/>
              <w:t>Per Annum</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D11FA9E" w14:textId="77777777">
            <w:pPr>
              <w:jc w:val="center"/>
              <w:rPr>
                <w:rFonts w:cs="Times New Roman"/>
              </w:rPr>
            </w:pPr>
            <w:r w:rsidRPr="00BA44F1">
              <w:rPr>
                <w:rFonts w:eastAsia="Calibri" w:cs="Times New Roman"/>
                <w:b/>
                <w:bCs/>
                <w:sz w:val="16"/>
                <w:szCs w:val="16"/>
              </w:rPr>
              <w:t>Burden Hour Per Response</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5C85FAE" w14:textId="77777777">
            <w:pPr>
              <w:jc w:val="center"/>
              <w:rPr>
                <w:rFonts w:cs="Times New Roman"/>
              </w:rPr>
            </w:pPr>
            <w:r w:rsidRPr="00BA44F1">
              <w:rPr>
                <w:rFonts w:eastAsia="Calibri" w:cs="Times New Roman"/>
                <w:b/>
                <w:bCs/>
                <w:sz w:val="16"/>
                <w:szCs w:val="16"/>
              </w:rPr>
              <w:t>Annual Burden Hours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30B7FB6" w14:textId="77777777">
            <w:pPr>
              <w:jc w:val="center"/>
              <w:rPr>
                <w:rFonts w:cs="Times New Roman"/>
              </w:rPr>
            </w:pPr>
            <w:r w:rsidRPr="00BA44F1">
              <w:rPr>
                <w:rFonts w:eastAsia="Calibri" w:cs="Times New Roman"/>
                <w:b/>
                <w:bCs/>
                <w:sz w:val="16"/>
                <w:szCs w:val="16"/>
              </w:rPr>
              <w:t>Hourly Cost Per Response</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B2F395E" w14:textId="77777777">
            <w:pPr>
              <w:jc w:val="center"/>
              <w:rPr>
                <w:rFonts w:cs="Times New Roman"/>
              </w:rPr>
            </w:pPr>
            <w:r w:rsidRPr="00BA44F1">
              <w:rPr>
                <w:rFonts w:eastAsia="Calibri" w:cs="Times New Roman"/>
                <w:b/>
                <w:bCs/>
                <w:sz w:val="16"/>
                <w:szCs w:val="16"/>
              </w:rPr>
              <w:t>Annual Cost</w:t>
            </w:r>
          </w:p>
        </w:tc>
      </w:tr>
      <w:tr w:rsidRPr="00BA44F1" w:rsidR="001D027A" w14:paraId="3BFCBC8F" w14:textId="77777777">
        <w:trPr>
          <w:trHeight w:val="4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CF50E3C" w14:textId="77777777">
            <w:pPr>
              <w:rPr>
                <w:rFonts w:cs="Times New Roman"/>
              </w:rPr>
            </w:pPr>
            <w:r w:rsidRPr="00BA44F1">
              <w:rPr>
                <w:rFonts w:eastAsia="Calibri" w:cs="Times New Roman"/>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002FD86F" w14:textId="77777777">
            <w:pPr>
              <w:jc w:val="center"/>
              <w:rPr>
                <w:rFonts w:cs="Times New Roman"/>
              </w:rPr>
            </w:pPr>
            <w:r w:rsidRPr="00BA44F1">
              <w:rPr>
                <w:rFonts w:eastAsia="Calibri" w:cs="Times New Roman"/>
                <w:b/>
                <w:bCs/>
                <w:sz w:val="16"/>
                <w:szCs w:val="16"/>
              </w:rPr>
              <w:t>REPORTING (Annual)</w:t>
            </w:r>
          </w:p>
        </w:tc>
        <w:tc>
          <w:tcPr>
            <w:tcW w:w="11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468EDC7C"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71AD69CC"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24C09CCA"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0C4BB798"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4FCEFD43"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52D6D246"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D8D8D8"/>
            <w:tcMar>
              <w:top w:w="80" w:type="dxa"/>
              <w:left w:w="80" w:type="dxa"/>
              <w:bottom w:w="80" w:type="dxa"/>
              <w:right w:w="80" w:type="dxa"/>
            </w:tcMar>
            <w:vAlign w:val="center"/>
          </w:tcPr>
          <w:p w:rsidRPr="00BA44F1" w:rsidR="001D027A" w:rsidRDefault="009F7862" w14:paraId="164DA697" w14:textId="77777777">
            <w:pPr>
              <w:jc w:val="center"/>
              <w:rPr>
                <w:rFonts w:cs="Times New Roman"/>
              </w:rPr>
            </w:pPr>
            <w:r w:rsidRPr="00BA44F1">
              <w:rPr>
                <w:rFonts w:eastAsia="Calibri" w:cs="Times New Roman"/>
                <w:sz w:val="16"/>
                <w:szCs w:val="16"/>
              </w:rPr>
              <w:t> </w:t>
            </w:r>
          </w:p>
        </w:tc>
      </w:tr>
      <w:tr w:rsidRPr="00BA44F1" w:rsidR="001D027A" w14:paraId="7AE6FB44" w14:textId="77777777">
        <w:trPr>
          <w:trHeight w:val="8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9DA7B49" w14:textId="77777777">
            <w:pPr>
              <w:jc w:val="center"/>
              <w:rPr>
                <w:rFonts w:cs="Times New Roman"/>
              </w:rPr>
            </w:pPr>
            <w:r w:rsidRPr="00BA44F1">
              <w:rPr>
                <w:rFonts w:eastAsia="Calibri" w:cs="Times New Roman"/>
                <w:b/>
                <w:bCs/>
                <w:sz w:val="16"/>
                <w:szCs w:val="16"/>
              </w:rPr>
              <w:t>Recurring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DB88857" w14:textId="77777777">
            <w:pPr>
              <w:jc w:val="center"/>
              <w:rPr>
                <w:rFonts w:cs="Times New Roman"/>
              </w:rPr>
            </w:pPr>
            <w:r w:rsidRPr="00BA44F1">
              <w:rPr>
                <w:rFonts w:eastAsia="Calibri" w:cs="Times New Roman"/>
                <w:sz w:val="16"/>
                <w:szCs w:val="16"/>
              </w:rPr>
              <w:t xml:space="preserve">Online Quarterly Reporting via DRGR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B53763B" w14:textId="440FCB6A">
            <w:pPr>
              <w:jc w:val="center"/>
              <w:rPr>
                <w:rFonts w:cs="Times New Roman"/>
              </w:rPr>
            </w:pPr>
            <w:r w:rsidRPr="00BA44F1">
              <w:rPr>
                <w:rFonts w:eastAsia="Calibri" w:cs="Times New Roman"/>
                <w:sz w:val="16"/>
                <w:szCs w:val="16"/>
              </w:rPr>
              <w:t>548</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BEB7C64" w14:textId="5E6D3C09">
            <w:pPr>
              <w:jc w:val="center"/>
              <w:rPr>
                <w:rFonts w:cs="Times New Roman"/>
              </w:rPr>
            </w:pPr>
            <w:r w:rsidRPr="00BA44F1">
              <w:rPr>
                <w:rFonts w:eastAsia="Calibri" w:cs="Times New Roman"/>
                <w:sz w:val="16"/>
                <w:szCs w:val="16"/>
              </w:rPr>
              <w:t>4</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40FE2B1" w14:textId="117F0BA2">
            <w:pPr>
              <w:jc w:val="center"/>
              <w:rPr>
                <w:rFonts w:cs="Times New Roman"/>
              </w:rPr>
            </w:pPr>
            <w:r w:rsidRPr="00BA44F1">
              <w:rPr>
                <w:rFonts w:eastAsia="Calibri" w:cs="Times New Roman"/>
                <w:sz w:val="16"/>
                <w:szCs w:val="16"/>
              </w:rPr>
              <w:t>2,192</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0787C64" w14:textId="27630B9F">
            <w:pPr>
              <w:jc w:val="center"/>
              <w:rPr>
                <w:rFonts w:cs="Times New Roman"/>
              </w:rPr>
            </w:pPr>
            <w:r w:rsidRPr="00BA44F1">
              <w:rPr>
                <w:rFonts w:eastAsia="Calibri" w:cs="Times New Roman"/>
                <w:sz w:val="16"/>
                <w:szCs w:val="16"/>
              </w:rPr>
              <w:t>4</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948C4DF" w14:textId="3BECE5A2">
            <w:pPr>
              <w:jc w:val="center"/>
              <w:rPr>
                <w:rFonts w:cs="Times New Roman"/>
              </w:rPr>
            </w:pPr>
            <w:r w:rsidRPr="00BA44F1">
              <w:rPr>
                <w:rFonts w:eastAsia="Calibri" w:cs="Times New Roman"/>
                <w:sz w:val="16"/>
                <w:szCs w:val="16"/>
              </w:rPr>
              <w:t>8,768</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7B56FDC" w14:textId="39B46389">
            <w:pPr>
              <w:jc w:val="center"/>
              <w:rPr>
                <w:rFonts w:cs="Times New Roman"/>
              </w:rPr>
            </w:pPr>
            <w:r w:rsidRPr="00BA44F1">
              <w:rPr>
                <w:rFonts w:eastAsia="Calibri" w:cs="Times New Roman"/>
                <w:sz w:val="16"/>
                <w:szCs w:val="16"/>
              </w:rPr>
              <w:t>$26</w:t>
            </w:r>
            <w:r w:rsidR="00072E89">
              <w:rPr>
                <w:rFonts w:eastAsia="Calibri" w:cs="Times New Roman"/>
                <w:sz w:val="16"/>
                <w:szCs w:val="16"/>
              </w:rPr>
              <w:t>.45</w:t>
            </w:r>
            <w:r w:rsidRPr="00BA44F1">
              <w:rPr>
                <w:rFonts w:eastAsia="Calibri" w:cs="Times New Roman"/>
                <w:sz w:val="16"/>
                <w:szCs w:val="16"/>
              </w:rPr>
              <w:t xml:space="preserve">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6912FE3" w14:textId="73B22BF4">
            <w:pPr>
              <w:jc w:val="center"/>
              <w:rPr>
                <w:rFonts w:cs="Times New Roman"/>
              </w:rPr>
            </w:pPr>
            <w:r w:rsidRPr="00BA44F1">
              <w:rPr>
                <w:rFonts w:eastAsia="Calibri" w:cs="Times New Roman"/>
                <w:sz w:val="16"/>
                <w:szCs w:val="16"/>
              </w:rPr>
              <w:t>$2</w:t>
            </w:r>
            <w:r w:rsidR="000179EA">
              <w:rPr>
                <w:rFonts w:eastAsia="Calibri" w:cs="Times New Roman"/>
                <w:sz w:val="16"/>
                <w:szCs w:val="16"/>
              </w:rPr>
              <w:t>31,913.60</w:t>
            </w:r>
            <w:r w:rsidRPr="00BA44F1">
              <w:rPr>
                <w:rFonts w:eastAsia="Calibri" w:cs="Times New Roman"/>
                <w:sz w:val="16"/>
                <w:szCs w:val="16"/>
              </w:rPr>
              <w:t xml:space="preserve"> </w:t>
            </w:r>
          </w:p>
        </w:tc>
      </w:tr>
      <w:tr w:rsidRPr="00BA44F1" w:rsidR="001D027A" w14:paraId="4329B45A" w14:textId="77777777">
        <w:trPr>
          <w:trHeight w:val="4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A425DD0" w14:textId="77777777">
            <w:pPr>
              <w:jc w:val="center"/>
              <w:rPr>
                <w:rFonts w:cs="Times New Roman"/>
              </w:rPr>
            </w:pPr>
            <w:r w:rsidRPr="00BA44F1">
              <w:rPr>
                <w:rFonts w:eastAsia="Calibri" w:cs="Times New Roman"/>
                <w:b/>
                <w:bCs/>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F159CA7" w14:textId="77777777">
            <w:pPr>
              <w:jc w:val="center"/>
              <w:rPr>
                <w:rFonts w:cs="Times New Roman"/>
              </w:rPr>
            </w:pPr>
            <w:r w:rsidRPr="00BA44F1">
              <w:rPr>
                <w:rFonts w:eastAsia="Calibri" w:cs="Times New Roman"/>
                <w:sz w:val="16"/>
                <w:szCs w:val="16"/>
              </w:rPr>
              <w:t>DRGR voucher submissions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B276CF6" w14:textId="7FBC4816">
            <w:pPr>
              <w:jc w:val="center"/>
              <w:rPr>
                <w:rFonts w:cs="Times New Roman"/>
              </w:rPr>
            </w:pPr>
            <w:r w:rsidRPr="00BA44F1">
              <w:rPr>
                <w:rFonts w:eastAsia="Calibri" w:cs="Times New Roman"/>
                <w:sz w:val="16"/>
                <w:szCs w:val="16"/>
              </w:rPr>
              <w:t>548</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28BFF58" w14:textId="17BA3EC3">
            <w:pPr>
              <w:jc w:val="center"/>
              <w:rPr>
                <w:rFonts w:cs="Times New Roman"/>
              </w:rPr>
            </w:pPr>
            <w:r w:rsidRPr="00BA44F1">
              <w:rPr>
                <w:rFonts w:eastAsia="Calibri" w:cs="Times New Roman"/>
                <w:sz w:val="16"/>
                <w:szCs w:val="16"/>
              </w:rPr>
              <w:t>38</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FCFB50D" w14:textId="26E70A18">
            <w:pPr>
              <w:jc w:val="center"/>
              <w:rPr>
                <w:rFonts w:cs="Times New Roman"/>
              </w:rPr>
            </w:pPr>
            <w:r w:rsidRPr="00BA44F1">
              <w:rPr>
                <w:rFonts w:eastAsia="Calibri" w:cs="Times New Roman"/>
                <w:sz w:val="16"/>
                <w:szCs w:val="16"/>
              </w:rPr>
              <w:t>20,824</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E6184A5" w14:textId="77777777">
            <w:pPr>
              <w:jc w:val="center"/>
              <w:rPr>
                <w:rFonts w:cs="Times New Roman"/>
              </w:rPr>
            </w:pPr>
            <w:r w:rsidRPr="00BA44F1">
              <w:rPr>
                <w:rFonts w:eastAsia="Calibri" w:cs="Times New Roman"/>
                <w:sz w:val="16"/>
                <w:szCs w:val="16"/>
              </w:rPr>
              <w:t>0.18</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E2A8E61" w14:textId="77777777">
            <w:pPr>
              <w:jc w:val="center"/>
              <w:rPr>
                <w:rFonts w:cs="Times New Roman"/>
              </w:rPr>
            </w:pPr>
            <w:r w:rsidRPr="00BA44F1">
              <w:rPr>
                <w:rFonts w:eastAsia="Calibri" w:cs="Times New Roman"/>
                <w:sz w:val="16"/>
                <w:szCs w:val="16"/>
              </w:rPr>
              <w:t>3,748.32</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1A4C9F3" w14:textId="6E7E23E0">
            <w:pPr>
              <w:jc w:val="center"/>
              <w:rPr>
                <w:rFonts w:cs="Times New Roman"/>
              </w:rPr>
            </w:pPr>
            <w:r w:rsidRPr="00BA44F1">
              <w:rPr>
                <w:rFonts w:eastAsia="Calibri" w:cs="Times New Roman"/>
                <w:sz w:val="16"/>
                <w:szCs w:val="16"/>
              </w:rPr>
              <w:t xml:space="preserve">$26 </w:t>
            </w:r>
            <w:r w:rsidR="00072E89">
              <w:rPr>
                <w:rFonts w:eastAsia="Calibri" w:cs="Times New Roman"/>
                <w:sz w:val="16"/>
                <w:szCs w:val="16"/>
              </w:rPr>
              <w:t>.45</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9E43748" w14:textId="10A5C446">
            <w:pPr>
              <w:jc w:val="center"/>
              <w:rPr>
                <w:rFonts w:cs="Times New Roman"/>
              </w:rPr>
            </w:pPr>
            <w:r w:rsidRPr="00BA44F1">
              <w:rPr>
                <w:rFonts w:eastAsia="Calibri" w:cs="Times New Roman"/>
                <w:sz w:val="16"/>
                <w:szCs w:val="16"/>
              </w:rPr>
              <w:t>$9</w:t>
            </w:r>
            <w:r w:rsidR="000179EA">
              <w:rPr>
                <w:rFonts w:eastAsia="Calibri" w:cs="Times New Roman"/>
                <w:sz w:val="16"/>
                <w:szCs w:val="16"/>
              </w:rPr>
              <w:t>9,143.06</w:t>
            </w:r>
          </w:p>
        </w:tc>
      </w:tr>
      <w:tr w:rsidRPr="00BA44F1" w:rsidR="001D027A" w14:paraId="3F33A52D" w14:textId="77777777">
        <w:trPr>
          <w:trHeight w:val="6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1F8A974" w14:textId="77777777">
            <w:pPr>
              <w:rPr>
                <w:rFonts w:cs="Times New Roman"/>
              </w:rPr>
            </w:pPr>
            <w:r w:rsidRPr="00BA44F1">
              <w:rPr>
                <w:rFonts w:eastAsia="Calibri" w:cs="Times New Roman"/>
                <w:b/>
                <w:bCs/>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B8988EE" w14:textId="77777777">
            <w:pPr>
              <w:jc w:val="center"/>
              <w:rPr>
                <w:rFonts w:cs="Times New Roman"/>
              </w:rPr>
            </w:pPr>
            <w:r w:rsidRPr="00BA44F1">
              <w:rPr>
                <w:rFonts w:eastAsia="Calibri" w:cs="Times New Roman"/>
                <w:b/>
                <w:bCs/>
                <w:sz w:val="16"/>
                <w:szCs w:val="16"/>
              </w:rPr>
              <w:t>TOTAL PAPERWORK BURDEN</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656D85E" w14:textId="13C2C7AA">
            <w:pPr>
              <w:jc w:val="center"/>
              <w:rPr>
                <w:rFonts w:cs="Times New Roman"/>
              </w:rPr>
            </w:pPr>
            <w:r w:rsidRPr="00BA44F1">
              <w:rPr>
                <w:rFonts w:eastAsia="Calibri" w:cs="Times New Roman"/>
                <w:b/>
                <w:bCs/>
                <w:sz w:val="16"/>
                <w:szCs w:val="16"/>
              </w:rPr>
              <w:t>1,096</w:t>
            </w:r>
            <w:r w:rsidR="004709F4">
              <w:rPr>
                <w:rFonts w:eastAsia="Calibri" w:cs="Times New Roman"/>
                <w:b/>
                <w:bCs/>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90152" w14:paraId="5CB77A0B" w14:textId="6739FE04">
            <w:pPr>
              <w:jc w:val="center"/>
              <w:rPr>
                <w:rFonts w:cs="Times New Roman"/>
              </w:rPr>
            </w:pPr>
            <w:r>
              <w:rPr>
                <w:rFonts w:eastAsia="Calibri" w:cs="Times New Roman"/>
                <w:b/>
                <w:bCs/>
                <w:sz w:val="16"/>
                <w:szCs w:val="16"/>
              </w:rPr>
              <w:t>Varies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FE2954" w14:paraId="05D1E76B" w14:textId="0C804C5A">
            <w:pPr>
              <w:jc w:val="center"/>
              <w:rPr>
                <w:rFonts w:cs="Times New Roman"/>
              </w:rPr>
            </w:pPr>
            <w:r>
              <w:rPr>
                <w:rFonts w:eastAsia="Calibri" w:cs="Times New Roman"/>
                <w:b/>
                <w:bCs/>
                <w:sz w:val="16"/>
                <w:szCs w:val="16"/>
              </w:rPr>
              <w:t>23,016</w:t>
            </w:r>
            <w:r w:rsidR="004709F4">
              <w:rPr>
                <w:rFonts w:eastAsia="Calibri" w:cs="Times New Roman"/>
                <w:b/>
                <w:bCs/>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0A7AB2B" w14:textId="77777777">
            <w:pPr>
              <w:jc w:val="center"/>
              <w:rPr>
                <w:rFonts w:cs="Times New Roman"/>
              </w:rPr>
            </w:pPr>
            <w:r w:rsidRPr="00BA44F1">
              <w:rPr>
                <w:rFonts w:eastAsia="Calibri" w:cs="Times New Roman"/>
                <w:b/>
                <w:bCs/>
                <w:sz w:val="16"/>
                <w:szCs w:val="16"/>
              </w:rPr>
              <w:t>Varies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B5E6C69" w14:textId="77777777">
            <w:pPr>
              <w:jc w:val="center"/>
              <w:rPr>
                <w:rFonts w:cs="Times New Roman"/>
              </w:rPr>
            </w:pPr>
            <w:r w:rsidRPr="00BA44F1">
              <w:rPr>
                <w:rFonts w:eastAsia="Calibri" w:cs="Times New Roman"/>
                <w:b/>
                <w:bCs/>
                <w:sz w:val="16"/>
                <w:szCs w:val="16"/>
              </w:rPr>
              <w:t>12,516.32</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071BF2E" w14:textId="1FA2027E">
            <w:pPr>
              <w:jc w:val="center"/>
              <w:rPr>
                <w:rFonts w:cs="Times New Roman"/>
              </w:rPr>
            </w:pPr>
            <w:r w:rsidRPr="00BA44F1">
              <w:rPr>
                <w:rFonts w:eastAsia="Calibri" w:cs="Times New Roman"/>
                <w:b/>
                <w:bCs/>
                <w:sz w:val="16"/>
                <w:szCs w:val="16"/>
              </w:rPr>
              <w:t>$26</w:t>
            </w:r>
            <w:r w:rsidR="00072E89">
              <w:rPr>
                <w:rFonts w:eastAsia="Calibri" w:cs="Times New Roman"/>
                <w:b/>
                <w:bCs/>
                <w:sz w:val="16"/>
                <w:szCs w:val="16"/>
              </w:rPr>
              <w:t>.45</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6C002AD" w14:textId="2F9578B9">
            <w:pPr>
              <w:jc w:val="center"/>
              <w:rPr>
                <w:rFonts w:cs="Times New Roman"/>
              </w:rPr>
            </w:pPr>
            <w:r w:rsidRPr="00BA44F1">
              <w:rPr>
                <w:rFonts w:eastAsia="Calibri" w:cs="Times New Roman"/>
                <w:b/>
                <w:bCs/>
                <w:sz w:val="16"/>
                <w:szCs w:val="16"/>
              </w:rPr>
              <w:t>$3</w:t>
            </w:r>
            <w:r w:rsidR="000179EA">
              <w:rPr>
                <w:rFonts w:eastAsia="Calibri" w:cs="Times New Roman"/>
                <w:b/>
                <w:bCs/>
                <w:sz w:val="16"/>
                <w:szCs w:val="16"/>
              </w:rPr>
              <w:t>31,056.66</w:t>
            </w:r>
          </w:p>
        </w:tc>
      </w:tr>
    </w:tbl>
    <w:p w:rsidRPr="00BA44F1" w:rsidR="001D027A" w:rsidRDefault="001D027A" w14:paraId="3B5492C7" w14:textId="77777777">
      <w:pPr>
        <w:widowControl w:val="0"/>
        <w:ind w:left="113" w:hanging="113"/>
        <w:rPr>
          <w:rFonts w:cs="Times New Roman"/>
          <w:color w:val="1F4E79"/>
          <w:sz w:val="22"/>
          <w:szCs w:val="22"/>
          <w:u w:color="1F4E79"/>
        </w:rPr>
      </w:pPr>
    </w:p>
    <w:p w:rsidRPr="00BA44F1" w:rsidR="001D027A" w:rsidRDefault="001D027A" w14:paraId="368FB78E" w14:textId="77777777">
      <w:pPr>
        <w:keepLines/>
        <w:ind w:left="360"/>
        <w:rPr>
          <w:rFonts w:cs="Times New Roman"/>
          <w:color w:val="1F4E79"/>
          <w:u w:color="1F4E79"/>
        </w:rPr>
      </w:pPr>
    </w:p>
    <w:p w:rsidRPr="00BA44F1" w:rsidR="001D027A" w:rsidRDefault="001D027A" w14:paraId="4281A591" w14:textId="77777777">
      <w:pPr>
        <w:keepLines/>
        <w:ind w:left="360"/>
        <w:rPr>
          <w:rFonts w:cs="Times New Roman"/>
          <w:color w:val="1F4E79"/>
          <w:u w:color="1F4E79"/>
        </w:rPr>
      </w:pPr>
    </w:p>
    <w:p w:rsidRPr="00BA44F1" w:rsidR="001D027A" w:rsidRDefault="001D027A" w14:paraId="02B9837F" w14:textId="77777777">
      <w:pPr>
        <w:keepLines/>
        <w:ind w:left="360"/>
        <w:rPr>
          <w:rFonts w:cs="Times New Roman"/>
          <w:color w:val="1F4E79"/>
          <w:u w:color="1F4E79"/>
        </w:rPr>
      </w:pPr>
    </w:p>
    <w:p w:rsidRPr="00BA44F1" w:rsidR="001D027A" w:rsidRDefault="009F7862" w14:paraId="21F64E1E" w14:textId="77777777">
      <w:pPr>
        <w:spacing w:line="360" w:lineRule="auto"/>
        <w:ind w:left="360"/>
        <w:rPr>
          <w:rFonts w:cs="Times New Roman"/>
          <w:i/>
          <w:iCs/>
          <w:color w:val="auto"/>
          <w:sz w:val="22"/>
          <w:szCs w:val="22"/>
          <w:u w:color="1F4E79"/>
        </w:rPr>
      </w:pPr>
      <w:r w:rsidRPr="00BA44F1">
        <w:rPr>
          <w:rFonts w:cs="Times New Roman"/>
          <w:color w:val="auto"/>
          <w:sz w:val="22"/>
          <w:szCs w:val="22"/>
          <w:u w:color="1F4E79"/>
        </w:rPr>
        <w:t>c.</w:t>
      </w:r>
      <w:r w:rsidRPr="00BA44F1">
        <w:rPr>
          <w:rFonts w:cs="Times New Roman"/>
          <w:i/>
          <w:iCs/>
          <w:color w:val="auto"/>
          <w:sz w:val="22"/>
          <w:szCs w:val="22"/>
          <w:u w:color="FF0000"/>
        </w:rPr>
        <w:t xml:space="preserve">   </w:t>
      </w:r>
      <w:r w:rsidRPr="00BA44F1">
        <w:rPr>
          <w:rFonts w:cs="Times New Roman"/>
          <w:i/>
          <w:iCs/>
          <w:color w:val="auto"/>
          <w:sz w:val="22"/>
          <w:szCs w:val="22"/>
          <w:u w:color="1F4E79"/>
        </w:rPr>
        <w:t>NSP3 Technical Assistance Grants</w:t>
      </w:r>
    </w:p>
    <w:p w:rsidRPr="00BA44F1" w:rsidR="001D027A" w:rsidRDefault="009F7862" w14:paraId="011FAA79" w14:textId="372F3692">
      <w:pPr>
        <w:pStyle w:val="ListParagraph"/>
        <w:numPr>
          <w:ilvl w:val="0"/>
          <w:numId w:val="19"/>
        </w:numPr>
        <w:spacing w:after="120"/>
        <w:rPr>
          <w:rFonts w:cs="Times New Roman"/>
          <w:color w:val="auto"/>
          <w:sz w:val="22"/>
          <w:szCs w:val="22"/>
        </w:rPr>
      </w:pPr>
      <w:r w:rsidRPr="00BA44F1">
        <w:rPr>
          <w:rFonts w:cs="Times New Roman"/>
          <w:color w:val="auto"/>
          <w:sz w:val="22"/>
          <w:szCs w:val="22"/>
          <w:u w:color="1F4E79"/>
        </w:rPr>
        <w:lastRenderedPageBreak/>
        <w:t xml:space="preserve">There are currently </w:t>
      </w:r>
      <w:r w:rsidR="00FB5873">
        <w:rPr>
          <w:rFonts w:cs="Times New Roman"/>
          <w:color w:val="auto"/>
          <w:sz w:val="22"/>
          <w:szCs w:val="22"/>
          <w:u w:color="1F4E79"/>
        </w:rPr>
        <w:t>31</w:t>
      </w:r>
      <w:r w:rsidRPr="00BA44F1" w:rsidR="00FB5873">
        <w:rPr>
          <w:rFonts w:cs="Times New Roman"/>
          <w:color w:val="auto"/>
          <w:sz w:val="22"/>
          <w:szCs w:val="22"/>
          <w:u w:color="1F4E79"/>
        </w:rPr>
        <w:t xml:space="preserve"> </w:t>
      </w:r>
      <w:r w:rsidRPr="00BA44F1">
        <w:rPr>
          <w:rFonts w:cs="Times New Roman"/>
          <w:color w:val="auto"/>
          <w:sz w:val="22"/>
          <w:szCs w:val="22"/>
          <w:u w:color="1F4E79"/>
        </w:rPr>
        <w:t>open NSP3-TA grant in DRGR. The following table demonstrates the estimated paperwork burden for recurring submissions.</w:t>
      </w:r>
    </w:p>
    <w:p w:rsidRPr="00BA44F1" w:rsidR="001D027A" w:rsidRDefault="009F7862" w14:paraId="36DB98B5" w14:textId="77777777">
      <w:pPr>
        <w:pStyle w:val="ListParagraph"/>
        <w:numPr>
          <w:ilvl w:val="0"/>
          <w:numId w:val="19"/>
        </w:numPr>
        <w:spacing w:after="120"/>
        <w:rPr>
          <w:rFonts w:cs="Times New Roman"/>
          <w:color w:val="auto"/>
          <w:sz w:val="22"/>
          <w:szCs w:val="22"/>
        </w:rPr>
      </w:pPr>
      <w:r w:rsidRPr="00BA44F1">
        <w:rPr>
          <w:rFonts w:cs="Times New Roman"/>
          <w:color w:val="auto"/>
          <w:sz w:val="22"/>
          <w:szCs w:val="22"/>
          <w:u w:color="1F4E79"/>
        </w:rPr>
        <w:t xml:space="preserve">Submissions include work plans and drawdown vouchers. Each TA providers enters approximately five TA work plans per year and 38 drawdown vouchers per year. </w:t>
      </w:r>
    </w:p>
    <w:p w:rsidRPr="00BA44F1" w:rsidR="001D027A" w:rsidRDefault="009F7862" w14:paraId="217E2CCD" w14:textId="77777777">
      <w:pPr>
        <w:numPr>
          <w:ilvl w:val="0"/>
          <w:numId w:val="19"/>
        </w:numPr>
        <w:spacing w:after="120"/>
        <w:rPr>
          <w:rFonts w:cs="Times New Roman"/>
          <w:color w:val="auto"/>
          <w:sz w:val="22"/>
          <w:szCs w:val="22"/>
        </w:rPr>
      </w:pPr>
      <w:r w:rsidRPr="00BA44F1">
        <w:rPr>
          <w:rFonts w:cs="Times New Roman"/>
          <w:color w:val="auto"/>
          <w:sz w:val="22"/>
          <w:szCs w:val="22"/>
          <w:u w:color="1F4E79"/>
        </w:rPr>
        <w:t>Cost figures are estimated based on local staff earning the equivalent of a GS-11 hourly rate.</w:t>
      </w:r>
    </w:p>
    <w:p w:rsidRPr="00BA44F1" w:rsidR="001D027A" w:rsidRDefault="001D027A" w14:paraId="008979A3" w14:textId="77777777">
      <w:pPr>
        <w:keepLines/>
        <w:ind w:left="360"/>
        <w:rPr>
          <w:rFonts w:cs="Times New Roman"/>
          <w:color w:val="auto"/>
          <w:sz w:val="22"/>
          <w:szCs w:val="22"/>
          <w:u w:color="1F4E79"/>
        </w:rPr>
      </w:pPr>
    </w:p>
    <w:p w:rsidRPr="00BA44F1" w:rsidR="001D027A" w:rsidRDefault="009F7862" w14:paraId="350C086E" w14:textId="5B5A36E1">
      <w:pPr>
        <w:keepLines/>
        <w:ind w:left="360"/>
        <w:rPr>
          <w:rFonts w:cs="Times New Roman"/>
          <w:color w:val="auto"/>
          <w:sz w:val="22"/>
          <w:szCs w:val="22"/>
          <w:u w:color="1F4E79"/>
        </w:rPr>
      </w:pPr>
      <w:r w:rsidRPr="00BA44F1">
        <w:rPr>
          <w:rFonts w:cs="Times New Roman"/>
          <w:color w:val="auto"/>
          <w:sz w:val="22"/>
          <w:szCs w:val="22"/>
          <w:u w:color="1F4E79"/>
        </w:rPr>
        <w:t xml:space="preserve">For the </w:t>
      </w:r>
      <w:r w:rsidR="00FB5873">
        <w:rPr>
          <w:rFonts w:cs="Times New Roman"/>
          <w:color w:val="auto"/>
          <w:sz w:val="22"/>
          <w:szCs w:val="22"/>
          <w:u w:color="1F4E79"/>
        </w:rPr>
        <w:t>31</w:t>
      </w:r>
      <w:r w:rsidRPr="00BA44F1" w:rsidR="00FB5873">
        <w:rPr>
          <w:rFonts w:cs="Times New Roman"/>
          <w:color w:val="auto"/>
          <w:sz w:val="22"/>
          <w:szCs w:val="22"/>
          <w:u w:color="1F4E79"/>
        </w:rPr>
        <w:t xml:space="preserve"> </w:t>
      </w:r>
      <w:r w:rsidRPr="00BA44F1">
        <w:rPr>
          <w:rFonts w:cs="Times New Roman"/>
          <w:color w:val="auto"/>
          <w:sz w:val="22"/>
          <w:szCs w:val="22"/>
          <w:u w:color="1F4E79"/>
        </w:rPr>
        <w:t xml:space="preserve">NSP3-TA average-sized grants, the Department estimates TA providers enter five work plans per year at eight hours per TA work plan for a total of </w:t>
      </w:r>
      <w:r w:rsidR="00FB5873">
        <w:rPr>
          <w:rFonts w:cs="Times New Roman"/>
          <w:color w:val="auto"/>
          <w:sz w:val="22"/>
          <w:szCs w:val="22"/>
          <w:u w:color="1F4E79"/>
        </w:rPr>
        <w:t>1,248</w:t>
      </w:r>
      <w:r w:rsidRPr="00BA44F1" w:rsidR="00FB5873">
        <w:rPr>
          <w:rFonts w:cs="Times New Roman"/>
          <w:color w:val="auto"/>
          <w:sz w:val="22"/>
          <w:szCs w:val="22"/>
          <w:u w:color="1F4E79"/>
        </w:rPr>
        <w:t xml:space="preserve"> </w:t>
      </w:r>
      <w:r w:rsidRPr="00BA44F1">
        <w:rPr>
          <w:rFonts w:cs="Times New Roman"/>
          <w:color w:val="auto"/>
          <w:sz w:val="22"/>
          <w:szCs w:val="22"/>
          <w:u w:color="1F4E79"/>
        </w:rPr>
        <w:t>hours over the course of a year. Total annual QPR submission costs approximately $</w:t>
      </w:r>
      <w:r w:rsidR="00FB5873">
        <w:rPr>
          <w:rFonts w:cs="Times New Roman"/>
          <w:color w:val="auto"/>
          <w:sz w:val="22"/>
          <w:szCs w:val="22"/>
          <w:u w:color="1F4E79"/>
        </w:rPr>
        <w:t>32,</w:t>
      </w:r>
      <w:r w:rsidR="004D14DD">
        <w:rPr>
          <w:rFonts w:cs="Times New Roman"/>
          <w:color w:val="auto"/>
          <w:sz w:val="22"/>
          <w:szCs w:val="22"/>
          <w:u w:color="1F4E79"/>
        </w:rPr>
        <w:t>798</w:t>
      </w:r>
      <w:r w:rsidRPr="00BA44F1">
        <w:rPr>
          <w:rFonts w:cs="Times New Roman"/>
          <w:color w:val="auto"/>
          <w:sz w:val="22"/>
          <w:szCs w:val="22"/>
          <w:u w:color="1F4E79"/>
        </w:rPr>
        <w:t>.</w:t>
      </w:r>
    </w:p>
    <w:p w:rsidRPr="00BA44F1" w:rsidR="001D027A" w:rsidRDefault="001D027A" w14:paraId="29AC2FDE" w14:textId="77777777">
      <w:pPr>
        <w:keepLines/>
        <w:ind w:left="360"/>
        <w:rPr>
          <w:rFonts w:cs="Times New Roman"/>
          <w:color w:val="1F4E79"/>
          <w:sz w:val="22"/>
          <w:szCs w:val="22"/>
          <w:u w:color="1F4E79"/>
        </w:rPr>
      </w:pPr>
    </w:p>
    <w:p w:rsidRPr="00BA44F1" w:rsidR="001D027A" w:rsidRDefault="009F7862" w14:paraId="4DB516B3" w14:textId="7FE4B312">
      <w:pPr>
        <w:keepLines/>
        <w:ind w:left="360"/>
        <w:rPr>
          <w:rFonts w:cs="Times New Roman"/>
          <w:sz w:val="22"/>
          <w:szCs w:val="22"/>
        </w:rPr>
      </w:pPr>
      <w:r w:rsidRPr="00BA44F1">
        <w:rPr>
          <w:rFonts w:cs="Times New Roman"/>
          <w:sz w:val="22"/>
          <w:szCs w:val="22"/>
        </w:rPr>
        <w:t xml:space="preserve">For the </w:t>
      </w:r>
      <w:r w:rsidR="00FB5873">
        <w:rPr>
          <w:rFonts w:cs="Times New Roman"/>
          <w:sz w:val="22"/>
          <w:szCs w:val="22"/>
        </w:rPr>
        <w:t>31</w:t>
      </w:r>
      <w:r w:rsidRPr="00BA44F1" w:rsidR="00FB5873">
        <w:rPr>
          <w:rFonts w:cs="Times New Roman"/>
          <w:sz w:val="22"/>
          <w:szCs w:val="22"/>
        </w:rPr>
        <w:t xml:space="preserve"> </w:t>
      </w:r>
      <w:r w:rsidRPr="00BA44F1">
        <w:rPr>
          <w:rFonts w:cs="Times New Roman"/>
          <w:sz w:val="22"/>
          <w:szCs w:val="22"/>
        </w:rPr>
        <w:t xml:space="preserve">NSP3-TA average-sized grants, the Department estimates 11 minutes per voucher. Grantees process approximately 38 vouchers per year. Total burden hours for all grantees over the course of the year is estimated at </w:t>
      </w:r>
      <w:r w:rsidR="00FB5873">
        <w:rPr>
          <w:rFonts w:cs="Times New Roman"/>
          <w:sz w:val="22"/>
          <w:szCs w:val="22"/>
        </w:rPr>
        <w:t>1,</w:t>
      </w:r>
      <w:r w:rsidR="004D14DD">
        <w:rPr>
          <w:rFonts w:cs="Times New Roman"/>
          <w:sz w:val="22"/>
          <w:szCs w:val="22"/>
        </w:rPr>
        <w:t>178</w:t>
      </w:r>
      <w:r w:rsidRPr="00BA44F1">
        <w:rPr>
          <w:rFonts w:cs="Times New Roman"/>
          <w:sz w:val="22"/>
          <w:szCs w:val="22"/>
        </w:rPr>
        <w:t xml:space="preserve">, for a total annual </w:t>
      </w:r>
      <w:r w:rsidR="004D14DD">
        <w:rPr>
          <w:rFonts w:cs="Times New Roman"/>
          <w:sz w:val="22"/>
          <w:szCs w:val="22"/>
        </w:rPr>
        <w:t xml:space="preserve">estimated </w:t>
      </w:r>
      <w:r w:rsidRPr="00BA44F1">
        <w:rPr>
          <w:rFonts w:cs="Times New Roman"/>
          <w:sz w:val="22"/>
          <w:szCs w:val="22"/>
        </w:rPr>
        <w:t>submission cost of $</w:t>
      </w:r>
      <w:r w:rsidR="00FB5873">
        <w:rPr>
          <w:rFonts w:cs="Times New Roman"/>
          <w:sz w:val="22"/>
          <w:szCs w:val="22"/>
        </w:rPr>
        <w:t>3</w:t>
      </w:r>
      <w:r w:rsidR="004D14DD">
        <w:rPr>
          <w:rFonts w:cs="Times New Roman"/>
          <w:sz w:val="22"/>
          <w:szCs w:val="22"/>
        </w:rPr>
        <w:t>,608</w:t>
      </w:r>
      <w:r w:rsidRPr="00BA44F1">
        <w:rPr>
          <w:rFonts w:cs="Times New Roman"/>
          <w:sz w:val="22"/>
          <w:szCs w:val="22"/>
        </w:rPr>
        <w:t>.</w:t>
      </w:r>
    </w:p>
    <w:p w:rsidRPr="00BA44F1" w:rsidR="001D027A" w:rsidRDefault="001D027A" w14:paraId="3734B851" w14:textId="77777777">
      <w:pPr>
        <w:keepLines/>
        <w:rPr>
          <w:rFonts w:cs="Times New Roman"/>
        </w:rPr>
      </w:pPr>
    </w:p>
    <w:p w:rsidRPr="00BA44F1" w:rsidR="001D027A" w:rsidRDefault="001D027A" w14:paraId="7C8FD124" w14:textId="77777777">
      <w:pPr>
        <w:keepLines/>
        <w:rPr>
          <w:rFonts w:cs="Times New Roman"/>
        </w:rPr>
      </w:pPr>
    </w:p>
    <w:tbl>
      <w:tblPr>
        <w:tblW w:w="10340" w:type="dxa"/>
        <w:tblInd w:w="22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180"/>
        <w:gridCol w:w="1320"/>
        <w:gridCol w:w="1120"/>
        <w:gridCol w:w="1120"/>
        <w:gridCol w:w="1120"/>
        <w:gridCol w:w="1120"/>
        <w:gridCol w:w="1120"/>
        <w:gridCol w:w="1120"/>
        <w:gridCol w:w="1120"/>
      </w:tblGrid>
      <w:tr w:rsidRPr="00BA44F1" w:rsidR="001D027A" w:rsidTr="000513ED" w14:paraId="65432AA5" w14:textId="77777777">
        <w:trPr>
          <w:trHeight w:val="2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4574A7D" w14:textId="77777777">
            <w:pPr>
              <w:rPr>
                <w:rFonts w:cs="Times New Roman"/>
                <w:color w:val="auto"/>
              </w:rPr>
            </w:pPr>
            <w:r w:rsidRPr="00BA44F1">
              <w:rPr>
                <w:rFonts w:eastAsia="Calibri" w:cs="Times New Roman"/>
                <w:color w:val="auto"/>
                <w:sz w:val="16"/>
                <w:szCs w:val="16"/>
              </w:rPr>
              <w:t> </w:t>
            </w:r>
          </w:p>
        </w:tc>
        <w:tc>
          <w:tcPr>
            <w:tcW w:w="9160"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3D1735B" w14:textId="77777777">
            <w:pPr>
              <w:jc w:val="center"/>
              <w:rPr>
                <w:rFonts w:cs="Times New Roman"/>
                <w:color w:val="auto"/>
              </w:rPr>
            </w:pPr>
            <w:r w:rsidRPr="00BA44F1">
              <w:rPr>
                <w:rFonts w:eastAsia="Calibri" w:cs="Times New Roman"/>
                <w:b/>
                <w:bCs/>
                <w:color w:val="auto"/>
                <w:sz w:val="16"/>
                <w:szCs w:val="16"/>
                <w:u w:color="FFFFFF"/>
              </w:rPr>
              <w:t xml:space="preserve">Neighborhood Stabilization Program 3 - Technical Assistance </w:t>
            </w:r>
          </w:p>
        </w:tc>
      </w:tr>
      <w:tr w:rsidRPr="00BA44F1" w:rsidR="001D027A" w:rsidTr="00385CAF" w14:paraId="59BA0B42" w14:textId="77777777">
        <w:trPr>
          <w:trHeight w:val="995"/>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CC7EBCF" w14:textId="77777777">
            <w:pPr>
              <w:rPr>
                <w:rFonts w:cs="Times New Roman"/>
              </w:rPr>
            </w:pPr>
            <w:r w:rsidRPr="00BA44F1">
              <w:rPr>
                <w:rFonts w:eastAsia="Calibri" w:cs="Times New Roman"/>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CAE454E" w14:textId="77777777">
            <w:pPr>
              <w:jc w:val="center"/>
              <w:rPr>
                <w:rFonts w:cs="Times New Roman"/>
              </w:rPr>
            </w:pPr>
            <w:r w:rsidRPr="00BA44F1">
              <w:rPr>
                <w:rFonts w:eastAsia="Calibri" w:cs="Times New Roman"/>
                <w:b/>
                <w:bCs/>
                <w:sz w:val="16"/>
                <w:szCs w:val="16"/>
              </w:rPr>
              <w:t>Description of Information Collection</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4A5AAC3" w14:textId="77777777">
            <w:pPr>
              <w:jc w:val="center"/>
              <w:rPr>
                <w:rFonts w:cs="Times New Roman"/>
              </w:rPr>
            </w:pPr>
            <w:r w:rsidRPr="00BA44F1">
              <w:rPr>
                <w:rFonts w:eastAsia="Calibri" w:cs="Times New Roman"/>
                <w:b/>
                <w:bCs/>
                <w:sz w:val="16"/>
                <w:szCs w:val="16"/>
              </w:rPr>
              <w:t>Number of Respondents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294C432" w14:textId="77777777">
            <w:pPr>
              <w:jc w:val="center"/>
              <w:rPr>
                <w:rFonts w:cs="Times New Roman"/>
              </w:rPr>
            </w:pPr>
            <w:r w:rsidRPr="00BA44F1">
              <w:rPr>
                <w:rFonts w:eastAsia="Calibri" w:cs="Times New Roman"/>
                <w:b/>
                <w:bCs/>
                <w:sz w:val="16"/>
                <w:szCs w:val="16"/>
              </w:rPr>
              <w:t>Frequency of Response</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0378556" w14:textId="77777777">
            <w:pPr>
              <w:jc w:val="center"/>
              <w:rPr>
                <w:rFonts w:cs="Times New Roman"/>
              </w:rPr>
            </w:pPr>
            <w:r w:rsidRPr="00BA44F1">
              <w:rPr>
                <w:rFonts w:eastAsia="Calibri" w:cs="Times New Roman"/>
                <w:b/>
                <w:bCs/>
                <w:sz w:val="16"/>
                <w:szCs w:val="16"/>
              </w:rPr>
              <w:t>Responses</w:t>
            </w:r>
            <w:r w:rsidRPr="00BA44F1">
              <w:rPr>
                <w:rFonts w:eastAsia="Calibri" w:cs="Times New Roman"/>
                <w:b/>
                <w:bCs/>
                <w:sz w:val="16"/>
                <w:szCs w:val="16"/>
              </w:rPr>
              <w:br/>
              <w:t>Per Annum</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D02FF8C" w14:textId="77777777">
            <w:pPr>
              <w:jc w:val="center"/>
              <w:rPr>
                <w:rFonts w:cs="Times New Roman"/>
              </w:rPr>
            </w:pPr>
            <w:r w:rsidRPr="00BA44F1">
              <w:rPr>
                <w:rFonts w:eastAsia="Calibri" w:cs="Times New Roman"/>
                <w:b/>
                <w:bCs/>
                <w:sz w:val="16"/>
                <w:szCs w:val="16"/>
              </w:rPr>
              <w:t>Burden Hour Per Response</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7126663" w14:textId="77777777">
            <w:pPr>
              <w:jc w:val="center"/>
              <w:rPr>
                <w:rFonts w:cs="Times New Roman"/>
              </w:rPr>
            </w:pPr>
            <w:r w:rsidRPr="00BA44F1">
              <w:rPr>
                <w:rFonts w:eastAsia="Calibri" w:cs="Times New Roman"/>
                <w:b/>
                <w:bCs/>
                <w:sz w:val="16"/>
                <w:szCs w:val="16"/>
              </w:rPr>
              <w:t>Annual Burden Hours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7EEDD93" w14:textId="77777777">
            <w:pPr>
              <w:jc w:val="center"/>
              <w:rPr>
                <w:rFonts w:cs="Times New Roman"/>
              </w:rPr>
            </w:pPr>
            <w:r w:rsidRPr="00BA44F1">
              <w:rPr>
                <w:rFonts w:eastAsia="Calibri" w:cs="Times New Roman"/>
                <w:b/>
                <w:bCs/>
                <w:sz w:val="16"/>
                <w:szCs w:val="16"/>
              </w:rPr>
              <w:t>Hourly Cost Per Response</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1B722AD" w14:textId="77777777">
            <w:pPr>
              <w:jc w:val="center"/>
              <w:rPr>
                <w:rFonts w:cs="Times New Roman"/>
              </w:rPr>
            </w:pPr>
            <w:r w:rsidRPr="00BA44F1">
              <w:rPr>
                <w:rFonts w:eastAsia="Calibri" w:cs="Times New Roman"/>
                <w:b/>
                <w:bCs/>
                <w:sz w:val="16"/>
                <w:szCs w:val="16"/>
              </w:rPr>
              <w:t>Annual Cost</w:t>
            </w:r>
          </w:p>
        </w:tc>
      </w:tr>
      <w:tr w:rsidRPr="00BA44F1" w:rsidR="001D027A" w:rsidTr="00385CAF" w14:paraId="3706998D" w14:textId="77777777">
        <w:trPr>
          <w:trHeight w:val="74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14EB699" w14:textId="77777777">
            <w:pPr>
              <w:rPr>
                <w:rFonts w:cs="Times New Roman"/>
              </w:rPr>
            </w:pPr>
            <w:r w:rsidRPr="00BA44F1">
              <w:rPr>
                <w:rFonts w:eastAsia="Calibri" w:cs="Times New Roman"/>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3BFDA55" w14:textId="77777777">
            <w:pPr>
              <w:jc w:val="center"/>
              <w:rPr>
                <w:rFonts w:cs="Times New Roman"/>
              </w:rPr>
            </w:pPr>
            <w:r w:rsidRPr="00BA44F1">
              <w:rPr>
                <w:rFonts w:eastAsia="Calibri" w:cs="Times New Roman"/>
                <w:b/>
                <w:bCs/>
                <w:sz w:val="16"/>
                <w:szCs w:val="16"/>
              </w:rPr>
              <w:t>REPORTING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227C50D"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ABF32DA"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40EB8B4"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3D0A442"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63A7422"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B86155E" w14:textId="77777777">
            <w:pPr>
              <w:jc w:val="center"/>
              <w:rPr>
                <w:rFonts w:cs="Times New Roman"/>
              </w:rPr>
            </w:pPr>
            <w:r w:rsidRPr="00BA44F1">
              <w:rPr>
                <w:rFonts w:eastAsia="Calibri" w:cs="Times New Roman"/>
                <w:sz w:val="16"/>
                <w:szCs w:val="16"/>
              </w:rPr>
              <w:t>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1EE88E6" w14:textId="77777777">
            <w:pPr>
              <w:jc w:val="center"/>
              <w:rPr>
                <w:rFonts w:cs="Times New Roman"/>
              </w:rPr>
            </w:pPr>
            <w:r w:rsidRPr="00BA44F1">
              <w:rPr>
                <w:rFonts w:eastAsia="Calibri" w:cs="Times New Roman"/>
                <w:sz w:val="16"/>
                <w:szCs w:val="16"/>
              </w:rPr>
              <w:t> </w:t>
            </w:r>
          </w:p>
        </w:tc>
      </w:tr>
      <w:tr w:rsidRPr="00BA44F1" w:rsidR="001D027A" w:rsidTr="00385CAF" w14:paraId="170DD85F" w14:textId="77777777">
        <w:trPr>
          <w:trHeight w:val="8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133D8055" w14:textId="77777777">
            <w:pPr>
              <w:jc w:val="center"/>
              <w:rPr>
                <w:rFonts w:cs="Times New Roman"/>
              </w:rPr>
            </w:pPr>
            <w:r w:rsidRPr="00BA44F1">
              <w:rPr>
                <w:rFonts w:eastAsia="Calibri" w:cs="Times New Roman"/>
                <w:b/>
                <w:bCs/>
                <w:sz w:val="16"/>
                <w:szCs w:val="16"/>
              </w:rPr>
              <w:t>Recurring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075269" w14:paraId="3970F9A5" w14:textId="668C3A5A">
            <w:pPr>
              <w:jc w:val="center"/>
              <w:rPr>
                <w:rFonts w:cs="Times New Roman"/>
              </w:rPr>
            </w:pPr>
            <w:r>
              <w:rPr>
                <w:rFonts w:eastAsia="Calibri" w:cs="Times New Roman"/>
                <w:sz w:val="16"/>
                <w:szCs w:val="16"/>
              </w:rPr>
              <w:t>TA Workplan Submissions</w:t>
            </w:r>
            <w:r w:rsidRPr="00BA44F1" w:rsidR="009F7862">
              <w:rPr>
                <w:rFonts w:eastAsia="Calibri" w:cs="Times New Roman"/>
                <w:sz w:val="16"/>
                <w:szCs w:val="16"/>
              </w:rPr>
              <w:t xml:space="preserve">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E0423B" w14:paraId="3E2614B2" w14:textId="560EC72A">
            <w:pPr>
              <w:jc w:val="center"/>
              <w:rPr>
                <w:rFonts w:cs="Times New Roman"/>
              </w:rPr>
            </w:pPr>
            <w:r>
              <w:rPr>
                <w:rFonts w:eastAsia="Calibri" w:cs="Times New Roman"/>
                <w:sz w:val="16"/>
                <w:szCs w:val="16"/>
              </w:rPr>
              <w:t>31</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5F4BDC4" w14:textId="1F4868E9">
            <w:pPr>
              <w:jc w:val="center"/>
              <w:rPr>
                <w:rFonts w:cs="Times New Roman"/>
              </w:rPr>
            </w:pPr>
            <w:r w:rsidRPr="00BA44F1">
              <w:rPr>
                <w:rFonts w:eastAsia="Calibri" w:cs="Times New Roman"/>
                <w:sz w:val="16"/>
                <w:szCs w:val="16"/>
              </w:rPr>
              <w:t>5</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E0423B" w14:paraId="2920DE86" w14:textId="7D129612">
            <w:pPr>
              <w:jc w:val="center"/>
              <w:rPr>
                <w:rFonts w:cs="Times New Roman"/>
              </w:rPr>
            </w:pPr>
            <w:r>
              <w:rPr>
                <w:rFonts w:eastAsia="Calibri" w:cs="Times New Roman"/>
                <w:sz w:val="16"/>
                <w:szCs w:val="16"/>
              </w:rPr>
              <w:t>155</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D0577BE" w14:textId="12C19A9A">
            <w:pPr>
              <w:jc w:val="center"/>
              <w:rPr>
                <w:rFonts w:cs="Times New Roman"/>
              </w:rPr>
            </w:pPr>
            <w:r w:rsidRPr="00BA44F1">
              <w:rPr>
                <w:rFonts w:eastAsia="Calibri" w:cs="Times New Roman"/>
                <w:sz w:val="16"/>
                <w:szCs w:val="16"/>
              </w:rPr>
              <w:t>8</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8F6D52" w14:paraId="05CFB5A7" w14:textId="5F84D0BA">
            <w:pPr>
              <w:jc w:val="center"/>
              <w:rPr>
                <w:rFonts w:cs="Times New Roman"/>
              </w:rPr>
            </w:pPr>
            <w:r>
              <w:rPr>
                <w:rFonts w:eastAsia="Calibri" w:cs="Times New Roman"/>
                <w:sz w:val="16"/>
                <w:szCs w:val="16"/>
              </w:rPr>
              <w:t>1,240</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C788470" w14:textId="0FE95BFC">
            <w:pPr>
              <w:jc w:val="center"/>
              <w:rPr>
                <w:rFonts w:cs="Times New Roman"/>
              </w:rPr>
            </w:pPr>
            <w:r w:rsidRPr="00BA44F1">
              <w:rPr>
                <w:rFonts w:eastAsia="Calibri" w:cs="Times New Roman"/>
                <w:sz w:val="16"/>
                <w:szCs w:val="16"/>
              </w:rPr>
              <w:t>$26</w:t>
            </w:r>
            <w:r w:rsidR="000179EA">
              <w:rPr>
                <w:rFonts w:eastAsia="Calibri" w:cs="Times New Roman"/>
                <w:sz w:val="16"/>
                <w:szCs w:val="16"/>
              </w:rPr>
              <w:t>.45</w:t>
            </w:r>
            <w:r w:rsidRPr="00BA44F1">
              <w:rPr>
                <w:rFonts w:eastAsia="Calibri" w:cs="Times New Roman"/>
                <w:sz w:val="16"/>
                <w:szCs w:val="16"/>
              </w:rPr>
              <w:t xml:space="preserve">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67D7C15" w14:textId="70EB37F9">
            <w:pPr>
              <w:jc w:val="center"/>
              <w:rPr>
                <w:rFonts w:cs="Times New Roman"/>
              </w:rPr>
            </w:pPr>
            <w:r w:rsidRPr="00BA44F1">
              <w:rPr>
                <w:rFonts w:eastAsia="Calibri" w:cs="Times New Roman"/>
                <w:sz w:val="16"/>
                <w:szCs w:val="16"/>
              </w:rPr>
              <w:t>$</w:t>
            </w:r>
            <w:r w:rsidR="008F6D52">
              <w:rPr>
                <w:rFonts w:eastAsia="Calibri" w:cs="Times New Roman"/>
                <w:sz w:val="16"/>
                <w:szCs w:val="16"/>
              </w:rPr>
              <w:t>32,</w:t>
            </w:r>
            <w:r w:rsidR="000179EA">
              <w:rPr>
                <w:rFonts w:eastAsia="Calibri" w:cs="Times New Roman"/>
                <w:sz w:val="16"/>
                <w:szCs w:val="16"/>
              </w:rPr>
              <w:t>798</w:t>
            </w:r>
          </w:p>
        </w:tc>
      </w:tr>
      <w:tr w:rsidRPr="00BA44F1" w:rsidR="001D027A" w:rsidTr="00385CAF" w14:paraId="44E74953" w14:textId="77777777">
        <w:trPr>
          <w:trHeight w:val="4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9326478" w14:textId="77777777">
            <w:pPr>
              <w:jc w:val="center"/>
              <w:rPr>
                <w:rFonts w:cs="Times New Roman"/>
              </w:rPr>
            </w:pPr>
            <w:r w:rsidRPr="00BA44F1">
              <w:rPr>
                <w:rFonts w:eastAsia="Calibri" w:cs="Times New Roman"/>
                <w:b/>
                <w:bCs/>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D450CA8" w14:textId="77777777">
            <w:pPr>
              <w:jc w:val="center"/>
              <w:rPr>
                <w:rFonts w:cs="Times New Roman"/>
              </w:rPr>
            </w:pPr>
            <w:r w:rsidRPr="00BA44F1">
              <w:rPr>
                <w:rFonts w:eastAsia="Calibri" w:cs="Times New Roman"/>
                <w:sz w:val="16"/>
                <w:szCs w:val="16"/>
              </w:rPr>
              <w:t>DRGR voucher submissions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E0423B" w14:paraId="0D038AA9" w14:textId="52A4A736">
            <w:pPr>
              <w:jc w:val="center"/>
              <w:rPr>
                <w:rFonts w:cs="Times New Roman"/>
              </w:rPr>
            </w:pPr>
            <w:r>
              <w:rPr>
                <w:rFonts w:eastAsia="Calibri" w:cs="Times New Roman"/>
                <w:sz w:val="16"/>
                <w:szCs w:val="16"/>
              </w:rPr>
              <w:t>31</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BEB3229" w14:textId="4F89DBC4">
            <w:pPr>
              <w:jc w:val="center"/>
              <w:rPr>
                <w:rFonts w:cs="Times New Roman"/>
              </w:rPr>
            </w:pPr>
            <w:r w:rsidRPr="00BA44F1">
              <w:rPr>
                <w:rFonts w:eastAsia="Calibri" w:cs="Times New Roman"/>
                <w:sz w:val="16"/>
                <w:szCs w:val="16"/>
              </w:rPr>
              <w:t>38</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8F6D52" w14:paraId="68F034A5" w14:textId="746CB22A">
            <w:pPr>
              <w:jc w:val="center"/>
              <w:rPr>
                <w:rFonts w:cs="Times New Roman"/>
              </w:rPr>
            </w:pPr>
            <w:r>
              <w:rPr>
                <w:rFonts w:eastAsia="Calibri" w:cs="Times New Roman"/>
                <w:sz w:val="16"/>
                <w:szCs w:val="16"/>
              </w:rPr>
              <w:t>1,178</w:t>
            </w:r>
            <w:r w:rsidR="004709F4">
              <w:rPr>
                <w:rFonts w:eastAsia="Calibri" w:cs="Times New Roman"/>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62209167" w14:textId="77777777">
            <w:pPr>
              <w:jc w:val="center"/>
              <w:rPr>
                <w:rFonts w:cs="Times New Roman"/>
              </w:rPr>
            </w:pPr>
            <w:r w:rsidRPr="00BA44F1">
              <w:rPr>
                <w:rFonts w:eastAsia="Calibri" w:cs="Times New Roman"/>
                <w:sz w:val="16"/>
                <w:szCs w:val="16"/>
              </w:rPr>
              <w:t>0.18</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644D1" w14:paraId="1677191A" w14:textId="2684A72A">
            <w:pPr>
              <w:jc w:val="center"/>
              <w:rPr>
                <w:rFonts w:cs="Times New Roman"/>
              </w:rPr>
            </w:pPr>
            <w:r>
              <w:rPr>
                <w:rFonts w:eastAsia="Calibri" w:cs="Times New Roman"/>
                <w:sz w:val="16"/>
                <w:szCs w:val="16"/>
              </w:rPr>
              <w:t>212</w:t>
            </w:r>
            <w:r w:rsidR="00075269">
              <w:rPr>
                <w:rFonts w:eastAsia="Calibri" w:cs="Times New Roman"/>
                <w:sz w:val="16"/>
                <w:szCs w:val="16"/>
              </w:rPr>
              <w:t>.04</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20AB782" w14:textId="38B2FB6D">
            <w:pPr>
              <w:jc w:val="center"/>
              <w:rPr>
                <w:rFonts w:cs="Times New Roman"/>
              </w:rPr>
            </w:pPr>
            <w:r w:rsidRPr="00BA44F1">
              <w:rPr>
                <w:rFonts w:eastAsia="Calibri" w:cs="Times New Roman"/>
                <w:sz w:val="16"/>
                <w:szCs w:val="16"/>
              </w:rPr>
              <w:t>$26</w:t>
            </w:r>
            <w:r w:rsidR="000179EA">
              <w:rPr>
                <w:rFonts w:eastAsia="Calibri" w:cs="Times New Roman"/>
                <w:sz w:val="16"/>
                <w:szCs w:val="16"/>
              </w:rPr>
              <w:t>.45</w:t>
            </w:r>
            <w:r w:rsidRPr="00BA44F1">
              <w:rPr>
                <w:rFonts w:eastAsia="Calibri" w:cs="Times New Roman"/>
                <w:sz w:val="16"/>
                <w:szCs w:val="16"/>
              </w:rPr>
              <w:t xml:space="preserve"> </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202EF7DB" w14:textId="28CC2A5F">
            <w:pPr>
              <w:jc w:val="center"/>
              <w:rPr>
                <w:rFonts w:cs="Times New Roman"/>
              </w:rPr>
            </w:pPr>
            <w:r w:rsidRPr="00BA44F1">
              <w:rPr>
                <w:rFonts w:eastAsia="Calibri" w:cs="Times New Roman"/>
                <w:sz w:val="16"/>
                <w:szCs w:val="16"/>
              </w:rPr>
              <w:t>$</w:t>
            </w:r>
            <w:r w:rsidR="002644D1">
              <w:rPr>
                <w:rFonts w:eastAsia="Calibri" w:cs="Times New Roman"/>
                <w:sz w:val="16"/>
                <w:szCs w:val="16"/>
              </w:rPr>
              <w:t>5,</w:t>
            </w:r>
            <w:r w:rsidR="000179EA">
              <w:rPr>
                <w:rFonts w:eastAsia="Calibri" w:cs="Times New Roman"/>
                <w:sz w:val="16"/>
                <w:szCs w:val="16"/>
              </w:rPr>
              <w:t>608.46</w:t>
            </w:r>
            <w:r w:rsidRPr="00BA44F1">
              <w:rPr>
                <w:rFonts w:eastAsia="Calibri" w:cs="Times New Roman"/>
                <w:sz w:val="16"/>
                <w:szCs w:val="16"/>
              </w:rPr>
              <w:t xml:space="preserve"> </w:t>
            </w:r>
          </w:p>
        </w:tc>
      </w:tr>
      <w:tr w:rsidRPr="00BA44F1" w:rsidR="001D027A" w:rsidTr="00385CAF" w14:paraId="642CBA94" w14:textId="77777777">
        <w:trPr>
          <w:trHeight w:val="610"/>
        </w:trPr>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77F4DAE7" w14:textId="77777777">
            <w:pPr>
              <w:rPr>
                <w:rFonts w:cs="Times New Roman"/>
              </w:rPr>
            </w:pPr>
            <w:r w:rsidRPr="00BA44F1">
              <w:rPr>
                <w:rFonts w:eastAsia="Calibri" w:cs="Times New Roman"/>
                <w:b/>
                <w:bCs/>
                <w:sz w:val="16"/>
                <w:szCs w:val="16"/>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077EC363" w14:textId="77777777">
            <w:pPr>
              <w:jc w:val="center"/>
              <w:rPr>
                <w:rFonts w:cs="Times New Roman"/>
              </w:rPr>
            </w:pPr>
            <w:r w:rsidRPr="00BA44F1">
              <w:rPr>
                <w:rFonts w:eastAsia="Calibri" w:cs="Times New Roman"/>
                <w:b/>
                <w:bCs/>
                <w:sz w:val="16"/>
                <w:szCs w:val="16"/>
              </w:rPr>
              <w:t>TOTAL PAPERWORK BURDEN</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644D1" w14:paraId="251A5CFF" w14:textId="7CF80935">
            <w:pPr>
              <w:jc w:val="center"/>
              <w:rPr>
                <w:rFonts w:cs="Times New Roman"/>
              </w:rPr>
            </w:pPr>
            <w:r>
              <w:rPr>
                <w:rFonts w:eastAsia="Calibri" w:cs="Times New Roman"/>
                <w:b/>
                <w:bCs/>
                <w:sz w:val="16"/>
                <w:szCs w:val="16"/>
              </w:rPr>
              <w:t>62</w:t>
            </w:r>
            <w:r w:rsidR="004709F4">
              <w:rPr>
                <w:rFonts w:eastAsia="Calibri" w:cs="Times New Roman"/>
                <w:b/>
                <w:bCs/>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F373BC" w14:paraId="7F6E66AB" w14:textId="3ACEA1D4">
            <w:pPr>
              <w:jc w:val="center"/>
              <w:rPr>
                <w:rFonts w:cs="Times New Roman"/>
              </w:rPr>
            </w:pPr>
            <w:r>
              <w:rPr>
                <w:rFonts w:eastAsia="Calibri" w:cs="Times New Roman"/>
                <w:b/>
                <w:bCs/>
                <w:sz w:val="16"/>
                <w:szCs w:val="16"/>
              </w:rPr>
              <w:t>Varies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F373BC" w14:paraId="4965ABA0" w14:textId="5A9EE298">
            <w:pPr>
              <w:jc w:val="center"/>
              <w:rPr>
                <w:rFonts w:cs="Times New Roman"/>
              </w:rPr>
            </w:pPr>
            <w:r>
              <w:rPr>
                <w:rFonts w:eastAsia="Calibri" w:cs="Times New Roman"/>
                <w:b/>
                <w:bCs/>
                <w:sz w:val="16"/>
                <w:szCs w:val="16"/>
              </w:rPr>
              <w:t>1,333</w:t>
            </w:r>
            <w:r w:rsidR="004709F4">
              <w:rPr>
                <w:rFonts w:eastAsia="Calibri" w:cs="Times New Roman"/>
                <w:b/>
                <w:bCs/>
                <w:sz w:val="16"/>
                <w:szCs w:val="16"/>
              </w:rPr>
              <w:t>.00</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5C75FC8E" w14:textId="77777777">
            <w:pPr>
              <w:jc w:val="center"/>
              <w:rPr>
                <w:rFonts w:cs="Times New Roman"/>
              </w:rPr>
            </w:pPr>
            <w:r w:rsidRPr="00BA44F1">
              <w:rPr>
                <w:rFonts w:eastAsia="Calibri" w:cs="Times New Roman"/>
                <w:b/>
                <w:bCs/>
                <w:sz w:val="16"/>
                <w:szCs w:val="16"/>
              </w:rPr>
              <w:t>Various</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2644D1" w14:paraId="3566AED9" w14:textId="3175F36B">
            <w:pPr>
              <w:jc w:val="center"/>
              <w:rPr>
                <w:rFonts w:cs="Times New Roman"/>
              </w:rPr>
            </w:pPr>
            <w:r>
              <w:rPr>
                <w:rFonts w:eastAsia="Calibri" w:cs="Times New Roman"/>
                <w:b/>
                <w:bCs/>
                <w:sz w:val="16"/>
                <w:szCs w:val="16"/>
              </w:rPr>
              <w:t>1,452</w:t>
            </w:r>
            <w:r w:rsidR="005C43FE">
              <w:rPr>
                <w:rFonts w:eastAsia="Calibri" w:cs="Times New Roman"/>
                <w:b/>
                <w:bCs/>
                <w:sz w:val="16"/>
                <w:szCs w:val="16"/>
              </w:rPr>
              <w:t>.04</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3F4E9DD0" w14:textId="0156EAFC">
            <w:pPr>
              <w:jc w:val="center"/>
              <w:rPr>
                <w:rFonts w:cs="Times New Roman"/>
              </w:rPr>
            </w:pPr>
            <w:r w:rsidRPr="00BA44F1">
              <w:rPr>
                <w:rFonts w:eastAsia="Calibri" w:cs="Times New Roman"/>
                <w:b/>
                <w:bCs/>
                <w:sz w:val="16"/>
                <w:szCs w:val="16"/>
              </w:rPr>
              <w:t>$26</w:t>
            </w:r>
            <w:r w:rsidR="000179EA">
              <w:rPr>
                <w:rFonts w:eastAsia="Calibri" w:cs="Times New Roman"/>
                <w:b/>
                <w:bCs/>
                <w:sz w:val="16"/>
                <w:szCs w:val="16"/>
              </w:rPr>
              <w:t>.45</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BA44F1" w:rsidR="001D027A" w:rsidRDefault="009F7862" w14:paraId="46090C61" w14:textId="4689E48E">
            <w:pPr>
              <w:jc w:val="center"/>
              <w:rPr>
                <w:rFonts w:cs="Times New Roman"/>
              </w:rPr>
            </w:pPr>
            <w:r w:rsidRPr="00BA44F1">
              <w:rPr>
                <w:rFonts w:eastAsia="Calibri" w:cs="Times New Roman"/>
                <w:b/>
                <w:bCs/>
                <w:sz w:val="16"/>
                <w:szCs w:val="16"/>
              </w:rPr>
              <w:t>$</w:t>
            </w:r>
            <w:r w:rsidR="002644D1">
              <w:rPr>
                <w:rFonts w:eastAsia="Calibri" w:cs="Times New Roman"/>
                <w:b/>
                <w:bCs/>
                <w:sz w:val="16"/>
                <w:szCs w:val="16"/>
              </w:rPr>
              <w:t>3</w:t>
            </w:r>
            <w:r w:rsidR="00AD2DF7">
              <w:rPr>
                <w:rFonts w:eastAsia="Calibri" w:cs="Times New Roman"/>
                <w:b/>
                <w:bCs/>
                <w:sz w:val="16"/>
                <w:szCs w:val="16"/>
              </w:rPr>
              <w:t>8,406.46</w:t>
            </w:r>
          </w:p>
        </w:tc>
      </w:tr>
    </w:tbl>
    <w:p w:rsidRPr="00BA44F1" w:rsidR="001D027A" w:rsidRDefault="001D027A" w14:paraId="22FEBBB3" w14:textId="77777777">
      <w:pPr>
        <w:keepLines/>
        <w:widowControl w:val="0"/>
        <w:ind w:left="113" w:hanging="113"/>
        <w:rPr>
          <w:rFonts w:cs="Times New Roman"/>
        </w:rPr>
      </w:pPr>
    </w:p>
    <w:p w:rsidRPr="00BA44F1" w:rsidR="001D027A" w:rsidRDefault="001D027A" w14:paraId="21738624" w14:textId="77777777">
      <w:pPr>
        <w:keepLines/>
        <w:rPr>
          <w:rFonts w:cs="Times New Roman"/>
          <w:color w:val="1F4E79"/>
          <w:u w:color="1F4E79"/>
          <w:shd w:val="clear" w:color="auto" w:fill="FFFF00"/>
        </w:rPr>
      </w:pPr>
    </w:p>
    <w:p w:rsidRPr="00BA44F1" w:rsidR="001D027A" w:rsidRDefault="001D027A" w14:paraId="67EDCAD3" w14:textId="77777777">
      <w:pPr>
        <w:ind w:left="360"/>
        <w:rPr>
          <w:rFonts w:cs="Times New Roman"/>
          <w:color w:val="1F4E79"/>
          <w:sz w:val="22"/>
          <w:szCs w:val="22"/>
          <w:u w:color="1F4E79"/>
          <w:shd w:val="clear" w:color="auto" w:fill="FFFF00"/>
        </w:rPr>
      </w:pPr>
    </w:p>
    <w:p w:rsidRPr="00BA44F1" w:rsidR="001D027A" w:rsidRDefault="009F7862" w14:paraId="288ADFE3" w14:textId="77777777">
      <w:pPr>
        <w:spacing w:line="360" w:lineRule="auto"/>
        <w:ind w:left="360"/>
        <w:rPr>
          <w:rFonts w:cs="Times New Roman"/>
          <w:color w:val="auto"/>
          <w:sz w:val="22"/>
          <w:szCs w:val="22"/>
          <w:u w:color="1F4E79"/>
        </w:rPr>
      </w:pPr>
      <w:r w:rsidRPr="00BA44F1">
        <w:rPr>
          <w:rFonts w:cs="Times New Roman"/>
          <w:color w:val="auto"/>
          <w:sz w:val="22"/>
          <w:szCs w:val="22"/>
          <w:u w:color="1F4E79"/>
        </w:rPr>
        <w:t>e.   Rural Capacity Building and Section 4 programs</w:t>
      </w:r>
    </w:p>
    <w:p w:rsidRPr="00BA44F1" w:rsidR="001D027A" w:rsidRDefault="009F7862" w14:paraId="72BBDC22" w14:textId="2352917E">
      <w:pPr>
        <w:pStyle w:val="ListParagraph"/>
        <w:numPr>
          <w:ilvl w:val="0"/>
          <w:numId w:val="20"/>
        </w:numPr>
        <w:spacing w:after="120"/>
        <w:rPr>
          <w:rFonts w:cs="Times New Roman"/>
          <w:color w:val="auto"/>
          <w:sz w:val="22"/>
          <w:szCs w:val="22"/>
        </w:rPr>
      </w:pPr>
      <w:r w:rsidRPr="00BA44F1">
        <w:rPr>
          <w:rFonts w:cs="Times New Roman"/>
          <w:color w:val="auto"/>
          <w:sz w:val="22"/>
          <w:szCs w:val="22"/>
          <w:u w:color="1F4E79"/>
        </w:rPr>
        <w:t xml:space="preserve">The system has </w:t>
      </w:r>
      <w:r w:rsidR="00FB5873">
        <w:rPr>
          <w:rFonts w:cs="Times New Roman"/>
          <w:color w:val="auto"/>
          <w:sz w:val="22"/>
          <w:szCs w:val="22"/>
          <w:u w:color="1F4E79"/>
        </w:rPr>
        <w:t>26</w:t>
      </w:r>
      <w:r w:rsidRPr="00BA44F1" w:rsidR="00FB5873">
        <w:rPr>
          <w:rFonts w:cs="Times New Roman"/>
          <w:color w:val="auto"/>
          <w:sz w:val="22"/>
          <w:szCs w:val="22"/>
          <w:u w:color="1F4E79"/>
        </w:rPr>
        <w:t xml:space="preserve"> </w:t>
      </w:r>
      <w:r w:rsidRPr="00BA44F1">
        <w:rPr>
          <w:rFonts w:cs="Times New Roman"/>
          <w:color w:val="auto"/>
          <w:sz w:val="22"/>
          <w:szCs w:val="22"/>
          <w:u w:color="1F4E79"/>
        </w:rPr>
        <w:t>open grants in DRGR including all projected grants to be awarded through the FY2018 RCB and Section 4 NOFAs.</w:t>
      </w:r>
    </w:p>
    <w:p w:rsidRPr="00BA44F1" w:rsidR="001D027A" w:rsidRDefault="009F7862" w14:paraId="2BF8E7EF" w14:textId="77777777">
      <w:pPr>
        <w:pStyle w:val="ListParagraph"/>
        <w:numPr>
          <w:ilvl w:val="0"/>
          <w:numId w:val="20"/>
        </w:numPr>
        <w:spacing w:after="120"/>
        <w:rPr>
          <w:rFonts w:cs="Times New Roman"/>
          <w:color w:val="auto"/>
          <w:sz w:val="22"/>
          <w:szCs w:val="22"/>
          <w:u w:color="1F4E79"/>
          <w14:textOutline w14:w="0" w14:cap="flat" w14:cmpd="sng" w14:algn="ctr">
            <w14:noFill/>
            <w14:prstDash w14:val="solid"/>
            <w14:bevel/>
          </w14:textOutline>
        </w:rPr>
      </w:pPr>
      <w:r w:rsidRPr="00BA44F1">
        <w:rPr>
          <w:rFonts w:cs="Times New Roman"/>
          <w:color w:val="auto"/>
          <w:sz w:val="22"/>
          <w:szCs w:val="22"/>
          <w:u w:color="1F4E79"/>
          <w14:textOutline w14:w="0" w14:cap="flat" w14:cmpd="sng" w14:algn="ctr">
            <w14:noFill/>
            <w14:prstDash w14:val="solid"/>
            <w14:bevel/>
          </w14:textOutline>
        </w:rPr>
        <w:t xml:space="preserve">HUD requires each RCB and Section 4 grantee to report their performances in the system semi-annually for each grant award.  </w:t>
      </w:r>
    </w:p>
    <w:p w:rsidRPr="00BA44F1" w:rsidR="001D027A" w:rsidRDefault="009F7862" w14:paraId="06E67EBD" w14:textId="77777777">
      <w:pPr>
        <w:pStyle w:val="ListParagraph"/>
        <w:numPr>
          <w:ilvl w:val="0"/>
          <w:numId w:val="20"/>
        </w:numPr>
        <w:spacing w:after="120"/>
        <w:rPr>
          <w:rFonts w:cs="Times New Roman"/>
          <w:color w:val="auto"/>
          <w:sz w:val="22"/>
          <w:szCs w:val="22"/>
          <w:u w:color="1F4E79"/>
          <w14:textOutline w14:w="0" w14:cap="flat" w14:cmpd="sng" w14:algn="ctr">
            <w14:noFill/>
            <w14:prstDash w14:val="solid"/>
            <w14:bevel/>
          </w14:textOutline>
        </w:rPr>
      </w:pPr>
      <w:r w:rsidRPr="00BA44F1">
        <w:rPr>
          <w:rFonts w:cs="Times New Roman"/>
          <w:color w:val="auto"/>
          <w:sz w:val="22"/>
          <w:szCs w:val="22"/>
          <w:u w:color="1F4E79"/>
          <w14:textOutline w14:w="0" w14:cap="flat" w14:cmpd="sng" w14:algn="ctr">
            <w14:noFill/>
            <w14:prstDash w14:val="solid"/>
            <w14:bevel/>
          </w14:textOutline>
        </w:rPr>
        <w:t>Submissions include drawdown vouchers and semi-annual performance reports (in the QPR Module). There may be multiple line items included in each voucher and several activities reported on within a QPR. Drawdown vouchers are usually submitted on a monthly basis.,</w:t>
      </w:r>
    </w:p>
    <w:p w:rsidRPr="00BA44F1" w:rsidR="001D027A" w:rsidRDefault="009F7862" w14:paraId="5398D401" w14:textId="77777777">
      <w:pPr>
        <w:numPr>
          <w:ilvl w:val="0"/>
          <w:numId w:val="20"/>
        </w:numPr>
        <w:spacing w:after="120"/>
        <w:rPr>
          <w:rFonts w:cs="Times New Roman"/>
          <w:color w:val="auto"/>
          <w:sz w:val="22"/>
          <w:szCs w:val="22"/>
          <w:u w:color="1F4E79"/>
        </w:rPr>
      </w:pPr>
      <w:r w:rsidRPr="00BA44F1">
        <w:rPr>
          <w:rFonts w:cs="Times New Roman"/>
          <w:color w:val="auto"/>
          <w:sz w:val="22"/>
          <w:szCs w:val="22"/>
          <w:u w:color="1F4E79"/>
        </w:rPr>
        <w:t>Since these grantees are National Non-Profits and often staffed by mid-career individuals, the cost figures are estimated based on local staff earning the equivalent of a GS-13 base hourly rate.</w:t>
      </w:r>
    </w:p>
    <w:p w:rsidRPr="00BA44F1" w:rsidR="001D027A" w:rsidRDefault="001D027A" w14:paraId="2909FECF" w14:textId="77777777">
      <w:pPr>
        <w:rPr>
          <w:rFonts w:cs="Times New Roman"/>
          <w:color w:val="auto"/>
          <w:sz w:val="22"/>
          <w:szCs w:val="22"/>
          <w:u w:color="1F4E79"/>
          <w:shd w:val="clear" w:color="auto" w:fill="FFFF00"/>
        </w:rPr>
      </w:pPr>
    </w:p>
    <w:p w:rsidRPr="00BA44F1" w:rsidR="001D027A" w:rsidP="00385CAF" w:rsidRDefault="009F7862" w14:paraId="16CA7594" w14:textId="6B74761F">
      <w:pPr>
        <w:spacing w:after="120"/>
        <w:ind w:left="990"/>
        <w:rPr>
          <w:rFonts w:cs="Times New Roman"/>
          <w:color w:val="auto"/>
          <w:sz w:val="22"/>
          <w:szCs w:val="22"/>
          <w:u w:color="1F4E79"/>
        </w:rPr>
      </w:pPr>
      <w:r w:rsidRPr="00BA44F1">
        <w:rPr>
          <w:rFonts w:cs="Times New Roman"/>
          <w:color w:val="auto"/>
          <w:sz w:val="22"/>
          <w:szCs w:val="22"/>
          <w:u w:color="1F4E79"/>
        </w:rPr>
        <w:t>One-time only submissions:</w:t>
      </w:r>
    </w:p>
    <w:p w:rsidRPr="00BA44F1" w:rsidR="001D027A" w:rsidP="00385CAF" w:rsidRDefault="009F7862" w14:paraId="700D6217" w14:textId="4C39C850">
      <w:pPr>
        <w:numPr>
          <w:ilvl w:val="0"/>
          <w:numId w:val="20"/>
        </w:numPr>
        <w:spacing w:after="120"/>
        <w:rPr>
          <w:rFonts w:cs="Times New Roman"/>
          <w:color w:val="auto"/>
          <w:sz w:val="22"/>
          <w:szCs w:val="22"/>
          <w:u w:color="1F4E79"/>
        </w:rPr>
      </w:pPr>
      <w:r w:rsidRPr="00BA44F1">
        <w:rPr>
          <w:rFonts w:cs="Times New Roman"/>
          <w:color w:val="auto"/>
          <w:sz w:val="22"/>
          <w:szCs w:val="22"/>
          <w:u w:color="1F4E79"/>
        </w:rPr>
        <w:lastRenderedPageBreak/>
        <w:t>The one-time non-recurring submissions include DRGR activation and account setup, plus creation of the original Action Plan. Total hours are estimated at 112 at a</w:t>
      </w:r>
      <w:r w:rsidR="00E34EDE">
        <w:rPr>
          <w:rFonts w:cs="Times New Roman"/>
          <w:color w:val="auto"/>
          <w:sz w:val="22"/>
          <w:szCs w:val="22"/>
          <w:u w:color="1F4E79"/>
        </w:rPr>
        <w:t>n estimated</w:t>
      </w:r>
      <w:r w:rsidRPr="00BA44F1">
        <w:rPr>
          <w:rFonts w:cs="Times New Roman"/>
          <w:color w:val="auto"/>
          <w:sz w:val="22"/>
          <w:szCs w:val="22"/>
          <w:u w:color="1F4E79"/>
        </w:rPr>
        <w:t xml:space="preserve"> cost of $4,</w:t>
      </w:r>
      <w:r w:rsidR="00E34EDE">
        <w:rPr>
          <w:rFonts w:cs="Times New Roman"/>
          <w:color w:val="auto"/>
          <w:sz w:val="22"/>
          <w:szCs w:val="22"/>
          <w:u w:color="1F4E79"/>
        </w:rPr>
        <w:t>200.</w:t>
      </w:r>
    </w:p>
    <w:p w:rsidRPr="00BA44F1" w:rsidR="001D027A" w:rsidRDefault="001D027A" w14:paraId="4C78F674" w14:textId="77777777">
      <w:pPr>
        <w:rPr>
          <w:rFonts w:cs="Times New Roman"/>
          <w:color w:val="auto"/>
          <w:sz w:val="22"/>
          <w:szCs w:val="22"/>
          <w:u w:color="1F4E79"/>
        </w:rPr>
      </w:pPr>
    </w:p>
    <w:p w:rsidRPr="00BA44F1" w:rsidR="001D027A" w:rsidRDefault="009F7862" w14:paraId="5793A1C5" w14:textId="77777777">
      <w:pPr>
        <w:ind w:firstLine="360"/>
        <w:rPr>
          <w:rFonts w:cs="Times New Roman"/>
          <w:color w:val="auto"/>
          <w:sz w:val="22"/>
          <w:szCs w:val="22"/>
          <w:u w:color="1F4E79"/>
        </w:rPr>
      </w:pPr>
      <w:r w:rsidRPr="00BA44F1">
        <w:rPr>
          <w:rFonts w:cs="Times New Roman"/>
          <w:color w:val="auto"/>
          <w:sz w:val="22"/>
          <w:szCs w:val="22"/>
          <w:u w:color="1F4E79"/>
        </w:rPr>
        <w:t>Recurring submissions:</w:t>
      </w:r>
    </w:p>
    <w:p w:rsidRPr="00BA44F1" w:rsidR="001D027A" w:rsidRDefault="001D027A" w14:paraId="55B1F668" w14:textId="77777777">
      <w:pPr>
        <w:rPr>
          <w:rFonts w:cs="Times New Roman"/>
          <w:color w:val="auto"/>
          <w:sz w:val="22"/>
          <w:szCs w:val="22"/>
          <w:u w:color="1F4E79"/>
        </w:rPr>
      </w:pPr>
    </w:p>
    <w:p w:rsidRPr="00BA44F1" w:rsidR="001D027A" w:rsidRDefault="009F7862" w14:paraId="2746C694" w14:textId="4F39C063">
      <w:pPr>
        <w:keepLines/>
        <w:ind w:left="360"/>
        <w:rPr>
          <w:rFonts w:cs="Times New Roman"/>
          <w:color w:val="auto"/>
          <w:sz w:val="22"/>
          <w:szCs w:val="22"/>
          <w:u w:color="1F4E79"/>
        </w:rPr>
      </w:pPr>
      <w:r w:rsidRPr="00BA44F1">
        <w:rPr>
          <w:rFonts w:cs="Times New Roman"/>
          <w:color w:val="auto"/>
          <w:sz w:val="22"/>
          <w:szCs w:val="22"/>
          <w:u w:color="1F4E79"/>
        </w:rPr>
        <w:t xml:space="preserve">Grantees have shown a need to revise their Action Plans to provide implementation updates prior to semi-annual report submission. The Department estimates that each Action Plan revision will take 30 minutes and will occur two times a year. Grantees are estimated to spend </w:t>
      </w:r>
      <w:r w:rsidR="00FB5873">
        <w:rPr>
          <w:rFonts w:cs="Times New Roman"/>
          <w:color w:val="auto"/>
          <w:sz w:val="22"/>
          <w:szCs w:val="22"/>
          <w:u w:color="1F4E79"/>
        </w:rPr>
        <w:t>26</w:t>
      </w:r>
      <w:r w:rsidRPr="00BA44F1">
        <w:rPr>
          <w:rFonts w:cs="Times New Roman"/>
          <w:color w:val="auto"/>
          <w:sz w:val="22"/>
          <w:szCs w:val="22"/>
          <w:u w:color="1F4E79"/>
        </w:rPr>
        <w:t xml:space="preserve">6 hours per year on Action Plan revisions. The Total </w:t>
      </w:r>
      <w:r w:rsidR="00E34EDE">
        <w:rPr>
          <w:rFonts w:cs="Times New Roman"/>
          <w:color w:val="auto"/>
          <w:sz w:val="22"/>
          <w:szCs w:val="22"/>
          <w:u w:color="1F4E79"/>
        </w:rPr>
        <w:t xml:space="preserve">estimated </w:t>
      </w:r>
      <w:r w:rsidRPr="00BA44F1">
        <w:rPr>
          <w:rFonts w:cs="Times New Roman"/>
          <w:color w:val="auto"/>
          <w:sz w:val="22"/>
          <w:szCs w:val="22"/>
          <w:u w:color="1F4E79"/>
        </w:rPr>
        <w:t>costs for all grantees for Action Plan revisions is $</w:t>
      </w:r>
      <w:r w:rsidR="00FB5873">
        <w:rPr>
          <w:rFonts w:cs="Times New Roman"/>
          <w:color w:val="auto"/>
          <w:sz w:val="22"/>
          <w:szCs w:val="22"/>
          <w:u w:color="1F4E79"/>
        </w:rPr>
        <w:t>9</w:t>
      </w:r>
      <w:r w:rsidR="00E34EDE">
        <w:rPr>
          <w:rFonts w:cs="Times New Roman"/>
          <w:color w:val="auto"/>
          <w:sz w:val="22"/>
          <w:szCs w:val="22"/>
          <w:u w:color="1F4E79"/>
        </w:rPr>
        <w:t>80</w:t>
      </w:r>
      <w:r w:rsidRPr="00BA44F1">
        <w:rPr>
          <w:rFonts w:cs="Times New Roman"/>
          <w:color w:val="auto"/>
          <w:sz w:val="22"/>
          <w:szCs w:val="22"/>
          <w:u w:color="1F4E79"/>
        </w:rPr>
        <w:t>.</w:t>
      </w:r>
    </w:p>
    <w:p w:rsidRPr="00BA44F1" w:rsidR="001D027A" w:rsidRDefault="001D027A" w14:paraId="613CEA97" w14:textId="77777777">
      <w:pPr>
        <w:keepLines/>
        <w:ind w:left="360"/>
        <w:rPr>
          <w:rFonts w:cs="Times New Roman"/>
          <w:color w:val="auto"/>
          <w:sz w:val="22"/>
          <w:szCs w:val="22"/>
          <w:u w:color="1F4E79"/>
        </w:rPr>
      </w:pPr>
    </w:p>
    <w:p w:rsidRPr="00BA44F1" w:rsidR="001D027A" w:rsidRDefault="009F7862" w14:paraId="79007FFD" w14:textId="0D0145F8">
      <w:pPr>
        <w:keepLines/>
        <w:ind w:left="360"/>
        <w:rPr>
          <w:rFonts w:cs="Times New Roman"/>
          <w:color w:val="auto"/>
          <w:sz w:val="22"/>
          <w:szCs w:val="22"/>
          <w:u w:color="1F4E79"/>
        </w:rPr>
      </w:pPr>
      <w:r w:rsidRPr="00BA44F1">
        <w:rPr>
          <w:rFonts w:cs="Times New Roman"/>
          <w:color w:val="auto"/>
          <w:sz w:val="22"/>
          <w:szCs w:val="22"/>
          <w:u w:color="1F4E79"/>
        </w:rPr>
        <w:t>Recurring submissions include semi-annual progress reports and voucher submissions. For grantees, the Department estimates 15 minutes needed per voucher with grantees processing approximately 12 vouchers per year. This requires a record keeping and reporting burden of approximately three hours per grantee, per year.  Therefore, all grantees collectively spend an estimated</w:t>
      </w:r>
      <w:r w:rsidR="0071661E">
        <w:rPr>
          <w:rFonts w:cs="Times New Roman"/>
          <w:color w:val="auto"/>
          <w:sz w:val="22"/>
          <w:szCs w:val="22"/>
          <w:u w:color="1F4E79"/>
        </w:rPr>
        <w:t xml:space="preserve"> </w:t>
      </w:r>
      <w:r w:rsidR="006B6261">
        <w:rPr>
          <w:rFonts w:cs="Times New Roman"/>
          <w:color w:val="auto"/>
          <w:sz w:val="22"/>
          <w:szCs w:val="22"/>
          <w:u w:color="1F4E79"/>
        </w:rPr>
        <w:t>78</w:t>
      </w:r>
      <w:r w:rsidRPr="00BA44F1">
        <w:rPr>
          <w:rFonts w:cs="Times New Roman"/>
          <w:color w:val="auto"/>
          <w:sz w:val="22"/>
          <w:szCs w:val="22"/>
          <w:u w:color="1F4E79"/>
        </w:rPr>
        <w:t xml:space="preserve"> hours submitting vouchers in the DRGR system for a total estimated annual voucher submission cost of $</w:t>
      </w:r>
      <w:r w:rsidR="006B6261">
        <w:rPr>
          <w:rFonts w:cs="Times New Roman"/>
          <w:color w:val="auto"/>
          <w:sz w:val="22"/>
          <w:szCs w:val="22"/>
          <w:u w:color="1F4E79"/>
        </w:rPr>
        <w:t>2,</w:t>
      </w:r>
      <w:r w:rsidR="00E34EDE">
        <w:rPr>
          <w:rFonts w:cs="Times New Roman"/>
          <w:color w:val="auto"/>
          <w:sz w:val="22"/>
          <w:szCs w:val="22"/>
          <w:u w:color="1F4E79"/>
        </w:rPr>
        <w:t>940</w:t>
      </w:r>
      <w:r w:rsidRPr="00BA44F1">
        <w:rPr>
          <w:rFonts w:cs="Times New Roman"/>
          <w:color w:val="auto"/>
          <w:sz w:val="22"/>
          <w:szCs w:val="22"/>
          <w:u w:color="1F4E79"/>
        </w:rPr>
        <w:t>.</w:t>
      </w:r>
    </w:p>
    <w:p w:rsidRPr="00BA44F1" w:rsidR="001D027A" w:rsidRDefault="001D027A" w14:paraId="233B04A6" w14:textId="77777777">
      <w:pPr>
        <w:keepLines/>
        <w:rPr>
          <w:rFonts w:cs="Times New Roman"/>
          <w:color w:val="auto"/>
          <w:sz w:val="22"/>
          <w:szCs w:val="22"/>
          <w:u w:color="1F4E79"/>
        </w:rPr>
      </w:pPr>
    </w:p>
    <w:p w:rsidRPr="00BA44F1" w:rsidR="001D027A" w:rsidRDefault="009F7862" w14:paraId="2A2E11F9" w14:textId="3287F1F3">
      <w:pPr>
        <w:keepLines/>
        <w:ind w:left="360"/>
        <w:rPr>
          <w:rFonts w:cs="Times New Roman"/>
          <w:color w:val="auto"/>
          <w:sz w:val="22"/>
          <w:szCs w:val="22"/>
          <w:u w:color="1F4E79"/>
        </w:rPr>
      </w:pPr>
      <w:r w:rsidRPr="00BA44F1">
        <w:rPr>
          <w:rFonts w:cs="Times New Roman"/>
          <w:color w:val="auto"/>
          <w:sz w:val="22"/>
          <w:szCs w:val="22"/>
          <w:u w:color="1F4E79"/>
        </w:rPr>
        <w:t>Grantees spend an estimated eight hours on each semi-annual report, for a total of 4</w:t>
      </w:r>
      <w:r w:rsidR="006B6261">
        <w:rPr>
          <w:rFonts w:cs="Times New Roman"/>
          <w:color w:val="auto"/>
          <w:sz w:val="22"/>
          <w:szCs w:val="22"/>
          <w:u w:color="1F4E79"/>
        </w:rPr>
        <w:t>1</w:t>
      </w:r>
      <w:r w:rsidRPr="00BA44F1">
        <w:rPr>
          <w:rFonts w:cs="Times New Roman"/>
          <w:color w:val="auto"/>
          <w:sz w:val="22"/>
          <w:szCs w:val="22"/>
          <w:u w:color="1F4E79"/>
        </w:rPr>
        <w:t>6 hours. Total annual semi-annual report submissions cost an estimated $</w:t>
      </w:r>
      <w:proofErr w:type="gramStart"/>
      <w:r w:rsidR="006B6261">
        <w:rPr>
          <w:rFonts w:cs="Times New Roman"/>
          <w:color w:val="auto"/>
          <w:sz w:val="22"/>
          <w:szCs w:val="22"/>
          <w:u w:color="1F4E79"/>
        </w:rPr>
        <w:t>15,</w:t>
      </w:r>
      <w:r w:rsidRPr="00BA44F1">
        <w:rPr>
          <w:rFonts w:cs="Times New Roman"/>
          <w:color w:val="auto"/>
          <w:sz w:val="22"/>
          <w:szCs w:val="22"/>
          <w:u w:color="1F4E79"/>
        </w:rPr>
        <w:t>.</w:t>
      </w:r>
      <w:proofErr w:type="gramEnd"/>
    </w:p>
    <w:p w:rsidRPr="00BA44F1" w:rsidR="001D027A" w:rsidRDefault="001D027A" w14:paraId="3FF39470" w14:textId="7C56A1DB">
      <w:pPr>
        <w:keepLines/>
        <w:rPr>
          <w:rFonts w:cs="Times New Roman"/>
          <w:color w:val="auto"/>
        </w:rPr>
      </w:pPr>
    </w:p>
    <w:p w:rsidRPr="00BA44F1" w:rsidR="001D027A" w:rsidRDefault="009F7862" w14:paraId="7E925FC8" w14:textId="7FED0DD6">
      <w:pPr>
        <w:spacing w:line="360" w:lineRule="auto"/>
        <w:ind w:firstLine="360"/>
        <w:rPr>
          <w:rFonts w:cs="Times New Roman"/>
          <w:i/>
          <w:iCs/>
          <w:color w:val="auto"/>
          <w:sz w:val="22"/>
          <w:szCs w:val="22"/>
          <w:u w:color="1F4E79"/>
        </w:rPr>
      </w:pPr>
      <w:r w:rsidRPr="00BA44F1">
        <w:rPr>
          <w:rFonts w:cs="Times New Roman"/>
          <w:i/>
          <w:iCs/>
          <w:color w:val="auto"/>
          <w:sz w:val="22"/>
          <w:szCs w:val="22"/>
          <w:u w:color="1F4E79"/>
        </w:rPr>
        <w:t xml:space="preserve">f.    Total Burden Hours </w:t>
      </w:r>
    </w:p>
    <w:p w:rsidRPr="00BA44F1" w:rsidR="001D027A" w:rsidRDefault="009F7862" w14:paraId="5071665A" w14:textId="44558084">
      <w:pPr>
        <w:tabs>
          <w:tab w:val="left" w:pos="270"/>
        </w:tabs>
        <w:ind w:left="360"/>
        <w:rPr>
          <w:rFonts w:cs="Times New Roman"/>
          <w:color w:val="auto"/>
          <w:u w:color="1F4E79"/>
        </w:rPr>
      </w:pPr>
      <w:r w:rsidRPr="00BA44F1">
        <w:rPr>
          <w:rFonts w:cs="Times New Roman"/>
          <w:color w:val="auto"/>
          <w:sz w:val="22"/>
          <w:szCs w:val="22"/>
          <w:u w:color="1F4E79"/>
        </w:rPr>
        <w:t>The following table summarizes the total burden hours required across programs and estimated costs related to this collection</w:t>
      </w:r>
      <w:r w:rsidRPr="00BA44F1">
        <w:rPr>
          <w:rFonts w:cs="Times New Roman"/>
          <w:color w:val="auto"/>
          <w:u w:color="1F4E79"/>
        </w:rPr>
        <w:t xml:space="preserve">. </w:t>
      </w:r>
    </w:p>
    <w:p w:rsidRPr="00BA44F1" w:rsidR="001D027A" w:rsidRDefault="001D027A" w14:paraId="29707DB6" w14:textId="4318DA27">
      <w:pPr>
        <w:tabs>
          <w:tab w:val="left" w:pos="270"/>
        </w:tabs>
        <w:ind w:left="360"/>
        <w:rPr>
          <w:rFonts w:cs="Times New Roman"/>
          <w:color w:val="1F4E79"/>
          <w:u w:color="1F4E79"/>
        </w:rPr>
      </w:pPr>
    </w:p>
    <w:tbl>
      <w:tblPr>
        <w:tblW w:w="11221" w:type="dxa"/>
        <w:tblInd w:w="-6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027"/>
        <w:gridCol w:w="1880"/>
        <w:gridCol w:w="1180"/>
        <w:gridCol w:w="1220"/>
        <w:gridCol w:w="1380"/>
        <w:gridCol w:w="1500"/>
        <w:gridCol w:w="1132"/>
        <w:gridCol w:w="823"/>
        <w:gridCol w:w="1079"/>
      </w:tblGrid>
      <w:tr w:rsidRPr="00BA44F1" w:rsidR="00243FC5" w:rsidTr="00E34EDE" w14:paraId="1C0E9AD3" w14:textId="77777777">
        <w:trPr>
          <w:trHeight w:val="413"/>
          <w:tblHeader/>
        </w:trPr>
        <w:tc>
          <w:tcPr>
            <w:tcW w:w="11221" w:type="dxa"/>
            <w:gridSpan w:val="9"/>
            <w:tcBorders>
              <w:top w:val="nil"/>
              <w:left w:val="nil"/>
              <w:bottom w:val="nil"/>
              <w:right w:val="nil"/>
            </w:tcBorders>
            <w:shd w:val="clear" w:color="auto" w:fill="auto"/>
            <w:tcMar>
              <w:top w:w="160" w:type="dxa"/>
              <w:left w:w="160" w:type="dxa"/>
              <w:bottom w:w="160" w:type="dxa"/>
              <w:right w:w="160" w:type="dxa"/>
            </w:tcMar>
            <w:vAlign w:val="center"/>
          </w:tcPr>
          <w:p w:rsidRPr="00BA44F1" w:rsidR="00243FC5" w:rsidP="00AF7299" w:rsidRDefault="00243FC5" w14:paraId="6F048927" w14:textId="656E3020">
            <w:pPr>
              <w:spacing w:after="120"/>
              <w:jc w:val="center"/>
              <w:rPr>
                <w:rFonts w:cs="Times New Roman"/>
              </w:rPr>
            </w:pPr>
            <w:r w:rsidRPr="00BA44F1">
              <w:rPr>
                <w:rFonts w:eastAsia="Helvetica Neue" w:cs="Times New Roman"/>
                <w:b/>
                <w:bCs/>
              </w:rPr>
              <w:t>Rural Capacity and Section 4</w:t>
            </w:r>
          </w:p>
        </w:tc>
      </w:tr>
      <w:tr w:rsidRPr="00BA44F1" w:rsidR="00243FC5" w:rsidTr="00E34EDE" w14:paraId="174183E2" w14:textId="77777777">
        <w:tblPrEx>
          <w:shd w:val="clear" w:color="auto" w:fill="BDC0BF"/>
        </w:tblPrEx>
        <w:trPr>
          <w:trHeight w:val="245"/>
          <w:tblHeader/>
        </w:trPr>
        <w:tc>
          <w:tcPr>
            <w:tcW w:w="1027"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77565BA7" w14:textId="77777777">
            <w:pPr>
              <w:rPr>
                <w:rFonts w:cs="Times New Roman"/>
              </w:rPr>
            </w:pPr>
          </w:p>
        </w:tc>
        <w:tc>
          <w:tcPr>
            <w:tcW w:w="1880"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47070F0D" w14:textId="77777777">
            <w:pPr>
              <w:rPr>
                <w:rFonts w:cs="Times New Roman"/>
              </w:rPr>
            </w:pPr>
          </w:p>
        </w:tc>
        <w:tc>
          <w:tcPr>
            <w:tcW w:w="1180"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74D94973" w14:textId="77777777">
            <w:pPr>
              <w:rPr>
                <w:rFonts w:cs="Times New Roman"/>
              </w:rPr>
            </w:pPr>
          </w:p>
        </w:tc>
        <w:tc>
          <w:tcPr>
            <w:tcW w:w="1220"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4EE3B7EA" w14:textId="77777777">
            <w:pPr>
              <w:rPr>
                <w:rFonts w:cs="Times New Roman"/>
              </w:rPr>
            </w:pPr>
          </w:p>
        </w:tc>
        <w:tc>
          <w:tcPr>
            <w:tcW w:w="1380"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11135EA8" w14:textId="77777777">
            <w:pPr>
              <w:rPr>
                <w:rFonts w:cs="Times New Roman"/>
              </w:rPr>
            </w:pPr>
          </w:p>
        </w:tc>
        <w:tc>
          <w:tcPr>
            <w:tcW w:w="1500"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2F2313EC" w14:textId="77777777">
            <w:pPr>
              <w:rPr>
                <w:rFonts w:cs="Times New Roman"/>
              </w:rPr>
            </w:pPr>
          </w:p>
        </w:tc>
        <w:tc>
          <w:tcPr>
            <w:tcW w:w="1132"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6FC003BF" w14:textId="77777777">
            <w:pPr>
              <w:rPr>
                <w:rFonts w:cs="Times New Roman"/>
              </w:rPr>
            </w:pPr>
          </w:p>
        </w:tc>
        <w:tc>
          <w:tcPr>
            <w:tcW w:w="823"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345CAD60" w14:textId="77777777">
            <w:pPr>
              <w:rPr>
                <w:rFonts w:cs="Times New Roman"/>
              </w:rPr>
            </w:pPr>
          </w:p>
        </w:tc>
        <w:tc>
          <w:tcPr>
            <w:tcW w:w="1079"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vAlign w:val="center"/>
          </w:tcPr>
          <w:p w:rsidRPr="00BA44F1" w:rsidR="00243FC5" w:rsidP="00AF7299" w:rsidRDefault="00243FC5" w14:paraId="6274006F" w14:textId="77777777">
            <w:pPr>
              <w:rPr>
                <w:rFonts w:cs="Times New Roman"/>
              </w:rPr>
            </w:pPr>
          </w:p>
        </w:tc>
      </w:tr>
      <w:tr w:rsidRPr="00BA44F1" w:rsidR="00243FC5" w:rsidTr="00E34EDE" w14:paraId="13F9A571" w14:textId="77777777">
        <w:trPr>
          <w:trHeight w:val="1006"/>
        </w:trPr>
        <w:tc>
          <w:tcPr>
            <w:tcW w:w="1027" w:type="dxa"/>
            <w:tcBorders>
              <w:top w:val="single" w:color="000000" w:sz="6" w:space="0"/>
              <w:left w:val="single" w:color="000000" w:sz="2" w:space="0"/>
              <w:bottom w:val="single" w:color="000000" w:sz="2" w:space="0"/>
              <w:right w:val="single" w:color="000000" w:sz="6" w:space="0"/>
            </w:tcBorders>
            <w:shd w:val="clear" w:color="auto" w:fill="DBDBDB"/>
            <w:tcMar>
              <w:top w:w="80" w:type="dxa"/>
              <w:left w:w="80" w:type="dxa"/>
              <w:bottom w:w="80" w:type="dxa"/>
              <w:right w:w="80" w:type="dxa"/>
            </w:tcMar>
            <w:vAlign w:val="center"/>
          </w:tcPr>
          <w:p w:rsidRPr="00BA44F1" w:rsidR="00243FC5" w:rsidP="00AF7299" w:rsidRDefault="00243FC5" w14:paraId="476D3B9C" w14:textId="77777777">
            <w:pPr>
              <w:rPr>
                <w:rFonts w:cs="Times New Roman"/>
              </w:rPr>
            </w:pPr>
          </w:p>
        </w:tc>
        <w:tc>
          <w:tcPr>
            <w:tcW w:w="1880" w:type="dxa"/>
            <w:tcBorders>
              <w:top w:val="single" w:color="000000" w:sz="6"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4494A697"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Description of Information Collection</w:t>
            </w:r>
          </w:p>
        </w:tc>
        <w:tc>
          <w:tcPr>
            <w:tcW w:w="1180"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15C7BD4F"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Number of Respondents</w:t>
            </w:r>
          </w:p>
        </w:tc>
        <w:tc>
          <w:tcPr>
            <w:tcW w:w="1220"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2AB639FF"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Frequency of Response</w:t>
            </w:r>
          </w:p>
        </w:tc>
        <w:tc>
          <w:tcPr>
            <w:tcW w:w="1380"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2BDBAB41"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Responses Per Annum</w:t>
            </w:r>
          </w:p>
        </w:tc>
        <w:tc>
          <w:tcPr>
            <w:tcW w:w="1500"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25459842"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Burden Hour Per Response</w:t>
            </w:r>
          </w:p>
        </w:tc>
        <w:tc>
          <w:tcPr>
            <w:tcW w:w="1132"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79EEE5ED"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Annual Burden Hours</w:t>
            </w:r>
          </w:p>
        </w:tc>
        <w:tc>
          <w:tcPr>
            <w:tcW w:w="823"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CF7C003"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Hourly Cost Per Response</w:t>
            </w:r>
          </w:p>
        </w:tc>
        <w:tc>
          <w:tcPr>
            <w:tcW w:w="1079"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278E2A4D" w14:textId="77777777">
            <w:pPr>
              <w:pStyle w:val="TableStyle2"/>
              <w:jc w:val="center"/>
              <w:rPr>
                <w:rFonts w:ascii="Times New Roman" w:hAnsi="Times New Roman" w:cs="Times New Roman"/>
              </w:rPr>
            </w:pPr>
            <w:r w:rsidRPr="00BA44F1">
              <w:rPr>
                <w:rFonts w:ascii="Times New Roman" w:hAnsi="Times New Roman" w:cs="Times New Roman"/>
                <w:b/>
                <w:bCs/>
                <w:sz w:val="16"/>
                <w:szCs w:val="16"/>
              </w:rPr>
              <w:t>Annual Cost</w:t>
            </w:r>
          </w:p>
        </w:tc>
      </w:tr>
      <w:tr w:rsidRPr="00BA44F1" w:rsidR="00243FC5" w:rsidTr="00E34EDE" w14:paraId="6100C045" w14:textId="77777777">
        <w:trPr>
          <w:trHeight w:val="403"/>
        </w:trPr>
        <w:tc>
          <w:tcPr>
            <w:tcW w:w="1027" w:type="dxa"/>
            <w:vMerge w:val="restart"/>
            <w:tcBorders>
              <w:top w:val="single" w:color="000000" w:sz="2" w:space="0"/>
              <w:left w:val="single" w:color="000000" w:sz="2" w:space="0"/>
              <w:bottom w:val="single" w:color="000000" w:sz="2" w:space="0"/>
              <w:right w:val="single" w:color="000000" w:sz="6" w:space="0"/>
            </w:tcBorders>
            <w:shd w:val="clear" w:color="auto" w:fill="DBDBDB"/>
            <w:tcMar>
              <w:top w:w="80" w:type="dxa"/>
              <w:left w:w="80" w:type="dxa"/>
              <w:bottom w:w="80" w:type="dxa"/>
              <w:right w:w="80" w:type="dxa"/>
            </w:tcMar>
            <w:vAlign w:val="center"/>
          </w:tcPr>
          <w:p w:rsidRPr="00BA44F1" w:rsidR="00243FC5" w:rsidP="00AF7299" w:rsidRDefault="00243FC5" w14:paraId="6B4C8EE1" w14:textId="77777777">
            <w:pPr>
              <w:pStyle w:val="TableStyle1"/>
              <w:jc w:val="center"/>
              <w:rPr>
                <w:rFonts w:ascii="Times New Roman" w:hAnsi="Times New Roman" w:cs="Times New Roman"/>
              </w:rPr>
            </w:pPr>
            <w:r w:rsidRPr="00BA44F1">
              <w:rPr>
                <w:rFonts w:ascii="Times New Roman" w:hAnsi="Times New Roman" w:cs="Times New Roman"/>
                <w:sz w:val="16"/>
                <w:szCs w:val="16"/>
              </w:rPr>
              <w:t>Non-recurring</w:t>
            </w:r>
          </w:p>
        </w:tc>
        <w:tc>
          <w:tcPr>
            <w:tcW w:w="1880" w:type="dxa"/>
            <w:tcBorders>
              <w:top w:val="single" w:color="000000" w:sz="2"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73123BBB" w14:textId="77777777">
            <w:pPr>
              <w:pStyle w:val="TableStyle2"/>
              <w:jc w:val="center"/>
              <w:rPr>
                <w:rFonts w:ascii="Times New Roman" w:hAnsi="Times New Roman" w:cs="Times New Roman"/>
              </w:rPr>
            </w:pPr>
            <w:r w:rsidRPr="00BA44F1">
              <w:rPr>
                <w:rFonts w:ascii="Times New Roman" w:hAnsi="Times New Roman" w:cs="Times New Roman"/>
                <w:sz w:val="16"/>
                <w:szCs w:val="16"/>
              </w:rPr>
              <w:t>DRGR Activation &amp; Account Setup</w:t>
            </w:r>
          </w:p>
        </w:tc>
        <w:tc>
          <w:tcPr>
            <w:tcW w:w="11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1D8A67A7" w14:textId="10EFEBF3">
            <w:pPr>
              <w:pStyle w:val="TableStyle2"/>
              <w:jc w:val="center"/>
              <w:rPr>
                <w:rFonts w:ascii="Times New Roman" w:hAnsi="Times New Roman" w:cs="Times New Roman"/>
              </w:rPr>
            </w:pPr>
            <w:r w:rsidRPr="00BA44F1">
              <w:rPr>
                <w:rFonts w:ascii="Times New Roman" w:hAnsi="Times New Roman" w:cs="Times New Roman"/>
                <w:sz w:val="16"/>
                <w:szCs w:val="16"/>
              </w:rPr>
              <w:t>8</w:t>
            </w:r>
            <w:r w:rsidR="004709F4">
              <w:rPr>
                <w:rFonts w:ascii="Times New Roman" w:hAnsi="Times New Roman" w:cs="Times New Roman"/>
                <w:sz w:val="16"/>
                <w:szCs w:val="16"/>
              </w:rPr>
              <w:t>.00</w:t>
            </w:r>
          </w:p>
        </w:tc>
        <w:tc>
          <w:tcPr>
            <w:tcW w:w="1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61B728BD" w14:textId="5D7650A2">
            <w:pPr>
              <w:pStyle w:val="TableStyle2"/>
              <w:jc w:val="center"/>
              <w:rPr>
                <w:rFonts w:ascii="Times New Roman" w:hAnsi="Times New Roman" w:cs="Times New Roman"/>
              </w:rPr>
            </w:pPr>
            <w:r w:rsidRPr="00BA44F1">
              <w:rPr>
                <w:rFonts w:ascii="Times New Roman" w:hAnsi="Times New Roman" w:cs="Times New Roman"/>
                <w:sz w:val="16"/>
                <w:szCs w:val="16"/>
              </w:rPr>
              <w:t>1</w:t>
            </w:r>
            <w:r w:rsidR="004709F4">
              <w:rPr>
                <w:rFonts w:ascii="Times New Roman" w:hAnsi="Times New Roman" w:cs="Times New Roman"/>
                <w:sz w:val="16"/>
                <w:szCs w:val="16"/>
              </w:rPr>
              <w:t>.00</w:t>
            </w:r>
          </w:p>
        </w:tc>
        <w:tc>
          <w:tcPr>
            <w:tcW w:w="13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4AA2C7E8" w14:textId="6491784E">
            <w:pPr>
              <w:pStyle w:val="TableStyle2"/>
              <w:jc w:val="center"/>
              <w:rPr>
                <w:rFonts w:ascii="Times New Roman" w:hAnsi="Times New Roman" w:cs="Times New Roman"/>
              </w:rPr>
            </w:pPr>
            <w:r w:rsidRPr="00BA44F1">
              <w:rPr>
                <w:rFonts w:ascii="Times New Roman" w:hAnsi="Times New Roman" w:cs="Times New Roman"/>
                <w:sz w:val="16"/>
                <w:szCs w:val="16"/>
              </w:rPr>
              <w:t>8</w:t>
            </w:r>
            <w:r w:rsidR="004709F4">
              <w:rPr>
                <w:rFonts w:ascii="Times New Roman" w:hAnsi="Times New Roman" w:cs="Times New Roman"/>
                <w:sz w:val="16"/>
                <w:szCs w:val="16"/>
              </w:rPr>
              <w:t>.00</w:t>
            </w:r>
          </w:p>
        </w:tc>
        <w:tc>
          <w:tcPr>
            <w:tcW w:w="150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61DBE2AD" w14:textId="042A21C7">
            <w:pPr>
              <w:pStyle w:val="TableStyle2"/>
              <w:jc w:val="center"/>
              <w:rPr>
                <w:rFonts w:ascii="Times New Roman" w:hAnsi="Times New Roman" w:cs="Times New Roman"/>
              </w:rPr>
            </w:pPr>
            <w:r w:rsidRPr="00BA44F1">
              <w:rPr>
                <w:rFonts w:ascii="Times New Roman" w:hAnsi="Times New Roman" w:cs="Times New Roman"/>
                <w:sz w:val="16"/>
                <w:szCs w:val="16"/>
              </w:rPr>
              <w:t>2</w:t>
            </w:r>
            <w:r w:rsidR="004709F4">
              <w:rPr>
                <w:rFonts w:ascii="Times New Roman" w:hAnsi="Times New Roman" w:cs="Times New Roman"/>
                <w:sz w:val="16"/>
                <w:szCs w:val="16"/>
              </w:rPr>
              <w:t>.00</w:t>
            </w:r>
          </w:p>
        </w:tc>
        <w:tc>
          <w:tcPr>
            <w:tcW w:w="113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4B93E70E" w14:textId="63E0FF87">
            <w:pPr>
              <w:pStyle w:val="TableStyle2"/>
              <w:jc w:val="center"/>
              <w:rPr>
                <w:rFonts w:ascii="Times New Roman" w:hAnsi="Times New Roman" w:cs="Times New Roman"/>
              </w:rPr>
            </w:pPr>
            <w:r w:rsidRPr="00BA44F1">
              <w:rPr>
                <w:rFonts w:ascii="Times New Roman" w:hAnsi="Times New Roman" w:cs="Times New Roman"/>
                <w:sz w:val="16"/>
                <w:szCs w:val="16"/>
              </w:rPr>
              <w:t>16</w:t>
            </w:r>
            <w:r w:rsidR="004709F4">
              <w:rPr>
                <w:rFonts w:ascii="Times New Roman" w:hAnsi="Times New Roman" w:cs="Times New Roman"/>
                <w:sz w:val="16"/>
                <w:szCs w:val="16"/>
              </w:rPr>
              <w:t>.00</w:t>
            </w:r>
          </w:p>
        </w:tc>
        <w:tc>
          <w:tcPr>
            <w:tcW w:w="823"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0413E69F" w14:textId="4BDFA491">
            <w:pPr>
              <w:pStyle w:val="TableStyle2"/>
              <w:jc w:val="center"/>
              <w:rPr>
                <w:rFonts w:ascii="Times New Roman" w:hAnsi="Times New Roman" w:cs="Times New Roman"/>
              </w:rPr>
            </w:pPr>
            <w:r w:rsidRPr="00BA44F1">
              <w:rPr>
                <w:rFonts w:ascii="Times New Roman" w:hAnsi="Times New Roman" w:cs="Times New Roman"/>
                <w:sz w:val="16"/>
                <w:szCs w:val="16"/>
              </w:rPr>
              <w:t>$37.</w:t>
            </w:r>
            <w:r w:rsidR="004D14DD">
              <w:rPr>
                <w:rFonts w:ascii="Times New Roman" w:hAnsi="Times New Roman" w:cs="Times New Roman"/>
                <w:sz w:val="16"/>
                <w:szCs w:val="16"/>
              </w:rPr>
              <w:t>70</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4D14DD" w14:paraId="0A830FC5" w14:textId="277BDD49">
            <w:pPr>
              <w:pStyle w:val="TableStyle2"/>
              <w:jc w:val="center"/>
              <w:rPr>
                <w:rFonts w:ascii="Times New Roman" w:hAnsi="Times New Roman" w:cs="Times New Roman"/>
              </w:rPr>
            </w:pPr>
            <w:r>
              <w:rPr>
                <w:rFonts w:ascii="Times New Roman" w:hAnsi="Times New Roman" w:cs="Times New Roman"/>
              </w:rPr>
              <w:t>$603.20</w:t>
            </w:r>
          </w:p>
        </w:tc>
      </w:tr>
      <w:tr w:rsidRPr="00BA44F1" w:rsidR="00243FC5" w:rsidTr="00E34EDE" w14:paraId="6FFD98AB" w14:textId="77777777">
        <w:trPr>
          <w:trHeight w:val="403"/>
        </w:trPr>
        <w:tc>
          <w:tcPr>
            <w:tcW w:w="1027" w:type="dxa"/>
            <w:vMerge/>
            <w:tcBorders>
              <w:top w:val="single" w:color="000000" w:sz="2" w:space="0"/>
              <w:left w:val="single" w:color="000000" w:sz="2" w:space="0"/>
              <w:bottom w:val="single" w:color="000000" w:sz="2" w:space="0"/>
              <w:right w:val="single" w:color="000000" w:sz="6" w:space="0"/>
            </w:tcBorders>
            <w:shd w:val="clear" w:color="auto" w:fill="DBDBDB"/>
          </w:tcPr>
          <w:p w:rsidRPr="00BA44F1" w:rsidR="00243FC5" w:rsidP="00AF7299" w:rsidRDefault="00243FC5" w14:paraId="74DD10BF" w14:textId="77777777">
            <w:pPr>
              <w:rPr>
                <w:rFonts w:cs="Times New Roman"/>
              </w:rPr>
            </w:pPr>
          </w:p>
        </w:tc>
        <w:tc>
          <w:tcPr>
            <w:tcW w:w="1880" w:type="dxa"/>
            <w:tcBorders>
              <w:top w:val="single" w:color="000000" w:sz="2"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FD86EFD" w14:textId="77777777">
            <w:pPr>
              <w:pStyle w:val="TableStyle2"/>
              <w:jc w:val="center"/>
              <w:rPr>
                <w:rFonts w:ascii="Times New Roman" w:hAnsi="Times New Roman" w:cs="Times New Roman"/>
              </w:rPr>
            </w:pPr>
            <w:r w:rsidRPr="00BA44F1">
              <w:rPr>
                <w:rFonts w:ascii="Times New Roman" w:hAnsi="Times New Roman" w:cs="Times New Roman"/>
                <w:sz w:val="16"/>
                <w:szCs w:val="16"/>
              </w:rPr>
              <w:t>Action Plan Setup &amp; Submission</w:t>
            </w:r>
          </w:p>
        </w:tc>
        <w:tc>
          <w:tcPr>
            <w:tcW w:w="11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0D26C6A4" w14:textId="675DAAC5">
            <w:pPr>
              <w:pStyle w:val="TableStyle2"/>
              <w:jc w:val="center"/>
              <w:rPr>
                <w:rFonts w:ascii="Times New Roman" w:hAnsi="Times New Roman" w:cs="Times New Roman"/>
              </w:rPr>
            </w:pPr>
            <w:r w:rsidRPr="00BA44F1">
              <w:rPr>
                <w:rFonts w:ascii="Times New Roman" w:hAnsi="Times New Roman" w:cs="Times New Roman"/>
                <w:sz w:val="16"/>
                <w:szCs w:val="16"/>
              </w:rPr>
              <w:t>8</w:t>
            </w:r>
            <w:r w:rsidR="004709F4">
              <w:rPr>
                <w:rFonts w:ascii="Times New Roman" w:hAnsi="Times New Roman" w:cs="Times New Roman"/>
                <w:sz w:val="16"/>
                <w:szCs w:val="16"/>
              </w:rPr>
              <w:t>.00</w:t>
            </w:r>
          </w:p>
        </w:tc>
        <w:tc>
          <w:tcPr>
            <w:tcW w:w="1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239F362E" w14:textId="683F334A">
            <w:pPr>
              <w:pStyle w:val="TableStyle2"/>
              <w:jc w:val="center"/>
              <w:rPr>
                <w:rFonts w:ascii="Times New Roman" w:hAnsi="Times New Roman" w:cs="Times New Roman"/>
              </w:rPr>
            </w:pPr>
            <w:r w:rsidRPr="00BA44F1">
              <w:rPr>
                <w:rFonts w:ascii="Times New Roman" w:hAnsi="Times New Roman" w:cs="Times New Roman"/>
                <w:sz w:val="16"/>
                <w:szCs w:val="16"/>
              </w:rPr>
              <w:t>1</w:t>
            </w:r>
            <w:r w:rsidR="004709F4">
              <w:rPr>
                <w:rFonts w:ascii="Times New Roman" w:hAnsi="Times New Roman" w:cs="Times New Roman"/>
                <w:sz w:val="16"/>
                <w:szCs w:val="16"/>
              </w:rPr>
              <w:t>.00</w:t>
            </w:r>
          </w:p>
        </w:tc>
        <w:tc>
          <w:tcPr>
            <w:tcW w:w="13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2DEE49D2" w14:textId="5AB9C76C">
            <w:pPr>
              <w:pStyle w:val="TableStyle2"/>
              <w:jc w:val="center"/>
              <w:rPr>
                <w:rFonts w:ascii="Times New Roman" w:hAnsi="Times New Roman" w:cs="Times New Roman"/>
              </w:rPr>
            </w:pPr>
            <w:r w:rsidRPr="00BA44F1">
              <w:rPr>
                <w:rFonts w:ascii="Times New Roman" w:hAnsi="Times New Roman" w:cs="Times New Roman"/>
                <w:sz w:val="16"/>
                <w:szCs w:val="16"/>
              </w:rPr>
              <w:t>8</w:t>
            </w:r>
            <w:r w:rsidR="004709F4">
              <w:rPr>
                <w:rFonts w:ascii="Times New Roman" w:hAnsi="Times New Roman" w:cs="Times New Roman"/>
                <w:sz w:val="16"/>
                <w:szCs w:val="16"/>
              </w:rPr>
              <w:t>.00</w:t>
            </w:r>
          </w:p>
        </w:tc>
        <w:tc>
          <w:tcPr>
            <w:tcW w:w="150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2992BF3A" w14:textId="4B5A8E56">
            <w:pPr>
              <w:pStyle w:val="TableStyle2"/>
              <w:jc w:val="center"/>
              <w:rPr>
                <w:rFonts w:ascii="Times New Roman" w:hAnsi="Times New Roman" w:cs="Times New Roman"/>
              </w:rPr>
            </w:pPr>
            <w:r w:rsidRPr="00BA44F1">
              <w:rPr>
                <w:rFonts w:ascii="Times New Roman" w:hAnsi="Times New Roman" w:cs="Times New Roman"/>
                <w:sz w:val="16"/>
                <w:szCs w:val="16"/>
              </w:rPr>
              <w:t>12</w:t>
            </w:r>
            <w:r w:rsidR="004709F4">
              <w:rPr>
                <w:rFonts w:ascii="Times New Roman" w:hAnsi="Times New Roman" w:cs="Times New Roman"/>
                <w:sz w:val="16"/>
                <w:szCs w:val="16"/>
              </w:rPr>
              <w:t>.00</w:t>
            </w:r>
          </w:p>
        </w:tc>
        <w:tc>
          <w:tcPr>
            <w:tcW w:w="113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7DBEE7E9" w14:textId="380FE334">
            <w:pPr>
              <w:pStyle w:val="TableStyle2"/>
              <w:jc w:val="center"/>
              <w:rPr>
                <w:rFonts w:ascii="Times New Roman" w:hAnsi="Times New Roman" w:cs="Times New Roman"/>
              </w:rPr>
            </w:pPr>
            <w:r w:rsidRPr="00BA44F1">
              <w:rPr>
                <w:rFonts w:ascii="Times New Roman" w:hAnsi="Times New Roman" w:cs="Times New Roman"/>
                <w:sz w:val="16"/>
                <w:szCs w:val="16"/>
              </w:rPr>
              <w:t>96</w:t>
            </w:r>
            <w:r w:rsidR="004709F4">
              <w:rPr>
                <w:rFonts w:ascii="Times New Roman" w:hAnsi="Times New Roman" w:cs="Times New Roman"/>
                <w:sz w:val="16"/>
                <w:szCs w:val="16"/>
              </w:rPr>
              <w:t>.00</w:t>
            </w:r>
          </w:p>
        </w:tc>
        <w:tc>
          <w:tcPr>
            <w:tcW w:w="823"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1FD3DFAA" w14:textId="153F505B">
            <w:pPr>
              <w:pStyle w:val="TableStyle2"/>
              <w:jc w:val="center"/>
              <w:rPr>
                <w:rFonts w:ascii="Times New Roman" w:hAnsi="Times New Roman" w:cs="Times New Roman"/>
              </w:rPr>
            </w:pPr>
            <w:r w:rsidRPr="00BA44F1">
              <w:rPr>
                <w:rFonts w:ascii="Times New Roman" w:hAnsi="Times New Roman" w:cs="Times New Roman"/>
                <w:sz w:val="16"/>
                <w:szCs w:val="16"/>
              </w:rPr>
              <w:t>$37.</w:t>
            </w:r>
            <w:r w:rsidR="004D14DD">
              <w:rPr>
                <w:rFonts w:ascii="Times New Roman" w:hAnsi="Times New Roman" w:cs="Times New Roman"/>
                <w:sz w:val="16"/>
                <w:szCs w:val="16"/>
              </w:rPr>
              <w:t>70</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4D14DD" w14:paraId="1E3846B7" w14:textId="1A507234">
            <w:pPr>
              <w:pStyle w:val="TableStyle2"/>
              <w:jc w:val="center"/>
              <w:rPr>
                <w:rFonts w:ascii="Times New Roman" w:hAnsi="Times New Roman" w:cs="Times New Roman"/>
              </w:rPr>
            </w:pPr>
            <w:r>
              <w:rPr>
                <w:rFonts w:ascii="Times New Roman" w:hAnsi="Times New Roman" w:cs="Times New Roman"/>
              </w:rPr>
              <w:t>$3,619.2</w:t>
            </w:r>
          </w:p>
        </w:tc>
      </w:tr>
      <w:tr w:rsidRPr="00BA44F1" w:rsidR="00243FC5" w:rsidTr="00E34EDE" w14:paraId="2EF55DED" w14:textId="77777777">
        <w:trPr>
          <w:trHeight w:val="246"/>
        </w:trPr>
        <w:tc>
          <w:tcPr>
            <w:tcW w:w="1027" w:type="dxa"/>
            <w:tcBorders>
              <w:top w:val="single" w:color="000000" w:sz="2" w:space="0"/>
              <w:left w:val="single" w:color="000000" w:sz="2" w:space="0"/>
              <w:bottom w:val="single" w:color="000000" w:sz="2" w:space="0"/>
              <w:right w:val="single" w:color="000000" w:sz="6" w:space="0"/>
            </w:tcBorders>
            <w:shd w:val="clear" w:color="auto" w:fill="DBDBDB"/>
            <w:tcMar>
              <w:top w:w="80" w:type="dxa"/>
              <w:left w:w="80" w:type="dxa"/>
              <w:bottom w:w="80" w:type="dxa"/>
              <w:right w:w="80" w:type="dxa"/>
            </w:tcMar>
            <w:vAlign w:val="center"/>
          </w:tcPr>
          <w:p w:rsidRPr="00BA44F1" w:rsidR="00243FC5" w:rsidP="00AF7299" w:rsidRDefault="00243FC5" w14:paraId="6ED6CF2E" w14:textId="77777777">
            <w:pPr>
              <w:rPr>
                <w:rFonts w:cs="Times New Roman"/>
              </w:rPr>
            </w:pPr>
          </w:p>
        </w:tc>
        <w:tc>
          <w:tcPr>
            <w:tcW w:w="1880" w:type="dxa"/>
            <w:tcBorders>
              <w:top w:val="single" w:color="000000" w:sz="2"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41D709AD" w14:textId="77777777">
            <w:pPr>
              <w:rPr>
                <w:rFonts w:cs="Times New Roman"/>
              </w:rPr>
            </w:pPr>
          </w:p>
        </w:tc>
        <w:tc>
          <w:tcPr>
            <w:tcW w:w="11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719B1653" w14:textId="77777777">
            <w:pPr>
              <w:rPr>
                <w:rFonts w:cs="Times New Roman"/>
              </w:rPr>
            </w:pPr>
          </w:p>
        </w:tc>
        <w:tc>
          <w:tcPr>
            <w:tcW w:w="1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65B45E3E" w14:textId="77777777">
            <w:pPr>
              <w:rPr>
                <w:rFonts w:cs="Times New Roman"/>
              </w:rPr>
            </w:pPr>
          </w:p>
        </w:tc>
        <w:tc>
          <w:tcPr>
            <w:tcW w:w="13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3906689" w14:textId="77777777">
            <w:pPr>
              <w:rPr>
                <w:rFonts w:cs="Times New Roman"/>
              </w:rPr>
            </w:pPr>
          </w:p>
        </w:tc>
        <w:tc>
          <w:tcPr>
            <w:tcW w:w="150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65BA72D4" w14:textId="77777777">
            <w:pPr>
              <w:rPr>
                <w:rFonts w:cs="Times New Roman"/>
              </w:rPr>
            </w:pPr>
          </w:p>
        </w:tc>
        <w:tc>
          <w:tcPr>
            <w:tcW w:w="113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3CD41FC9" w14:textId="77777777">
            <w:pPr>
              <w:rPr>
                <w:rFonts w:cs="Times New Roman"/>
              </w:rPr>
            </w:pPr>
          </w:p>
        </w:tc>
        <w:tc>
          <w:tcPr>
            <w:tcW w:w="823"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30D423A8" w14:textId="77777777">
            <w:pPr>
              <w:rPr>
                <w:rFonts w:cs="Times New Roman"/>
              </w:rPr>
            </w:pP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568C25D" w14:textId="77777777">
            <w:pPr>
              <w:rPr>
                <w:rFonts w:cs="Times New Roman"/>
              </w:rPr>
            </w:pPr>
          </w:p>
        </w:tc>
      </w:tr>
      <w:tr w:rsidRPr="00BA44F1" w:rsidR="00243FC5" w:rsidTr="00E34EDE" w14:paraId="3B74C7FD" w14:textId="77777777">
        <w:trPr>
          <w:trHeight w:val="246"/>
        </w:trPr>
        <w:tc>
          <w:tcPr>
            <w:tcW w:w="1027" w:type="dxa"/>
            <w:vMerge w:val="restart"/>
            <w:tcBorders>
              <w:top w:val="single" w:color="000000" w:sz="2" w:space="0"/>
              <w:left w:val="single" w:color="000000" w:sz="2" w:space="0"/>
              <w:bottom w:val="single" w:color="000000" w:sz="2" w:space="0"/>
              <w:right w:val="single" w:color="000000" w:sz="6" w:space="0"/>
            </w:tcBorders>
            <w:shd w:val="clear" w:color="auto" w:fill="DBDBDB"/>
            <w:tcMar>
              <w:top w:w="80" w:type="dxa"/>
              <w:left w:w="80" w:type="dxa"/>
              <w:bottom w:w="80" w:type="dxa"/>
              <w:right w:w="80" w:type="dxa"/>
            </w:tcMar>
            <w:vAlign w:val="center"/>
          </w:tcPr>
          <w:p w:rsidRPr="00BA44F1" w:rsidR="00243FC5" w:rsidP="00AF7299" w:rsidRDefault="00243FC5" w14:paraId="16211568" w14:textId="61AA3106">
            <w:pPr>
              <w:pStyle w:val="TableStyle1"/>
              <w:jc w:val="center"/>
              <w:rPr>
                <w:rFonts w:ascii="Times New Roman" w:hAnsi="Times New Roman" w:cs="Times New Roman"/>
              </w:rPr>
            </w:pPr>
            <w:r w:rsidRPr="00BA44F1">
              <w:rPr>
                <w:rFonts w:ascii="Times New Roman" w:hAnsi="Times New Roman" w:cs="Times New Roman"/>
                <w:sz w:val="16"/>
                <w:szCs w:val="16"/>
              </w:rPr>
              <w:t>Recur</w:t>
            </w:r>
            <w:r w:rsidRPr="00BA44F1" w:rsidR="00C4212D">
              <w:rPr>
                <w:rFonts w:ascii="Times New Roman" w:hAnsi="Times New Roman" w:cs="Times New Roman"/>
                <w:sz w:val="16"/>
                <w:szCs w:val="16"/>
              </w:rPr>
              <w:t>r</w:t>
            </w:r>
            <w:r w:rsidRPr="00BA44F1">
              <w:rPr>
                <w:rFonts w:ascii="Times New Roman" w:hAnsi="Times New Roman" w:cs="Times New Roman"/>
                <w:sz w:val="16"/>
                <w:szCs w:val="16"/>
              </w:rPr>
              <w:t>ing</w:t>
            </w:r>
          </w:p>
        </w:tc>
        <w:tc>
          <w:tcPr>
            <w:tcW w:w="1880" w:type="dxa"/>
            <w:tcBorders>
              <w:top w:val="single" w:color="000000" w:sz="2"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0E3EF520" w14:textId="77777777">
            <w:pPr>
              <w:pStyle w:val="TableStyle2"/>
              <w:jc w:val="center"/>
              <w:rPr>
                <w:rFonts w:ascii="Times New Roman" w:hAnsi="Times New Roman" w:cs="Times New Roman"/>
              </w:rPr>
            </w:pPr>
            <w:r w:rsidRPr="00BA44F1">
              <w:rPr>
                <w:rFonts w:ascii="Times New Roman" w:hAnsi="Times New Roman" w:cs="Times New Roman"/>
                <w:sz w:val="16"/>
                <w:szCs w:val="16"/>
              </w:rPr>
              <w:t>Action Plan Revisions</w:t>
            </w:r>
          </w:p>
        </w:tc>
        <w:tc>
          <w:tcPr>
            <w:tcW w:w="11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644D1" w14:paraId="204E84E6" w14:textId="5AC8D54A">
            <w:pPr>
              <w:pStyle w:val="TableStyle2"/>
              <w:jc w:val="center"/>
              <w:rPr>
                <w:rFonts w:ascii="Times New Roman" w:hAnsi="Times New Roman" w:cs="Times New Roman"/>
              </w:rPr>
            </w:pPr>
            <w:r>
              <w:rPr>
                <w:rFonts w:ascii="Times New Roman" w:hAnsi="Times New Roman" w:cs="Times New Roman"/>
                <w:sz w:val="16"/>
                <w:szCs w:val="16"/>
              </w:rPr>
              <w:t>26</w:t>
            </w:r>
            <w:r w:rsidR="004709F4">
              <w:rPr>
                <w:rFonts w:ascii="Times New Roman" w:hAnsi="Times New Roman" w:cs="Times New Roman"/>
                <w:sz w:val="16"/>
                <w:szCs w:val="16"/>
              </w:rPr>
              <w:t>.00</w:t>
            </w:r>
          </w:p>
        </w:tc>
        <w:tc>
          <w:tcPr>
            <w:tcW w:w="1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7F4D2ED6" w14:textId="0D6ACBB4">
            <w:pPr>
              <w:pStyle w:val="TableStyle2"/>
              <w:jc w:val="center"/>
              <w:rPr>
                <w:rFonts w:ascii="Times New Roman" w:hAnsi="Times New Roman" w:cs="Times New Roman"/>
              </w:rPr>
            </w:pPr>
            <w:r w:rsidRPr="00BA44F1">
              <w:rPr>
                <w:rFonts w:ascii="Times New Roman" w:hAnsi="Times New Roman" w:cs="Times New Roman"/>
                <w:sz w:val="16"/>
                <w:szCs w:val="16"/>
              </w:rPr>
              <w:t>2</w:t>
            </w:r>
            <w:r w:rsidR="004709F4">
              <w:rPr>
                <w:rFonts w:ascii="Times New Roman" w:hAnsi="Times New Roman" w:cs="Times New Roman"/>
                <w:sz w:val="16"/>
                <w:szCs w:val="16"/>
              </w:rPr>
              <w:t>.00</w:t>
            </w:r>
          </w:p>
        </w:tc>
        <w:tc>
          <w:tcPr>
            <w:tcW w:w="13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644D1" w14:paraId="4F0ACC4A" w14:textId="095188BF">
            <w:pPr>
              <w:pStyle w:val="TableStyle2"/>
              <w:jc w:val="center"/>
              <w:rPr>
                <w:rFonts w:ascii="Times New Roman" w:hAnsi="Times New Roman" w:cs="Times New Roman"/>
              </w:rPr>
            </w:pPr>
            <w:r>
              <w:rPr>
                <w:rFonts w:ascii="Times New Roman" w:hAnsi="Times New Roman" w:cs="Times New Roman"/>
                <w:sz w:val="16"/>
                <w:szCs w:val="16"/>
              </w:rPr>
              <w:t>5</w:t>
            </w:r>
            <w:r w:rsidRPr="00BA44F1" w:rsidR="00243FC5">
              <w:rPr>
                <w:rFonts w:ascii="Times New Roman" w:hAnsi="Times New Roman" w:cs="Times New Roman"/>
                <w:sz w:val="16"/>
                <w:szCs w:val="16"/>
              </w:rPr>
              <w:t>2</w:t>
            </w:r>
            <w:r w:rsidR="004709F4">
              <w:rPr>
                <w:rFonts w:ascii="Times New Roman" w:hAnsi="Times New Roman" w:cs="Times New Roman"/>
                <w:sz w:val="16"/>
                <w:szCs w:val="16"/>
              </w:rPr>
              <w:t>.00</w:t>
            </w:r>
          </w:p>
        </w:tc>
        <w:tc>
          <w:tcPr>
            <w:tcW w:w="150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6C4C1928" w14:textId="738512AF">
            <w:pPr>
              <w:pStyle w:val="TableStyle2"/>
              <w:jc w:val="center"/>
              <w:rPr>
                <w:rFonts w:ascii="Times New Roman" w:hAnsi="Times New Roman" w:cs="Times New Roman"/>
              </w:rPr>
            </w:pPr>
            <w:r w:rsidRPr="00BA44F1">
              <w:rPr>
                <w:rFonts w:ascii="Times New Roman" w:hAnsi="Times New Roman" w:cs="Times New Roman"/>
                <w:sz w:val="16"/>
                <w:szCs w:val="16"/>
              </w:rPr>
              <w:t>0.5</w:t>
            </w:r>
            <w:r w:rsidR="004709F4">
              <w:rPr>
                <w:rFonts w:ascii="Times New Roman" w:hAnsi="Times New Roman" w:cs="Times New Roman"/>
                <w:sz w:val="16"/>
                <w:szCs w:val="16"/>
              </w:rPr>
              <w:t>0</w:t>
            </w:r>
          </w:p>
        </w:tc>
        <w:tc>
          <w:tcPr>
            <w:tcW w:w="113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CE468D" w:rsidR="00243FC5" w:rsidP="00AF7299" w:rsidRDefault="00CE468D" w14:paraId="3E6E1169" w14:textId="6E974004">
            <w:pPr>
              <w:pStyle w:val="TableStyle2"/>
              <w:jc w:val="center"/>
              <w:rPr>
                <w:rFonts w:ascii="Times New Roman" w:hAnsi="Times New Roman" w:cs="Times New Roman"/>
                <w:sz w:val="16"/>
                <w:szCs w:val="16"/>
              </w:rPr>
            </w:pPr>
            <w:r w:rsidRPr="00CE468D">
              <w:rPr>
                <w:rFonts w:ascii="Times New Roman" w:hAnsi="Times New Roman" w:cs="Times New Roman"/>
                <w:sz w:val="16"/>
                <w:szCs w:val="16"/>
              </w:rPr>
              <w:t>26</w:t>
            </w:r>
            <w:r w:rsidR="004709F4">
              <w:rPr>
                <w:rFonts w:ascii="Times New Roman" w:hAnsi="Times New Roman" w:cs="Times New Roman"/>
                <w:sz w:val="16"/>
                <w:szCs w:val="16"/>
              </w:rPr>
              <w:t>.00</w:t>
            </w:r>
          </w:p>
        </w:tc>
        <w:tc>
          <w:tcPr>
            <w:tcW w:w="823"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4D14DD" w14:paraId="1F9EC8FB" w14:textId="32E67186">
            <w:pPr>
              <w:pStyle w:val="TableStyle2"/>
              <w:jc w:val="center"/>
              <w:rPr>
                <w:rFonts w:ascii="Times New Roman" w:hAnsi="Times New Roman" w:cs="Times New Roman"/>
              </w:rPr>
            </w:pPr>
            <w:r w:rsidRPr="00BA44F1">
              <w:rPr>
                <w:rFonts w:ascii="Times New Roman" w:hAnsi="Times New Roman" w:cs="Times New Roman"/>
                <w:sz w:val="16"/>
                <w:szCs w:val="16"/>
              </w:rPr>
              <w:t>$37.</w:t>
            </w:r>
            <w:r>
              <w:rPr>
                <w:rFonts w:ascii="Times New Roman" w:hAnsi="Times New Roman" w:cs="Times New Roman"/>
                <w:sz w:val="16"/>
                <w:szCs w:val="16"/>
              </w:rPr>
              <w:t>70</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CE468D" w:rsidR="00243FC5" w:rsidP="00AF7299" w:rsidRDefault="00CE468D" w14:paraId="299104E0" w14:textId="1D253906">
            <w:pPr>
              <w:pStyle w:val="TableStyle2"/>
              <w:jc w:val="center"/>
              <w:rPr>
                <w:rFonts w:ascii="Times New Roman" w:hAnsi="Times New Roman" w:cs="Times New Roman"/>
                <w:sz w:val="16"/>
                <w:szCs w:val="16"/>
              </w:rPr>
            </w:pPr>
            <w:r w:rsidRPr="00CE468D">
              <w:rPr>
                <w:rFonts w:ascii="Times New Roman" w:hAnsi="Times New Roman" w:cs="Times New Roman"/>
                <w:sz w:val="16"/>
                <w:szCs w:val="16"/>
              </w:rPr>
              <w:t>$9</w:t>
            </w:r>
            <w:r w:rsidR="004D14DD">
              <w:rPr>
                <w:rFonts w:ascii="Times New Roman" w:hAnsi="Times New Roman" w:cs="Times New Roman"/>
                <w:sz w:val="16"/>
                <w:szCs w:val="16"/>
              </w:rPr>
              <w:t>80.2</w:t>
            </w:r>
          </w:p>
        </w:tc>
      </w:tr>
      <w:tr w:rsidRPr="00BA44F1" w:rsidR="00243FC5" w:rsidTr="00E34EDE" w14:paraId="10EE457F" w14:textId="77777777">
        <w:trPr>
          <w:trHeight w:val="403"/>
        </w:trPr>
        <w:tc>
          <w:tcPr>
            <w:tcW w:w="1027" w:type="dxa"/>
            <w:vMerge/>
            <w:tcBorders>
              <w:top w:val="single" w:color="000000" w:sz="2" w:space="0"/>
              <w:left w:val="single" w:color="000000" w:sz="2" w:space="0"/>
              <w:bottom w:val="single" w:color="000000" w:sz="2" w:space="0"/>
              <w:right w:val="single" w:color="000000" w:sz="6" w:space="0"/>
            </w:tcBorders>
            <w:shd w:val="clear" w:color="auto" w:fill="DBDBDB"/>
          </w:tcPr>
          <w:p w:rsidRPr="00BA44F1" w:rsidR="00243FC5" w:rsidP="00AF7299" w:rsidRDefault="00243FC5" w14:paraId="0A28FABF" w14:textId="77777777">
            <w:pPr>
              <w:rPr>
                <w:rFonts w:cs="Times New Roman"/>
              </w:rPr>
            </w:pPr>
          </w:p>
        </w:tc>
        <w:tc>
          <w:tcPr>
            <w:tcW w:w="1880" w:type="dxa"/>
            <w:tcBorders>
              <w:top w:val="single" w:color="000000" w:sz="2"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61282FF3" w14:textId="77777777">
            <w:pPr>
              <w:pStyle w:val="TableStyle2"/>
              <w:jc w:val="center"/>
              <w:rPr>
                <w:rFonts w:ascii="Times New Roman" w:hAnsi="Times New Roman" w:cs="Times New Roman"/>
              </w:rPr>
            </w:pPr>
            <w:r w:rsidRPr="00BA44F1">
              <w:rPr>
                <w:rFonts w:ascii="Times New Roman" w:hAnsi="Times New Roman" w:cs="Times New Roman"/>
                <w:sz w:val="16"/>
                <w:szCs w:val="16"/>
              </w:rPr>
              <w:t>Semi-Annual Report Submissions</w:t>
            </w:r>
          </w:p>
        </w:tc>
        <w:tc>
          <w:tcPr>
            <w:tcW w:w="11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644D1" w14:paraId="5DC470D1" w14:textId="34C165B9">
            <w:pPr>
              <w:pStyle w:val="TableStyle2"/>
              <w:jc w:val="center"/>
              <w:rPr>
                <w:rFonts w:ascii="Times New Roman" w:hAnsi="Times New Roman" w:cs="Times New Roman"/>
              </w:rPr>
            </w:pPr>
            <w:r>
              <w:rPr>
                <w:rFonts w:ascii="Times New Roman" w:hAnsi="Times New Roman" w:cs="Times New Roman"/>
                <w:sz w:val="16"/>
                <w:szCs w:val="16"/>
              </w:rPr>
              <w:t>26</w:t>
            </w:r>
            <w:r w:rsidR="004709F4">
              <w:rPr>
                <w:rFonts w:ascii="Times New Roman" w:hAnsi="Times New Roman" w:cs="Times New Roman"/>
                <w:sz w:val="16"/>
                <w:szCs w:val="16"/>
              </w:rPr>
              <w:t>.00</w:t>
            </w:r>
          </w:p>
        </w:tc>
        <w:tc>
          <w:tcPr>
            <w:tcW w:w="1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428DF36" w14:textId="6972C5FF">
            <w:pPr>
              <w:pStyle w:val="TableStyle2"/>
              <w:jc w:val="center"/>
              <w:rPr>
                <w:rFonts w:ascii="Times New Roman" w:hAnsi="Times New Roman" w:cs="Times New Roman"/>
              </w:rPr>
            </w:pPr>
            <w:r w:rsidRPr="00BA44F1">
              <w:rPr>
                <w:rFonts w:ascii="Times New Roman" w:hAnsi="Times New Roman" w:cs="Times New Roman"/>
                <w:sz w:val="16"/>
                <w:szCs w:val="16"/>
              </w:rPr>
              <w:t>2</w:t>
            </w:r>
            <w:r w:rsidR="004709F4">
              <w:rPr>
                <w:rFonts w:ascii="Times New Roman" w:hAnsi="Times New Roman" w:cs="Times New Roman"/>
                <w:sz w:val="16"/>
                <w:szCs w:val="16"/>
              </w:rPr>
              <w:t>.00</w:t>
            </w:r>
          </w:p>
        </w:tc>
        <w:tc>
          <w:tcPr>
            <w:tcW w:w="13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CE468D" w14:paraId="3F07F9ED" w14:textId="63A8B209">
            <w:pPr>
              <w:pStyle w:val="TableStyle2"/>
              <w:jc w:val="center"/>
              <w:rPr>
                <w:rFonts w:ascii="Times New Roman" w:hAnsi="Times New Roman" w:cs="Times New Roman"/>
              </w:rPr>
            </w:pPr>
            <w:r>
              <w:rPr>
                <w:rFonts w:ascii="Times New Roman" w:hAnsi="Times New Roman" w:cs="Times New Roman"/>
                <w:sz w:val="16"/>
                <w:szCs w:val="16"/>
              </w:rPr>
              <w:t>5</w:t>
            </w:r>
            <w:r w:rsidRPr="00BA44F1" w:rsidR="00243FC5">
              <w:rPr>
                <w:rFonts w:ascii="Times New Roman" w:hAnsi="Times New Roman" w:cs="Times New Roman"/>
                <w:sz w:val="16"/>
                <w:szCs w:val="16"/>
              </w:rPr>
              <w:t>2</w:t>
            </w:r>
            <w:r w:rsidR="004709F4">
              <w:rPr>
                <w:rFonts w:ascii="Times New Roman" w:hAnsi="Times New Roman" w:cs="Times New Roman"/>
                <w:sz w:val="16"/>
                <w:szCs w:val="16"/>
              </w:rPr>
              <w:t>.00</w:t>
            </w:r>
          </w:p>
        </w:tc>
        <w:tc>
          <w:tcPr>
            <w:tcW w:w="150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300BD4BC" w14:textId="095ABF5C">
            <w:pPr>
              <w:pStyle w:val="TableStyle2"/>
              <w:jc w:val="center"/>
              <w:rPr>
                <w:rFonts w:ascii="Times New Roman" w:hAnsi="Times New Roman" w:cs="Times New Roman"/>
              </w:rPr>
            </w:pPr>
            <w:r w:rsidRPr="00BA44F1">
              <w:rPr>
                <w:rFonts w:ascii="Times New Roman" w:hAnsi="Times New Roman" w:cs="Times New Roman"/>
                <w:sz w:val="16"/>
                <w:szCs w:val="16"/>
              </w:rPr>
              <w:t>8</w:t>
            </w:r>
            <w:r w:rsidR="004709F4">
              <w:rPr>
                <w:rFonts w:ascii="Times New Roman" w:hAnsi="Times New Roman" w:cs="Times New Roman"/>
                <w:sz w:val="16"/>
                <w:szCs w:val="16"/>
              </w:rPr>
              <w:t>.00</w:t>
            </w:r>
          </w:p>
        </w:tc>
        <w:tc>
          <w:tcPr>
            <w:tcW w:w="113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0ED0FC1" w14:textId="1C16243B">
            <w:pPr>
              <w:pStyle w:val="TableStyle2"/>
              <w:jc w:val="center"/>
              <w:rPr>
                <w:rFonts w:ascii="Times New Roman" w:hAnsi="Times New Roman" w:cs="Times New Roman"/>
              </w:rPr>
            </w:pPr>
            <w:r w:rsidRPr="00BA44F1">
              <w:rPr>
                <w:rFonts w:ascii="Times New Roman" w:hAnsi="Times New Roman" w:cs="Times New Roman"/>
              </w:rPr>
              <w:fldChar w:fldCharType="begin"/>
            </w:r>
            <w:r w:rsidRPr="00BA44F1">
              <w:rPr>
                <w:rFonts w:ascii="Times New Roman" w:hAnsi="Times New Roman" w:cs="Times New Roman"/>
              </w:rPr>
              <w:instrText xml:space="preserve"> = SUM(E7*F7) \# "0" \* MERGEFORMAT</w:instrText>
            </w:r>
            <w:r w:rsidRPr="00BA44F1">
              <w:rPr>
                <w:rFonts w:ascii="Times New Roman" w:hAnsi="Times New Roman" w:cs="Times New Roman"/>
              </w:rPr>
              <w:fldChar w:fldCharType="separate"/>
            </w:r>
            <w:r w:rsidRPr="00BA44F1">
              <w:rPr>
                <w:rFonts w:ascii="Times New Roman" w:hAnsi="Times New Roman" w:cs="Times New Roman"/>
                <w:sz w:val="16"/>
                <w:szCs w:val="16"/>
              </w:rPr>
              <w:t>4</w:t>
            </w:r>
            <w:r w:rsidR="00CE468D">
              <w:rPr>
                <w:rFonts w:ascii="Times New Roman" w:hAnsi="Times New Roman" w:cs="Times New Roman"/>
                <w:sz w:val="16"/>
                <w:szCs w:val="16"/>
              </w:rPr>
              <w:t>1</w:t>
            </w:r>
            <w:r w:rsidRPr="00BA44F1">
              <w:rPr>
                <w:rFonts w:ascii="Times New Roman" w:hAnsi="Times New Roman" w:cs="Times New Roman"/>
                <w:sz w:val="16"/>
                <w:szCs w:val="16"/>
              </w:rPr>
              <w:t>6</w:t>
            </w:r>
            <w:r w:rsidRPr="00BA44F1">
              <w:rPr>
                <w:rFonts w:ascii="Times New Roman" w:hAnsi="Times New Roman" w:cs="Times New Roman"/>
              </w:rPr>
              <w:fldChar w:fldCharType="end"/>
            </w:r>
            <w:r w:rsidR="004709F4">
              <w:rPr>
                <w:rFonts w:ascii="Times New Roman" w:hAnsi="Times New Roman" w:cs="Times New Roman"/>
              </w:rPr>
              <w:t>.00</w:t>
            </w:r>
          </w:p>
        </w:tc>
        <w:tc>
          <w:tcPr>
            <w:tcW w:w="823"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4D14DD" w14:paraId="318248B0" w14:textId="1D091D6D">
            <w:pPr>
              <w:pStyle w:val="TableStyle2"/>
              <w:jc w:val="center"/>
              <w:rPr>
                <w:rFonts w:ascii="Times New Roman" w:hAnsi="Times New Roman" w:cs="Times New Roman"/>
              </w:rPr>
            </w:pPr>
            <w:r w:rsidRPr="00BA44F1">
              <w:rPr>
                <w:rFonts w:ascii="Times New Roman" w:hAnsi="Times New Roman" w:cs="Times New Roman"/>
                <w:sz w:val="16"/>
                <w:szCs w:val="16"/>
              </w:rPr>
              <w:t>$37.</w:t>
            </w:r>
            <w:r>
              <w:rPr>
                <w:rFonts w:ascii="Times New Roman" w:hAnsi="Times New Roman" w:cs="Times New Roman"/>
                <w:sz w:val="16"/>
                <w:szCs w:val="16"/>
              </w:rPr>
              <w:t>70</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4D14DD" w14:paraId="6E2B5F27" w14:textId="571919E1">
            <w:pPr>
              <w:pStyle w:val="TableStyle2"/>
              <w:jc w:val="center"/>
              <w:rPr>
                <w:rFonts w:ascii="Times New Roman" w:hAnsi="Times New Roman" w:cs="Times New Roman"/>
              </w:rPr>
            </w:pPr>
            <w:r>
              <w:rPr>
                <w:rFonts w:ascii="Times New Roman" w:hAnsi="Times New Roman" w:cs="Times New Roman"/>
              </w:rPr>
              <w:t>$</w:t>
            </w:r>
            <w:r w:rsidR="00E34EDE">
              <w:rPr>
                <w:rFonts w:ascii="Times New Roman" w:hAnsi="Times New Roman" w:cs="Times New Roman"/>
              </w:rPr>
              <w:t>15,683.20</w:t>
            </w:r>
          </w:p>
        </w:tc>
      </w:tr>
      <w:tr w:rsidRPr="00BA44F1" w:rsidR="00243FC5" w:rsidTr="00E34EDE" w14:paraId="25D4388F" w14:textId="77777777">
        <w:trPr>
          <w:trHeight w:val="246"/>
        </w:trPr>
        <w:tc>
          <w:tcPr>
            <w:tcW w:w="1027" w:type="dxa"/>
            <w:vMerge/>
            <w:tcBorders>
              <w:top w:val="single" w:color="000000" w:sz="2" w:space="0"/>
              <w:left w:val="single" w:color="000000" w:sz="2" w:space="0"/>
              <w:bottom w:val="single" w:color="000000" w:sz="2" w:space="0"/>
              <w:right w:val="single" w:color="000000" w:sz="6" w:space="0"/>
            </w:tcBorders>
            <w:shd w:val="clear" w:color="auto" w:fill="DBDBDB"/>
          </w:tcPr>
          <w:p w:rsidRPr="00BA44F1" w:rsidR="00243FC5" w:rsidP="00AF7299" w:rsidRDefault="00243FC5" w14:paraId="1FECC306" w14:textId="77777777">
            <w:pPr>
              <w:rPr>
                <w:rFonts w:cs="Times New Roman"/>
              </w:rPr>
            </w:pPr>
          </w:p>
        </w:tc>
        <w:tc>
          <w:tcPr>
            <w:tcW w:w="1880" w:type="dxa"/>
            <w:tcBorders>
              <w:top w:val="single" w:color="000000" w:sz="2"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9028542" w14:textId="77777777">
            <w:pPr>
              <w:pStyle w:val="TableStyle2"/>
              <w:jc w:val="center"/>
              <w:rPr>
                <w:rFonts w:ascii="Times New Roman" w:hAnsi="Times New Roman" w:cs="Times New Roman"/>
              </w:rPr>
            </w:pPr>
            <w:r w:rsidRPr="00BA44F1">
              <w:rPr>
                <w:rFonts w:ascii="Times New Roman" w:hAnsi="Times New Roman" w:cs="Times New Roman"/>
                <w:sz w:val="16"/>
                <w:szCs w:val="16"/>
              </w:rPr>
              <w:t>Voucher Submission</w:t>
            </w:r>
          </w:p>
        </w:tc>
        <w:tc>
          <w:tcPr>
            <w:tcW w:w="11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644D1" w14:paraId="50BF2B23" w14:textId="78C8A341">
            <w:pPr>
              <w:pStyle w:val="TableStyle2"/>
              <w:jc w:val="center"/>
              <w:rPr>
                <w:rFonts w:ascii="Times New Roman" w:hAnsi="Times New Roman" w:cs="Times New Roman"/>
              </w:rPr>
            </w:pPr>
            <w:r>
              <w:rPr>
                <w:rFonts w:ascii="Times New Roman" w:hAnsi="Times New Roman" w:cs="Times New Roman"/>
                <w:sz w:val="16"/>
                <w:szCs w:val="16"/>
              </w:rPr>
              <w:t>26</w:t>
            </w:r>
            <w:r w:rsidR="004709F4">
              <w:rPr>
                <w:rFonts w:ascii="Times New Roman" w:hAnsi="Times New Roman" w:cs="Times New Roman"/>
                <w:sz w:val="16"/>
                <w:szCs w:val="16"/>
              </w:rPr>
              <w:t>.00</w:t>
            </w:r>
          </w:p>
        </w:tc>
        <w:tc>
          <w:tcPr>
            <w:tcW w:w="1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50E6C8B6" w14:textId="52A75FEA">
            <w:pPr>
              <w:pStyle w:val="TableStyle2"/>
              <w:jc w:val="center"/>
              <w:rPr>
                <w:rFonts w:ascii="Times New Roman" w:hAnsi="Times New Roman" w:cs="Times New Roman"/>
              </w:rPr>
            </w:pPr>
            <w:r w:rsidRPr="00BA44F1">
              <w:rPr>
                <w:rFonts w:ascii="Times New Roman" w:hAnsi="Times New Roman" w:cs="Times New Roman"/>
                <w:sz w:val="16"/>
                <w:szCs w:val="16"/>
              </w:rPr>
              <w:t>12</w:t>
            </w:r>
            <w:r w:rsidR="004709F4">
              <w:rPr>
                <w:rFonts w:ascii="Times New Roman" w:hAnsi="Times New Roman" w:cs="Times New Roman"/>
                <w:sz w:val="16"/>
                <w:szCs w:val="16"/>
              </w:rPr>
              <w:t>.00</w:t>
            </w:r>
          </w:p>
        </w:tc>
        <w:tc>
          <w:tcPr>
            <w:tcW w:w="13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CE468D" w:rsidR="00243FC5" w:rsidP="00AF7299" w:rsidRDefault="00243FC5" w14:paraId="40AED6A4" w14:textId="75B70E04">
            <w:pPr>
              <w:pStyle w:val="TableStyle2"/>
              <w:jc w:val="center"/>
              <w:rPr>
                <w:rFonts w:ascii="Times New Roman" w:hAnsi="Times New Roman" w:cs="Times New Roman"/>
                <w:sz w:val="16"/>
                <w:szCs w:val="16"/>
              </w:rPr>
            </w:pPr>
            <w:r w:rsidRPr="00CE468D">
              <w:rPr>
                <w:rFonts w:ascii="Times New Roman" w:hAnsi="Times New Roman" w:cs="Times New Roman"/>
                <w:sz w:val="16"/>
                <w:szCs w:val="16"/>
              </w:rPr>
              <w:fldChar w:fldCharType="begin"/>
            </w:r>
            <w:r w:rsidRPr="00CE468D">
              <w:rPr>
                <w:rFonts w:ascii="Times New Roman" w:hAnsi="Times New Roman" w:cs="Times New Roman"/>
                <w:sz w:val="16"/>
                <w:szCs w:val="16"/>
              </w:rPr>
              <w:instrText xml:space="preserve"> = SUM(C8*D8) \# "0" \* MERGEFORMAT</w:instrText>
            </w:r>
            <w:r w:rsidRPr="00CE468D">
              <w:rPr>
                <w:rFonts w:ascii="Times New Roman" w:hAnsi="Times New Roman" w:cs="Times New Roman"/>
                <w:sz w:val="16"/>
                <w:szCs w:val="16"/>
              </w:rPr>
              <w:fldChar w:fldCharType="separate"/>
            </w:r>
            <w:r w:rsidRPr="00CE468D">
              <w:rPr>
                <w:rFonts w:ascii="Times New Roman" w:hAnsi="Times New Roman" w:cs="Times New Roman"/>
                <w:sz w:val="16"/>
                <w:szCs w:val="16"/>
              </w:rPr>
              <w:t>3</w:t>
            </w:r>
            <w:r w:rsidRPr="00CE468D" w:rsidR="00CE468D">
              <w:rPr>
                <w:rFonts w:ascii="Times New Roman" w:hAnsi="Times New Roman" w:cs="Times New Roman"/>
                <w:sz w:val="16"/>
                <w:szCs w:val="16"/>
              </w:rPr>
              <w:t>1</w:t>
            </w:r>
            <w:r w:rsidRPr="00CE468D">
              <w:rPr>
                <w:rFonts w:ascii="Times New Roman" w:hAnsi="Times New Roman" w:cs="Times New Roman"/>
                <w:sz w:val="16"/>
                <w:szCs w:val="16"/>
              </w:rPr>
              <w:t>2</w:t>
            </w:r>
            <w:r w:rsidRPr="00CE468D">
              <w:rPr>
                <w:rFonts w:ascii="Times New Roman" w:hAnsi="Times New Roman" w:cs="Times New Roman"/>
                <w:sz w:val="16"/>
                <w:szCs w:val="16"/>
              </w:rPr>
              <w:fldChar w:fldCharType="end"/>
            </w:r>
            <w:r w:rsidR="004709F4">
              <w:rPr>
                <w:rFonts w:ascii="Times New Roman" w:hAnsi="Times New Roman" w:cs="Times New Roman"/>
                <w:sz w:val="16"/>
                <w:szCs w:val="16"/>
              </w:rPr>
              <w:t>.00</w:t>
            </w:r>
          </w:p>
        </w:tc>
        <w:tc>
          <w:tcPr>
            <w:tcW w:w="150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CE468D" w:rsidR="00243FC5" w:rsidP="00AF7299" w:rsidRDefault="00243FC5" w14:paraId="0E6D3A55" w14:textId="77777777">
            <w:pPr>
              <w:pStyle w:val="TableStyle2"/>
              <w:jc w:val="center"/>
              <w:rPr>
                <w:rFonts w:ascii="Times New Roman" w:hAnsi="Times New Roman" w:cs="Times New Roman"/>
                <w:sz w:val="16"/>
                <w:szCs w:val="16"/>
              </w:rPr>
            </w:pPr>
            <w:r w:rsidRPr="00CE468D">
              <w:rPr>
                <w:rFonts w:ascii="Times New Roman" w:hAnsi="Times New Roman" w:cs="Times New Roman"/>
                <w:sz w:val="16"/>
                <w:szCs w:val="16"/>
              </w:rPr>
              <w:t>0.25</w:t>
            </w:r>
          </w:p>
        </w:tc>
        <w:tc>
          <w:tcPr>
            <w:tcW w:w="113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CE468D" w:rsidR="00243FC5" w:rsidP="00AF7299" w:rsidRDefault="00CE468D" w14:paraId="0F637FCF" w14:textId="7B3556C2">
            <w:pPr>
              <w:pStyle w:val="TableStyle2"/>
              <w:jc w:val="center"/>
              <w:rPr>
                <w:rFonts w:ascii="Times New Roman" w:hAnsi="Times New Roman" w:cs="Times New Roman"/>
                <w:sz w:val="16"/>
                <w:szCs w:val="16"/>
              </w:rPr>
            </w:pPr>
            <w:r w:rsidRPr="00CE468D">
              <w:rPr>
                <w:rFonts w:ascii="Times New Roman" w:hAnsi="Times New Roman" w:cs="Times New Roman"/>
                <w:sz w:val="16"/>
                <w:szCs w:val="16"/>
              </w:rPr>
              <w:t>78</w:t>
            </w:r>
            <w:r w:rsidR="004709F4">
              <w:rPr>
                <w:rFonts w:ascii="Times New Roman" w:hAnsi="Times New Roman" w:cs="Times New Roman"/>
                <w:sz w:val="16"/>
                <w:szCs w:val="16"/>
              </w:rPr>
              <w:t>.00</w:t>
            </w:r>
          </w:p>
        </w:tc>
        <w:tc>
          <w:tcPr>
            <w:tcW w:w="823"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CE468D" w:rsidR="00243FC5" w:rsidP="00AF7299" w:rsidRDefault="004D14DD" w14:paraId="772AF320" w14:textId="060279C9">
            <w:pPr>
              <w:pStyle w:val="TableStyle2"/>
              <w:jc w:val="center"/>
              <w:rPr>
                <w:rFonts w:ascii="Times New Roman" w:hAnsi="Times New Roman" w:cs="Times New Roman"/>
                <w:sz w:val="16"/>
                <w:szCs w:val="16"/>
              </w:rPr>
            </w:pPr>
            <w:r w:rsidRPr="00BA44F1">
              <w:rPr>
                <w:rFonts w:ascii="Times New Roman" w:hAnsi="Times New Roman" w:cs="Times New Roman"/>
                <w:sz w:val="16"/>
                <w:szCs w:val="16"/>
              </w:rPr>
              <w:t>$37.</w:t>
            </w:r>
            <w:r>
              <w:rPr>
                <w:rFonts w:ascii="Times New Roman" w:hAnsi="Times New Roman" w:cs="Times New Roman"/>
                <w:sz w:val="16"/>
                <w:szCs w:val="16"/>
              </w:rPr>
              <w:t>70</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CE468D" w:rsidR="00243FC5" w:rsidP="00AF7299" w:rsidRDefault="00E34EDE" w14:paraId="45BE050A" w14:textId="40963D5D">
            <w:pPr>
              <w:pStyle w:val="TableStyle2"/>
              <w:jc w:val="center"/>
              <w:rPr>
                <w:rFonts w:ascii="Times New Roman" w:hAnsi="Times New Roman" w:cs="Times New Roman"/>
                <w:sz w:val="16"/>
                <w:szCs w:val="16"/>
              </w:rPr>
            </w:pPr>
            <w:r>
              <w:rPr>
                <w:rFonts w:ascii="Times New Roman" w:hAnsi="Times New Roman" w:cs="Times New Roman"/>
                <w:sz w:val="16"/>
                <w:szCs w:val="16"/>
              </w:rPr>
              <w:t>$2,940.60</w:t>
            </w:r>
          </w:p>
        </w:tc>
      </w:tr>
      <w:tr w:rsidRPr="00BA44F1" w:rsidR="00243FC5" w:rsidTr="00E34EDE" w14:paraId="14487B4A" w14:textId="77777777">
        <w:trPr>
          <w:trHeight w:val="602"/>
        </w:trPr>
        <w:tc>
          <w:tcPr>
            <w:tcW w:w="1027" w:type="dxa"/>
            <w:tcBorders>
              <w:top w:val="single" w:color="000000" w:sz="2" w:space="0"/>
              <w:left w:val="single" w:color="000000" w:sz="2" w:space="0"/>
              <w:bottom w:val="single" w:color="000000" w:sz="2" w:space="0"/>
              <w:right w:val="single" w:color="000000" w:sz="6" w:space="0"/>
            </w:tcBorders>
            <w:shd w:val="clear" w:color="auto" w:fill="DBDBDB"/>
            <w:tcMar>
              <w:top w:w="80" w:type="dxa"/>
              <w:left w:w="80" w:type="dxa"/>
              <w:bottom w:w="80" w:type="dxa"/>
              <w:right w:w="80" w:type="dxa"/>
            </w:tcMar>
            <w:vAlign w:val="center"/>
          </w:tcPr>
          <w:p w:rsidRPr="00BA44F1" w:rsidR="00243FC5" w:rsidP="00AF7299" w:rsidRDefault="00243FC5" w14:paraId="6CD38860" w14:textId="77777777">
            <w:pPr>
              <w:pStyle w:val="TableStyle1"/>
              <w:jc w:val="center"/>
              <w:rPr>
                <w:rFonts w:ascii="Times New Roman" w:hAnsi="Times New Roman" w:cs="Times New Roman"/>
              </w:rPr>
            </w:pPr>
            <w:r w:rsidRPr="00BA44F1">
              <w:rPr>
                <w:rFonts w:ascii="Times New Roman" w:hAnsi="Times New Roman" w:cs="Times New Roman"/>
                <w:sz w:val="16"/>
                <w:szCs w:val="16"/>
              </w:rPr>
              <w:t>Total Paperwork Burden</w:t>
            </w:r>
          </w:p>
        </w:tc>
        <w:tc>
          <w:tcPr>
            <w:tcW w:w="1880" w:type="dxa"/>
            <w:tcBorders>
              <w:top w:val="single" w:color="000000" w:sz="2" w:space="0"/>
              <w:left w:val="single" w:color="000000" w:sz="6"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0A23C0D1" w14:textId="77777777">
            <w:pPr>
              <w:pStyle w:val="TableStyle2"/>
              <w:jc w:val="center"/>
              <w:rPr>
                <w:rFonts w:ascii="Times New Roman" w:hAnsi="Times New Roman" w:cs="Times New Roman"/>
              </w:rPr>
            </w:pPr>
            <w:r w:rsidRPr="00BA44F1">
              <w:rPr>
                <w:rFonts w:ascii="Times New Roman" w:hAnsi="Times New Roman" w:cs="Times New Roman"/>
                <w:sz w:val="16"/>
                <w:szCs w:val="16"/>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CE468D" w14:paraId="18A8C1CF" w14:textId="230EA461">
            <w:pPr>
              <w:pStyle w:val="TableStyle2"/>
              <w:jc w:val="center"/>
              <w:rPr>
                <w:rFonts w:ascii="Times New Roman" w:hAnsi="Times New Roman" w:cs="Times New Roman"/>
              </w:rPr>
            </w:pPr>
            <w:r>
              <w:rPr>
                <w:rFonts w:ascii="Times New Roman" w:hAnsi="Times New Roman" w:cs="Times New Roman"/>
                <w:sz w:val="16"/>
                <w:szCs w:val="16"/>
              </w:rPr>
              <w:t>94</w:t>
            </w:r>
            <w:r w:rsidR="004709F4">
              <w:rPr>
                <w:rFonts w:ascii="Times New Roman" w:hAnsi="Times New Roman" w:cs="Times New Roman"/>
                <w:sz w:val="16"/>
                <w:szCs w:val="16"/>
              </w:rPr>
              <w:t>.00</w:t>
            </w:r>
          </w:p>
        </w:tc>
        <w:tc>
          <w:tcPr>
            <w:tcW w:w="122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1D1FD84D" w14:textId="77777777">
            <w:pPr>
              <w:pStyle w:val="TableStyle2"/>
              <w:jc w:val="center"/>
              <w:rPr>
                <w:rFonts w:ascii="Times New Roman" w:hAnsi="Times New Roman" w:cs="Times New Roman"/>
              </w:rPr>
            </w:pPr>
            <w:r w:rsidRPr="00BA44F1">
              <w:rPr>
                <w:rFonts w:ascii="Times New Roman" w:hAnsi="Times New Roman" w:cs="Times New Roman"/>
                <w:sz w:val="16"/>
                <w:szCs w:val="16"/>
              </w:rPr>
              <w:t>Varies</w:t>
            </w:r>
          </w:p>
        </w:tc>
        <w:tc>
          <w:tcPr>
            <w:tcW w:w="138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CE468D" w14:paraId="69B9BAFE" w14:textId="6A247D3F">
            <w:pPr>
              <w:pStyle w:val="TableStyle2"/>
              <w:jc w:val="center"/>
              <w:rPr>
                <w:rFonts w:ascii="Times New Roman" w:hAnsi="Times New Roman" w:cs="Times New Roman"/>
              </w:rPr>
            </w:pPr>
            <w:r>
              <w:rPr>
                <w:rFonts w:ascii="Times New Roman" w:hAnsi="Times New Roman" w:cs="Times New Roman"/>
                <w:sz w:val="16"/>
                <w:szCs w:val="16"/>
              </w:rPr>
              <w:t>432</w:t>
            </w:r>
            <w:r w:rsidR="004709F4">
              <w:rPr>
                <w:rFonts w:ascii="Times New Roman" w:hAnsi="Times New Roman" w:cs="Times New Roman"/>
                <w:sz w:val="16"/>
                <w:szCs w:val="16"/>
              </w:rPr>
              <w:t>.00</w:t>
            </w:r>
          </w:p>
        </w:tc>
        <w:tc>
          <w:tcPr>
            <w:tcW w:w="150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154784E2" w14:textId="77777777">
            <w:pPr>
              <w:pStyle w:val="TableStyle2"/>
              <w:jc w:val="center"/>
              <w:rPr>
                <w:rFonts w:ascii="Times New Roman" w:hAnsi="Times New Roman" w:cs="Times New Roman"/>
              </w:rPr>
            </w:pPr>
            <w:r w:rsidRPr="00BA44F1">
              <w:rPr>
                <w:rFonts w:ascii="Times New Roman" w:hAnsi="Times New Roman" w:cs="Times New Roman"/>
                <w:sz w:val="16"/>
                <w:szCs w:val="16"/>
              </w:rPr>
              <w:t>Varies</w:t>
            </w:r>
          </w:p>
        </w:tc>
        <w:tc>
          <w:tcPr>
            <w:tcW w:w="1132"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CE468D" w14:paraId="73C18713" w14:textId="7CF9AE20">
            <w:pPr>
              <w:pStyle w:val="TableStyle2"/>
              <w:jc w:val="center"/>
              <w:rPr>
                <w:rFonts w:ascii="Times New Roman" w:hAnsi="Times New Roman" w:cs="Times New Roman"/>
              </w:rPr>
            </w:pPr>
            <w:r>
              <w:rPr>
                <w:rFonts w:ascii="Times New Roman" w:hAnsi="Times New Roman" w:cs="Times New Roman"/>
                <w:sz w:val="16"/>
                <w:szCs w:val="16"/>
              </w:rPr>
              <w:t>632</w:t>
            </w:r>
            <w:r w:rsidR="004709F4">
              <w:rPr>
                <w:rFonts w:ascii="Times New Roman" w:hAnsi="Times New Roman" w:cs="Times New Roman"/>
                <w:sz w:val="16"/>
                <w:szCs w:val="16"/>
              </w:rPr>
              <w:t>.00</w:t>
            </w:r>
          </w:p>
        </w:tc>
        <w:tc>
          <w:tcPr>
            <w:tcW w:w="823"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4D14DD" w14:paraId="6267CDD9" w14:textId="16B1AA62">
            <w:pPr>
              <w:pStyle w:val="TableStyle2"/>
              <w:jc w:val="center"/>
              <w:rPr>
                <w:rFonts w:ascii="Times New Roman" w:hAnsi="Times New Roman" w:cs="Times New Roman"/>
              </w:rPr>
            </w:pPr>
            <w:r w:rsidRPr="00BA44F1">
              <w:rPr>
                <w:rFonts w:ascii="Times New Roman" w:hAnsi="Times New Roman" w:cs="Times New Roman"/>
                <w:sz w:val="16"/>
                <w:szCs w:val="16"/>
              </w:rPr>
              <w:t>$37.</w:t>
            </w:r>
            <w:r>
              <w:rPr>
                <w:rFonts w:ascii="Times New Roman" w:hAnsi="Times New Roman" w:cs="Times New Roman"/>
                <w:sz w:val="16"/>
                <w:szCs w:val="16"/>
              </w:rPr>
              <w:t>70</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vAlign w:val="center"/>
          </w:tcPr>
          <w:p w:rsidRPr="00BA44F1" w:rsidR="00243FC5" w:rsidP="00AF7299" w:rsidRDefault="00243FC5" w14:paraId="4350F80A" w14:textId="5B49ABE8">
            <w:pPr>
              <w:pStyle w:val="TableStyle2"/>
              <w:jc w:val="center"/>
              <w:rPr>
                <w:rFonts w:ascii="Times New Roman" w:hAnsi="Times New Roman" w:cs="Times New Roman"/>
              </w:rPr>
            </w:pPr>
            <w:r w:rsidRPr="00BA44F1">
              <w:rPr>
                <w:rFonts w:ascii="Times New Roman" w:hAnsi="Times New Roman" w:cs="Times New Roman"/>
                <w:sz w:val="16"/>
                <w:szCs w:val="16"/>
              </w:rPr>
              <w:t>$</w:t>
            </w:r>
            <w:r w:rsidR="00CE468D">
              <w:rPr>
                <w:rFonts w:ascii="Times New Roman" w:hAnsi="Times New Roman" w:cs="Times New Roman"/>
                <w:sz w:val="16"/>
                <w:szCs w:val="16"/>
              </w:rPr>
              <w:t>23,</w:t>
            </w:r>
            <w:r w:rsidR="00E34EDE">
              <w:rPr>
                <w:rFonts w:ascii="Times New Roman" w:hAnsi="Times New Roman" w:cs="Times New Roman"/>
                <w:sz w:val="16"/>
                <w:szCs w:val="16"/>
              </w:rPr>
              <w:t>826.4</w:t>
            </w:r>
          </w:p>
        </w:tc>
      </w:tr>
    </w:tbl>
    <w:p w:rsidRPr="00BA44F1" w:rsidR="001D027A" w:rsidRDefault="001D027A" w14:paraId="5B9381FD" w14:textId="1C9F7AF5">
      <w:pPr>
        <w:tabs>
          <w:tab w:val="left" w:pos="270"/>
        </w:tabs>
        <w:ind w:left="360"/>
        <w:rPr>
          <w:rFonts w:cs="Times New Roman"/>
          <w:color w:val="1F4E79"/>
          <w:u w:color="1F4E79"/>
        </w:rPr>
      </w:pPr>
    </w:p>
    <w:p w:rsidRPr="00BA44F1" w:rsidR="00243FC5" w:rsidRDefault="00243FC5" w14:paraId="411EFFD3" w14:textId="77777777">
      <w:pPr>
        <w:tabs>
          <w:tab w:val="left" w:pos="360"/>
        </w:tabs>
        <w:ind w:left="360" w:hanging="360"/>
        <w:rPr>
          <w:rFonts w:cs="Times New Roman"/>
          <w:color w:val="auto"/>
          <w:sz w:val="22"/>
          <w:szCs w:val="22"/>
          <w:u w:color="1F4E79"/>
        </w:rPr>
      </w:pPr>
    </w:p>
    <w:p w:rsidRPr="00BA44F1" w:rsidR="001D027A" w:rsidRDefault="009F7862" w14:paraId="6FD0234E" w14:textId="75866D60">
      <w:pPr>
        <w:tabs>
          <w:tab w:val="left" w:pos="360"/>
        </w:tabs>
        <w:ind w:left="360" w:hanging="360"/>
        <w:rPr>
          <w:rFonts w:cs="Times New Roman"/>
          <w:color w:val="auto"/>
          <w:sz w:val="22"/>
          <w:szCs w:val="22"/>
        </w:rPr>
      </w:pPr>
      <w:r w:rsidRPr="00BA44F1">
        <w:rPr>
          <w:rFonts w:cs="Times New Roman"/>
          <w:color w:val="auto"/>
          <w:sz w:val="22"/>
          <w:szCs w:val="22"/>
          <w:u w:color="1F4E79"/>
        </w:rPr>
        <w:t>13.</w:t>
      </w:r>
      <w:r w:rsidRPr="00BA44F1">
        <w:rPr>
          <w:rFonts w:cs="Times New Roman"/>
          <w:color w:val="auto"/>
          <w:sz w:val="22"/>
          <w:szCs w:val="22"/>
          <w:u w:color="1F4E79"/>
        </w:rPr>
        <w:tab/>
        <w:t>Estimate of the average, annual cost beyond the cost of hour burden shown in Items 12.  Read the complete instructions on the form 83i.</w:t>
      </w:r>
      <w:r w:rsidRPr="00BA44F1">
        <w:rPr>
          <w:rFonts w:cs="Times New Roman"/>
          <w:color w:val="auto"/>
          <w:sz w:val="22"/>
          <w:szCs w:val="22"/>
        </w:rPr>
        <w:t xml:space="preserve">  </w:t>
      </w:r>
    </w:p>
    <w:p w:rsidRPr="00BA44F1" w:rsidR="001D027A" w:rsidRDefault="001D027A" w14:paraId="1EE76418" w14:textId="2DC878BB">
      <w:pPr>
        <w:tabs>
          <w:tab w:val="left" w:pos="360"/>
        </w:tabs>
        <w:ind w:left="360" w:hanging="360"/>
        <w:rPr>
          <w:rFonts w:cs="Times New Roman"/>
          <w:color w:val="auto"/>
          <w:sz w:val="22"/>
          <w:szCs w:val="22"/>
        </w:rPr>
      </w:pPr>
    </w:p>
    <w:p w:rsidRPr="00BA44F1" w:rsidR="001D027A" w:rsidRDefault="009F7862" w14:paraId="2DF7B0D4" w14:textId="77777777">
      <w:pPr>
        <w:tabs>
          <w:tab w:val="left" w:pos="270"/>
        </w:tabs>
        <w:ind w:left="360"/>
        <w:rPr>
          <w:rFonts w:cs="Times New Roman"/>
          <w:color w:val="auto"/>
          <w:sz w:val="22"/>
          <w:szCs w:val="22"/>
          <w:u w:color="1F4E79"/>
        </w:rPr>
      </w:pPr>
      <w:r w:rsidRPr="00BA44F1">
        <w:rPr>
          <w:rFonts w:cs="Times New Roman"/>
          <w:color w:val="auto"/>
          <w:sz w:val="22"/>
          <w:szCs w:val="22"/>
          <w:u w:color="1F4E79"/>
        </w:rPr>
        <w:t xml:space="preserve">DRGR does not have any additional costs associated with this collection. </w:t>
      </w:r>
    </w:p>
    <w:p w:rsidRPr="00BA44F1" w:rsidR="001D027A" w:rsidRDefault="001D027A" w14:paraId="12479321" w14:textId="77777777">
      <w:pPr>
        <w:tabs>
          <w:tab w:val="left" w:pos="360"/>
        </w:tabs>
        <w:ind w:left="360" w:hanging="360"/>
        <w:rPr>
          <w:rFonts w:cs="Times New Roman"/>
          <w:color w:val="auto"/>
          <w:sz w:val="22"/>
          <w:szCs w:val="22"/>
          <w:u w:color="1F4E79"/>
        </w:rPr>
      </w:pPr>
    </w:p>
    <w:p w:rsidRPr="00BA44F1" w:rsidR="001D027A" w:rsidRDefault="009F7862" w14:paraId="5EE411DB" w14:textId="77777777">
      <w:pPr>
        <w:keepLines/>
        <w:tabs>
          <w:tab w:val="left" w:pos="360"/>
        </w:tabs>
        <w:spacing w:after="80"/>
        <w:ind w:left="360" w:hanging="360"/>
        <w:rPr>
          <w:rFonts w:cs="Times New Roman"/>
          <w:color w:val="auto"/>
          <w:sz w:val="22"/>
          <w:szCs w:val="22"/>
          <w:u w:color="1F4E79"/>
        </w:rPr>
      </w:pPr>
      <w:r w:rsidRPr="00BA44F1">
        <w:rPr>
          <w:rFonts w:cs="Times New Roman"/>
          <w:color w:val="auto"/>
          <w:sz w:val="22"/>
          <w:szCs w:val="22"/>
          <w:u w:color="1F4E79"/>
        </w:rPr>
        <w:t>14.</w:t>
      </w:r>
      <w:r w:rsidRPr="00BA44F1">
        <w:rPr>
          <w:rFonts w:cs="Times New Roman"/>
          <w:color w:val="auto"/>
          <w:sz w:val="22"/>
          <w:szCs w:val="22"/>
          <w:u w:color="1F4E79"/>
        </w:rPr>
        <w:tab/>
        <w:t xml:space="preserve">Estimate annualized costs to HUD of collecting the information, including processing the information. </w:t>
      </w:r>
    </w:p>
    <w:p w:rsidRPr="00BA44F1" w:rsidR="001D027A" w:rsidRDefault="009F7862" w14:paraId="6E8DF997" w14:textId="77777777">
      <w:pPr>
        <w:spacing w:line="360" w:lineRule="auto"/>
        <w:ind w:firstLine="360"/>
        <w:rPr>
          <w:rFonts w:cs="Times New Roman"/>
          <w:color w:val="auto"/>
          <w:sz w:val="22"/>
          <w:szCs w:val="22"/>
          <w:u w:color="1F4E79"/>
        </w:rPr>
      </w:pPr>
      <w:r w:rsidRPr="00BA44F1">
        <w:rPr>
          <w:rFonts w:cs="Times New Roman"/>
          <w:color w:val="auto"/>
          <w:sz w:val="22"/>
          <w:szCs w:val="22"/>
          <w:u w:color="1F4E79"/>
        </w:rPr>
        <w:t>a.   Disaster Recovery, NSP, and NSP3-TA</w:t>
      </w:r>
    </w:p>
    <w:p w:rsidRPr="00BA44F1" w:rsidR="001D027A" w:rsidRDefault="009F7862" w14:paraId="57ACF96F" w14:textId="0F73564E">
      <w:pPr>
        <w:tabs>
          <w:tab w:val="left" w:pos="270"/>
        </w:tabs>
        <w:ind w:left="360"/>
        <w:rPr>
          <w:rFonts w:cs="Times New Roman"/>
          <w:color w:val="auto"/>
          <w:sz w:val="22"/>
          <w:szCs w:val="22"/>
          <w:u w:color="1F4E79"/>
        </w:rPr>
      </w:pPr>
      <w:r w:rsidRPr="00BA44F1">
        <w:rPr>
          <w:rFonts w:cs="Times New Roman"/>
          <w:color w:val="auto"/>
          <w:sz w:val="22"/>
          <w:szCs w:val="22"/>
          <w:u w:color="1F4E79"/>
        </w:rPr>
        <w:t>The total cost to the government for working with the data is estimated to total approximately $</w:t>
      </w:r>
      <w:r w:rsidRPr="00BA44F1" w:rsidR="00C4212D">
        <w:rPr>
          <w:rFonts w:cs="Times New Roman"/>
          <w:color w:val="auto"/>
          <w:sz w:val="22"/>
          <w:szCs w:val="22"/>
          <w:u w:color="1F4E79"/>
        </w:rPr>
        <w:t>1,0</w:t>
      </w:r>
      <w:r w:rsidR="00E34EDE">
        <w:rPr>
          <w:rFonts w:cs="Times New Roman"/>
          <w:color w:val="auto"/>
          <w:sz w:val="22"/>
          <w:szCs w:val="22"/>
          <w:u w:color="1F4E79"/>
        </w:rPr>
        <w:t>43,764.85</w:t>
      </w:r>
      <w:r w:rsidRPr="00BA44F1">
        <w:rPr>
          <w:rFonts w:cs="Times New Roman"/>
          <w:color w:val="auto"/>
          <w:sz w:val="22"/>
          <w:szCs w:val="22"/>
          <w:u w:color="1F4E79"/>
        </w:rPr>
        <w:t>. System development and maintenance costs are not included in these estimates.</w:t>
      </w:r>
    </w:p>
    <w:p w:rsidRPr="00BA44F1" w:rsidR="001D027A" w:rsidRDefault="001D027A" w14:paraId="21EA009A" w14:textId="086AA46B">
      <w:pPr>
        <w:tabs>
          <w:tab w:val="left" w:pos="270"/>
        </w:tabs>
        <w:ind w:left="360"/>
        <w:rPr>
          <w:rFonts w:cs="Times New Roman"/>
          <w:color w:val="auto"/>
          <w:sz w:val="22"/>
          <w:szCs w:val="22"/>
          <w:u w:color="1F4E79"/>
        </w:rPr>
      </w:pPr>
    </w:p>
    <w:p w:rsidRPr="00BA44F1" w:rsidR="001D027A" w:rsidP="00BA44F1" w:rsidRDefault="009F7862" w14:paraId="2A8E1E54" w14:textId="5FF89A5B">
      <w:pPr>
        <w:ind w:left="360"/>
        <w:rPr>
          <w:rFonts w:cs="Times New Roman"/>
          <w:color w:val="auto"/>
          <w:sz w:val="22"/>
          <w:szCs w:val="22"/>
          <w:u w:color="1F4E79"/>
        </w:rPr>
      </w:pPr>
      <w:r w:rsidRPr="00BA44F1">
        <w:rPr>
          <w:rFonts w:cs="Times New Roman"/>
          <w:color w:val="auto"/>
          <w:sz w:val="22"/>
          <w:szCs w:val="22"/>
          <w:u w:color="1F4E79"/>
        </w:rPr>
        <w:t>b.   Rural Capacity Building and Section 4 programs</w:t>
      </w:r>
      <w:r w:rsidRPr="00BA44F1" w:rsidR="00447BE9">
        <w:rPr>
          <w:rFonts w:cs="Times New Roman"/>
          <w:color w:val="auto"/>
          <w:sz w:val="22"/>
          <w:szCs w:val="22"/>
          <w:u w:color="1F4E79"/>
        </w:rPr>
        <w:t xml:space="preserve">.  </w:t>
      </w:r>
      <w:r w:rsidRPr="00BA44F1">
        <w:rPr>
          <w:rFonts w:cs="Times New Roman"/>
          <w:color w:val="auto"/>
          <w:sz w:val="22"/>
          <w:szCs w:val="22"/>
          <w:u w:color="1F4E79"/>
        </w:rPr>
        <w:t>The total cost to the government for working with the data is estimated to total approximately $</w:t>
      </w:r>
      <w:r w:rsidR="00E34EDE">
        <w:rPr>
          <w:rFonts w:cs="Times New Roman"/>
          <w:color w:val="auto"/>
          <w:sz w:val="22"/>
          <w:szCs w:val="22"/>
          <w:u w:color="1F4E79"/>
        </w:rPr>
        <w:t>38,406.46</w:t>
      </w:r>
      <w:r w:rsidRPr="00BA44F1">
        <w:rPr>
          <w:rFonts w:cs="Times New Roman"/>
          <w:color w:val="auto"/>
          <w:sz w:val="22"/>
          <w:szCs w:val="22"/>
          <w:u w:color="1F4E79"/>
        </w:rPr>
        <w:t>. System development and maintenance costs are not included in these estimates.</w:t>
      </w:r>
    </w:p>
    <w:p w:rsidRPr="00BA44F1" w:rsidR="001D027A" w:rsidRDefault="001D027A" w14:paraId="292E4B31" w14:textId="6DD61BBF">
      <w:pPr>
        <w:tabs>
          <w:tab w:val="left" w:pos="270"/>
        </w:tabs>
        <w:ind w:left="360"/>
        <w:rPr>
          <w:rFonts w:cs="Times New Roman"/>
          <w:color w:val="auto"/>
          <w:sz w:val="22"/>
          <w:szCs w:val="22"/>
          <w:u w:color="1F4E79"/>
        </w:rPr>
      </w:pPr>
    </w:p>
    <w:p w:rsidRPr="00BA44F1" w:rsidR="001D027A" w:rsidRDefault="009F7862" w14:paraId="700765FF" w14:textId="6ACC37DD">
      <w:pPr>
        <w:pStyle w:val="BodyTextIndent"/>
        <w:rPr>
          <w:rFonts w:cs="Times New Roman"/>
          <w:color w:val="auto"/>
          <w:u w:color="1F4E79"/>
          <w14:textOutline w14:w="0" w14:cap="flat" w14:cmpd="sng" w14:algn="ctr">
            <w14:noFill/>
            <w14:prstDash w14:val="solid"/>
            <w14:bevel/>
          </w14:textOutline>
        </w:rPr>
      </w:pPr>
      <w:r w:rsidRPr="00BA44F1">
        <w:rPr>
          <w:rFonts w:cs="Times New Roman"/>
          <w:color w:val="auto"/>
          <w:u w:color="1F4E79"/>
          <w14:textOutline w14:w="0" w14:cap="flat" w14:cmpd="sng" w14:algn="ctr">
            <w14:noFill/>
            <w14:prstDash w14:val="solid"/>
            <w14:bevel/>
          </w14:textOutline>
        </w:rPr>
        <w:t>15.</w:t>
      </w:r>
      <w:r w:rsidRPr="00BA44F1">
        <w:rPr>
          <w:rFonts w:cs="Times New Roman"/>
          <w:color w:val="auto"/>
          <w:u w:color="1F4E79"/>
          <w14:textOutline w14:w="0" w14:cap="flat" w14:cmpd="sng" w14:algn="ctr">
            <w14:noFill/>
            <w14:prstDash w14:val="solid"/>
            <w14:bevel/>
          </w14:textOutline>
        </w:rPr>
        <w:tab/>
        <w:t>Explain any program changes or adjustments reported in items 13 and 14 of the OMB Form 83i.</w:t>
      </w:r>
    </w:p>
    <w:p w:rsidRPr="00BA44F1" w:rsidR="001D027A" w:rsidRDefault="009F7862" w14:paraId="66E0E79D" w14:textId="179DCDA8">
      <w:pPr>
        <w:keepLines/>
        <w:tabs>
          <w:tab w:val="left" w:pos="360"/>
        </w:tabs>
        <w:spacing w:after="80"/>
        <w:ind w:left="360"/>
        <w:rPr>
          <w:rFonts w:cs="Times New Roman"/>
          <w:color w:val="auto"/>
          <w:sz w:val="22"/>
          <w:szCs w:val="22"/>
          <w:u w:color="1F4E79"/>
        </w:rPr>
      </w:pPr>
      <w:r w:rsidRPr="00BA44F1">
        <w:rPr>
          <w:rFonts w:cs="Times New Roman"/>
          <w:color w:val="auto"/>
          <w:sz w:val="22"/>
          <w:szCs w:val="22"/>
          <w:u w:color="1F4E79"/>
        </w:rPr>
        <w:t>Also explain any other changes/revisions to the information collection.</w:t>
      </w:r>
    </w:p>
    <w:p w:rsidRPr="00BA44F1" w:rsidR="001D027A" w:rsidRDefault="001D027A" w14:paraId="5D22552A" w14:textId="2AE88F4A">
      <w:pPr>
        <w:tabs>
          <w:tab w:val="left" w:pos="270"/>
        </w:tabs>
        <w:ind w:left="360"/>
        <w:rPr>
          <w:rFonts w:cs="Times New Roman"/>
          <w:color w:val="auto"/>
          <w:sz w:val="22"/>
          <w:szCs w:val="22"/>
          <w:u w:color="1F4E79"/>
        </w:rPr>
      </w:pPr>
    </w:p>
    <w:p w:rsidRPr="00BA44F1" w:rsidR="001D027A" w:rsidRDefault="00C4212D" w14:paraId="092A1204" w14:textId="5B91776E">
      <w:pPr>
        <w:numPr>
          <w:ilvl w:val="0"/>
          <w:numId w:val="22"/>
        </w:numPr>
        <w:rPr>
          <w:rFonts w:cs="Times New Roman"/>
          <w:color w:val="auto"/>
          <w:sz w:val="22"/>
          <w:szCs w:val="22"/>
          <w:u w:color="1F4E79"/>
        </w:rPr>
      </w:pPr>
      <w:r w:rsidRPr="00BA44F1">
        <w:rPr>
          <w:rFonts w:cs="Times New Roman"/>
          <w:color w:val="auto"/>
          <w:sz w:val="22"/>
          <w:szCs w:val="22"/>
          <w:u w:color="1F4E79"/>
        </w:rPr>
        <w:t>55</w:t>
      </w:r>
      <w:r w:rsidRPr="00BA44F1" w:rsidR="009F7862">
        <w:rPr>
          <w:rFonts w:cs="Times New Roman"/>
          <w:color w:val="auto"/>
          <w:sz w:val="22"/>
          <w:szCs w:val="22"/>
          <w:u w:color="1F4E79"/>
        </w:rPr>
        <w:t xml:space="preserve"> new CDBG-DR grants have been added to the system since the last PRA submission.</w:t>
      </w:r>
    </w:p>
    <w:p w:rsidRPr="00BA44F1" w:rsidR="001D027A" w:rsidRDefault="009F7862" w14:paraId="2E01CA31" w14:textId="10E28CA6">
      <w:pPr>
        <w:numPr>
          <w:ilvl w:val="0"/>
          <w:numId w:val="22"/>
        </w:numPr>
        <w:rPr>
          <w:rFonts w:cs="Times New Roman"/>
          <w:color w:val="auto"/>
          <w:sz w:val="22"/>
          <w:szCs w:val="22"/>
          <w:u w:color="1F4E79"/>
        </w:rPr>
      </w:pPr>
      <w:r w:rsidRPr="00BA44F1">
        <w:rPr>
          <w:rFonts w:cs="Times New Roman"/>
          <w:color w:val="auto"/>
          <w:sz w:val="22"/>
          <w:szCs w:val="22"/>
          <w:u w:color="1F4E79"/>
        </w:rPr>
        <w:t>No new NSP grants have been added to the system since the last PRA submission.</w:t>
      </w:r>
    </w:p>
    <w:p w:rsidRPr="00BA44F1" w:rsidR="001D027A" w:rsidRDefault="009F7862" w14:paraId="15B6901F" w14:textId="5B8BAE49">
      <w:pPr>
        <w:numPr>
          <w:ilvl w:val="0"/>
          <w:numId w:val="22"/>
        </w:numPr>
        <w:rPr>
          <w:rFonts w:cs="Times New Roman"/>
          <w:color w:val="auto"/>
          <w:sz w:val="22"/>
          <w:szCs w:val="22"/>
          <w:u w:color="1F4E79"/>
        </w:rPr>
      </w:pPr>
      <w:r w:rsidRPr="00BA44F1">
        <w:rPr>
          <w:rFonts w:cs="Times New Roman"/>
          <w:color w:val="auto"/>
          <w:sz w:val="22"/>
          <w:szCs w:val="22"/>
          <w:u w:color="1F4E79"/>
        </w:rPr>
        <w:t xml:space="preserve">No </w:t>
      </w:r>
      <w:bookmarkStart w:name="_Hlk522625404" w:id="2"/>
      <w:r w:rsidRPr="00BA44F1">
        <w:rPr>
          <w:rFonts w:cs="Times New Roman"/>
          <w:color w:val="auto"/>
          <w:sz w:val="22"/>
          <w:szCs w:val="22"/>
          <w:u w:color="1F4E79"/>
        </w:rPr>
        <w:t>new NSP-3 TA grants have been added to the system since the last PRA submission</w:t>
      </w:r>
      <w:bookmarkEnd w:id="2"/>
      <w:r w:rsidRPr="00BA44F1">
        <w:rPr>
          <w:rFonts w:cs="Times New Roman"/>
          <w:color w:val="auto"/>
          <w:sz w:val="22"/>
          <w:szCs w:val="22"/>
          <w:u w:color="1F4E79"/>
        </w:rPr>
        <w:t>.</w:t>
      </w:r>
    </w:p>
    <w:p w:rsidRPr="00BA44F1" w:rsidR="001D027A" w:rsidRDefault="00C4212D" w14:paraId="17C3B255" w14:textId="769F925F">
      <w:pPr>
        <w:numPr>
          <w:ilvl w:val="0"/>
          <w:numId w:val="22"/>
        </w:numPr>
        <w:rPr>
          <w:rFonts w:cs="Times New Roman"/>
          <w:color w:val="auto"/>
          <w:sz w:val="22"/>
          <w:szCs w:val="22"/>
          <w:u w:color="1F4E79"/>
        </w:rPr>
      </w:pPr>
      <w:r w:rsidRPr="00BA44F1">
        <w:rPr>
          <w:rFonts w:cs="Times New Roman"/>
          <w:color w:val="auto"/>
          <w:sz w:val="22"/>
          <w:szCs w:val="22"/>
          <w:u w:color="1F4E79"/>
        </w:rPr>
        <w:t xml:space="preserve">No </w:t>
      </w:r>
      <w:r w:rsidRPr="00BA44F1" w:rsidR="009F7862">
        <w:rPr>
          <w:rFonts w:cs="Times New Roman"/>
          <w:color w:val="auto"/>
          <w:sz w:val="22"/>
          <w:szCs w:val="22"/>
          <w:u w:color="1F4E79"/>
        </w:rPr>
        <w:t>new Rural Capacity Building and Section 4 grants have been added to the system since the last PRA submission.</w:t>
      </w:r>
    </w:p>
    <w:p w:rsidRPr="00BA44F1" w:rsidR="001D027A" w:rsidRDefault="001D027A" w14:paraId="499D1BC7" w14:textId="4C7CC2F8">
      <w:pPr>
        <w:tabs>
          <w:tab w:val="left" w:pos="270"/>
        </w:tabs>
        <w:ind w:left="360"/>
        <w:rPr>
          <w:rFonts w:cs="Times New Roman"/>
          <w:color w:val="auto"/>
          <w:sz w:val="22"/>
          <w:szCs w:val="22"/>
          <w:u w:color="1F4E79"/>
        </w:rPr>
      </w:pPr>
    </w:p>
    <w:p w:rsidRPr="00BA44F1" w:rsidR="001D027A" w:rsidRDefault="009F7862" w14:paraId="2B3F8446" w14:textId="77B73161">
      <w:pPr>
        <w:tabs>
          <w:tab w:val="left" w:pos="270"/>
        </w:tabs>
        <w:ind w:left="360"/>
        <w:rPr>
          <w:rFonts w:cs="Times New Roman"/>
          <w:color w:val="auto"/>
          <w:sz w:val="22"/>
          <w:szCs w:val="22"/>
          <w:u w:color="1F4E79"/>
        </w:rPr>
      </w:pPr>
      <w:r w:rsidRPr="00BA44F1">
        <w:rPr>
          <w:rFonts w:cs="Times New Roman"/>
          <w:color w:val="auto"/>
          <w:sz w:val="22"/>
          <w:szCs w:val="22"/>
          <w:u w:color="1F4E79"/>
        </w:rPr>
        <w:t xml:space="preserve">The DRGR system is updated regularly (at least once per year). A description of DRGR updates are located here: </w:t>
      </w:r>
      <w:hyperlink w:history="1" r:id="rId17">
        <w:r w:rsidRPr="00BA44F1">
          <w:rPr>
            <w:rFonts w:cs="Times New Roman"/>
            <w:color w:val="auto"/>
            <w:u w:color="1F4E79"/>
          </w:rPr>
          <w:t>https://www.hudexchange.info/programs/drgr/</w:t>
        </w:r>
      </w:hyperlink>
      <w:r w:rsidRPr="00BA44F1">
        <w:rPr>
          <w:rFonts w:cs="Times New Roman"/>
          <w:color w:val="auto"/>
          <w:sz w:val="22"/>
          <w:szCs w:val="22"/>
          <w:u w:color="1F4E79"/>
        </w:rPr>
        <w:t>. Reporting requirements are expected to be substantively the same.</w:t>
      </w:r>
    </w:p>
    <w:p w:rsidRPr="00BA44F1" w:rsidR="001D027A" w:rsidRDefault="001D027A" w14:paraId="3EC2493F" w14:textId="696E7C43">
      <w:pPr>
        <w:tabs>
          <w:tab w:val="left" w:pos="360"/>
        </w:tabs>
        <w:ind w:left="360" w:hanging="360"/>
        <w:rPr>
          <w:rFonts w:cs="Times New Roman"/>
          <w:color w:val="auto"/>
          <w:sz w:val="22"/>
          <w:szCs w:val="22"/>
          <w:u w:color="1F4E79"/>
        </w:rPr>
      </w:pPr>
    </w:p>
    <w:p w:rsidRPr="00BA44F1" w:rsidR="001D027A" w:rsidRDefault="009F7862" w14:paraId="3E80CB3B" w14:textId="19B61F89">
      <w:pPr>
        <w:keepLines/>
        <w:tabs>
          <w:tab w:val="left" w:pos="360"/>
          <w:tab w:val="left" w:pos="720"/>
        </w:tabs>
        <w:ind w:left="360" w:hanging="360"/>
        <w:rPr>
          <w:rFonts w:cs="Times New Roman"/>
          <w:color w:val="auto"/>
          <w:sz w:val="22"/>
          <w:szCs w:val="22"/>
          <w:u w:color="1F4E79"/>
        </w:rPr>
      </w:pPr>
      <w:r w:rsidRPr="00BA44F1">
        <w:rPr>
          <w:rFonts w:cs="Times New Roman"/>
          <w:color w:val="auto"/>
          <w:sz w:val="22"/>
          <w:szCs w:val="22"/>
          <w:u w:color="1F4E79"/>
        </w:rPr>
        <w:t>16.</w:t>
      </w:r>
      <w:r w:rsidRPr="00BA44F1">
        <w:rPr>
          <w:rFonts w:cs="Times New Roman"/>
          <w:color w:val="auto"/>
          <w:sz w:val="22"/>
          <w:szCs w:val="22"/>
          <w:u w:color="1F4E79"/>
        </w:rPr>
        <w:tab/>
        <w:t xml:space="preserve">If the information will be published, outline plans for tabulation and publication.  </w:t>
      </w:r>
    </w:p>
    <w:p w:rsidRPr="00BA44F1" w:rsidR="001D027A" w:rsidRDefault="001D027A" w14:paraId="6E016C00" w14:textId="7BA44292">
      <w:pPr>
        <w:keepLines/>
        <w:tabs>
          <w:tab w:val="left" w:pos="360"/>
          <w:tab w:val="left" w:pos="720"/>
        </w:tabs>
        <w:ind w:left="360" w:hanging="360"/>
        <w:rPr>
          <w:rFonts w:cs="Times New Roman"/>
          <w:color w:val="auto"/>
          <w:sz w:val="22"/>
          <w:szCs w:val="22"/>
          <w:u w:color="1F4E79"/>
        </w:rPr>
      </w:pPr>
    </w:p>
    <w:p w:rsidRPr="00BA44F1" w:rsidR="001D027A" w:rsidRDefault="009F7862" w14:paraId="47992679" w14:textId="4DE54766">
      <w:pPr>
        <w:ind w:left="360"/>
        <w:rPr>
          <w:rFonts w:cs="Times New Roman"/>
          <w:color w:val="auto"/>
          <w:sz w:val="22"/>
          <w:szCs w:val="22"/>
          <w:u w:color="1F4E79"/>
        </w:rPr>
      </w:pPr>
      <w:r w:rsidRPr="00BA44F1">
        <w:rPr>
          <w:rFonts w:cs="Times New Roman"/>
          <w:color w:val="auto"/>
          <w:sz w:val="22"/>
          <w:szCs w:val="22"/>
          <w:u w:color="1F4E79"/>
        </w:rPr>
        <w:t>Each quarter HUD prepares reports from the data system that highlights the uses of funds and accomplishments of grantees.  A synthesis of these reports is presented to Congress.</w:t>
      </w:r>
    </w:p>
    <w:p w:rsidRPr="00BA44F1" w:rsidR="001D027A" w:rsidRDefault="001D027A" w14:paraId="5965CE24" w14:textId="155314A0">
      <w:pPr>
        <w:keepLines/>
        <w:tabs>
          <w:tab w:val="left" w:pos="360"/>
          <w:tab w:val="left" w:pos="720"/>
        </w:tabs>
        <w:ind w:left="360" w:hanging="360"/>
        <w:rPr>
          <w:rFonts w:cs="Times New Roman"/>
          <w:color w:val="auto"/>
          <w:sz w:val="22"/>
          <w:szCs w:val="22"/>
          <w:u w:color="1F4E79"/>
        </w:rPr>
      </w:pPr>
    </w:p>
    <w:p w:rsidRPr="00BA44F1" w:rsidR="001D027A" w:rsidRDefault="009F7862" w14:paraId="31A22148" w14:textId="23A2F25A">
      <w:pPr>
        <w:keepLines/>
        <w:tabs>
          <w:tab w:val="left" w:pos="360"/>
          <w:tab w:val="left" w:pos="720"/>
        </w:tabs>
        <w:ind w:left="360" w:hanging="360"/>
        <w:rPr>
          <w:rFonts w:cs="Times New Roman"/>
          <w:color w:val="auto"/>
          <w:sz w:val="22"/>
          <w:szCs w:val="22"/>
          <w:u w:color="1F4E79"/>
        </w:rPr>
      </w:pPr>
      <w:r w:rsidRPr="00BA44F1">
        <w:rPr>
          <w:rFonts w:cs="Times New Roman"/>
          <w:color w:val="auto"/>
          <w:sz w:val="22"/>
          <w:szCs w:val="22"/>
          <w:u w:color="1F4E79"/>
        </w:rPr>
        <w:t>17.</w:t>
      </w:r>
      <w:r w:rsidRPr="00BA44F1">
        <w:rPr>
          <w:rFonts w:cs="Times New Roman"/>
          <w:color w:val="auto"/>
          <w:sz w:val="22"/>
          <w:szCs w:val="22"/>
          <w:u w:color="1F4E79"/>
        </w:rPr>
        <w:tab/>
        <w:t xml:space="preserve">Explain any request to not display the expiration date. </w:t>
      </w:r>
    </w:p>
    <w:p w:rsidRPr="00BA44F1" w:rsidR="001D027A" w:rsidRDefault="009F7862" w14:paraId="33E397B5" w14:textId="215BCA47">
      <w:pPr>
        <w:keepLines/>
        <w:tabs>
          <w:tab w:val="left" w:pos="360"/>
          <w:tab w:val="left" w:pos="720"/>
        </w:tabs>
        <w:ind w:left="360" w:hanging="360"/>
        <w:rPr>
          <w:rFonts w:cs="Times New Roman"/>
          <w:color w:val="auto"/>
          <w:sz w:val="22"/>
          <w:szCs w:val="22"/>
          <w:u w:color="1F4E79"/>
        </w:rPr>
      </w:pPr>
      <w:r w:rsidRPr="00BA44F1">
        <w:rPr>
          <w:rFonts w:cs="Times New Roman"/>
          <w:color w:val="auto"/>
          <w:sz w:val="22"/>
          <w:szCs w:val="22"/>
          <w:u w:color="1F4E79"/>
        </w:rPr>
        <w:tab/>
      </w:r>
    </w:p>
    <w:p w:rsidRPr="00BA44F1" w:rsidR="001D027A" w:rsidRDefault="00243FC5" w14:paraId="3D3FB858" w14:textId="1142D71F">
      <w:pPr>
        <w:keepLines/>
        <w:tabs>
          <w:tab w:val="left" w:pos="360"/>
          <w:tab w:val="left" w:pos="720"/>
        </w:tabs>
        <w:ind w:left="360" w:hanging="360"/>
        <w:rPr>
          <w:rFonts w:cs="Times New Roman"/>
          <w:color w:val="auto"/>
          <w:sz w:val="22"/>
          <w:szCs w:val="22"/>
          <w:u w:color="1F4E79"/>
        </w:rPr>
      </w:pPr>
      <w:r w:rsidRPr="00BA44F1">
        <w:rPr>
          <w:rFonts w:cs="Times New Roman"/>
          <w:noProof/>
          <w:color w:val="auto"/>
          <w:sz w:val="22"/>
          <w:szCs w:val="22"/>
          <w:u w:color="1F4E79"/>
        </w:rPr>
        <mc:AlternateContent>
          <mc:Choice Requires="wps">
            <w:drawing>
              <wp:anchor distT="152400" distB="152400" distL="152400" distR="152400" simplePos="0" relativeHeight="251659264" behindDoc="0" locked="0" layoutInCell="1" allowOverlap="1" wp14:editId="4C436A4C" wp14:anchorId="75AEF1A4">
                <wp:simplePos x="0" y="0"/>
                <wp:positionH relativeFrom="margin">
                  <wp:align>right</wp:align>
                </wp:positionH>
                <wp:positionV relativeFrom="margin">
                  <wp:align>top</wp:align>
                </wp:positionV>
                <wp:extent cx="5943600" cy="390398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943600" cy="3903980"/>
                        </a:xfrm>
                        <a:prstGeom prst="rect">
                          <a:avLst/>
                        </a:prstGeom>
                      </wps:spPr>
                      <wps:txbx>
                        <w:txbxContent>
                          <w:p w:rsidR="0004425D" w:rsidRDefault="0004425D" w14:paraId="1F3D9C40" w14:textId="77777777"/>
                        </w:txbxContent>
                      </wps:txbx>
                      <wps:bodyPr lIns="0" tIns="0" rIns="0" bIns="0">
                        <a:spAutoFit/>
                      </wps:bodyPr>
                    </wps:wsp>
                  </a:graphicData>
                </a:graphic>
              </wp:anchor>
            </w:drawing>
          </mc:Choice>
          <mc:Fallback>
            <w:pict>
              <v:rect id="officeArt object" style="position:absolute;left:0;text-align:left;margin-left:416.8pt;margin-top:0;width:468pt;height:307.4pt;z-index:251659264;visibility:visible;mso-wrap-style:square;mso-wrap-distance-left:12pt;mso-wrap-distance-top:12pt;mso-wrap-distance-right:12pt;mso-wrap-distance-bottom:12pt;mso-position-horizontal:right;mso-position-horizontal-relative:margin;mso-position-vertical:top;mso-position-vertical-relative:margin;v-text-anchor:top" o:spid="_x0000_s1026" filled="f" stroked="f" w14:anchorId="75AEF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">
                <v:textbox style="mso-fit-shape-to-text:t" inset="0,0,0,0">
                  <w:txbxContent>
                    <w:p w:rsidR="0004425D" w:rsidRDefault="0004425D" w14:paraId="1F3D9C40" w14:textId="77777777"/>
                  </w:txbxContent>
                </v:textbox>
                <w10:wrap type="topAndBottom" anchorx="margin" anchory="margin"/>
              </v:rect>
            </w:pict>
          </mc:Fallback>
        </mc:AlternateContent>
      </w:r>
      <w:r w:rsidRPr="00BA44F1" w:rsidR="009F7862">
        <w:rPr>
          <w:rFonts w:cs="Times New Roman"/>
          <w:color w:val="auto"/>
          <w:sz w:val="22"/>
          <w:szCs w:val="22"/>
          <w:u w:color="1F4E79"/>
        </w:rPr>
        <w:tab/>
        <w:t>HUD is not seeking approval to not display the expiration date for OMB approval.</w:t>
      </w:r>
    </w:p>
    <w:p w:rsidRPr="00BA44F1" w:rsidR="001D027A" w:rsidRDefault="001D027A" w14:paraId="508FEDA5" w14:textId="083164AC">
      <w:pPr>
        <w:tabs>
          <w:tab w:val="left" w:pos="360"/>
        </w:tabs>
        <w:ind w:left="360" w:hanging="360"/>
        <w:rPr>
          <w:rFonts w:cs="Times New Roman"/>
          <w:color w:val="auto"/>
          <w:sz w:val="22"/>
          <w:szCs w:val="22"/>
          <w:u w:color="1F4E79"/>
        </w:rPr>
      </w:pPr>
    </w:p>
    <w:p w:rsidRPr="00BA44F1" w:rsidR="001D027A" w:rsidP="000513ED" w:rsidRDefault="009F7862" w14:paraId="3C9CBF70" w14:textId="13E8CD72">
      <w:pPr>
        <w:keepLines/>
        <w:tabs>
          <w:tab w:val="left" w:pos="360"/>
          <w:tab w:val="left" w:pos="720"/>
        </w:tabs>
        <w:ind w:left="360" w:hanging="360"/>
        <w:rPr>
          <w:rFonts w:cs="Times New Roman"/>
          <w:color w:val="auto"/>
          <w:sz w:val="22"/>
          <w:szCs w:val="22"/>
          <w:u w:color="1F4E79"/>
        </w:rPr>
      </w:pPr>
      <w:r w:rsidRPr="00BA44F1">
        <w:rPr>
          <w:rFonts w:cs="Times New Roman"/>
          <w:color w:val="auto"/>
          <w:sz w:val="22"/>
          <w:szCs w:val="22"/>
          <w:u w:color="1F4E79"/>
        </w:rPr>
        <w:t>18.</w:t>
      </w:r>
      <w:r w:rsidRPr="00BA44F1">
        <w:rPr>
          <w:rFonts w:cs="Times New Roman"/>
          <w:color w:val="auto"/>
          <w:sz w:val="22"/>
          <w:szCs w:val="22"/>
          <w:u w:color="1F4E79"/>
        </w:rPr>
        <w:tab/>
        <w:t xml:space="preserve">Explain each exception to the certification statement identified in item 83i-19.  </w:t>
      </w:r>
    </w:p>
    <w:p w:rsidRPr="00BA44F1" w:rsidR="001D027A" w:rsidP="00BA44F1" w:rsidRDefault="009F7862" w14:paraId="376D42F8" w14:textId="2E357CBA">
      <w:pPr>
        <w:keepLines/>
        <w:tabs>
          <w:tab w:val="left" w:pos="360"/>
          <w:tab w:val="left" w:pos="720"/>
        </w:tabs>
        <w:ind w:left="360" w:hanging="360"/>
        <w:rPr>
          <w:rFonts w:cs="Times New Roman"/>
          <w:color w:val="auto"/>
          <w:sz w:val="22"/>
          <w:szCs w:val="22"/>
        </w:rPr>
      </w:pPr>
      <w:r w:rsidRPr="00BA44F1">
        <w:rPr>
          <w:rFonts w:cs="Times New Roman"/>
          <w:color w:val="auto"/>
          <w:sz w:val="22"/>
          <w:szCs w:val="22"/>
          <w:u w:color="1F4E79"/>
        </w:rPr>
        <w:t xml:space="preserve">  </w:t>
      </w:r>
    </w:p>
    <w:sectPr w:rsidRPr="00BA44F1" w:rsidR="001D027A" w:rsidSect="00F373BC">
      <w:pgSz w:w="12240" w:h="15840"/>
      <w:pgMar w:top="96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EE5C9" w14:textId="77777777" w:rsidR="00F42F22" w:rsidRDefault="00F42F22">
      <w:r>
        <w:separator/>
      </w:r>
    </w:p>
  </w:endnote>
  <w:endnote w:type="continuationSeparator" w:id="0">
    <w:p w14:paraId="671CAE97" w14:textId="77777777" w:rsidR="00F42F22" w:rsidRDefault="00F4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06489" w14:textId="77777777" w:rsidR="00F42F22" w:rsidRDefault="00F42F22">
      <w:r>
        <w:separator/>
      </w:r>
    </w:p>
  </w:footnote>
  <w:footnote w:type="continuationSeparator" w:id="0">
    <w:p w14:paraId="5564940C" w14:textId="77777777" w:rsidR="00F42F22" w:rsidRDefault="00F42F22">
      <w:r>
        <w:continuationSeparator/>
      </w:r>
    </w:p>
  </w:footnote>
  <w:footnote w:type="continuationNotice" w:id="1">
    <w:p w14:paraId="553B78B7" w14:textId="77777777" w:rsidR="00F42F22" w:rsidRDefault="00F42F22"/>
  </w:footnote>
  <w:footnote w:id="2">
    <w:p w14:paraId="4F844EBC" w14:textId="77777777" w:rsidR="0004425D" w:rsidRDefault="0004425D">
      <w:pPr>
        <w:pStyle w:val="FootnoteText"/>
      </w:pPr>
      <w:r w:rsidRPr="00447BE9">
        <w:rPr>
          <w:rFonts w:eastAsia="Arial Unicode MS" w:cs="Arial Unicode MS"/>
          <w:color w:val="auto"/>
          <w:sz w:val="20"/>
          <w:szCs w:val="20"/>
          <w:u w:color="1F4E79"/>
        </w:rPr>
        <w:footnoteRef/>
      </w:r>
      <w:r w:rsidRPr="00447BE9">
        <w:rPr>
          <w:rFonts w:eastAsia="Arial Unicode MS" w:cs="Arial Unicode MS"/>
          <w:color w:val="auto"/>
          <w:sz w:val="20"/>
          <w:szCs w:val="20"/>
          <w:u w:color="1F4E79"/>
        </w:rPr>
        <w:t xml:space="preserve"> NSP2 and NSPTA are subject to an information request under OMB Control Number 2506-0185.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623EA"/>
    <w:multiLevelType w:val="hybridMultilevel"/>
    <w:tmpl w:val="0A72357A"/>
    <w:numStyleLink w:val="ImportedStyle10"/>
  </w:abstractNum>
  <w:abstractNum w:abstractNumId="1" w15:restartNumberingAfterBreak="0">
    <w:nsid w:val="0B18564B"/>
    <w:multiLevelType w:val="hybridMultilevel"/>
    <w:tmpl w:val="AB78AB64"/>
    <w:styleLink w:val="ImportedStyle8"/>
    <w:lvl w:ilvl="0" w:tplc="AA503AE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63E1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00DC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929FA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6E22C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66BD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3E1B7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0CBA8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F0510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123FA3"/>
    <w:multiLevelType w:val="hybridMultilevel"/>
    <w:tmpl w:val="42D43C8A"/>
    <w:numStyleLink w:val="ImportedStyle7"/>
  </w:abstractNum>
  <w:abstractNum w:abstractNumId="3" w15:restartNumberingAfterBreak="0">
    <w:nsid w:val="17327ED9"/>
    <w:multiLevelType w:val="hybridMultilevel"/>
    <w:tmpl w:val="55C0F7AA"/>
    <w:styleLink w:val="ImportedStyle2"/>
    <w:lvl w:ilvl="0" w:tplc="BFB2BF9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FCE2D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EC96C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FC007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342B0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94970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9236E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668C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C5C1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C00B04"/>
    <w:multiLevelType w:val="hybridMultilevel"/>
    <w:tmpl w:val="DF44B542"/>
    <w:numStyleLink w:val="ImportedStyle6"/>
  </w:abstractNum>
  <w:abstractNum w:abstractNumId="5" w15:restartNumberingAfterBreak="0">
    <w:nsid w:val="25B668F7"/>
    <w:multiLevelType w:val="hybridMultilevel"/>
    <w:tmpl w:val="55C0F7AA"/>
    <w:numStyleLink w:val="ImportedStyle2"/>
  </w:abstractNum>
  <w:abstractNum w:abstractNumId="6" w15:restartNumberingAfterBreak="0">
    <w:nsid w:val="2E4E1A88"/>
    <w:multiLevelType w:val="hybridMultilevel"/>
    <w:tmpl w:val="318E78DC"/>
    <w:styleLink w:val="ImportedStyle4"/>
    <w:lvl w:ilvl="0" w:tplc="30BAA896">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360B768">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9774D240">
      <w:start w:val="1"/>
      <w:numFmt w:val="lowerRoman"/>
      <w:lvlText w:val="%3."/>
      <w:lvlJc w:val="left"/>
      <w:pPr>
        <w:ind w:left="216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A05A123C">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B307C8E">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CA4080DA">
      <w:start w:val="1"/>
      <w:numFmt w:val="lowerRoman"/>
      <w:lvlText w:val="%6."/>
      <w:lvlJc w:val="left"/>
      <w:pPr>
        <w:ind w:left="432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937A341E">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7987006">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1C9E53F8">
      <w:start w:val="1"/>
      <w:numFmt w:val="lowerRoman"/>
      <w:lvlText w:val="%9."/>
      <w:lvlJc w:val="left"/>
      <w:pPr>
        <w:ind w:left="648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6A2055"/>
    <w:multiLevelType w:val="hybridMultilevel"/>
    <w:tmpl w:val="0A72357A"/>
    <w:styleLink w:val="ImportedStyle10"/>
    <w:lvl w:ilvl="0" w:tplc="FD52E1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9E0D8E">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90ED7A">
      <w:start w:val="1"/>
      <w:numFmt w:val="bullet"/>
      <w:lvlText w:val="▪"/>
      <w:lvlJc w:val="left"/>
      <w:pPr>
        <w:tabs>
          <w:tab w:val="left" w:pos="72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A67F24">
      <w:start w:val="1"/>
      <w:numFmt w:val="bullet"/>
      <w:lvlText w:val="·"/>
      <w:lvlJc w:val="left"/>
      <w:pPr>
        <w:tabs>
          <w:tab w:val="left" w:pos="720"/>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CC1130">
      <w:start w:val="1"/>
      <w:numFmt w:val="bullet"/>
      <w:lvlText w:val="o"/>
      <w:lvlJc w:val="left"/>
      <w:pPr>
        <w:tabs>
          <w:tab w:val="left" w:pos="720"/>
        </w:tabs>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F84FAA">
      <w:start w:val="1"/>
      <w:numFmt w:val="bullet"/>
      <w:lvlText w:val="▪"/>
      <w:lvlJc w:val="left"/>
      <w:pPr>
        <w:tabs>
          <w:tab w:val="left" w:pos="72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06932C">
      <w:start w:val="1"/>
      <w:numFmt w:val="bullet"/>
      <w:lvlText w:val="·"/>
      <w:lvlJc w:val="left"/>
      <w:pPr>
        <w:tabs>
          <w:tab w:val="left" w:pos="720"/>
        </w:tabs>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CE0CE2">
      <w:start w:val="1"/>
      <w:numFmt w:val="bullet"/>
      <w:lvlText w:val="o"/>
      <w:lvlJc w:val="left"/>
      <w:pPr>
        <w:tabs>
          <w:tab w:val="left" w:pos="720"/>
        </w:tabs>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30D868">
      <w:start w:val="1"/>
      <w:numFmt w:val="bullet"/>
      <w:lvlText w:val="▪"/>
      <w:lvlJc w:val="left"/>
      <w:pPr>
        <w:tabs>
          <w:tab w:val="left" w:pos="72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A20F92"/>
    <w:multiLevelType w:val="hybridMultilevel"/>
    <w:tmpl w:val="FCDC4D50"/>
    <w:styleLink w:val="ImportedStyle9"/>
    <w:lvl w:ilvl="0" w:tplc="7DEE931C">
      <w:start w:val="1"/>
      <w:numFmt w:val="bullet"/>
      <w:lvlText w:val="·"/>
      <w:lvlJc w:val="left"/>
      <w:pPr>
        <w:tabs>
          <w:tab w:val="left" w:pos="27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AA4B00">
      <w:start w:val="1"/>
      <w:numFmt w:val="bullet"/>
      <w:lvlText w:val="o"/>
      <w:lvlJc w:val="left"/>
      <w:pPr>
        <w:tabs>
          <w:tab w:val="left" w:pos="27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C7E3A">
      <w:start w:val="1"/>
      <w:numFmt w:val="bullet"/>
      <w:lvlText w:val="▪"/>
      <w:lvlJc w:val="left"/>
      <w:pPr>
        <w:tabs>
          <w:tab w:val="left" w:pos="27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D0F3D4">
      <w:start w:val="1"/>
      <w:numFmt w:val="bullet"/>
      <w:lvlText w:val="·"/>
      <w:lvlJc w:val="left"/>
      <w:pPr>
        <w:tabs>
          <w:tab w:val="left" w:pos="27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1C26E0">
      <w:start w:val="1"/>
      <w:numFmt w:val="bullet"/>
      <w:lvlText w:val="o"/>
      <w:lvlJc w:val="left"/>
      <w:pPr>
        <w:tabs>
          <w:tab w:val="left" w:pos="27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08D0A">
      <w:start w:val="1"/>
      <w:numFmt w:val="bullet"/>
      <w:lvlText w:val="▪"/>
      <w:lvlJc w:val="left"/>
      <w:pPr>
        <w:tabs>
          <w:tab w:val="left" w:pos="27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F2C1B0">
      <w:start w:val="1"/>
      <w:numFmt w:val="bullet"/>
      <w:lvlText w:val="·"/>
      <w:lvlJc w:val="left"/>
      <w:pPr>
        <w:tabs>
          <w:tab w:val="left" w:pos="27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E4963A">
      <w:start w:val="1"/>
      <w:numFmt w:val="bullet"/>
      <w:lvlText w:val="o"/>
      <w:lvlJc w:val="left"/>
      <w:pPr>
        <w:tabs>
          <w:tab w:val="left" w:pos="27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7E0C8E">
      <w:start w:val="1"/>
      <w:numFmt w:val="bullet"/>
      <w:lvlText w:val="▪"/>
      <w:lvlJc w:val="left"/>
      <w:pPr>
        <w:tabs>
          <w:tab w:val="left" w:pos="27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8A0C4E"/>
    <w:multiLevelType w:val="hybridMultilevel"/>
    <w:tmpl w:val="318E78DC"/>
    <w:numStyleLink w:val="ImportedStyle4"/>
  </w:abstractNum>
  <w:abstractNum w:abstractNumId="10" w15:restartNumberingAfterBreak="0">
    <w:nsid w:val="3817093C"/>
    <w:multiLevelType w:val="hybridMultilevel"/>
    <w:tmpl w:val="DF44B542"/>
    <w:styleLink w:val="ImportedStyle6"/>
    <w:lvl w:ilvl="0" w:tplc="2E38901E">
      <w:start w:val="1"/>
      <w:numFmt w:val="bullet"/>
      <w:lvlText w:val="·"/>
      <w:lvlJc w:val="left"/>
      <w:pPr>
        <w:ind w:left="54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8015FA">
      <w:start w:val="1"/>
      <w:numFmt w:val="bullet"/>
      <w:lvlText w:val="o"/>
      <w:lvlJc w:val="left"/>
      <w:pPr>
        <w:tabs>
          <w:tab w:val="left" w:pos="540"/>
        </w:tabs>
        <w:ind w:left="1188"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489B98">
      <w:start w:val="1"/>
      <w:numFmt w:val="bullet"/>
      <w:lvlText w:val="▪"/>
      <w:lvlJc w:val="left"/>
      <w:pPr>
        <w:tabs>
          <w:tab w:val="left" w:pos="540"/>
        </w:tabs>
        <w:ind w:left="1908"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1C41DC">
      <w:start w:val="1"/>
      <w:numFmt w:val="bullet"/>
      <w:lvlText w:val="·"/>
      <w:lvlJc w:val="left"/>
      <w:pPr>
        <w:tabs>
          <w:tab w:val="left" w:pos="540"/>
        </w:tabs>
        <w:ind w:left="2628"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1EB83E">
      <w:start w:val="1"/>
      <w:numFmt w:val="bullet"/>
      <w:lvlText w:val="o"/>
      <w:lvlJc w:val="left"/>
      <w:pPr>
        <w:tabs>
          <w:tab w:val="left" w:pos="540"/>
        </w:tabs>
        <w:ind w:left="3348"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46A364">
      <w:start w:val="1"/>
      <w:numFmt w:val="bullet"/>
      <w:lvlText w:val="▪"/>
      <w:lvlJc w:val="left"/>
      <w:pPr>
        <w:tabs>
          <w:tab w:val="left" w:pos="540"/>
        </w:tabs>
        <w:ind w:left="4068"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C008AC">
      <w:start w:val="1"/>
      <w:numFmt w:val="bullet"/>
      <w:lvlText w:val="·"/>
      <w:lvlJc w:val="left"/>
      <w:pPr>
        <w:tabs>
          <w:tab w:val="left" w:pos="540"/>
        </w:tabs>
        <w:ind w:left="4788"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6F368">
      <w:start w:val="1"/>
      <w:numFmt w:val="bullet"/>
      <w:lvlText w:val="o"/>
      <w:lvlJc w:val="left"/>
      <w:pPr>
        <w:tabs>
          <w:tab w:val="left" w:pos="540"/>
        </w:tabs>
        <w:ind w:left="5508"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E64980">
      <w:start w:val="1"/>
      <w:numFmt w:val="bullet"/>
      <w:lvlText w:val="▪"/>
      <w:lvlJc w:val="left"/>
      <w:pPr>
        <w:tabs>
          <w:tab w:val="left" w:pos="540"/>
        </w:tabs>
        <w:ind w:left="6228"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7B11E0"/>
    <w:multiLevelType w:val="hybridMultilevel"/>
    <w:tmpl w:val="FD3A63F0"/>
    <w:styleLink w:val="ImportedStyle5"/>
    <w:lvl w:ilvl="0" w:tplc="7F74E844">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F87EAFEC">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6B7ABDC0">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1FAC757E">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C15C8C7A">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B94AC27C">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B09A8702">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F0F0A858">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DD22126E">
      <w:start w:val="1"/>
      <w:numFmt w:val="bullet"/>
      <w:lvlText w:val="·"/>
      <w:lvlJc w:val="left"/>
      <w:pPr>
        <w:tabs>
          <w:tab w:val="left" w:pos="600"/>
        </w:tabs>
        <w:ind w:left="50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12" w15:restartNumberingAfterBreak="0">
    <w:nsid w:val="420631D8"/>
    <w:multiLevelType w:val="hybridMultilevel"/>
    <w:tmpl w:val="BF4C6916"/>
    <w:lvl w:ilvl="0" w:tplc="B7305B3E">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215EF"/>
    <w:multiLevelType w:val="hybridMultilevel"/>
    <w:tmpl w:val="59EE8576"/>
    <w:numStyleLink w:val="ImportedStyle3"/>
  </w:abstractNum>
  <w:abstractNum w:abstractNumId="14" w15:restartNumberingAfterBreak="0">
    <w:nsid w:val="50800717"/>
    <w:multiLevelType w:val="hybridMultilevel"/>
    <w:tmpl w:val="FCDC4D50"/>
    <w:numStyleLink w:val="ImportedStyle9"/>
  </w:abstractNum>
  <w:abstractNum w:abstractNumId="15" w15:restartNumberingAfterBreak="0">
    <w:nsid w:val="53C505B9"/>
    <w:multiLevelType w:val="hybridMultilevel"/>
    <w:tmpl w:val="59EE8576"/>
    <w:styleLink w:val="ImportedStyle3"/>
    <w:lvl w:ilvl="0" w:tplc="7D0E226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2222C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A8FCEE">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7184F6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269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C2DD44">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1E6F70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1E03F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3E8226">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ACA1958"/>
    <w:multiLevelType w:val="multilevel"/>
    <w:tmpl w:val="6E4CC120"/>
    <w:numStyleLink w:val="ImportedStyle1"/>
  </w:abstractNum>
  <w:abstractNum w:abstractNumId="17" w15:restartNumberingAfterBreak="0">
    <w:nsid w:val="6B1C6A94"/>
    <w:multiLevelType w:val="hybridMultilevel"/>
    <w:tmpl w:val="AB78AB64"/>
    <w:numStyleLink w:val="ImportedStyle8"/>
  </w:abstractNum>
  <w:abstractNum w:abstractNumId="18" w15:restartNumberingAfterBreak="0">
    <w:nsid w:val="703273BA"/>
    <w:multiLevelType w:val="hybridMultilevel"/>
    <w:tmpl w:val="FD3A63F0"/>
    <w:numStyleLink w:val="ImportedStyle5"/>
  </w:abstractNum>
  <w:abstractNum w:abstractNumId="19" w15:restartNumberingAfterBreak="0">
    <w:nsid w:val="705E0E1A"/>
    <w:multiLevelType w:val="hybridMultilevel"/>
    <w:tmpl w:val="42D43C8A"/>
    <w:styleLink w:val="ImportedStyle7"/>
    <w:lvl w:ilvl="0" w:tplc="F160AA2C">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1" w:tplc="DFDEFA82">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2" w:tplc="F1F4E02C">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3" w:tplc="96721634">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4" w:tplc="4EF8FE96">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5" w:tplc="4A9E0A8C">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6" w:tplc="148CB1A0">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7" w:tplc="D4DECE5A">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 w:ilvl="8" w:tplc="D41A7FA2">
      <w:start w:val="1"/>
      <w:numFmt w:val="bullet"/>
      <w:suff w:val="nothing"/>
      <w:lvlText w:val="*"/>
      <w:lvlJc w:val="left"/>
      <w:pPr>
        <w:tabs>
          <w:tab w:val="left" w:pos="480"/>
        </w:tabs>
        <w:ind w:left="50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36D5EAF"/>
    <w:multiLevelType w:val="hybridMultilevel"/>
    <w:tmpl w:val="6E4CC120"/>
    <w:styleLink w:val="ImportedStyle1"/>
    <w:lvl w:ilvl="0" w:tplc="8C680F76">
      <w:start w:val="1"/>
      <w:numFmt w:val="low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6DCC9AD0">
      <w:start w:val="1"/>
      <w:numFmt w:val="lowerLetter"/>
      <w:lvlText w:val="%2."/>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97A4ED2E">
      <w:start w:val="1"/>
      <w:numFmt w:val="lowerRoman"/>
      <w:lvlText w:val="%3."/>
      <w:lvlJc w:val="left"/>
      <w:pPr>
        <w:ind w:left="252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C178C6B8">
      <w:start w:val="1"/>
      <w:numFmt w:val="decimal"/>
      <w:lvlText w:val="%4."/>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6C2FB68">
      <w:start w:val="1"/>
      <w:numFmt w:val="lowerLetter"/>
      <w:lvlText w:val="%5."/>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6CDE1A1C">
      <w:start w:val="1"/>
      <w:numFmt w:val="lowerRoman"/>
      <w:lvlText w:val="%6."/>
      <w:lvlJc w:val="left"/>
      <w:pPr>
        <w:ind w:left="468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FF2CC380">
      <w:start w:val="1"/>
      <w:numFmt w:val="decimal"/>
      <w:lvlText w:val="%7."/>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88EE7682">
      <w:start w:val="1"/>
      <w:numFmt w:val="lowerLetter"/>
      <w:lvlText w:val="%8."/>
      <w:lvlJc w:val="left"/>
      <w:pPr>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FCD66920">
      <w:start w:val="1"/>
      <w:numFmt w:val="lowerRoman"/>
      <w:lvlText w:val="%9."/>
      <w:lvlJc w:val="left"/>
      <w:pPr>
        <w:ind w:left="684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6"/>
  </w:num>
  <w:num w:numId="3">
    <w:abstractNumId w:val="3"/>
  </w:num>
  <w:num w:numId="4">
    <w:abstractNumId w:val="5"/>
  </w:num>
  <w:num w:numId="5">
    <w:abstractNumId w:val="16"/>
    <w:lvlOverride w:ilvl="0">
      <w:startOverride w:val="2"/>
    </w:lvlOverride>
  </w:num>
  <w:num w:numId="6">
    <w:abstractNumId w:val="15"/>
  </w:num>
  <w:num w:numId="7">
    <w:abstractNumId w:val="13"/>
  </w:num>
  <w:num w:numId="8">
    <w:abstractNumId w:val="6"/>
  </w:num>
  <w:num w:numId="9">
    <w:abstractNumId w:val="9"/>
  </w:num>
  <w:num w:numId="10">
    <w:abstractNumId w:val="9"/>
    <w:lvlOverride w:ilvl="0">
      <w:lvl w:ilvl="0" w:tplc="0F348386">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EB272FE">
        <w:start w:val="1"/>
        <w:numFmt w:val="lowerLetter"/>
        <w:lvlText w:val="%2."/>
        <w:lvlJc w:val="left"/>
        <w:pPr>
          <w:tabs>
            <w:tab w:val="left" w:pos="72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C9C0B50">
        <w:start w:val="1"/>
        <w:numFmt w:val="lowerRoman"/>
        <w:lvlText w:val="%3."/>
        <w:lvlJc w:val="left"/>
        <w:pPr>
          <w:tabs>
            <w:tab w:val="left" w:pos="720"/>
          </w:tabs>
          <w:ind w:left="21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8A4B136">
        <w:start w:val="1"/>
        <w:numFmt w:val="decimal"/>
        <w:lvlText w:val="%4."/>
        <w:lvlJc w:val="left"/>
        <w:pPr>
          <w:tabs>
            <w:tab w:val="left" w:pos="72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A5A4122">
        <w:start w:val="1"/>
        <w:numFmt w:val="lowerLetter"/>
        <w:lvlText w:val="%5."/>
        <w:lvlJc w:val="left"/>
        <w:pPr>
          <w:tabs>
            <w:tab w:val="left" w:pos="72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1C38E04A">
        <w:start w:val="1"/>
        <w:numFmt w:val="lowerRoman"/>
        <w:lvlText w:val="%6."/>
        <w:lvlJc w:val="left"/>
        <w:pPr>
          <w:tabs>
            <w:tab w:val="left" w:pos="720"/>
          </w:tabs>
          <w:ind w:left="43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15FCB060">
        <w:start w:val="1"/>
        <w:numFmt w:val="decimal"/>
        <w:lvlText w:val="%7."/>
        <w:lvlJc w:val="left"/>
        <w:pPr>
          <w:tabs>
            <w:tab w:val="left" w:pos="72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BD6D97E">
        <w:start w:val="1"/>
        <w:numFmt w:val="lowerLetter"/>
        <w:lvlText w:val="%8."/>
        <w:lvlJc w:val="left"/>
        <w:pPr>
          <w:tabs>
            <w:tab w:val="left" w:pos="72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E2E3BE2">
        <w:start w:val="1"/>
        <w:numFmt w:val="lowerRoman"/>
        <w:lvlText w:val="%9."/>
        <w:lvlJc w:val="left"/>
        <w:pPr>
          <w:tabs>
            <w:tab w:val="left" w:pos="720"/>
          </w:tabs>
          <w:ind w:left="65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1">
    <w:abstractNumId w:val="16"/>
    <w:lvlOverride w:ilvl="0">
      <w:startOverride w:val="3"/>
    </w:lvlOverride>
  </w:num>
  <w:num w:numId="12">
    <w:abstractNumId w:val="11"/>
  </w:num>
  <w:num w:numId="13">
    <w:abstractNumId w:val="18"/>
  </w:num>
  <w:num w:numId="14">
    <w:abstractNumId w:val="10"/>
  </w:num>
  <w:num w:numId="15">
    <w:abstractNumId w:val="4"/>
  </w:num>
  <w:num w:numId="16">
    <w:abstractNumId w:val="19"/>
  </w:num>
  <w:num w:numId="17">
    <w:abstractNumId w:val="2"/>
  </w:num>
  <w:num w:numId="18">
    <w:abstractNumId w:val="1"/>
  </w:num>
  <w:num w:numId="19">
    <w:abstractNumId w:val="17"/>
  </w:num>
  <w:num w:numId="20">
    <w:abstractNumId w:val="17"/>
    <w:lvlOverride w:ilvl="0">
      <w:lvl w:ilvl="0" w:tplc="F1D8994A">
        <w:start w:val="1"/>
        <w:numFmt w:val="bullet"/>
        <w:lvlText w:val="·"/>
        <w:lvlJc w:val="left"/>
        <w:pPr>
          <w:ind w:left="9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8819E6">
        <w:start w:val="1"/>
        <w:numFmt w:val="bullet"/>
        <w:lvlText w:val="o"/>
        <w:lvlJc w:val="left"/>
        <w:pPr>
          <w:ind w:left="17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E09AE8">
        <w:start w:val="1"/>
        <w:numFmt w:val="bullet"/>
        <w:lvlText w:val="▪"/>
        <w:lvlJc w:val="left"/>
        <w:pPr>
          <w:ind w:left="24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EEE88E">
        <w:start w:val="1"/>
        <w:numFmt w:val="bullet"/>
        <w:lvlText w:val="·"/>
        <w:lvlJc w:val="left"/>
        <w:pPr>
          <w:ind w:left="31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046C08">
        <w:start w:val="1"/>
        <w:numFmt w:val="bullet"/>
        <w:lvlText w:val="o"/>
        <w:lvlJc w:val="left"/>
        <w:pPr>
          <w:ind w:left="38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446454">
        <w:start w:val="1"/>
        <w:numFmt w:val="bullet"/>
        <w:lvlText w:val="▪"/>
        <w:lvlJc w:val="left"/>
        <w:pPr>
          <w:ind w:left="4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F2C7EC0">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E680316">
        <w:start w:val="1"/>
        <w:numFmt w:val="bullet"/>
        <w:lvlText w:val="o"/>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F21812">
        <w:start w:val="1"/>
        <w:numFmt w:val="bullet"/>
        <w:lvlText w:val="▪"/>
        <w:lvlJc w:val="left"/>
        <w:pPr>
          <w:ind w:left="6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8"/>
  </w:num>
  <w:num w:numId="22">
    <w:abstractNumId w:val="14"/>
  </w:num>
  <w:num w:numId="23">
    <w:abstractNumId w:val="7"/>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7A"/>
    <w:rsid w:val="0001477C"/>
    <w:rsid w:val="000179EA"/>
    <w:rsid w:val="0004425D"/>
    <w:rsid w:val="00045F2E"/>
    <w:rsid w:val="000513ED"/>
    <w:rsid w:val="00072E89"/>
    <w:rsid w:val="00075269"/>
    <w:rsid w:val="000B5360"/>
    <w:rsid w:val="000D250C"/>
    <w:rsid w:val="000D64CD"/>
    <w:rsid w:val="000F5179"/>
    <w:rsid w:val="00102283"/>
    <w:rsid w:val="001755B0"/>
    <w:rsid w:val="00195A98"/>
    <w:rsid w:val="001D027A"/>
    <w:rsid w:val="00211BFB"/>
    <w:rsid w:val="00216FE2"/>
    <w:rsid w:val="00243FC5"/>
    <w:rsid w:val="002600A0"/>
    <w:rsid w:val="002644D1"/>
    <w:rsid w:val="00290152"/>
    <w:rsid w:val="00290CA5"/>
    <w:rsid w:val="002C45C6"/>
    <w:rsid w:val="002D4DD4"/>
    <w:rsid w:val="002E3D9F"/>
    <w:rsid w:val="00307007"/>
    <w:rsid w:val="00351734"/>
    <w:rsid w:val="0038126C"/>
    <w:rsid w:val="00385CAF"/>
    <w:rsid w:val="00407484"/>
    <w:rsid w:val="00447BE9"/>
    <w:rsid w:val="004709F4"/>
    <w:rsid w:val="00475442"/>
    <w:rsid w:val="004A3D93"/>
    <w:rsid w:val="004D14DD"/>
    <w:rsid w:val="004F4BE3"/>
    <w:rsid w:val="00535A8E"/>
    <w:rsid w:val="0055762F"/>
    <w:rsid w:val="00563F48"/>
    <w:rsid w:val="005904D6"/>
    <w:rsid w:val="005C0A3C"/>
    <w:rsid w:val="005C43FE"/>
    <w:rsid w:val="005E52D8"/>
    <w:rsid w:val="005E575D"/>
    <w:rsid w:val="006218A6"/>
    <w:rsid w:val="006365DB"/>
    <w:rsid w:val="00655871"/>
    <w:rsid w:val="00694BD0"/>
    <w:rsid w:val="006B6261"/>
    <w:rsid w:val="006C1841"/>
    <w:rsid w:val="006D5714"/>
    <w:rsid w:val="006F69A8"/>
    <w:rsid w:val="0070381F"/>
    <w:rsid w:val="0071661E"/>
    <w:rsid w:val="00721C56"/>
    <w:rsid w:val="00730BAC"/>
    <w:rsid w:val="0073400C"/>
    <w:rsid w:val="00744F68"/>
    <w:rsid w:val="0075456A"/>
    <w:rsid w:val="007E4B3A"/>
    <w:rsid w:val="007F2738"/>
    <w:rsid w:val="00821B69"/>
    <w:rsid w:val="00860E55"/>
    <w:rsid w:val="008633DA"/>
    <w:rsid w:val="0087361A"/>
    <w:rsid w:val="008D1D9F"/>
    <w:rsid w:val="008D2339"/>
    <w:rsid w:val="008F6D52"/>
    <w:rsid w:val="0091513E"/>
    <w:rsid w:val="00915BC2"/>
    <w:rsid w:val="00980D1B"/>
    <w:rsid w:val="009B15D9"/>
    <w:rsid w:val="009B29DF"/>
    <w:rsid w:val="009B704D"/>
    <w:rsid w:val="009F7862"/>
    <w:rsid w:val="00A00ED0"/>
    <w:rsid w:val="00A113B2"/>
    <w:rsid w:val="00AD2DF7"/>
    <w:rsid w:val="00AF0EE7"/>
    <w:rsid w:val="00AF7299"/>
    <w:rsid w:val="00B124D9"/>
    <w:rsid w:val="00B12DD4"/>
    <w:rsid w:val="00B73E44"/>
    <w:rsid w:val="00BA18D5"/>
    <w:rsid w:val="00BA44F1"/>
    <w:rsid w:val="00BC185B"/>
    <w:rsid w:val="00BD51AA"/>
    <w:rsid w:val="00C15EF2"/>
    <w:rsid w:val="00C17235"/>
    <w:rsid w:val="00C25C29"/>
    <w:rsid w:val="00C27BC1"/>
    <w:rsid w:val="00C4212D"/>
    <w:rsid w:val="00C50822"/>
    <w:rsid w:val="00C6714F"/>
    <w:rsid w:val="00C75303"/>
    <w:rsid w:val="00CC2E19"/>
    <w:rsid w:val="00CD7FC8"/>
    <w:rsid w:val="00CE468D"/>
    <w:rsid w:val="00D20497"/>
    <w:rsid w:val="00D27EFC"/>
    <w:rsid w:val="00D41EED"/>
    <w:rsid w:val="00DA4F6A"/>
    <w:rsid w:val="00DB7697"/>
    <w:rsid w:val="00E0423B"/>
    <w:rsid w:val="00E060A2"/>
    <w:rsid w:val="00E222A2"/>
    <w:rsid w:val="00E242B0"/>
    <w:rsid w:val="00E342D3"/>
    <w:rsid w:val="00E34EDE"/>
    <w:rsid w:val="00E712FD"/>
    <w:rsid w:val="00E968D6"/>
    <w:rsid w:val="00EF6A97"/>
    <w:rsid w:val="00F373BC"/>
    <w:rsid w:val="00F42F22"/>
    <w:rsid w:val="00FA2198"/>
    <w:rsid w:val="00FB5873"/>
    <w:rsid w:val="00FE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FB39"/>
  <w15:docId w15:val="{AC8101EB-AE21-4B53-8C19-48E05098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uiPriority w:val="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cs="Arial Unicode MS"/>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Indent">
    <w:name w:val="Body Text Indent"/>
    <w:pPr>
      <w:keepLines/>
      <w:tabs>
        <w:tab w:val="left" w:pos="360"/>
      </w:tabs>
      <w:spacing w:after="80"/>
      <w:ind w:left="360" w:hanging="360"/>
    </w:pPr>
    <w:rPr>
      <w:rFonts w:cs="Arial Unicode MS"/>
      <w:color w:val="000000"/>
      <w:sz w:val="22"/>
      <w:szCs w:val="22"/>
      <w:u w:color="000000"/>
    </w:rPr>
  </w:style>
  <w:style w:type="paragraph" w:styleId="BodyTextIndent2">
    <w:name w:val="Body Text Indent 2"/>
    <w:pPr>
      <w:keepLines/>
      <w:tabs>
        <w:tab w:val="left" w:pos="360"/>
      </w:tabs>
      <w:spacing w:after="80"/>
      <w:ind w:left="360"/>
    </w:pPr>
    <w:rPr>
      <w:rFonts w:cs="Arial Unicode MS"/>
      <w:color w:val="000000"/>
      <w:sz w:val="22"/>
      <w:szCs w:val="22"/>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2">
    <w:name w:val="Imported Style 2"/>
    <w:pPr>
      <w:numPr>
        <w:numId w:val="3"/>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1F4E79"/>
      <w:sz w:val="22"/>
      <w:szCs w:val="22"/>
      <w:u w:val="single" w:color="1F4E79"/>
      <w:shd w:val="clear" w:color="auto" w:fill="FFFF00"/>
    </w:rPr>
  </w:style>
  <w:style w:type="paragraph" w:styleId="FootnoteText">
    <w:name w:val="footnote text"/>
    <w:rPr>
      <w:rFonts w:eastAsia="Times New Roman"/>
      <w:color w:val="000000"/>
      <w:sz w:val="24"/>
      <w:szCs w:val="24"/>
      <w:u w:color="000000"/>
    </w:r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numbering" w:customStyle="1" w:styleId="ImportedStyle9">
    <w:name w:val="Imported Style 9"/>
    <w:pPr>
      <w:numPr>
        <w:numId w:val="21"/>
      </w:numPr>
    </w:pPr>
  </w:style>
  <w:style w:type="character" w:customStyle="1" w:styleId="Hyperlink1">
    <w:name w:val="Hyperlink.1"/>
    <w:basedOn w:val="Link"/>
    <w:rPr>
      <w:outline w:val="0"/>
      <w:color w:val="0000FF"/>
      <w:sz w:val="22"/>
      <w:szCs w:val="22"/>
      <w:u w:val="single" w:color="0000FF"/>
      <w:shd w:val="clear" w:color="auto" w:fill="FFFF00"/>
    </w:rPr>
  </w:style>
  <w:style w:type="numbering" w:customStyle="1" w:styleId="ImportedStyle10">
    <w:name w:val="Imported Style 10"/>
    <w:pPr>
      <w:numPr>
        <w:numId w:val="2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7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862"/>
    <w:rPr>
      <w:rFonts w:ascii="Segoe UI" w:hAnsi="Segoe UI" w:cs="Segoe UI"/>
      <w:color w:val="000000"/>
      <w:sz w:val="18"/>
      <w:szCs w:val="18"/>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243FC5"/>
    <w:pPr>
      <w:tabs>
        <w:tab w:val="center" w:pos="4680"/>
        <w:tab w:val="right" w:pos="9360"/>
      </w:tabs>
    </w:pPr>
  </w:style>
  <w:style w:type="character" w:customStyle="1" w:styleId="HeaderChar">
    <w:name w:val="Header Char"/>
    <w:basedOn w:val="DefaultParagraphFont"/>
    <w:link w:val="Header"/>
    <w:uiPriority w:val="99"/>
    <w:rsid w:val="00243FC5"/>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243FC5"/>
    <w:pPr>
      <w:tabs>
        <w:tab w:val="center" w:pos="4680"/>
        <w:tab w:val="right" w:pos="9360"/>
      </w:tabs>
    </w:pPr>
  </w:style>
  <w:style w:type="character" w:customStyle="1" w:styleId="FooterChar">
    <w:name w:val="Footer Char"/>
    <w:basedOn w:val="DefaultParagraphFont"/>
    <w:link w:val="Footer"/>
    <w:uiPriority w:val="99"/>
    <w:rsid w:val="00243FC5"/>
    <w:rPr>
      <w:rFonts w:cs="Arial Unicode MS"/>
      <w:color w:val="000000"/>
      <w:sz w:val="24"/>
      <w:szCs w:val="24"/>
      <w:u w:color="000000"/>
      <w14:textOutline w14:w="0" w14:cap="flat" w14:cmpd="sng" w14:algn="ctr">
        <w14:noFill/>
        <w14:prstDash w14:val="solid"/>
        <w14:bevel/>
      </w14:textOutline>
    </w:rPr>
  </w:style>
  <w:style w:type="character" w:styleId="Strong">
    <w:name w:val="Strong"/>
    <w:uiPriority w:val="22"/>
    <w:qFormat/>
    <w:rsid w:val="00730BAC"/>
    <w:rPr>
      <w:b/>
      <w:bCs/>
    </w:rPr>
  </w:style>
  <w:style w:type="paragraph" w:styleId="CommentSubject">
    <w:name w:val="annotation subject"/>
    <w:basedOn w:val="CommentText"/>
    <w:next w:val="CommentText"/>
    <w:link w:val="CommentSubjectChar"/>
    <w:uiPriority w:val="99"/>
    <w:semiHidden/>
    <w:unhideWhenUsed/>
    <w:rsid w:val="00C17235"/>
    <w:rPr>
      <w:b/>
      <w:bCs/>
    </w:rPr>
  </w:style>
  <w:style w:type="character" w:customStyle="1" w:styleId="CommentSubjectChar">
    <w:name w:val="Comment Subject Char"/>
    <w:basedOn w:val="CommentTextChar"/>
    <w:link w:val="CommentSubject"/>
    <w:uiPriority w:val="99"/>
    <w:semiHidden/>
    <w:rsid w:val="00C17235"/>
    <w:rPr>
      <w:rFonts w:cs="Arial Unicode MS"/>
      <w:b/>
      <w:bCs/>
      <w:color w:val="000000"/>
      <w:u w:color="000000"/>
      <w14:textOutline w14:w="0" w14:cap="flat" w14:cmpd="sng" w14:algn="ctr">
        <w14:noFill/>
        <w14:prstDash w14:val="solid"/>
        <w14:bevel/>
      </w14:textOutline>
    </w:rPr>
  </w:style>
  <w:style w:type="paragraph" w:styleId="Revision">
    <w:name w:val="Revision"/>
    <w:hidden/>
    <w:uiPriority w:val="99"/>
    <w:semiHidden/>
    <w:rsid w:val="00C1723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code.house.gov/statutes/pl/112/5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nsp/nsp-laws-regulations-and-federal-register-notices/" TargetMode="External"/><Relationship Id="rId17" Type="http://schemas.openxmlformats.org/officeDocument/2006/relationships/hyperlink" Target="https://www.hudexchange.info/programs/drgr/" TargetMode="External"/><Relationship Id="rId2" Type="http://schemas.openxmlformats.org/officeDocument/2006/relationships/customXml" Target="../customXml/item2.xml"/><Relationship Id="rId16" Type="http://schemas.openxmlformats.org/officeDocument/2006/relationships/hyperlink" Target="http://www.hud.gov/recov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cdbg-dr/cdbg-dr-laws-regulations-and-federal-register-notices/" TargetMode="External"/><Relationship Id="rId5" Type="http://schemas.openxmlformats.org/officeDocument/2006/relationships/numbering" Target="numbering.xml"/><Relationship Id="rId15" Type="http://schemas.openxmlformats.org/officeDocument/2006/relationships/hyperlink" Target="http://www.recovery.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code.house.gov/statutes/pl/103/120.pdf"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18AD64EF1754BA47E4F0DD74839EF" ma:contentTypeVersion="13" ma:contentTypeDescription="Create a new document." ma:contentTypeScope="" ma:versionID="06b90ab0ac869a80d0a2a557eb05046e">
  <xsd:schema xmlns:xsd="http://www.w3.org/2001/XMLSchema" xmlns:xs="http://www.w3.org/2001/XMLSchema" xmlns:p="http://schemas.microsoft.com/office/2006/metadata/properties" xmlns:ns1="http://schemas.microsoft.com/sharepoint/v3" xmlns:ns3="366e69ad-3867-4195-afcc-b211a10a8bad" xmlns:ns4="a9ec00d1-7c6e-4306-99a3-ac646eba957f" targetNamespace="http://schemas.microsoft.com/office/2006/metadata/properties" ma:root="true" ma:fieldsID="fe2154a7e654cb3025700f785fb808af" ns1:_="" ns3:_="" ns4:_="">
    <xsd:import namespace="http://schemas.microsoft.com/sharepoint/v3"/>
    <xsd:import namespace="366e69ad-3867-4195-afcc-b211a10a8bad"/>
    <xsd:import namespace="a9ec00d1-7c6e-4306-99a3-ac646eba95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69ad-3867-4195-afcc-b211a10a8b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c00d1-7c6e-4306-99a3-ac646eba9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2533D-A774-4B68-B043-F24D82C7678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1631CA-AB1B-40D8-B601-49F4DC50F506}">
  <ds:schemaRefs>
    <ds:schemaRef ds:uri="http://schemas.microsoft.com/sharepoint/v3/contenttype/forms"/>
  </ds:schemaRefs>
</ds:datastoreItem>
</file>

<file path=customXml/itemProps3.xml><?xml version="1.0" encoding="utf-8"?>
<ds:datastoreItem xmlns:ds="http://schemas.openxmlformats.org/officeDocument/2006/customXml" ds:itemID="{5904A8B4-16CF-44F8-AF10-214909D2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e69ad-3867-4195-afcc-b211a10a8bad"/>
    <ds:schemaRef ds:uri="a9ec00d1-7c6e-4306-99a3-ac646eba9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EF4C5-DE1F-4717-B46A-22996D65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5215</Words>
  <Characters>29731</Characters>
  <Application>Microsoft Office Word</Application>
  <DocSecurity>0</DocSecurity>
  <Lines>247</Lines>
  <Paragraphs>69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Supporting Statement for Paperwork Reduction Act Submissions</vt:lpstr>
    </vt:vector>
  </TitlesOfParts>
  <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Castle, James R</dc:creator>
  <cp:lastModifiedBy>Johnson, Urnell</cp:lastModifiedBy>
  <cp:revision>2</cp:revision>
  <cp:lastPrinted>2020-02-12T19:38:00Z</cp:lastPrinted>
  <dcterms:created xsi:type="dcterms:W3CDTF">2020-04-30T16:37:00Z</dcterms:created>
  <dcterms:modified xsi:type="dcterms:W3CDTF">2020-04-30T16:37:00Z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0x010100D9B18AD64EF1754BA47E4F0DD74839EF</vt:lpwstr>
  </property>
</Properties>
</file>