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1D4" w:rsidRDefault="004C41D4">
      <w:pPr>
        <w:suppressAutoHyphens/>
        <w:rPr>
          <w:rFonts w:ascii="Times New Roman" w:hAnsi="Times New Roman"/>
        </w:rPr>
      </w:pPr>
      <w:r>
        <w:rPr>
          <w:rFonts w:ascii="Times New Roman" w:hAnsi="Times New Roman"/>
        </w:rPr>
        <w:t>SUPPORTING STATEMENT FOR NEW AND REVISED INFORMATION COLLECTIONS</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4C41D4" w:rsidRDefault="004C41D4">
      <w:pPr>
        <w:suppressAutoHyphens/>
        <w:rPr>
          <w:rFonts w:ascii="Times New Roman" w:hAnsi="Times New Roman"/>
        </w:rPr>
      </w:pPr>
    </w:p>
    <w:p w:rsidR="004C41D4" w:rsidRDefault="004C41D4">
      <w:pPr>
        <w:tabs>
          <w:tab w:val="center" w:pos="4680"/>
        </w:tabs>
        <w:suppressAutoHyphens/>
        <w:rPr>
          <w:rFonts w:ascii="Times New Roman" w:hAnsi="Times New Roman"/>
        </w:rPr>
      </w:pPr>
      <w:r>
        <w:rPr>
          <w:rFonts w:ascii="Times New Roman" w:hAnsi="Times New Roman"/>
        </w:rPr>
        <w:tab/>
        <w:t>OMB CONTROL NUMBER 3038-0025</w:t>
      </w:r>
    </w:p>
    <w:p w:rsidR="004C41D4" w:rsidRDefault="004C41D4">
      <w:pPr>
        <w:tabs>
          <w:tab w:val="left" w:pos="-720"/>
        </w:tabs>
        <w:suppressAutoHyphens/>
        <w:rPr>
          <w:rFonts w:ascii="Times New Roman" w:hAnsi="Times New Roman"/>
        </w:rPr>
      </w:pPr>
    </w:p>
    <w:p w:rsidR="004C41D4" w:rsidRDefault="004C41D4">
      <w:pPr>
        <w:tabs>
          <w:tab w:val="left" w:pos="-720"/>
        </w:tabs>
        <w:suppressAutoHyphens/>
        <w:rPr>
          <w:rFonts w:ascii="Times New Roman" w:hAnsi="Times New Roman"/>
        </w:rPr>
      </w:pPr>
      <w:r>
        <w:rPr>
          <w:rFonts w:ascii="Times New Roman" w:hAnsi="Times New Roman"/>
          <w:u w:val="single"/>
        </w:rPr>
        <w:t>Justification</w:t>
      </w:r>
    </w:p>
    <w:p w:rsidR="004C41D4" w:rsidRDefault="004C41D4">
      <w:pPr>
        <w:tabs>
          <w:tab w:val="left" w:pos="-720"/>
        </w:tabs>
        <w:suppressAutoHyphens/>
        <w:rPr>
          <w:rFonts w:ascii="Times New Roman" w:hAnsi="Times New Roman"/>
        </w:rPr>
      </w:pPr>
    </w:p>
    <w:p w:rsidR="004C41D4" w:rsidRDefault="004C41D4">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004C41D4" w:rsidRDefault="004C41D4">
      <w:pPr>
        <w:tabs>
          <w:tab w:val="left" w:pos="-720"/>
          <w:tab w:val="left" w:pos="0"/>
        </w:tabs>
        <w:suppressAutoHyphens/>
        <w:ind w:left="720" w:hanging="720"/>
        <w:rPr>
          <w:rFonts w:ascii="Times New Roman" w:hAnsi="Times New Roman"/>
        </w:rPr>
      </w:pPr>
      <w:r>
        <w:rPr>
          <w:rFonts w:ascii="Times New Roman" w:hAnsi="Times New Roman"/>
        </w:rPr>
        <w:tab/>
      </w:r>
    </w:p>
    <w:p w:rsidR="004C41D4" w:rsidRDefault="004C41D4">
      <w:pPr>
        <w:tabs>
          <w:tab w:val="left" w:pos="-720"/>
        </w:tabs>
        <w:suppressAutoHyphens/>
        <w:rPr>
          <w:rFonts w:ascii="Times New Roman" w:hAnsi="Times New Roman"/>
        </w:rPr>
      </w:pPr>
      <w:r>
        <w:rPr>
          <w:rFonts w:ascii="Times New Roman" w:hAnsi="Times New Roman"/>
        </w:rPr>
        <w:tab/>
        <w:t xml:space="preserve">The Information collected pursuant to 17 C.F.R § 140.735-6 concerning the practice by former members and employees of the Commodity Futures Trading Commission before the Commission is required to keep the Commission aware of any conflicts of interest that may exist, and to ensure compliance with the requirements of 18 U.S.C. § 207 concerning restrictions in this regard placed upon certain former federal members and employees.  In order for the Commission to regulate the practice before it by its former members and employees, 17 C.F.R § 140.735-6(e) generally requires former members and employees who are employed or retained to represent any person before the Commission within two years of the termination of their CFTC employment to file a brief written statement with the Commission’s Office of General Counsel regarding that representation.  </w:t>
      </w:r>
    </w:p>
    <w:p w:rsidR="004C41D4" w:rsidRDefault="004C41D4">
      <w:pPr>
        <w:tabs>
          <w:tab w:val="left" w:pos="-720"/>
        </w:tabs>
        <w:suppressAutoHyphens/>
        <w:rPr>
          <w:rFonts w:ascii="Times New Roman" w:hAnsi="Times New Roman"/>
        </w:rPr>
      </w:pPr>
      <w:r>
        <w:rPr>
          <w:rFonts w:ascii="Times New Roman" w:hAnsi="Times New Roman"/>
        </w:rPr>
        <w:tab/>
        <w:t xml:space="preserve"> </w:t>
      </w:r>
    </w:p>
    <w:p w:rsidR="004C41D4" w:rsidRDefault="004C41D4">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whom, and for what purpose the date would be used.  Except for a new collection, indicate the actual use the agency has made of the information received from the current collection</w:t>
      </w:r>
      <w:r>
        <w:rPr>
          <w:rFonts w:ascii="Times New Roman" w:hAnsi="Times New Roman"/>
        </w:rPr>
        <w:t>.</w:t>
      </w:r>
    </w:p>
    <w:p w:rsidR="004C41D4" w:rsidRDefault="004C41D4">
      <w:pPr>
        <w:tabs>
          <w:tab w:val="left" w:pos="-720"/>
        </w:tabs>
        <w:suppressAutoHyphens/>
        <w:ind w:left="720" w:hanging="720"/>
        <w:rPr>
          <w:rFonts w:ascii="Times New Roman" w:hAnsi="Times New Roman"/>
        </w:rPr>
      </w:pPr>
      <w:r>
        <w:rPr>
          <w:rFonts w:ascii="Times New Roman" w:hAnsi="Times New Roman"/>
        </w:rPr>
        <w:tab/>
      </w:r>
    </w:p>
    <w:p w:rsidR="004C41D4" w:rsidRDefault="004C41D4">
      <w:pPr>
        <w:tabs>
          <w:tab w:val="left" w:pos="-720"/>
        </w:tabs>
        <w:suppressAutoHyphens/>
        <w:rPr>
          <w:rFonts w:ascii="Times New Roman" w:hAnsi="Times New Roman"/>
        </w:rPr>
      </w:pPr>
      <w:r>
        <w:rPr>
          <w:rFonts w:ascii="Times New Roman" w:hAnsi="Times New Roman"/>
        </w:rPr>
        <w:tab/>
        <w:t>As noted above, the information required to be furnished pursuant to 17 C.F.R § 140.735-6(e) is used by the Commission’s Office of General Counsel to monitor compliance with the proscriptions upon the appearance before the Commission of its former members and employees as set forth in that rule as well as in 18 U.S.C. § 207.  Disclosures made pursuant to the rule are circulated to the Commissioners and to CFTC division directors.</w:t>
      </w:r>
    </w:p>
    <w:p w:rsidR="004C41D4" w:rsidRDefault="004C41D4">
      <w:pPr>
        <w:tabs>
          <w:tab w:val="left" w:pos="-720"/>
          <w:tab w:val="left" w:pos="0"/>
        </w:tabs>
        <w:suppressAutoHyphens/>
        <w:ind w:left="720" w:hanging="720"/>
        <w:rPr>
          <w:rFonts w:ascii="Times New Roman" w:hAnsi="Times New Roman"/>
        </w:rPr>
      </w:pPr>
    </w:p>
    <w:p w:rsidR="004C41D4" w:rsidRDefault="004C41D4">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C41D4" w:rsidRDefault="004C41D4">
      <w:pPr>
        <w:tabs>
          <w:tab w:val="left" w:pos="-720"/>
          <w:tab w:val="left" w:pos="0"/>
        </w:tabs>
        <w:suppressAutoHyphens/>
        <w:ind w:left="720" w:hanging="720"/>
        <w:rPr>
          <w:rFonts w:ascii="Times New Roman" w:hAnsi="Times New Roman"/>
        </w:rPr>
      </w:pPr>
    </w:p>
    <w:p w:rsidR="00422E03" w:rsidP="00422E03" w:rsidRDefault="004C41D4">
      <w:pPr>
        <w:tabs>
          <w:tab w:val="left" w:pos="-720"/>
          <w:tab w:val="left" w:pos="0"/>
        </w:tabs>
        <w:suppressAutoHyphens/>
        <w:rPr>
          <w:rFonts w:ascii="Times New Roman" w:hAnsi="Times New Roman"/>
        </w:rPr>
      </w:pPr>
      <w:r>
        <w:rPr>
          <w:rFonts w:ascii="Times New Roman" w:hAnsi="Times New Roman"/>
        </w:rPr>
        <w:tab/>
      </w:r>
      <w:r w:rsidR="00422E03">
        <w:rPr>
          <w:rFonts w:ascii="Times New Roman" w:hAnsi="Times New Roman"/>
        </w:rPr>
        <w:t xml:space="preserve">The collection </w:t>
      </w:r>
      <w:r w:rsidRPr="00664FD9" w:rsidR="00422E03">
        <w:rPr>
          <w:rFonts w:ascii="Times New Roman" w:hAnsi="Times New Roman"/>
        </w:rPr>
        <w:t>utilize</w:t>
      </w:r>
      <w:r w:rsidR="00422E03">
        <w:rPr>
          <w:rFonts w:ascii="Times New Roman" w:hAnsi="Times New Roman"/>
        </w:rPr>
        <w:t>s</w:t>
      </w:r>
      <w:r w:rsidRPr="00664FD9" w:rsidR="00422E03">
        <w:rPr>
          <w:rFonts w:ascii="Times New Roman" w:hAnsi="Times New Roman"/>
        </w:rPr>
        <w:t xml:space="preserve"> technology and systems for the purposes of validating, verifying, processing</w:t>
      </w:r>
      <w:r w:rsidR="00422E03">
        <w:rPr>
          <w:rFonts w:ascii="Times New Roman" w:hAnsi="Times New Roman"/>
        </w:rPr>
        <w:t>,</w:t>
      </w:r>
      <w:r w:rsidRPr="00664FD9" w:rsidR="00422E03">
        <w:rPr>
          <w:rFonts w:ascii="Times New Roman" w:hAnsi="Times New Roman"/>
        </w:rPr>
        <w:t xml:space="preserve"> and disclosing information; </w:t>
      </w:r>
      <w:r w:rsidR="00422E03">
        <w:rPr>
          <w:rFonts w:ascii="Times New Roman" w:hAnsi="Times New Roman"/>
        </w:rPr>
        <w:t xml:space="preserve">in addition to </w:t>
      </w:r>
      <w:r w:rsidRPr="00664FD9" w:rsidR="00422E03">
        <w:rPr>
          <w:rFonts w:ascii="Times New Roman" w:hAnsi="Times New Roman"/>
        </w:rPr>
        <w:t>adjust</w:t>
      </w:r>
      <w:r w:rsidR="00422E03">
        <w:rPr>
          <w:rFonts w:ascii="Times New Roman" w:hAnsi="Times New Roman"/>
        </w:rPr>
        <w:t>ing</w:t>
      </w:r>
      <w:r w:rsidR="00A45B3D">
        <w:rPr>
          <w:rFonts w:ascii="Times New Roman" w:hAnsi="Times New Roman"/>
        </w:rPr>
        <w:t>/updating</w:t>
      </w:r>
      <w:r w:rsidRPr="00664FD9" w:rsidR="00422E03">
        <w:rPr>
          <w:rFonts w:ascii="Times New Roman" w:hAnsi="Times New Roman"/>
        </w:rPr>
        <w:t xml:space="preserve"> existing </w:t>
      </w:r>
      <w:r w:rsidR="00A45B3D">
        <w:rPr>
          <w:rFonts w:ascii="Times New Roman" w:hAnsi="Times New Roman"/>
        </w:rPr>
        <w:t xml:space="preserve">methods </w:t>
      </w:r>
      <w:r w:rsidRPr="00664FD9" w:rsidR="00422E03">
        <w:rPr>
          <w:rFonts w:ascii="Times New Roman" w:hAnsi="Times New Roman"/>
        </w:rPr>
        <w:t>to comply with any previously applicable instructions and requirements</w:t>
      </w:r>
      <w:r w:rsidR="00422E03">
        <w:rPr>
          <w:rFonts w:ascii="Times New Roman" w:hAnsi="Times New Roman"/>
        </w:rPr>
        <w:t>. Due to the efficacy of the technology and systems employed, the paperwork burden imposed on ex-members and ex-employees of the Commission is minimal.</w:t>
      </w:r>
    </w:p>
    <w:p w:rsidRPr="00664FD9" w:rsidR="00422E03" w:rsidP="00422E03" w:rsidRDefault="00422E03">
      <w:pPr>
        <w:spacing w:line="480" w:lineRule="auto"/>
        <w:ind w:firstLine="720"/>
        <w:rPr>
          <w:rFonts w:ascii="Times New Roman" w:hAnsi="Times New Roman"/>
        </w:rPr>
      </w:pPr>
    </w:p>
    <w:p w:rsidR="004C41D4" w:rsidRDefault="004C41D4">
      <w:pPr>
        <w:tabs>
          <w:tab w:val="left" w:pos="-720"/>
          <w:tab w:val="left" w:pos="0"/>
        </w:tabs>
        <w:suppressAutoHyphens/>
        <w:ind w:left="720" w:hanging="720"/>
        <w:rPr>
          <w:rFonts w:ascii="Times New Roman" w:hAnsi="Times New Roman"/>
        </w:rPr>
      </w:pPr>
      <w:r>
        <w:rPr>
          <w:rFonts w:ascii="Times New Roman" w:hAnsi="Times New Roman"/>
        </w:rPr>
        <w:lastRenderedPageBreak/>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422E03" w:rsidRDefault="00422E03">
      <w:pPr>
        <w:tabs>
          <w:tab w:val="left" w:pos="-720"/>
          <w:tab w:val="left" w:pos="0"/>
        </w:tabs>
        <w:suppressAutoHyphens/>
        <w:ind w:left="720" w:hanging="720"/>
        <w:rPr>
          <w:rFonts w:ascii="Times New Roman" w:hAnsi="Times New Roman"/>
        </w:rPr>
      </w:pPr>
    </w:p>
    <w:p w:rsidR="004C41D4" w:rsidRDefault="004C41D4">
      <w:pPr>
        <w:tabs>
          <w:tab w:val="left" w:pos="-720"/>
        </w:tabs>
        <w:suppressAutoHyphens/>
        <w:rPr>
          <w:rFonts w:ascii="Times New Roman" w:hAnsi="Times New Roman"/>
        </w:rPr>
      </w:pPr>
      <w:r>
        <w:rPr>
          <w:rFonts w:ascii="Times New Roman" w:hAnsi="Times New Roman"/>
        </w:rPr>
        <w:tab/>
        <w:t>There is no similar information already available.  However, the rule does provide that an ex-member or ex-employee of the Commission may file a single comprehensive statement with the Commission’s Office of General Counsel applicable to employment to represent a person before the Commission that is of a recurrent nature.</w:t>
      </w:r>
    </w:p>
    <w:p w:rsidR="004C41D4" w:rsidRDefault="004C41D4">
      <w:pPr>
        <w:tabs>
          <w:tab w:val="left" w:pos="-720"/>
        </w:tabs>
        <w:suppressAutoHyphens/>
        <w:rPr>
          <w:rFonts w:ascii="Times New Roman" w:hAnsi="Times New Roman"/>
        </w:rPr>
      </w:pPr>
      <w:r>
        <w:rPr>
          <w:rFonts w:ascii="Times New Roman" w:hAnsi="Times New Roman"/>
        </w:rPr>
        <w:tab/>
      </w:r>
    </w:p>
    <w:p w:rsidR="004C41D4" w:rsidRDefault="004C41D4">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4C41D4" w:rsidRDefault="004C41D4">
      <w:pPr>
        <w:tabs>
          <w:tab w:val="left" w:pos="-720"/>
        </w:tabs>
        <w:suppressAutoHyphens/>
        <w:rPr>
          <w:rFonts w:ascii="Times New Roman" w:hAnsi="Times New Roman"/>
        </w:rPr>
      </w:pPr>
    </w:p>
    <w:p w:rsidR="004C41D4" w:rsidRDefault="004C41D4">
      <w:pPr>
        <w:tabs>
          <w:tab w:val="left" w:pos="-720"/>
        </w:tabs>
        <w:suppressAutoHyphens/>
        <w:rPr>
          <w:rFonts w:ascii="Times New Roman" w:hAnsi="Times New Roman"/>
        </w:rPr>
      </w:pPr>
      <w:r>
        <w:rPr>
          <w:rFonts w:ascii="Times New Roman" w:hAnsi="Times New Roman"/>
        </w:rPr>
        <w:tab/>
        <w:t>The paperwork burden imposed by the rule upon ex-members and ex-employees, who may be small businesses or other small entities, is minimal, requiring only the submission of a brief written statement.</w:t>
      </w:r>
    </w:p>
    <w:p w:rsidR="004C41D4" w:rsidRDefault="004C41D4">
      <w:pPr>
        <w:tabs>
          <w:tab w:val="left" w:pos="-720"/>
        </w:tabs>
        <w:suppressAutoHyphens/>
        <w:rPr>
          <w:rFonts w:ascii="Times New Roman" w:hAnsi="Times New Roman"/>
        </w:rPr>
      </w:pPr>
      <w:r>
        <w:rPr>
          <w:rFonts w:ascii="Times New Roman" w:hAnsi="Times New Roman"/>
        </w:rPr>
        <w:tab/>
      </w:r>
    </w:p>
    <w:p w:rsidR="004C41D4" w:rsidRDefault="004C41D4">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4C41D4" w:rsidRDefault="004C41D4">
      <w:pPr>
        <w:tabs>
          <w:tab w:val="left" w:pos="-720"/>
        </w:tabs>
        <w:suppressAutoHyphens/>
        <w:rPr>
          <w:rFonts w:ascii="Times New Roman" w:hAnsi="Times New Roman"/>
        </w:rPr>
      </w:pPr>
    </w:p>
    <w:p w:rsidR="004C41D4" w:rsidRDefault="004C41D4">
      <w:pPr>
        <w:tabs>
          <w:tab w:val="left" w:pos="-720"/>
        </w:tabs>
        <w:suppressAutoHyphens/>
        <w:rPr>
          <w:rFonts w:ascii="Times New Roman" w:hAnsi="Times New Roman"/>
        </w:rPr>
      </w:pPr>
      <w:r>
        <w:rPr>
          <w:rFonts w:ascii="Times New Roman" w:hAnsi="Times New Roman"/>
        </w:rPr>
        <w:tab/>
        <w:t>Were this information not collected, the Commission’s ability to monitor compliance with the proscriptions described above would be precluded or seriously impaired.  The issue of frequency does not apply because 17 C.F.R § 140.735-6 requires information to be reported to the Commission only once upon the happening of an event rather than at predetermined intervals.</w:t>
      </w:r>
    </w:p>
    <w:p w:rsidR="004C41D4" w:rsidRDefault="004C41D4">
      <w:pPr>
        <w:tabs>
          <w:tab w:val="left" w:pos="-720"/>
        </w:tabs>
        <w:suppressAutoHyphens/>
        <w:rPr>
          <w:rFonts w:ascii="Times New Roman" w:hAnsi="Times New Roman"/>
        </w:rPr>
      </w:pPr>
      <w:r>
        <w:rPr>
          <w:rFonts w:ascii="Times New Roman" w:hAnsi="Times New Roman"/>
        </w:rPr>
        <w:tab/>
      </w:r>
    </w:p>
    <w:p w:rsidR="004C41D4" w:rsidRDefault="004C41D4">
      <w:pPr>
        <w:tabs>
          <w:tab w:val="left" w:pos="-720"/>
          <w:tab w:val="left" w:pos="0"/>
        </w:tabs>
        <w:suppressAutoHyphens/>
        <w:ind w:left="720" w:hanging="720"/>
        <w:rPr>
          <w:rFonts w:ascii="Times New Roman" w:hAnsi="Times New Roman"/>
        </w:rPr>
      </w:pPr>
      <w:r>
        <w:rPr>
          <w:rFonts w:ascii="Times New Roman" w:hAnsi="Times New Roman"/>
        </w:rPr>
        <w:t>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4C41D4" w:rsidRDefault="004C41D4">
      <w:pPr>
        <w:tabs>
          <w:tab w:val="left" w:pos="-720"/>
        </w:tabs>
        <w:suppressAutoHyphens/>
        <w:rPr>
          <w:rFonts w:ascii="Times New Roman" w:hAnsi="Times New Roman"/>
        </w:rPr>
      </w:pPr>
    </w:p>
    <w:p w:rsidR="004C41D4" w:rsidRDefault="004C41D4">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requiring</w:t>
      </w:r>
      <w:proofErr w:type="gramEnd"/>
      <w:r>
        <w:rPr>
          <w:rFonts w:ascii="Times New Roman" w:hAnsi="Times New Roman"/>
          <w:u w:val="single"/>
        </w:rPr>
        <w:t xml:space="preserve"> respondents to report information to the agency more often than quarterly;</w:t>
      </w:r>
    </w:p>
    <w:p w:rsidR="004C41D4" w:rsidRDefault="004C41D4">
      <w:pPr>
        <w:tabs>
          <w:tab w:val="left" w:pos="-720"/>
        </w:tabs>
        <w:suppressAutoHyphens/>
        <w:rPr>
          <w:rFonts w:ascii="Times New Roman" w:hAnsi="Times New Roman"/>
        </w:rPr>
      </w:pPr>
    </w:p>
    <w:p w:rsidR="004C41D4" w:rsidRDefault="004C41D4">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4C41D4" w:rsidRDefault="004C41D4">
      <w:pPr>
        <w:tabs>
          <w:tab w:val="left" w:pos="-720"/>
        </w:tabs>
        <w:suppressAutoHyphens/>
        <w:rPr>
          <w:rFonts w:ascii="Times New Roman" w:hAnsi="Times New Roman"/>
        </w:rPr>
      </w:pPr>
    </w:p>
    <w:p w:rsidR="004C41D4" w:rsidRDefault="004C41D4">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4C41D4" w:rsidRDefault="004C41D4">
      <w:pPr>
        <w:tabs>
          <w:tab w:val="left" w:pos="-720"/>
        </w:tabs>
        <w:suppressAutoHyphens/>
        <w:rPr>
          <w:rFonts w:ascii="Times New Roman" w:hAnsi="Times New Roman"/>
        </w:rPr>
      </w:pPr>
    </w:p>
    <w:p w:rsidR="004C41D4" w:rsidRDefault="004C41D4">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4C41D4" w:rsidRDefault="004C41D4">
      <w:pPr>
        <w:tabs>
          <w:tab w:val="left" w:pos="-720"/>
        </w:tabs>
        <w:suppressAutoHyphens/>
        <w:rPr>
          <w:rFonts w:ascii="Times New Roman" w:hAnsi="Times New Roman"/>
        </w:rPr>
      </w:pPr>
    </w:p>
    <w:p w:rsidR="004C41D4" w:rsidRDefault="004C41D4">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in</w:t>
      </w:r>
      <w:proofErr w:type="gramEnd"/>
      <w:r>
        <w:rPr>
          <w:rFonts w:ascii="Times New Roman" w:hAnsi="Times New Roman"/>
          <w:u w:val="single"/>
        </w:rPr>
        <w:t xml:space="preserve"> connection with a statistical survey, that is not designed to produce valid and reliable results that can be generalized to the universe of study</w:t>
      </w:r>
      <w:r>
        <w:rPr>
          <w:rFonts w:ascii="Times New Roman" w:hAnsi="Times New Roman"/>
        </w:rPr>
        <w:t xml:space="preserve">; </w:t>
      </w:r>
    </w:p>
    <w:p w:rsidR="004C41D4" w:rsidRDefault="004C41D4">
      <w:pPr>
        <w:tabs>
          <w:tab w:val="left" w:pos="-720"/>
        </w:tabs>
        <w:suppressAutoHyphens/>
        <w:rPr>
          <w:rFonts w:ascii="Times New Roman" w:hAnsi="Times New Roman"/>
        </w:rPr>
      </w:pPr>
    </w:p>
    <w:p w:rsidR="004C41D4" w:rsidRDefault="004C41D4">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4C41D4" w:rsidRDefault="004C41D4">
      <w:pPr>
        <w:tabs>
          <w:tab w:val="left" w:pos="-720"/>
        </w:tabs>
        <w:suppressAutoHyphens/>
        <w:rPr>
          <w:rFonts w:ascii="Times New Roman" w:hAnsi="Times New Roman"/>
        </w:rPr>
      </w:pPr>
    </w:p>
    <w:p w:rsidR="004C41D4" w:rsidRDefault="004C41D4">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4C41D4" w:rsidRDefault="004C41D4">
      <w:pPr>
        <w:tabs>
          <w:tab w:val="left" w:pos="-720"/>
        </w:tabs>
        <w:suppressAutoHyphens/>
        <w:rPr>
          <w:rFonts w:ascii="Times New Roman" w:hAnsi="Times New Roman"/>
        </w:rPr>
      </w:pPr>
    </w:p>
    <w:p w:rsidR="004C41D4" w:rsidRDefault="004C41D4">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4C41D4" w:rsidRDefault="004C41D4">
      <w:pPr>
        <w:tabs>
          <w:tab w:val="left" w:pos="-720"/>
        </w:tabs>
        <w:suppressAutoHyphens/>
        <w:rPr>
          <w:rFonts w:ascii="Times New Roman" w:hAnsi="Times New Roman"/>
        </w:rPr>
      </w:pPr>
    </w:p>
    <w:p w:rsidR="004C41D4" w:rsidRDefault="004C41D4">
      <w:pPr>
        <w:tabs>
          <w:tab w:val="left" w:pos="-720"/>
          <w:tab w:val="left" w:pos="0"/>
          <w:tab w:val="left" w:pos="720"/>
        </w:tabs>
        <w:suppressAutoHyphens/>
        <w:ind w:left="1440" w:hanging="1440"/>
        <w:rPr>
          <w:rFonts w:ascii="Times New Roman" w:hAnsi="Times New Roman"/>
        </w:rPr>
      </w:pPr>
      <w:r>
        <w:rPr>
          <w:rFonts w:ascii="Times New Roman" w:hAnsi="Times New Roman"/>
        </w:rPr>
        <w:tab/>
        <w:t xml:space="preserve">17 C.F.R. § 140.735-6 does not require the collection to be conducted in a manner  </w:t>
      </w:r>
    </w:p>
    <w:p w:rsidR="004C41D4" w:rsidRDefault="004C41D4">
      <w:pPr>
        <w:tabs>
          <w:tab w:val="left" w:pos="-720"/>
        </w:tabs>
        <w:suppressAutoHyphens/>
        <w:rPr>
          <w:rFonts w:ascii="Times New Roman" w:hAnsi="Times New Roman"/>
        </w:rPr>
      </w:pPr>
      <w:proofErr w:type="gramStart"/>
      <w:r>
        <w:rPr>
          <w:rFonts w:ascii="Times New Roman" w:hAnsi="Times New Roman"/>
        </w:rPr>
        <w:t>inconsistent</w:t>
      </w:r>
      <w:proofErr w:type="gramEnd"/>
      <w:r>
        <w:rPr>
          <w:rFonts w:ascii="Times New Roman" w:hAnsi="Times New Roman"/>
        </w:rPr>
        <w:t xml:space="preserve"> with any of the above requirements.</w:t>
      </w:r>
    </w:p>
    <w:p w:rsidR="004C41D4" w:rsidRDefault="004C41D4">
      <w:pPr>
        <w:tabs>
          <w:tab w:val="left" w:pos="-720"/>
        </w:tabs>
        <w:suppressAutoHyphens/>
        <w:rPr>
          <w:rFonts w:ascii="Times New Roman" w:hAnsi="Times New Roman"/>
        </w:rPr>
      </w:pPr>
    </w:p>
    <w:p w:rsidR="004C41D4" w:rsidRDefault="004C41D4">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C41D4" w:rsidRDefault="004C41D4">
      <w:pPr>
        <w:tabs>
          <w:tab w:val="left" w:pos="-720"/>
        </w:tabs>
        <w:suppressAutoHyphens/>
        <w:rPr>
          <w:rFonts w:ascii="Times New Roman" w:hAnsi="Times New Roman"/>
        </w:rPr>
      </w:pPr>
    </w:p>
    <w:p w:rsidR="004C41D4" w:rsidRDefault="004C41D4">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C41D4" w:rsidRDefault="004C41D4">
      <w:pPr>
        <w:tabs>
          <w:tab w:val="left" w:pos="-720"/>
        </w:tabs>
        <w:suppressAutoHyphens/>
        <w:rPr>
          <w:rFonts w:ascii="Times New Roman" w:hAnsi="Times New Roman"/>
          <w:u w:val="single"/>
        </w:rPr>
      </w:pPr>
    </w:p>
    <w:p w:rsidR="004C41D4" w:rsidRDefault="004C41D4">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4C41D4" w:rsidRDefault="004C41D4">
      <w:pPr>
        <w:tabs>
          <w:tab w:val="left" w:pos="-720"/>
        </w:tabs>
        <w:suppressAutoHyphens/>
        <w:rPr>
          <w:rFonts w:ascii="Times New Roman" w:hAnsi="Times New Roman"/>
        </w:rPr>
      </w:pPr>
    </w:p>
    <w:p w:rsidR="00CE533B" w:rsidP="0095113A" w:rsidRDefault="004C41D4">
      <w:pPr>
        <w:rPr>
          <w:rFonts w:ascii="Times New Roman" w:hAnsi="Times New Roman"/>
          <w:szCs w:val="24"/>
        </w:rPr>
      </w:pPr>
      <w:r>
        <w:rPr>
          <w:rFonts w:ascii="Times New Roman" w:hAnsi="Times New Roman"/>
        </w:rPr>
        <w:tab/>
      </w:r>
      <w:r w:rsidR="00CE533B">
        <w:rPr>
          <w:rFonts w:ascii="Times New Roman" w:hAnsi="Times New Roman"/>
          <w:szCs w:val="24"/>
        </w:rPr>
        <w:t xml:space="preserve">The Commission is affirmatively seeking comment from the public and federal agencies on the proposed information collection.  A copy of the proposed regulation as it appears in the </w:t>
      </w:r>
      <w:r w:rsidR="00CE533B">
        <w:rPr>
          <w:rFonts w:ascii="Times New Roman" w:hAnsi="Times New Roman"/>
          <w:i/>
          <w:szCs w:val="24"/>
        </w:rPr>
        <w:t>Federal Register</w:t>
      </w:r>
      <w:r w:rsidR="0018543A">
        <w:rPr>
          <w:rFonts w:ascii="Times New Roman" w:hAnsi="Times New Roman"/>
          <w:szCs w:val="24"/>
        </w:rPr>
        <w:t>,</w:t>
      </w:r>
      <w:r w:rsidR="00CE533B">
        <w:rPr>
          <w:rFonts w:ascii="Times New Roman" w:hAnsi="Times New Roman"/>
          <w:i/>
          <w:szCs w:val="24"/>
        </w:rPr>
        <w:t xml:space="preserve"> </w:t>
      </w:r>
      <w:r w:rsidRPr="0018543A" w:rsidR="0018543A">
        <w:rPr>
          <w:rFonts w:ascii="Times New Roman" w:hAnsi="Times New Roman"/>
          <w:szCs w:val="24"/>
        </w:rPr>
        <w:t>84</w:t>
      </w:r>
      <w:r w:rsidR="0018543A">
        <w:rPr>
          <w:rFonts w:ascii="Times New Roman" w:hAnsi="Times New Roman"/>
          <w:szCs w:val="24"/>
        </w:rPr>
        <w:t xml:space="preserve"> </w:t>
      </w:r>
      <w:r w:rsidRPr="0018543A" w:rsidR="0095113A">
        <w:rPr>
          <w:rFonts w:ascii="Times New Roman" w:hAnsi="Times New Roman"/>
        </w:rPr>
        <w:t>FR</w:t>
      </w:r>
      <w:r w:rsidR="0018543A">
        <w:rPr>
          <w:rFonts w:ascii="Times New Roman" w:hAnsi="Times New Roman"/>
        </w:rPr>
        <w:t xml:space="preserve"> 64050 (Nov. 20, 2019</w:t>
      </w:r>
      <w:r w:rsidRPr="0018543A" w:rsidR="0095113A">
        <w:rPr>
          <w:rFonts w:ascii="Times New Roman" w:hAnsi="Times New Roman"/>
        </w:rPr>
        <w:t>)</w:t>
      </w:r>
      <w:r w:rsidR="0018543A">
        <w:rPr>
          <w:rFonts w:ascii="Times New Roman" w:hAnsi="Times New Roman"/>
        </w:rPr>
        <w:t>,</w:t>
      </w:r>
      <w:r w:rsidRPr="0018543A" w:rsidR="0095113A">
        <w:t xml:space="preserve"> </w:t>
      </w:r>
      <w:r w:rsidR="00CE533B">
        <w:rPr>
          <w:rFonts w:ascii="Times New Roman" w:hAnsi="Times New Roman"/>
          <w:szCs w:val="24"/>
        </w:rPr>
        <w:t>including the explicit solicitation of comment on all aspects of the reporting and recordkeeping burdens imposed, is accompanied with this submission.</w:t>
      </w:r>
      <w:bookmarkStart w:name="_GoBack" w:id="0"/>
      <w:bookmarkEnd w:id="0"/>
      <w:r w:rsidR="00CE533B">
        <w:rPr>
          <w:rFonts w:ascii="Times New Roman" w:hAnsi="Times New Roman"/>
          <w:szCs w:val="24"/>
        </w:rPr>
        <w:t xml:space="preserve"> </w:t>
      </w:r>
    </w:p>
    <w:p w:rsidR="004C41D4" w:rsidRDefault="004C41D4">
      <w:pPr>
        <w:tabs>
          <w:tab w:val="left" w:pos="-720"/>
        </w:tabs>
        <w:suppressAutoHyphens/>
        <w:rPr>
          <w:rFonts w:ascii="Times New Roman" w:hAnsi="Times New Roman"/>
        </w:rPr>
      </w:pPr>
    </w:p>
    <w:p w:rsidR="004C41D4" w:rsidRDefault="004C41D4">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4C41D4" w:rsidRDefault="004C41D4">
      <w:pPr>
        <w:tabs>
          <w:tab w:val="left" w:pos="-720"/>
        </w:tabs>
        <w:suppressAutoHyphens/>
        <w:rPr>
          <w:rFonts w:ascii="Times New Roman" w:hAnsi="Times New Roman"/>
        </w:rPr>
      </w:pPr>
    </w:p>
    <w:p w:rsidR="004C41D4" w:rsidRDefault="004C41D4">
      <w:pPr>
        <w:tabs>
          <w:tab w:val="left" w:pos="-720"/>
        </w:tabs>
        <w:suppressAutoHyphens/>
        <w:rPr>
          <w:rFonts w:ascii="Times New Roman" w:hAnsi="Times New Roman"/>
        </w:rPr>
      </w:pPr>
      <w:r>
        <w:rPr>
          <w:rFonts w:ascii="Times New Roman" w:hAnsi="Times New Roman"/>
        </w:rPr>
        <w:tab/>
        <w:t>This question does not apply.</w:t>
      </w:r>
    </w:p>
    <w:p w:rsidR="004C41D4" w:rsidRDefault="004C41D4">
      <w:pPr>
        <w:tabs>
          <w:tab w:val="left" w:pos="-720"/>
        </w:tabs>
        <w:suppressAutoHyphens/>
        <w:rPr>
          <w:rFonts w:ascii="Times New Roman" w:hAnsi="Times New Roman"/>
        </w:rPr>
      </w:pPr>
    </w:p>
    <w:p w:rsidR="004C41D4" w:rsidRDefault="004C41D4">
      <w:pPr>
        <w:tabs>
          <w:tab w:val="left" w:pos="-720"/>
        </w:tabs>
        <w:suppressAutoHyphens/>
        <w:ind w:left="720" w:hanging="720"/>
        <w:rPr>
          <w:rFonts w:ascii="Times New Roman" w:hAnsi="Times New Roman"/>
        </w:rPr>
      </w:pPr>
      <w:r>
        <w:rPr>
          <w:rFonts w:ascii="Times New Roman" w:hAnsi="Times New Roman"/>
        </w:rPr>
        <w:lastRenderedPageBreak/>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4C41D4" w:rsidRDefault="004C41D4">
      <w:pPr>
        <w:tabs>
          <w:tab w:val="left" w:pos="-720"/>
        </w:tabs>
        <w:suppressAutoHyphens/>
        <w:rPr>
          <w:rFonts w:ascii="Times New Roman" w:hAnsi="Times New Roman"/>
        </w:rPr>
      </w:pPr>
    </w:p>
    <w:p w:rsidR="00CE533B" w:rsidP="00CE533B" w:rsidRDefault="004C41D4">
      <w:pPr>
        <w:tabs>
          <w:tab w:val="left" w:pos="-720"/>
          <w:tab w:val="left" w:pos="0"/>
          <w:tab w:val="left" w:pos="720"/>
        </w:tabs>
        <w:spacing w:after="240"/>
        <w:jc w:val="both"/>
        <w:rPr>
          <w:rFonts w:ascii="Times New Roman" w:hAnsi="Times New Roman"/>
        </w:rPr>
      </w:pPr>
      <w:r>
        <w:rPr>
          <w:rFonts w:ascii="Times New Roman" w:hAnsi="Times New Roman"/>
        </w:rPr>
        <w:tab/>
        <w:t xml:space="preserve"> </w:t>
      </w:r>
      <w:r w:rsidR="00CE533B">
        <w:rPr>
          <w:rFonts w:ascii="Times New Roman" w:hAnsi="Times New Roman"/>
        </w:rPr>
        <w:t>The Commission does not provide respondents with an assurance of confidentiality, only to the extent permitted by law.  The Commission fully complies with section 8(a)(1) of the Commodity Exchange Act (CEA), which strictly prohibits the Commission, unless specifically authorized by the CEA, from making public “data and information that would separately disclose the business transactions or market positions of any person and trade secrets or names of customers.”</w:t>
      </w:r>
    </w:p>
    <w:p w:rsidR="004C41D4" w:rsidP="00422E03" w:rsidRDefault="004C41D4">
      <w:pPr>
        <w:tabs>
          <w:tab w:val="left" w:pos="-720"/>
        </w:tabs>
        <w:suppressAutoHyphens/>
        <w:ind w:left="720" w:hanging="720"/>
        <w:rPr>
          <w:rFonts w:ascii="Times New Roman" w:hAnsi="Times New Roman"/>
        </w:rPr>
      </w:pPr>
      <w:r>
        <w:rPr>
          <w:rFonts w:ascii="Times New Roman" w:hAnsi="Times New Roman"/>
        </w:rPr>
        <w:t>11</w:t>
      </w:r>
      <w:r w:rsidR="00422E03">
        <w:rPr>
          <w:rFonts w:ascii="Times New Roman" w:hAnsi="Times New Roman"/>
        </w:rPr>
        <w:t xml:space="preserve">.  </w:t>
      </w:r>
      <w:r w:rsidR="00422E03">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4C41D4" w:rsidRDefault="004C41D4">
      <w:pPr>
        <w:tabs>
          <w:tab w:val="left" w:pos="-720"/>
        </w:tabs>
        <w:suppressAutoHyphens/>
        <w:rPr>
          <w:rFonts w:ascii="Times New Roman" w:hAnsi="Times New Roman"/>
        </w:rPr>
      </w:pPr>
    </w:p>
    <w:p w:rsidR="004C41D4" w:rsidRDefault="004C41D4">
      <w:pPr>
        <w:tabs>
          <w:tab w:val="left" w:pos="-720"/>
        </w:tabs>
        <w:suppressAutoHyphens/>
        <w:rPr>
          <w:rFonts w:ascii="Times New Roman" w:hAnsi="Times New Roman"/>
        </w:rPr>
      </w:pPr>
      <w:r>
        <w:rPr>
          <w:rFonts w:ascii="Times New Roman" w:hAnsi="Times New Roman"/>
        </w:rPr>
        <w:tab/>
        <w:t>The information reporting requirements of 17 C.F.R § 140.735-6 do not require sensitive information of the type described in item 11 to be provided.</w:t>
      </w:r>
    </w:p>
    <w:p w:rsidR="004C41D4" w:rsidRDefault="004C41D4">
      <w:pPr>
        <w:tabs>
          <w:tab w:val="left" w:pos="-720"/>
        </w:tabs>
        <w:suppressAutoHyphens/>
        <w:rPr>
          <w:rFonts w:ascii="Times New Roman" w:hAnsi="Times New Roman"/>
        </w:rPr>
      </w:pPr>
    </w:p>
    <w:p w:rsidR="004C41D4" w:rsidRDefault="004C41D4">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4C41D4" w:rsidRDefault="004C41D4">
      <w:pPr>
        <w:tabs>
          <w:tab w:val="left" w:pos="-720"/>
        </w:tabs>
        <w:suppressAutoHyphens/>
        <w:rPr>
          <w:rFonts w:ascii="Times New Roman" w:hAnsi="Times New Roman"/>
        </w:rPr>
      </w:pPr>
    </w:p>
    <w:p w:rsidR="004C41D4" w:rsidRDefault="004C41D4">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C41D4" w:rsidRDefault="004C41D4">
      <w:pPr>
        <w:tabs>
          <w:tab w:val="left" w:pos="-720"/>
        </w:tabs>
        <w:suppressAutoHyphens/>
        <w:rPr>
          <w:rFonts w:ascii="Times New Roman" w:hAnsi="Times New Roman"/>
        </w:rPr>
      </w:pPr>
    </w:p>
    <w:p w:rsidR="004C41D4" w:rsidRDefault="004C41D4">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4C41D4" w:rsidRDefault="004C41D4">
      <w:pPr>
        <w:tabs>
          <w:tab w:val="left" w:pos="-720"/>
        </w:tabs>
        <w:suppressAutoHyphens/>
        <w:rPr>
          <w:rFonts w:ascii="Times New Roman" w:hAnsi="Times New Roman"/>
        </w:rPr>
      </w:pPr>
    </w:p>
    <w:p w:rsidR="004C41D4" w:rsidRDefault="004C41D4">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Provide estimates of annualized cost to respondents for the hours burdens for collections of information, identifying and using appropriate wage rate categories. The cost of contracting our or paying outside parties for information collection activities should not be included here.  Instead, this cost should be included in Item 13.</w:t>
      </w:r>
    </w:p>
    <w:p w:rsidR="004C41D4" w:rsidRDefault="004C41D4">
      <w:pPr>
        <w:tabs>
          <w:tab w:val="left" w:pos="-720"/>
        </w:tabs>
        <w:suppressAutoHyphens/>
        <w:rPr>
          <w:rFonts w:ascii="Times New Roman" w:hAnsi="Times New Roman"/>
        </w:rPr>
      </w:pPr>
    </w:p>
    <w:p w:rsidR="004C41D4" w:rsidRDefault="004C41D4">
      <w:pPr>
        <w:tabs>
          <w:tab w:val="left" w:pos="-720"/>
        </w:tabs>
        <w:suppressAutoHyphens/>
        <w:rPr>
          <w:rFonts w:ascii="Times New Roman" w:hAnsi="Times New Roman"/>
        </w:rPr>
      </w:pPr>
      <w:r>
        <w:rPr>
          <w:rFonts w:ascii="Times New Roman" w:hAnsi="Times New Roman"/>
        </w:rPr>
        <w:tab/>
        <w:t xml:space="preserve">Based on the Commission’s experience in administering the information reporting requirements of 17 C.F.R § 140.735-6, it is estimated that </w:t>
      </w:r>
      <w:r w:rsidR="00422E03">
        <w:rPr>
          <w:rFonts w:ascii="Times New Roman" w:hAnsi="Times New Roman"/>
        </w:rPr>
        <w:t xml:space="preserve">30 </w:t>
      </w:r>
      <w:r>
        <w:rPr>
          <w:rFonts w:ascii="Times New Roman" w:hAnsi="Times New Roman"/>
        </w:rPr>
        <w:t xml:space="preserve">respondents would each submit an </w:t>
      </w:r>
      <w:r>
        <w:rPr>
          <w:rFonts w:ascii="Times New Roman" w:hAnsi="Times New Roman"/>
        </w:rPr>
        <w:lastRenderedPageBreak/>
        <w:t xml:space="preserve">average of one written statement to the Commission during a given year.  It is estimated that the time required to prepare each submission would be approximately </w:t>
      </w:r>
      <w:r w:rsidR="0095113A">
        <w:rPr>
          <w:rFonts w:ascii="Times New Roman" w:hAnsi="Times New Roman"/>
        </w:rPr>
        <w:t>.1</w:t>
      </w:r>
      <w:r w:rsidR="00422E03">
        <w:rPr>
          <w:rFonts w:ascii="Times New Roman" w:hAnsi="Times New Roman"/>
        </w:rPr>
        <w:t>0</w:t>
      </w:r>
      <w:r>
        <w:rPr>
          <w:rFonts w:ascii="Times New Roman" w:hAnsi="Times New Roman"/>
        </w:rPr>
        <w:t xml:space="preserve"> hours</w:t>
      </w:r>
      <w:r w:rsidR="00422E03">
        <w:rPr>
          <w:rFonts w:ascii="Times New Roman" w:hAnsi="Times New Roman"/>
        </w:rPr>
        <w:t xml:space="preserve"> (or six minutes)</w:t>
      </w:r>
      <w:r>
        <w:rPr>
          <w:rFonts w:ascii="Times New Roman" w:hAnsi="Times New Roman"/>
        </w:rPr>
        <w:t xml:space="preserve">, for a total annual burden of </w:t>
      </w:r>
      <w:r w:rsidR="0095113A">
        <w:rPr>
          <w:rFonts w:ascii="Times New Roman" w:hAnsi="Times New Roman"/>
        </w:rPr>
        <w:t>3</w:t>
      </w:r>
      <w:r>
        <w:rPr>
          <w:rFonts w:ascii="Times New Roman" w:hAnsi="Times New Roman"/>
        </w:rPr>
        <w:t xml:space="preserve"> hours </w:t>
      </w:r>
      <w:r w:rsidR="00422E03">
        <w:rPr>
          <w:rFonts w:ascii="Times New Roman" w:hAnsi="Times New Roman"/>
        </w:rPr>
        <w:t xml:space="preserve">(or 180 minutes) </w:t>
      </w:r>
      <w:r>
        <w:rPr>
          <w:rFonts w:ascii="Times New Roman" w:hAnsi="Times New Roman"/>
        </w:rPr>
        <w:t xml:space="preserve">for the </w:t>
      </w:r>
      <w:r w:rsidR="0095113A">
        <w:rPr>
          <w:rFonts w:ascii="Times New Roman" w:hAnsi="Times New Roman"/>
        </w:rPr>
        <w:t>thirty</w:t>
      </w:r>
      <w:r>
        <w:rPr>
          <w:rFonts w:ascii="Times New Roman" w:hAnsi="Times New Roman"/>
        </w:rPr>
        <w:t xml:space="preserve"> respondents.  </w:t>
      </w:r>
    </w:p>
    <w:p w:rsidR="00422E03" w:rsidRDefault="00422E03">
      <w:pPr>
        <w:tabs>
          <w:tab w:val="left" w:pos="-720"/>
        </w:tabs>
        <w:suppressAutoHyphens/>
        <w:rPr>
          <w:rFonts w:ascii="Times New Roman" w:hAnsi="Times New Roman"/>
        </w:rPr>
      </w:pPr>
    </w:p>
    <w:p w:rsidR="004C41D4" w:rsidRDefault="004C41D4">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Provide an estimate of the total annual cost burden to respondents or recordkeepers resulting form the collection of information.  (Do not include the cost of any hour burden shown in Items 12 and 14)</w:t>
      </w:r>
      <w:r>
        <w:rPr>
          <w:rFonts w:ascii="Times New Roman" w:hAnsi="Times New Roman"/>
        </w:rPr>
        <w:t>.</w:t>
      </w:r>
    </w:p>
    <w:p w:rsidR="004C41D4" w:rsidRDefault="004C41D4">
      <w:pPr>
        <w:tabs>
          <w:tab w:val="left" w:pos="-720"/>
        </w:tabs>
        <w:suppressAutoHyphens/>
        <w:rPr>
          <w:rFonts w:ascii="Times New Roman" w:hAnsi="Times New Roman"/>
        </w:rPr>
      </w:pPr>
    </w:p>
    <w:p w:rsidR="004C41D4" w:rsidRDefault="004C41D4">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C41D4" w:rsidRDefault="004C41D4">
      <w:pPr>
        <w:tabs>
          <w:tab w:val="left" w:pos="-720"/>
        </w:tabs>
        <w:suppressAutoHyphens/>
        <w:rPr>
          <w:rFonts w:ascii="Times New Roman" w:hAnsi="Times New Roman"/>
        </w:rPr>
      </w:pPr>
    </w:p>
    <w:p w:rsidR="004C41D4" w:rsidRDefault="004C41D4">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4C41D4" w:rsidRDefault="004C41D4">
      <w:pPr>
        <w:tabs>
          <w:tab w:val="left" w:pos="-720"/>
        </w:tabs>
        <w:suppressAutoHyphens/>
        <w:rPr>
          <w:rFonts w:ascii="Times New Roman" w:hAnsi="Times New Roman"/>
        </w:rPr>
      </w:pPr>
    </w:p>
    <w:p w:rsidR="004C41D4" w:rsidRDefault="004C41D4">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w:hAnsi="Times New Roman"/>
        </w:rPr>
        <w:t>government,</w:t>
      </w:r>
      <w:proofErr w:type="gramEnd"/>
      <w:r>
        <w:rPr>
          <w:rFonts w:ascii="Times New Roman" w:hAnsi="Times New Roman"/>
        </w:rPr>
        <w:t xml:space="preserve"> or (4) as part of customary and usual business or private practices.</w:t>
      </w:r>
    </w:p>
    <w:p w:rsidR="004C41D4" w:rsidRDefault="004C41D4">
      <w:pPr>
        <w:tabs>
          <w:tab w:val="left" w:pos="-720"/>
        </w:tabs>
        <w:suppressAutoHyphens/>
        <w:rPr>
          <w:rFonts w:ascii="Times New Roman" w:hAnsi="Times New Roman"/>
        </w:rPr>
      </w:pPr>
    </w:p>
    <w:p w:rsidR="004C41D4" w:rsidRDefault="004C41D4">
      <w:pPr>
        <w:tabs>
          <w:tab w:val="left" w:pos="-720"/>
        </w:tabs>
        <w:suppressAutoHyphens/>
        <w:rPr>
          <w:rFonts w:ascii="Times New Roman" w:hAnsi="Times New Roman"/>
        </w:rPr>
      </w:pPr>
      <w:r>
        <w:rPr>
          <w:rFonts w:ascii="Times New Roman" w:hAnsi="Times New Roman"/>
        </w:rPr>
        <w:tab/>
        <w:t>This question does not apply.</w:t>
      </w:r>
    </w:p>
    <w:p w:rsidR="004C41D4" w:rsidRDefault="004C41D4">
      <w:pPr>
        <w:tabs>
          <w:tab w:val="left" w:pos="-720"/>
        </w:tabs>
        <w:suppressAutoHyphens/>
        <w:rPr>
          <w:rFonts w:ascii="Times New Roman" w:hAnsi="Times New Roman"/>
        </w:rPr>
      </w:pPr>
    </w:p>
    <w:p w:rsidR="004C41D4" w:rsidRDefault="004C41D4">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4C41D4" w:rsidRDefault="004C41D4">
      <w:pPr>
        <w:tabs>
          <w:tab w:val="left" w:pos="-720"/>
        </w:tabs>
        <w:suppressAutoHyphens/>
        <w:rPr>
          <w:rFonts w:ascii="Times New Roman" w:hAnsi="Times New Roman"/>
        </w:rPr>
      </w:pPr>
    </w:p>
    <w:p w:rsidR="004C41D4" w:rsidRDefault="004C41D4">
      <w:pPr>
        <w:tabs>
          <w:tab w:val="left" w:pos="-720"/>
        </w:tabs>
        <w:suppressAutoHyphens/>
        <w:rPr>
          <w:rFonts w:ascii="Times New Roman" w:hAnsi="Times New Roman"/>
        </w:rPr>
      </w:pPr>
      <w:r>
        <w:rPr>
          <w:rFonts w:ascii="Times New Roman" w:hAnsi="Times New Roman"/>
        </w:rPr>
        <w:lastRenderedPageBreak/>
        <w:tab/>
        <w:t>There is no cost to the Federal Government that is particularly attributable to the information collection requirement contained in 17 C.F.R § 140.735-6.  These minimal requirements are an integral part of the Commission’s, and its General Counsel’s general oversight program that would be funded at current levels whether or not information was collected pursuant to the rule.</w:t>
      </w:r>
    </w:p>
    <w:p w:rsidR="004C41D4" w:rsidRDefault="004C41D4">
      <w:pPr>
        <w:tabs>
          <w:tab w:val="left" w:pos="-720"/>
          <w:tab w:val="left" w:pos="0"/>
        </w:tabs>
        <w:suppressAutoHyphens/>
        <w:ind w:left="720" w:hanging="720"/>
        <w:rPr>
          <w:rFonts w:ascii="Times New Roman" w:hAnsi="Times New Roman"/>
        </w:rPr>
      </w:pPr>
    </w:p>
    <w:p w:rsidR="004C41D4" w:rsidRDefault="004C41D4">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4C41D4" w:rsidRDefault="004C41D4">
      <w:pPr>
        <w:tabs>
          <w:tab w:val="left" w:pos="-720"/>
        </w:tabs>
        <w:suppressAutoHyphens/>
        <w:rPr>
          <w:rFonts w:ascii="Times New Roman" w:hAnsi="Times New Roman"/>
        </w:rPr>
      </w:pPr>
    </w:p>
    <w:p w:rsidR="004C41D4" w:rsidRDefault="004C41D4">
      <w:pPr>
        <w:tabs>
          <w:tab w:val="left" w:pos="-720"/>
        </w:tabs>
        <w:suppressAutoHyphens/>
        <w:rPr>
          <w:rFonts w:ascii="Times New Roman" w:hAnsi="Times New Roman"/>
        </w:rPr>
      </w:pPr>
      <w:r>
        <w:rPr>
          <w:rFonts w:ascii="Times New Roman" w:hAnsi="Times New Roman"/>
        </w:rPr>
        <w:tab/>
        <w:t>This question does not apply.</w:t>
      </w:r>
    </w:p>
    <w:p w:rsidR="004C41D4" w:rsidRDefault="004C41D4">
      <w:pPr>
        <w:tabs>
          <w:tab w:val="left" w:pos="-720"/>
          <w:tab w:val="left" w:pos="0"/>
        </w:tabs>
        <w:suppressAutoHyphens/>
        <w:ind w:left="720" w:hanging="720"/>
        <w:rPr>
          <w:rFonts w:ascii="Times New Roman" w:hAnsi="Times New Roman"/>
        </w:rPr>
      </w:pPr>
    </w:p>
    <w:p w:rsidR="004C41D4" w:rsidRDefault="004C41D4">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4C41D4" w:rsidRDefault="004C41D4">
      <w:pPr>
        <w:tabs>
          <w:tab w:val="left" w:pos="-720"/>
        </w:tabs>
        <w:suppressAutoHyphens/>
        <w:rPr>
          <w:rFonts w:ascii="Times New Roman" w:hAnsi="Times New Roman"/>
        </w:rPr>
      </w:pPr>
    </w:p>
    <w:p w:rsidR="004C41D4" w:rsidRDefault="004C41D4">
      <w:pPr>
        <w:tabs>
          <w:tab w:val="left" w:pos="-720"/>
        </w:tabs>
        <w:suppressAutoHyphens/>
        <w:rPr>
          <w:rFonts w:ascii="Times New Roman" w:hAnsi="Times New Roman"/>
        </w:rPr>
      </w:pPr>
      <w:r>
        <w:rPr>
          <w:rFonts w:ascii="Times New Roman" w:hAnsi="Times New Roman"/>
        </w:rPr>
        <w:tab/>
        <w:t>This question does not apply.</w:t>
      </w:r>
    </w:p>
    <w:p w:rsidR="004C41D4" w:rsidRDefault="004C41D4">
      <w:pPr>
        <w:tabs>
          <w:tab w:val="left" w:pos="-720"/>
        </w:tabs>
        <w:suppressAutoHyphens/>
        <w:rPr>
          <w:rFonts w:ascii="Times New Roman" w:hAnsi="Times New Roman"/>
        </w:rPr>
      </w:pPr>
    </w:p>
    <w:p w:rsidR="004C41D4" w:rsidRDefault="004C41D4">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4C41D4" w:rsidRDefault="004C41D4">
      <w:pPr>
        <w:tabs>
          <w:tab w:val="left" w:pos="-720"/>
        </w:tabs>
        <w:suppressAutoHyphens/>
        <w:rPr>
          <w:rFonts w:ascii="Times New Roman" w:hAnsi="Times New Roman"/>
        </w:rPr>
      </w:pPr>
    </w:p>
    <w:p w:rsidR="004C41D4" w:rsidRDefault="004C41D4">
      <w:pPr>
        <w:tabs>
          <w:tab w:val="left" w:pos="-720"/>
        </w:tabs>
        <w:suppressAutoHyphens/>
        <w:rPr>
          <w:rFonts w:ascii="Times New Roman" w:hAnsi="Times New Roman"/>
        </w:rPr>
      </w:pPr>
      <w:r>
        <w:rPr>
          <w:rFonts w:ascii="Times New Roman" w:hAnsi="Times New Roman"/>
        </w:rPr>
        <w:tab/>
        <w:t>This question does not apply.</w:t>
      </w:r>
    </w:p>
    <w:p w:rsidR="004C41D4" w:rsidRDefault="004C41D4">
      <w:pPr>
        <w:tabs>
          <w:tab w:val="left" w:pos="-720"/>
        </w:tabs>
        <w:suppressAutoHyphens/>
        <w:rPr>
          <w:rFonts w:ascii="Times New Roman" w:hAnsi="Times New Roman"/>
        </w:rPr>
      </w:pPr>
    </w:p>
    <w:p w:rsidR="004C41D4" w:rsidRDefault="004C41D4">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4C41D4" w:rsidRDefault="004C41D4">
      <w:pPr>
        <w:tabs>
          <w:tab w:val="left" w:pos="-720"/>
        </w:tabs>
        <w:suppressAutoHyphens/>
        <w:rPr>
          <w:rFonts w:ascii="Times New Roman" w:hAnsi="Times New Roman"/>
        </w:rPr>
      </w:pPr>
    </w:p>
    <w:p w:rsidR="004C41D4" w:rsidRDefault="004C41D4">
      <w:pPr>
        <w:tabs>
          <w:tab w:val="left" w:pos="-720"/>
        </w:tabs>
        <w:suppressAutoHyphens/>
      </w:pPr>
      <w:r>
        <w:rPr>
          <w:rFonts w:ascii="Times New Roman" w:hAnsi="Times New Roman"/>
        </w:rPr>
        <w:tab/>
        <w:t>This question does not apply.</w:t>
      </w:r>
    </w:p>
    <w:sectPr w:rsidR="004C41D4" w:rsidSect="00BA3F81">
      <w:headerReference w:type="default" r:id="rId10"/>
      <w:endnotePr>
        <w:numFmt w:val="decimal"/>
      </w:endnotePr>
      <w:pgSz w:w="12240" w:h="15840"/>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3A7" w:rsidRDefault="007B33A7">
      <w:pPr>
        <w:spacing w:line="20" w:lineRule="exact"/>
      </w:pPr>
    </w:p>
  </w:endnote>
  <w:endnote w:type="continuationSeparator" w:id="0">
    <w:p w:rsidR="007B33A7" w:rsidRDefault="007B33A7">
      <w:r>
        <w:t xml:space="preserve"> </w:t>
      </w:r>
    </w:p>
  </w:endnote>
  <w:endnote w:type="continuationNotice" w:id="1">
    <w:p w:rsidR="007B33A7" w:rsidRDefault="007B33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3A7" w:rsidRDefault="007B33A7">
      <w:r>
        <w:separator/>
      </w:r>
    </w:p>
  </w:footnote>
  <w:footnote w:type="continuationSeparator" w:id="0">
    <w:p w:rsidR="007B33A7" w:rsidRDefault="007B33A7">
      <w:r>
        <w:t>(..</w:t>
      </w:r>
      <w:proofErr w:type="gramStart"/>
      <w:r>
        <w:t>continued</w:t>
      </w:r>
      <w:proofErr w:type="gram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03" w:rsidRPr="00422E03" w:rsidRDefault="00422E03">
    <w:pPr>
      <w:pStyle w:val="Header"/>
      <w:jc w:val="center"/>
      <w:rPr>
        <w:rFonts w:ascii="Times New Roman" w:hAnsi="Times New Roman"/>
      </w:rPr>
    </w:pPr>
    <w:r w:rsidRPr="00422E03">
      <w:rPr>
        <w:rFonts w:ascii="Times New Roman" w:hAnsi="Times New Roman"/>
      </w:rPr>
      <w:fldChar w:fldCharType="begin"/>
    </w:r>
    <w:r w:rsidRPr="00422E03">
      <w:rPr>
        <w:rFonts w:ascii="Times New Roman" w:hAnsi="Times New Roman"/>
      </w:rPr>
      <w:instrText xml:space="preserve"> PAGE   \* MERGEFORMAT </w:instrText>
    </w:r>
    <w:r w:rsidRPr="00422E03">
      <w:rPr>
        <w:rFonts w:ascii="Times New Roman" w:hAnsi="Times New Roman"/>
      </w:rPr>
      <w:fldChar w:fldCharType="separate"/>
    </w:r>
    <w:r w:rsidR="0018543A">
      <w:rPr>
        <w:rFonts w:ascii="Times New Roman" w:hAnsi="Times New Roman"/>
        <w:noProof/>
      </w:rPr>
      <w:t>4</w:t>
    </w:r>
    <w:r w:rsidRPr="00422E03">
      <w:rPr>
        <w:rFonts w:ascii="Times New Roman" w:hAnsi="Times New Roman"/>
        <w:noProof/>
      </w:rPr>
      <w:fldChar w:fldCharType="end"/>
    </w:r>
  </w:p>
  <w:p w:rsidR="00422E03" w:rsidRDefault="00422E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3B"/>
    <w:rsid w:val="0018543A"/>
    <w:rsid w:val="001F403F"/>
    <w:rsid w:val="00263325"/>
    <w:rsid w:val="00422E03"/>
    <w:rsid w:val="00480CB5"/>
    <w:rsid w:val="004C41D4"/>
    <w:rsid w:val="0051098F"/>
    <w:rsid w:val="00557163"/>
    <w:rsid w:val="00736FB1"/>
    <w:rsid w:val="007378A6"/>
    <w:rsid w:val="007B33A7"/>
    <w:rsid w:val="007B7F2E"/>
    <w:rsid w:val="007E07D4"/>
    <w:rsid w:val="009001FD"/>
    <w:rsid w:val="0095113A"/>
    <w:rsid w:val="00A45B3D"/>
    <w:rsid w:val="00A9530B"/>
    <w:rsid w:val="00BA3F81"/>
    <w:rsid w:val="00C63CF0"/>
    <w:rsid w:val="00C93E29"/>
    <w:rsid w:val="00CE533B"/>
    <w:rsid w:val="00DD32D3"/>
    <w:rsid w:val="00F414E3"/>
    <w:rsid w:val="00FB3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uiPriority w:val="99"/>
    <w:semiHidden/>
    <w:unhideWhenUsed/>
    <w:rsid w:val="00422E03"/>
    <w:rPr>
      <w:rFonts w:ascii="Tahoma" w:hAnsi="Tahoma" w:cs="Tahoma"/>
      <w:sz w:val="16"/>
      <w:szCs w:val="16"/>
    </w:rPr>
  </w:style>
  <w:style w:type="character" w:customStyle="1" w:styleId="BalloonTextChar">
    <w:name w:val="Balloon Text Char"/>
    <w:basedOn w:val="DefaultParagraphFont"/>
    <w:link w:val="BalloonText"/>
    <w:uiPriority w:val="99"/>
    <w:semiHidden/>
    <w:rsid w:val="00422E03"/>
    <w:rPr>
      <w:rFonts w:ascii="Tahoma" w:hAnsi="Tahoma" w:cs="Tahoma"/>
      <w:sz w:val="16"/>
      <w:szCs w:val="16"/>
    </w:rPr>
  </w:style>
  <w:style w:type="paragraph" w:styleId="Header">
    <w:name w:val="header"/>
    <w:basedOn w:val="Normal"/>
    <w:link w:val="HeaderChar"/>
    <w:uiPriority w:val="99"/>
    <w:unhideWhenUsed/>
    <w:rsid w:val="00422E03"/>
    <w:pPr>
      <w:tabs>
        <w:tab w:val="center" w:pos="4680"/>
        <w:tab w:val="right" w:pos="9360"/>
      </w:tabs>
    </w:pPr>
  </w:style>
  <w:style w:type="character" w:customStyle="1" w:styleId="HeaderChar">
    <w:name w:val="Header Char"/>
    <w:basedOn w:val="DefaultParagraphFont"/>
    <w:link w:val="Header"/>
    <w:uiPriority w:val="99"/>
    <w:rsid w:val="00422E03"/>
    <w:rPr>
      <w:rFonts w:ascii="Courier" w:hAnsi="Courier"/>
      <w:sz w:val="24"/>
    </w:rPr>
  </w:style>
  <w:style w:type="paragraph" w:styleId="Footer">
    <w:name w:val="footer"/>
    <w:basedOn w:val="Normal"/>
    <w:link w:val="FooterChar"/>
    <w:uiPriority w:val="99"/>
    <w:unhideWhenUsed/>
    <w:rsid w:val="00422E03"/>
    <w:pPr>
      <w:tabs>
        <w:tab w:val="center" w:pos="4680"/>
        <w:tab w:val="right" w:pos="9360"/>
      </w:tabs>
    </w:pPr>
  </w:style>
  <w:style w:type="character" w:customStyle="1" w:styleId="FooterChar">
    <w:name w:val="Footer Char"/>
    <w:basedOn w:val="DefaultParagraphFont"/>
    <w:link w:val="Footer"/>
    <w:uiPriority w:val="99"/>
    <w:rsid w:val="00422E03"/>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uiPriority w:val="99"/>
    <w:semiHidden/>
    <w:unhideWhenUsed/>
    <w:rsid w:val="00422E03"/>
    <w:rPr>
      <w:rFonts w:ascii="Tahoma" w:hAnsi="Tahoma" w:cs="Tahoma"/>
      <w:sz w:val="16"/>
      <w:szCs w:val="16"/>
    </w:rPr>
  </w:style>
  <w:style w:type="character" w:customStyle="1" w:styleId="BalloonTextChar">
    <w:name w:val="Balloon Text Char"/>
    <w:basedOn w:val="DefaultParagraphFont"/>
    <w:link w:val="BalloonText"/>
    <w:uiPriority w:val="99"/>
    <w:semiHidden/>
    <w:rsid w:val="00422E03"/>
    <w:rPr>
      <w:rFonts w:ascii="Tahoma" w:hAnsi="Tahoma" w:cs="Tahoma"/>
      <w:sz w:val="16"/>
      <w:szCs w:val="16"/>
    </w:rPr>
  </w:style>
  <w:style w:type="paragraph" w:styleId="Header">
    <w:name w:val="header"/>
    <w:basedOn w:val="Normal"/>
    <w:link w:val="HeaderChar"/>
    <w:uiPriority w:val="99"/>
    <w:unhideWhenUsed/>
    <w:rsid w:val="00422E03"/>
    <w:pPr>
      <w:tabs>
        <w:tab w:val="center" w:pos="4680"/>
        <w:tab w:val="right" w:pos="9360"/>
      </w:tabs>
    </w:pPr>
  </w:style>
  <w:style w:type="character" w:customStyle="1" w:styleId="HeaderChar">
    <w:name w:val="Header Char"/>
    <w:basedOn w:val="DefaultParagraphFont"/>
    <w:link w:val="Header"/>
    <w:uiPriority w:val="99"/>
    <w:rsid w:val="00422E03"/>
    <w:rPr>
      <w:rFonts w:ascii="Courier" w:hAnsi="Courier"/>
      <w:sz w:val="24"/>
    </w:rPr>
  </w:style>
  <w:style w:type="paragraph" w:styleId="Footer">
    <w:name w:val="footer"/>
    <w:basedOn w:val="Normal"/>
    <w:link w:val="FooterChar"/>
    <w:uiPriority w:val="99"/>
    <w:unhideWhenUsed/>
    <w:rsid w:val="00422E03"/>
    <w:pPr>
      <w:tabs>
        <w:tab w:val="center" w:pos="4680"/>
        <w:tab w:val="right" w:pos="9360"/>
      </w:tabs>
    </w:pPr>
  </w:style>
  <w:style w:type="character" w:customStyle="1" w:styleId="FooterChar">
    <w:name w:val="Footer Char"/>
    <w:basedOn w:val="DefaultParagraphFont"/>
    <w:link w:val="Footer"/>
    <w:uiPriority w:val="99"/>
    <w:rsid w:val="00422E03"/>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FA146-DD5A-4644-8274-B66BAB1CE246}">
  <ds:schemaRefs>
    <ds:schemaRef ds:uri="http://schemas.microsoft.com/sharepoint/v3/contenttype/forms"/>
  </ds:schemaRefs>
</ds:datastoreItem>
</file>

<file path=customXml/itemProps2.xml><?xml version="1.0" encoding="utf-8"?>
<ds:datastoreItem xmlns:ds="http://schemas.openxmlformats.org/officeDocument/2006/customXml" ds:itemID="{1E9E4F63-AF0B-46CF-B131-A352E8264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37EE02-9D2A-4714-B9FB-DD90A97FCCC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2117</Words>
  <Characters>11888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13978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TDinh</cp:lastModifiedBy>
  <cp:revision>3</cp:revision>
  <cp:lastPrinted>2019-11-14T16:40:00Z</cp:lastPrinted>
  <dcterms:created xsi:type="dcterms:W3CDTF">2020-01-16T16:17:00Z</dcterms:created>
  <dcterms:modified xsi:type="dcterms:W3CDTF">2020-01-29T00:04:00Z</dcterms:modified>
</cp:coreProperties>
</file>