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07AF" w:rsidR="00731A90" w:rsidRDefault="00731A90">
      <w:pPr>
        <w:pStyle w:val="Footer"/>
        <w:tabs>
          <w:tab w:val="clear" w:pos="4320"/>
          <w:tab w:val="clear" w:pos="8640"/>
          <w:tab w:val="center" w:pos="4680"/>
        </w:tabs>
        <w:jc w:val="center"/>
        <w:rPr>
          <w:rFonts w:ascii="Times New Roman" w:hAnsi="Times New Roman"/>
          <w:b/>
        </w:rPr>
      </w:pPr>
      <w:bookmarkStart w:name="_GoBack" w:id="0"/>
      <w:bookmarkEnd w:id="0"/>
      <w:r w:rsidRPr="00D807AF">
        <w:rPr>
          <w:rFonts w:ascii="Times New Roman" w:hAnsi="Times New Roman"/>
          <w:b/>
        </w:rPr>
        <w:t>SUPPORTING STATEMENT</w:t>
      </w:r>
    </w:p>
    <w:p w:rsidRPr="00D807AF" w:rsidR="00731A90" w:rsidRDefault="00C17503">
      <w:pPr>
        <w:tabs>
          <w:tab w:val="center" w:pos="4680"/>
        </w:tabs>
        <w:jc w:val="center"/>
        <w:rPr>
          <w:rFonts w:ascii="Times New Roman" w:hAnsi="Times New Roman"/>
          <w:b/>
        </w:rPr>
      </w:pPr>
      <w:r>
        <w:rPr>
          <w:rFonts w:ascii="Times New Roman" w:hAnsi="Times New Roman"/>
          <w:b/>
        </w:rPr>
        <w:t>Application for a Bank to Establish a Branch or Move its Main Office</w:t>
      </w:r>
    </w:p>
    <w:p w:rsidRPr="00D807AF" w:rsidR="00731A90" w:rsidRDefault="00731A90">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w:t>
      </w:r>
      <w:r w:rsidR="004B75B6">
        <w:rPr>
          <w:rFonts w:ascii="Times New Roman" w:hAnsi="Times New Roman"/>
          <w:b/>
        </w:rPr>
        <w:t>0</w:t>
      </w:r>
      <w:r w:rsidR="00C17503">
        <w:rPr>
          <w:rFonts w:ascii="Times New Roman" w:hAnsi="Times New Roman"/>
          <w:b/>
        </w:rPr>
        <w:t>70</w:t>
      </w:r>
      <w:r w:rsidRPr="00D807AF">
        <w:rPr>
          <w:rFonts w:ascii="Times New Roman" w:hAnsi="Times New Roman"/>
          <w:b/>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C17503" w:rsidP="00C17503" w:rsidRDefault="00C17503">
      <w:pPr>
        <w:widowControl/>
        <w:tabs>
          <w:tab w:val="left" w:pos="465"/>
          <w:tab w:val="left" w:pos="931"/>
          <w:tab w:val="left" w:pos="1513"/>
          <w:tab w:val="left" w:pos="2095"/>
        </w:tabs>
        <w:rPr>
          <w:rFonts w:ascii="Times New Roman" w:hAnsi="Times New Roman"/>
        </w:rPr>
      </w:pPr>
      <w:r>
        <w:rPr>
          <w:rFonts w:ascii="Times New Roman" w:hAnsi="Times New Roman"/>
        </w:rPr>
        <w:t xml:space="preserve">The FDIC is requesting OMB approval for the </w:t>
      </w:r>
      <w:r w:rsidR="00CE7FAA">
        <w:rPr>
          <w:rFonts w:ascii="Times New Roman" w:hAnsi="Times New Roman"/>
        </w:rPr>
        <w:t xml:space="preserve">extension, without change,  </w:t>
      </w:r>
      <w:r>
        <w:rPr>
          <w:rFonts w:ascii="Times New Roman" w:hAnsi="Times New Roman"/>
        </w:rPr>
        <w:t>and three-year extension of the information collection relating to applications by insured State nonmember banks to obtain FDIC consent to establish branches or move main offices or branches. The current clearance expires on January 31, 2020.</w:t>
      </w:r>
    </w:p>
    <w:p w:rsidR="00DB04B6" w:rsidP="004D1876" w:rsidRDefault="00DB04B6">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P="00EA72EA" w:rsidRDefault="008F53AC">
      <w:pPr>
        <w:numPr>
          <w:ilvl w:val="0"/>
          <w:numId w:val="11"/>
        </w:numPr>
        <w:rPr>
          <w:rFonts w:ascii="Times New Roman" w:hAnsi="Times New Roman"/>
        </w:rPr>
      </w:pPr>
      <w:r w:rsidRPr="00B662BE">
        <w:rPr>
          <w:rFonts w:ascii="Times New Roman" w:hAnsi="Times New Roman"/>
          <w:bCs/>
          <w:szCs w:val="24"/>
          <w:u w:val="single"/>
        </w:rPr>
        <w:t>Circumstances that make the collection necessary:</w:t>
      </w:r>
    </w:p>
    <w:p w:rsidR="00731A90" w:rsidRDefault="00731A90">
      <w:pPr>
        <w:ind w:firstLine="1440"/>
        <w:rPr>
          <w:rFonts w:ascii="Times New Roman" w:hAnsi="Times New Roman"/>
        </w:rPr>
      </w:pPr>
    </w:p>
    <w:p w:rsidR="00C17503" w:rsidP="00C17503" w:rsidRDefault="00C17503">
      <w:pPr>
        <w:widowControl/>
        <w:tabs>
          <w:tab w:val="left" w:pos="465"/>
          <w:tab w:val="left" w:pos="931"/>
          <w:tab w:val="left" w:pos="1513"/>
          <w:tab w:val="left" w:pos="2095"/>
        </w:tabs>
        <w:ind w:left="1396"/>
        <w:rPr>
          <w:rFonts w:ascii="Times New Roman" w:hAnsi="Times New Roman"/>
        </w:rPr>
      </w:pPr>
      <w:r>
        <w:rPr>
          <w:rFonts w:ascii="Times New Roman" w:hAnsi="Times New Roman"/>
        </w:rPr>
        <w:t xml:space="preserve">Section 18(d) of the Federal Deposit Insurance Act (12 USC 1828(d) (FDI Act) provides that no State nonmember insured bank shall establish and operate any new domestic branch or move its main office or any such branch from one location to another without the prior written consent of the FDIC.  Section 18(d) requires the FDIC to consider the factors enumerated in section 6 of the FDI Act (12 USC 1816) in granting or withholding consent to the applicant.  Those factors are: </w:t>
      </w:r>
    </w:p>
    <w:p w:rsidR="00C17503" w:rsidP="00C17503" w:rsidRDefault="00C17503">
      <w:pPr>
        <w:widowControl/>
        <w:tabs>
          <w:tab w:val="left" w:pos="465"/>
          <w:tab w:val="left" w:pos="931"/>
          <w:tab w:val="left" w:pos="1513"/>
          <w:tab w:val="left" w:pos="2095"/>
        </w:tabs>
        <w:ind w:left="931"/>
        <w:rPr>
          <w:rFonts w:ascii="Times New Roman" w:hAnsi="Times New Roman"/>
        </w:rPr>
      </w:pPr>
    </w:p>
    <w:p w:rsidR="00C17503" w:rsidP="00C17503" w:rsidRDefault="00C17503">
      <w:pPr>
        <w:widowControl/>
        <w:tabs>
          <w:tab w:val="left" w:pos="465"/>
          <w:tab w:val="left" w:pos="931"/>
          <w:tab w:val="left" w:pos="1513"/>
          <w:tab w:val="left" w:pos="2095"/>
        </w:tabs>
        <w:ind w:left="720" w:firstLine="931"/>
        <w:rPr>
          <w:rFonts w:ascii="Times New Roman" w:hAnsi="Times New Roman"/>
        </w:rPr>
      </w:pPr>
      <w:r>
        <w:rPr>
          <w:rFonts w:ascii="Times New Roman" w:hAnsi="Times New Roman"/>
        </w:rPr>
        <w:t>(a)</w:t>
      </w:r>
      <w:r>
        <w:rPr>
          <w:rFonts w:ascii="Times New Roman" w:hAnsi="Times New Roman"/>
        </w:rPr>
        <w:tab/>
        <w:t>The financial history and condition of the bank,</w:t>
      </w:r>
    </w:p>
    <w:p w:rsidR="00C17503" w:rsidP="00C17503" w:rsidRDefault="00C17503">
      <w:pPr>
        <w:widowControl/>
        <w:tabs>
          <w:tab w:val="left" w:pos="465"/>
          <w:tab w:val="left" w:pos="931"/>
          <w:tab w:val="left" w:pos="1513"/>
          <w:tab w:val="left" w:pos="2095"/>
        </w:tabs>
        <w:ind w:left="720" w:firstLine="931"/>
        <w:rPr>
          <w:rFonts w:ascii="Times New Roman" w:hAnsi="Times New Roman"/>
        </w:rPr>
      </w:pPr>
      <w:r>
        <w:rPr>
          <w:rFonts w:ascii="Times New Roman" w:hAnsi="Times New Roman"/>
        </w:rPr>
        <w:t>(b)</w:t>
      </w:r>
      <w:r>
        <w:rPr>
          <w:rFonts w:ascii="Times New Roman" w:hAnsi="Times New Roman"/>
        </w:rPr>
        <w:tab/>
        <w:t>The adequacy of its capital structure,</w:t>
      </w:r>
    </w:p>
    <w:p w:rsidR="00C17503" w:rsidP="00C17503" w:rsidRDefault="00C17503">
      <w:pPr>
        <w:widowControl/>
        <w:tabs>
          <w:tab w:val="left" w:pos="465"/>
          <w:tab w:val="left" w:pos="931"/>
          <w:tab w:val="left" w:pos="1513"/>
          <w:tab w:val="left" w:pos="2095"/>
        </w:tabs>
        <w:ind w:left="720" w:firstLine="931"/>
        <w:rPr>
          <w:rFonts w:ascii="Times New Roman" w:hAnsi="Times New Roman"/>
        </w:rPr>
      </w:pPr>
      <w:r>
        <w:rPr>
          <w:rFonts w:ascii="Times New Roman" w:hAnsi="Times New Roman"/>
        </w:rPr>
        <w:t>(c)</w:t>
      </w:r>
      <w:r>
        <w:rPr>
          <w:rFonts w:ascii="Times New Roman" w:hAnsi="Times New Roman"/>
        </w:rPr>
        <w:tab/>
        <w:t>Its future earnings prospects,</w:t>
      </w:r>
    </w:p>
    <w:p w:rsidR="00C17503" w:rsidP="00C17503" w:rsidRDefault="00C17503">
      <w:pPr>
        <w:widowControl/>
        <w:tabs>
          <w:tab w:val="left" w:pos="465"/>
          <w:tab w:val="left" w:pos="931"/>
          <w:tab w:val="left" w:pos="1513"/>
          <w:tab w:val="left" w:pos="2095"/>
        </w:tabs>
        <w:ind w:left="720" w:firstLine="931"/>
        <w:rPr>
          <w:rFonts w:ascii="Times New Roman" w:hAnsi="Times New Roman"/>
        </w:rPr>
      </w:pPr>
      <w:r>
        <w:rPr>
          <w:rFonts w:ascii="Times New Roman" w:hAnsi="Times New Roman"/>
        </w:rPr>
        <w:t>(d)</w:t>
      </w:r>
      <w:r>
        <w:rPr>
          <w:rFonts w:ascii="Times New Roman" w:hAnsi="Times New Roman"/>
        </w:rPr>
        <w:tab/>
        <w:t>The general character and fitness of its management,</w:t>
      </w:r>
    </w:p>
    <w:p w:rsidR="00C17503" w:rsidP="00C17503" w:rsidRDefault="00C17503">
      <w:pPr>
        <w:widowControl/>
        <w:tabs>
          <w:tab w:val="left" w:pos="465"/>
          <w:tab w:val="left" w:pos="931"/>
          <w:tab w:val="left" w:pos="1513"/>
          <w:tab w:val="left" w:pos="2095"/>
        </w:tabs>
        <w:ind w:left="2233" w:hanging="582"/>
        <w:rPr>
          <w:rFonts w:ascii="Times New Roman" w:hAnsi="Times New Roman"/>
        </w:rPr>
      </w:pPr>
      <w:r>
        <w:rPr>
          <w:rFonts w:ascii="Times New Roman" w:hAnsi="Times New Roman"/>
        </w:rPr>
        <w:t>(e)</w:t>
      </w:r>
      <w:r>
        <w:rPr>
          <w:rFonts w:ascii="Times New Roman" w:hAnsi="Times New Roman"/>
        </w:rPr>
        <w:tab/>
        <w:t>The risk presented by the bank to the Bank Insurance Fund or the Savings Association Insurance Fund,</w:t>
      </w:r>
    </w:p>
    <w:p w:rsidR="00C17503" w:rsidP="00C17503" w:rsidRDefault="00C17503">
      <w:pPr>
        <w:widowControl/>
        <w:tabs>
          <w:tab w:val="left" w:pos="465"/>
          <w:tab w:val="left" w:pos="931"/>
          <w:tab w:val="left" w:pos="1513"/>
          <w:tab w:val="left" w:pos="2095"/>
        </w:tabs>
        <w:ind w:left="2233" w:hanging="582"/>
        <w:rPr>
          <w:rFonts w:ascii="Times New Roman" w:hAnsi="Times New Roman"/>
        </w:rPr>
      </w:pPr>
      <w:r>
        <w:rPr>
          <w:rFonts w:ascii="Times New Roman" w:hAnsi="Times New Roman"/>
        </w:rPr>
        <w:t>(f)</w:t>
      </w:r>
      <w:r>
        <w:rPr>
          <w:rFonts w:ascii="Times New Roman" w:hAnsi="Times New Roman"/>
        </w:rPr>
        <w:tab/>
        <w:t>The convenience and needs of the community to be served, and</w:t>
      </w:r>
    </w:p>
    <w:p w:rsidR="00C17503" w:rsidP="00C17503" w:rsidRDefault="00C17503">
      <w:pPr>
        <w:widowControl/>
        <w:tabs>
          <w:tab w:val="left" w:pos="465"/>
          <w:tab w:val="left" w:pos="931"/>
          <w:tab w:val="left" w:pos="1513"/>
          <w:tab w:val="left" w:pos="2095"/>
        </w:tabs>
        <w:ind w:left="2233" w:hanging="582"/>
        <w:rPr>
          <w:rFonts w:ascii="Times New Roman" w:hAnsi="Times New Roman"/>
        </w:rPr>
      </w:pPr>
      <w:r>
        <w:rPr>
          <w:rFonts w:ascii="Times New Roman" w:hAnsi="Times New Roman"/>
        </w:rPr>
        <w:t>(g)</w:t>
      </w:r>
      <w:r>
        <w:rPr>
          <w:rFonts w:ascii="Times New Roman" w:hAnsi="Times New Roman"/>
        </w:rPr>
        <w:tab/>
        <w:t>Whether its corporate powers are consistent with the purposes of the FDI Act.</w:t>
      </w:r>
    </w:p>
    <w:p w:rsidR="00C17503" w:rsidP="00C17503" w:rsidRDefault="00C17503">
      <w:pPr>
        <w:widowControl/>
        <w:tabs>
          <w:tab w:val="left" w:pos="465"/>
          <w:tab w:val="left" w:pos="931"/>
          <w:tab w:val="left" w:pos="1513"/>
          <w:tab w:val="left" w:pos="2095"/>
        </w:tabs>
        <w:rPr>
          <w:rFonts w:ascii="Times New Roman" w:hAnsi="Times New Roman"/>
        </w:rPr>
      </w:pPr>
    </w:p>
    <w:p w:rsidRPr="00373ED8" w:rsidR="00C17503" w:rsidP="00650A0B" w:rsidRDefault="00C17503">
      <w:pPr>
        <w:rPr>
          <w:rFonts w:ascii="Times New Roman" w:hAnsi="Times New Roman"/>
        </w:rPr>
      </w:pPr>
    </w:p>
    <w:p w:rsidRPr="00373ED8" w:rsidR="004D1876" w:rsidP="00EA72EA" w:rsidRDefault="004D1876">
      <w:pPr>
        <w:numPr>
          <w:ilvl w:val="0"/>
          <w:numId w:val="11"/>
        </w:numPr>
        <w:tabs>
          <w:tab w:val="left" w:pos="-1440"/>
        </w:tabs>
        <w:rPr>
          <w:rFonts w:ascii="Times New Roman" w:hAnsi="Times New Roman"/>
        </w:rPr>
      </w:pPr>
      <w:r w:rsidRPr="00373ED8">
        <w:rPr>
          <w:rFonts w:ascii="Times New Roman" w:hAnsi="Times New Roman"/>
          <w:u w:val="single"/>
        </w:rPr>
        <w:t>Use of the information:</w:t>
      </w:r>
    </w:p>
    <w:p w:rsidRPr="00373ED8" w:rsidR="004D1876" w:rsidP="004D1876" w:rsidRDefault="004D1876">
      <w:pPr>
        <w:ind w:left="1440"/>
        <w:rPr>
          <w:rFonts w:ascii="Times New Roman" w:hAnsi="Times New Roman"/>
        </w:rPr>
      </w:pPr>
    </w:p>
    <w:p w:rsidR="008A2703" w:rsidP="008A2703" w:rsidRDefault="00C17503">
      <w:pPr>
        <w:ind w:left="1440"/>
        <w:rPr>
          <w:rFonts w:ascii="Times New Roman" w:hAnsi="Times New Roman"/>
        </w:rPr>
      </w:pPr>
      <w:r>
        <w:rPr>
          <w:rFonts w:ascii="Times New Roman" w:hAnsi="Times New Roman"/>
        </w:rPr>
        <w:t>The applicant is required to furnish information, in letter form, about the location of the proposed site, the involvement of bank insiders in the proposal, the impact of the proposal on the environment and compliance with local zoning laws, historic preservation considerations, community services considerations, and evidence of public notice of the proposal.  The information furnished by the applicant is used by the FDIC as a basis for evaluating the factors required by statute (12 USC 1828(d) and 1816) before approving the application.</w:t>
      </w:r>
    </w:p>
    <w:p w:rsidR="008A2703" w:rsidP="008A2703" w:rsidRDefault="008A2703">
      <w:pPr>
        <w:ind w:left="1440"/>
        <w:rPr>
          <w:rFonts w:ascii="Times New Roman" w:hAnsi="Times New Roman"/>
        </w:rPr>
      </w:pPr>
    </w:p>
    <w:p w:rsidR="00731A90" w:rsidP="00EA72EA" w:rsidRDefault="00D807AF">
      <w:pPr>
        <w:numPr>
          <w:ilvl w:val="0"/>
          <w:numId w:val="11"/>
        </w:numPr>
        <w:rPr>
          <w:rFonts w:ascii="Times New Roman" w:hAnsi="Times New Roman"/>
        </w:rPr>
      </w:pPr>
      <w:r w:rsidRPr="00B662BE">
        <w:rPr>
          <w:rFonts w:ascii="Times New Roman" w:hAnsi="Times New Roman"/>
          <w:bCs/>
          <w:szCs w:val="24"/>
          <w:u w:val="single"/>
        </w:rPr>
        <w:t>Consideration of the use of improved information technology:</w:t>
      </w:r>
    </w:p>
    <w:p w:rsidR="00731A90" w:rsidRDefault="00731A90">
      <w:pPr>
        <w:rPr>
          <w:rFonts w:ascii="Times New Roman" w:hAnsi="Times New Roman"/>
        </w:rPr>
      </w:pPr>
    </w:p>
    <w:p w:rsidR="00733A7C" w:rsidP="00736FF6" w:rsidRDefault="00C17503">
      <w:pPr>
        <w:ind w:left="1440"/>
        <w:rPr>
          <w:rFonts w:ascii="Times New Roman" w:hAnsi="Times New Roman"/>
        </w:rPr>
      </w:pPr>
      <w:r>
        <w:rPr>
          <w:rFonts w:ascii="Times New Roman" w:hAnsi="Times New Roman"/>
        </w:rPr>
        <w:t xml:space="preserve">Respondents provide the information for this collection through the FDIC’s </w:t>
      </w:r>
      <w:r>
        <w:rPr>
          <w:rFonts w:ascii="Times New Roman" w:hAnsi="Times New Roman"/>
        </w:rPr>
        <w:lastRenderedPageBreak/>
        <w:t>secure interactive Website, FDIC</w:t>
      </w:r>
      <w:r>
        <w:rPr>
          <w:rFonts w:ascii="Times New Roman" w:hAnsi="Times New Roman"/>
          <w:i/>
        </w:rPr>
        <w:t>connect</w:t>
      </w:r>
      <w:r>
        <w:rPr>
          <w:rFonts w:ascii="Times New Roman" w:hAnsi="Times New Roman"/>
        </w:rPr>
        <w:t>.</w:t>
      </w:r>
    </w:p>
    <w:p w:rsidR="00C17503" w:rsidP="00736FF6" w:rsidRDefault="00C17503">
      <w:pPr>
        <w:ind w:left="1440"/>
        <w:rPr>
          <w:rFonts w:ascii="Times New Roman" w:hAnsi="Times New Roman"/>
        </w:rPr>
      </w:pPr>
    </w:p>
    <w:p w:rsidR="00731A90" w:rsidP="00EA72EA" w:rsidRDefault="00D807AF">
      <w:pPr>
        <w:numPr>
          <w:ilvl w:val="0"/>
          <w:numId w:val="11"/>
        </w:numPr>
        <w:rPr>
          <w:rFonts w:ascii="Times New Roman" w:hAnsi="Times New Roman"/>
        </w:rPr>
      </w:pPr>
      <w:r>
        <w:rPr>
          <w:rFonts w:ascii="Times New Roman" w:hAnsi="Times New Roman"/>
          <w:u w:val="single"/>
        </w:rPr>
        <w:t>Efforts to identify d</w:t>
      </w:r>
      <w:r w:rsidR="00731A90">
        <w:rPr>
          <w:rFonts w:ascii="Times New Roman" w:hAnsi="Times New Roman"/>
          <w:u w:val="single"/>
        </w:rPr>
        <w:t>uplication</w:t>
      </w:r>
      <w:r w:rsidR="008F53AC">
        <w:rPr>
          <w:rFonts w:ascii="Times New Roman" w:hAnsi="Times New Roman"/>
          <w:u w:val="single"/>
        </w:rPr>
        <w:t>:</w:t>
      </w:r>
    </w:p>
    <w:p w:rsidR="00731A90" w:rsidRDefault="00731A90">
      <w:pPr>
        <w:rPr>
          <w:rFonts w:ascii="Times New Roman" w:hAnsi="Times New Roman"/>
        </w:rPr>
      </w:pPr>
    </w:p>
    <w:p w:rsidR="00731A90" w:rsidP="00F034F1" w:rsidRDefault="00F034F1">
      <w:pPr>
        <w:ind w:left="1440"/>
        <w:rPr>
          <w:rFonts w:ascii="Times New Roman" w:hAnsi="Times New Roman"/>
        </w:rPr>
      </w:pPr>
      <w:r w:rsidRPr="00F034F1">
        <w:rPr>
          <w:rFonts w:ascii="Times New Roman" w:hAnsi="Times New Roman"/>
        </w:rPr>
        <w:t xml:space="preserve">This collection does not duplicate information provided elsewhere.  </w:t>
      </w:r>
    </w:p>
    <w:p w:rsidR="00F034F1" w:rsidRDefault="00F034F1">
      <w:pPr>
        <w:ind w:left="720"/>
        <w:rPr>
          <w:rFonts w:ascii="Times New Roman" w:hAnsi="Times New Roman"/>
        </w:rPr>
      </w:pPr>
    </w:p>
    <w:p w:rsidRPr="00EA72EA" w:rsidR="00EA72EA" w:rsidP="00EA72EA" w:rsidRDefault="00D807AF">
      <w:pPr>
        <w:numPr>
          <w:ilvl w:val="0"/>
          <w:numId w:val="11"/>
        </w:numPr>
        <w:rPr>
          <w:rFonts w:ascii="Times New Roman" w:hAnsi="Times New Roman"/>
          <w:u w:val="single"/>
        </w:rPr>
      </w:pPr>
      <w:r w:rsidRPr="008873E8">
        <w:rPr>
          <w:rFonts w:ascii="Times New Roman" w:hAnsi="Times New Roman"/>
          <w:bCs/>
          <w:szCs w:val="24"/>
          <w:u w:val="single"/>
        </w:rPr>
        <w:t>Methods used to minimize burden if the collectio</w:t>
      </w:r>
      <w:r w:rsidR="00EA72EA">
        <w:rPr>
          <w:rFonts w:ascii="Times New Roman" w:hAnsi="Times New Roman"/>
          <w:bCs/>
          <w:szCs w:val="24"/>
          <w:u w:val="single"/>
        </w:rPr>
        <w:t xml:space="preserve">n has a significant impact on </w:t>
      </w:r>
    </w:p>
    <w:p w:rsidR="00731A90" w:rsidP="00EA72EA" w:rsidRDefault="00D807AF">
      <w:pPr>
        <w:ind w:left="1080" w:firstLine="360"/>
        <w:rPr>
          <w:rFonts w:ascii="Times New Roman" w:hAnsi="Times New Roman"/>
          <w:u w:val="single"/>
        </w:rPr>
      </w:pPr>
      <w:r w:rsidRPr="008873E8">
        <w:rPr>
          <w:rFonts w:ascii="Times New Roman" w:hAnsi="Times New Roman"/>
          <w:bCs/>
          <w:szCs w:val="24"/>
          <w:u w:val="single"/>
        </w:rPr>
        <w:t>substantial number of small entities:</w:t>
      </w:r>
    </w:p>
    <w:p w:rsidR="00731A90" w:rsidRDefault="00731A90">
      <w:pPr>
        <w:ind w:left="1440"/>
        <w:rPr>
          <w:rFonts w:ascii="Times New Roman" w:hAnsi="Times New Roman"/>
        </w:rPr>
      </w:pPr>
    </w:p>
    <w:p w:rsidR="00C17503" w:rsidP="00C17503" w:rsidRDefault="00733A7C">
      <w:pPr>
        <w:widowControl/>
        <w:tabs>
          <w:tab w:val="left" w:pos="465"/>
          <w:tab w:val="left" w:pos="931"/>
          <w:tab w:val="left" w:pos="1513"/>
          <w:tab w:val="left" w:pos="2095"/>
        </w:tabs>
        <w:ind w:left="1440"/>
        <w:rPr>
          <w:rFonts w:ascii="Times New Roman" w:hAnsi="Times New Roman"/>
        </w:rPr>
      </w:pPr>
      <w:r w:rsidRPr="00733A7C">
        <w:rPr>
          <w:rFonts w:ascii="Times New Roman" w:hAnsi="Times New Roman"/>
          <w:szCs w:val="24"/>
        </w:rPr>
        <w:t xml:space="preserve">The agencies do not have reason to believe the collection has a significant impact on a substantial number of small entities.  </w:t>
      </w:r>
      <w:r w:rsidR="00C17503">
        <w:rPr>
          <w:rFonts w:ascii="Times New Roman" w:hAnsi="Times New Roman"/>
        </w:rPr>
        <w:t xml:space="preserve">The information collected is only that required to evaluate the applicant, giving consideration to the statutory factors enumerated in section 6 of the FDI Act. </w:t>
      </w:r>
    </w:p>
    <w:p w:rsidR="007C2247" w:rsidP="007C2247" w:rsidRDefault="007C2247">
      <w:pPr>
        <w:ind w:left="1440"/>
        <w:rPr>
          <w:rFonts w:ascii="Times New Roman" w:hAnsi="Times New Roman"/>
        </w:rPr>
      </w:pPr>
    </w:p>
    <w:p w:rsidR="00731A90" w:rsidP="00EA72EA" w:rsidRDefault="00D807AF">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rsidRDefault="00731A90">
      <w:pPr>
        <w:rPr>
          <w:rFonts w:ascii="Times New Roman" w:hAnsi="Times New Roman"/>
        </w:rPr>
      </w:pPr>
    </w:p>
    <w:p w:rsidRPr="00733A7C" w:rsidR="00733A7C" w:rsidP="00733A7C" w:rsidRDefault="00733A7C">
      <w:pPr>
        <w:ind w:left="1440"/>
        <w:rPr>
          <w:rFonts w:ascii="Times New Roman" w:hAnsi="Times New Roman"/>
          <w:snapToGrid/>
        </w:rPr>
      </w:pPr>
      <w:r w:rsidRPr="00733A7C">
        <w:rPr>
          <w:rFonts w:ascii="Times New Roman" w:hAnsi="Times New Roman"/>
          <w:snapToGrid/>
        </w:rPr>
        <w:t>Less frequent collection would be in violation of a Federal statute.</w:t>
      </w:r>
      <w:r w:rsidR="00C17503">
        <w:rPr>
          <w:rFonts w:ascii="Times New Roman" w:hAnsi="Times New Roman"/>
          <w:snapToGrid/>
        </w:rPr>
        <w:t xml:space="preserve"> </w:t>
      </w:r>
      <w:r w:rsidR="00C17503">
        <w:rPr>
          <w:rFonts w:ascii="Times New Roman" w:hAnsi="Times New Roman"/>
        </w:rPr>
        <w:t>The information is collected only when a bank wishes to establish a branch or move the main office or relocate a branch as required by statute.</w:t>
      </w:r>
    </w:p>
    <w:p w:rsidR="00AD6A6E" w:rsidP="001509ED" w:rsidRDefault="00AD6A6E">
      <w:pPr>
        <w:ind w:left="1440"/>
        <w:rPr>
          <w:rFonts w:ascii="Times New Roman" w:hAnsi="Times New Roman"/>
        </w:rPr>
      </w:pPr>
    </w:p>
    <w:p w:rsidRPr="001F2A5D" w:rsidR="00D807AF" w:rsidP="00EA72EA" w:rsidRDefault="00D807AF">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rsidRDefault="00731A90">
      <w:pPr>
        <w:rPr>
          <w:rFonts w:ascii="Times New Roman" w:hAnsi="Times New Roman"/>
        </w:rPr>
      </w:pPr>
    </w:p>
    <w:p w:rsidRPr="0011503E" w:rsidR="00D40E93" w:rsidP="002F0A91" w:rsidRDefault="00D40E93">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rsidRDefault="00D807AF">
      <w:pPr>
        <w:pStyle w:val="BodyTextIndent"/>
        <w:ind w:left="1440"/>
      </w:pPr>
      <w:r w:rsidRPr="008873E8">
        <w:rPr>
          <w:szCs w:val="24"/>
        </w:rPr>
        <w:t xml:space="preserve"> </w:t>
      </w:r>
    </w:p>
    <w:p w:rsidRPr="001F2A5D" w:rsidR="00D807AF" w:rsidP="00EA72EA" w:rsidRDefault="00D807AF">
      <w:pPr>
        <w:numPr>
          <w:ilvl w:val="0"/>
          <w:numId w:val="11"/>
        </w:numPr>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rsidRDefault="00731A90">
      <w:pPr>
        <w:ind w:firstLine="720"/>
        <w:rPr>
          <w:rFonts w:ascii="Times New Roman" w:hAnsi="Times New Roman"/>
        </w:rPr>
      </w:pPr>
    </w:p>
    <w:p w:rsidR="001E004B" w:rsidP="00DB04B6" w:rsidRDefault="001509ED">
      <w:pPr>
        <w:widowControl/>
        <w:autoSpaceDE w:val="0"/>
        <w:autoSpaceDN w:val="0"/>
        <w:adjustRightInd w:val="0"/>
        <w:ind w:left="1440"/>
        <w:rPr>
          <w:rFonts w:ascii="Times New Roman" w:hAnsi="Times New Roman"/>
          <w:iCs/>
          <w:szCs w:val="24"/>
        </w:rPr>
      </w:pPr>
      <w:r>
        <w:rPr>
          <w:rFonts w:ascii="Times New Roman" w:hAnsi="Times New Roman"/>
        </w:rPr>
        <w:t>On</w:t>
      </w:r>
      <w:r w:rsidR="007C2247">
        <w:rPr>
          <w:rFonts w:ascii="Times New Roman" w:hAnsi="Times New Roman"/>
          <w:szCs w:val="24"/>
        </w:rPr>
        <w:t xml:space="preserve"> October 29</w:t>
      </w:r>
      <w:r w:rsidR="00CA0749">
        <w:rPr>
          <w:rFonts w:ascii="Times New Roman" w:hAnsi="Times New Roman"/>
          <w:szCs w:val="24"/>
        </w:rPr>
        <w:t>, 2019</w:t>
      </w:r>
      <w:r>
        <w:rPr>
          <w:rFonts w:ascii="Times New Roman" w:hAnsi="Times New Roman"/>
          <w:szCs w:val="24"/>
        </w:rPr>
        <w:t xml:space="preserve">, the FDIC published a </w:t>
      </w:r>
      <w:r>
        <w:rPr>
          <w:rFonts w:ascii="Times New Roman" w:hAnsi="Times New Roman"/>
          <w:szCs w:val="24"/>
          <w:u w:val="single"/>
        </w:rPr>
        <w:t>Federal Register</w:t>
      </w:r>
      <w:r>
        <w:rPr>
          <w:rFonts w:ascii="Times New Roman" w:hAnsi="Times New Roman"/>
          <w:szCs w:val="24"/>
        </w:rPr>
        <w:t xml:space="preserve"> notice proposing to extend the </w:t>
      </w:r>
      <w:r w:rsidR="007C2247">
        <w:rPr>
          <w:rFonts w:ascii="Times New Roman" w:hAnsi="Times New Roman"/>
          <w:szCs w:val="24"/>
        </w:rPr>
        <w:t>Notification of Performance of Bank Services</w:t>
      </w:r>
      <w:r w:rsidR="00AD6A6E">
        <w:rPr>
          <w:rFonts w:ascii="Times New Roman" w:hAnsi="Times New Roman"/>
          <w:szCs w:val="24"/>
        </w:rPr>
        <w:t xml:space="preserve"> </w:t>
      </w:r>
      <w:r>
        <w:rPr>
          <w:rFonts w:ascii="Times New Roman" w:hAnsi="Times New Roman"/>
          <w:szCs w:val="24"/>
        </w:rPr>
        <w:t>existing information collection (84</w:t>
      </w:r>
      <w:r w:rsidRPr="006A0452">
        <w:rPr>
          <w:rFonts w:ascii="Times New Roman" w:hAnsi="Times New Roman"/>
          <w:szCs w:val="24"/>
        </w:rPr>
        <w:t xml:space="preserve"> FR </w:t>
      </w:r>
      <w:r w:rsidR="00F034F1">
        <w:rPr>
          <w:rFonts w:ascii="Times New Roman" w:hAnsi="Times New Roman"/>
          <w:szCs w:val="24"/>
        </w:rPr>
        <w:t>5</w:t>
      </w:r>
      <w:r w:rsidR="007C2247">
        <w:rPr>
          <w:rFonts w:ascii="Times New Roman" w:hAnsi="Times New Roman"/>
          <w:szCs w:val="24"/>
        </w:rPr>
        <w:t>7869</w:t>
      </w:r>
      <w:r>
        <w:rPr>
          <w:rFonts w:ascii="Times New Roman" w:hAnsi="Times New Roman"/>
          <w:szCs w:val="24"/>
        </w:rPr>
        <w:t xml:space="preserve">).  </w:t>
      </w:r>
      <w:r>
        <w:rPr>
          <w:rFonts w:ascii="Times New Roman" w:hAnsi="Times New Roman"/>
          <w:iCs/>
          <w:szCs w:val="24"/>
        </w:rPr>
        <w:t>The FDIC</w:t>
      </w:r>
      <w:r w:rsidRPr="007E5FB2">
        <w:rPr>
          <w:rFonts w:ascii="Times New Roman" w:hAnsi="Times New Roman"/>
          <w:iCs/>
          <w:szCs w:val="24"/>
        </w:rPr>
        <w:t xml:space="preserve"> </w:t>
      </w:r>
      <w:r>
        <w:rPr>
          <w:rFonts w:ascii="Times New Roman" w:hAnsi="Times New Roman"/>
          <w:iCs/>
          <w:szCs w:val="24"/>
        </w:rPr>
        <w:t>did not</w:t>
      </w:r>
      <w:r w:rsidRPr="007E5FB2">
        <w:rPr>
          <w:rFonts w:ascii="Times New Roman" w:hAnsi="Times New Roman"/>
          <w:iCs/>
          <w:szCs w:val="24"/>
        </w:rPr>
        <w:t xml:space="preserve"> receive </w:t>
      </w:r>
      <w:r>
        <w:rPr>
          <w:rFonts w:ascii="Times New Roman" w:hAnsi="Times New Roman"/>
          <w:iCs/>
          <w:szCs w:val="24"/>
        </w:rPr>
        <w:t>any</w:t>
      </w:r>
      <w:r w:rsidRPr="007E5FB2">
        <w:rPr>
          <w:rFonts w:ascii="Times New Roman" w:hAnsi="Times New Roman"/>
          <w:iCs/>
          <w:szCs w:val="24"/>
        </w:rPr>
        <w:t xml:space="preserve"> comment</w:t>
      </w:r>
      <w:r>
        <w:rPr>
          <w:rFonts w:ascii="Times New Roman" w:hAnsi="Times New Roman"/>
          <w:iCs/>
          <w:szCs w:val="24"/>
        </w:rPr>
        <w:t>s addressing this collection of information</w:t>
      </w:r>
      <w:r w:rsidRPr="007E5FB2">
        <w:rPr>
          <w:rFonts w:ascii="Times New Roman" w:hAnsi="Times New Roman"/>
          <w:iCs/>
          <w:szCs w:val="24"/>
        </w:rPr>
        <w:t>.</w:t>
      </w:r>
    </w:p>
    <w:p w:rsidR="001509ED" w:rsidP="00DB04B6" w:rsidRDefault="001509ED">
      <w:pPr>
        <w:widowControl/>
        <w:autoSpaceDE w:val="0"/>
        <w:autoSpaceDN w:val="0"/>
        <w:adjustRightInd w:val="0"/>
        <w:ind w:left="1440"/>
        <w:rPr>
          <w:rFonts w:ascii="Times New Roman" w:hAnsi="Times New Roman"/>
        </w:rPr>
      </w:pPr>
    </w:p>
    <w:p w:rsidRPr="001F2A5D" w:rsidR="00D807AF" w:rsidP="00EA72EA" w:rsidRDefault="00D807AF">
      <w:pPr>
        <w:numPr>
          <w:ilvl w:val="0"/>
          <w:numId w:val="11"/>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EA72EA" w:rsidRDefault="00D807AF">
      <w:pPr>
        <w:numPr>
          <w:ilvl w:val="0"/>
          <w:numId w:val="11"/>
        </w:numPr>
        <w:rPr>
          <w:rFonts w:ascii="Times New Roman" w:hAnsi="Times New Roman"/>
        </w:rPr>
      </w:pPr>
      <w:r w:rsidRPr="00647F97">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00736FF6" w:rsidP="00E965B1" w:rsidRDefault="00E965B1">
      <w:pPr>
        <w:ind w:left="1440"/>
        <w:rPr>
          <w:rFonts w:ascii="Times New Roman" w:hAnsi="Times New Roman"/>
        </w:rPr>
      </w:pPr>
      <w:r>
        <w:rPr>
          <w:rFonts w:ascii="Times New Roman" w:hAnsi="Times New Roman"/>
        </w:rPr>
        <w:t>Identifying information regarding the applicant and its proposed transaction is publicly available.  Otherwise, information will be kept private to the extent allowed by law.</w:t>
      </w:r>
    </w:p>
    <w:p w:rsidR="003F3598" w:rsidP="003F3598" w:rsidRDefault="003F3598">
      <w:pPr>
        <w:ind w:left="720" w:firstLine="720"/>
        <w:rPr>
          <w:rFonts w:ascii="Times New Roman" w:hAnsi="Times New Roman"/>
        </w:rPr>
      </w:pPr>
    </w:p>
    <w:p w:rsidRPr="00E5596D" w:rsidR="003F3598" w:rsidP="003F3598" w:rsidRDefault="003F3598">
      <w:pPr>
        <w:ind w:left="720" w:firstLine="720"/>
        <w:rPr>
          <w:rFonts w:ascii="Times New Roman" w:hAnsi="Times New Roman"/>
        </w:rPr>
      </w:pPr>
    </w:p>
    <w:p w:rsidR="00731A90" w:rsidP="00EA72EA" w:rsidRDefault="00D807AF">
      <w:pPr>
        <w:numPr>
          <w:ilvl w:val="0"/>
          <w:numId w:val="11"/>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rsidRDefault="00731A90">
      <w:pPr>
        <w:rPr>
          <w:rFonts w:ascii="Times New Roman" w:hAnsi="Times New Roman"/>
        </w:rPr>
      </w:pPr>
    </w:p>
    <w:p w:rsidR="001509ED" w:rsidP="001509ED" w:rsidRDefault="00733A7C">
      <w:pPr>
        <w:ind w:left="1440"/>
        <w:rPr>
          <w:rFonts w:ascii="Times New Roman" w:hAnsi="Times New Roman"/>
        </w:rPr>
      </w:pPr>
      <w:r>
        <w:rPr>
          <w:rFonts w:ascii="Times New Roman" w:hAnsi="Times New Roman"/>
        </w:rPr>
        <w:t xml:space="preserve">No information of a sensitive nature is requested. </w:t>
      </w:r>
    </w:p>
    <w:p w:rsidR="00736FF6" w:rsidP="001509ED" w:rsidRDefault="00736FF6">
      <w:pPr>
        <w:ind w:left="1440"/>
        <w:rPr>
          <w:rFonts w:ascii="Times New Roman" w:hAnsi="Times New Roman"/>
        </w:rPr>
      </w:pPr>
    </w:p>
    <w:p w:rsidRPr="000D67E2" w:rsidR="00731A90" w:rsidP="00EA72EA" w:rsidRDefault="009F4532">
      <w:pPr>
        <w:numPr>
          <w:ilvl w:val="0"/>
          <w:numId w:val="11"/>
        </w:numPr>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AF79FB" w:rsidP="00AF79FB" w:rsidRDefault="00AF79FB">
      <w:pPr>
        <w:ind w:left="1080"/>
        <w:rPr>
          <w:rFonts w:ascii="Times New Roman" w:hAnsi="Times New Roman"/>
          <w:szCs w:val="24"/>
          <w:u w:val="single"/>
        </w:rPr>
      </w:pPr>
    </w:p>
    <w:tbl>
      <w:tblPr>
        <w:tblpPr w:leftFromText="180" w:rightFromText="180" w:vertAnchor="text" w:horzAnchor="margin" w:tblpY="517"/>
        <w:tblW w:w="9611" w:type="dxa"/>
        <w:tblLook w:val="04A0" w:firstRow="1" w:lastRow="0" w:firstColumn="1" w:lastColumn="0" w:noHBand="0" w:noVBand="1"/>
      </w:tblPr>
      <w:tblGrid>
        <w:gridCol w:w="3438"/>
        <w:gridCol w:w="1045"/>
        <w:gridCol w:w="1010"/>
        <w:gridCol w:w="1152"/>
        <w:gridCol w:w="973"/>
        <w:gridCol w:w="1007"/>
        <w:gridCol w:w="986"/>
      </w:tblGrid>
      <w:tr w:rsidRPr="00736FF6" w:rsidR="00736FF6" w:rsidTr="00ED4653">
        <w:trPr>
          <w:trHeight w:val="710"/>
        </w:trPr>
        <w:tc>
          <w:tcPr>
            <w:tcW w:w="9611"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00736FF6" w:rsidP="00733A7C" w:rsidRDefault="00736FF6">
            <w:pPr>
              <w:widowControl/>
              <w:jc w:val="center"/>
              <w:rPr>
                <w:rFonts w:ascii="Times New Roman" w:hAnsi="Times New Roman"/>
                <w:b/>
                <w:bCs/>
                <w:snapToGrid/>
                <w:color w:val="000000"/>
                <w:sz w:val="16"/>
                <w:szCs w:val="16"/>
              </w:rPr>
            </w:pPr>
          </w:p>
          <w:p w:rsidRPr="00736FF6" w:rsidR="00736FF6" w:rsidP="00733A7C" w:rsidRDefault="00736FF6">
            <w:pPr>
              <w:widowControl/>
              <w:jc w:val="center"/>
              <w:rPr>
                <w:rFonts w:ascii="Times New Roman" w:hAnsi="Times New Roman"/>
                <w:b/>
                <w:bCs/>
                <w:snapToGrid/>
                <w:color w:val="000000"/>
                <w:sz w:val="16"/>
                <w:szCs w:val="16"/>
              </w:rPr>
            </w:pPr>
            <w:r w:rsidRPr="00736FF6">
              <w:rPr>
                <w:rFonts w:ascii="Times New Roman" w:hAnsi="Times New Roman"/>
                <w:b/>
                <w:bCs/>
                <w:snapToGrid/>
                <w:color w:val="000000"/>
                <w:sz w:val="16"/>
                <w:szCs w:val="16"/>
              </w:rPr>
              <w:t xml:space="preserve">Summary of </w:t>
            </w:r>
            <w:r w:rsidR="00733A7C">
              <w:rPr>
                <w:rFonts w:ascii="Times New Roman" w:hAnsi="Times New Roman"/>
                <w:b/>
                <w:bCs/>
                <w:snapToGrid/>
                <w:color w:val="000000"/>
                <w:sz w:val="16"/>
                <w:szCs w:val="16"/>
              </w:rPr>
              <w:t xml:space="preserve"> Third Party Disclosure </w:t>
            </w:r>
            <w:r w:rsidRPr="00736FF6">
              <w:rPr>
                <w:rFonts w:ascii="Times New Roman" w:hAnsi="Times New Roman"/>
                <w:b/>
                <w:bCs/>
                <w:snapToGrid/>
                <w:color w:val="000000"/>
                <w:sz w:val="16"/>
                <w:szCs w:val="16"/>
              </w:rPr>
              <w:t>Annual Burd</w:t>
            </w:r>
            <w:r>
              <w:rPr>
                <w:rFonts w:ascii="Times New Roman" w:hAnsi="Times New Roman"/>
                <w:b/>
                <w:bCs/>
                <w:snapToGrid/>
                <w:color w:val="000000"/>
                <w:sz w:val="16"/>
                <w:szCs w:val="16"/>
              </w:rPr>
              <w:t xml:space="preserve">en and Internal Cost </w:t>
            </w:r>
            <w:r w:rsidRPr="00736FF6">
              <w:rPr>
                <w:rFonts w:ascii="Times New Roman" w:hAnsi="Times New Roman"/>
                <w:b/>
                <w:bCs/>
                <w:snapToGrid/>
                <w:color w:val="000000"/>
                <w:sz w:val="16"/>
                <w:szCs w:val="16"/>
              </w:rPr>
              <w:br/>
            </w:r>
          </w:p>
        </w:tc>
      </w:tr>
      <w:tr w:rsidRPr="00736FF6" w:rsidR="00ED4653" w:rsidTr="00ED4653">
        <w:trPr>
          <w:trHeight w:val="428"/>
        </w:trPr>
        <w:tc>
          <w:tcPr>
            <w:tcW w:w="3438" w:type="dxa"/>
            <w:tcBorders>
              <w:top w:val="nil"/>
              <w:left w:val="single" w:color="auto" w:sz="4" w:space="0"/>
              <w:bottom w:val="single" w:color="auto" w:sz="4" w:space="0"/>
              <w:right w:val="single" w:color="auto" w:sz="4" w:space="0"/>
            </w:tcBorders>
            <w:shd w:val="clear" w:color="000000" w:fill="D9D9D9"/>
            <w:noWrap/>
            <w:vAlign w:val="center"/>
            <w:hideMark/>
          </w:tcPr>
          <w:p w:rsidRPr="00736FF6" w:rsidR="00ED4653" w:rsidP="00733A7C" w:rsidRDefault="00ED4653">
            <w:pPr>
              <w:widowControl/>
              <w:jc w:val="center"/>
              <w:rPr>
                <w:rFonts w:ascii="Times New Roman" w:hAnsi="Times New Roman"/>
                <w:b/>
                <w:bCs/>
                <w:snapToGrid/>
                <w:color w:val="000000"/>
                <w:sz w:val="16"/>
                <w:szCs w:val="16"/>
              </w:rPr>
            </w:pPr>
            <w:r w:rsidRPr="00736FF6">
              <w:rPr>
                <w:rFonts w:ascii="Times New Roman" w:hAnsi="Times New Roman"/>
                <w:b/>
                <w:bCs/>
                <w:snapToGrid/>
                <w:color w:val="000000"/>
                <w:sz w:val="16"/>
                <w:szCs w:val="16"/>
              </w:rPr>
              <w:t>Information Collection (IC) Description</w:t>
            </w:r>
          </w:p>
        </w:tc>
        <w:tc>
          <w:tcPr>
            <w:tcW w:w="1045"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Type of Burden</w:t>
            </w:r>
          </w:p>
        </w:tc>
        <w:tc>
          <w:tcPr>
            <w:tcW w:w="1010"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Obligation to Respond</w:t>
            </w:r>
          </w:p>
        </w:tc>
        <w:tc>
          <w:tcPr>
            <w:tcW w:w="1152"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Estimated Number of Respondents</w:t>
            </w:r>
          </w:p>
        </w:tc>
        <w:tc>
          <w:tcPr>
            <w:tcW w:w="973"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Estimated Time per Response</w:t>
            </w:r>
          </w:p>
        </w:tc>
        <w:tc>
          <w:tcPr>
            <w:tcW w:w="1007"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Frequency of Response</w:t>
            </w:r>
          </w:p>
        </w:tc>
        <w:tc>
          <w:tcPr>
            <w:tcW w:w="986" w:type="dxa"/>
            <w:tcBorders>
              <w:top w:val="nil"/>
              <w:left w:val="nil"/>
              <w:bottom w:val="single" w:color="auto" w:sz="4" w:space="0"/>
              <w:right w:val="single" w:color="auto" w:sz="4" w:space="0"/>
            </w:tcBorders>
            <w:shd w:val="clear" w:color="000000" w:fill="D9D9D9"/>
            <w:vAlign w:val="center"/>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Total Annual Estimated Burden</w:t>
            </w:r>
          </w:p>
        </w:tc>
      </w:tr>
      <w:tr w:rsidRPr="00736FF6" w:rsidR="00ED4653" w:rsidTr="00ED4653">
        <w:trPr>
          <w:trHeight w:val="285"/>
        </w:trPr>
        <w:tc>
          <w:tcPr>
            <w:tcW w:w="3438"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953549" w:rsidR="00ED4653" w:rsidP="00733A7C" w:rsidRDefault="00ED4653">
            <w:pPr>
              <w:widowControl/>
              <w:rPr>
                <w:rFonts w:ascii="Times New Roman" w:hAnsi="Times New Roman"/>
                <w:b/>
                <w:bCs/>
                <w:snapToGrid/>
                <w:color w:val="000000"/>
                <w:sz w:val="18"/>
                <w:szCs w:val="18"/>
              </w:rPr>
            </w:pPr>
            <w:r>
              <w:rPr>
                <w:rFonts w:ascii="Times New Roman" w:hAnsi="Times New Roman"/>
                <w:b/>
                <w:bCs/>
                <w:color w:val="000000"/>
                <w:sz w:val="18"/>
              </w:rPr>
              <w:t>Application for a bank to establish a branch or move its main office or branch</w:t>
            </w:r>
          </w:p>
        </w:tc>
        <w:tc>
          <w:tcPr>
            <w:tcW w:w="1045" w:type="dxa"/>
            <w:tcBorders>
              <w:top w:val="single" w:color="auto" w:sz="4" w:space="0"/>
              <w:left w:val="nil"/>
              <w:bottom w:val="single" w:color="auto" w:sz="4" w:space="0"/>
              <w:right w:val="single" w:color="auto" w:sz="4" w:space="0"/>
            </w:tcBorders>
            <w:shd w:val="clear" w:color="auto" w:fill="auto"/>
            <w:vAlign w:val="center"/>
            <w:hideMark/>
          </w:tcPr>
          <w:p w:rsidRPr="00733A7C" w:rsidR="00ED4653" w:rsidP="00733A7C" w:rsidRDefault="00ED4653">
            <w:pPr>
              <w:jc w:val="center"/>
              <w:rPr>
                <w:rFonts w:ascii="Times New Roman" w:hAnsi="Times New Roman"/>
                <w:color w:val="000000"/>
                <w:sz w:val="18"/>
                <w:szCs w:val="18"/>
              </w:rPr>
            </w:pPr>
            <w:r>
              <w:rPr>
                <w:rFonts w:ascii="Times New Roman" w:hAnsi="Times New Roman"/>
                <w:color w:val="000000"/>
                <w:sz w:val="18"/>
                <w:szCs w:val="18"/>
              </w:rPr>
              <w:t>Reporting</w:t>
            </w:r>
          </w:p>
        </w:tc>
        <w:tc>
          <w:tcPr>
            <w:tcW w:w="1010" w:type="dxa"/>
            <w:tcBorders>
              <w:top w:val="single" w:color="auto" w:sz="4" w:space="0"/>
              <w:left w:val="nil"/>
              <w:bottom w:val="single" w:color="auto" w:sz="4" w:space="0"/>
              <w:right w:val="single" w:color="auto" w:sz="4" w:space="0"/>
            </w:tcBorders>
            <w:shd w:val="clear" w:color="auto" w:fill="auto"/>
            <w:vAlign w:val="center"/>
            <w:hideMark/>
          </w:tcPr>
          <w:p w:rsidRPr="00733A7C" w:rsidR="00ED4653" w:rsidP="00733A7C" w:rsidRDefault="00ED4653">
            <w:pPr>
              <w:jc w:val="center"/>
              <w:rPr>
                <w:rFonts w:ascii="Times New Roman" w:hAnsi="Times New Roman"/>
                <w:color w:val="000000"/>
                <w:sz w:val="18"/>
                <w:szCs w:val="18"/>
              </w:rPr>
            </w:pPr>
            <w:r w:rsidRPr="00733A7C">
              <w:rPr>
                <w:rFonts w:ascii="Times New Roman" w:hAnsi="Times New Roman"/>
                <w:color w:val="000000"/>
                <w:sz w:val="18"/>
                <w:szCs w:val="18"/>
              </w:rPr>
              <w:t>Mandatory</w:t>
            </w:r>
          </w:p>
        </w:tc>
        <w:tc>
          <w:tcPr>
            <w:tcW w:w="1152" w:type="dxa"/>
            <w:tcBorders>
              <w:top w:val="nil"/>
              <w:left w:val="nil"/>
              <w:bottom w:val="single" w:color="auto" w:sz="4" w:space="0"/>
              <w:right w:val="single" w:color="auto" w:sz="4" w:space="0"/>
            </w:tcBorders>
            <w:shd w:val="clear" w:color="auto" w:fill="auto"/>
            <w:vAlign w:val="center"/>
            <w:hideMark/>
          </w:tcPr>
          <w:p w:rsidRPr="00736FF6" w:rsidR="00ED4653" w:rsidP="00E965B1" w:rsidRDefault="00ED4653">
            <w:pPr>
              <w:widowControl/>
              <w:jc w:val="center"/>
              <w:rPr>
                <w:rFonts w:ascii="Times New Roman" w:hAnsi="Times New Roman"/>
                <w:snapToGrid/>
                <w:color w:val="000000"/>
                <w:sz w:val="16"/>
                <w:szCs w:val="16"/>
              </w:rPr>
            </w:pPr>
            <w:r>
              <w:rPr>
                <w:rFonts w:ascii="Times New Roman" w:hAnsi="Times New Roman"/>
                <w:snapToGrid/>
                <w:color w:val="000000"/>
                <w:sz w:val="16"/>
                <w:szCs w:val="16"/>
              </w:rPr>
              <w:t>718</w:t>
            </w:r>
          </w:p>
        </w:tc>
        <w:tc>
          <w:tcPr>
            <w:tcW w:w="973" w:type="dxa"/>
            <w:tcBorders>
              <w:top w:val="nil"/>
              <w:left w:val="nil"/>
              <w:bottom w:val="single" w:color="auto" w:sz="4" w:space="0"/>
              <w:right w:val="single" w:color="auto" w:sz="4" w:space="0"/>
            </w:tcBorders>
            <w:shd w:val="clear" w:color="auto" w:fill="auto"/>
            <w:vAlign w:val="center"/>
            <w:hideMark/>
          </w:tcPr>
          <w:p w:rsidRPr="00736FF6" w:rsidR="00ED4653" w:rsidP="00953549" w:rsidRDefault="00ED4653">
            <w:pPr>
              <w:widowControl/>
              <w:jc w:val="center"/>
              <w:rPr>
                <w:rFonts w:ascii="Times New Roman" w:hAnsi="Times New Roman"/>
                <w:snapToGrid/>
                <w:color w:val="000000"/>
                <w:sz w:val="16"/>
                <w:szCs w:val="16"/>
              </w:rPr>
            </w:pPr>
            <w:r>
              <w:rPr>
                <w:rFonts w:ascii="Times New Roman" w:hAnsi="Times New Roman"/>
                <w:snapToGrid/>
                <w:color w:val="000000"/>
                <w:sz w:val="16"/>
                <w:szCs w:val="16"/>
              </w:rPr>
              <w:t>5</w:t>
            </w:r>
          </w:p>
        </w:tc>
        <w:tc>
          <w:tcPr>
            <w:tcW w:w="1007" w:type="dxa"/>
            <w:tcBorders>
              <w:top w:val="nil"/>
              <w:left w:val="nil"/>
              <w:bottom w:val="single" w:color="auto" w:sz="4" w:space="0"/>
              <w:right w:val="single" w:color="auto" w:sz="4" w:space="0"/>
            </w:tcBorders>
            <w:shd w:val="clear" w:color="auto" w:fill="auto"/>
            <w:vAlign w:val="center"/>
            <w:hideMark/>
          </w:tcPr>
          <w:p w:rsidRPr="00736FF6" w:rsidR="00ED4653" w:rsidP="00733A7C" w:rsidRDefault="00ED4653">
            <w:pPr>
              <w:widowControl/>
              <w:jc w:val="center"/>
              <w:rPr>
                <w:rFonts w:ascii="Times New Roman" w:hAnsi="Times New Roman"/>
                <w:snapToGrid/>
                <w:color w:val="000000"/>
                <w:sz w:val="16"/>
                <w:szCs w:val="16"/>
              </w:rPr>
            </w:pPr>
            <w:r>
              <w:rPr>
                <w:rFonts w:ascii="Times New Roman" w:hAnsi="Times New Roman"/>
                <w:snapToGrid/>
                <w:color w:val="000000"/>
                <w:sz w:val="16"/>
                <w:szCs w:val="16"/>
              </w:rPr>
              <w:t>On Occasion</w:t>
            </w:r>
          </w:p>
        </w:tc>
        <w:tc>
          <w:tcPr>
            <w:tcW w:w="986" w:type="dxa"/>
            <w:tcBorders>
              <w:top w:val="nil"/>
              <w:left w:val="nil"/>
              <w:bottom w:val="single" w:color="auto" w:sz="4" w:space="0"/>
              <w:right w:val="single" w:color="auto" w:sz="4" w:space="0"/>
            </w:tcBorders>
            <w:shd w:val="clear" w:color="auto" w:fill="auto"/>
            <w:vAlign w:val="center"/>
            <w:hideMark/>
          </w:tcPr>
          <w:p w:rsidRPr="00736FF6" w:rsidR="00ED4653" w:rsidP="00E965B1" w:rsidRDefault="00ED4653">
            <w:pPr>
              <w:widowControl/>
              <w:jc w:val="center"/>
              <w:rPr>
                <w:rFonts w:ascii="Times New Roman" w:hAnsi="Times New Roman"/>
                <w:snapToGrid/>
                <w:color w:val="000000"/>
                <w:sz w:val="16"/>
                <w:szCs w:val="16"/>
              </w:rPr>
            </w:pPr>
            <w:r>
              <w:rPr>
                <w:rFonts w:ascii="Times New Roman" w:hAnsi="Times New Roman"/>
                <w:snapToGrid/>
                <w:color w:val="000000"/>
                <w:sz w:val="16"/>
                <w:szCs w:val="16"/>
              </w:rPr>
              <w:t>3,590</w:t>
            </w:r>
          </w:p>
        </w:tc>
      </w:tr>
      <w:tr w:rsidRPr="00736FF6" w:rsidR="00ED4653" w:rsidTr="00ED4653">
        <w:trPr>
          <w:trHeight w:val="141"/>
        </w:trPr>
        <w:tc>
          <w:tcPr>
            <w:tcW w:w="3438" w:type="dxa"/>
            <w:tcBorders>
              <w:top w:val="nil"/>
              <w:left w:val="single" w:color="auto" w:sz="4" w:space="0"/>
              <w:bottom w:val="single" w:color="auto" w:sz="4" w:space="0"/>
              <w:right w:val="single" w:color="auto" w:sz="4" w:space="0"/>
            </w:tcBorders>
            <w:shd w:val="clear" w:color="auto" w:fill="auto"/>
            <w:vAlign w:val="bottom"/>
            <w:hideMark/>
          </w:tcPr>
          <w:p w:rsidRPr="00736FF6" w:rsidR="00ED4653" w:rsidP="009D2D15" w:rsidRDefault="00ED4653">
            <w:pPr>
              <w:widowControl/>
              <w:rPr>
                <w:rFonts w:ascii="Times New Roman" w:hAnsi="Times New Roman"/>
                <w:b/>
                <w:bCs/>
                <w:snapToGrid/>
                <w:color w:val="000000"/>
                <w:sz w:val="16"/>
                <w:szCs w:val="16"/>
              </w:rPr>
            </w:pPr>
            <w:r w:rsidRPr="00736FF6">
              <w:rPr>
                <w:rFonts w:ascii="Times New Roman" w:hAnsi="Times New Roman"/>
                <w:b/>
                <w:bCs/>
                <w:snapToGrid/>
                <w:color w:val="000000"/>
                <w:sz w:val="16"/>
                <w:szCs w:val="16"/>
              </w:rPr>
              <w:t>TOTAL HOURLY BURDEN</w:t>
            </w:r>
          </w:p>
        </w:tc>
        <w:tc>
          <w:tcPr>
            <w:tcW w:w="1045" w:type="dxa"/>
            <w:tcBorders>
              <w:top w:val="nil"/>
              <w:left w:val="nil"/>
              <w:bottom w:val="single" w:color="auto" w:sz="4" w:space="0"/>
              <w:right w:val="single" w:color="auto" w:sz="4" w:space="0"/>
            </w:tcBorders>
            <w:shd w:val="clear" w:color="auto" w:fill="auto"/>
            <w:vAlign w:val="bottom"/>
            <w:hideMark/>
          </w:tcPr>
          <w:p w:rsidRPr="00736FF6" w:rsidR="00ED4653" w:rsidP="00733A7C" w:rsidRDefault="00ED4653">
            <w:pPr>
              <w:widowControl/>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1010" w:type="dxa"/>
            <w:tcBorders>
              <w:top w:val="nil"/>
              <w:left w:val="nil"/>
              <w:bottom w:val="single" w:color="auto" w:sz="4" w:space="0"/>
              <w:right w:val="single" w:color="auto" w:sz="4" w:space="0"/>
            </w:tcBorders>
            <w:shd w:val="clear" w:color="auto" w:fill="auto"/>
            <w:noWrap/>
            <w:vAlign w:val="bottom"/>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1152" w:type="dxa"/>
            <w:tcBorders>
              <w:top w:val="nil"/>
              <w:left w:val="nil"/>
              <w:bottom w:val="single" w:color="auto" w:sz="4" w:space="0"/>
              <w:right w:val="single" w:color="auto" w:sz="4" w:space="0"/>
            </w:tcBorders>
            <w:shd w:val="clear" w:color="auto" w:fill="auto"/>
            <w:noWrap/>
            <w:vAlign w:val="bottom"/>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73" w:type="dxa"/>
            <w:tcBorders>
              <w:top w:val="nil"/>
              <w:left w:val="nil"/>
              <w:bottom w:val="single" w:color="auto" w:sz="4" w:space="0"/>
              <w:right w:val="single" w:color="auto" w:sz="4" w:space="0"/>
            </w:tcBorders>
            <w:shd w:val="clear" w:color="auto" w:fill="auto"/>
            <w:noWrap/>
            <w:vAlign w:val="bottom"/>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1007" w:type="dxa"/>
            <w:tcBorders>
              <w:top w:val="nil"/>
              <w:left w:val="nil"/>
              <w:bottom w:val="single" w:color="auto" w:sz="4" w:space="0"/>
              <w:right w:val="single" w:color="auto" w:sz="4" w:space="0"/>
            </w:tcBorders>
            <w:shd w:val="clear" w:color="auto" w:fill="auto"/>
            <w:noWrap/>
            <w:vAlign w:val="bottom"/>
            <w:hideMark/>
          </w:tcPr>
          <w:p w:rsidRPr="00736FF6" w:rsidR="00ED4653" w:rsidP="00733A7C" w:rsidRDefault="00ED4653">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86" w:type="dxa"/>
            <w:tcBorders>
              <w:top w:val="nil"/>
              <w:left w:val="nil"/>
              <w:bottom w:val="single" w:color="auto" w:sz="4" w:space="0"/>
              <w:right w:val="single" w:color="auto" w:sz="4" w:space="0"/>
            </w:tcBorders>
            <w:shd w:val="clear" w:color="auto" w:fill="auto"/>
            <w:noWrap/>
            <w:vAlign w:val="bottom"/>
            <w:hideMark/>
          </w:tcPr>
          <w:p w:rsidRPr="00C05B2A" w:rsidR="00ED4653" w:rsidP="00E965B1" w:rsidRDefault="00ED4653">
            <w:pPr>
              <w:widowControl/>
              <w:jc w:val="center"/>
              <w:rPr>
                <w:rFonts w:ascii="Times New Roman" w:hAnsi="Times New Roman"/>
                <w:b/>
                <w:snapToGrid/>
                <w:color w:val="000000"/>
                <w:sz w:val="16"/>
                <w:szCs w:val="16"/>
              </w:rPr>
            </w:pPr>
            <w:r>
              <w:rPr>
                <w:rFonts w:ascii="Times New Roman" w:hAnsi="Times New Roman"/>
                <w:b/>
                <w:snapToGrid/>
                <w:color w:val="000000"/>
                <w:sz w:val="16"/>
                <w:szCs w:val="16"/>
              </w:rPr>
              <w:t>3,590</w:t>
            </w:r>
          </w:p>
        </w:tc>
      </w:tr>
    </w:tbl>
    <w:p w:rsidR="00AF79FB" w:rsidP="00AF79FB" w:rsidRDefault="00AF79FB">
      <w:pPr>
        <w:ind w:left="1080"/>
        <w:rPr>
          <w:rFonts w:ascii="Times New Roman" w:hAnsi="Times New Roman"/>
          <w:i/>
          <w:szCs w:val="24"/>
        </w:rPr>
      </w:pPr>
      <w:r w:rsidRPr="00AF79FB">
        <w:rPr>
          <w:rFonts w:ascii="Times New Roman" w:hAnsi="Times New Roman"/>
          <w:i/>
          <w:szCs w:val="24"/>
        </w:rPr>
        <w:t>Estimated Annual Burden</w:t>
      </w:r>
    </w:p>
    <w:p w:rsidR="00897B53" w:rsidP="006B5B26" w:rsidRDefault="00897B53">
      <w:pPr>
        <w:rPr>
          <w:rFonts w:ascii="Times New Roman" w:hAnsi="Times New Roman"/>
          <w:i/>
        </w:rPr>
      </w:pPr>
    </w:p>
    <w:p w:rsidR="00C96990" w:rsidP="006B5B26" w:rsidRDefault="007E3BBD">
      <w:pPr>
        <w:rPr>
          <w:rFonts w:ascii="Times New Roman" w:hAnsi="Times New Roman"/>
          <w:i/>
        </w:rPr>
      </w:pPr>
      <w:r>
        <w:rPr>
          <w:rFonts w:ascii="Times New Roman" w:hAnsi="Times New Roman"/>
          <w:i/>
        </w:rPr>
        <w:t xml:space="preserve">The estimated </w:t>
      </w:r>
      <w:r w:rsidRPr="00905E1E">
        <w:rPr>
          <w:rFonts w:ascii="Times New Roman" w:hAnsi="Times New Roman"/>
          <w:i/>
        </w:rPr>
        <w:t xml:space="preserve">labor </w:t>
      </w:r>
      <w:r w:rsidRPr="00905E1E" w:rsidR="00905E1E">
        <w:rPr>
          <w:rFonts w:ascii="Times New Roman" w:hAnsi="Times New Roman"/>
          <w:i/>
        </w:rPr>
        <w:t>cost</w:t>
      </w:r>
      <w:r>
        <w:rPr>
          <w:rFonts w:ascii="Times New Roman" w:hAnsi="Times New Roman"/>
          <w:i/>
        </w:rPr>
        <w:t xml:space="preserve"> is calculated as follow:</w:t>
      </w:r>
    </w:p>
    <w:p w:rsidRPr="006B5B26" w:rsidR="009D2D15" w:rsidP="006B5B26" w:rsidRDefault="009D2D15">
      <w:pPr>
        <w:rPr>
          <w:rFonts w:ascii="Times New Roman" w:hAnsi="Times New Roman"/>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250"/>
        <w:gridCol w:w="1887"/>
        <w:gridCol w:w="2338"/>
      </w:tblGrid>
      <w:tr w:rsidRPr="000532DC" w:rsidR="009D2D15" w:rsidTr="009B7B63">
        <w:tc>
          <w:tcPr>
            <w:tcW w:w="2875" w:type="dxa"/>
            <w:shd w:val="clear" w:color="auto" w:fill="D9D9D9"/>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Estimated Category of Personnel Responsible for Complying with the PRA Burden</w:t>
            </w:r>
          </w:p>
        </w:tc>
        <w:tc>
          <w:tcPr>
            <w:tcW w:w="2250" w:type="dxa"/>
            <w:shd w:val="clear" w:color="auto" w:fill="D9D9D9"/>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Total Estimated Hourly Compensation</w:t>
            </w:r>
          </w:p>
        </w:tc>
        <w:tc>
          <w:tcPr>
            <w:tcW w:w="1887" w:type="dxa"/>
            <w:shd w:val="clear" w:color="auto" w:fill="D9D9D9"/>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Estimated Weights</w:t>
            </w:r>
          </w:p>
        </w:tc>
        <w:tc>
          <w:tcPr>
            <w:tcW w:w="2338" w:type="dxa"/>
            <w:shd w:val="clear" w:color="auto" w:fill="D9D9D9"/>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Weighted Hourly Compensation</w:t>
            </w:r>
          </w:p>
        </w:tc>
      </w:tr>
      <w:tr w:rsidRPr="000532DC" w:rsidR="009D2D15" w:rsidTr="009B7B63">
        <w:tc>
          <w:tcPr>
            <w:tcW w:w="2875" w:type="dxa"/>
            <w:shd w:val="clear" w:color="auto" w:fill="auto"/>
            <w:vAlign w:val="center"/>
          </w:tcPr>
          <w:p w:rsidRPr="009B7B63" w:rsidR="009D2D15" w:rsidP="009D2D15" w:rsidRDefault="009D2D15">
            <w:pPr>
              <w:rPr>
                <w:rFonts w:ascii="Times New Roman" w:hAnsi="Times New Roman"/>
                <w:color w:val="000000"/>
                <w:sz w:val="20"/>
                <w:szCs w:val="22"/>
              </w:rPr>
            </w:pPr>
            <w:r w:rsidRPr="009B7B63">
              <w:rPr>
                <w:rFonts w:ascii="Times New Roman" w:hAnsi="Times New Roman"/>
                <w:color w:val="000000"/>
                <w:sz w:val="20"/>
                <w:szCs w:val="22"/>
              </w:rPr>
              <w:t>Executives &amp; Managers</w:t>
            </w:r>
            <w:r w:rsidRPr="009B7B63">
              <w:rPr>
                <w:rStyle w:val="FootnoteReference"/>
                <w:rFonts w:ascii="Times New Roman" w:hAnsi="Times New Roman"/>
                <w:sz w:val="20"/>
                <w:szCs w:val="22"/>
              </w:rPr>
              <w:t>*</w:t>
            </w:r>
          </w:p>
        </w:tc>
        <w:tc>
          <w:tcPr>
            <w:tcW w:w="2250" w:type="dxa"/>
            <w:shd w:val="clear" w:color="auto" w:fill="auto"/>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$120.40</w:t>
            </w:r>
          </w:p>
        </w:tc>
        <w:tc>
          <w:tcPr>
            <w:tcW w:w="1887" w:type="dxa"/>
            <w:shd w:val="clear" w:color="auto" w:fill="auto"/>
            <w:vAlign w:val="bottom"/>
          </w:tcPr>
          <w:p w:rsidRPr="009B7B63" w:rsidR="009D2D15" w:rsidP="009B7B63" w:rsidRDefault="00E965B1">
            <w:pPr>
              <w:jc w:val="center"/>
              <w:rPr>
                <w:rFonts w:ascii="Times New Roman" w:hAnsi="Times New Roman"/>
                <w:color w:val="000000"/>
                <w:sz w:val="20"/>
              </w:rPr>
            </w:pPr>
            <w:r w:rsidRPr="009B7B63">
              <w:rPr>
                <w:rFonts w:ascii="Times New Roman" w:hAnsi="Times New Roman"/>
                <w:color w:val="000000"/>
                <w:sz w:val="20"/>
              </w:rPr>
              <w:t>90</w:t>
            </w:r>
            <w:r w:rsidRPr="009B7B63" w:rsidR="009D2D15">
              <w:rPr>
                <w:rFonts w:ascii="Times New Roman" w:hAnsi="Times New Roman"/>
                <w:color w:val="000000"/>
                <w:sz w:val="20"/>
              </w:rPr>
              <w:t>%</w:t>
            </w:r>
          </w:p>
        </w:tc>
        <w:tc>
          <w:tcPr>
            <w:tcW w:w="2338" w:type="dxa"/>
            <w:shd w:val="clear" w:color="auto" w:fill="auto"/>
            <w:vAlign w:val="bottom"/>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w:t>
            </w:r>
            <w:r w:rsidRPr="009B7B63" w:rsidR="00E965B1">
              <w:rPr>
                <w:rFonts w:ascii="Times New Roman" w:hAnsi="Times New Roman"/>
                <w:color w:val="000000"/>
                <w:sz w:val="20"/>
              </w:rPr>
              <w:t>108.36</w:t>
            </w:r>
            <w:r w:rsidRPr="009B7B63">
              <w:rPr>
                <w:rFonts w:ascii="Times New Roman" w:hAnsi="Times New Roman"/>
                <w:color w:val="000000"/>
                <w:sz w:val="20"/>
              </w:rPr>
              <w:t xml:space="preserve"> </w:t>
            </w:r>
          </w:p>
        </w:tc>
      </w:tr>
      <w:tr w:rsidRPr="000532DC" w:rsidR="009D2D15" w:rsidTr="009B7B63">
        <w:tc>
          <w:tcPr>
            <w:tcW w:w="2875" w:type="dxa"/>
            <w:shd w:val="clear" w:color="auto" w:fill="auto"/>
            <w:vAlign w:val="center"/>
          </w:tcPr>
          <w:p w:rsidRPr="009B7B63" w:rsidR="009D2D15" w:rsidP="009D2D15" w:rsidRDefault="009D2D15">
            <w:pPr>
              <w:rPr>
                <w:rFonts w:ascii="Times New Roman" w:hAnsi="Times New Roman"/>
                <w:color w:val="000000"/>
                <w:sz w:val="20"/>
              </w:rPr>
            </w:pPr>
            <w:r w:rsidRPr="009B7B63">
              <w:rPr>
                <w:rFonts w:ascii="Times New Roman" w:hAnsi="Times New Roman"/>
                <w:color w:val="000000"/>
                <w:sz w:val="20"/>
              </w:rPr>
              <w:t>Clerica</w:t>
            </w:r>
            <w:r w:rsidRPr="009B7B63">
              <w:rPr>
                <w:rFonts w:ascii="Times New Roman" w:hAnsi="Times New Roman"/>
                <w:color w:val="000000"/>
                <w:sz w:val="20"/>
                <w:szCs w:val="22"/>
              </w:rPr>
              <w:t>l</w:t>
            </w:r>
            <w:r w:rsidRPr="009B7B63">
              <w:rPr>
                <w:rStyle w:val="FootnoteReference"/>
                <w:rFonts w:ascii="Times New Roman" w:hAnsi="Times New Roman"/>
                <w:sz w:val="20"/>
                <w:szCs w:val="22"/>
              </w:rPr>
              <w:t>*</w:t>
            </w:r>
            <w:r w:rsidRPr="009B7B63">
              <w:rPr>
                <w:rFonts w:ascii="Times New Roman" w:hAnsi="Times New Roman"/>
                <w:sz w:val="20"/>
                <w:szCs w:val="22"/>
              </w:rPr>
              <w:t>*</w:t>
            </w:r>
          </w:p>
        </w:tc>
        <w:tc>
          <w:tcPr>
            <w:tcW w:w="2250" w:type="dxa"/>
            <w:shd w:val="clear" w:color="auto" w:fill="auto"/>
            <w:vAlign w:val="center"/>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$32.19</w:t>
            </w:r>
          </w:p>
        </w:tc>
        <w:tc>
          <w:tcPr>
            <w:tcW w:w="1887" w:type="dxa"/>
            <w:shd w:val="clear" w:color="auto" w:fill="auto"/>
            <w:vAlign w:val="bottom"/>
          </w:tcPr>
          <w:p w:rsidRPr="009B7B63" w:rsidR="009D2D15" w:rsidP="009B7B63" w:rsidRDefault="00E965B1">
            <w:pPr>
              <w:jc w:val="center"/>
              <w:rPr>
                <w:rFonts w:ascii="Times New Roman" w:hAnsi="Times New Roman"/>
                <w:color w:val="000000"/>
                <w:sz w:val="20"/>
              </w:rPr>
            </w:pPr>
            <w:r w:rsidRPr="009B7B63">
              <w:rPr>
                <w:rFonts w:ascii="Times New Roman" w:hAnsi="Times New Roman"/>
                <w:color w:val="000000"/>
                <w:sz w:val="20"/>
              </w:rPr>
              <w:t>10</w:t>
            </w:r>
            <w:r w:rsidRPr="009B7B63" w:rsidR="009D2D15">
              <w:rPr>
                <w:rFonts w:ascii="Times New Roman" w:hAnsi="Times New Roman"/>
                <w:color w:val="000000"/>
                <w:sz w:val="20"/>
              </w:rPr>
              <w:t>%</w:t>
            </w:r>
          </w:p>
        </w:tc>
        <w:tc>
          <w:tcPr>
            <w:tcW w:w="2338" w:type="dxa"/>
            <w:shd w:val="clear" w:color="auto" w:fill="auto"/>
            <w:vAlign w:val="bottom"/>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w:t>
            </w:r>
            <w:r w:rsidRPr="009B7B63" w:rsidR="00E965B1">
              <w:rPr>
                <w:rFonts w:ascii="Times New Roman" w:hAnsi="Times New Roman"/>
                <w:color w:val="000000"/>
                <w:sz w:val="20"/>
              </w:rPr>
              <w:t>3.22</w:t>
            </w:r>
            <w:r w:rsidRPr="009B7B63">
              <w:rPr>
                <w:rFonts w:ascii="Times New Roman" w:hAnsi="Times New Roman"/>
                <w:color w:val="000000"/>
                <w:sz w:val="20"/>
              </w:rPr>
              <w:t xml:space="preserve"> </w:t>
            </w:r>
          </w:p>
        </w:tc>
      </w:tr>
      <w:tr w:rsidRPr="000532DC" w:rsidR="009D2D15" w:rsidTr="009B7B63">
        <w:tc>
          <w:tcPr>
            <w:tcW w:w="2875" w:type="dxa"/>
            <w:shd w:val="clear" w:color="auto" w:fill="auto"/>
            <w:vAlign w:val="bottom"/>
          </w:tcPr>
          <w:p w:rsidRPr="009B7B63" w:rsidR="009D2D15" w:rsidP="009B7B63" w:rsidRDefault="009D2D15">
            <w:pPr>
              <w:rPr>
                <w:rFonts w:ascii="Times New Roman" w:hAnsi="Times New Roman"/>
                <w:bCs/>
                <w:color w:val="000000"/>
                <w:sz w:val="20"/>
              </w:rPr>
            </w:pPr>
            <w:r w:rsidRPr="009B7B63">
              <w:rPr>
                <w:rFonts w:ascii="Times New Roman" w:hAnsi="Times New Roman"/>
                <w:bCs/>
                <w:color w:val="000000"/>
                <w:sz w:val="20"/>
              </w:rPr>
              <w:t>Weighted Average</w:t>
            </w:r>
          </w:p>
        </w:tc>
        <w:tc>
          <w:tcPr>
            <w:tcW w:w="2250" w:type="dxa"/>
            <w:shd w:val="clear" w:color="auto" w:fill="auto"/>
            <w:vAlign w:val="bottom"/>
          </w:tcPr>
          <w:p w:rsidRPr="009B7B63" w:rsidR="009D2D15" w:rsidP="009B7B63" w:rsidRDefault="009D2D15">
            <w:pPr>
              <w:rPr>
                <w:rFonts w:ascii="Times New Roman" w:hAnsi="Times New Roman"/>
                <w:b/>
                <w:bCs/>
                <w:color w:val="000000"/>
                <w:sz w:val="20"/>
              </w:rPr>
            </w:pPr>
          </w:p>
        </w:tc>
        <w:tc>
          <w:tcPr>
            <w:tcW w:w="1887" w:type="dxa"/>
            <w:shd w:val="clear" w:color="auto" w:fill="auto"/>
            <w:vAlign w:val="bottom"/>
          </w:tcPr>
          <w:p w:rsidRPr="009B7B63" w:rsidR="009D2D15" w:rsidP="009B7B63" w:rsidRDefault="009D2D15">
            <w:pPr>
              <w:rPr>
                <w:rFonts w:ascii="Times New Roman" w:hAnsi="Times New Roman"/>
                <w:sz w:val="20"/>
              </w:rPr>
            </w:pPr>
          </w:p>
        </w:tc>
        <w:tc>
          <w:tcPr>
            <w:tcW w:w="2338" w:type="dxa"/>
            <w:shd w:val="clear" w:color="auto" w:fill="auto"/>
            <w:vAlign w:val="bottom"/>
          </w:tcPr>
          <w:p w:rsidRPr="009B7B63" w:rsidR="009D2D15" w:rsidP="009B7B63" w:rsidRDefault="009D2D15">
            <w:pPr>
              <w:jc w:val="center"/>
              <w:rPr>
                <w:rFonts w:ascii="Times New Roman" w:hAnsi="Times New Roman"/>
                <w:color w:val="000000"/>
                <w:sz w:val="20"/>
              </w:rPr>
            </w:pPr>
            <w:r w:rsidRPr="009B7B63">
              <w:rPr>
                <w:rFonts w:ascii="Times New Roman" w:hAnsi="Times New Roman"/>
                <w:color w:val="000000"/>
                <w:sz w:val="20"/>
              </w:rPr>
              <w:t>$</w:t>
            </w:r>
            <w:r w:rsidRPr="009B7B63" w:rsidR="00E965B1">
              <w:rPr>
                <w:rFonts w:ascii="Times New Roman" w:hAnsi="Times New Roman"/>
                <w:color w:val="000000"/>
                <w:sz w:val="20"/>
              </w:rPr>
              <w:t>111.58</w:t>
            </w:r>
            <w:r w:rsidRPr="009B7B63">
              <w:rPr>
                <w:rFonts w:ascii="Times New Roman" w:hAnsi="Times New Roman"/>
                <w:color w:val="000000"/>
                <w:sz w:val="20"/>
              </w:rPr>
              <w:t xml:space="preserve"> </w:t>
            </w:r>
          </w:p>
        </w:tc>
      </w:tr>
    </w:tbl>
    <w:p w:rsidR="009D2D15" w:rsidP="009D2D15" w:rsidRDefault="009D2D15">
      <w:pPr>
        <w:widowControl/>
        <w:rPr>
          <w:rFonts w:ascii="Times New Roman" w:hAnsi="Times New Roman"/>
          <w:snapToGrid/>
          <w:sz w:val="20"/>
        </w:rPr>
      </w:pPr>
      <w:r w:rsidRPr="009D2D15">
        <w:rPr>
          <w:rFonts w:ascii="Times New Roman" w:hAnsi="Times New Roman"/>
          <w:snapToGrid/>
          <w:sz w:val="20"/>
        </w:rPr>
        <w:t>Source: Bureau of Labor Statistics: "National Industry-Specific Occupational Employment and Wage Estimates: Depository Credit Intermediation Sector" (May 2018), Employer Cost of Employee Compensation (June 2019), Consumer Price Index (June 2019).</w:t>
      </w:r>
    </w:p>
    <w:p w:rsidRPr="009D2D15" w:rsidR="00E965B1" w:rsidP="009D2D15" w:rsidRDefault="00E965B1">
      <w:pPr>
        <w:widowControl/>
        <w:rPr>
          <w:rFonts w:ascii="Times New Roman" w:hAnsi="Times New Roman"/>
          <w:snapToGrid/>
          <w:sz w:val="20"/>
        </w:rPr>
      </w:pPr>
    </w:p>
    <w:p w:rsidRPr="009D2D15" w:rsidR="009D2D15" w:rsidP="009D2D15" w:rsidRDefault="009D2D15">
      <w:pPr>
        <w:rPr>
          <w:rFonts w:ascii="Times New Roman" w:hAnsi="Times New Roman"/>
          <w:sz w:val="20"/>
        </w:rPr>
      </w:pPr>
      <w:r w:rsidRPr="009D2D15">
        <w:rPr>
          <w:rFonts w:ascii="Times New Roman" w:hAnsi="Times New Roman"/>
          <w:sz w:val="20"/>
          <w:vertAlign w:val="superscript"/>
        </w:rPr>
        <w:t>*</w:t>
      </w:r>
      <w:r w:rsidRPr="009D2D15">
        <w:rPr>
          <w:rFonts w:ascii="Times New Roman" w:hAnsi="Times New Roman"/>
          <w:sz w:val="20"/>
        </w:rPr>
        <w:t>Occupation (SOC Code): Management Occupations (110000)</w:t>
      </w:r>
    </w:p>
    <w:p w:rsidRPr="009D2D15" w:rsidR="009D2D15" w:rsidP="009D2D15" w:rsidRDefault="009D2D15">
      <w:pPr>
        <w:rPr>
          <w:rFonts w:ascii="Times New Roman" w:hAnsi="Times New Roman"/>
          <w:sz w:val="20"/>
        </w:rPr>
      </w:pPr>
      <w:r w:rsidRPr="009D2D15">
        <w:rPr>
          <w:rFonts w:ascii="Times New Roman" w:hAnsi="Times New Roman"/>
          <w:sz w:val="20"/>
          <w:vertAlign w:val="superscript"/>
        </w:rPr>
        <w:t>*</w:t>
      </w:r>
      <w:r w:rsidR="00E965B1">
        <w:rPr>
          <w:rFonts w:ascii="Times New Roman" w:hAnsi="Times New Roman"/>
          <w:sz w:val="20"/>
          <w:vertAlign w:val="superscript"/>
        </w:rPr>
        <w:t>*</w:t>
      </w:r>
      <w:r w:rsidRPr="009D2D15">
        <w:rPr>
          <w:rFonts w:ascii="Times New Roman" w:hAnsi="Times New Roman"/>
          <w:sz w:val="20"/>
          <w:vertAlign w:val="superscript"/>
        </w:rPr>
        <w:t xml:space="preserve"> </w:t>
      </w:r>
      <w:r w:rsidRPr="009D2D15">
        <w:rPr>
          <w:rFonts w:ascii="Times New Roman" w:hAnsi="Times New Roman"/>
          <w:sz w:val="20"/>
        </w:rPr>
        <w:t>Occupation (SOC Code): Office and Administrative Support Occupations (430000)</w:t>
      </w:r>
    </w:p>
    <w:p w:rsidR="002847B4" w:rsidP="006B23FE" w:rsidRDefault="002847B4">
      <w:pPr>
        <w:pStyle w:val="CommentText"/>
        <w:rPr>
          <w:rStyle w:val="documentbody1"/>
          <w:color w:val="000000"/>
          <w:sz w:val="24"/>
          <w:szCs w:val="24"/>
          <w:u w:val="single"/>
        </w:rPr>
      </w:pPr>
    </w:p>
    <w:p w:rsidR="00897B53" w:rsidP="006B23FE" w:rsidRDefault="00897B53">
      <w:pPr>
        <w:rPr>
          <w:rFonts w:ascii="Times New Roman" w:hAnsi="Times New Roman"/>
        </w:rPr>
      </w:pPr>
      <w:r w:rsidRPr="00897B53">
        <w:rPr>
          <w:rFonts w:ascii="Times New Roman" w:hAnsi="Times New Roman"/>
        </w:rPr>
        <w:t>The total estimated annual cost burden is calculated as: [</w:t>
      </w:r>
      <w:r w:rsidR="00E965B1">
        <w:rPr>
          <w:rFonts w:ascii="Times New Roman" w:hAnsi="Times New Roman"/>
        </w:rPr>
        <w:t>3,</w:t>
      </w:r>
      <w:r w:rsidR="00FE7B48">
        <w:rPr>
          <w:rFonts w:ascii="Times New Roman" w:hAnsi="Times New Roman"/>
        </w:rPr>
        <w:t xml:space="preserve">590 </w:t>
      </w:r>
      <w:r w:rsidRPr="00897B53">
        <w:rPr>
          <w:rFonts w:ascii="Times New Roman" w:hAnsi="Times New Roman"/>
        </w:rPr>
        <w:t>hours / year * $</w:t>
      </w:r>
      <w:r w:rsidR="004B05CB">
        <w:rPr>
          <w:rFonts w:ascii="Times New Roman" w:hAnsi="Times New Roman"/>
        </w:rPr>
        <w:t>111.58</w:t>
      </w:r>
      <w:r w:rsidRPr="00897B53">
        <w:rPr>
          <w:rFonts w:ascii="Times New Roman" w:hAnsi="Times New Roman"/>
        </w:rPr>
        <w:t xml:space="preserve"> / hour] = $</w:t>
      </w:r>
      <w:r w:rsidR="004B05CB">
        <w:rPr>
          <w:rFonts w:ascii="Times New Roman" w:hAnsi="Times New Roman"/>
        </w:rPr>
        <w:t>40</w:t>
      </w:r>
      <w:r w:rsidR="00FE7B48">
        <w:rPr>
          <w:rFonts w:ascii="Times New Roman" w:hAnsi="Times New Roman"/>
        </w:rPr>
        <w:t xml:space="preserve">0,572 </w:t>
      </w:r>
      <w:r w:rsidRPr="00897B53">
        <w:rPr>
          <w:rFonts w:ascii="Times New Roman" w:hAnsi="Times New Roman"/>
        </w:rPr>
        <w:t>per year.</w:t>
      </w:r>
      <w:r>
        <w:rPr>
          <w:rFonts w:ascii="Times New Roman" w:hAnsi="Times New Roman"/>
        </w:rPr>
        <w:t xml:space="preserve"> </w:t>
      </w:r>
    </w:p>
    <w:p w:rsidR="00897B53" w:rsidP="006B23FE" w:rsidRDefault="00897B53">
      <w:pPr>
        <w:rPr>
          <w:rFonts w:ascii="Times New Roman" w:hAnsi="Times New Roman"/>
        </w:rPr>
      </w:pPr>
    </w:p>
    <w:p w:rsidRPr="00BA19E0" w:rsidR="002847B4" w:rsidP="00736FF6" w:rsidRDefault="002847B4">
      <w:pPr>
        <w:pStyle w:val="CommentText"/>
        <w:rPr>
          <w:rStyle w:val="documentbody1"/>
          <w:color w:val="000000"/>
          <w:sz w:val="24"/>
          <w:szCs w:val="24"/>
          <w:u w:val="single"/>
        </w:rPr>
      </w:pPr>
    </w:p>
    <w:p w:rsidRPr="001F2A5D" w:rsidR="009F4532" w:rsidP="00EA72EA" w:rsidRDefault="009F4532">
      <w:pPr>
        <w:numPr>
          <w:ilvl w:val="0"/>
          <w:numId w:val="11"/>
        </w:numPr>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EA72EA" w:rsidRDefault="009F4532">
      <w:pPr>
        <w:numPr>
          <w:ilvl w:val="0"/>
          <w:numId w:val="11"/>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rsidRDefault="009F4532">
      <w:pPr>
        <w:ind w:firstLine="720"/>
        <w:rPr>
          <w:rFonts w:ascii="Times New Roman" w:hAnsi="Times New Roman"/>
        </w:rPr>
      </w:pPr>
    </w:p>
    <w:p w:rsidR="007E3A41" w:rsidP="007E3A41" w:rsidRDefault="007E3A41">
      <w:pPr>
        <w:ind w:left="720" w:firstLine="720"/>
        <w:rPr>
          <w:rFonts w:ascii="Times New Roman" w:hAnsi="Times New Roman"/>
        </w:rPr>
      </w:pPr>
      <w:r>
        <w:rPr>
          <w:rFonts w:ascii="Times New Roman" w:hAnsi="Times New Roman"/>
        </w:rPr>
        <w:t>None</w:t>
      </w:r>
    </w:p>
    <w:p w:rsidR="002616EA" w:rsidP="002616EA" w:rsidRDefault="002616EA">
      <w:pPr>
        <w:rPr>
          <w:rFonts w:ascii="Times New Roman" w:hAnsi="Times New Roman"/>
        </w:rPr>
      </w:pPr>
    </w:p>
    <w:p w:rsidRPr="001F2A5D" w:rsidR="009F4532" w:rsidP="00EA72EA" w:rsidRDefault="009F4532">
      <w:pPr>
        <w:numPr>
          <w:ilvl w:val="0"/>
          <w:numId w:val="11"/>
        </w:numPr>
        <w:outlineLvl w:val="0"/>
        <w:rPr>
          <w:rFonts w:ascii="Times New Roman" w:hAnsi="Times New Roman"/>
          <w:szCs w:val="24"/>
        </w:rPr>
      </w:pPr>
      <w:r w:rsidRPr="009E60FB">
        <w:rPr>
          <w:rFonts w:ascii="Times New Roman" w:hAnsi="Times New Roman"/>
          <w:szCs w:val="24"/>
          <w:u w:val="single"/>
        </w:rPr>
        <w:t>Analysis of change in burden:</w:t>
      </w:r>
    </w:p>
    <w:p w:rsidR="00731A90" w:rsidRDefault="00731A90">
      <w:pPr>
        <w:ind w:firstLine="720"/>
        <w:rPr>
          <w:rFonts w:ascii="Times New Roman" w:hAnsi="Times New Roman"/>
        </w:rPr>
      </w:pPr>
    </w:p>
    <w:p w:rsidRPr="00897B53" w:rsidR="00897B53" w:rsidP="00897B53" w:rsidRDefault="00897B53">
      <w:pPr>
        <w:ind w:left="1440"/>
        <w:rPr>
          <w:rFonts w:ascii="Times New Roman" w:hAnsi="Times New Roman"/>
          <w:szCs w:val="24"/>
        </w:rPr>
      </w:pPr>
      <w:r w:rsidRPr="00897B53">
        <w:rPr>
          <w:rFonts w:ascii="Times New Roman" w:hAnsi="Times New Roman"/>
          <w:szCs w:val="24"/>
        </w:rPr>
        <w:t xml:space="preserve">There is no change in </w:t>
      </w:r>
      <w:r w:rsidR="009F2F79">
        <w:rPr>
          <w:rFonts w:ascii="Times New Roman" w:hAnsi="Times New Roman"/>
          <w:szCs w:val="24"/>
        </w:rPr>
        <w:t>the</w:t>
      </w:r>
      <w:r w:rsidR="004A4753">
        <w:rPr>
          <w:rFonts w:ascii="Times New Roman" w:hAnsi="Times New Roman"/>
          <w:szCs w:val="24"/>
        </w:rPr>
        <w:t xml:space="preserve"> method or substance of the collection. The annual burden for this information collection is estimated to be </w:t>
      </w:r>
      <w:r w:rsidR="00187969">
        <w:rPr>
          <w:rFonts w:ascii="Times New Roman" w:hAnsi="Times New Roman"/>
          <w:szCs w:val="24"/>
        </w:rPr>
        <w:t>3,590</w:t>
      </w:r>
      <w:r w:rsidR="004A4753">
        <w:rPr>
          <w:rFonts w:ascii="Times New Roman" w:hAnsi="Times New Roman"/>
          <w:szCs w:val="24"/>
        </w:rPr>
        <w:t xml:space="preserve"> hours. This represents </w:t>
      </w:r>
      <w:r w:rsidR="0096351C">
        <w:rPr>
          <w:rFonts w:ascii="Times New Roman" w:hAnsi="Times New Roman"/>
          <w:szCs w:val="24"/>
        </w:rPr>
        <w:t>a</w:t>
      </w:r>
      <w:r w:rsidR="004A4753">
        <w:rPr>
          <w:rFonts w:ascii="Times New Roman" w:hAnsi="Times New Roman"/>
          <w:szCs w:val="24"/>
        </w:rPr>
        <w:t xml:space="preserve"> </w:t>
      </w:r>
      <w:r w:rsidR="0096351C">
        <w:rPr>
          <w:rFonts w:ascii="Times New Roman" w:hAnsi="Times New Roman"/>
          <w:szCs w:val="24"/>
        </w:rPr>
        <w:t>decrease</w:t>
      </w:r>
      <w:r w:rsidR="004A4753">
        <w:rPr>
          <w:rFonts w:ascii="Times New Roman" w:hAnsi="Times New Roman"/>
          <w:szCs w:val="24"/>
        </w:rPr>
        <w:t xml:space="preserve"> </w:t>
      </w:r>
      <w:r w:rsidR="0096351C">
        <w:rPr>
          <w:rFonts w:ascii="Times New Roman" w:hAnsi="Times New Roman"/>
          <w:szCs w:val="24"/>
        </w:rPr>
        <w:t xml:space="preserve">of </w:t>
      </w:r>
      <w:r w:rsidR="00FE7B48">
        <w:rPr>
          <w:rFonts w:ascii="Times New Roman" w:hAnsi="Times New Roman"/>
          <w:szCs w:val="24"/>
        </w:rPr>
        <w:t>3,505</w:t>
      </w:r>
      <w:r w:rsidR="004A4753">
        <w:rPr>
          <w:rFonts w:ascii="Times New Roman" w:hAnsi="Times New Roman"/>
          <w:szCs w:val="24"/>
        </w:rPr>
        <w:t xml:space="preserve"> hours from the current burden estimate of </w:t>
      </w:r>
      <w:r w:rsidR="0096351C">
        <w:rPr>
          <w:rFonts w:ascii="Times New Roman" w:hAnsi="Times New Roman"/>
          <w:szCs w:val="24"/>
        </w:rPr>
        <w:t>7,095</w:t>
      </w:r>
      <w:r w:rsidR="004A4753">
        <w:rPr>
          <w:rFonts w:ascii="Times New Roman" w:hAnsi="Times New Roman"/>
          <w:szCs w:val="24"/>
        </w:rPr>
        <w:t xml:space="preserve"> hours. This </w:t>
      </w:r>
      <w:r w:rsidR="0096351C">
        <w:rPr>
          <w:rFonts w:ascii="Times New Roman" w:hAnsi="Times New Roman"/>
          <w:szCs w:val="24"/>
        </w:rPr>
        <w:t>decrease</w:t>
      </w:r>
      <w:r w:rsidR="004A4753">
        <w:rPr>
          <w:rFonts w:ascii="Times New Roman" w:hAnsi="Times New Roman"/>
          <w:szCs w:val="24"/>
        </w:rPr>
        <w:t xml:space="preserve"> is due to</w:t>
      </w:r>
      <w:r w:rsidR="0096351C">
        <w:rPr>
          <w:rFonts w:ascii="Times New Roman" w:hAnsi="Times New Roman"/>
          <w:szCs w:val="24"/>
        </w:rPr>
        <w:t xml:space="preserve"> a</w:t>
      </w:r>
      <w:r w:rsidR="004A4753">
        <w:rPr>
          <w:rFonts w:ascii="Times New Roman" w:hAnsi="Times New Roman"/>
          <w:szCs w:val="24"/>
        </w:rPr>
        <w:t xml:space="preserve"> </w:t>
      </w:r>
      <w:r w:rsidR="0096351C">
        <w:rPr>
          <w:rFonts w:ascii="Times New Roman" w:hAnsi="Times New Roman"/>
          <w:szCs w:val="24"/>
        </w:rPr>
        <w:t>decrease</w:t>
      </w:r>
      <w:r w:rsidR="004A4753">
        <w:rPr>
          <w:rFonts w:ascii="Times New Roman" w:hAnsi="Times New Roman"/>
          <w:szCs w:val="24"/>
        </w:rPr>
        <w:t xml:space="preserve"> in the estimated number of respondents.</w:t>
      </w:r>
      <w:r w:rsidR="009F2F79">
        <w:rPr>
          <w:rFonts w:ascii="Times New Roman" w:hAnsi="Times New Roman"/>
          <w:szCs w:val="24"/>
        </w:rPr>
        <w:t xml:space="preserve"> </w:t>
      </w:r>
    </w:p>
    <w:p w:rsidR="00603AE5" w:rsidP="00603AE5" w:rsidRDefault="00603AE5">
      <w:pPr>
        <w:ind w:left="1440"/>
        <w:rPr>
          <w:rFonts w:ascii="Times New Roman" w:hAnsi="Times New Roman"/>
        </w:rPr>
      </w:pPr>
    </w:p>
    <w:p w:rsidRPr="001F2A5D" w:rsidR="009F4532" w:rsidP="00EA72EA" w:rsidRDefault="009F4532">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rsidRDefault="00731A90">
      <w:pPr>
        <w:rPr>
          <w:rFonts w:ascii="Times New Roman" w:hAnsi="Times New Roman"/>
        </w:rPr>
      </w:pPr>
    </w:p>
    <w:p w:rsidR="00731A90" w:rsidRDefault="00127930">
      <w:pPr>
        <w:ind w:left="1440"/>
        <w:rPr>
          <w:rFonts w:ascii="Times New Roman" w:hAnsi="Times New Roman"/>
        </w:rPr>
      </w:pPr>
      <w:r>
        <w:rPr>
          <w:rFonts w:ascii="Times New Roman" w:hAnsi="Times New Roman"/>
        </w:rPr>
        <w:t>Identifying information regarding the applicant and its proposed transaction is published through the FDIC’s website.</w:t>
      </w:r>
    </w:p>
    <w:p w:rsidR="00731A90" w:rsidRDefault="00731A90">
      <w:pPr>
        <w:rPr>
          <w:rFonts w:ascii="Times New Roman" w:hAnsi="Times New Roman"/>
        </w:rPr>
      </w:pPr>
    </w:p>
    <w:p w:rsidR="00731A90" w:rsidP="00EA72EA" w:rsidRDefault="00187969">
      <w:pPr>
        <w:numPr>
          <w:ilvl w:val="0"/>
          <w:numId w:val="11"/>
        </w:numPr>
        <w:rPr>
          <w:rFonts w:ascii="Times New Roman" w:hAnsi="Times New Roman"/>
        </w:rPr>
      </w:pPr>
      <w:r>
        <w:rPr>
          <w:rFonts w:ascii="Times New Roman" w:hAnsi="Times New Roman"/>
          <w:szCs w:val="24"/>
          <w:u w:val="single"/>
        </w:rPr>
        <w:t xml:space="preserve">Exceptions to </w:t>
      </w:r>
      <w:r w:rsidRPr="009E60FB" w:rsidR="009F4532">
        <w:rPr>
          <w:rFonts w:ascii="Times New Roman" w:hAnsi="Times New Roman"/>
          <w:szCs w:val="24"/>
          <w:u w:val="single"/>
        </w:rPr>
        <w:t>Display of expiration date</w:t>
      </w:r>
      <w:r w:rsidR="009F4532">
        <w:rPr>
          <w:rFonts w:ascii="Times New Roman" w:hAnsi="Times New Roman"/>
          <w:szCs w:val="24"/>
          <w:u w:val="single"/>
        </w:rPr>
        <w:t>:</w:t>
      </w:r>
    </w:p>
    <w:p w:rsidR="00731A90" w:rsidRDefault="00731A90">
      <w:pPr>
        <w:rPr>
          <w:rFonts w:ascii="Times New Roman" w:hAnsi="Times New Roman"/>
        </w:rPr>
      </w:pPr>
    </w:p>
    <w:p w:rsidR="00EA6F48" w:rsidP="00127930" w:rsidRDefault="00127930">
      <w:pPr>
        <w:tabs>
          <w:tab w:val="left" w:pos="576"/>
          <w:tab w:val="left" w:pos="1440"/>
          <w:tab w:val="left" w:pos="2016"/>
          <w:tab w:val="left" w:pos="2736"/>
          <w:tab w:val="left" w:pos="3456"/>
          <w:tab w:val="left" w:pos="4176"/>
        </w:tabs>
        <w:ind w:left="1440" w:hanging="144"/>
        <w:rPr>
          <w:rFonts w:ascii="Times New Roman" w:hAnsi="Times New Roman"/>
        </w:rPr>
      </w:pPr>
      <w:r>
        <w:rPr>
          <w:rFonts w:ascii="Times New Roman" w:hAnsi="Times New Roman"/>
        </w:rPr>
        <w:tab/>
      </w:r>
      <w:r w:rsidR="00187969">
        <w:rPr>
          <w:rFonts w:ascii="Times New Roman" w:hAnsi="Times New Roman"/>
        </w:rPr>
        <w:t>None</w:t>
      </w:r>
      <w:r>
        <w:rPr>
          <w:rFonts w:ascii="Times New Roman" w:hAnsi="Times New Roman"/>
        </w:rPr>
        <w:t>.</w:t>
      </w:r>
    </w:p>
    <w:p w:rsidR="00731A90" w:rsidRDefault="00731A90">
      <w:pPr>
        <w:rPr>
          <w:rFonts w:ascii="Times New Roman" w:hAnsi="Times New Roman"/>
        </w:rPr>
      </w:pPr>
    </w:p>
    <w:p w:rsidR="00731A90" w:rsidP="00EA72EA" w:rsidRDefault="00731A90">
      <w:pPr>
        <w:numPr>
          <w:ilvl w:val="0"/>
          <w:numId w:val="11"/>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None.</w:t>
      </w:r>
    </w:p>
    <w:p w:rsidR="00731A90" w:rsidRDefault="00731A90">
      <w:pPr>
        <w:rPr>
          <w:rFonts w:ascii="Times New Roman" w:hAnsi="Times New Roman"/>
        </w:rPr>
      </w:pPr>
    </w:p>
    <w:p w:rsidR="00731A90" w:rsidRDefault="009F4532">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rsidRDefault="00731A90">
      <w:pPr>
        <w:rPr>
          <w:rFonts w:ascii="Times New Roman" w:hAnsi="Times New Roman"/>
          <w:u w:val="single"/>
        </w:rPr>
      </w:pPr>
    </w:p>
    <w:p w:rsidR="00731A90" w:rsidRDefault="00731A90">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rsidSect="00CC299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9D" w:rsidRDefault="00BD7A9D">
      <w:r>
        <w:separator/>
      </w:r>
    </w:p>
  </w:endnote>
  <w:endnote w:type="continuationSeparator" w:id="0">
    <w:p w:rsidR="00BD7A9D" w:rsidRDefault="00BD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00000000"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3" w:rsidRDefault="00782F33">
    <w:pPr>
      <w:spacing w:line="240" w:lineRule="exact"/>
    </w:pPr>
  </w:p>
  <w:p w:rsidR="00782F33" w:rsidRDefault="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F4E87">
      <w:rPr>
        <w:rFonts w:ascii="Times New Roman" w:hAnsi="Times New Roman"/>
        <w:noProof/>
      </w:rPr>
      <w:t>1</w:t>
    </w:r>
    <w:r>
      <w:rPr>
        <w:rFonts w:ascii="Times New Roman" w:hAnsi="Times New Roman"/>
      </w:rPr>
      <w:fldChar w:fldCharType="end"/>
    </w:r>
  </w:p>
  <w:p w:rsidR="00782F33" w:rsidRDefault="00782F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9D" w:rsidRDefault="00BD7A9D">
      <w:r>
        <w:separator/>
      </w:r>
    </w:p>
  </w:footnote>
  <w:footnote w:type="continuationSeparator" w:id="0">
    <w:p w:rsidR="00BD7A9D" w:rsidRDefault="00BD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15:restartNumberingAfterBreak="0">
    <w:nsid w:val="27C30C12"/>
    <w:multiLevelType w:val="hybridMultilevel"/>
    <w:tmpl w:val="6682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A60D1"/>
    <w:multiLevelType w:val="hybridMultilevel"/>
    <w:tmpl w:val="A96AC8E8"/>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192ABB"/>
    <w:multiLevelType w:val="hybridMultilevel"/>
    <w:tmpl w:val="D55E27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D231EC"/>
    <w:multiLevelType w:val="hybridMultilevel"/>
    <w:tmpl w:val="38080B4A"/>
    <w:lvl w:ilvl="0" w:tplc="65583E4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9"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4B3676"/>
    <w:multiLevelType w:val="hybridMultilevel"/>
    <w:tmpl w:val="0C6CE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2C5665"/>
    <w:multiLevelType w:val="hybridMultilevel"/>
    <w:tmpl w:val="823CA48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7DE7637F"/>
    <w:multiLevelType w:val="hybridMultilevel"/>
    <w:tmpl w:val="52669052"/>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11"/>
  </w:num>
  <w:num w:numId="6">
    <w:abstractNumId w:val="9"/>
  </w:num>
  <w:num w:numId="7">
    <w:abstractNumId w:val="5"/>
  </w:num>
  <w:num w:numId="8">
    <w:abstractNumId w:val="7"/>
  </w:num>
  <w:num w:numId="9">
    <w:abstractNumId w:val="10"/>
  </w:num>
  <w:num w:numId="10">
    <w:abstractNumId w:val="3"/>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05BCF"/>
    <w:rsid w:val="00020CDC"/>
    <w:rsid w:val="0003174D"/>
    <w:rsid w:val="000711DE"/>
    <w:rsid w:val="000712DC"/>
    <w:rsid w:val="00075303"/>
    <w:rsid w:val="000A65F3"/>
    <w:rsid w:val="000C5523"/>
    <w:rsid w:val="000D67E2"/>
    <w:rsid w:val="000D7176"/>
    <w:rsid w:val="000F640A"/>
    <w:rsid w:val="0011093D"/>
    <w:rsid w:val="00121C50"/>
    <w:rsid w:val="00127930"/>
    <w:rsid w:val="00142214"/>
    <w:rsid w:val="001509ED"/>
    <w:rsid w:val="00173189"/>
    <w:rsid w:val="0018551F"/>
    <w:rsid w:val="00187969"/>
    <w:rsid w:val="00195400"/>
    <w:rsid w:val="001A10B6"/>
    <w:rsid w:val="001A7C38"/>
    <w:rsid w:val="001C4726"/>
    <w:rsid w:val="001D433C"/>
    <w:rsid w:val="001E004B"/>
    <w:rsid w:val="00236B66"/>
    <w:rsid w:val="0024688B"/>
    <w:rsid w:val="002616EA"/>
    <w:rsid w:val="00281F97"/>
    <w:rsid w:val="002847B4"/>
    <w:rsid w:val="002853B0"/>
    <w:rsid w:val="002864BB"/>
    <w:rsid w:val="0029442A"/>
    <w:rsid w:val="002D2C1C"/>
    <w:rsid w:val="002D58BF"/>
    <w:rsid w:val="002D7399"/>
    <w:rsid w:val="002E7B73"/>
    <w:rsid w:val="002F0A91"/>
    <w:rsid w:val="003036FF"/>
    <w:rsid w:val="00324E6B"/>
    <w:rsid w:val="00361E1E"/>
    <w:rsid w:val="003A2A04"/>
    <w:rsid w:val="003C37B8"/>
    <w:rsid w:val="003E3253"/>
    <w:rsid w:val="003F3598"/>
    <w:rsid w:val="003F4E87"/>
    <w:rsid w:val="00401A8A"/>
    <w:rsid w:val="00412D5F"/>
    <w:rsid w:val="00414D83"/>
    <w:rsid w:val="00440038"/>
    <w:rsid w:val="00462D56"/>
    <w:rsid w:val="00462F60"/>
    <w:rsid w:val="00497E0B"/>
    <w:rsid w:val="004A4753"/>
    <w:rsid w:val="004A4C59"/>
    <w:rsid w:val="004B05CB"/>
    <w:rsid w:val="004B75B6"/>
    <w:rsid w:val="004C4367"/>
    <w:rsid w:val="004D1876"/>
    <w:rsid w:val="004D6D84"/>
    <w:rsid w:val="004E7B81"/>
    <w:rsid w:val="00503AAC"/>
    <w:rsid w:val="00565D70"/>
    <w:rsid w:val="00574D7A"/>
    <w:rsid w:val="00587416"/>
    <w:rsid w:val="005D2FE1"/>
    <w:rsid w:val="005F15BB"/>
    <w:rsid w:val="00603AE5"/>
    <w:rsid w:val="00606638"/>
    <w:rsid w:val="0061500B"/>
    <w:rsid w:val="00637F57"/>
    <w:rsid w:val="00650A0B"/>
    <w:rsid w:val="00652F4C"/>
    <w:rsid w:val="00692309"/>
    <w:rsid w:val="00697A37"/>
    <w:rsid w:val="006A13B2"/>
    <w:rsid w:val="006B23FE"/>
    <w:rsid w:val="006B4247"/>
    <w:rsid w:val="006B5B26"/>
    <w:rsid w:val="006C65B7"/>
    <w:rsid w:val="006E11B2"/>
    <w:rsid w:val="00703ECB"/>
    <w:rsid w:val="00723A34"/>
    <w:rsid w:val="00727480"/>
    <w:rsid w:val="00731A90"/>
    <w:rsid w:val="00733A7C"/>
    <w:rsid w:val="00736FF6"/>
    <w:rsid w:val="007468AE"/>
    <w:rsid w:val="00752068"/>
    <w:rsid w:val="00782F33"/>
    <w:rsid w:val="007844D0"/>
    <w:rsid w:val="00784EE8"/>
    <w:rsid w:val="007B274F"/>
    <w:rsid w:val="007C2247"/>
    <w:rsid w:val="007C6837"/>
    <w:rsid w:val="007C6F0C"/>
    <w:rsid w:val="007D1404"/>
    <w:rsid w:val="007E3A41"/>
    <w:rsid w:val="007E3BBD"/>
    <w:rsid w:val="007F7BC9"/>
    <w:rsid w:val="00805511"/>
    <w:rsid w:val="00807C1A"/>
    <w:rsid w:val="00817925"/>
    <w:rsid w:val="0086426A"/>
    <w:rsid w:val="00876F23"/>
    <w:rsid w:val="00877FB0"/>
    <w:rsid w:val="00897B53"/>
    <w:rsid w:val="008A2703"/>
    <w:rsid w:val="008A3157"/>
    <w:rsid w:val="008F276F"/>
    <w:rsid w:val="008F53AC"/>
    <w:rsid w:val="00905E1E"/>
    <w:rsid w:val="00937193"/>
    <w:rsid w:val="009431C3"/>
    <w:rsid w:val="00953549"/>
    <w:rsid w:val="0096351C"/>
    <w:rsid w:val="00967A7E"/>
    <w:rsid w:val="0099128A"/>
    <w:rsid w:val="00994D3E"/>
    <w:rsid w:val="009A6AB2"/>
    <w:rsid w:val="009B6429"/>
    <w:rsid w:val="009B7B63"/>
    <w:rsid w:val="009D2490"/>
    <w:rsid w:val="009D2D15"/>
    <w:rsid w:val="009F2F79"/>
    <w:rsid w:val="009F4532"/>
    <w:rsid w:val="00A61329"/>
    <w:rsid w:val="00A61517"/>
    <w:rsid w:val="00A63E49"/>
    <w:rsid w:val="00A700DA"/>
    <w:rsid w:val="00A749F5"/>
    <w:rsid w:val="00A92D47"/>
    <w:rsid w:val="00AA35E1"/>
    <w:rsid w:val="00AC5955"/>
    <w:rsid w:val="00AD251A"/>
    <w:rsid w:val="00AD2B69"/>
    <w:rsid w:val="00AD6A6E"/>
    <w:rsid w:val="00AF79FB"/>
    <w:rsid w:val="00B0375D"/>
    <w:rsid w:val="00B26610"/>
    <w:rsid w:val="00B35942"/>
    <w:rsid w:val="00B434D6"/>
    <w:rsid w:val="00B46EDD"/>
    <w:rsid w:val="00B723D8"/>
    <w:rsid w:val="00B92CD6"/>
    <w:rsid w:val="00BA176A"/>
    <w:rsid w:val="00BA29C4"/>
    <w:rsid w:val="00BD18FD"/>
    <w:rsid w:val="00BD7A9D"/>
    <w:rsid w:val="00BF402A"/>
    <w:rsid w:val="00C05B2A"/>
    <w:rsid w:val="00C149F9"/>
    <w:rsid w:val="00C17503"/>
    <w:rsid w:val="00C2633A"/>
    <w:rsid w:val="00C46EA0"/>
    <w:rsid w:val="00C51500"/>
    <w:rsid w:val="00C56B13"/>
    <w:rsid w:val="00C806D4"/>
    <w:rsid w:val="00C96990"/>
    <w:rsid w:val="00CA0749"/>
    <w:rsid w:val="00CA613E"/>
    <w:rsid w:val="00CC299C"/>
    <w:rsid w:val="00CE7FAA"/>
    <w:rsid w:val="00D10113"/>
    <w:rsid w:val="00D1076C"/>
    <w:rsid w:val="00D25374"/>
    <w:rsid w:val="00D40E93"/>
    <w:rsid w:val="00D664A3"/>
    <w:rsid w:val="00D807AF"/>
    <w:rsid w:val="00DB04B6"/>
    <w:rsid w:val="00DB6D22"/>
    <w:rsid w:val="00DC75D1"/>
    <w:rsid w:val="00DE6692"/>
    <w:rsid w:val="00E175F9"/>
    <w:rsid w:val="00E26D96"/>
    <w:rsid w:val="00E47450"/>
    <w:rsid w:val="00E5596D"/>
    <w:rsid w:val="00E71EA2"/>
    <w:rsid w:val="00E72F1F"/>
    <w:rsid w:val="00E965B1"/>
    <w:rsid w:val="00EA6F48"/>
    <w:rsid w:val="00EA72EA"/>
    <w:rsid w:val="00EB2791"/>
    <w:rsid w:val="00EB726B"/>
    <w:rsid w:val="00ED4653"/>
    <w:rsid w:val="00ED73FC"/>
    <w:rsid w:val="00EE2053"/>
    <w:rsid w:val="00F034F1"/>
    <w:rsid w:val="00F115F5"/>
    <w:rsid w:val="00F17C0E"/>
    <w:rsid w:val="00F30B4A"/>
    <w:rsid w:val="00F80067"/>
    <w:rsid w:val="00FD5E35"/>
    <w:rsid w:val="00FE7B48"/>
    <w:rsid w:val="00FF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Style 39,12"/>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n Char,Footnote Text Char Char Char Char Char Char Char Char Char Char Char Char Char Char Char Char Char Char,Footnote Text Char1 Char Char Char,Footnote Text Char Char Char Char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n Char Char,Footnote Text Char Char Char Char Char Char Char Char Char Char Char Char Char Char Char Char Char Char Char,Footnote Text Char1 Char Char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 w:type="paragraph" w:styleId="BodyText2">
    <w:name w:val="Body Text 2"/>
    <w:basedOn w:val="Normal"/>
    <w:link w:val="BodyText2Char"/>
    <w:rsid w:val="00733A7C"/>
    <w:pPr>
      <w:spacing w:after="120" w:line="480" w:lineRule="auto"/>
    </w:pPr>
  </w:style>
  <w:style w:type="character" w:customStyle="1" w:styleId="BodyText2Char">
    <w:name w:val="Body Text 2 Char"/>
    <w:link w:val="BodyText2"/>
    <w:rsid w:val="00733A7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4224">
      <w:bodyDiv w:val="1"/>
      <w:marLeft w:val="0"/>
      <w:marRight w:val="0"/>
      <w:marTop w:val="0"/>
      <w:marBottom w:val="0"/>
      <w:divBdr>
        <w:top w:val="none" w:sz="0" w:space="0" w:color="auto"/>
        <w:left w:val="none" w:sz="0" w:space="0" w:color="auto"/>
        <w:bottom w:val="none" w:sz="0" w:space="0" w:color="auto"/>
        <w:right w:val="none" w:sz="0" w:space="0" w:color="auto"/>
      </w:divBdr>
    </w:div>
    <w:div w:id="13274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9006-4EB5-40F9-9F74-CB2268D1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2020-01-21T15:18:00Z</dcterms:created>
  <dcterms:modified xsi:type="dcterms:W3CDTF">2020-01-21T15:18:00Z</dcterms:modified>
</cp:coreProperties>
</file>