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58BF" w:rsidR="004958BF" w:rsidP="004958BF" w:rsidRDefault="004958BF" w14:paraId="0936CA5C" w14:textId="77777777">
      <w:pPr>
        <w:jc w:val="center"/>
        <w:rPr>
          <w:rFonts w:ascii="Times New Roman" w:hAnsi="Times New Roman"/>
          <w:sz w:val="24"/>
          <w:szCs w:val="24"/>
        </w:rPr>
      </w:pPr>
      <w:bookmarkStart w:name="_GoBack" w:id="0"/>
      <w:bookmarkEnd w:id="0"/>
      <w:r w:rsidRPr="004958BF">
        <w:rPr>
          <w:rFonts w:ascii="Times New Roman" w:hAnsi="Times New Roman"/>
          <w:sz w:val="24"/>
          <w:szCs w:val="24"/>
        </w:rPr>
        <w:t>National Credit Union Administration</w:t>
      </w:r>
    </w:p>
    <w:p w:rsidRPr="004958BF" w:rsidR="00294D29" w:rsidP="00294D29" w:rsidRDefault="00A35BD4" w14:paraId="7AF43782" w14:textId="77777777">
      <w:pPr>
        <w:jc w:val="center"/>
        <w:rPr>
          <w:rFonts w:ascii="Times New Roman" w:hAnsi="Times New Roman"/>
          <w:b/>
          <w:sz w:val="24"/>
          <w:szCs w:val="24"/>
        </w:rPr>
      </w:pPr>
      <w:r w:rsidRPr="004958BF">
        <w:rPr>
          <w:rFonts w:ascii="Times New Roman" w:hAnsi="Times New Roman"/>
          <w:b/>
          <w:sz w:val="24"/>
          <w:szCs w:val="24"/>
        </w:rPr>
        <w:t>SUPPORTING STATEMENT</w:t>
      </w:r>
    </w:p>
    <w:p w:rsidRPr="00294D29" w:rsidR="00294D29" w:rsidP="00294D29" w:rsidRDefault="00294D29" w14:paraId="23BA976C" w14:textId="77777777">
      <w:pPr>
        <w:jc w:val="center"/>
        <w:rPr>
          <w:rFonts w:ascii="Times New Roman" w:hAnsi="Times New Roman"/>
          <w:sz w:val="24"/>
          <w:szCs w:val="24"/>
        </w:rPr>
      </w:pPr>
    </w:p>
    <w:p w:rsidRPr="00294D29" w:rsidR="00001D0B" w:rsidP="00294D29" w:rsidRDefault="00001D0B" w14:paraId="484FD011" w14:textId="77777777">
      <w:pPr>
        <w:jc w:val="center"/>
        <w:rPr>
          <w:rFonts w:ascii="Times New Roman" w:hAnsi="Times New Roman"/>
          <w:sz w:val="24"/>
          <w:szCs w:val="24"/>
        </w:rPr>
      </w:pPr>
      <w:r w:rsidRPr="00294D29">
        <w:rPr>
          <w:rFonts w:ascii="Times New Roman" w:hAnsi="Times New Roman"/>
          <w:sz w:val="24"/>
          <w:szCs w:val="24"/>
        </w:rPr>
        <w:t>Suspicious Activity Report by Depository Institutions</w:t>
      </w:r>
    </w:p>
    <w:p w:rsidRPr="0006742E" w:rsidR="00001D0B" w:rsidP="00294D29" w:rsidRDefault="00294D29" w14:paraId="38EE011B" w14:textId="77777777">
      <w:pPr>
        <w:jc w:val="center"/>
        <w:rPr>
          <w:rFonts w:ascii="Times New Roman" w:hAnsi="Times New Roman"/>
          <w:b/>
          <w:sz w:val="24"/>
          <w:szCs w:val="24"/>
        </w:rPr>
      </w:pPr>
      <w:r w:rsidRPr="0006742E">
        <w:rPr>
          <w:rFonts w:ascii="Times New Roman" w:hAnsi="Times New Roman"/>
          <w:b/>
          <w:sz w:val="24"/>
          <w:szCs w:val="24"/>
        </w:rPr>
        <w:t xml:space="preserve">OMB No. </w:t>
      </w:r>
      <w:r w:rsidRPr="0006742E" w:rsidR="00001D0B">
        <w:rPr>
          <w:rFonts w:ascii="Times New Roman" w:hAnsi="Times New Roman"/>
          <w:b/>
          <w:sz w:val="24"/>
          <w:szCs w:val="24"/>
        </w:rPr>
        <w:t>3133-0094</w:t>
      </w:r>
    </w:p>
    <w:p w:rsidRPr="00294D29" w:rsidR="00294D29" w:rsidP="00294D29" w:rsidRDefault="00294D29" w14:paraId="1DAD35FD" w14:textId="77777777">
      <w:pPr>
        <w:jc w:val="center"/>
        <w:rPr>
          <w:rFonts w:ascii="Times New Roman" w:hAnsi="Times New Roman"/>
          <w:sz w:val="24"/>
          <w:szCs w:val="24"/>
        </w:rPr>
      </w:pPr>
    </w:p>
    <w:p w:rsidRPr="004958BF" w:rsidR="00A35BD4" w:rsidP="00406232" w:rsidRDefault="00CD4793" w14:paraId="18FCE1D6" w14:textId="760163C5">
      <w:pPr>
        <w:pStyle w:val="ListParagraph"/>
        <w:numPr>
          <w:ilvl w:val="0"/>
          <w:numId w:val="6"/>
        </w:numPr>
        <w:ind w:hanging="720"/>
        <w:rPr>
          <w:rFonts w:ascii="Times New Roman" w:hAnsi="Times New Roman"/>
          <w:b/>
          <w:sz w:val="24"/>
          <w:szCs w:val="24"/>
        </w:rPr>
      </w:pPr>
      <w:r w:rsidRPr="004958BF">
        <w:rPr>
          <w:rFonts w:ascii="Times New Roman" w:hAnsi="Times New Roman"/>
          <w:b/>
          <w:sz w:val="24"/>
          <w:szCs w:val="24"/>
        </w:rPr>
        <w:t>JUSTIFICATION</w:t>
      </w:r>
    </w:p>
    <w:p w:rsidRPr="00294D29" w:rsidR="00CD4793" w:rsidP="00294D29" w:rsidRDefault="00CD4793" w14:paraId="76EE5528" w14:textId="77777777">
      <w:pPr>
        <w:rPr>
          <w:rFonts w:ascii="Times New Roman" w:hAnsi="Times New Roman"/>
          <w:sz w:val="24"/>
          <w:szCs w:val="24"/>
        </w:rPr>
      </w:pPr>
    </w:p>
    <w:p w:rsidRPr="0093287A" w:rsidR="004958BF" w:rsidP="0093287A" w:rsidRDefault="00A35BD4" w14:paraId="6EB28614" w14:textId="2C3ECFF8">
      <w:pPr>
        <w:pStyle w:val="ListParagraph"/>
        <w:numPr>
          <w:ilvl w:val="0"/>
          <w:numId w:val="4"/>
        </w:numPr>
        <w:tabs>
          <w:tab w:val="left" w:pos="720"/>
        </w:tabs>
        <w:ind w:hanging="720"/>
        <w:rPr>
          <w:rFonts w:ascii="Times New Roman" w:hAnsi="Times New Roman"/>
          <w:b/>
          <w:sz w:val="24"/>
          <w:szCs w:val="24"/>
        </w:rPr>
      </w:pPr>
      <w:r w:rsidRPr="004958BF">
        <w:rPr>
          <w:rFonts w:ascii="Times New Roman" w:hAnsi="Times New Roman"/>
          <w:b/>
          <w:sz w:val="24"/>
          <w:szCs w:val="24"/>
        </w:rPr>
        <w:t>Circum</w:t>
      </w:r>
      <w:r w:rsidRPr="004958BF" w:rsidR="004958BF">
        <w:rPr>
          <w:rFonts w:ascii="Times New Roman" w:hAnsi="Times New Roman"/>
          <w:b/>
          <w:sz w:val="24"/>
          <w:szCs w:val="24"/>
        </w:rPr>
        <w:t>stances that make the collection of information necessary.</w:t>
      </w:r>
    </w:p>
    <w:p w:rsidRPr="00294D29" w:rsidR="00A35BD4" w:rsidP="006339B2" w:rsidRDefault="00A35BD4" w14:paraId="50124693" w14:textId="77777777">
      <w:pPr>
        <w:tabs>
          <w:tab w:val="left" w:pos="720"/>
        </w:tabs>
        <w:ind w:left="720" w:hanging="720"/>
        <w:rPr>
          <w:rFonts w:ascii="Times New Roman" w:hAnsi="Times New Roman"/>
          <w:sz w:val="24"/>
          <w:szCs w:val="24"/>
        </w:rPr>
      </w:pPr>
    </w:p>
    <w:p w:rsidR="0007339C" w:rsidP="006339B2" w:rsidRDefault="00BC2134" w14:paraId="78A00B10" w14:textId="6156B177">
      <w:pPr>
        <w:tabs>
          <w:tab w:val="left" w:pos="720"/>
        </w:tabs>
        <w:ind w:left="720" w:hanging="720"/>
        <w:rPr>
          <w:rFonts w:ascii="Times New Roman" w:hAnsi="Times New Roman"/>
          <w:sz w:val="24"/>
          <w:szCs w:val="24"/>
        </w:rPr>
      </w:pPr>
      <w:r w:rsidRPr="00294D29">
        <w:rPr>
          <w:rFonts w:ascii="Times New Roman" w:hAnsi="Times New Roman"/>
          <w:sz w:val="24"/>
          <w:szCs w:val="24"/>
        </w:rPr>
        <w:tab/>
        <w:t xml:space="preserve">In 1992, the </w:t>
      </w:r>
      <w:r w:rsidR="00294D29">
        <w:rPr>
          <w:rFonts w:ascii="Times New Roman" w:hAnsi="Times New Roman"/>
          <w:sz w:val="24"/>
          <w:szCs w:val="24"/>
        </w:rPr>
        <w:t>Department of the</w:t>
      </w:r>
      <w:r w:rsidRPr="00294D29" w:rsidR="008B5D15">
        <w:rPr>
          <w:rFonts w:ascii="Times New Roman" w:hAnsi="Times New Roman"/>
          <w:sz w:val="24"/>
          <w:szCs w:val="24"/>
        </w:rPr>
        <w:t xml:space="preserve"> </w:t>
      </w:r>
      <w:r w:rsidRPr="00294D29">
        <w:rPr>
          <w:rFonts w:ascii="Times New Roman" w:hAnsi="Times New Roman"/>
          <w:sz w:val="24"/>
          <w:szCs w:val="24"/>
        </w:rPr>
        <w:t xml:space="preserve">Treasury </w:t>
      </w:r>
      <w:r w:rsidR="00294D29">
        <w:rPr>
          <w:rFonts w:ascii="Times New Roman" w:hAnsi="Times New Roman"/>
          <w:sz w:val="24"/>
          <w:szCs w:val="24"/>
        </w:rPr>
        <w:t xml:space="preserve">(Treasury) </w:t>
      </w:r>
      <w:r w:rsidRPr="00294D29">
        <w:rPr>
          <w:rFonts w:ascii="Times New Roman" w:hAnsi="Times New Roman"/>
          <w:sz w:val="24"/>
          <w:szCs w:val="24"/>
        </w:rPr>
        <w:t xml:space="preserve">was granted broad authority to require suspicious transaction reporting under the Bank Secrecy Act (BSA).  </w:t>
      </w:r>
      <w:r w:rsidRPr="00294D29">
        <w:rPr>
          <w:rFonts w:ascii="Times New Roman" w:hAnsi="Times New Roman"/>
          <w:sz w:val="24"/>
          <w:szCs w:val="24"/>
          <w:u w:val="single"/>
        </w:rPr>
        <w:t>See</w:t>
      </w:r>
      <w:r w:rsidRPr="00294D29">
        <w:rPr>
          <w:rFonts w:ascii="Times New Roman" w:hAnsi="Times New Roman"/>
          <w:sz w:val="24"/>
          <w:szCs w:val="24"/>
        </w:rPr>
        <w:t xml:space="preserve"> 31 U.S.C. 5318(g).  </w:t>
      </w:r>
      <w:r w:rsidRPr="00294D29" w:rsidR="008B5D15">
        <w:rPr>
          <w:rFonts w:ascii="Times New Roman" w:hAnsi="Times New Roman"/>
          <w:sz w:val="24"/>
          <w:szCs w:val="24"/>
        </w:rPr>
        <w:t>Treasury’s Financial Crimes Enforcement Network (</w:t>
      </w:r>
      <w:r w:rsidRPr="00294D29">
        <w:rPr>
          <w:rFonts w:ascii="Times New Roman" w:hAnsi="Times New Roman"/>
          <w:sz w:val="24"/>
          <w:szCs w:val="24"/>
        </w:rPr>
        <w:t>FinCEN</w:t>
      </w:r>
      <w:r w:rsidRPr="00294D29" w:rsidR="008B5D15">
        <w:rPr>
          <w:rFonts w:ascii="Times New Roman" w:hAnsi="Times New Roman"/>
          <w:sz w:val="24"/>
          <w:szCs w:val="24"/>
        </w:rPr>
        <w:t>)</w:t>
      </w:r>
      <w:r w:rsidRPr="00294D29">
        <w:rPr>
          <w:rFonts w:ascii="Times New Roman" w:hAnsi="Times New Roman"/>
          <w:sz w:val="24"/>
          <w:szCs w:val="24"/>
        </w:rPr>
        <w:t xml:space="preserve">, which has been delegated authority to administer the </w:t>
      </w:r>
      <w:r w:rsidR="000D686E">
        <w:rPr>
          <w:rFonts w:ascii="Times New Roman" w:hAnsi="Times New Roman"/>
          <w:sz w:val="24"/>
          <w:szCs w:val="24"/>
        </w:rPr>
        <w:t>BSA</w:t>
      </w:r>
      <w:r w:rsidRPr="00294D29">
        <w:rPr>
          <w:rFonts w:ascii="Times New Roman" w:hAnsi="Times New Roman"/>
          <w:sz w:val="24"/>
          <w:szCs w:val="24"/>
        </w:rPr>
        <w:t>, joined with the bank regulators</w:t>
      </w:r>
      <w:r w:rsidRPr="00294D29" w:rsidR="008B5D15">
        <w:rPr>
          <w:rStyle w:val="FootnoteReference"/>
          <w:rFonts w:ascii="Times New Roman" w:hAnsi="Times New Roman"/>
          <w:sz w:val="24"/>
          <w:szCs w:val="24"/>
        </w:rPr>
        <w:footnoteReference w:id="1"/>
      </w:r>
      <w:r w:rsidRPr="00294D29">
        <w:rPr>
          <w:rFonts w:ascii="Times New Roman" w:hAnsi="Times New Roman"/>
          <w:sz w:val="24"/>
          <w:szCs w:val="24"/>
        </w:rPr>
        <w:t xml:space="preserve"> in 1996 in </w:t>
      </w:r>
      <w:r w:rsidR="006B2347">
        <w:rPr>
          <w:rFonts w:ascii="Times New Roman" w:hAnsi="Times New Roman"/>
          <w:sz w:val="24"/>
          <w:szCs w:val="24"/>
        </w:rPr>
        <w:t xml:space="preserve">adopting and </w:t>
      </w:r>
      <w:r w:rsidRPr="00294D29">
        <w:rPr>
          <w:rFonts w:ascii="Times New Roman" w:hAnsi="Times New Roman"/>
          <w:sz w:val="24"/>
          <w:szCs w:val="24"/>
        </w:rPr>
        <w:t>requiring</w:t>
      </w:r>
      <w:r w:rsidR="00294D29">
        <w:rPr>
          <w:rFonts w:ascii="Times New Roman" w:hAnsi="Times New Roman"/>
          <w:sz w:val="24"/>
          <w:szCs w:val="24"/>
        </w:rPr>
        <w:t xml:space="preserve"> </w:t>
      </w:r>
      <w:r w:rsidRPr="00294D29">
        <w:rPr>
          <w:rFonts w:ascii="Times New Roman" w:hAnsi="Times New Roman"/>
          <w:sz w:val="24"/>
          <w:szCs w:val="24"/>
        </w:rPr>
        <w:t>reports of suspicious transactions</w:t>
      </w:r>
      <w:r w:rsidR="00294D29">
        <w:rPr>
          <w:rFonts w:ascii="Times New Roman" w:hAnsi="Times New Roman"/>
          <w:sz w:val="24"/>
          <w:szCs w:val="24"/>
        </w:rPr>
        <w:t xml:space="preserve"> on a consolidated </w:t>
      </w:r>
      <w:r w:rsidR="000D686E">
        <w:rPr>
          <w:rFonts w:ascii="Times New Roman" w:hAnsi="Times New Roman"/>
          <w:sz w:val="24"/>
          <w:szCs w:val="24"/>
        </w:rPr>
        <w:t>suspicious activity report (</w:t>
      </w:r>
      <w:r w:rsidR="007E0E1D">
        <w:rPr>
          <w:rFonts w:ascii="Times New Roman" w:hAnsi="Times New Roman"/>
          <w:sz w:val="24"/>
          <w:szCs w:val="24"/>
        </w:rPr>
        <w:t>SARs</w:t>
      </w:r>
      <w:r w:rsidR="000D686E">
        <w:rPr>
          <w:rFonts w:ascii="Times New Roman" w:hAnsi="Times New Roman"/>
          <w:sz w:val="24"/>
          <w:szCs w:val="24"/>
        </w:rPr>
        <w:t>)</w:t>
      </w:r>
      <w:r w:rsidR="007E0E1D">
        <w:rPr>
          <w:rFonts w:ascii="Times New Roman" w:hAnsi="Times New Roman"/>
          <w:sz w:val="24"/>
          <w:szCs w:val="24"/>
        </w:rPr>
        <w:t xml:space="preserve"> </w:t>
      </w:r>
      <w:r w:rsidR="00294D29">
        <w:rPr>
          <w:rFonts w:ascii="Times New Roman" w:hAnsi="Times New Roman"/>
          <w:sz w:val="24"/>
          <w:szCs w:val="24"/>
        </w:rPr>
        <w:t>form</w:t>
      </w:r>
      <w:r w:rsidRPr="00294D29">
        <w:rPr>
          <w:rFonts w:ascii="Times New Roman" w:hAnsi="Times New Roman"/>
          <w:sz w:val="24"/>
          <w:szCs w:val="24"/>
        </w:rPr>
        <w:t>.</w:t>
      </w:r>
      <w:r w:rsidRPr="00294D29">
        <w:rPr>
          <w:rStyle w:val="FootnoteReference"/>
          <w:rFonts w:ascii="Times New Roman" w:hAnsi="Times New Roman"/>
          <w:sz w:val="24"/>
          <w:szCs w:val="24"/>
        </w:rPr>
        <w:footnoteReference w:id="2"/>
      </w:r>
      <w:r w:rsidRPr="00294D29">
        <w:rPr>
          <w:rFonts w:ascii="Times New Roman" w:hAnsi="Times New Roman"/>
          <w:sz w:val="24"/>
          <w:szCs w:val="24"/>
        </w:rPr>
        <w:t xml:space="preserve">  </w:t>
      </w:r>
      <w:r w:rsidR="00DC0B8B">
        <w:rPr>
          <w:rFonts w:ascii="Times New Roman" w:hAnsi="Times New Roman"/>
          <w:sz w:val="24"/>
          <w:szCs w:val="24"/>
        </w:rPr>
        <w:t xml:space="preserve">This </w:t>
      </w:r>
      <w:r w:rsidRPr="00294D29" w:rsidR="00294D29">
        <w:rPr>
          <w:rFonts w:ascii="Times New Roman" w:hAnsi="Times New Roman"/>
          <w:sz w:val="24"/>
          <w:szCs w:val="24"/>
        </w:rPr>
        <w:t>simplif</w:t>
      </w:r>
      <w:r w:rsidR="000D686E">
        <w:rPr>
          <w:rFonts w:ascii="Times New Roman" w:hAnsi="Times New Roman"/>
          <w:sz w:val="24"/>
          <w:szCs w:val="24"/>
        </w:rPr>
        <w:t>ied</w:t>
      </w:r>
      <w:r w:rsidRPr="00294D29" w:rsidR="00294D29">
        <w:rPr>
          <w:rFonts w:ascii="Times New Roman" w:hAnsi="Times New Roman"/>
          <w:sz w:val="24"/>
          <w:szCs w:val="24"/>
        </w:rPr>
        <w:t xml:space="preserve"> the process through which banks</w:t>
      </w:r>
      <w:r w:rsidRPr="00294D29" w:rsidR="00294D29">
        <w:rPr>
          <w:rStyle w:val="FootnoteReference"/>
          <w:rFonts w:ascii="Times New Roman" w:hAnsi="Times New Roman"/>
          <w:sz w:val="24"/>
          <w:szCs w:val="24"/>
        </w:rPr>
        <w:footnoteReference w:id="3"/>
      </w:r>
      <w:r w:rsidRPr="00294D29" w:rsidR="00294D29">
        <w:rPr>
          <w:rFonts w:ascii="Times New Roman" w:hAnsi="Times New Roman"/>
          <w:sz w:val="24"/>
          <w:szCs w:val="24"/>
        </w:rPr>
        <w:t xml:space="preserve"> inform their regulators and law enforcement about suspected criminal activity</w:t>
      </w:r>
      <w:r w:rsidR="0047726C">
        <w:rPr>
          <w:rFonts w:ascii="Times New Roman" w:hAnsi="Times New Roman"/>
          <w:sz w:val="24"/>
          <w:szCs w:val="24"/>
        </w:rPr>
        <w:t>.</w:t>
      </w:r>
      <w:r w:rsidR="00121FF7">
        <w:rPr>
          <w:rFonts w:ascii="Times New Roman" w:hAnsi="Times New Roman"/>
          <w:sz w:val="24"/>
          <w:szCs w:val="24"/>
        </w:rPr>
        <w:t xml:space="preserve">  </w:t>
      </w:r>
    </w:p>
    <w:p w:rsidR="0007339C" w:rsidP="006339B2" w:rsidRDefault="0007339C" w14:paraId="2ED55342" w14:textId="77777777">
      <w:pPr>
        <w:tabs>
          <w:tab w:val="left" w:pos="720"/>
        </w:tabs>
        <w:ind w:left="720" w:hanging="720"/>
        <w:rPr>
          <w:rFonts w:ascii="Times New Roman" w:hAnsi="Times New Roman"/>
          <w:sz w:val="24"/>
          <w:szCs w:val="24"/>
        </w:rPr>
      </w:pPr>
    </w:p>
    <w:p w:rsidRPr="00294D29" w:rsidR="00541E18" w:rsidP="00667968" w:rsidRDefault="0007339C" w14:paraId="1E61A0EC" w14:textId="37A33A90">
      <w:pPr>
        <w:tabs>
          <w:tab w:val="left" w:pos="720"/>
        </w:tabs>
        <w:ind w:left="720" w:hanging="720"/>
        <w:rPr>
          <w:rFonts w:ascii="Times New Roman" w:hAnsi="Times New Roman"/>
          <w:sz w:val="24"/>
          <w:szCs w:val="24"/>
        </w:rPr>
      </w:pPr>
      <w:r>
        <w:rPr>
          <w:rFonts w:ascii="Times New Roman" w:hAnsi="Times New Roman"/>
          <w:sz w:val="24"/>
          <w:szCs w:val="24"/>
        </w:rPr>
        <w:tab/>
      </w:r>
      <w:r w:rsidR="00513CF9">
        <w:rPr>
          <w:rFonts w:ascii="Times New Roman" w:hAnsi="Times New Roman"/>
          <w:sz w:val="24"/>
          <w:szCs w:val="24"/>
        </w:rPr>
        <w:t xml:space="preserve">The SAR was updated in 1999, 2002, 2006, and 2009.  </w:t>
      </w:r>
      <w:r>
        <w:rPr>
          <w:rFonts w:ascii="Times New Roman" w:hAnsi="Times New Roman"/>
          <w:sz w:val="24"/>
          <w:szCs w:val="24"/>
        </w:rPr>
        <w:t xml:space="preserve">In 2011, </w:t>
      </w:r>
      <w:r w:rsidR="00533E12">
        <w:rPr>
          <w:rFonts w:ascii="Times New Roman" w:hAnsi="Times New Roman"/>
          <w:sz w:val="24"/>
          <w:szCs w:val="24"/>
        </w:rPr>
        <w:t>FinCEN transitioned from industry specific paper forms to one electronically filed dynamic and interactive B</w:t>
      </w:r>
      <w:r w:rsidR="001136E8">
        <w:rPr>
          <w:rFonts w:ascii="Times New Roman" w:hAnsi="Times New Roman"/>
          <w:sz w:val="24"/>
          <w:szCs w:val="24"/>
        </w:rPr>
        <w:t>SA</w:t>
      </w:r>
      <w:r w:rsidR="00533E12">
        <w:rPr>
          <w:rFonts w:ascii="Times New Roman" w:hAnsi="Times New Roman"/>
          <w:sz w:val="24"/>
          <w:szCs w:val="24"/>
        </w:rPr>
        <w:t>-SAR</w:t>
      </w:r>
      <w:r w:rsidR="00810881">
        <w:rPr>
          <w:rFonts w:ascii="Times New Roman" w:hAnsi="Times New Roman"/>
          <w:sz w:val="24"/>
          <w:szCs w:val="24"/>
        </w:rPr>
        <w:t xml:space="preserve"> for use by all filing institutions</w:t>
      </w:r>
      <w:r w:rsidR="00E25601">
        <w:rPr>
          <w:rFonts w:ascii="Times New Roman" w:hAnsi="Times New Roman"/>
          <w:sz w:val="24"/>
          <w:szCs w:val="24"/>
        </w:rPr>
        <w:t xml:space="preserve">.  This e-filing portal became mandatory on July 1, 2012. </w:t>
      </w:r>
      <w:r w:rsidR="00810881">
        <w:rPr>
          <w:rFonts w:ascii="Times New Roman" w:hAnsi="Times New Roman"/>
          <w:sz w:val="24"/>
          <w:szCs w:val="24"/>
        </w:rPr>
        <w:t>(</w:t>
      </w:r>
      <w:hyperlink w:history="1" r:id="rId12">
        <w:r w:rsidRPr="00A93276" w:rsidR="00810881">
          <w:rPr>
            <w:rStyle w:val="Hyperlink"/>
            <w:rFonts w:ascii="Times New Roman" w:hAnsi="Times New Roman"/>
            <w:sz w:val="24"/>
            <w:szCs w:val="24"/>
          </w:rPr>
          <w:t>http://bsaefiling.fincen.treas.gov/main.html</w:t>
        </w:r>
      </w:hyperlink>
      <w:r w:rsidR="00810881">
        <w:rPr>
          <w:rFonts w:ascii="Times New Roman" w:hAnsi="Times New Roman"/>
          <w:sz w:val="24"/>
          <w:szCs w:val="24"/>
        </w:rPr>
        <w:t>)</w:t>
      </w:r>
    </w:p>
    <w:p w:rsidRPr="00294D29" w:rsidR="00541E18" w:rsidP="006339B2" w:rsidRDefault="00541E18" w14:paraId="22673EA0" w14:textId="77777777">
      <w:pPr>
        <w:tabs>
          <w:tab w:val="left" w:pos="720"/>
        </w:tabs>
        <w:ind w:left="720" w:hanging="720"/>
        <w:rPr>
          <w:rFonts w:ascii="Times New Roman" w:hAnsi="Times New Roman"/>
          <w:sz w:val="24"/>
          <w:szCs w:val="24"/>
        </w:rPr>
      </w:pPr>
    </w:p>
    <w:p w:rsidRPr="00294D29" w:rsidR="00A35BD4" w:rsidP="006339B2" w:rsidRDefault="00A35BD4" w14:paraId="6DDA3F23" w14:textId="77777777">
      <w:pPr>
        <w:tabs>
          <w:tab w:val="left" w:pos="720"/>
        </w:tabs>
        <w:ind w:left="720" w:hanging="720"/>
        <w:rPr>
          <w:rFonts w:ascii="Times New Roman" w:hAnsi="Times New Roman"/>
          <w:sz w:val="24"/>
          <w:szCs w:val="24"/>
        </w:rPr>
      </w:pPr>
      <w:r w:rsidRPr="00294D29">
        <w:rPr>
          <w:rFonts w:ascii="Times New Roman" w:hAnsi="Times New Roman"/>
          <w:sz w:val="24"/>
          <w:szCs w:val="24"/>
        </w:rPr>
        <w:tab/>
      </w:r>
      <w:r w:rsidRPr="00294D29" w:rsidR="00C74123">
        <w:rPr>
          <w:rFonts w:ascii="Times New Roman" w:hAnsi="Times New Roman"/>
          <w:sz w:val="24"/>
          <w:szCs w:val="24"/>
        </w:rPr>
        <w:t xml:space="preserve">Credit unions </w:t>
      </w:r>
      <w:r w:rsidRPr="00294D29">
        <w:rPr>
          <w:rFonts w:ascii="Times New Roman" w:hAnsi="Times New Roman"/>
          <w:sz w:val="24"/>
          <w:szCs w:val="24"/>
        </w:rPr>
        <w:t xml:space="preserve">are required to retain a copy of the </w:t>
      </w:r>
      <w:r w:rsidRPr="00294D29" w:rsidR="00C74123">
        <w:rPr>
          <w:rFonts w:ascii="Times New Roman" w:hAnsi="Times New Roman"/>
          <w:sz w:val="24"/>
          <w:szCs w:val="24"/>
        </w:rPr>
        <w:t>BSA-SAR</w:t>
      </w:r>
      <w:r w:rsidRPr="00294D29">
        <w:rPr>
          <w:rFonts w:ascii="Times New Roman" w:hAnsi="Times New Roman"/>
          <w:sz w:val="24"/>
          <w:szCs w:val="24"/>
        </w:rPr>
        <w:t xml:space="preserve"> filed and supporting documentation for the filing of the </w:t>
      </w:r>
      <w:r w:rsidRPr="00294D29" w:rsidR="00C74123">
        <w:rPr>
          <w:rFonts w:ascii="Times New Roman" w:hAnsi="Times New Roman"/>
          <w:sz w:val="24"/>
          <w:szCs w:val="24"/>
        </w:rPr>
        <w:t>BSA-SAR</w:t>
      </w:r>
      <w:r w:rsidRPr="00294D29">
        <w:rPr>
          <w:rFonts w:ascii="Times New Roman" w:hAnsi="Times New Roman"/>
          <w:sz w:val="24"/>
          <w:szCs w:val="24"/>
        </w:rPr>
        <w:t xml:space="preserve"> for five years.  See 31 CFR </w:t>
      </w:r>
      <w:r w:rsidRPr="00890669" w:rsidR="00C74123">
        <w:rPr>
          <w:rFonts w:ascii="Times New Roman" w:hAnsi="Times New Roman"/>
          <w:sz w:val="24"/>
          <w:szCs w:val="24"/>
        </w:rPr>
        <w:t>1020.320</w:t>
      </w:r>
      <w:r w:rsidRPr="00890669">
        <w:rPr>
          <w:rFonts w:ascii="Times New Roman" w:hAnsi="Times New Roman"/>
          <w:sz w:val="24"/>
          <w:szCs w:val="24"/>
        </w:rPr>
        <w:t>(d)</w:t>
      </w:r>
      <w:r w:rsidRPr="00294D29">
        <w:rPr>
          <w:rFonts w:ascii="Times New Roman" w:hAnsi="Times New Roman"/>
          <w:sz w:val="24"/>
          <w:szCs w:val="24"/>
        </w:rPr>
        <w:t xml:space="preserve"> and 31 CFR </w:t>
      </w:r>
      <w:r w:rsidRPr="00294D29" w:rsidR="00C74123">
        <w:rPr>
          <w:rFonts w:ascii="Times New Roman" w:hAnsi="Times New Roman"/>
          <w:sz w:val="24"/>
          <w:szCs w:val="24"/>
        </w:rPr>
        <w:t>1010.430</w:t>
      </w:r>
      <w:r w:rsidRPr="00294D29">
        <w:rPr>
          <w:rFonts w:ascii="Times New Roman" w:hAnsi="Times New Roman"/>
          <w:sz w:val="24"/>
          <w:szCs w:val="24"/>
        </w:rPr>
        <w:t>.  These documents are necessary for criminal investigations and prosecutions.</w:t>
      </w:r>
    </w:p>
    <w:p w:rsidRPr="00294D29" w:rsidR="00A35BD4" w:rsidP="006339B2" w:rsidRDefault="00A35BD4" w14:paraId="68B518B3" w14:textId="77777777">
      <w:pPr>
        <w:tabs>
          <w:tab w:val="left" w:pos="720"/>
        </w:tabs>
        <w:ind w:left="720" w:hanging="720"/>
        <w:rPr>
          <w:rFonts w:ascii="Times New Roman" w:hAnsi="Times New Roman"/>
          <w:sz w:val="24"/>
          <w:szCs w:val="24"/>
        </w:rPr>
      </w:pPr>
    </w:p>
    <w:p w:rsidRPr="0093287A" w:rsidR="004958BF" w:rsidP="004958BF" w:rsidRDefault="004958BF" w14:paraId="09CC6223" w14:textId="1F1C4B48">
      <w:pPr>
        <w:pStyle w:val="ListParagraph"/>
        <w:numPr>
          <w:ilvl w:val="0"/>
          <w:numId w:val="4"/>
        </w:numPr>
        <w:tabs>
          <w:tab w:val="left" w:pos="720"/>
        </w:tabs>
        <w:ind w:hanging="720"/>
        <w:rPr>
          <w:rFonts w:ascii="Times New Roman" w:hAnsi="Times New Roman"/>
          <w:b/>
          <w:sz w:val="24"/>
          <w:szCs w:val="24"/>
        </w:rPr>
      </w:pPr>
      <w:r w:rsidRPr="004958BF">
        <w:rPr>
          <w:rFonts w:ascii="Times New Roman" w:hAnsi="Times New Roman"/>
          <w:b/>
          <w:sz w:val="24"/>
          <w:szCs w:val="24"/>
        </w:rPr>
        <w:t>Purpose and use of the information collected</w:t>
      </w:r>
      <w:r w:rsidRPr="004958BF" w:rsidR="00A35BD4">
        <w:rPr>
          <w:rFonts w:ascii="Times New Roman" w:hAnsi="Times New Roman"/>
          <w:b/>
          <w:sz w:val="24"/>
          <w:szCs w:val="24"/>
        </w:rPr>
        <w:t>.</w:t>
      </w:r>
    </w:p>
    <w:p w:rsidRPr="00294D29" w:rsidR="00A35BD4" w:rsidP="006339B2" w:rsidRDefault="00A35BD4" w14:paraId="2F96CCD6" w14:textId="77777777">
      <w:pPr>
        <w:tabs>
          <w:tab w:val="left" w:pos="720"/>
        </w:tabs>
        <w:ind w:left="720" w:hanging="720"/>
        <w:rPr>
          <w:rFonts w:ascii="Times New Roman" w:hAnsi="Times New Roman"/>
          <w:sz w:val="24"/>
          <w:szCs w:val="24"/>
        </w:rPr>
      </w:pPr>
    </w:p>
    <w:p w:rsidR="00810881" w:rsidP="00810881" w:rsidRDefault="00A35BD4" w14:paraId="473CF440" w14:textId="7A8822D2">
      <w:pPr>
        <w:ind w:left="720"/>
        <w:rPr>
          <w:rFonts w:ascii="Times New Roman" w:hAnsi="Times New Roman"/>
          <w:sz w:val="24"/>
          <w:szCs w:val="24"/>
        </w:rPr>
      </w:pPr>
      <w:r w:rsidRPr="00294D29">
        <w:rPr>
          <w:rFonts w:ascii="Times New Roman" w:hAnsi="Times New Roman"/>
          <w:sz w:val="24"/>
          <w:szCs w:val="24"/>
        </w:rPr>
        <w:t xml:space="preserve">Information about suspicious transactions conducted or attempted by, at, through, or otherwise involving </w:t>
      </w:r>
      <w:r w:rsidRPr="00294D29" w:rsidR="00C74123">
        <w:rPr>
          <w:rFonts w:ascii="Times New Roman" w:hAnsi="Times New Roman"/>
          <w:sz w:val="24"/>
          <w:szCs w:val="24"/>
        </w:rPr>
        <w:t xml:space="preserve">credit unions </w:t>
      </w:r>
      <w:r w:rsidRPr="00294D29">
        <w:rPr>
          <w:rFonts w:ascii="Times New Roman" w:hAnsi="Times New Roman"/>
          <w:sz w:val="24"/>
          <w:szCs w:val="24"/>
        </w:rPr>
        <w:t xml:space="preserve">are collected through </w:t>
      </w:r>
      <w:r w:rsidR="00C538D4">
        <w:rPr>
          <w:rFonts w:ascii="Times New Roman" w:hAnsi="Times New Roman"/>
          <w:sz w:val="24"/>
          <w:szCs w:val="24"/>
        </w:rPr>
        <w:t xml:space="preserve">FinCEN’s BSA </w:t>
      </w:r>
      <w:r w:rsidR="00887EF6">
        <w:rPr>
          <w:rFonts w:ascii="Times New Roman" w:hAnsi="Times New Roman"/>
          <w:sz w:val="24"/>
          <w:szCs w:val="24"/>
        </w:rPr>
        <w:t>E</w:t>
      </w:r>
      <w:r w:rsidR="00C538D4">
        <w:rPr>
          <w:rFonts w:ascii="Times New Roman" w:hAnsi="Times New Roman"/>
          <w:sz w:val="24"/>
          <w:szCs w:val="24"/>
        </w:rPr>
        <w:t>-filing system</w:t>
      </w:r>
      <w:r w:rsidRPr="00294D29" w:rsidR="00211FCD">
        <w:rPr>
          <w:rFonts w:ascii="Times New Roman" w:hAnsi="Times New Roman"/>
          <w:sz w:val="24"/>
          <w:szCs w:val="24"/>
        </w:rPr>
        <w:t xml:space="preserve"> </w:t>
      </w:r>
      <w:r w:rsidR="00810881">
        <w:rPr>
          <w:rFonts w:ascii="Times New Roman" w:hAnsi="Times New Roman"/>
          <w:sz w:val="24"/>
          <w:szCs w:val="24"/>
        </w:rPr>
        <w:t>(</w:t>
      </w:r>
      <w:hyperlink w:history="1" r:id="rId13">
        <w:r w:rsidRPr="00A93276" w:rsidR="00810881">
          <w:rPr>
            <w:rStyle w:val="Hyperlink"/>
            <w:rFonts w:ascii="Times New Roman" w:hAnsi="Times New Roman"/>
            <w:sz w:val="24"/>
            <w:szCs w:val="24"/>
          </w:rPr>
          <w:t>http://bsaefiling.fincen.treas.gov/main.html</w:t>
        </w:r>
      </w:hyperlink>
      <w:r w:rsidR="00810881">
        <w:rPr>
          <w:rFonts w:ascii="Times New Roman" w:hAnsi="Times New Roman"/>
          <w:sz w:val="24"/>
          <w:szCs w:val="24"/>
        </w:rPr>
        <w:t xml:space="preserve">) </w:t>
      </w:r>
      <w:r w:rsidRPr="00294D29">
        <w:rPr>
          <w:rFonts w:ascii="Times New Roman" w:hAnsi="Times New Roman"/>
          <w:sz w:val="24"/>
          <w:szCs w:val="24"/>
        </w:rPr>
        <w:t xml:space="preserve">by </w:t>
      </w:r>
      <w:r w:rsidRPr="00294D29" w:rsidR="00C74123">
        <w:rPr>
          <w:rFonts w:ascii="Times New Roman" w:hAnsi="Times New Roman"/>
          <w:sz w:val="24"/>
          <w:szCs w:val="24"/>
        </w:rPr>
        <w:t>credit unions</w:t>
      </w:r>
      <w:r w:rsidR="00810881">
        <w:rPr>
          <w:rFonts w:ascii="Times New Roman" w:hAnsi="Times New Roman"/>
          <w:sz w:val="24"/>
          <w:szCs w:val="24"/>
        </w:rPr>
        <w:t xml:space="preserve">.  </w:t>
      </w:r>
      <w:r w:rsidR="00C538D4">
        <w:rPr>
          <w:rFonts w:ascii="Times New Roman" w:hAnsi="Times New Roman"/>
          <w:sz w:val="24"/>
          <w:szCs w:val="24"/>
        </w:rPr>
        <w:t xml:space="preserve">A SAR </w:t>
      </w:r>
      <w:r w:rsidR="00056C4E">
        <w:rPr>
          <w:rFonts w:ascii="Times New Roman" w:hAnsi="Times New Roman"/>
          <w:sz w:val="24"/>
          <w:szCs w:val="24"/>
        </w:rPr>
        <w:t xml:space="preserve">is to </w:t>
      </w:r>
      <w:r w:rsidR="00C538D4">
        <w:rPr>
          <w:rFonts w:ascii="Times New Roman" w:hAnsi="Times New Roman"/>
          <w:sz w:val="24"/>
          <w:szCs w:val="24"/>
        </w:rPr>
        <w:t>be filed no later than 30 calendar days from the date of the initial detection of facts that ma</w:t>
      </w:r>
      <w:r w:rsidR="00056C4E">
        <w:rPr>
          <w:rFonts w:ascii="Times New Roman" w:hAnsi="Times New Roman"/>
          <w:sz w:val="24"/>
          <w:szCs w:val="24"/>
        </w:rPr>
        <w:t>y</w:t>
      </w:r>
      <w:r w:rsidR="00C538D4">
        <w:rPr>
          <w:rFonts w:ascii="Times New Roman" w:hAnsi="Times New Roman"/>
          <w:sz w:val="24"/>
          <w:szCs w:val="24"/>
        </w:rPr>
        <w:t xml:space="preserve"> </w:t>
      </w:r>
      <w:r w:rsidR="00056C4E">
        <w:rPr>
          <w:rFonts w:ascii="Times New Roman" w:hAnsi="Times New Roman"/>
          <w:sz w:val="24"/>
          <w:szCs w:val="24"/>
        </w:rPr>
        <w:t>constitute</w:t>
      </w:r>
      <w:r w:rsidR="00C538D4">
        <w:rPr>
          <w:rFonts w:ascii="Times New Roman" w:hAnsi="Times New Roman"/>
          <w:sz w:val="24"/>
          <w:szCs w:val="24"/>
        </w:rPr>
        <w:t xml:space="preserve"> a basis for </w:t>
      </w:r>
      <w:r w:rsidR="00056C4E">
        <w:rPr>
          <w:rFonts w:ascii="Times New Roman" w:hAnsi="Times New Roman"/>
          <w:sz w:val="24"/>
          <w:szCs w:val="24"/>
        </w:rPr>
        <w:t>filing</w:t>
      </w:r>
      <w:r w:rsidR="00C538D4">
        <w:rPr>
          <w:rFonts w:ascii="Times New Roman" w:hAnsi="Times New Roman"/>
          <w:sz w:val="24"/>
          <w:szCs w:val="24"/>
        </w:rPr>
        <w:t xml:space="preserve"> a SAR</w:t>
      </w:r>
      <w:r w:rsidR="00056C4E">
        <w:rPr>
          <w:rFonts w:ascii="Times New Roman" w:hAnsi="Times New Roman"/>
          <w:sz w:val="24"/>
          <w:szCs w:val="24"/>
        </w:rPr>
        <w:t>.  If no suspect ca</w:t>
      </w:r>
      <w:r w:rsidR="00C538D4">
        <w:rPr>
          <w:rFonts w:ascii="Times New Roman" w:hAnsi="Times New Roman"/>
          <w:sz w:val="24"/>
          <w:szCs w:val="24"/>
        </w:rPr>
        <w:t xml:space="preserve">n be identified, the </w:t>
      </w:r>
      <w:r w:rsidR="00477BEB">
        <w:rPr>
          <w:rFonts w:ascii="Times New Roman" w:hAnsi="Times New Roman"/>
          <w:sz w:val="24"/>
          <w:szCs w:val="24"/>
        </w:rPr>
        <w:t>period</w:t>
      </w:r>
      <w:r w:rsidR="00C538D4">
        <w:rPr>
          <w:rFonts w:ascii="Times New Roman" w:hAnsi="Times New Roman"/>
          <w:sz w:val="24"/>
          <w:szCs w:val="24"/>
        </w:rPr>
        <w:t xml:space="preserve"> for filing a SAR is extended to 60 days.  </w:t>
      </w:r>
    </w:p>
    <w:p w:rsidRPr="00294D29" w:rsidR="00A35BD4" w:rsidP="00810881" w:rsidRDefault="00A35BD4" w14:paraId="418CCA12" w14:textId="77777777">
      <w:pPr>
        <w:ind w:left="720"/>
        <w:rPr>
          <w:rFonts w:ascii="Times New Roman" w:hAnsi="Times New Roman"/>
          <w:sz w:val="24"/>
          <w:szCs w:val="24"/>
        </w:rPr>
      </w:pPr>
    </w:p>
    <w:p w:rsidRPr="00294D29" w:rsidR="00A35BD4" w:rsidP="006339B2" w:rsidRDefault="00A35BD4" w14:paraId="5130F532" w14:textId="2B398E31">
      <w:pPr>
        <w:tabs>
          <w:tab w:val="left" w:pos="720"/>
        </w:tabs>
        <w:ind w:left="720" w:hanging="720"/>
        <w:rPr>
          <w:rFonts w:ascii="Times New Roman" w:hAnsi="Times New Roman"/>
          <w:sz w:val="24"/>
          <w:szCs w:val="24"/>
        </w:rPr>
      </w:pPr>
      <w:r w:rsidRPr="00294D29">
        <w:rPr>
          <w:rFonts w:ascii="Times New Roman" w:hAnsi="Times New Roman"/>
          <w:sz w:val="24"/>
          <w:szCs w:val="24"/>
        </w:rPr>
        <w:tab/>
        <w:t xml:space="preserve">FinCEN and law enforcement agencies use the information on </w:t>
      </w:r>
      <w:r w:rsidRPr="00294D29" w:rsidR="00C74123">
        <w:rPr>
          <w:rFonts w:ascii="Times New Roman" w:hAnsi="Times New Roman"/>
          <w:sz w:val="24"/>
          <w:szCs w:val="24"/>
        </w:rPr>
        <w:t>BSA-SARs</w:t>
      </w:r>
      <w:r w:rsidRPr="00294D29">
        <w:rPr>
          <w:rFonts w:ascii="Times New Roman" w:hAnsi="Times New Roman"/>
          <w:sz w:val="24"/>
          <w:szCs w:val="24"/>
        </w:rPr>
        <w:t xml:space="preserve"> and the </w:t>
      </w:r>
      <w:r w:rsidRPr="00294D29">
        <w:rPr>
          <w:rFonts w:ascii="Times New Roman" w:hAnsi="Times New Roman"/>
          <w:sz w:val="24"/>
          <w:szCs w:val="24"/>
        </w:rPr>
        <w:lastRenderedPageBreak/>
        <w:t xml:space="preserve">supporting documentation retained by the </w:t>
      </w:r>
      <w:r w:rsidR="0024338D">
        <w:rPr>
          <w:rFonts w:ascii="Times New Roman" w:hAnsi="Times New Roman"/>
          <w:sz w:val="24"/>
          <w:szCs w:val="24"/>
        </w:rPr>
        <w:t>financial institution</w:t>
      </w:r>
      <w:r w:rsidRPr="00294D29" w:rsidR="0024338D">
        <w:rPr>
          <w:rFonts w:ascii="Times New Roman" w:hAnsi="Times New Roman"/>
          <w:sz w:val="24"/>
          <w:szCs w:val="24"/>
        </w:rPr>
        <w:t xml:space="preserve"> </w:t>
      </w:r>
      <w:r w:rsidRPr="00294D29">
        <w:rPr>
          <w:rFonts w:ascii="Times New Roman" w:hAnsi="Times New Roman"/>
          <w:sz w:val="24"/>
          <w:szCs w:val="24"/>
        </w:rPr>
        <w:t>for criminal investigation and prosecution purposes.</w:t>
      </w:r>
    </w:p>
    <w:p w:rsidRPr="00294D29" w:rsidR="00A35BD4" w:rsidP="006339B2" w:rsidRDefault="00A35BD4" w14:paraId="5E3B6524" w14:textId="77777777">
      <w:pPr>
        <w:tabs>
          <w:tab w:val="left" w:pos="720"/>
        </w:tabs>
        <w:ind w:left="720" w:hanging="720"/>
        <w:rPr>
          <w:rFonts w:ascii="Times New Roman" w:hAnsi="Times New Roman"/>
          <w:sz w:val="24"/>
          <w:szCs w:val="24"/>
        </w:rPr>
      </w:pPr>
    </w:p>
    <w:p w:rsidRPr="004958BF" w:rsidR="00A35BD4" w:rsidP="006339B2" w:rsidRDefault="004958BF" w14:paraId="27A3F816" w14:textId="45DA497A">
      <w:pPr>
        <w:pStyle w:val="ListParagraph"/>
        <w:numPr>
          <w:ilvl w:val="0"/>
          <w:numId w:val="4"/>
        </w:numPr>
        <w:tabs>
          <w:tab w:val="left" w:pos="720"/>
        </w:tabs>
        <w:ind w:hanging="720"/>
        <w:rPr>
          <w:rFonts w:ascii="Times New Roman" w:hAnsi="Times New Roman"/>
          <w:b/>
          <w:sz w:val="24"/>
          <w:szCs w:val="24"/>
        </w:rPr>
      </w:pPr>
      <w:r w:rsidRPr="004958BF">
        <w:rPr>
          <w:rFonts w:ascii="Times New Roman" w:hAnsi="Times New Roman"/>
          <w:b/>
          <w:sz w:val="24"/>
          <w:szCs w:val="24"/>
        </w:rPr>
        <w:t>Use of information technology</w:t>
      </w:r>
      <w:r w:rsidRPr="004958BF" w:rsidR="00A35BD4">
        <w:rPr>
          <w:rFonts w:ascii="Times New Roman" w:hAnsi="Times New Roman"/>
          <w:b/>
          <w:sz w:val="24"/>
          <w:szCs w:val="24"/>
        </w:rPr>
        <w:t>.</w:t>
      </w:r>
    </w:p>
    <w:p w:rsidRPr="00294D29" w:rsidR="00A35BD4" w:rsidP="0093287A" w:rsidRDefault="00A35BD4" w14:paraId="58712DF2" w14:textId="7E58F895">
      <w:pPr>
        <w:tabs>
          <w:tab w:val="left" w:pos="720"/>
        </w:tabs>
        <w:rPr>
          <w:rFonts w:ascii="Times New Roman" w:hAnsi="Times New Roman"/>
          <w:sz w:val="24"/>
          <w:szCs w:val="24"/>
        </w:rPr>
      </w:pPr>
    </w:p>
    <w:p w:rsidR="00810881" w:rsidP="00B9688F" w:rsidRDefault="00810881" w14:paraId="08FC8179" w14:textId="46571D83">
      <w:pPr>
        <w:tabs>
          <w:tab w:val="left" w:pos="720"/>
        </w:tabs>
        <w:ind w:left="720"/>
        <w:rPr>
          <w:rFonts w:ascii="Times New Roman" w:hAnsi="Times New Roman"/>
          <w:sz w:val="24"/>
          <w:szCs w:val="24"/>
        </w:rPr>
      </w:pPr>
      <w:r>
        <w:rPr>
          <w:rFonts w:ascii="Times New Roman" w:hAnsi="Times New Roman"/>
          <w:sz w:val="24"/>
          <w:szCs w:val="24"/>
        </w:rPr>
        <w:t xml:space="preserve">The SAR system uses improved </w:t>
      </w:r>
      <w:r w:rsidR="00887EF6">
        <w:rPr>
          <w:rFonts w:ascii="Times New Roman" w:hAnsi="Times New Roman"/>
          <w:sz w:val="24"/>
          <w:szCs w:val="24"/>
        </w:rPr>
        <w:t>information technology to reduce</w:t>
      </w:r>
      <w:r>
        <w:rPr>
          <w:rFonts w:ascii="Times New Roman" w:hAnsi="Times New Roman"/>
          <w:sz w:val="24"/>
          <w:szCs w:val="24"/>
        </w:rPr>
        <w:t xml:space="preserve"> burden on institutions</w:t>
      </w:r>
      <w:r w:rsidR="0078710A">
        <w:rPr>
          <w:rFonts w:ascii="Times New Roman" w:hAnsi="Times New Roman"/>
          <w:sz w:val="24"/>
          <w:szCs w:val="24"/>
        </w:rPr>
        <w:t xml:space="preserve"> and has been mandatory since 2012</w:t>
      </w:r>
      <w:r>
        <w:rPr>
          <w:rFonts w:ascii="Times New Roman" w:hAnsi="Times New Roman"/>
          <w:sz w:val="24"/>
          <w:szCs w:val="24"/>
        </w:rPr>
        <w:t xml:space="preserve">.  </w:t>
      </w:r>
    </w:p>
    <w:p w:rsidRPr="00294D29" w:rsidR="00A35BD4" w:rsidP="006339B2" w:rsidRDefault="00A35BD4" w14:paraId="400E6DC6" w14:textId="77777777">
      <w:pPr>
        <w:tabs>
          <w:tab w:val="left" w:pos="720"/>
        </w:tabs>
        <w:ind w:left="720" w:hanging="720"/>
        <w:rPr>
          <w:rFonts w:ascii="Times New Roman" w:hAnsi="Times New Roman"/>
          <w:sz w:val="24"/>
          <w:szCs w:val="24"/>
        </w:rPr>
      </w:pPr>
    </w:p>
    <w:p w:rsidR="00A35BD4" w:rsidP="006339B2" w:rsidRDefault="004958BF" w14:paraId="0496225F" w14:textId="0791011F">
      <w:pPr>
        <w:pStyle w:val="ListParagraph"/>
        <w:numPr>
          <w:ilvl w:val="0"/>
          <w:numId w:val="4"/>
        </w:numPr>
        <w:tabs>
          <w:tab w:val="left" w:pos="720"/>
        </w:tabs>
        <w:ind w:hanging="720"/>
        <w:rPr>
          <w:rFonts w:ascii="Times New Roman" w:hAnsi="Times New Roman"/>
          <w:b/>
          <w:sz w:val="24"/>
          <w:szCs w:val="24"/>
        </w:rPr>
      </w:pPr>
      <w:r w:rsidRPr="004958BF">
        <w:rPr>
          <w:rFonts w:ascii="Times New Roman" w:hAnsi="Times New Roman"/>
          <w:b/>
          <w:sz w:val="24"/>
          <w:szCs w:val="24"/>
        </w:rPr>
        <w:t>Duplication of information</w:t>
      </w:r>
      <w:r w:rsidRPr="004958BF" w:rsidR="00A35BD4">
        <w:rPr>
          <w:rFonts w:ascii="Times New Roman" w:hAnsi="Times New Roman"/>
          <w:b/>
          <w:sz w:val="24"/>
          <w:szCs w:val="24"/>
        </w:rPr>
        <w:t>.</w:t>
      </w:r>
    </w:p>
    <w:p w:rsidRPr="00294D29" w:rsidR="00A35BD4" w:rsidP="004958BF" w:rsidRDefault="00A35BD4" w14:paraId="0EB13709" w14:textId="1D02CE8C">
      <w:pPr>
        <w:tabs>
          <w:tab w:val="left" w:pos="720"/>
        </w:tabs>
        <w:rPr>
          <w:rFonts w:ascii="Times New Roman" w:hAnsi="Times New Roman"/>
          <w:sz w:val="24"/>
          <w:szCs w:val="24"/>
        </w:rPr>
      </w:pPr>
    </w:p>
    <w:p w:rsidRPr="00294D29" w:rsidR="00A35BD4" w:rsidP="006339B2" w:rsidRDefault="00A35BD4" w14:paraId="3F99014D" w14:textId="26B17ACF">
      <w:pPr>
        <w:tabs>
          <w:tab w:val="left" w:pos="720"/>
        </w:tabs>
        <w:ind w:left="720" w:hanging="720"/>
        <w:rPr>
          <w:rFonts w:ascii="Times New Roman" w:hAnsi="Times New Roman"/>
          <w:sz w:val="24"/>
          <w:szCs w:val="24"/>
        </w:rPr>
      </w:pPr>
      <w:r w:rsidRPr="00294D29">
        <w:rPr>
          <w:rFonts w:ascii="Times New Roman" w:hAnsi="Times New Roman"/>
          <w:sz w:val="24"/>
          <w:szCs w:val="24"/>
        </w:rPr>
        <w:tab/>
      </w:r>
      <w:r w:rsidR="00B9688F">
        <w:rPr>
          <w:rFonts w:ascii="Times New Roman" w:hAnsi="Times New Roman"/>
          <w:sz w:val="24"/>
          <w:szCs w:val="24"/>
        </w:rPr>
        <w:t>The required information is unique and not duplicat</w:t>
      </w:r>
      <w:r w:rsidR="00336D22">
        <w:rPr>
          <w:rFonts w:ascii="Times New Roman" w:hAnsi="Times New Roman"/>
          <w:sz w:val="24"/>
          <w:szCs w:val="24"/>
        </w:rPr>
        <w:t>ed.</w:t>
      </w:r>
      <w:r w:rsidR="00B9688F">
        <w:rPr>
          <w:rFonts w:ascii="Times New Roman" w:hAnsi="Times New Roman"/>
          <w:sz w:val="24"/>
          <w:szCs w:val="24"/>
        </w:rPr>
        <w:t xml:space="preserve"> </w:t>
      </w:r>
      <w:r w:rsidRPr="00294D29">
        <w:rPr>
          <w:rFonts w:ascii="Times New Roman" w:hAnsi="Times New Roman"/>
          <w:sz w:val="24"/>
          <w:szCs w:val="24"/>
        </w:rPr>
        <w:t xml:space="preserve">  </w:t>
      </w:r>
    </w:p>
    <w:p w:rsidRPr="00294D29" w:rsidR="00A35BD4" w:rsidP="006339B2" w:rsidRDefault="00A35BD4" w14:paraId="6BD3C72E" w14:textId="77777777">
      <w:pPr>
        <w:tabs>
          <w:tab w:val="left" w:pos="720"/>
        </w:tabs>
        <w:ind w:left="720" w:hanging="720"/>
        <w:rPr>
          <w:rFonts w:ascii="Times New Roman" w:hAnsi="Times New Roman"/>
          <w:sz w:val="24"/>
          <w:szCs w:val="24"/>
        </w:rPr>
      </w:pPr>
    </w:p>
    <w:p w:rsidR="00A35BD4" w:rsidP="006339B2" w:rsidRDefault="004958BF" w14:paraId="368D123E" w14:textId="6AE890E3">
      <w:pPr>
        <w:pStyle w:val="ListParagraph"/>
        <w:numPr>
          <w:ilvl w:val="0"/>
          <w:numId w:val="4"/>
        </w:numPr>
        <w:tabs>
          <w:tab w:val="left" w:pos="720"/>
        </w:tabs>
        <w:ind w:hanging="720"/>
        <w:rPr>
          <w:rFonts w:ascii="Times New Roman" w:hAnsi="Times New Roman"/>
          <w:b/>
          <w:sz w:val="24"/>
          <w:szCs w:val="24"/>
        </w:rPr>
      </w:pPr>
      <w:r w:rsidRPr="004958BF">
        <w:rPr>
          <w:rFonts w:ascii="Times New Roman" w:hAnsi="Times New Roman"/>
          <w:b/>
          <w:sz w:val="24"/>
          <w:szCs w:val="24"/>
        </w:rPr>
        <w:t>Efforts to reduce burden on small entities</w:t>
      </w:r>
      <w:r w:rsidRPr="004958BF" w:rsidR="00A35BD4">
        <w:rPr>
          <w:rFonts w:ascii="Times New Roman" w:hAnsi="Times New Roman"/>
          <w:b/>
          <w:sz w:val="24"/>
          <w:szCs w:val="24"/>
        </w:rPr>
        <w:t>.</w:t>
      </w:r>
    </w:p>
    <w:p w:rsidRPr="00294D29" w:rsidR="00A35BD4" w:rsidP="006339B2" w:rsidRDefault="00A35BD4" w14:paraId="5D01A8F7" w14:textId="77777777">
      <w:pPr>
        <w:tabs>
          <w:tab w:val="left" w:pos="720"/>
        </w:tabs>
        <w:ind w:left="720" w:hanging="720"/>
        <w:rPr>
          <w:rFonts w:ascii="Times New Roman" w:hAnsi="Times New Roman"/>
          <w:sz w:val="24"/>
          <w:szCs w:val="24"/>
        </w:rPr>
      </w:pPr>
    </w:p>
    <w:p w:rsidRPr="00294D29" w:rsidR="00A35BD4" w:rsidP="006339B2" w:rsidRDefault="00A35BD4" w14:paraId="23BC00C5" w14:textId="6FE40C38">
      <w:pPr>
        <w:tabs>
          <w:tab w:val="left" w:pos="720"/>
        </w:tabs>
        <w:ind w:left="720" w:hanging="720"/>
        <w:rPr>
          <w:rFonts w:ascii="Times New Roman" w:hAnsi="Times New Roman"/>
          <w:sz w:val="24"/>
          <w:szCs w:val="24"/>
        </w:rPr>
      </w:pPr>
      <w:r w:rsidRPr="00294D29">
        <w:rPr>
          <w:rFonts w:ascii="Times New Roman" w:hAnsi="Times New Roman"/>
          <w:sz w:val="24"/>
          <w:szCs w:val="24"/>
        </w:rPr>
        <w:tab/>
        <w:t>Not applicable.</w:t>
      </w:r>
      <w:r w:rsidR="004958BF">
        <w:rPr>
          <w:rFonts w:ascii="Times New Roman" w:hAnsi="Times New Roman"/>
          <w:sz w:val="24"/>
          <w:szCs w:val="24"/>
        </w:rPr>
        <w:t xml:space="preserve"> </w:t>
      </w:r>
      <w:r w:rsidR="00B9688F">
        <w:rPr>
          <w:rFonts w:ascii="Times New Roman" w:hAnsi="Times New Roman"/>
          <w:sz w:val="24"/>
          <w:szCs w:val="24"/>
        </w:rPr>
        <w:t xml:space="preserve">This collection does not have a significant impact on a substantial number of small </w:t>
      </w:r>
      <w:r w:rsidR="0007584D">
        <w:rPr>
          <w:rFonts w:ascii="Times New Roman" w:hAnsi="Times New Roman"/>
          <w:sz w:val="24"/>
          <w:szCs w:val="24"/>
        </w:rPr>
        <w:t>credit unions.</w:t>
      </w:r>
    </w:p>
    <w:p w:rsidRPr="00294D29" w:rsidR="00A35BD4" w:rsidP="006339B2" w:rsidRDefault="00A35BD4" w14:paraId="7E7654C3" w14:textId="77777777">
      <w:pPr>
        <w:tabs>
          <w:tab w:val="left" w:pos="720"/>
        </w:tabs>
        <w:ind w:left="720" w:hanging="720"/>
        <w:rPr>
          <w:rFonts w:ascii="Times New Roman" w:hAnsi="Times New Roman"/>
          <w:sz w:val="24"/>
          <w:szCs w:val="24"/>
        </w:rPr>
      </w:pPr>
    </w:p>
    <w:p w:rsidRPr="00872001" w:rsidR="00A35BD4" w:rsidP="006339B2" w:rsidRDefault="00A35BD4" w14:paraId="1C9EBCD2" w14:textId="0CC957DB">
      <w:pPr>
        <w:pStyle w:val="ListParagraph"/>
        <w:numPr>
          <w:ilvl w:val="0"/>
          <w:numId w:val="4"/>
        </w:numPr>
        <w:tabs>
          <w:tab w:val="left" w:pos="720"/>
        </w:tabs>
        <w:ind w:hanging="720"/>
        <w:rPr>
          <w:rFonts w:ascii="Times New Roman" w:hAnsi="Times New Roman"/>
          <w:b/>
          <w:sz w:val="24"/>
          <w:szCs w:val="24"/>
        </w:rPr>
      </w:pPr>
      <w:r w:rsidRPr="00872001">
        <w:rPr>
          <w:rFonts w:ascii="Times New Roman" w:hAnsi="Times New Roman"/>
          <w:b/>
          <w:sz w:val="24"/>
          <w:szCs w:val="24"/>
        </w:rPr>
        <w:t xml:space="preserve">Consequences of </w:t>
      </w:r>
      <w:r w:rsidRPr="00872001" w:rsidR="00872001">
        <w:rPr>
          <w:rFonts w:ascii="Times New Roman" w:hAnsi="Times New Roman"/>
          <w:b/>
          <w:sz w:val="24"/>
          <w:szCs w:val="24"/>
        </w:rPr>
        <w:t>not conducting the collection</w:t>
      </w:r>
      <w:r w:rsidRPr="00872001">
        <w:rPr>
          <w:rFonts w:ascii="Times New Roman" w:hAnsi="Times New Roman"/>
          <w:b/>
          <w:sz w:val="24"/>
          <w:szCs w:val="24"/>
        </w:rPr>
        <w:t>.</w:t>
      </w:r>
    </w:p>
    <w:p w:rsidRPr="00294D29" w:rsidR="00A35BD4" w:rsidP="006339B2" w:rsidRDefault="00A35BD4" w14:paraId="10BE810F" w14:textId="77777777">
      <w:pPr>
        <w:tabs>
          <w:tab w:val="left" w:pos="720"/>
        </w:tabs>
        <w:ind w:left="720" w:hanging="720"/>
        <w:rPr>
          <w:rFonts w:ascii="Times New Roman" w:hAnsi="Times New Roman"/>
          <w:sz w:val="24"/>
          <w:szCs w:val="24"/>
        </w:rPr>
      </w:pPr>
    </w:p>
    <w:p w:rsidRPr="00294D29" w:rsidR="00A35BD4" w:rsidP="006339B2" w:rsidRDefault="00A35BD4" w14:paraId="7769DBD6" w14:textId="1ED7C95E">
      <w:pPr>
        <w:tabs>
          <w:tab w:val="left" w:pos="720"/>
        </w:tabs>
        <w:ind w:left="720" w:hanging="720"/>
        <w:rPr>
          <w:rFonts w:ascii="Times New Roman" w:hAnsi="Times New Roman"/>
          <w:sz w:val="24"/>
          <w:szCs w:val="24"/>
        </w:rPr>
      </w:pPr>
      <w:r w:rsidRPr="00294D29">
        <w:rPr>
          <w:rFonts w:ascii="Times New Roman" w:hAnsi="Times New Roman"/>
          <w:sz w:val="24"/>
          <w:szCs w:val="24"/>
        </w:rPr>
        <w:tab/>
      </w:r>
      <w:r w:rsidRPr="00B9688F" w:rsidR="00B9688F">
        <w:rPr>
          <w:rFonts w:ascii="Times New Roman" w:hAnsi="Times New Roman"/>
          <w:sz w:val="24"/>
          <w:szCs w:val="24"/>
        </w:rPr>
        <w:t>With the automated SAR system, the bank</w:t>
      </w:r>
      <w:r w:rsidR="00A25F0C">
        <w:rPr>
          <w:rFonts w:ascii="Times New Roman" w:hAnsi="Times New Roman"/>
          <w:sz w:val="24"/>
          <w:szCs w:val="24"/>
        </w:rPr>
        <w:t>ing</w:t>
      </w:r>
      <w:r w:rsidRPr="00B9688F" w:rsidR="00B9688F">
        <w:rPr>
          <w:rFonts w:ascii="Times New Roman" w:hAnsi="Times New Roman"/>
          <w:sz w:val="24"/>
          <w:szCs w:val="24"/>
        </w:rPr>
        <w:t xml:space="preserve"> regulators, law enforcement, and industry benefit from improved detection of financial crime, analysis of trends, and coordination of investigative efforts.  The SAR requirement provides law enforcement and regulatory agencies with the ability to fight financial crime and ensures the safety and soundness of institutions.</w:t>
      </w:r>
    </w:p>
    <w:p w:rsidRPr="00294D29" w:rsidR="00A35BD4" w:rsidP="006339B2" w:rsidRDefault="00A35BD4" w14:paraId="33239435" w14:textId="77777777">
      <w:pPr>
        <w:tabs>
          <w:tab w:val="left" w:pos="720"/>
        </w:tabs>
        <w:ind w:left="720" w:hanging="720"/>
        <w:rPr>
          <w:rFonts w:ascii="Times New Roman" w:hAnsi="Times New Roman"/>
          <w:sz w:val="24"/>
          <w:szCs w:val="24"/>
        </w:rPr>
      </w:pPr>
    </w:p>
    <w:p w:rsidR="00A35BD4" w:rsidP="006339B2" w:rsidRDefault="006339B2" w14:paraId="76F98BA5" w14:textId="0478AD25">
      <w:pPr>
        <w:tabs>
          <w:tab w:val="left" w:pos="720"/>
        </w:tabs>
        <w:ind w:left="720" w:hanging="720"/>
        <w:rPr>
          <w:rFonts w:ascii="Times New Roman" w:hAnsi="Times New Roman"/>
          <w:b/>
          <w:sz w:val="24"/>
          <w:szCs w:val="24"/>
        </w:rPr>
      </w:pPr>
      <w:r w:rsidRPr="00872001">
        <w:rPr>
          <w:rFonts w:ascii="Times New Roman" w:hAnsi="Times New Roman"/>
          <w:b/>
          <w:sz w:val="24"/>
          <w:szCs w:val="24"/>
        </w:rPr>
        <w:t>7.</w:t>
      </w:r>
      <w:r>
        <w:rPr>
          <w:rFonts w:ascii="Times New Roman" w:hAnsi="Times New Roman"/>
          <w:sz w:val="24"/>
          <w:szCs w:val="24"/>
        </w:rPr>
        <w:tab/>
      </w:r>
      <w:r w:rsidRPr="00872001" w:rsidR="00872001">
        <w:rPr>
          <w:rFonts w:ascii="Times New Roman" w:hAnsi="Times New Roman"/>
          <w:b/>
          <w:sz w:val="24"/>
          <w:szCs w:val="24"/>
        </w:rPr>
        <w:t>Inconsistencies with guidelines in 5 CFR 1320.5(d)(2).</w:t>
      </w:r>
    </w:p>
    <w:p w:rsidRPr="00294D29" w:rsidR="00A35BD4" w:rsidP="006339B2" w:rsidRDefault="00A35BD4" w14:paraId="5E6F2357" w14:textId="77777777">
      <w:pPr>
        <w:tabs>
          <w:tab w:val="left" w:pos="720"/>
        </w:tabs>
        <w:ind w:left="720" w:hanging="720"/>
        <w:rPr>
          <w:rFonts w:ascii="Times New Roman" w:hAnsi="Times New Roman"/>
          <w:sz w:val="24"/>
          <w:szCs w:val="24"/>
        </w:rPr>
      </w:pPr>
    </w:p>
    <w:p w:rsidR="00887EF6" w:rsidP="00B9688F" w:rsidRDefault="00A35BD4" w14:paraId="3F409305" w14:textId="4B03FAC4">
      <w:pPr>
        <w:tabs>
          <w:tab w:val="left" w:pos="720"/>
        </w:tabs>
        <w:ind w:left="720" w:hanging="720"/>
        <w:rPr>
          <w:rFonts w:ascii="Times New Roman" w:hAnsi="Times New Roman"/>
          <w:sz w:val="24"/>
          <w:szCs w:val="24"/>
        </w:rPr>
      </w:pPr>
      <w:r w:rsidRPr="00294D29">
        <w:rPr>
          <w:rFonts w:ascii="Times New Roman" w:hAnsi="Times New Roman"/>
          <w:sz w:val="24"/>
          <w:szCs w:val="24"/>
        </w:rPr>
        <w:tab/>
        <w:t xml:space="preserve">The reporting of suspicious activity on a </w:t>
      </w:r>
      <w:r w:rsidRPr="00294D29" w:rsidR="00541E18">
        <w:rPr>
          <w:rFonts w:ascii="Times New Roman" w:hAnsi="Times New Roman"/>
          <w:sz w:val="24"/>
          <w:szCs w:val="24"/>
        </w:rPr>
        <w:t>BSA-SAR</w:t>
      </w:r>
      <w:r w:rsidRPr="00294D29">
        <w:rPr>
          <w:rFonts w:ascii="Times New Roman" w:hAnsi="Times New Roman"/>
          <w:sz w:val="24"/>
          <w:szCs w:val="24"/>
        </w:rPr>
        <w:t xml:space="preserve"> may occur more frequently than quarterly, depending on the frequency of the activity.  </w:t>
      </w:r>
      <w:r w:rsidR="00B9688F">
        <w:rPr>
          <w:rFonts w:ascii="Times New Roman" w:hAnsi="Times New Roman"/>
          <w:sz w:val="24"/>
          <w:szCs w:val="24"/>
        </w:rPr>
        <w:t>T</w:t>
      </w:r>
      <w:r w:rsidRPr="00294D29">
        <w:rPr>
          <w:rFonts w:ascii="Times New Roman" w:hAnsi="Times New Roman"/>
          <w:sz w:val="24"/>
          <w:szCs w:val="24"/>
        </w:rPr>
        <w:t xml:space="preserve">his information must be reported in a timely manner to enable law enforcement to take appropriate investigative action.  Records must be kept </w:t>
      </w:r>
      <w:r w:rsidR="00B9688F">
        <w:rPr>
          <w:rFonts w:ascii="Times New Roman" w:hAnsi="Times New Roman"/>
          <w:sz w:val="24"/>
          <w:szCs w:val="24"/>
        </w:rPr>
        <w:t>for 5</w:t>
      </w:r>
      <w:r w:rsidRPr="00294D29">
        <w:rPr>
          <w:rFonts w:ascii="Times New Roman" w:hAnsi="Times New Roman"/>
          <w:sz w:val="24"/>
          <w:szCs w:val="24"/>
        </w:rPr>
        <w:t xml:space="preserve"> years because substantive violations of the law that may be indicated by the activity reported on the </w:t>
      </w:r>
      <w:r w:rsidRPr="00294D29" w:rsidR="00541E18">
        <w:rPr>
          <w:rFonts w:ascii="Times New Roman" w:hAnsi="Times New Roman"/>
          <w:sz w:val="24"/>
          <w:szCs w:val="24"/>
        </w:rPr>
        <w:t>BSA-SAR</w:t>
      </w:r>
      <w:r w:rsidRPr="00294D29">
        <w:rPr>
          <w:rFonts w:ascii="Times New Roman" w:hAnsi="Times New Roman"/>
          <w:sz w:val="24"/>
          <w:szCs w:val="24"/>
        </w:rPr>
        <w:t xml:space="preserve"> are generally subject to statutes of limitations longer than 3 years.</w:t>
      </w:r>
    </w:p>
    <w:p w:rsidR="0070080D" w:rsidP="00D077AF" w:rsidRDefault="0070080D" w14:paraId="539819B5" w14:textId="7DE93A79">
      <w:pPr>
        <w:tabs>
          <w:tab w:val="left" w:pos="720"/>
        </w:tabs>
        <w:rPr>
          <w:rFonts w:ascii="Times New Roman" w:hAnsi="Times New Roman"/>
          <w:sz w:val="24"/>
          <w:szCs w:val="24"/>
          <w:u w:val="single"/>
        </w:rPr>
      </w:pPr>
    </w:p>
    <w:p w:rsidRPr="00AC546E" w:rsidR="00A35BD4" w:rsidP="006339B2" w:rsidRDefault="00AC546E" w14:paraId="1F6B0888" w14:textId="637E9F22">
      <w:pPr>
        <w:pStyle w:val="ListParagraph"/>
        <w:numPr>
          <w:ilvl w:val="0"/>
          <w:numId w:val="5"/>
        </w:numPr>
        <w:tabs>
          <w:tab w:val="left" w:pos="720"/>
        </w:tabs>
        <w:ind w:hanging="720"/>
        <w:rPr>
          <w:rFonts w:ascii="Times New Roman" w:hAnsi="Times New Roman"/>
          <w:b/>
          <w:sz w:val="24"/>
          <w:szCs w:val="24"/>
        </w:rPr>
      </w:pPr>
      <w:r w:rsidRPr="00AC546E">
        <w:rPr>
          <w:rFonts w:ascii="Times New Roman" w:hAnsi="Times New Roman"/>
          <w:b/>
          <w:sz w:val="24"/>
          <w:szCs w:val="24"/>
        </w:rPr>
        <w:t>Efforts to consult with persons outside the agency</w:t>
      </w:r>
      <w:r w:rsidRPr="00AC546E" w:rsidR="00A35BD4">
        <w:rPr>
          <w:rFonts w:ascii="Times New Roman" w:hAnsi="Times New Roman"/>
          <w:b/>
          <w:sz w:val="24"/>
          <w:szCs w:val="24"/>
        </w:rPr>
        <w:t>.</w:t>
      </w:r>
    </w:p>
    <w:p w:rsidR="0070080D" w:rsidP="006339B2" w:rsidRDefault="0070080D" w14:paraId="7D3A5AF9" w14:textId="77777777">
      <w:pPr>
        <w:tabs>
          <w:tab w:val="left" w:pos="720"/>
        </w:tabs>
        <w:ind w:left="720" w:hanging="720"/>
        <w:rPr>
          <w:rFonts w:ascii="Times New Roman" w:hAnsi="Times New Roman"/>
          <w:sz w:val="24"/>
          <w:szCs w:val="24"/>
        </w:rPr>
      </w:pPr>
    </w:p>
    <w:p w:rsidR="008D40A5" w:rsidP="008D40A5" w:rsidRDefault="00F854D3" w14:paraId="013D0845" w14:textId="079D0669">
      <w:pPr>
        <w:tabs>
          <w:tab w:val="left" w:pos="720"/>
        </w:tabs>
        <w:ind w:left="720" w:hanging="720"/>
        <w:rPr>
          <w:rFonts w:ascii="Times New Roman" w:hAnsi="Times New Roman"/>
          <w:spacing w:val="-1"/>
          <w:sz w:val="24"/>
          <w:szCs w:val="24"/>
        </w:rPr>
      </w:pPr>
      <w:r w:rsidRPr="00294D29">
        <w:rPr>
          <w:rFonts w:ascii="Times New Roman" w:hAnsi="Times New Roman"/>
          <w:sz w:val="24"/>
          <w:szCs w:val="24"/>
        </w:rPr>
        <w:tab/>
      </w:r>
      <w:r w:rsidRPr="0093287A" w:rsidR="00667968">
        <w:rPr>
          <w:rFonts w:ascii="Times New Roman" w:hAnsi="Times New Roman"/>
          <w:sz w:val="24"/>
          <w:szCs w:val="24"/>
        </w:rPr>
        <w:t xml:space="preserve">A 60-day notice was published in the </w:t>
      </w:r>
      <w:r w:rsidRPr="0093287A" w:rsidR="00667968">
        <w:rPr>
          <w:rFonts w:ascii="Times New Roman" w:hAnsi="Times New Roman"/>
          <w:i/>
          <w:sz w:val="24"/>
          <w:szCs w:val="24"/>
        </w:rPr>
        <w:t>Federal Register</w:t>
      </w:r>
      <w:r w:rsidRPr="0093287A" w:rsidR="00667968">
        <w:rPr>
          <w:rFonts w:ascii="Times New Roman" w:hAnsi="Times New Roman"/>
          <w:sz w:val="24"/>
          <w:szCs w:val="24"/>
        </w:rPr>
        <w:t xml:space="preserve"> on </w:t>
      </w:r>
      <w:r w:rsidRPr="0093287A" w:rsidR="000F1211">
        <w:rPr>
          <w:rFonts w:ascii="Times New Roman" w:hAnsi="Times New Roman"/>
          <w:sz w:val="24"/>
          <w:szCs w:val="24"/>
        </w:rPr>
        <w:t>January 17, 2020</w:t>
      </w:r>
      <w:r w:rsidRPr="0093287A" w:rsidR="00606E4A">
        <w:rPr>
          <w:rFonts w:ascii="Times New Roman" w:hAnsi="Times New Roman"/>
          <w:sz w:val="24"/>
          <w:szCs w:val="24"/>
        </w:rPr>
        <w:t>,</w:t>
      </w:r>
      <w:r w:rsidRPr="0093287A" w:rsidR="00667968">
        <w:rPr>
          <w:rFonts w:ascii="Times New Roman" w:hAnsi="Times New Roman"/>
          <w:sz w:val="24"/>
          <w:szCs w:val="24"/>
        </w:rPr>
        <w:t xml:space="preserve"> at </w:t>
      </w:r>
      <w:r w:rsidRPr="0093287A" w:rsidR="007A05FF">
        <w:rPr>
          <w:rFonts w:ascii="Times New Roman" w:hAnsi="Times New Roman"/>
          <w:sz w:val="24"/>
          <w:szCs w:val="24"/>
        </w:rPr>
        <w:t>8</w:t>
      </w:r>
      <w:r w:rsidRPr="0093287A" w:rsidR="000F1211">
        <w:rPr>
          <w:rFonts w:ascii="Times New Roman" w:hAnsi="Times New Roman"/>
          <w:sz w:val="24"/>
          <w:szCs w:val="24"/>
        </w:rPr>
        <w:t>5 FR 3079</w:t>
      </w:r>
      <w:r w:rsidRPr="0093287A" w:rsidR="00606E4A">
        <w:rPr>
          <w:rFonts w:ascii="Times New Roman" w:hAnsi="Times New Roman"/>
          <w:sz w:val="24"/>
          <w:szCs w:val="24"/>
        </w:rPr>
        <w:t>,</w:t>
      </w:r>
      <w:r w:rsidRPr="0093287A" w:rsidR="007A05FF">
        <w:rPr>
          <w:rFonts w:ascii="Times New Roman" w:hAnsi="Times New Roman"/>
          <w:sz w:val="24"/>
          <w:szCs w:val="24"/>
        </w:rPr>
        <w:t xml:space="preserve"> </w:t>
      </w:r>
      <w:r w:rsidRPr="0093287A" w:rsidR="00667968">
        <w:rPr>
          <w:rFonts w:ascii="Times New Roman" w:hAnsi="Times New Roman"/>
          <w:sz w:val="24"/>
          <w:szCs w:val="24"/>
        </w:rPr>
        <w:t>soliciting comments from</w:t>
      </w:r>
      <w:r w:rsidRPr="0093287A" w:rsidR="0007584D">
        <w:rPr>
          <w:rFonts w:ascii="Times New Roman" w:hAnsi="Times New Roman"/>
          <w:sz w:val="24"/>
          <w:szCs w:val="24"/>
        </w:rPr>
        <w:t xml:space="preserve"> the</w:t>
      </w:r>
      <w:r w:rsidRPr="0093287A" w:rsidR="00667968">
        <w:rPr>
          <w:rFonts w:ascii="Times New Roman" w:hAnsi="Times New Roman"/>
          <w:sz w:val="24"/>
          <w:szCs w:val="24"/>
        </w:rPr>
        <w:t xml:space="preserve"> public</w:t>
      </w:r>
      <w:r w:rsidRPr="0093287A" w:rsidR="0007584D">
        <w:rPr>
          <w:rFonts w:ascii="Times New Roman" w:hAnsi="Times New Roman"/>
          <w:sz w:val="24"/>
          <w:szCs w:val="24"/>
        </w:rPr>
        <w:t>.</w:t>
      </w:r>
      <w:r w:rsidRPr="0093287A" w:rsidR="00B223F1">
        <w:rPr>
          <w:rFonts w:ascii="Times New Roman" w:hAnsi="Times New Roman"/>
          <w:spacing w:val="-1"/>
          <w:sz w:val="24"/>
          <w:szCs w:val="24"/>
        </w:rPr>
        <w:t xml:space="preserve"> </w:t>
      </w:r>
      <w:r w:rsidRPr="0093287A" w:rsidR="009612F4">
        <w:rPr>
          <w:rFonts w:ascii="Times New Roman" w:hAnsi="Times New Roman"/>
          <w:spacing w:val="-1"/>
          <w:sz w:val="24"/>
          <w:szCs w:val="24"/>
        </w:rPr>
        <w:t>T</w:t>
      </w:r>
      <w:r w:rsidRPr="0093287A" w:rsidR="00B223F1">
        <w:rPr>
          <w:rFonts w:ascii="Times New Roman" w:hAnsi="Times New Roman"/>
          <w:spacing w:val="-1"/>
          <w:sz w:val="24"/>
          <w:szCs w:val="24"/>
        </w:rPr>
        <w:t>he agency received one comment from a credit union</w:t>
      </w:r>
      <w:r w:rsidRPr="0093287A" w:rsidR="009612F4">
        <w:rPr>
          <w:rFonts w:ascii="Times New Roman" w:hAnsi="Times New Roman"/>
          <w:spacing w:val="-1"/>
          <w:sz w:val="24"/>
          <w:szCs w:val="24"/>
        </w:rPr>
        <w:t xml:space="preserve"> on March 18, 2020, a day after the comment period ended</w:t>
      </w:r>
      <w:r w:rsidRPr="0093287A" w:rsidR="00B223F1">
        <w:rPr>
          <w:rFonts w:ascii="Times New Roman" w:hAnsi="Times New Roman"/>
          <w:spacing w:val="-1"/>
          <w:sz w:val="24"/>
          <w:szCs w:val="24"/>
        </w:rPr>
        <w:t>.</w:t>
      </w:r>
      <w:r w:rsidRPr="0093287A" w:rsidR="00B223F1">
        <w:rPr>
          <w:rFonts w:ascii="Times New Roman" w:hAnsi="Times New Roman"/>
          <w:spacing w:val="-1"/>
          <w:sz w:val="24"/>
          <w:szCs w:val="24"/>
          <w:vertAlign w:val="superscript"/>
        </w:rPr>
        <w:t xml:space="preserve"> </w:t>
      </w:r>
      <w:r w:rsidRPr="0093287A" w:rsidR="00B223F1">
        <w:rPr>
          <w:rFonts w:ascii="Times New Roman" w:hAnsi="Times New Roman"/>
          <w:spacing w:val="-1"/>
          <w:sz w:val="24"/>
          <w:szCs w:val="24"/>
        </w:rPr>
        <w:t xml:space="preserve"> The comment provided feedback on</w:t>
      </w:r>
      <w:r w:rsidRPr="0093287A" w:rsidR="008D40A5">
        <w:rPr>
          <w:rFonts w:ascii="Times New Roman" w:hAnsi="Times New Roman"/>
          <w:spacing w:val="-1"/>
          <w:sz w:val="24"/>
          <w:szCs w:val="24"/>
        </w:rPr>
        <w:t xml:space="preserve"> the collection of information related to</w:t>
      </w:r>
      <w:r w:rsidRPr="0093287A" w:rsidR="00B223F1">
        <w:rPr>
          <w:rFonts w:ascii="Times New Roman" w:hAnsi="Times New Roman"/>
          <w:spacing w:val="-1"/>
          <w:sz w:val="24"/>
          <w:szCs w:val="24"/>
        </w:rPr>
        <w:t xml:space="preserve"> Item c – “Ways to enhance the quality, utility, and clarity of the information to be collected</w:t>
      </w:r>
      <w:r w:rsidRPr="0093287A" w:rsidR="008D40A5">
        <w:rPr>
          <w:rFonts w:ascii="Times New Roman" w:hAnsi="Times New Roman"/>
          <w:spacing w:val="-1"/>
          <w:sz w:val="24"/>
          <w:szCs w:val="24"/>
        </w:rPr>
        <w:t>.</w:t>
      </w:r>
      <w:r w:rsidRPr="0093287A" w:rsidR="00B223F1">
        <w:rPr>
          <w:rFonts w:ascii="Times New Roman" w:hAnsi="Times New Roman"/>
          <w:spacing w:val="-1"/>
          <w:sz w:val="24"/>
          <w:szCs w:val="24"/>
        </w:rPr>
        <w:t>”</w:t>
      </w:r>
      <w:r w:rsidR="0093287A">
        <w:rPr>
          <w:rFonts w:ascii="Times New Roman" w:hAnsi="Times New Roman"/>
          <w:spacing w:val="-1"/>
          <w:sz w:val="24"/>
          <w:szCs w:val="24"/>
        </w:rPr>
        <w:t xml:space="preserve"> </w:t>
      </w:r>
      <w:r w:rsidRPr="0093287A" w:rsidR="009612F4">
        <w:rPr>
          <w:rFonts w:ascii="Times New Roman" w:hAnsi="Times New Roman"/>
          <w:spacing w:val="-1"/>
          <w:sz w:val="24"/>
          <w:szCs w:val="24"/>
        </w:rPr>
        <w:t>A response</w:t>
      </w:r>
      <w:r w:rsidRPr="0093287A" w:rsidR="008D40A5">
        <w:rPr>
          <w:rFonts w:ascii="Times New Roman" w:hAnsi="Times New Roman"/>
          <w:spacing w:val="-1"/>
          <w:sz w:val="24"/>
          <w:szCs w:val="24"/>
        </w:rPr>
        <w:t xml:space="preserve"> to this comment is not in our purview and can only be addressed appropriately by </w:t>
      </w:r>
      <w:r w:rsidRPr="0093287A" w:rsidR="008D40A5">
        <w:rPr>
          <w:rFonts w:ascii="Times New Roman" w:hAnsi="Times New Roman"/>
          <w:sz w:val="24"/>
          <w:szCs w:val="24"/>
        </w:rPr>
        <w:t>Treasury’s Financial Crimes Enforcement Network (FinCEN) who maintains the form.</w:t>
      </w:r>
    </w:p>
    <w:p w:rsidR="008D40A5" w:rsidP="009612F4" w:rsidRDefault="008D40A5" w14:paraId="7AF5A5F7" w14:textId="5B7DEF40">
      <w:pPr>
        <w:tabs>
          <w:tab w:val="left" w:pos="720"/>
        </w:tabs>
        <w:rPr>
          <w:rFonts w:ascii="Times New Roman" w:hAnsi="Times New Roman"/>
          <w:spacing w:val="-1"/>
          <w:sz w:val="24"/>
          <w:szCs w:val="24"/>
        </w:rPr>
      </w:pPr>
    </w:p>
    <w:p w:rsidRPr="001A74AF" w:rsidR="0006742E" w:rsidP="001A74AF" w:rsidRDefault="006339B2" w14:paraId="558DFB58" w14:textId="4AC8B636">
      <w:pPr>
        <w:rPr>
          <w:rFonts w:ascii="Times New Roman" w:hAnsi="Times New Roman"/>
          <w:sz w:val="24"/>
          <w:szCs w:val="24"/>
        </w:rPr>
      </w:pPr>
      <w:r w:rsidRPr="0006742E">
        <w:rPr>
          <w:rFonts w:ascii="Times New Roman" w:hAnsi="Times New Roman"/>
          <w:b/>
          <w:sz w:val="24"/>
          <w:szCs w:val="24"/>
        </w:rPr>
        <w:t>9.</w:t>
      </w:r>
      <w:r>
        <w:rPr>
          <w:rFonts w:ascii="Times New Roman" w:hAnsi="Times New Roman"/>
          <w:sz w:val="24"/>
          <w:szCs w:val="24"/>
        </w:rPr>
        <w:tab/>
      </w:r>
      <w:r w:rsidRPr="0006742E" w:rsidR="0006742E">
        <w:rPr>
          <w:rFonts w:ascii="Times New Roman" w:hAnsi="Times New Roman"/>
          <w:b/>
          <w:sz w:val="24"/>
          <w:szCs w:val="24"/>
        </w:rPr>
        <w:t>Payments or g</w:t>
      </w:r>
      <w:r w:rsidRPr="0006742E" w:rsidR="00A35BD4">
        <w:rPr>
          <w:rFonts w:ascii="Times New Roman" w:hAnsi="Times New Roman"/>
          <w:b/>
          <w:sz w:val="24"/>
          <w:szCs w:val="24"/>
        </w:rPr>
        <w:t>ifts</w:t>
      </w:r>
      <w:r w:rsidRPr="0006742E" w:rsidR="0006742E">
        <w:rPr>
          <w:rFonts w:ascii="Times New Roman" w:hAnsi="Times New Roman"/>
          <w:b/>
          <w:sz w:val="24"/>
          <w:szCs w:val="24"/>
        </w:rPr>
        <w:t xml:space="preserve"> to respondents</w:t>
      </w:r>
      <w:r w:rsidRPr="0006742E" w:rsidR="00A35BD4">
        <w:rPr>
          <w:rFonts w:ascii="Times New Roman" w:hAnsi="Times New Roman"/>
          <w:b/>
          <w:sz w:val="24"/>
          <w:szCs w:val="24"/>
        </w:rPr>
        <w:t>.</w:t>
      </w:r>
    </w:p>
    <w:p w:rsidRPr="00294D29" w:rsidR="00A35BD4" w:rsidP="00294D29" w:rsidRDefault="00A35BD4" w14:paraId="5D17555F" w14:textId="77777777">
      <w:pPr>
        <w:rPr>
          <w:rFonts w:ascii="Times New Roman" w:hAnsi="Times New Roman"/>
          <w:sz w:val="24"/>
          <w:szCs w:val="24"/>
        </w:rPr>
      </w:pPr>
    </w:p>
    <w:p w:rsidRPr="00294D29" w:rsidR="00A35BD4" w:rsidP="00294D29" w:rsidRDefault="00A35BD4" w14:paraId="63330C7B" w14:textId="3A282BFF">
      <w:pPr>
        <w:rPr>
          <w:rFonts w:ascii="Times New Roman" w:hAnsi="Times New Roman"/>
          <w:sz w:val="24"/>
          <w:szCs w:val="24"/>
        </w:rPr>
      </w:pPr>
      <w:r w:rsidRPr="00294D29">
        <w:rPr>
          <w:rFonts w:ascii="Times New Roman" w:hAnsi="Times New Roman"/>
          <w:sz w:val="24"/>
          <w:szCs w:val="24"/>
        </w:rPr>
        <w:lastRenderedPageBreak/>
        <w:tab/>
      </w:r>
      <w:r w:rsidR="0007584D">
        <w:rPr>
          <w:rFonts w:ascii="Times New Roman" w:hAnsi="Times New Roman"/>
          <w:sz w:val="24"/>
          <w:szCs w:val="24"/>
        </w:rPr>
        <w:t>There is no intent by NCUA to provide payment or gifts for information collected.</w:t>
      </w:r>
    </w:p>
    <w:p w:rsidRPr="00294D29" w:rsidR="00A35BD4" w:rsidP="00294D29" w:rsidRDefault="00A35BD4" w14:paraId="3872A4E6" w14:textId="77777777">
      <w:pPr>
        <w:rPr>
          <w:rFonts w:ascii="Times New Roman" w:hAnsi="Times New Roman"/>
          <w:sz w:val="24"/>
          <w:szCs w:val="24"/>
        </w:rPr>
      </w:pPr>
    </w:p>
    <w:p w:rsidR="00A35BD4" w:rsidP="00294D29" w:rsidRDefault="006339B2" w14:paraId="212CD9B5" w14:textId="15EC4041">
      <w:pPr>
        <w:rPr>
          <w:rFonts w:ascii="Times New Roman" w:hAnsi="Times New Roman"/>
          <w:b/>
          <w:sz w:val="24"/>
          <w:szCs w:val="24"/>
        </w:rPr>
      </w:pPr>
      <w:r w:rsidRPr="0006742E">
        <w:rPr>
          <w:rFonts w:ascii="Times New Roman" w:hAnsi="Times New Roman"/>
          <w:b/>
          <w:sz w:val="24"/>
          <w:szCs w:val="24"/>
        </w:rPr>
        <w:t>10.</w:t>
      </w:r>
      <w:r w:rsidRPr="0006742E">
        <w:rPr>
          <w:rFonts w:ascii="Times New Roman" w:hAnsi="Times New Roman"/>
          <w:b/>
          <w:sz w:val="24"/>
          <w:szCs w:val="24"/>
        </w:rPr>
        <w:tab/>
      </w:r>
      <w:r w:rsidRPr="0006742E" w:rsidR="00A35BD4">
        <w:rPr>
          <w:rFonts w:ascii="Times New Roman" w:hAnsi="Times New Roman"/>
          <w:b/>
          <w:sz w:val="24"/>
          <w:szCs w:val="24"/>
        </w:rPr>
        <w:t>Assuranc</w:t>
      </w:r>
      <w:r w:rsidRPr="0006742E" w:rsidR="0006742E">
        <w:rPr>
          <w:rFonts w:ascii="Times New Roman" w:hAnsi="Times New Roman"/>
          <w:b/>
          <w:sz w:val="24"/>
          <w:szCs w:val="24"/>
        </w:rPr>
        <w:t>e of Confidentiality</w:t>
      </w:r>
      <w:r w:rsidRPr="0006742E" w:rsidR="00A35BD4">
        <w:rPr>
          <w:rFonts w:ascii="Times New Roman" w:hAnsi="Times New Roman"/>
          <w:b/>
          <w:sz w:val="24"/>
          <w:szCs w:val="24"/>
        </w:rPr>
        <w:t>.</w:t>
      </w:r>
    </w:p>
    <w:p w:rsidRPr="00294D29" w:rsidR="00A35BD4" w:rsidP="0006742E" w:rsidRDefault="00A35BD4" w14:paraId="50A8B98A" w14:textId="652F6EC3">
      <w:pPr>
        <w:rPr>
          <w:rFonts w:ascii="Times New Roman" w:hAnsi="Times New Roman"/>
          <w:sz w:val="24"/>
          <w:szCs w:val="24"/>
        </w:rPr>
      </w:pPr>
    </w:p>
    <w:p w:rsidRPr="00294D29" w:rsidR="00A35BD4" w:rsidP="006339B2" w:rsidRDefault="00A35BD4" w14:paraId="73E2B33A" w14:textId="2C804931">
      <w:pPr>
        <w:ind w:left="720" w:hanging="720"/>
        <w:rPr>
          <w:rFonts w:ascii="Times New Roman" w:hAnsi="Times New Roman"/>
          <w:sz w:val="24"/>
          <w:szCs w:val="24"/>
        </w:rPr>
      </w:pPr>
      <w:r w:rsidRPr="00294D29">
        <w:rPr>
          <w:rFonts w:ascii="Times New Roman" w:hAnsi="Times New Roman"/>
          <w:sz w:val="24"/>
          <w:szCs w:val="24"/>
        </w:rPr>
        <w:tab/>
        <w:t xml:space="preserve">Information provided to the government on </w:t>
      </w:r>
      <w:r w:rsidRPr="00294D29" w:rsidR="00541E18">
        <w:rPr>
          <w:rFonts w:ascii="Times New Roman" w:hAnsi="Times New Roman"/>
          <w:sz w:val="24"/>
          <w:szCs w:val="24"/>
        </w:rPr>
        <w:t>BSA-SARs</w:t>
      </w:r>
      <w:r w:rsidRPr="00294D29">
        <w:rPr>
          <w:rFonts w:ascii="Times New Roman" w:hAnsi="Times New Roman"/>
          <w:sz w:val="24"/>
          <w:szCs w:val="24"/>
        </w:rPr>
        <w:t xml:space="preserve"> is expressly prohibited from disclosure under 31 U.S.C. 5318(g)(2)</w:t>
      </w:r>
      <w:r w:rsidR="00667968">
        <w:rPr>
          <w:rFonts w:ascii="Times New Roman" w:hAnsi="Times New Roman"/>
          <w:sz w:val="24"/>
          <w:szCs w:val="24"/>
        </w:rPr>
        <w:t xml:space="preserve">.  </w:t>
      </w:r>
      <w:r w:rsidRPr="00294D29">
        <w:rPr>
          <w:rFonts w:ascii="Times New Roman" w:hAnsi="Times New Roman"/>
          <w:sz w:val="24"/>
          <w:szCs w:val="24"/>
        </w:rPr>
        <w:t>Appropriate system security safeguards have been put in place to protect against unauthorized access.</w:t>
      </w:r>
    </w:p>
    <w:p w:rsidRPr="00294D29" w:rsidR="00A35BD4" w:rsidP="006339B2" w:rsidRDefault="00A35BD4" w14:paraId="5B02BEF1" w14:textId="77777777">
      <w:pPr>
        <w:ind w:left="720" w:hanging="720"/>
        <w:rPr>
          <w:rFonts w:ascii="Times New Roman" w:hAnsi="Times New Roman"/>
          <w:sz w:val="24"/>
          <w:szCs w:val="24"/>
        </w:rPr>
      </w:pPr>
    </w:p>
    <w:p w:rsidR="00A35BD4" w:rsidP="006339B2" w:rsidRDefault="006339B2" w14:paraId="1363FB98" w14:textId="54F17DB4">
      <w:pPr>
        <w:ind w:left="720" w:hanging="720"/>
        <w:rPr>
          <w:rFonts w:ascii="Times New Roman" w:hAnsi="Times New Roman"/>
          <w:b/>
          <w:sz w:val="24"/>
          <w:szCs w:val="24"/>
        </w:rPr>
      </w:pPr>
      <w:r w:rsidRPr="0006742E">
        <w:rPr>
          <w:rFonts w:ascii="Times New Roman" w:hAnsi="Times New Roman"/>
          <w:b/>
          <w:sz w:val="24"/>
          <w:szCs w:val="24"/>
        </w:rPr>
        <w:t>11.</w:t>
      </w:r>
      <w:r w:rsidRPr="0006742E">
        <w:rPr>
          <w:rFonts w:ascii="Times New Roman" w:hAnsi="Times New Roman"/>
          <w:b/>
          <w:sz w:val="24"/>
          <w:szCs w:val="24"/>
        </w:rPr>
        <w:tab/>
      </w:r>
      <w:r w:rsidRPr="00606E4A" w:rsidR="0006742E">
        <w:rPr>
          <w:rFonts w:ascii="Times New Roman" w:hAnsi="Times New Roman"/>
          <w:b/>
          <w:sz w:val="24"/>
          <w:szCs w:val="24"/>
        </w:rPr>
        <w:t>Questions of a sensitive nature</w:t>
      </w:r>
      <w:r w:rsidRPr="0006742E" w:rsidR="00A35BD4">
        <w:rPr>
          <w:rFonts w:ascii="Times New Roman" w:hAnsi="Times New Roman"/>
          <w:b/>
          <w:sz w:val="24"/>
          <w:szCs w:val="24"/>
        </w:rPr>
        <w:t>.</w:t>
      </w:r>
    </w:p>
    <w:p w:rsidRPr="00294D29" w:rsidR="00A35BD4" w:rsidP="006339B2" w:rsidRDefault="00A35BD4" w14:paraId="7DB7BA1A" w14:textId="77777777">
      <w:pPr>
        <w:ind w:left="720" w:hanging="720"/>
        <w:rPr>
          <w:rFonts w:ascii="Times New Roman" w:hAnsi="Times New Roman"/>
          <w:sz w:val="24"/>
          <w:szCs w:val="24"/>
        </w:rPr>
      </w:pPr>
    </w:p>
    <w:p w:rsidRPr="00294D29" w:rsidR="00A35BD4" w:rsidP="006339B2" w:rsidRDefault="00A35BD4" w14:paraId="0C6B6704" w14:textId="10DAFF63">
      <w:pPr>
        <w:ind w:left="720" w:hanging="720"/>
        <w:rPr>
          <w:rFonts w:ascii="Times New Roman" w:hAnsi="Times New Roman"/>
          <w:sz w:val="24"/>
          <w:szCs w:val="24"/>
        </w:rPr>
      </w:pPr>
      <w:r w:rsidRPr="00294D29">
        <w:rPr>
          <w:rFonts w:ascii="Times New Roman" w:hAnsi="Times New Roman"/>
          <w:sz w:val="24"/>
          <w:szCs w:val="24"/>
        </w:rPr>
        <w:tab/>
      </w:r>
      <w:r w:rsidR="00F32C3E">
        <w:rPr>
          <w:rFonts w:ascii="Times New Roman" w:hAnsi="Times New Roman"/>
          <w:sz w:val="24"/>
          <w:szCs w:val="24"/>
        </w:rPr>
        <w:t>There are no questions of a sensitive nature asked.</w:t>
      </w:r>
    </w:p>
    <w:p w:rsidRPr="00294D29" w:rsidR="00A35BD4" w:rsidP="006339B2" w:rsidRDefault="00A35BD4" w14:paraId="0F5BC9C4" w14:textId="77777777">
      <w:pPr>
        <w:ind w:left="720" w:hanging="720"/>
        <w:rPr>
          <w:rFonts w:ascii="Times New Roman" w:hAnsi="Times New Roman"/>
          <w:sz w:val="24"/>
          <w:szCs w:val="24"/>
        </w:rPr>
      </w:pPr>
    </w:p>
    <w:p w:rsidR="00A35BD4" w:rsidP="006339B2" w:rsidRDefault="006339B2" w14:paraId="4F58185A" w14:textId="1373F19B">
      <w:pPr>
        <w:ind w:left="720" w:hanging="720"/>
        <w:rPr>
          <w:rFonts w:ascii="Times New Roman" w:hAnsi="Times New Roman"/>
          <w:b/>
          <w:sz w:val="24"/>
          <w:szCs w:val="24"/>
        </w:rPr>
      </w:pPr>
      <w:r w:rsidRPr="0006742E">
        <w:rPr>
          <w:rFonts w:ascii="Times New Roman" w:hAnsi="Times New Roman"/>
          <w:b/>
          <w:sz w:val="24"/>
          <w:szCs w:val="24"/>
        </w:rPr>
        <w:t>12.</w:t>
      </w:r>
      <w:r>
        <w:rPr>
          <w:rFonts w:ascii="Times New Roman" w:hAnsi="Times New Roman"/>
          <w:sz w:val="24"/>
          <w:szCs w:val="24"/>
        </w:rPr>
        <w:tab/>
      </w:r>
      <w:r w:rsidRPr="0006742E" w:rsidR="0006742E">
        <w:rPr>
          <w:rFonts w:ascii="Times New Roman" w:hAnsi="Times New Roman"/>
          <w:b/>
          <w:sz w:val="24"/>
          <w:szCs w:val="24"/>
        </w:rPr>
        <w:t>Burden of information collection.</w:t>
      </w:r>
    </w:p>
    <w:p w:rsidRPr="00294D29" w:rsidR="00A35BD4" w:rsidP="00294D29" w:rsidRDefault="00A35BD4" w14:paraId="01AB1EB9" w14:textId="77777777">
      <w:pPr>
        <w:rPr>
          <w:rFonts w:ascii="Times New Roman" w:hAnsi="Times New Roman"/>
          <w:sz w:val="24"/>
          <w:szCs w:val="24"/>
        </w:rPr>
      </w:pPr>
    </w:p>
    <w:p w:rsidR="00667968" w:rsidP="00667968" w:rsidRDefault="006D66A9" w14:paraId="1CC65382" w14:textId="67911459">
      <w:pPr>
        <w:ind w:left="720"/>
        <w:rPr>
          <w:rFonts w:ascii="Times New Roman" w:hAnsi="Times New Roman"/>
          <w:sz w:val="24"/>
          <w:szCs w:val="24"/>
        </w:rPr>
      </w:pPr>
      <w:r>
        <w:rPr>
          <w:rFonts w:ascii="Times New Roman" w:hAnsi="Times New Roman"/>
          <w:sz w:val="24"/>
          <w:szCs w:val="24"/>
        </w:rPr>
        <w:t>The time spent by each credit union to file a SAR will vary, depending on the size and type of institution involved and the number of reportable transactions.  The NCUA estimate</w:t>
      </w:r>
      <w:r w:rsidR="00BF1DFE">
        <w:rPr>
          <w:rFonts w:ascii="Times New Roman" w:hAnsi="Times New Roman"/>
          <w:sz w:val="24"/>
          <w:szCs w:val="24"/>
        </w:rPr>
        <w:t>s</w:t>
      </w:r>
      <w:r>
        <w:rPr>
          <w:rFonts w:ascii="Times New Roman" w:hAnsi="Times New Roman"/>
          <w:sz w:val="24"/>
          <w:szCs w:val="24"/>
        </w:rPr>
        <w:t xml:space="preserve"> that </w:t>
      </w:r>
      <w:r w:rsidR="00DD5362">
        <w:rPr>
          <w:rFonts w:ascii="Times New Roman" w:hAnsi="Times New Roman"/>
          <w:sz w:val="24"/>
          <w:szCs w:val="24"/>
        </w:rPr>
        <w:t>2,932</w:t>
      </w:r>
      <w:r>
        <w:rPr>
          <w:rFonts w:ascii="Times New Roman" w:hAnsi="Times New Roman"/>
          <w:sz w:val="24"/>
          <w:szCs w:val="24"/>
        </w:rPr>
        <w:t xml:space="preserve"> credit unions will file </w:t>
      </w:r>
      <w:r w:rsidR="00366504">
        <w:rPr>
          <w:rFonts w:ascii="Times New Roman" w:hAnsi="Times New Roman"/>
          <w:sz w:val="24"/>
          <w:szCs w:val="24"/>
        </w:rPr>
        <w:t>approximately</w:t>
      </w:r>
      <w:r>
        <w:rPr>
          <w:rFonts w:ascii="Times New Roman" w:hAnsi="Times New Roman"/>
          <w:sz w:val="24"/>
          <w:szCs w:val="24"/>
        </w:rPr>
        <w:t xml:space="preserve"> </w:t>
      </w:r>
      <w:r w:rsidR="00DD5362">
        <w:rPr>
          <w:rFonts w:ascii="Times New Roman" w:hAnsi="Times New Roman"/>
          <w:sz w:val="24"/>
          <w:szCs w:val="24"/>
        </w:rPr>
        <w:t>188,087</w:t>
      </w:r>
      <w:r w:rsidR="009D590C">
        <w:rPr>
          <w:rFonts w:ascii="Times New Roman" w:hAnsi="Times New Roman"/>
          <w:sz w:val="24"/>
          <w:szCs w:val="24"/>
        </w:rPr>
        <w:t xml:space="preserve"> SARs each year.  </w:t>
      </w:r>
    </w:p>
    <w:tbl>
      <w:tblPr>
        <w:tblStyle w:val="TableGrid"/>
        <w:tblW w:w="8835" w:type="dxa"/>
        <w:tblInd w:w="625" w:type="dxa"/>
        <w:tblLook w:val="04A0" w:firstRow="1" w:lastRow="0" w:firstColumn="1" w:lastColumn="0" w:noHBand="0" w:noVBand="1"/>
      </w:tblPr>
      <w:tblGrid>
        <w:gridCol w:w="1548"/>
        <w:gridCol w:w="1688"/>
        <w:gridCol w:w="1201"/>
        <w:gridCol w:w="1708"/>
        <w:gridCol w:w="983"/>
        <w:gridCol w:w="1707"/>
      </w:tblGrid>
      <w:tr w:rsidR="00E42A2D" w:rsidTr="00AA0E50" w14:paraId="475D2385" w14:textId="77777777">
        <w:tc>
          <w:tcPr>
            <w:tcW w:w="1511" w:type="dxa"/>
          </w:tcPr>
          <w:p w:rsidRPr="00667968" w:rsidR="00FB0BE3" w:rsidP="00667968" w:rsidRDefault="00FB0BE3" w14:paraId="7F7E73D3" w14:textId="77777777">
            <w:pPr>
              <w:jc w:val="center"/>
              <w:rPr>
                <w:rFonts w:ascii="Times New Roman" w:hAnsi="Times New Roman"/>
              </w:rPr>
            </w:pPr>
          </w:p>
        </w:tc>
        <w:tc>
          <w:tcPr>
            <w:tcW w:w="1698" w:type="dxa"/>
            <w:vAlign w:val="center"/>
          </w:tcPr>
          <w:p w:rsidRPr="00667968" w:rsidR="00FB0BE3" w:rsidP="00667968" w:rsidRDefault="00FB0BE3" w14:paraId="312E4F14" w14:textId="36A7DFFF">
            <w:pPr>
              <w:jc w:val="center"/>
              <w:rPr>
                <w:rFonts w:ascii="Times New Roman" w:hAnsi="Times New Roman"/>
              </w:rPr>
            </w:pPr>
            <w:r>
              <w:rPr>
                <w:rFonts w:ascii="Times New Roman" w:hAnsi="Times New Roman"/>
              </w:rPr>
              <w:t>#</w:t>
            </w:r>
            <w:r w:rsidRPr="00667968">
              <w:rPr>
                <w:rFonts w:ascii="Times New Roman" w:hAnsi="Times New Roman"/>
              </w:rPr>
              <w:t xml:space="preserve"> of Respondent</w:t>
            </w:r>
            <w:r>
              <w:rPr>
                <w:rFonts w:ascii="Times New Roman" w:hAnsi="Times New Roman"/>
              </w:rPr>
              <w:t>s/ Recordkeepers</w:t>
            </w:r>
          </w:p>
        </w:tc>
        <w:tc>
          <w:tcPr>
            <w:tcW w:w="1201" w:type="dxa"/>
          </w:tcPr>
          <w:p w:rsidRPr="00667968" w:rsidR="00FB0BE3" w:rsidP="00667968" w:rsidRDefault="00D077AF" w14:paraId="3BC4C022" w14:textId="478598D6">
            <w:pPr>
              <w:jc w:val="center"/>
              <w:rPr>
                <w:rFonts w:ascii="Times New Roman" w:hAnsi="Times New Roman"/>
              </w:rPr>
            </w:pPr>
            <w:r>
              <w:rPr>
                <w:rFonts w:ascii="Times New Roman" w:hAnsi="Times New Roman"/>
              </w:rPr>
              <w:t>Number of responses per Respondent (Frequency)</w:t>
            </w:r>
          </w:p>
        </w:tc>
        <w:tc>
          <w:tcPr>
            <w:tcW w:w="1732" w:type="dxa"/>
            <w:vAlign w:val="center"/>
          </w:tcPr>
          <w:p w:rsidRPr="00667968" w:rsidR="00FB0BE3" w:rsidP="00667968" w:rsidRDefault="00FB0BE3" w14:paraId="589C7B9F" w14:textId="503C7E43">
            <w:pPr>
              <w:jc w:val="center"/>
              <w:rPr>
                <w:rFonts w:ascii="Times New Roman" w:hAnsi="Times New Roman"/>
              </w:rPr>
            </w:pPr>
            <w:r w:rsidRPr="00667968">
              <w:rPr>
                <w:rFonts w:ascii="Times New Roman" w:hAnsi="Times New Roman"/>
              </w:rPr>
              <w:t>Annual Response</w:t>
            </w:r>
            <w:r>
              <w:rPr>
                <w:rFonts w:ascii="Times New Roman" w:hAnsi="Times New Roman"/>
              </w:rPr>
              <w:t>/ Records</w:t>
            </w:r>
          </w:p>
        </w:tc>
        <w:tc>
          <w:tcPr>
            <w:tcW w:w="961" w:type="dxa"/>
            <w:vAlign w:val="center"/>
          </w:tcPr>
          <w:p w:rsidRPr="00667968" w:rsidR="00FB0BE3" w:rsidP="00667968" w:rsidRDefault="00FB0BE3" w14:paraId="063F55F0" w14:textId="77777777">
            <w:pPr>
              <w:jc w:val="center"/>
              <w:rPr>
                <w:rFonts w:ascii="Times New Roman" w:hAnsi="Times New Roman"/>
              </w:rPr>
            </w:pPr>
            <w:r w:rsidRPr="00667968">
              <w:rPr>
                <w:rFonts w:ascii="Times New Roman" w:hAnsi="Times New Roman"/>
              </w:rPr>
              <w:t>Hours per Response</w:t>
            </w:r>
          </w:p>
        </w:tc>
        <w:tc>
          <w:tcPr>
            <w:tcW w:w="1732" w:type="dxa"/>
            <w:vAlign w:val="center"/>
          </w:tcPr>
          <w:p w:rsidRPr="00667968" w:rsidR="00FB0BE3" w:rsidP="00667968" w:rsidRDefault="00FB0BE3" w14:paraId="46D07D21" w14:textId="77777777">
            <w:pPr>
              <w:jc w:val="center"/>
              <w:rPr>
                <w:rFonts w:ascii="Times New Roman" w:hAnsi="Times New Roman"/>
              </w:rPr>
            </w:pPr>
            <w:r w:rsidRPr="00667968">
              <w:rPr>
                <w:rFonts w:ascii="Times New Roman" w:hAnsi="Times New Roman"/>
              </w:rPr>
              <w:t>Total Burden</w:t>
            </w:r>
          </w:p>
        </w:tc>
      </w:tr>
      <w:tr w:rsidR="00E42A2D" w:rsidTr="00AA0E50" w14:paraId="1ABDE590" w14:textId="77777777">
        <w:trPr>
          <w:trHeight w:val="566"/>
        </w:trPr>
        <w:tc>
          <w:tcPr>
            <w:tcW w:w="1511" w:type="dxa"/>
            <w:vAlign w:val="center"/>
          </w:tcPr>
          <w:p w:rsidR="00FB0BE3" w:rsidP="009B4DCF" w:rsidRDefault="00FB0BE3" w14:paraId="4A25D947" w14:textId="77777777">
            <w:pPr>
              <w:rPr>
                <w:rFonts w:ascii="Times New Roman" w:hAnsi="Times New Roman"/>
                <w:sz w:val="22"/>
                <w:szCs w:val="22"/>
              </w:rPr>
            </w:pPr>
            <w:r w:rsidRPr="00366504">
              <w:rPr>
                <w:rFonts w:ascii="Times New Roman" w:hAnsi="Times New Roman"/>
                <w:sz w:val="22"/>
                <w:szCs w:val="22"/>
              </w:rPr>
              <w:t>Reporting</w:t>
            </w:r>
            <w:r>
              <w:rPr>
                <w:rFonts w:ascii="Times New Roman" w:hAnsi="Times New Roman"/>
                <w:sz w:val="22"/>
                <w:szCs w:val="22"/>
              </w:rPr>
              <w:t xml:space="preserve"> </w:t>
            </w:r>
          </w:p>
          <w:p w:rsidRPr="00366504" w:rsidR="00FB0BE3" w:rsidP="009B4DCF" w:rsidRDefault="00FB0BE3" w14:paraId="3AA5FE96" w14:textId="290D4F7D">
            <w:pPr>
              <w:rPr>
                <w:rFonts w:ascii="Times New Roman" w:hAnsi="Times New Roman"/>
                <w:sz w:val="22"/>
                <w:szCs w:val="22"/>
              </w:rPr>
            </w:pPr>
            <w:r>
              <w:rPr>
                <w:rFonts w:ascii="Times New Roman" w:hAnsi="Times New Roman"/>
                <w:sz w:val="22"/>
                <w:szCs w:val="22"/>
              </w:rPr>
              <w:t>§748.1(c)(2)</w:t>
            </w:r>
          </w:p>
        </w:tc>
        <w:tc>
          <w:tcPr>
            <w:tcW w:w="1698" w:type="dxa"/>
            <w:vAlign w:val="center"/>
          </w:tcPr>
          <w:p w:rsidR="00FB0BE3" w:rsidP="00162AD3" w:rsidRDefault="00FB0BE3" w14:paraId="0D2484E8" w14:textId="3B04BA80">
            <w:pPr>
              <w:jc w:val="right"/>
              <w:rPr>
                <w:rFonts w:ascii="Times New Roman" w:hAnsi="Times New Roman"/>
                <w:sz w:val="24"/>
                <w:szCs w:val="24"/>
              </w:rPr>
            </w:pPr>
            <w:r>
              <w:rPr>
                <w:rFonts w:ascii="Times New Roman" w:hAnsi="Times New Roman"/>
                <w:sz w:val="24"/>
                <w:szCs w:val="24"/>
              </w:rPr>
              <w:t>2,932</w:t>
            </w:r>
          </w:p>
        </w:tc>
        <w:tc>
          <w:tcPr>
            <w:tcW w:w="1201" w:type="dxa"/>
            <w:vAlign w:val="center"/>
          </w:tcPr>
          <w:p w:rsidR="00FB0BE3" w:rsidP="00162AD3" w:rsidRDefault="00FB0BE3" w14:paraId="09CB52F5" w14:textId="1F19D4D0">
            <w:pPr>
              <w:jc w:val="right"/>
              <w:rPr>
                <w:rFonts w:ascii="Times New Roman" w:hAnsi="Times New Roman"/>
                <w:sz w:val="24"/>
                <w:szCs w:val="24"/>
              </w:rPr>
            </w:pPr>
            <w:r>
              <w:rPr>
                <w:rFonts w:ascii="Times New Roman" w:hAnsi="Times New Roman"/>
                <w:sz w:val="24"/>
                <w:szCs w:val="24"/>
              </w:rPr>
              <w:t>64</w:t>
            </w:r>
          </w:p>
        </w:tc>
        <w:tc>
          <w:tcPr>
            <w:tcW w:w="1732" w:type="dxa"/>
            <w:vAlign w:val="center"/>
          </w:tcPr>
          <w:p w:rsidR="00FB0BE3" w:rsidP="00162AD3" w:rsidRDefault="00FB0BE3" w14:paraId="4D0B658A" w14:textId="060BB27F">
            <w:pPr>
              <w:jc w:val="right"/>
              <w:rPr>
                <w:rFonts w:ascii="Times New Roman" w:hAnsi="Times New Roman"/>
                <w:sz w:val="24"/>
                <w:szCs w:val="24"/>
              </w:rPr>
            </w:pPr>
            <w:r>
              <w:rPr>
                <w:rFonts w:ascii="Times New Roman" w:hAnsi="Times New Roman"/>
                <w:sz w:val="24"/>
                <w:szCs w:val="24"/>
              </w:rPr>
              <w:t>188,087</w:t>
            </w:r>
          </w:p>
        </w:tc>
        <w:tc>
          <w:tcPr>
            <w:tcW w:w="961" w:type="dxa"/>
            <w:vAlign w:val="center"/>
          </w:tcPr>
          <w:p w:rsidR="00FB0BE3" w:rsidP="00162AD3" w:rsidRDefault="00FB0BE3" w14:paraId="49432DE2" w14:textId="22A782DA">
            <w:pPr>
              <w:jc w:val="right"/>
              <w:rPr>
                <w:rFonts w:ascii="Times New Roman" w:hAnsi="Times New Roman"/>
                <w:sz w:val="24"/>
                <w:szCs w:val="24"/>
              </w:rPr>
            </w:pPr>
            <w:r>
              <w:rPr>
                <w:rFonts w:ascii="Times New Roman" w:hAnsi="Times New Roman"/>
                <w:sz w:val="24"/>
                <w:szCs w:val="24"/>
              </w:rPr>
              <w:t>1</w:t>
            </w:r>
          </w:p>
        </w:tc>
        <w:tc>
          <w:tcPr>
            <w:tcW w:w="1732" w:type="dxa"/>
            <w:vAlign w:val="center"/>
          </w:tcPr>
          <w:p w:rsidR="00FB0BE3" w:rsidP="00162AD3" w:rsidRDefault="00FB0BE3" w14:paraId="31440D45" w14:textId="5A3DFA28">
            <w:pPr>
              <w:jc w:val="right"/>
              <w:rPr>
                <w:rFonts w:ascii="Times New Roman" w:hAnsi="Times New Roman"/>
                <w:sz w:val="24"/>
                <w:szCs w:val="24"/>
              </w:rPr>
            </w:pPr>
            <w:r>
              <w:rPr>
                <w:rFonts w:ascii="Times New Roman" w:hAnsi="Times New Roman"/>
                <w:sz w:val="24"/>
                <w:szCs w:val="24"/>
              </w:rPr>
              <w:t>188,087</w:t>
            </w:r>
          </w:p>
        </w:tc>
      </w:tr>
      <w:tr w:rsidR="00E42A2D" w:rsidTr="00AA0E50" w14:paraId="35A9F626" w14:textId="77777777">
        <w:trPr>
          <w:trHeight w:val="566"/>
        </w:trPr>
        <w:tc>
          <w:tcPr>
            <w:tcW w:w="1511" w:type="dxa"/>
            <w:vAlign w:val="center"/>
          </w:tcPr>
          <w:p w:rsidR="00FB0BE3" w:rsidP="009B4DCF" w:rsidRDefault="00FB0BE3" w14:paraId="7EAF27F4" w14:textId="77777777">
            <w:pPr>
              <w:rPr>
                <w:rFonts w:ascii="Times New Roman" w:hAnsi="Times New Roman"/>
                <w:sz w:val="22"/>
                <w:szCs w:val="22"/>
              </w:rPr>
            </w:pPr>
            <w:r w:rsidRPr="00366504">
              <w:rPr>
                <w:rFonts w:ascii="Times New Roman" w:hAnsi="Times New Roman"/>
                <w:sz w:val="22"/>
                <w:szCs w:val="22"/>
              </w:rPr>
              <w:t>Recordkeeping</w:t>
            </w:r>
            <w:r>
              <w:rPr>
                <w:rFonts w:ascii="Times New Roman" w:hAnsi="Times New Roman"/>
                <w:sz w:val="22"/>
                <w:szCs w:val="22"/>
              </w:rPr>
              <w:t xml:space="preserve"> </w:t>
            </w:r>
          </w:p>
          <w:p w:rsidRPr="00366504" w:rsidR="00FB0BE3" w:rsidP="009B4DCF" w:rsidRDefault="00FB0BE3" w14:paraId="1AC57E60" w14:textId="209CA8AA">
            <w:pPr>
              <w:rPr>
                <w:rFonts w:ascii="Times New Roman" w:hAnsi="Times New Roman"/>
                <w:sz w:val="22"/>
                <w:szCs w:val="22"/>
              </w:rPr>
            </w:pPr>
            <w:r>
              <w:rPr>
                <w:rFonts w:ascii="Times New Roman" w:hAnsi="Times New Roman"/>
                <w:sz w:val="22"/>
                <w:szCs w:val="22"/>
              </w:rPr>
              <w:t>§748.1(c)(3)</w:t>
            </w:r>
          </w:p>
        </w:tc>
        <w:tc>
          <w:tcPr>
            <w:tcW w:w="1698" w:type="dxa"/>
            <w:vAlign w:val="center"/>
          </w:tcPr>
          <w:p w:rsidR="00FB0BE3" w:rsidP="00162AD3" w:rsidRDefault="00FB0BE3" w14:paraId="258DE160" w14:textId="676774E3">
            <w:pPr>
              <w:jc w:val="right"/>
              <w:rPr>
                <w:rFonts w:ascii="Times New Roman" w:hAnsi="Times New Roman"/>
                <w:sz w:val="24"/>
                <w:szCs w:val="24"/>
              </w:rPr>
            </w:pPr>
            <w:r>
              <w:rPr>
                <w:rFonts w:ascii="Times New Roman" w:hAnsi="Times New Roman"/>
                <w:sz w:val="24"/>
                <w:szCs w:val="24"/>
              </w:rPr>
              <w:t>2,932</w:t>
            </w:r>
          </w:p>
        </w:tc>
        <w:tc>
          <w:tcPr>
            <w:tcW w:w="1201" w:type="dxa"/>
            <w:vAlign w:val="center"/>
          </w:tcPr>
          <w:p w:rsidR="00FB0BE3" w:rsidP="00162AD3" w:rsidRDefault="00FB0BE3" w14:paraId="4F323F5E" w14:textId="0BBA59F5">
            <w:pPr>
              <w:jc w:val="right"/>
              <w:rPr>
                <w:rFonts w:ascii="Times New Roman" w:hAnsi="Times New Roman"/>
                <w:sz w:val="24"/>
                <w:szCs w:val="24"/>
              </w:rPr>
            </w:pPr>
            <w:r>
              <w:rPr>
                <w:rFonts w:ascii="Times New Roman" w:hAnsi="Times New Roman"/>
                <w:sz w:val="24"/>
                <w:szCs w:val="24"/>
              </w:rPr>
              <w:t>1</w:t>
            </w:r>
          </w:p>
        </w:tc>
        <w:tc>
          <w:tcPr>
            <w:tcW w:w="1732" w:type="dxa"/>
            <w:vAlign w:val="center"/>
          </w:tcPr>
          <w:p w:rsidR="00FB0BE3" w:rsidP="00162AD3" w:rsidRDefault="00E42A2D" w14:paraId="4F0BE8B4" w14:textId="13A7D95E">
            <w:pPr>
              <w:jc w:val="right"/>
              <w:rPr>
                <w:rFonts w:ascii="Times New Roman" w:hAnsi="Times New Roman"/>
                <w:sz w:val="24"/>
                <w:szCs w:val="24"/>
              </w:rPr>
            </w:pPr>
            <w:r>
              <w:rPr>
                <w:rFonts w:ascii="Times New Roman" w:hAnsi="Times New Roman"/>
                <w:sz w:val="24"/>
                <w:szCs w:val="24"/>
              </w:rPr>
              <w:t>2,932</w:t>
            </w:r>
          </w:p>
        </w:tc>
        <w:tc>
          <w:tcPr>
            <w:tcW w:w="961" w:type="dxa"/>
            <w:vAlign w:val="center"/>
          </w:tcPr>
          <w:p w:rsidR="00FB0BE3" w:rsidP="00162AD3" w:rsidRDefault="00FB0BE3" w14:paraId="16EB3083" w14:textId="5D64CF79">
            <w:pPr>
              <w:jc w:val="right"/>
              <w:rPr>
                <w:rFonts w:ascii="Times New Roman" w:hAnsi="Times New Roman"/>
                <w:sz w:val="24"/>
                <w:szCs w:val="24"/>
              </w:rPr>
            </w:pPr>
            <w:r>
              <w:rPr>
                <w:rFonts w:ascii="Times New Roman" w:hAnsi="Times New Roman"/>
                <w:sz w:val="24"/>
                <w:szCs w:val="24"/>
              </w:rPr>
              <w:t>1</w:t>
            </w:r>
          </w:p>
        </w:tc>
        <w:tc>
          <w:tcPr>
            <w:tcW w:w="1732" w:type="dxa"/>
            <w:vAlign w:val="center"/>
          </w:tcPr>
          <w:p w:rsidR="00FB0BE3" w:rsidP="00162AD3" w:rsidRDefault="00E42A2D" w14:paraId="57B0D360" w14:textId="5DFD330C">
            <w:pPr>
              <w:jc w:val="right"/>
              <w:rPr>
                <w:rFonts w:ascii="Times New Roman" w:hAnsi="Times New Roman"/>
                <w:sz w:val="24"/>
                <w:szCs w:val="24"/>
              </w:rPr>
            </w:pPr>
            <w:r>
              <w:rPr>
                <w:rFonts w:ascii="Times New Roman" w:hAnsi="Times New Roman"/>
                <w:sz w:val="24"/>
                <w:szCs w:val="24"/>
              </w:rPr>
              <w:t>2,932</w:t>
            </w:r>
          </w:p>
        </w:tc>
      </w:tr>
      <w:tr w:rsidR="00E42A2D" w:rsidTr="00D077AF" w14:paraId="5A729B1D" w14:textId="77777777">
        <w:trPr>
          <w:trHeight w:val="323"/>
        </w:trPr>
        <w:tc>
          <w:tcPr>
            <w:tcW w:w="1511" w:type="dxa"/>
            <w:vAlign w:val="center"/>
          </w:tcPr>
          <w:p w:rsidRPr="00366504" w:rsidR="00FB0BE3" w:rsidP="00BC193F" w:rsidRDefault="00FB0BE3" w14:paraId="5454D556" w14:textId="6215EE5B">
            <w:pPr>
              <w:jc w:val="right"/>
              <w:rPr>
                <w:rFonts w:ascii="Times New Roman" w:hAnsi="Times New Roman"/>
                <w:sz w:val="22"/>
                <w:szCs w:val="22"/>
              </w:rPr>
            </w:pPr>
            <w:r>
              <w:rPr>
                <w:rFonts w:ascii="Times New Roman" w:hAnsi="Times New Roman"/>
                <w:sz w:val="22"/>
                <w:szCs w:val="22"/>
              </w:rPr>
              <w:t>TOTAL</w:t>
            </w:r>
          </w:p>
        </w:tc>
        <w:tc>
          <w:tcPr>
            <w:tcW w:w="1698" w:type="dxa"/>
            <w:shd w:val="clear" w:color="auto" w:fill="auto"/>
            <w:vAlign w:val="center"/>
          </w:tcPr>
          <w:p w:rsidR="00FB0BE3" w:rsidP="00162AD3" w:rsidRDefault="00E42A2D" w14:paraId="558933A9" w14:textId="624012A0">
            <w:pPr>
              <w:jc w:val="right"/>
              <w:rPr>
                <w:rFonts w:ascii="Times New Roman" w:hAnsi="Times New Roman"/>
                <w:sz w:val="24"/>
                <w:szCs w:val="24"/>
              </w:rPr>
            </w:pPr>
            <w:r>
              <w:rPr>
                <w:rFonts w:ascii="Times New Roman" w:hAnsi="Times New Roman"/>
                <w:sz w:val="24"/>
                <w:szCs w:val="24"/>
              </w:rPr>
              <w:t>2,932</w:t>
            </w:r>
          </w:p>
        </w:tc>
        <w:tc>
          <w:tcPr>
            <w:tcW w:w="1201" w:type="dxa"/>
            <w:shd w:val="clear" w:color="auto" w:fill="D9D9D9" w:themeFill="background1" w:themeFillShade="D9"/>
          </w:tcPr>
          <w:p w:rsidR="00FB0BE3" w:rsidP="00162AD3" w:rsidRDefault="00E42A2D" w14:paraId="3CF2F3FF" w14:textId="092078CA">
            <w:pPr>
              <w:jc w:val="right"/>
              <w:rPr>
                <w:rFonts w:ascii="Times New Roman" w:hAnsi="Times New Roman"/>
                <w:sz w:val="24"/>
                <w:szCs w:val="24"/>
              </w:rPr>
            </w:pPr>
            <w:r>
              <w:rPr>
                <w:rFonts w:ascii="Times New Roman" w:hAnsi="Times New Roman"/>
                <w:sz w:val="24"/>
                <w:szCs w:val="24"/>
              </w:rPr>
              <w:t>65.14972</w:t>
            </w:r>
          </w:p>
        </w:tc>
        <w:tc>
          <w:tcPr>
            <w:tcW w:w="1732" w:type="dxa"/>
            <w:vAlign w:val="center"/>
          </w:tcPr>
          <w:p w:rsidR="00FB0BE3" w:rsidP="00162AD3" w:rsidRDefault="00E42A2D" w14:paraId="0B8FB80F" w14:textId="1C8228E4">
            <w:pPr>
              <w:jc w:val="right"/>
              <w:rPr>
                <w:rFonts w:ascii="Times New Roman" w:hAnsi="Times New Roman"/>
                <w:sz w:val="24"/>
                <w:szCs w:val="24"/>
              </w:rPr>
            </w:pPr>
            <w:r>
              <w:rPr>
                <w:rFonts w:ascii="Times New Roman" w:hAnsi="Times New Roman"/>
                <w:sz w:val="24"/>
                <w:szCs w:val="24"/>
              </w:rPr>
              <w:t>191,019</w:t>
            </w:r>
          </w:p>
        </w:tc>
        <w:tc>
          <w:tcPr>
            <w:tcW w:w="961" w:type="dxa"/>
            <w:shd w:val="clear" w:color="auto" w:fill="D9D9D9" w:themeFill="background1" w:themeFillShade="D9"/>
            <w:vAlign w:val="center"/>
          </w:tcPr>
          <w:p w:rsidR="00FB0BE3" w:rsidP="00162AD3" w:rsidRDefault="00E42A2D" w14:paraId="2394CCE0" w14:textId="15EBBDE1">
            <w:pPr>
              <w:jc w:val="right"/>
              <w:rPr>
                <w:rFonts w:ascii="Times New Roman" w:hAnsi="Times New Roman"/>
                <w:sz w:val="24"/>
                <w:szCs w:val="24"/>
              </w:rPr>
            </w:pPr>
            <w:r>
              <w:rPr>
                <w:rFonts w:ascii="Times New Roman" w:hAnsi="Times New Roman"/>
                <w:sz w:val="24"/>
                <w:szCs w:val="24"/>
              </w:rPr>
              <w:t>1</w:t>
            </w:r>
          </w:p>
        </w:tc>
        <w:tc>
          <w:tcPr>
            <w:tcW w:w="1732" w:type="dxa"/>
            <w:vAlign w:val="center"/>
          </w:tcPr>
          <w:p w:rsidR="00FB0BE3" w:rsidP="00162AD3" w:rsidRDefault="00E42A2D" w14:paraId="1E847469" w14:textId="35491548">
            <w:pPr>
              <w:jc w:val="right"/>
              <w:rPr>
                <w:rFonts w:ascii="Times New Roman" w:hAnsi="Times New Roman"/>
                <w:sz w:val="24"/>
                <w:szCs w:val="24"/>
              </w:rPr>
            </w:pPr>
            <w:r>
              <w:rPr>
                <w:rFonts w:ascii="Times New Roman" w:hAnsi="Times New Roman"/>
                <w:sz w:val="24"/>
                <w:szCs w:val="24"/>
              </w:rPr>
              <w:t>191,019</w:t>
            </w:r>
          </w:p>
        </w:tc>
      </w:tr>
    </w:tbl>
    <w:p w:rsidR="00A35BD4" w:rsidP="00294D29" w:rsidRDefault="00A35BD4" w14:paraId="2F9C761E" w14:textId="77777777">
      <w:pPr>
        <w:rPr>
          <w:rFonts w:ascii="Times New Roman" w:hAnsi="Times New Roman"/>
          <w:sz w:val="24"/>
          <w:szCs w:val="24"/>
        </w:rPr>
      </w:pPr>
    </w:p>
    <w:p w:rsidR="009F1D39" w:rsidP="00294D29" w:rsidRDefault="009F1D39" w14:paraId="1EB84E52" w14:textId="344FD60F">
      <w:pPr>
        <w:rPr>
          <w:rFonts w:ascii="Times New Roman" w:hAnsi="Times New Roman"/>
          <w:sz w:val="24"/>
          <w:szCs w:val="24"/>
        </w:rPr>
      </w:pPr>
      <w:r>
        <w:rPr>
          <w:rFonts w:ascii="Times New Roman" w:hAnsi="Times New Roman"/>
          <w:sz w:val="24"/>
          <w:szCs w:val="24"/>
        </w:rPr>
        <w:tab/>
        <w:t>Annual cost to respondent based on an hourly wage rate of $35 is $</w:t>
      </w:r>
      <w:r w:rsidR="00E42A2D">
        <w:rPr>
          <w:rFonts w:ascii="Times New Roman" w:hAnsi="Times New Roman"/>
          <w:sz w:val="24"/>
          <w:szCs w:val="24"/>
        </w:rPr>
        <w:t>6,685,665</w:t>
      </w:r>
      <w:r>
        <w:rPr>
          <w:rFonts w:ascii="Times New Roman" w:hAnsi="Times New Roman"/>
          <w:sz w:val="24"/>
          <w:szCs w:val="24"/>
        </w:rPr>
        <w:t>.</w:t>
      </w:r>
      <w:r w:rsidR="006576BA">
        <w:rPr>
          <w:rFonts w:ascii="Times New Roman" w:hAnsi="Times New Roman"/>
          <w:sz w:val="24"/>
          <w:szCs w:val="24"/>
        </w:rPr>
        <w:t xml:space="preserve"> </w:t>
      </w:r>
    </w:p>
    <w:p w:rsidRPr="00294D29" w:rsidR="009F1D39" w:rsidP="00294D29" w:rsidRDefault="009F1D39" w14:paraId="1FA17343" w14:textId="77777777">
      <w:pPr>
        <w:rPr>
          <w:rFonts w:ascii="Times New Roman" w:hAnsi="Times New Roman"/>
          <w:sz w:val="24"/>
          <w:szCs w:val="24"/>
        </w:rPr>
      </w:pPr>
    </w:p>
    <w:p w:rsidRPr="0006742E" w:rsidR="0006742E" w:rsidP="0006742E" w:rsidRDefault="006339B2" w14:paraId="0F7E345C" w14:textId="77777777">
      <w:pPr>
        <w:rPr>
          <w:rFonts w:ascii="Times New Roman" w:hAnsi="Times New Roman"/>
          <w:b/>
          <w:sz w:val="24"/>
          <w:szCs w:val="24"/>
        </w:rPr>
      </w:pPr>
      <w:r>
        <w:rPr>
          <w:rFonts w:ascii="Times New Roman" w:hAnsi="Times New Roman"/>
          <w:sz w:val="24"/>
          <w:szCs w:val="24"/>
        </w:rPr>
        <w:t>13.</w:t>
      </w:r>
      <w:r>
        <w:rPr>
          <w:rFonts w:ascii="Times New Roman" w:hAnsi="Times New Roman"/>
          <w:sz w:val="24"/>
          <w:szCs w:val="24"/>
        </w:rPr>
        <w:tab/>
      </w:r>
      <w:r w:rsidRPr="0006742E" w:rsidR="0006742E">
        <w:rPr>
          <w:rFonts w:ascii="Times New Roman" w:hAnsi="Times New Roman"/>
          <w:b/>
          <w:sz w:val="24"/>
          <w:szCs w:val="24"/>
        </w:rPr>
        <w:t>Capital start-up or on-going operation and maintenance costs.</w:t>
      </w:r>
    </w:p>
    <w:p w:rsidRPr="00294D29" w:rsidR="00A35BD4" w:rsidP="00294D29" w:rsidRDefault="00A35BD4" w14:paraId="6E918F77" w14:textId="77777777">
      <w:pPr>
        <w:rPr>
          <w:rFonts w:ascii="Times New Roman" w:hAnsi="Times New Roman"/>
          <w:sz w:val="24"/>
          <w:szCs w:val="24"/>
        </w:rPr>
      </w:pPr>
    </w:p>
    <w:p w:rsidRPr="00294D29" w:rsidR="00A35BD4" w:rsidP="00887EF6" w:rsidRDefault="00892A84" w14:paraId="6139B46D" w14:textId="6CA0BE29">
      <w:pPr>
        <w:tabs>
          <w:tab w:val="left" w:pos="720"/>
        </w:tabs>
        <w:ind w:left="720" w:hanging="720"/>
        <w:rPr>
          <w:rFonts w:ascii="Times New Roman" w:hAnsi="Times New Roman"/>
          <w:sz w:val="24"/>
          <w:szCs w:val="24"/>
        </w:rPr>
      </w:pPr>
      <w:r w:rsidRPr="00294D29">
        <w:rPr>
          <w:rFonts w:ascii="Times New Roman" w:hAnsi="Times New Roman"/>
          <w:sz w:val="24"/>
          <w:szCs w:val="24"/>
        </w:rPr>
        <w:tab/>
      </w:r>
      <w:r w:rsidR="00887EF6">
        <w:rPr>
          <w:rFonts w:ascii="Times New Roman" w:hAnsi="Times New Roman"/>
          <w:sz w:val="24"/>
          <w:szCs w:val="24"/>
        </w:rPr>
        <w:t>There are no capital/start-up or ongoing operations and maintenance costs associated with this information collection</w:t>
      </w:r>
      <w:r w:rsidR="00606E4A">
        <w:rPr>
          <w:rFonts w:ascii="Times New Roman" w:hAnsi="Times New Roman"/>
          <w:sz w:val="24"/>
          <w:szCs w:val="24"/>
        </w:rPr>
        <w:t>.</w:t>
      </w:r>
      <w:r w:rsidR="00A05075">
        <w:rPr>
          <w:rFonts w:ascii="Times New Roman" w:hAnsi="Times New Roman"/>
          <w:sz w:val="24"/>
          <w:szCs w:val="24"/>
        </w:rPr>
        <w:t xml:space="preserve"> </w:t>
      </w:r>
    </w:p>
    <w:p w:rsidRPr="00294D29" w:rsidR="00A35BD4" w:rsidP="006339B2" w:rsidRDefault="00A35BD4" w14:paraId="7DCB9E86" w14:textId="77777777">
      <w:pPr>
        <w:tabs>
          <w:tab w:val="left" w:pos="720"/>
        </w:tabs>
        <w:ind w:left="720" w:hanging="720"/>
        <w:rPr>
          <w:rFonts w:ascii="Times New Roman" w:hAnsi="Times New Roman"/>
          <w:sz w:val="24"/>
          <w:szCs w:val="24"/>
        </w:rPr>
      </w:pPr>
    </w:p>
    <w:p w:rsidRPr="0006742E" w:rsidR="0006742E" w:rsidP="0006742E" w:rsidRDefault="006339B2" w14:paraId="37D1C5DC" w14:textId="77777777">
      <w:pPr>
        <w:rPr>
          <w:rFonts w:ascii="Times New Roman" w:hAnsi="Times New Roman"/>
          <w:b/>
          <w:sz w:val="24"/>
          <w:szCs w:val="24"/>
        </w:rPr>
      </w:pPr>
      <w:r w:rsidRPr="0006742E">
        <w:rPr>
          <w:rFonts w:ascii="Times New Roman" w:hAnsi="Times New Roman"/>
          <w:b/>
          <w:sz w:val="24"/>
          <w:szCs w:val="24"/>
        </w:rPr>
        <w:t>14.</w:t>
      </w:r>
      <w:r>
        <w:rPr>
          <w:rFonts w:ascii="Times New Roman" w:hAnsi="Times New Roman"/>
          <w:sz w:val="24"/>
          <w:szCs w:val="24"/>
        </w:rPr>
        <w:tab/>
      </w:r>
      <w:r w:rsidRPr="0006742E" w:rsidR="0006742E">
        <w:rPr>
          <w:rFonts w:ascii="Times New Roman" w:hAnsi="Times New Roman"/>
          <w:b/>
          <w:sz w:val="24"/>
          <w:szCs w:val="24"/>
        </w:rPr>
        <w:t>Annualized costs to Federal government.</w:t>
      </w:r>
    </w:p>
    <w:p w:rsidRPr="00294D29" w:rsidR="00A35BD4" w:rsidP="006339B2" w:rsidRDefault="00A35BD4" w14:paraId="57CA37C7" w14:textId="77777777">
      <w:pPr>
        <w:tabs>
          <w:tab w:val="left" w:pos="720"/>
        </w:tabs>
        <w:ind w:left="720" w:hanging="720"/>
        <w:rPr>
          <w:rFonts w:ascii="Times New Roman" w:hAnsi="Times New Roman"/>
          <w:sz w:val="24"/>
          <w:szCs w:val="24"/>
        </w:rPr>
      </w:pPr>
    </w:p>
    <w:p w:rsidRPr="00294D29" w:rsidR="00A35BD4" w:rsidP="006339B2" w:rsidRDefault="00A35BD4" w14:paraId="03CABA8B" w14:textId="7EF1D963">
      <w:pPr>
        <w:tabs>
          <w:tab w:val="left" w:pos="720"/>
        </w:tabs>
        <w:ind w:left="720" w:hanging="720"/>
        <w:rPr>
          <w:rFonts w:ascii="Times New Roman" w:hAnsi="Times New Roman"/>
          <w:sz w:val="24"/>
          <w:szCs w:val="24"/>
        </w:rPr>
      </w:pPr>
      <w:r w:rsidRPr="00294D29">
        <w:rPr>
          <w:rFonts w:ascii="Times New Roman" w:hAnsi="Times New Roman"/>
          <w:sz w:val="24"/>
          <w:szCs w:val="24"/>
        </w:rPr>
        <w:tab/>
      </w:r>
      <w:r w:rsidR="00F32C3E">
        <w:rPr>
          <w:rFonts w:ascii="Times New Roman" w:hAnsi="Times New Roman"/>
          <w:sz w:val="24"/>
          <w:szCs w:val="24"/>
        </w:rPr>
        <w:t xml:space="preserve">There is </w:t>
      </w:r>
      <w:r w:rsidR="000F1211">
        <w:rPr>
          <w:rFonts w:ascii="Times New Roman" w:hAnsi="Times New Roman"/>
          <w:sz w:val="24"/>
          <w:szCs w:val="24"/>
        </w:rPr>
        <w:t xml:space="preserve">no </w:t>
      </w:r>
      <w:r w:rsidRPr="00294D29" w:rsidR="000F1211">
        <w:rPr>
          <w:rFonts w:ascii="Times New Roman" w:hAnsi="Times New Roman"/>
          <w:sz w:val="24"/>
          <w:szCs w:val="24"/>
        </w:rPr>
        <w:t>cost</w:t>
      </w:r>
      <w:r w:rsidRPr="00294D29" w:rsidR="00892A84">
        <w:rPr>
          <w:rFonts w:ascii="Times New Roman" w:hAnsi="Times New Roman"/>
          <w:sz w:val="24"/>
          <w:szCs w:val="24"/>
        </w:rPr>
        <w:t xml:space="preserve"> to the </w:t>
      </w:r>
      <w:r w:rsidR="00F32C3E">
        <w:rPr>
          <w:rFonts w:ascii="Times New Roman" w:hAnsi="Times New Roman"/>
          <w:sz w:val="24"/>
          <w:szCs w:val="24"/>
        </w:rPr>
        <w:t>F</w:t>
      </w:r>
      <w:r w:rsidRPr="00294D29" w:rsidR="00892A84">
        <w:rPr>
          <w:rFonts w:ascii="Times New Roman" w:hAnsi="Times New Roman"/>
          <w:sz w:val="24"/>
          <w:szCs w:val="24"/>
        </w:rPr>
        <w:t>ederal government</w:t>
      </w:r>
      <w:r w:rsidRPr="00294D29">
        <w:rPr>
          <w:rFonts w:ascii="Times New Roman" w:hAnsi="Times New Roman"/>
          <w:sz w:val="24"/>
          <w:szCs w:val="24"/>
        </w:rPr>
        <w:t>.</w:t>
      </w:r>
    </w:p>
    <w:p w:rsidRPr="00294D29" w:rsidR="00A35BD4" w:rsidP="006339B2" w:rsidRDefault="00A35BD4" w14:paraId="13631388" w14:textId="77777777">
      <w:pPr>
        <w:tabs>
          <w:tab w:val="left" w:pos="720"/>
        </w:tabs>
        <w:ind w:left="720" w:hanging="720"/>
        <w:rPr>
          <w:rFonts w:ascii="Times New Roman" w:hAnsi="Times New Roman"/>
          <w:sz w:val="24"/>
          <w:szCs w:val="24"/>
        </w:rPr>
      </w:pPr>
    </w:p>
    <w:p w:rsidR="00A35BD4" w:rsidP="006339B2" w:rsidRDefault="006339B2" w14:paraId="5AF10240" w14:textId="7E635346">
      <w:pPr>
        <w:tabs>
          <w:tab w:val="left" w:pos="720"/>
        </w:tabs>
        <w:ind w:left="720" w:hanging="720"/>
        <w:rPr>
          <w:rFonts w:ascii="Times New Roman" w:hAnsi="Times New Roman"/>
          <w:b/>
          <w:sz w:val="24"/>
          <w:szCs w:val="24"/>
        </w:rPr>
      </w:pPr>
      <w:r w:rsidRPr="0006742E">
        <w:rPr>
          <w:rFonts w:ascii="Times New Roman" w:hAnsi="Times New Roman"/>
          <w:b/>
          <w:sz w:val="24"/>
          <w:szCs w:val="24"/>
        </w:rPr>
        <w:t>15.</w:t>
      </w:r>
      <w:r>
        <w:rPr>
          <w:rFonts w:ascii="Times New Roman" w:hAnsi="Times New Roman"/>
          <w:sz w:val="24"/>
          <w:szCs w:val="24"/>
        </w:rPr>
        <w:tab/>
      </w:r>
      <w:r w:rsidRPr="0006742E" w:rsidR="0006742E">
        <w:rPr>
          <w:rFonts w:ascii="Times New Roman" w:hAnsi="Times New Roman"/>
          <w:b/>
          <w:sz w:val="24"/>
          <w:szCs w:val="24"/>
        </w:rPr>
        <w:t>Changes in burden.</w:t>
      </w:r>
    </w:p>
    <w:p w:rsidR="00720E27" w:rsidP="000F1211" w:rsidRDefault="00720E27" w14:paraId="45EF49E1" w14:textId="4FC0CFA8">
      <w:pPr>
        <w:tabs>
          <w:tab w:val="left" w:pos="720"/>
        </w:tabs>
        <w:rPr>
          <w:rFonts w:ascii="Times New Roman" w:hAnsi="Times New Roman"/>
          <w:sz w:val="24"/>
          <w:szCs w:val="24"/>
        </w:rPr>
      </w:pPr>
    </w:p>
    <w:p w:rsidRPr="00A05075" w:rsidR="00B52777" w:rsidP="00AA0E50" w:rsidRDefault="002647A2" w14:paraId="6C62428E" w14:textId="758367E0">
      <w:pPr>
        <w:pStyle w:val="ListParagraph"/>
        <w:numPr>
          <w:ilvl w:val="0"/>
          <w:numId w:val="10"/>
        </w:numPr>
        <w:tabs>
          <w:tab w:val="left" w:pos="720"/>
        </w:tabs>
        <w:rPr>
          <w:rFonts w:ascii="Times New Roman" w:hAnsi="Times New Roman"/>
          <w:sz w:val="24"/>
          <w:szCs w:val="24"/>
        </w:rPr>
      </w:pPr>
      <w:r w:rsidRPr="00A05075">
        <w:rPr>
          <w:rFonts w:ascii="Times New Roman" w:hAnsi="Times New Roman"/>
          <w:sz w:val="24"/>
          <w:szCs w:val="24"/>
        </w:rPr>
        <w:t xml:space="preserve">Adjustments </w:t>
      </w:r>
      <w:r w:rsidR="00A05075">
        <w:rPr>
          <w:rFonts w:ascii="Times New Roman" w:hAnsi="Times New Roman"/>
          <w:sz w:val="24"/>
          <w:szCs w:val="24"/>
        </w:rPr>
        <w:t>were made</w:t>
      </w:r>
      <w:r w:rsidRPr="00A05075">
        <w:rPr>
          <w:rFonts w:ascii="Times New Roman" w:hAnsi="Times New Roman"/>
          <w:sz w:val="24"/>
          <w:szCs w:val="24"/>
        </w:rPr>
        <w:t xml:space="preserve"> to the number of respondents </w:t>
      </w:r>
      <w:r w:rsidRPr="00A05075" w:rsidR="00B52777">
        <w:rPr>
          <w:rFonts w:ascii="Times New Roman" w:hAnsi="Times New Roman"/>
          <w:sz w:val="24"/>
          <w:szCs w:val="24"/>
        </w:rPr>
        <w:t xml:space="preserve">to reflect a current </w:t>
      </w:r>
      <w:r w:rsidRPr="00A05075" w:rsidR="00A60C7A">
        <w:rPr>
          <w:rFonts w:ascii="Times New Roman" w:hAnsi="Times New Roman"/>
          <w:sz w:val="24"/>
          <w:szCs w:val="24"/>
        </w:rPr>
        <w:t>number of credit unions reporting.</w:t>
      </w:r>
    </w:p>
    <w:p w:rsidRPr="00A05075" w:rsidR="00B52777" w:rsidP="002647A2" w:rsidRDefault="00B52777" w14:paraId="15818C71" w14:textId="77777777">
      <w:pPr>
        <w:tabs>
          <w:tab w:val="left" w:pos="720"/>
        </w:tabs>
        <w:ind w:left="720"/>
        <w:rPr>
          <w:rFonts w:ascii="Times New Roman" w:hAnsi="Times New Roman"/>
          <w:sz w:val="24"/>
          <w:szCs w:val="24"/>
        </w:rPr>
      </w:pPr>
    </w:p>
    <w:p w:rsidRPr="00A05075" w:rsidR="003F3FA6" w:rsidP="00AA0E50" w:rsidRDefault="00B52777" w14:paraId="57845934" w14:textId="586BF8FA">
      <w:pPr>
        <w:pStyle w:val="ListParagraph"/>
        <w:numPr>
          <w:ilvl w:val="0"/>
          <w:numId w:val="10"/>
        </w:numPr>
        <w:tabs>
          <w:tab w:val="left" w:pos="720"/>
        </w:tabs>
        <w:rPr>
          <w:rFonts w:ascii="Times New Roman" w:hAnsi="Times New Roman"/>
          <w:sz w:val="24"/>
          <w:szCs w:val="24"/>
        </w:rPr>
      </w:pPr>
      <w:r w:rsidRPr="00A05075">
        <w:rPr>
          <w:rFonts w:ascii="Times New Roman" w:hAnsi="Times New Roman"/>
          <w:sz w:val="24"/>
          <w:szCs w:val="24"/>
        </w:rPr>
        <w:t xml:space="preserve">Adjustment </w:t>
      </w:r>
      <w:r w:rsidR="00A05075">
        <w:rPr>
          <w:rFonts w:ascii="Times New Roman" w:hAnsi="Times New Roman"/>
          <w:sz w:val="24"/>
          <w:szCs w:val="24"/>
        </w:rPr>
        <w:t>were also made</w:t>
      </w:r>
      <w:r w:rsidRPr="00A05075">
        <w:rPr>
          <w:rFonts w:ascii="Times New Roman" w:hAnsi="Times New Roman"/>
          <w:sz w:val="24"/>
          <w:szCs w:val="24"/>
        </w:rPr>
        <w:t xml:space="preserve"> to </w:t>
      </w:r>
      <w:r w:rsidRPr="00A05075" w:rsidR="00A60C7A">
        <w:rPr>
          <w:rFonts w:ascii="Times New Roman" w:hAnsi="Times New Roman"/>
          <w:sz w:val="24"/>
          <w:szCs w:val="24"/>
        </w:rPr>
        <w:t>the number of SAR reports filed by credit unions annually (</w:t>
      </w:r>
      <w:r w:rsidRPr="00A05075" w:rsidR="002647A2">
        <w:rPr>
          <w:rFonts w:ascii="Times New Roman" w:hAnsi="Times New Roman"/>
          <w:sz w:val="24"/>
          <w:szCs w:val="24"/>
        </w:rPr>
        <w:t>frequency</w:t>
      </w:r>
      <w:r w:rsidRPr="00A05075" w:rsidR="00A60C7A">
        <w:rPr>
          <w:rFonts w:ascii="Times New Roman" w:hAnsi="Times New Roman"/>
          <w:sz w:val="24"/>
          <w:szCs w:val="24"/>
        </w:rPr>
        <w:t xml:space="preserve">). </w:t>
      </w:r>
      <w:r w:rsidRPr="00A05075" w:rsidR="00FB0BE3">
        <w:rPr>
          <w:rFonts w:ascii="Times New Roman" w:hAnsi="Times New Roman"/>
          <w:sz w:val="24"/>
          <w:szCs w:val="24"/>
        </w:rPr>
        <w:t xml:space="preserve"> </w:t>
      </w:r>
      <w:r w:rsidRPr="00A05075" w:rsidR="003F3FA6">
        <w:rPr>
          <w:rFonts w:ascii="Times New Roman" w:hAnsi="Times New Roman"/>
          <w:sz w:val="24"/>
          <w:szCs w:val="24"/>
        </w:rPr>
        <w:t xml:space="preserve">In NCUA’s </w:t>
      </w:r>
      <w:r w:rsidRPr="00A05075" w:rsidR="00606E4A">
        <w:rPr>
          <w:rFonts w:ascii="Times New Roman" w:hAnsi="Times New Roman"/>
          <w:sz w:val="24"/>
          <w:szCs w:val="24"/>
        </w:rPr>
        <w:t xml:space="preserve">2016 </w:t>
      </w:r>
      <w:r w:rsidRPr="00A05075" w:rsidR="00FB0BE3">
        <w:rPr>
          <w:rFonts w:ascii="Times New Roman" w:hAnsi="Times New Roman"/>
          <w:sz w:val="24"/>
          <w:szCs w:val="24"/>
        </w:rPr>
        <w:t xml:space="preserve">request </w:t>
      </w:r>
      <w:r w:rsidRPr="00A05075" w:rsidR="003F3FA6">
        <w:rPr>
          <w:rFonts w:ascii="Times New Roman" w:hAnsi="Times New Roman"/>
          <w:sz w:val="24"/>
          <w:szCs w:val="24"/>
        </w:rPr>
        <w:t>to OMB, it was reported that</w:t>
      </w:r>
      <w:r w:rsidRPr="00A05075" w:rsidR="00EB7309">
        <w:rPr>
          <w:rFonts w:ascii="Times New Roman" w:hAnsi="Times New Roman"/>
          <w:sz w:val="24"/>
          <w:szCs w:val="24"/>
        </w:rPr>
        <w:t xml:space="preserve"> </w:t>
      </w:r>
      <w:r w:rsidRPr="00A05075" w:rsidR="003F3FA6">
        <w:rPr>
          <w:rFonts w:ascii="Times New Roman" w:hAnsi="Times New Roman"/>
          <w:sz w:val="24"/>
          <w:szCs w:val="24"/>
        </w:rPr>
        <w:t>77,972 SARs were filed by credit unions</w:t>
      </w:r>
      <w:r w:rsidRPr="00A05075" w:rsidR="00A60C7A">
        <w:rPr>
          <w:rFonts w:ascii="Times New Roman" w:hAnsi="Times New Roman"/>
          <w:sz w:val="24"/>
          <w:szCs w:val="24"/>
        </w:rPr>
        <w:t xml:space="preserve"> annually</w:t>
      </w:r>
      <w:r w:rsidRPr="00A05075" w:rsidR="00FB0BE3">
        <w:rPr>
          <w:rFonts w:ascii="Times New Roman" w:hAnsi="Times New Roman"/>
          <w:sz w:val="24"/>
          <w:szCs w:val="24"/>
        </w:rPr>
        <w:t>; h</w:t>
      </w:r>
      <w:r w:rsidRPr="00A05075" w:rsidR="003F3FA6">
        <w:rPr>
          <w:rFonts w:ascii="Times New Roman" w:hAnsi="Times New Roman"/>
          <w:sz w:val="24"/>
          <w:szCs w:val="24"/>
        </w:rPr>
        <w:t xml:space="preserve">owever, </w:t>
      </w:r>
      <w:r w:rsidRPr="00A05075" w:rsidR="00FB0BE3">
        <w:rPr>
          <w:rFonts w:ascii="Times New Roman" w:hAnsi="Times New Roman"/>
          <w:sz w:val="24"/>
          <w:szCs w:val="24"/>
        </w:rPr>
        <w:t xml:space="preserve">it has </w:t>
      </w:r>
      <w:r w:rsidRPr="00A05075" w:rsidR="00E42A2D">
        <w:rPr>
          <w:rFonts w:ascii="Times New Roman" w:hAnsi="Times New Roman"/>
          <w:sz w:val="24"/>
          <w:szCs w:val="24"/>
        </w:rPr>
        <w:t xml:space="preserve">been </w:t>
      </w:r>
      <w:r w:rsidRPr="00A05075" w:rsidR="003F3FA6">
        <w:rPr>
          <w:rFonts w:ascii="Times New Roman" w:hAnsi="Times New Roman"/>
          <w:sz w:val="24"/>
          <w:szCs w:val="24"/>
        </w:rPr>
        <w:t xml:space="preserve">determined that this </w:t>
      </w:r>
      <w:r w:rsidRPr="00A05075" w:rsidR="003F3FA6">
        <w:rPr>
          <w:rFonts w:ascii="Times New Roman" w:hAnsi="Times New Roman"/>
          <w:sz w:val="24"/>
          <w:szCs w:val="24"/>
        </w:rPr>
        <w:lastRenderedPageBreak/>
        <w:t xml:space="preserve">amount was </w:t>
      </w:r>
      <w:r w:rsidRPr="00A05075">
        <w:rPr>
          <w:rFonts w:ascii="Times New Roman" w:hAnsi="Times New Roman"/>
          <w:sz w:val="24"/>
          <w:szCs w:val="24"/>
        </w:rPr>
        <w:t xml:space="preserve">incorrectly </w:t>
      </w:r>
      <w:r w:rsidRPr="00A05075" w:rsidR="002647A2">
        <w:rPr>
          <w:rFonts w:ascii="Times New Roman" w:hAnsi="Times New Roman"/>
          <w:sz w:val="24"/>
          <w:szCs w:val="24"/>
        </w:rPr>
        <w:t>reported</w:t>
      </w:r>
      <w:r w:rsidRPr="00A05075" w:rsidR="003F3FA6">
        <w:rPr>
          <w:rFonts w:ascii="Times New Roman" w:hAnsi="Times New Roman"/>
          <w:sz w:val="24"/>
          <w:szCs w:val="24"/>
        </w:rPr>
        <w:t xml:space="preserve"> due to miscalculations. </w:t>
      </w:r>
      <w:r w:rsidRPr="00A05075" w:rsidR="00FB0BE3">
        <w:rPr>
          <w:rFonts w:ascii="Times New Roman" w:hAnsi="Times New Roman"/>
          <w:sz w:val="24"/>
          <w:szCs w:val="24"/>
        </w:rPr>
        <w:t xml:space="preserve"> </w:t>
      </w:r>
      <w:r w:rsidRPr="00A05075" w:rsidR="00A60C7A">
        <w:rPr>
          <w:rFonts w:ascii="Times New Roman" w:hAnsi="Times New Roman"/>
          <w:sz w:val="24"/>
          <w:szCs w:val="24"/>
        </w:rPr>
        <w:t>T</w:t>
      </w:r>
      <w:r w:rsidRPr="00A05075" w:rsidR="003F3FA6">
        <w:rPr>
          <w:rFonts w:ascii="Times New Roman" w:hAnsi="Times New Roman"/>
          <w:sz w:val="24"/>
          <w:szCs w:val="24"/>
        </w:rPr>
        <w:t xml:space="preserve">he correct </w:t>
      </w:r>
      <w:r w:rsidRPr="00A05075" w:rsidR="00A60C7A">
        <w:rPr>
          <w:rFonts w:ascii="Times New Roman" w:hAnsi="Times New Roman"/>
          <w:sz w:val="24"/>
          <w:szCs w:val="24"/>
        </w:rPr>
        <w:t xml:space="preserve">total number of responses per respondent is being reported as </w:t>
      </w:r>
      <w:r w:rsidRPr="00A05075" w:rsidR="00AA0E50">
        <w:rPr>
          <w:rFonts w:ascii="Times New Roman" w:hAnsi="Times New Roman"/>
          <w:sz w:val="24"/>
          <w:szCs w:val="24"/>
        </w:rPr>
        <w:t>188,087, for a total of 191,019 burden hours requested.</w:t>
      </w:r>
    </w:p>
    <w:p w:rsidRPr="00294D29" w:rsidR="003D71BE" w:rsidP="006339B2" w:rsidRDefault="003D71BE" w14:paraId="2D475867" w14:textId="77777777">
      <w:pPr>
        <w:tabs>
          <w:tab w:val="left" w:pos="720"/>
        </w:tabs>
        <w:ind w:left="720" w:hanging="720"/>
        <w:rPr>
          <w:rFonts w:ascii="Times New Roman" w:hAnsi="Times New Roman"/>
          <w:sz w:val="24"/>
          <w:szCs w:val="24"/>
        </w:rPr>
      </w:pPr>
    </w:p>
    <w:p w:rsidR="00A35BD4" w:rsidP="006339B2" w:rsidRDefault="006339B2" w14:paraId="25172250" w14:textId="5ABE2805">
      <w:pPr>
        <w:tabs>
          <w:tab w:val="left" w:pos="720"/>
        </w:tabs>
        <w:ind w:left="720" w:hanging="720"/>
        <w:rPr>
          <w:rFonts w:ascii="Times New Roman" w:hAnsi="Times New Roman"/>
          <w:b/>
          <w:sz w:val="24"/>
          <w:szCs w:val="24"/>
        </w:rPr>
      </w:pPr>
      <w:r w:rsidRPr="00655FDE">
        <w:rPr>
          <w:rFonts w:ascii="Times New Roman" w:hAnsi="Times New Roman"/>
          <w:b/>
          <w:sz w:val="24"/>
          <w:szCs w:val="24"/>
        </w:rPr>
        <w:t>16.</w:t>
      </w:r>
      <w:r>
        <w:rPr>
          <w:rFonts w:ascii="Times New Roman" w:hAnsi="Times New Roman"/>
          <w:sz w:val="24"/>
          <w:szCs w:val="24"/>
        </w:rPr>
        <w:tab/>
      </w:r>
      <w:r w:rsidRPr="00655FDE" w:rsidR="00655FDE">
        <w:rPr>
          <w:rFonts w:ascii="Times New Roman" w:hAnsi="Times New Roman"/>
          <w:b/>
          <w:sz w:val="24"/>
          <w:szCs w:val="24"/>
        </w:rPr>
        <w:t>Information collection planned for statistical purposes.</w:t>
      </w:r>
    </w:p>
    <w:p w:rsidRPr="00294D29" w:rsidR="00A35BD4" w:rsidP="006339B2" w:rsidRDefault="00A35BD4" w14:paraId="038C2810" w14:textId="77777777">
      <w:pPr>
        <w:tabs>
          <w:tab w:val="left" w:pos="720"/>
        </w:tabs>
        <w:ind w:left="720" w:hanging="720"/>
        <w:rPr>
          <w:rFonts w:ascii="Times New Roman" w:hAnsi="Times New Roman"/>
          <w:sz w:val="24"/>
          <w:szCs w:val="24"/>
        </w:rPr>
      </w:pPr>
    </w:p>
    <w:p w:rsidRPr="00294D29" w:rsidR="00A35BD4" w:rsidP="006339B2" w:rsidRDefault="00A35BD4" w14:paraId="32E9AEDA" w14:textId="1FF2E49B">
      <w:pPr>
        <w:tabs>
          <w:tab w:val="left" w:pos="720"/>
        </w:tabs>
        <w:ind w:left="720" w:hanging="720"/>
        <w:rPr>
          <w:rFonts w:ascii="Times New Roman" w:hAnsi="Times New Roman"/>
          <w:sz w:val="24"/>
          <w:szCs w:val="24"/>
        </w:rPr>
      </w:pPr>
      <w:r w:rsidRPr="00294D29">
        <w:rPr>
          <w:rFonts w:ascii="Times New Roman" w:hAnsi="Times New Roman"/>
          <w:sz w:val="24"/>
          <w:szCs w:val="24"/>
        </w:rPr>
        <w:tab/>
      </w:r>
      <w:r w:rsidR="00F30D22">
        <w:rPr>
          <w:rFonts w:ascii="Times New Roman" w:hAnsi="Times New Roman"/>
          <w:sz w:val="24"/>
          <w:szCs w:val="24"/>
        </w:rPr>
        <w:t>The information is not planned for publication.</w:t>
      </w:r>
    </w:p>
    <w:p w:rsidRPr="00294D29" w:rsidR="00A35BD4" w:rsidP="006339B2" w:rsidRDefault="00A35BD4" w14:paraId="49E5AE25" w14:textId="77777777">
      <w:pPr>
        <w:tabs>
          <w:tab w:val="left" w:pos="720"/>
        </w:tabs>
        <w:ind w:left="720" w:hanging="720"/>
        <w:rPr>
          <w:rFonts w:ascii="Times New Roman" w:hAnsi="Times New Roman"/>
          <w:sz w:val="24"/>
          <w:szCs w:val="24"/>
        </w:rPr>
      </w:pPr>
    </w:p>
    <w:p w:rsidR="00A35BD4" w:rsidP="006339B2" w:rsidRDefault="006339B2" w14:paraId="0B56B030" w14:textId="140D046D">
      <w:pPr>
        <w:tabs>
          <w:tab w:val="left" w:pos="720"/>
        </w:tabs>
        <w:ind w:left="720" w:hanging="720"/>
        <w:rPr>
          <w:rFonts w:ascii="Times New Roman" w:hAnsi="Times New Roman"/>
          <w:b/>
          <w:sz w:val="24"/>
          <w:szCs w:val="24"/>
        </w:rPr>
      </w:pPr>
      <w:r w:rsidRPr="00655FDE">
        <w:rPr>
          <w:rFonts w:ascii="Times New Roman" w:hAnsi="Times New Roman"/>
          <w:b/>
          <w:sz w:val="24"/>
          <w:szCs w:val="24"/>
        </w:rPr>
        <w:t>17.</w:t>
      </w:r>
      <w:r>
        <w:rPr>
          <w:rFonts w:ascii="Times New Roman" w:hAnsi="Times New Roman"/>
          <w:sz w:val="24"/>
          <w:szCs w:val="24"/>
        </w:rPr>
        <w:tab/>
      </w:r>
      <w:r w:rsidRPr="00663D44" w:rsidR="00655FDE">
        <w:rPr>
          <w:rFonts w:ascii="Times New Roman" w:hAnsi="Times New Roman"/>
          <w:b/>
          <w:sz w:val="24"/>
          <w:szCs w:val="24"/>
        </w:rPr>
        <w:t>Request non-display the expiration date of the OMB control number.</w:t>
      </w:r>
    </w:p>
    <w:p w:rsidRPr="00294D29" w:rsidR="00A35BD4" w:rsidP="006339B2" w:rsidRDefault="00A35BD4" w14:paraId="17B1E6C0" w14:textId="77777777">
      <w:pPr>
        <w:tabs>
          <w:tab w:val="left" w:pos="720"/>
        </w:tabs>
        <w:ind w:left="720" w:hanging="720"/>
        <w:rPr>
          <w:rFonts w:ascii="Times New Roman" w:hAnsi="Times New Roman"/>
          <w:sz w:val="24"/>
          <w:szCs w:val="24"/>
        </w:rPr>
      </w:pPr>
    </w:p>
    <w:p w:rsidRPr="00294D29" w:rsidR="00A35BD4" w:rsidP="006339B2" w:rsidRDefault="00A35BD4" w14:paraId="1EEE07E7" w14:textId="2CFE3C56">
      <w:pPr>
        <w:tabs>
          <w:tab w:val="left" w:pos="720"/>
        </w:tabs>
        <w:ind w:left="720" w:hanging="720"/>
        <w:rPr>
          <w:rFonts w:ascii="Times New Roman" w:hAnsi="Times New Roman"/>
          <w:sz w:val="24"/>
          <w:szCs w:val="24"/>
          <w:u w:val="single"/>
        </w:rPr>
      </w:pPr>
      <w:r w:rsidRPr="00294D29">
        <w:rPr>
          <w:rFonts w:ascii="Times New Roman" w:hAnsi="Times New Roman"/>
          <w:sz w:val="24"/>
          <w:szCs w:val="24"/>
        </w:rPr>
        <w:tab/>
      </w:r>
      <w:r w:rsidR="00F30D22">
        <w:rPr>
          <w:rFonts w:ascii="Times New Roman" w:hAnsi="Times New Roman"/>
          <w:sz w:val="24"/>
          <w:szCs w:val="24"/>
        </w:rPr>
        <w:t>Not applicable.</w:t>
      </w:r>
    </w:p>
    <w:p w:rsidRPr="00294D29" w:rsidR="00A35BD4" w:rsidP="006339B2" w:rsidRDefault="00A35BD4" w14:paraId="2CB1EC94" w14:textId="77777777">
      <w:pPr>
        <w:tabs>
          <w:tab w:val="left" w:pos="720"/>
        </w:tabs>
        <w:ind w:left="720" w:hanging="720"/>
        <w:rPr>
          <w:rFonts w:ascii="Times New Roman" w:hAnsi="Times New Roman"/>
          <w:sz w:val="24"/>
          <w:szCs w:val="24"/>
        </w:rPr>
      </w:pPr>
    </w:p>
    <w:p w:rsidRPr="00294D29" w:rsidR="00A35BD4" w:rsidP="006339B2" w:rsidRDefault="006339B2" w14:paraId="40CDC46E" w14:textId="6856ED91">
      <w:pPr>
        <w:tabs>
          <w:tab w:val="left" w:pos="720"/>
        </w:tabs>
        <w:ind w:left="720" w:hanging="720"/>
        <w:rPr>
          <w:rFonts w:ascii="Times New Roman" w:hAnsi="Times New Roman"/>
          <w:sz w:val="24"/>
          <w:szCs w:val="24"/>
        </w:rPr>
      </w:pPr>
      <w:r w:rsidRPr="00D07B5B">
        <w:rPr>
          <w:rFonts w:ascii="Times New Roman" w:hAnsi="Times New Roman"/>
          <w:b/>
          <w:sz w:val="24"/>
          <w:szCs w:val="24"/>
        </w:rPr>
        <w:t>18.</w:t>
      </w:r>
      <w:r w:rsidRPr="00D07B5B">
        <w:rPr>
          <w:rFonts w:ascii="Times New Roman" w:hAnsi="Times New Roman"/>
          <w:b/>
          <w:sz w:val="24"/>
          <w:szCs w:val="24"/>
        </w:rPr>
        <w:tab/>
      </w:r>
      <w:r w:rsidRPr="00E02221" w:rsidR="00A35BD4">
        <w:rPr>
          <w:rFonts w:ascii="Times New Roman" w:hAnsi="Times New Roman"/>
          <w:b/>
          <w:sz w:val="24"/>
          <w:szCs w:val="24"/>
        </w:rPr>
        <w:t>Exceptions</w:t>
      </w:r>
      <w:r w:rsidRPr="00655FDE" w:rsidR="00655FDE">
        <w:rPr>
          <w:rFonts w:ascii="Times New Roman" w:hAnsi="Times New Roman"/>
          <w:b/>
          <w:sz w:val="24"/>
          <w:szCs w:val="24"/>
        </w:rPr>
        <w:t xml:space="preserve"> to the Certification for Paperwork Reduction Act Submission</w:t>
      </w:r>
      <w:r w:rsidRPr="00655FDE" w:rsidR="00A35BD4">
        <w:rPr>
          <w:rFonts w:ascii="Times New Roman" w:hAnsi="Times New Roman"/>
          <w:b/>
          <w:sz w:val="24"/>
          <w:szCs w:val="24"/>
        </w:rPr>
        <w:t>.</w:t>
      </w:r>
    </w:p>
    <w:p w:rsidRPr="00294D29" w:rsidR="00A35BD4" w:rsidP="00294D29" w:rsidRDefault="00A35BD4" w14:paraId="30F5818F" w14:textId="77777777">
      <w:pPr>
        <w:rPr>
          <w:rFonts w:ascii="Times New Roman" w:hAnsi="Times New Roman"/>
          <w:sz w:val="24"/>
          <w:szCs w:val="24"/>
        </w:rPr>
      </w:pPr>
    </w:p>
    <w:p w:rsidRPr="00294D29" w:rsidR="00A35BD4" w:rsidP="00294D29" w:rsidRDefault="00A35BD4" w14:paraId="55781D5F" w14:textId="5D517FE6">
      <w:pPr>
        <w:rPr>
          <w:rFonts w:ascii="Times New Roman" w:hAnsi="Times New Roman"/>
          <w:sz w:val="24"/>
          <w:szCs w:val="24"/>
        </w:rPr>
      </w:pPr>
      <w:r w:rsidRPr="00294D29">
        <w:rPr>
          <w:rFonts w:ascii="Times New Roman" w:hAnsi="Times New Roman"/>
          <w:sz w:val="24"/>
          <w:szCs w:val="24"/>
        </w:rPr>
        <w:tab/>
      </w:r>
      <w:r w:rsidR="00CD4793">
        <w:rPr>
          <w:rFonts w:ascii="Times New Roman" w:hAnsi="Times New Roman"/>
          <w:sz w:val="24"/>
          <w:szCs w:val="24"/>
        </w:rPr>
        <w:t>There are no exceptions to the certification statement</w:t>
      </w:r>
      <w:r w:rsidRPr="00294D29">
        <w:rPr>
          <w:rFonts w:ascii="Times New Roman" w:hAnsi="Times New Roman"/>
          <w:sz w:val="24"/>
          <w:szCs w:val="24"/>
        </w:rPr>
        <w:t>.</w:t>
      </w:r>
    </w:p>
    <w:p w:rsidR="00A35BD4" w:rsidP="00294D29" w:rsidRDefault="00A35BD4" w14:paraId="7C0B97DB" w14:textId="4BB1BB56">
      <w:pPr>
        <w:rPr>
          <w:rFonts w:ascii="Times New Roman" w:hAnsi="Times New Roman"/>
          <w:sz w:val="24"/>
          <w:szCs w:val="24"/>
        </w:rPr>
      </w:pPr>
    </w:p>
    <w:p w:rsidR="00D45247" w:rsidP="00294D29" w:rsidRDefault="00D45247" w14:paraId="7C6CB37F" w14:textId="77777777">
      <w:pPr>
        <w:rPr>
          <w:rFonts w:ascii="Times New Roman" w:hAnsi="Times New Roman"/>
          <w:sz w:val="24"/>
          <w:szCs w:val="24"/>
        </w:rPr>
      </w:pPr>
    </w:p>
    <w:p w:rsidR="00CD4793" w:rsidP="00294D29" w:rsidRDefault="00CD4793" w14:paraId="603C4E06" w14:textId="77777777">
      <w:pPr>
        <w:rPr>
          <w:rFonts w:ascii="Times New Roman" w:hAnsi="Times New Roman"/>
          <w:sz w:val="24"/>
          <w:szCs w:val="24"/>
        </w:rPr>
      </w:pPr>
    </w:p>
    <w:p w:rsidRPr="00162AD3" w:rsidR="00CD4793" w:rsidP="00CD4793" w:rsidRDefault="00CD4793" w14:paraId="4981A9DC" w14:textId="30B4A96A">
      <w:pPr>
        <w:tabs>
          <w:tab w:val="left" w:pos="-1440"/>
        </w:tabs>
        <w:ind w:left="720" w:hanging="720"/>
        <w:rPr>
          <w:rFonts w:ascii="Times New Roman" w:hAnsi="Times New Roman"/>
          <w:sz w:val="24"/>
          <w:u w:val="single"/>
        </w:rPr>
      </w:pPr>
      <w:r w:rsidRPr="00162AD3">
        <w:rPr>
          <w:rFonts w:ascii="Times New Roman" w:hAnsi="Times New Roman"/>
          <w:sz w:val="24"/>
        </w:rPr>
        <w:t>B.</w:t>
      </w:r>
      <w:r w:rsidRPr="00162AD3">
        <w:rPr>
          <w:rFonts w:ascii="Times New Roman" w:hAnsi="Times New Roman"/>
          <w:sz w:val="24"/>
        </w:rPr>
        <w:tab/>
      </w:r>
      <w:r w:rsidRPr="00655FDE" w:rsidR="00655FDE">
        <w:rPr>
          <w:rFonts w:ascii="Times New Roman" w:hAnsi="Times New Roman"/>
          <w:b/>
          <w:sz w:val="24"/>
        </w:rPr>
        <w:t>Collections of Information Employing Statistical Methods.</w:t>
      </w:r>
    </w:p>
    <w:p w:rsidRPr="00162AD3" w:rsidR="00CD4793" w:rsidP="00CD4793" w:rsidRDefault="00CD4793" w14:paraId="0E5E39B0" w14:textId="77777777">
      <w:pPr>
        <w:rPr>
          <w:rFonts w:ascii="Times New Roman" w:hAnsi="Times New Roman"/>
          <w:sz w:val="24"/>
          <w:u w:val="single"/>
        </w:rPr>
      </w:pPr>
    </w:p>
    <w:p w:rsidRPr="00162AD3" w:rsidR="00CD4793" w:rsidP="00CD4793" w:rsidRDefault="00CD4793" w14:paraId="4FD7C378" w14:textId="048A2981">
      <w:pPr>
        <w:rPr>
          <w:rFonts w:ascii="Times New Roman" w:hAnsi="Times New Roman"/>
          <w:sz w:val="24"/>
        </w:rPr>
      </w:pPr>
      <w:r>
        <w:rPr>
          <w:rFonts w:ascii="Times New Roman" w:hAnsi="Times New Roman"/>
          <w:sz w:val="24"/>
        </w:rPr>
        <w:tab/>
      </w:r>
      <w:r w:rsidRPr="00162AD3">
        <w:rPr>
          <w:rFonts w:ascii="Times New Roman" w:hAnsi="Times New Roman"/>
          <w:sz w:val="24"/>
        </w:rPr>
        <w:t>This collection does not employ statistical methods.</w:t>
      </w:r>
    </w:p>
    <w:p w:rsidRPr="00294D29" w:rsidR="00CD4793" w:rsidP="00294D29" w:rsidRDefault="00CD4793" w14:paraId="55EFD725" w14:textId="77777777">
      <w:pPr>
        <w:rPr>
          <w:rFonts w:ascii="Times New Roman" w:hAnsi="Times New Roman"/>
          <w:sz w:val="24"/>
          <w:szCs w:val="24"/>
        </w:rPr>
      </w:pPr>
    </w:p>
    <w:sectPr w:rsidRPr="00294D29" w:rsidR="00CD4793" w:rsidSect="006339B2">
      <w:headerReference w:type="default" r:id="rId14"/>
      <w:footerReference w:type="even" r:id="rId15"/>
      <w:footerReference w:type="default" r:id="rId16"/>
      <w:footerReference w:type="first" r:id="rId17"/>
      <w:endnotePr>
        <w:numFmt w:val="decimal"/>
      </w:endnotePr>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BDC05" w14:textId="77777777" w:rsidR="00101071" w:rsidRDefault="00101071">
      <w:r>
        <w:separator/>
      </w:r>
    </w:p>
  </w:endnote>
  <w:endnote w:type="continuationSeparator" w:id="0">
    <w:p w14:paraId="60585A1B" w14:textId="77777777" w:rsidR="00101071" w:rsidRDefault="0010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DBC5" w14:textId="77777777" w:rsidR="00001D0B" w:rsidRDefault="00001D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2BD994" w14:textId="77777777" w:rsidR="00001D0B" w:rsidRDefault="00001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686ED" w14:textId="35274DBC" w:rsidR="00001D0B" w:rsidRPr="006339B2" w:rsidRDefault="007A05FF" w:rsidP="006339B2">
    <w:pPr>
      <w:pStyle w:val="Footer"/>
      <w:tabs>
        <w:tab w:val="clear" w:pos="8640"/>
        <w:tab w:val="right" w:pos="9360"/>
      </w:tabs>
      <w:rPr>
        <w:rFonts w:ascii="Times New Roman" w:hAnsi="Times New Roman"/>
        <w:noProof/>
        <w:sz w:val="24"/>
        <w:szCs w:val="24"/>
      </w:rPr>
    </w:pPr>
    <w:r>
      <w:rPr>
        <w:rFonts w:ascii="Times New Roman" w:hAnsi="Times New Roman"/>
        <w:i/>
        <w:sz w:val="24"/>
        <w:szCs w:val="24"/>
      </w:rPr>
      <w:t xml:space="preserve">OMB No. </w:t>
    </w:r>
    <w:r w:rsidR="006339B2" w:rsidRPr="006339B2">
      <w:rPr>
        <w:rFonts w:ascii="Times New Roman" w:hAnsi="Times New Roman"/>
        <w:i/>
        <w:sz w:val="24"/>
        <w:szCs w:val="24"/>
      </w:rPr>
      <w:t xml:space="preserve">3133-0094; </w:t>
    </w:r>
    <w:r w:rsidR="000531B7">
      <w:rPr>
        <w:rFonts w:ascii="Times New Roman" w:hAnsi="Times New Roman"/>
        <w:i/>
        <w:sz w:val="24"/>
        <w:szCs w:val="24"/>
      </w:rPr>
      <w:t>MARCH 2020</w:t>
    </w:r>
    <w:r w:rsidR="006339B2" w:rsidRPr="006339B2">
      <w:rPr>
        <w:rFonts w:ascii="Times New Roman" w:hAnsi="Times New Roman"/>
        <w:sz w:val="24"/>
        <w:szCs w:val="24"/>
      </w:rPr>
      <w:tab/>
    </w:r>
    <w:r w:rsidR="006339B2" w:rsidRPr="006339B2">
      <w:rPr>
        <w:rFonts w:ascii="Times New Roman" w:hAnsi="Times New Roman"/>
        <w:sz w:val="24"/>
        <w:szCs w:val="24"/>
      </w:rPr>
      <w:tab/>
    </w:r>
    <w:r w:rsidR="006339B2" w:rsidRPr="006339B2">
      <w:rPr>
        <w:rFonts w:ascii="Times New Roman" w:hAnsi="Times New Roman"/>
        <w:sz w:val="24"/>
        <w:szCs w:val="24"/>
      </w:rPr>
      <w:fldChar w:fldCharType="begin"/>
    </w:r>
    <w:r w:rsidR="006339B2" w:rsidRPr="006339B2">
      <w:rPr>
        <w:rFonts w:ascii="Times New Roman" w:hAnsi="Times New Roman"/>
        <w:sz w:val="24"/>
        <w:szCs w:val="24"/>
      </w:rPr>
      <w:instrText xml:space="preserve"> PAGE   \* MERGEFORMAT </w:instrText>
    </w:r>
    <w:r w:rsidR="006339B2" w:rsidRPr="006339B2">
      <w:rPr>
        <w:rFonts w:ascii="Times New Roman" w:hAnsi="Times New Roman"/>
        <w:sz w:val="24"/>
        <w:szCs w:val="24"/>
      </w:rPr>
      <w:fldChar w:fldCharType="separate"/>
    </w:r>
    <w:r w:rsidR="00D73558">
      <w:rPr>
        <w:rFonts w:ascii="Times New Roman" w:hAnsi="Times New Roman"/>
        <w:noProof/>
        <w:sz w:val="24"/>
        <w:szCs w:val="24"/>
      </w:rPr>
      <w:t>1</w:t>
    </w:r>
    <w:r w:rsidR="006339B2" w:rsidRPr="006339B2">
      <w:rPr>
        <w:rFonts w:ascii="Times New Roman" w:hAnsi="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3E907" w14:textId="77777777" w:rsidR="006339B2" w:rsidRPr="006339B2" w:rsidRDefault="006339B2" w:rsidP="006339B2">
    <w:pPr>
      <w:pStyle w:val="Footer"/>
      <w:tabs>
        <w:tab w:val="clear" w:pos="8640"/>
        <w:tab w:val="right" w:pos="9360"/>
      </w:tabs>
      <w:rPr>
        <w:rFonts w:ascii="Times New Roman" w:hAnsi="Times New Roman"/>
        <w:sz w:val="24"/>
        <w:szCs w:val="24"/>
      </w:rPr>
    </w:pPr>
    <w:r w:rsidRPr="006339B2">
      <w:rPr>
        <w:rFonts w:ascii="Times New Roman" w:hAnsi="Times New Roman"/>
        <w:i/>
        <w:sz w:val="24"/>
        <w:szCs w:val="24"/>
      </w:rPr>
      <w:t>#3133-0094; June 2016 DRAFT</w:t>
    </w:r>
    <w:r w:rsidRPr="006339B2">
      <w:rPr>
        <w:rFonts w:ascii="Times New Roman" w:hAnsi="Times New Roman"/>
        <w:sz w:val="24"/>
        <w:szCs w:val="24"/>
      </w:rPr>
      <w:tab/>
    </w:r>
    <w:r w:rsidRPr="006339B2">
      <w:rPr>
        <w:rFonts w:ascii="Times New Roman" w:hAnsi="Times New Roman"/>
        <w:sz w:val="24"/>
        <w:szCs w:val="24"/>
      </w:rPr>
      <w:tab/>
    </w:r>
    <w:sdt>
      <w:sdtPr>
        <w:rPr>
          <w:rFonts w:ascii="Times New Roman" w:hAnsi="Times New Roman"/>
          <w:sz w:val="24"/>
          <w:szCs w:val="24"/>
        </w:rPr>
        <w:id w:val="144170065"/>
        <w:docPartObj>
          <w:docPartGallery w:val="Page Numbers (Bottom of Page)"/>
          <w:docPartUnique/>
        </w:docPartObj>
      </w:sdtPr>
      <w:sdtEndPr>
        <w:rPr>
          <w:noProof/>
        </w:rPr>
      </w:sdtEndPr>
      <w:sdtContent>
        <w:r w:rsidRPr="006339B2">
          <w:rPr>
            <w:rFonts w:ascii="Times New Roman" w:hAnsi="Times New Roman"/>
            <w:sz w:val="24"/>
            <w:szCs w:val="24"/>
          </w:rPr>
          <w:fldChar w:fldCharType="begin"/>
        </w:r>
        <w:r w:rsidRPr="006339B2">
          <w:rPr>
            <w:rFonts w:ascii="Times New Roman" w:hAnsi="Times New Roman"/>
            <w:sz w:val="24"/>
            <w:szCs w:val="24"/>
          </w:rPr>
          <w:instrText xml:space="preserve"> PAGE   \* MERGEFORMAT </w:instrText>
        </w:r>
        <w:r w:rsidRPr="006339B2">
          <w:rPr>
            <w:rFonts w:ascii="Times New Roman" w:hAnsi="Times New Roman"/>
            <w:sz w:val="24"/>
            <w:szCs w:val="24"/>
          </w:rPr>
          <w:fldChar w:fldCharType="separate"/>
        </w:r>
        <w:r>
          <w:rPr>
            <w:rFonts w:ascii="Times New Roman" w:hAnsi="Times New Roman"/>
            <w:noProof/>
            <w:sz w:val="24"/>
            <w:szCs w:val="24"/>
          </w:rPr>
          <w:t>1</w:t>
        </w:r>
        <w:r w:rsidRPr="006339B2">
          <w:rPr>
            <w:rFonts w:ascii="Times New Roman" w:hAnsi="Times New Roman"/>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5A73B" w14:textId="77777777" w:rsidR="00101071" w:rsidRDefault="00101071">
      <w:r>
        <w:separator/>
      </w:r>
    </w:p>
  </w:footnote>
  <w:footnote w:type="continuationSeparator" w:id="0">
    <w:p w14:paraId="70DA8245" w14:textId="77777777" w:rsidR="00101071" w:rsidRDefault="00101071">
      <w:r>
        <w:continuationSeparator/>
      </w:r>
    </w:p>
  </w:footnote>
  <w:footnote w:id="1">
    <w:p w14:paraId="56170B50" w14:textId="77777777" w:rsidR="008B5D15" w:rsidRPr="00B9688F" w:rsidRDefault="008B5D15">
      <w:pPr>
        <w:pStyle w:val="FootnoteText"/>
        <w:rPr>
          <w:rFonts w:ascii="Times New Roman" w:hAnsi="Times New Roman"/>
        </w:rPr>
      </w:pPr>
      <w:r w:rsidRPr="00B9688F">
        <w:rPr>
          <w:rStyle w:val="FootnoteReference"/>
          <w:rFonts w:ascii="Times New Roman" w:hAnsi="Times New Roman"/>
        </w:rPr>
        <w:footnoteRef/>
      </w:r>
      <w:r w:rsidRPr="00B9688F">
        <w:rPr>
          <w:rFonts w:ascii="Times New Roman" w:hAnsi="Times New Roman"/>
        </w:rPr>
        <w:t xml:space="preserve"> The four federal functional institution supervisory agencies are the Board of Governors of the Federal Reserve System, the Federal Depository Insurance Corporation, the Office of the Comptroller Currency, and the National Credit Union Administration.  </w:t>
      </w:r>
    </w:p>
  </w:footnote>
  <w:footnote w:id="2">
    <w:p w14:paraId="4D19E809" w14:textId="7EA455E0" w:rsidR="00BC2134" w:rsidRDefault="00BC2134" w:rsidP="00BC2134">
      <w:pPr>
        <w:pStyle w:val="FootnoteText"/>
      </w:pPr>
      <w:r>
        <w:rPr>
          <w:rStyle w:val="FootnoteReference"/>
        </w:rPr>
        <w:footnoteRef/>
      </w:r>
      <w:r>
        <w:t xml:space="preserve"> </w:t>
      </w:r>
      <w:r w:rsidRPr="00211FCD">
        <w:rPr>
          <w:rFonts w:ascii="Times New Roman" w:hAnsi="Times New Roman"/>
          <w:i/>
        </w:rPr>
        <w:t>See</w:t>
      </w:r>
      <w:r w:rsidRPr="00211FCD">
        <w:rPr>
          <w:rFonts w:ascii="Times New Roman" w:hAnsi="Times New Roman"/>
        </w:rPr>
        <w:t xml:space="preserve"> 12 CFR 208.62, 211.5(k), 211.24(f), and 225.4(f) (Board of Governors of the Federal Reserve System); 12 CFR 353 (Federal Deposit Insurance Corporation); 12 CFR 748 (National Credit Union Administration); 12 CFR 21.11 (Office of the Comptroller</w:t>
      </w:r>
      <w:r>
        <w:rPr>
          <w:rFonts w:ascii="Times New Roman" w:hAnsi="Times New Roman"/>
        </w:rPr>
        <w:t xml:space="preserve"> of the Currency);</w:t>
      </w:r>
      <w:r w:rsidR="00476404">
        <w:rPr>
          <w:rFonts w:ascii="Times New Roman" w:hAnsi="Times New Roman"/>
        </w:rPr>
        <w:t xml:space="preserve"> </w:t>
      </w:r>
      <w:r w:rsidRPr="00211FCD">
        <w:rPr>
          <w:rFonts w:ascii="Times New Roman" w:hAnsi="Times New Roman"/>
        </w:rPr>
        <w:t xml:space="preserve">and </w:t>
      </w:r>
      <w:r w:rsidRPr="00211FCD">
        <w:rPr>
          <w:rFonts w:ascii="Times New Roman" w:hAnsi="Times New Roman"/>
          <w:bCs/>
        </w:rPr>
        <w:t xml:space="preserve">31 CFR </w:t>
      </w:r>
      <w:r w:rsidR="008B5D15">
        <w:rPr>
          <w:rFonts w:ascii="Times New Roman" w:hAnsi="Times New Roman"/>
          <w:bCs/>
        </w:rPr>
        <w:t>1020.320</w:t>
      </w:r>
      <w:r w:rsidRPr="00211FCD">
        <w:rPr>
          <w:rFonts w:ascii="Times New Roman" w:hAnsi="Times New Roman"/>
        </w:rPr>
        <w:t xml:space="preserve"> (FinCEN).</w:t>
      </w:r>
    </w:p>
  </w:footnote>
  <w:footnote w:id="3">
    <w:p w14:paraId="75E7714A" w14:textId="77777777" w:rsidR="00294D29" w:rsidRDefault="00294D29" w:rsidP="00294D29">
      <w:pPr>
        <w:pStyle w:val="FootnoteText"/>
      </w:pPr>
      <w:r>
        <w:rPr>
          <w:rStyle w:val="FootnoteReference"/>
        </w:rPr>
        <w:footnoteRef/>
      </w:r>
      <w:r>
        <w:t xml:space="preserve"> </w:t>
      </w:r>
      <w:r w:rsidRPr="00211FCD">
        <w:rPr>
          <w:rFonts w:ascii="Times New Roman" w:hAnsi="Times New Roman"/>
        </w:rPr>
        <w:t xml:space="preserve">Under the BSA, as implemented by </w:t>
      </w:r>
      <w:r w:rsidRPr="00211FCD">
        <w:rPr>
          <w:rFonts w:ascii="Times New Roman" w:hAnsi="Times New Roman"/>
          <w:bCs/>
        </w:rPr>
        <w:t xml:space="preserve">31 CFR </w:t>
      </w:r>
      <w:r>
        <w:rPr>
          <w:rFonts w:ascii="Times New Roman" w:hAnsi="Times New Roman"/>
          <w:bCs/>
        </w:rPr>
        <w:t>1010.100</w:t>
      </w:r>
      <w:r w:rsidRPr="00211FCD">
        <w:rPr>
          <w:rFonts w:ascii="Times New Roman" w:hAnsi="Times New Roman"/>
        </w:rPr>
        <w:t>, the term “bank” includes each agent, agency, branch or office within the United States of commercial banks, savings and loan associations, thrift institutions, credit unions, and foreign banks.</w:t>
      </w:r>
      <w:r w:rsidRPr="00211FC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96E6D" w14:textId="77777777" w:rsidR="00001D0B" w:rsidRPr="006339B2" w:rsidRDefault="006339B2" w:rsidP="006339B2">
    <w:pPr>
      <w:pStyle w:val="Header"/>
      <w:tabs>
        <w:tab w:val="clear" w:pos="4320"/>
        <w:tab w:val="clear" w:pos="8640"/>
        <w:tab w:val="left" w:pos="91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7976420"/>
    <w:multiLevelType w:val="hybridMultilevel"/>
    <w:tmpl w:val="B9B87B6E"/>
    <w:lvl w:ilvl="0" w:tplc="E26CF6B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09384C"/>
    <w:multiLevelType w:val="hybridMultilevel"/>
    <w:tmpl w:val="DF0A2204"/>
    <w:lvl w:ilvl="0" w:tplc="46B01C8E">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AD2CAE"/>
    <w:multiLevelType w:val="hybridMultilevel"/>
    <w:tmpl w:val="3A868772"/>
    <w:lvl w:ilvl="0" w:tplc="3072FBF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3B32B3"/>
    <w:multiLevelType w:val="hybridMultilevel"/>
    <w:tmpl w:val="5438646C"/>
    <w:lvl w:ilvl="0" w:tplc="2EE68B08">
      <w:start w:val="15"/>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3F2E0A"/>
    <w:multiLevelType w:val="hybridMultilevel"/>
    <w:tmpl w:val="27CE8B14"/>
    <w:lvl w:ilvl="0" w:tplc="B046E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177DF1"/>
    <w:multiLevelType w:val="hybridMultilevel"/>
    <w:tmpl w:val="7B04B78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314545"/>
    <w:multiLevelType w:val="hybridMultilevel"/>
    <w:tmpl w:val="B27A8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B31D90"/>
    <w:multiLevelType w:val="hybridMultilevel"/>
    <w:tmpl w:val="7D50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8"/>
  </w:num>
  <w:num w:numId="5">
    <w:abstractNumId w:val="2"/>
  </w:num>
  <w:num w:numId="6">
    <w:abstractNumId w:val="7"/>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E21"/>
    <w:rsid w:val="00001D0B"/>
    <w:rsid w:val="00011A60"/>
    <w:rsid w:val="00030FC8"/>
    <w:rsid w:val="000428D8"/>
    <w:rsid w:val="000531B7"/>
    <w:rsid w:val="00056C4E"/>
    <w:rsid w:val="0006742E"/>
    <w:rsid w:val="0007339C"/>
    <w:rsid w:val="0007584D"/>
    <w:rsid w:val="000770BE"/>
    <w:rsid w:val="00090D89"/>
    <w:rsid w:val="000D686E"/>
    <w:rsid w:val="000F1211"/>
    <w:rsid w:val="001009C8"/>
    <w:rsid w:val="00101071"/>
    <w:rsid w:val="00107E02"/>
    <w:rsid w:val="001136E8"/>
    <w:rsid w:val="00121FF7"/>
    <w:rsid w:val="00126A73"/>
    <w:rsid w:val="00141B6A"/>
    <w:rsid w:val="00143F87"/>
    <w:rsid w:val="00162AD3"/>
    <w:rsid w:val="001640DA"/>
    <w:rsid w:val="001901B8"/>
    <w:rsid w:val="001A74AF"/>
    <w:rsid w:val="001C7BDC"/>
    <w:rsid w:val="001D524B"/>
    <w:rsid w:val="00211FCD"/>
    <w:rsid w:val="00230748"/>
    <w:rsid w:val="00231D0B"/>
    <w:rsid w:val="0024338D"/>
    <w:rsid w:val="002647A2"/>
    <w:rsid w:val="00294D29"/>
    <w:rsid w:val="002A07F1"/>
    <w:rsid w:val="002A6DC5"/>
    <w:rsid w:val="002D768D"/>
    <w:rsid w:val="00307610"/>
    <w:rsid w:val="00336D22"/>
    <w:rsid w:val="00344BF4"/>
    <w:rsid w:val="003476C4"/>
    <w:rsid w:val="00366504"/>
    <w:rsid w:val="00373D39"/>
    <w:rsid w:val="00385952"/>
    <w:rsid w:val="00392F42"/>
    <w:rsid w:val="00393872"/>
    <w:rsid w:val="003A0E9B"/>
    <w:rsid w:val="003A2045"/>
    <w:rsid w:val="003B7391"/>
    <w:rsid w:val="003C0B77"/>
    <w:rsid w:val="003C2A85"/>
    <w:rsid w:val="003D0B1E"/>
    <w:rsid w:val="003D6E8D"/>
    <w:rsid w:val="003D71BE"/>
    <w:rsid w:val="003F3FA6"/>
    <w:rsid w:val="00406232"/>
    <w:rsid w:val="00416771"/>
    <w:rsid w:val="00423D63"/>
    <w:rsid w:val="004349FB"/>
    <w:rsid w:val="00476404"/>
    <w:rsid w:val="0047726C"/>
    <w:rsid w:val="00477BEB"/>
    <w:rsid w:val="0048157C"/>
    <w:rsid w:val="004958BF"/>
    <w:rsid w:val="00496406"/>
    <w:rsid w:val="004A317C"/>
    <w:rsid w:val="004B238B"/>
    <w:rsid w:val="004D5A51"/>
    <w:rsid w:val="004F2F4F"/>
    <w:rsid w:val="00513CF9"/>
    <w:rsid w:val="00514951"/>
    <w:rsid w:val="00533E12"/>
    <w:rsid w:val="00541E18"/>
    <w:rsid w:val="005447F2"/>
    <w:rsid w:val="00545BC4"/>
    <w:rsid w:val="00570DAF"/>
    <w:rsid w:val="0057502B"/>
    <w:rsid w:val="0058447B"/>
    <w:rsid w:val="005923E5"/>
    <w:rsid w:val="005A0884"/>
    <w:rsid w:val="005C69B9"/>
    <w:rsid w:val="005F51A4"/>
    <w:rsid w:val="00606E4A"/>
    <w:rsid w:val="00617B6F"/>
    <w:rsid w:val="006218D4"/>
    <w:rsid w:val="006339B2"/>
    <w:rsid w:val="00643381"/>
    <w:rsid w:val="00655FDE"/>
    <w:rsid w:val="006576BA"/>
    <w:rsid w:val="00667968"/>
    <w:rsid w:val="006A273B"/>
    <w:rsid w:val="006B2347"/>
    <w:rsid w:val="006C0988"/>
    <w:rsid w:val="006C2259"/>
    <w:rsid w:val="006C5D79"/>
    <w:rsid w:val="006D66A9"/>
    <w:rsid w:val="0070080D"/>
    <w:rsid w:val="00720E27"/>
    <w:rsid w:val="00725154"/>
    <w:rsid w:val="00727E1C"/>
    <w:rsid w:val="00730B45"/>
    <w:rsid w:val="007772DD"/>
    <w:rsid w:val="00781105"/>
    <w:rsid w:val="0078710A"/>
    <w:rsid w:val="007A05FF"/>
    <w:rsid w:val="007D18AB"/>
    <w:rsid w:val="007E0E1D"/>
    <w:rsid w:val="007E6C07"/>
    <w:rsid w:val="007F72D7"/>
    <w:rsid w:val="00805138"/>
    <w:rsid w:val="00810881"/>
    <w:rsid w:val="00836D55"/>
    <w:rsid w:val="00845EA2"/>
    <w:rsid w:val="00847FFB"/>
    <w:rsid w:val="00853AE1"/>
    <w:rsid w:val="00872001"/>
    <w:rsid w:val="0087414C"/>
    <w:rsid w:val="00880CC7"/>
    <w:rsid w:val="00887EF6"/>
    <w:rsid w:val="00890669"/>
    <w:rsid w:val="00890C3A"/>
    <w:rsid w:val="00892A84"/>
    <w:rsid w:val="008A2A0E"/>
    <w:rsid w:val="008B5D15"/>
    <w:rsid w:val="008C1427"/>
    <w:rsid w:val="008D40A5"/>
    <w:rsid w:val="008D7644"/>
    <w:rsid w:val="008F18FE"/>
    <w:rsid w:val="00925F35"/>
    <w:rsid w:val="0093287A"/>
    <w:rsid w:val="00953B05"/>
    <w:rsid w:val="009612F4"/>
    <w:rsid w:val="009879B7"/>
    <w:rsid w:val="009A2ED9"/>
    <w:rsid w:val="009B4A58"/>
    <w:rsid w:val="009B4DCF"/>
    <w:rsid w:val="009B4E6E"/>
    <w:rsid w:val="009C3292"/>
    <w:rsid w:val="009D590C"/>
    <w:rsid w:val="009E189B"/>
    <w:rsid w:val="009F1D39"/>
    <w:rsid w:val="009F2955"/>
    <w:rsid w:val="00A05075"/>
    <w:rsid w:val="00A057AD"/>
    <w:rsid w:val="00A14E45"/>
    <w:rsid w:val="00A25F0C"/>
    <w:rsid w:val="00A35BD4"/>
    <w:rsid w:val="00A449EE"/>
    <w:rsid w:val="00A55CD1"/>
    <w:rsid w:val="00A60C7A"/>
    <w:rsid w:val="00A7543B"/>
    <w:rsid w:val="00A75BE0"/>
    <w:rsid w:val="00A96869"/>
    <w:rsid w:val="00A97115"/>
    <w:rsid w:val="00AA0E50"/>
    <w:rsid w:val="00AC065D"/>
    <w:rsid w:val="00AC546E"/>
    <w:rsid w:val="00AE660C"/>
    <w:rsid w:val="00AE7F34"/>
    <w:rsid w:val="00B223F1"/>
    <w:rsid w:val="00B26C9E"/>
    <w:rsid w:val="00B46304"/>
    <w:rsid w:val="00B50D8F"/>
    <w:rsid w:val="00B52777"/>
    <w:rsid w:val="00B61A82"/>
    <w:rsid w:val="00B77663"/>
    <w:rsid w:val="00B8610A"/>
    <w:rsid w:val="00B9688F"/>
    <w:rsid w:val="00BC193F"/>
    <w:rsid w:val="00BC2134"/>
    <w:rsid w:val="00BD64DD"/>
    <w:rsid w:val="00BE050A"/>
    <w:rsid w:val="00BF0A46"/>
    <w:rsid w:val="00BF1DFE"/>
    <w:rsid w:val="00BF3FF7"/>
    <w:rsid w:val="00C03245"/>
    <w:rsid w:val="00C03491"/>
    <w:rsid w:val="00C16639"/>
    <w:rsid w:val="00C34496"/>
    <w:rsid w:val="00C35D7E"/>
    <w:rsid w:val="00C538D4"/>
    <w:rsid w:val="00C545FB"/>
    <w:rsid w:val="00C74123"/>
    <w:rsid w:val="00CA67A8"/>
    <w:rsid w:val="00CB7648"/>
    <w:rsid w:val="00CB7C6B"/>
    <w:rsid w:val="00CD4793"/>
    <w:rsid w:val="00CE314E"/>
    <w:rsid w:val="00CE3220"/>
    <w:rsid w:val="00D077AF"/>
    <w:rsid w:val="00D07B5B"/>
    <w:rsid w:val="00D227EB"/>
    <w:rsid w:val="00D27730"/>
    <w:rsid w:val="00D44405"/>
    <w:rsid w:val="00D45247"/>
    <w:rsid w:val="00D73420"/>
    <w:rsid w:val="00D73558"/>
    <w:rsid w:val="00DC0B8B"/>
    <w:rsid w:val="00DD5362"/>
    <w:rsid w:val="00DD707A"/>
    <w:rsid w:val="00DE1E13"/>
    <w:rsid w:val="00E015ED"/>
    <w:rsid w:val="00E02221"/>
    <w:rsid w:val="00E25541"/>
    <w:rsid w:val="00E25601"/>
    <w:rsid w:val="00E42A2D"/>
    <w:rsid w:val="00E7377B"/>
    <w:rsid w:val="00E813C3"/>
    <w:rsid w:val="00E952E0"/>
    <w:rsid w:val="00E97BB6"/>
    <w:rsid w:val="00EB7309"/>
    <w:rsid w:val="00ED72B6"/>
    <w:rsid w:val="00EE234A"/>
    <w:rsid w:val="00EF2447"/>
    <w:rsid w:val="00EF2E21"/>
    <w:rsid w:val="00F0693E"/>
    <w:rsid w:val="00F11E50"/>
    <w:rsid w:val="00F30D22"/>
    <w:rsid w:val="00F32C3E"/>
    <w:rsid w:val="00F5583A"/>
    <w:rsid w:val="00F76755"/>
    <w:rsid w:val="00F854D3"/>
    <w:rsid w:val="00FA1A87"/>
    <w:rsid w:val="00FB0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1FEBD5"/>
  <w15:docId w15:val="{5F9F772F-DB8A-434C-8F20-B5EC9C27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A73"/>
    <w:pPr>
      <w:widowControl w:val="0"/>
      <w:autoSpaceDE w:val="0"/>
      <w:autoSpaceDN w:val="0"/>
      <w:adjustRightInd w:val="0"/>
    </w:pPr>
    <w:rPr>
      <w:rFonts w:ascii="Courier 10cpi" w:hAnsi="Courier 10cpi"/>
    </w:rPr>
  </w:style>
  <w:style w:type="paragraph" w:styleId="Heading1">
    <w:name w:val="heading 1"/>
    <w:basedOn w:val="Normal"/>
    <w:next w:val="Normal"/>
    <w:qFormat/>
    <w:rsid w:val="00126A73"/>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126A73"/>
    <w:rPr>
      <w:vertAlign w:val="superscript"/>
    </w:rPr>
  </w:style>
  <w:style w:type="character" w:styleId="FootnoteReference">
    <w:name w:val="footnote reference"/>
    <w:basedOn w:val="DefaultParagraphFont"/>
    <w:semiHidden/>
    <w:rsid w:val="00126A73"/>
    <w:rPr>
      <w:vertAlign w:val="superscript"/>
    </w:rPr>
  </w:style>
  <w:style w:type="paragraph" w:styleId="BodyText">
    <w:name w:val="Body Text"/>
    <w:basedOn w:val="Normal"/>
    <w:rsid w:val="00126A73"/>
    <w:pPr>
      <w:jc w:val="center"/>
    </w:pPr>
    <w:rPr>
      <w:rFonts w:ascii="Times New Roman" w:hAnsi="Times New Roman"/>
      <w:szCs w:val="24"/>
    </w:rPr>
  </w:style>
  <w:style w:type="paragraph" w:styleId="HTMLPreformatted">
    <w:name w:val="HTML Preformatted"/>
    <w:basedOn w:val="Normal"/>
    <w:rsid w:val="00126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rPr>
  </w:style>
  <w:style w:type="paragraph" w:styleId="FootnoteText">
    <w:name w:val="footnote text"/>
    <w:basedOn w:val="Normal"/>
    <w:link w:val="FootnoteTextChar"/>
    <w:semiHidden/>
    <w:rsid w:val="00126A73"/>
  </w:style>
  <w:style w:type="character" w:styleId="Strong">
    <w:name w:val="Strong"/>
    <w:basedOn w:val="DefaultParagraphFont"/>
    <w:qFormat/>
    <w:rsid w:val="00126A73"/>
    <w:rPr>
      <w:b/>
      <w:bCs/>
    </w:rPr>
  </w:style>
  <w:style w:type="paragraph" w:styleId="Title">
    <w:name w:val="Title"/>
    <w:basedOn w:val="Normal"/>
    <w:qFormat/>
    <w:rsid w:val="00126A73"/>
    <w:pPr>
      <w:widowControl/>
      <w:autoSpaceDE/>
      <w:autoSpaceDN/>
      <w:adjustRightInd/>
      <w:jc w:val="center"/>
    </w:pPr>
    <w:rPr>
      <w:rFonts w:ascii="Times New Roman" w:hAnsi="Times New Roman"/>
      <w:b/>
      <w:bCs/>
      <w:sz w:val="32"/>
      <w:szCs w:val="24"/>
    </w:rPr>
  </w:style>
  <w:style w:type="paragraph" w:styleId="BodyText2">
    <w:name w:val="Body Text 2"/>
    <w:basedOn w:val="Normal"/>
    <w:rsid w:val="00126A73"/>
    <w:rPr>
      <w:rFonts w:ascii="Times New Roman" w:hAnsi="Times New Roman"/>
      <w:sz w:val="24"/>
    </w:rPr>
  </w:style>
  <w:style w:type="paragraph" w:styleId="Header">
    <w:name w:val="header"/>
    <w:basedOn w:val="Normal"/>
    <w:rsid w:val="00126A73"/>
    <w:pPr>
      <w:tabs>
        <w:tab w:val="center" w:pos="4320"/>
        <w:tab w:val="right" w:pos="8640"/>
      </w:tabs>
    </w:pPr>
  </w:style>
  <w:style w:type="paragraph" w:styleId="Footer">
    <w:name w:val="footer"/>
    <w:basedOn w:val="Normal"/>
    <w:link w:val="FooterChar"/>
    <w:uiPriority w:val="99"/>
    <w:rsid w:val="00126A73"/>
    <w:pPr>
      <w:tabs>
        <w:tab w:val="center" w:pos="4320"/>
        <w:tab w:val="right" w:pos="8640"/>
      </w:tabs>
    </w:pPr>
  </w:style>
  <w:style w:type="character" w:styleId="PageNumber">
    <w:name w:val="page number"/>
    <w:basedOn w:val="DefaultParagraphFont"/>
    <w:rsid w:val="00126A73"/>
  </w:style>
  <w:style w:type="paragraph" w:customStyle="1" w:styleId="ArticleLevel1">
    <w:name w:val="Article Level (1)"/>
    <w:basedOn w:val="Normal"/>
    <w:rsid w:val="00126A73"/>
    <w:pPr>
      <w:widowControl/>
      <w:autoSpaceDE/>
      <w:autoSpaceDN/>
      <w:adjustRightInd/>
      <w:spacing w:line="480" w:lineRule="auto"/>
    </w:pPr>
    <w:rPr>
      <w:rFonts w:ascii="Times New Roman" w:hAnsi="Times New Roman"/>
      <w:sz w:val="24"/>
    </w:rPr>
  </w:style>
  <w:style w:type="character" w:styleId="Emphasis">
    <w:name w:val="Emphasis"/>
    <w:basedOn w:val="DefaultParagraphFont"/>
    <w:qFormat/>
    <w:rsid w:val="00D227EB"/>
    <w:rPr>
      <w:i/>
      <w:iCs/>
    </w:rPr>
  </w:style>
  <w:style w:type="character" w:customStyle="1" w:styleId="FootnoteTextChar">
    <w:name w:val="Footnote Text Char"/>
    <w:basedOn w:val="DefaultParagraphFont"/>
    <w:link w:val="FootnoteText"/>
    <w:semiHidden/>
    <w:rsid w:val="00D227EB"/>
    <w:rPr>
      <w:rFonts w:ascii="Courier 10cpi" w:hAnsi="Courier 10cpi"/>
    </w:rPr>
  </w:style>
  <w:style w:type="character" w:styleId="Hyperlink">
    <w:name w:val="Hyperlink"/>
    <w:basedOn w:val="DefaultParagraphFont"/>
    <w:rsid w:val="0058447B"/>
    <w:rPr>
      <w:color w:val="0000FF"/>
      <w:u w:val="single"/>
    </w:rPr>
  </w:style>
  <w:style w:type="character" w:styleId="CommentReference">
    <w:name w:val="annotation reference"/>
    <w:basedOn w:val="DefaultParagraphFont"/>
    <w:rsid w:val="00847FFB"/>
    <w:rPr>
      <w:sz w:val="16"/>
      <w:szCs w:val="16"/>
    </w:rPr>
  </w:style>
  <w:style w:type="paragraph" w:styleId="CommentText">
    <w:name w:val="annotation text"/>
    <w:basedOn w:val="Normal"/>
    <w:link w:val="CommentTextChar"/>
    <w:rsid w:val="00847FFB"/>
  </w:style>
  <w:style w:type="character" w:customStyle="1" w:styleId="CommentTextChar">
    <w:name w:val="Comment Text Char"/>
    <w:basedOn w:val="DefaultParagraphFont"/>
    <w:link w:val="CommentText"/>
    <w:rsid w:val="00847FFB"/>
    <w:rPr>
      <w:rFonts w:ascii="Courier 10cpi" w:hAnsi="Courier 10cpi"/>
    </w:rPr>
  </w:style>
  <w:style w:type="paragraph" w:styleId="CommentSubject">
    <w:name w:val="annotation subject"/>
    <w:basedOn w:val="CommentText"/>
    <w:next w:val="CommentText"/>
    <w:link w:val="CommentSubjectChar"/>
    <w:rsid w:val="00847FFB"/>
    <w:rPr>
      <w:b/>
      <w:bCs/>
    </w:rPr>
  </w:style>
  <w:style w:type="character" w:customStyle="1" w:styleId="CommentSubjectChar">
    <w:name w:val="Comment Subject Char"/>
    <w:basedOn w:val="CommentTextChar"/>
    <w:link w:val="CommentSubject"/>
    <w:rsid w:val="00847FFB"/>
    <w:rPr>
      <w:rFonts w:ascii="Courier 10cpi" w:hAnsi="Courier 10cpi"/>
      <w:b/>
      <w:bCs/>
    </w:rPr>
  </w:style>
  <w:style w:type="paragraph" w:styleId="BalloonText">
    <w:name w:val="Balloon Text"/>
    <w:basedOn w:val="Normal"/>
    <w:link w:val="BalloonTextChar"/>
    <w:rsid w:val="00847FFB"/>
    <w:rPr>
      <w:rFonts w:ascii="Tahoma" w:hAnsi="Tahoma" w:cs="Tahoma"/>
      <w:sz w:val="16"/>
      <w:szCs w:val="16"/>
    </w:rPr>
  </w:style>
  <w:style w:type="character" w:customStyle="1" w:styleId="BalloonTextChar">
    <w:name w:val="Balloon Text Char"/>
    <w:basedOn w:val="DefaultParagraphFont"/>
    <w:link w:val="BalloonText"/>
    <w:rsid w:val="00847FFB"/>
    <w:rPr>
      <w:rFonts w:ascii="Tahoma" w:hAnsi="Tahoma" w:cs="Tahoma"/>
      <w:sz w:val="16"/>
      <w:szCs w:val="16"/>
    </w:rPr>
  </w:style>
  <w:style w:type="paragraph" w:styleId="Revision">
    <w:name w:val="Revision"/>
    <w:hidden/>
    <w:uiPriority w:val="99"/>
    <w:semiHidden/>
    <w:rsid w:val="00836D55"/>
    <w:rPr>
      <w:rFonts w:ascii="Courier 10cpi" w:hAnsi="Courier 10cpi"/>
    </w:rPr>
  </w:style>
  <w:style w:type="character" w:styleId="FollowedHyperlink">
    <w:name w:val="FollowedHyperlink"/>
    <w:basedOn w:val="DefaultParagraphFont"/>
    <w:rsid w:val="00B77663"/>
    <w:rPr>
      <w:color w:val="800080" w:themeColor="followedHyperlink"/>
      <w:u w:val="single"/>
    </w:rPr>
  </w:style>
  <w:style w:type="paragraph" w:customStyle="1" w:styleId="Default">
    <w:name w:val="Default"/>
    <w:rsid w:val="00541E18"/>
    <w:pPr>
      <w:autoSpaceDE w:val="0"/>
      <w:autoSpaceDN w:val="0"/>
      <w:adjustRightInd w:val="0"/>
    </w:pPr>
    <w:rPr>
      <w:color w:val="000000"/>
      <w:sz w:val="24"/>
      <w:szCs w:val="24"/>
    </w:rPr>
  </w:style>
  <w:style w:type="paragraph" w:styleId="ListParagraph">
    <w:name w:val="List Paragraph"/>
    <w:basedOn w:val="Normal"/>
    <w:uiPriority w:val="34"/>
    <w:qFormat/>
    <w:rsid w:val="006339B2"/>
    <w:pPr>
      <w:ind w:left="720"/>
      <w:contextualSpacing/>
    </w:pPr>
  </w:style>
  <w:style w:type="character" w:customStyle="1" w:styleId="FooterChar">
    <w:name w:val="Footer Char"/>
    <w:basedOn w:val="DefaultParagraphFont"/>
    <w:link w:val="Footer"/>
    <w:uiPriority w:val="99"/>
    <w:rsid w:val="006339B2"/>
    <w:rPr>
      <w:rFonts w:ascii="Courier 10cpi" w:hAnsi="Courier 10cpi"/>
    </w:rPr>
  </w:style>
  <w:style w:type="table" w:styleId="TableGrid">
    <w:name w:val="Table Grid"/>
    <w:basedOn w:val="TableNormal"/>
    <w:rsid w:val="00667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0A46"/>
    <w:rPr>
      <w:color w:val="808080"/>
    </w:rPr>
  </w:style>
  <w:style w:type="paragraph" w:styleId="BodyTextIndent2">
    <w:name w:val="Body Text Indent 2"/>
    <w:basedOn w:val="Normal"/>
    <w:link w:val="BodyTextIndent2Char"/>
    <w:unhideWhenUsed/>
    <w:rsid w:val="004958BF"/>
    <w:pPr>
      <w:spacing w:after="120" w:line="480" w:lineRule="auto"/>
      <w:ind w:left="360"/>
    </w:pPr>
  </w:style>
  <w:style w:type="character" w:customStyle="1" w:styleId="BodyTextIndent2Char">
    <w:name w:val="Body Text Indent 2 Char"/>
    <w:basedOn w:val="DefaultParagraphFont"/>
    <w:link w:val="BodyTextIndent2"/>
    <w:rsid w:val="004958BF"/>
    <w:rPr>
      <w:rFonts w:ascii="Courier 10cpi" w:hAnsi="Courier 10cpi"/>
    </w:rPr>
  </w:style>
  <w:style w:type="paragraph" w:customStyle="1" w:styleId="Level1">
    <w:name w:val="Level 1"/>
    <w:basedOn w:val="Normal"/>
    <w:rsid w:val="00872001"/>
    <w:pPr>
      <w:numPr>
        <w:numId w:val="7"/>
      </w:numPr>
      <w:ind w:left="474" w:hanging="186"/>
      <w:outlineLvl w:val="0"/>
    </w:pPr>
    <w:rPr>
      <w:rFonts w:ascii="Times New Roman" w:hAnsi="Times New Roman"/>
      <w:sz w:val="24"/>
      <w:szCs w:val="24"/>
    </w:rPr>
  </w:style>
  <w:style w:type="paragraph" w:customStyle="1" w:styleId="Level2">
    <w:name w:val="Level 2"/>
    <w:basedOn w:val="Normal"/>
    <w:rsid w:val="00872001"/>
    <w:pPr>
      <w:ind w:left="722" w:hanging="36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saefiling.fincen.treas.gov/mai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bsaefiling.fincen.treas.gov/main.htm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pporting Statement" ma:contentTypeID="0x0101003F62F64E8BC28345909BC2037B65158F0100575D3864973BE743BD7602542BF628DA" ma:contentTypeVersion="14" ma:contentTypeDescription="" ma:contentTypeScope="" ma:versionID="fe4829b535a6b8252de03d6cf5784606">
  <xsd:schema xmlns:xsd="http://www.w3.org/2001/XMLSchema" xmlns:xs="http://www.w3.org/2001/XMLSchema" xmlns:p="http://schemas.microsoft.com/office/2006/metadata/properties" xmlns:ns2="3ea56344-e6f1-4d68-b27f-fda586fbce6c" xmlns:ns3="0d78573e-a0f5-4493-b684-0d1db760dd90" xmlns:ns4="87893fa0-2686-4088-86e9-48d7d07258e3" targetNamespace="http://schemas.microsoft.com/office/2006/metadata/properties" ma:root="true" ma:fieldsID="f190a850ec2a6da1b9be7669de656ae1" ns2:_="" ns3:_="" ns4:_="">
    <xsd:import namespace="3ea56344-e6f1-4d68-b27f-fda586fbce6c"/>
    <xsd:import namespace="0d78573e-a0f5-4493-b684-0d1db760dd90"/>
    <xsd:import namespace="87893fa0-2686-4088-86e9-48d7d07258e3"/>
    <xsd:element name="properties">
      <xsd:complexType>
        <xsd:sequence>
          <xsd:element name="documentManagement">
            <xsd:complexType>
              <xsd:all>
                <xsd:element ref="ns2:D_x0020_or_x0020_F_x003f_" minOccurs="0"/>
                <xsd:element ref="ns3:Form_x0020_No." minOccurs="0"/>
                <xsd:element ref="ns2:Date1" minOccurs="0"/>
                <xsd:element ref="ns2:PRA_x0020_POC" minOccurs="0"/>
                <xsd:element ref="ns2:OMB_x0020_Expiration_x0020_Date" minOccurs="0"/>
                <xsd:element ref="ns4:Requiring_x0020_Activity" minOccurs="0"/>
                <xsd:element ref="ns2:PRA_x0020_Status" minOccurs="0"/>
                <xsd:element ref="ns2:PRA_x0020_Request_x0020_Type" minOccurs="0"/>
                <xsd:element ref="ns3:OMB_x0020_No." minOccurs="0"/>
                <xsd:element ref="ns2:Reg" minOccurs="0"/>
                <xsd:element ref="ns3:TriggerFl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344-e6f1-4d68-b27f-fda586fbce6c" elementFormDefault="qualified">
    <xsd:import namespace="http://schemas.microsoft.com/office/2006/documentManagement/types"/>
    <xsd:import namespace="http://schemas.microsoft.com/office/infopath/2007/PartnerControls"/>
    <xsd:element name="D_x0020_or_x0020_F_x003f_" ma:index="8" nillable="true" ma:displayName="Draft or Final?" ma:default="Draft" ma:format="Dropdown" ma:internalName="D_x0020_or_x0020_F_x003F_" ma:readOnly="false">
      <xsd:simpleType>
        <xsd:restriction base="dms:Choice">
          <xsd:enumeration value="Draft"/>
          <xsd:enumeration value="Final"/>
        </xsd:restriction>
      </xsd:simpleType>
    </xsd:element>
    <xsd:element name="Date1" ma:index="10" nillable="true" ma:displayName="Date" ma:format="DateOnly" ma:internalName="Date1" ma:readOnly="false">
      <xsd:simpleType>
        <xsd:restriction base="dms:DateTime"/>
      </xsd:simpleType>
    </xsd:element>
    <xsd:element name="PRA_x0020_POC" ma:index="11" nillable="true" ma:displayName="PRA POC" ma:list="UserInfo" ma:SharePointGroup="0" ma:internalName="PRA_x0020_POC"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MB_x0020_Expiration_x0020_Date" ma:index="12" nillable="true" ma:displayName="OMB Expiration Date" ma:format="DateOnly" ma:internalName="OMB_x0020_Expiration_x0020_Date" ma:readOnly="false">
      <xsd:simpleType>
        <xsd:restriction base="dms:DateTime"/>
      </xsd:simpleType>
    </xsd:element>
    <xsd:element name="PRA_x0020_Status" ma:index="14" nillable="true" ma:displayName="PRA Status" ma:default="-" ma:format="Dropdown" ma:internalName="PRA_x0020_Status" ma:readOnly="false">
      <xsd:simpleType>
        <xsd:restriction base="dms:Choice">
          <xsd:enumeration value="-"/>
          <xsd:enumeration value="Pending w/OPI"/>
          <xsd:enumeration value="Pending w/PRA Office"/>
          <xsd:enumeration value="Pending w/OMB"/>
          <xsd:enumeration value="60 day comment period wait"/>
          <xsd:enumeration value="30 day comment period wait"/>
          <xsd:enumeration value="Approved"/>
          <xsd:enumeration value="Disapproved"/>
          <xsd:enumeration value="Disapproved &amp; Continued"/>
          <xsd:enumeration value="Preapproved"/>
          <xsd:enumeration value="Comment file on proposed rule"/>
          <xsd:enumeration value="Comment file on proposed rule and continued"/>
          <xsd:enumeration value="Improperly Submitted"/>
          <xsd:enumeration value="Improperly Submitted and Continued"/>
        </xsd:restriction>
      </xsd:simpleType>
    </xsd:element>
    <xsd:element name="PRA_x0020_Request_x0020_Type" ma:index="15" nillable="true" ma:displayName="PRA Request Type" ma:default="-" ma:format="Dropdown" ma:internalName="PRA_x0020_Request_x0020_Type" ma:readOnly="false">
      <xsd:simpleType>
        <xsd:restriction base="dms:Choice">
          <xsd:enumeration value="-"/>
          <xsd:enumeration value="Extension"/>
          <xsd:enumeration value="Revision"/>
          <xsd:enumeration value="New"/>
          <xsd:enumeration value="New NPRM"/>
          <xsd:enumeration value="New Final Rule"/>
          <xsd:enumeration value="In use W/O OMB#"/>
          <xsd:enumeration value="Reinstatement"/>
          <xsd:enumeration value="Discontinuation"/>
          <xsd:enumeration value="Non Material Change"/>
          <xsd:enumeration value="Generic IC"/>
          <xsd:enumeration value="Emergency Extension"/>
        </xsd:restriction>
      </xsd:simpleType>
    </xsd:element>
    <xsd:element name="Reg" ma:index="17" nillable="true" ma:displayName="Reg" ma:internalName="Reg"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0d78573e-a0f5-4493-b684-0d1db760dd90" elementFormDefault="qualified">
    <xsd:import namespace="http://schemas.microsoft.com/office/2006/documentManagement/types"/>
    <xsd:import namespace="http://schemas.microsoft.com/office/infopath/2007/PartnerControls"/>
    <xsd:element name="Form_x0020_No." ma:index="9" nillable="true" ma:displayName="Form No." ma:internalName="Form_x0020_No_x002e_" ma:readOnly="false" ma:percentage="FALSE">
      <xsd:simpleType>
        <xsd:restriction base="dms:Number"/>
      </xsd:simpleType>
    </xsd:element>
    <xsd:element name="OMB_x0020_No." ma:index="16" nillable="true" ma:displayName="OMB No." ma:internalName="OMB_x0020_No_x002e_" ma:readOnly="false">
      <xsd:simpleType>
        <xsd:restriction base="dms:Text">
          <xsd:maxLength value="10"/>
        </xsd:restriction>
      </xsd:simpleType>
    </xsd:element>
    <xsd:element name="TriggerFlag" ma:index="18" nillable="true" ma:displayName="TriggerFlag" ma:internalName="TriggerFl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893fa0-2686-4088-86e9-48d7d07258e3" elementFormDefault="qualified">
    <xsd:import namespace="http://schemas.microsoft.com/office/2006/documentManagement/types"/>
    <xsd:import namespace="http://schemas.microsoft.com/office/infopath/2007/PartnerControls"/>
    <xsd:element name="Requiring_x0020_Activity" ma:index="13" nillable="true" ma:displayName="ClientOffice" ma:default="-" ma:format="Dropdown" ma:internalName="Requiring_x0020_Activity" ma:readOnly="false">
      <xsd:simpleType>
        <xsd:restriction base="dms:Choice">
          <xsd:enumeration value="-"/>
          <xsd:enumeration value="Eastern"/>
          <xsd:enumeration value="Southern"/>
          <xsd:enumeration value="Western"/>
          <xsd:enumeration value="Region 1"/>
          <xsd:enumeration value="Region 2"/>
          <xsd:enumeration value="Region 3"/>
          <xsd:enumeration value="Region 4"/>
          <xsd:enumeration value="Region 5"/>
          <xsd:enumeration value="AMAC"/>
          <xsd:enumeration value="Board"/>
          <xsd:enumeration value="CURE"/>
          <xsd:enumeration value="E&amp;I"/>
          <xsd:enumeration value="ONES"/>
          <xsd:enumeration value="OCE"/>
          <xsd:enumeration value="OCFO"/>
          <xsd:enumeration value="OCIO"/>
          <xsd:enumeration value="OCFP"/>
          <xsd:enumeration value="OCSM"/>
          <xsd:enumeration value="OED"/>
          <xsd:enumeration value="OGC"/>
          <xsd:enumeration value="OHR"/>
          <xsd:enumeration value="OIG"/>
          <xsd:enumeration value="OMWI"/>
          <xsd:enumeration value="PAC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A_x0020_Request_x0020_Type xmlns="3ea56344-e6f1-4d68-b27f-fda586fbce6c">Extension</PRA_x0020_Request_x0020_Type>
    <OMB_x0020_Expiration_x0020_Date xmlns="3ea56344-e6f1-4d68-b27f-fda586fbce6c">2020-03-31T04:00:00+00:00</OMB_x0020_Expiration_x0020_Date>
    <PRA_x0020_Status xmlns="3ea56344-e6f1-4d68-b27f-fda586fbce6c">Approved</PRA_x0020_Status>
    <Requiring_x0020_Activity xmlns="87893fa0-2686-4088-86e9-48d7d07258e3">E&amp;I</Requiring_x0020_Activity>
    <PRA_x0020_POC xmlns="3ea56344-e6f1-4d68-b27f-fda586fbce6c">
      <UserInfo>
        <DisplayName>Bludorn, Andrew T</DisplayName>
        <AccountId>1491</AccountId>
        <AccountType/>
      </UserInfo>
      <UserInfo>
        <DisplayName>Clark, Alison</DisplayName>
        <AccountId>1046</AccountId>
        <AccountType/>
      </UserInfo>
    </PRA_x0020_POC>
    <TriggerFlag xmlns="0d78573e-a0f5-4493-b684-0d1db760dd90" xsi:nil="true"/>
    <OMB_x0020_No. xmlns="0d78573e-a0f5-4493-b684-0d1db760dd90">3133-0094</OMB_x0020_No.>
    <Reg xmlns="3ea56344-e6f1-4d68-b27f-fda586fbce6c">748.1</Reg>
    <Form_x0020_No. xmlns="0d78573e-a0f5-4493-b684-0d1db760dd90" xsi:nil="true"/>
    <D_x0020_or_x0020_F_x003f_ xmlns="3ea56344-e6f1-4d68-b27f-fda586fbce6c">Final</D_x0020_or_x0020_F_x003f_>
    <Date1 xmlns="3ea56344-e6f1-4d68-b27f-fda586fbce6c">2020-03-19T04:00:00+00:00</Date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DB6D4-871B-48DC-AEA3-17A8B6164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344-e6f1-4d68-b27f-fda586fbce6c"/>
    <ds:schemaRef ds:uri="0d78573e-a0f5-4493-b684-0d1db760dd90"/>
    <ds:schemaRef ds:uri="87893fa0-2686-4088-86e9-48d7d0725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129E6-DF60-4588-9E59-072BECE1F367}">
  <ds:schemaRefs>
    <ds:schemaRef ds:uri="http://schemas.microsoft.com/sharepoint/v3/contenttype/forms"/>
  </ds:schemaRefs>
</ds:datastoreItem>
</file>

<file path=customXml/itemProps3.xml><?xml version="1.0" encoding="utf-8"?>
<ds:datastoreItem xmlns:ds="http://schemas.openxmlformats.org/officeDocument/2006/customXml" ds:itemID="{8E018B69-93CD-4F0A-AA0E-F02E9B2C5E9D}">
  <ds:schemaRefs>
    <ds:schemaRef ds:uri="http://schemas.microsoft.com/office/2006/metadata/properties"/>
    <ds:schemaRef ds:uri="http://schemas.microsoft.com/office/infopath/2007/PartnerControls"/>
    <ds:schemaRef ds:uri="3ea56344-e6f1-4d68-b27f-fda586fbce6c"/>
    <ds:schemaRef ds:uri="87893fa0-2686-4088-86e9-48d7d07258e3"/>
    <ds:schemaRef ds:uri="0d78573e-a0f5-4493-b684-0d1db760dd90"/>
  </ds:schemaRefs>
</ds:datastoreItem>
</file>

<file path=customXml/itemProps4.xml><?xml version="1.0" encoding="utf-8"?>
<ds:datastoreItem xmlns:ds="http://schemas.openxmlformats.org/officeDocument/2006/customXml" ds:itemID="{E1140B8E-DCA7-49F2-B69C-93093279599C}">
  <ds:schemaRefs>
    <ds:schemaRef ds:uri="http://schemas.openxmlformats.org/officeDocument/2006/bibliography"/>
  </ds:schemaRefs>
</ds:datastoreItem>
</file>

<file path=customXml/itemProps5.xml><?xml version="1.0" encoding="utf-8"?>
<ds:datastoreItem xmlns:ds="http://schemas.openxmlformats.org/officeDocument/2006/customXml" ds:itemID="{0E21AE3E-E293-4ED1-83BB-DCC7F7CE9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Information Technology</Company>
  <LinksUpToDate>false</LinksUpToDate>
  <CharactersWithSpaces>6621</CharactersWithSpaces>
  <SharedDoc>false</SharedDoc>
  <HLinks>
    <vt:vector size="18" baseType="variant">
      <vt:variant>
        <vt:i4>1572961</vt:i4>
      </vt:variant>
      <vt:variant>
        <vt:i4>0</vt:i4>
      </vt:variant>
      <vt:variant>
        <vt:i4>0</vt:i4>
      </vt:variant>
      <vt:variant>
        <vt:i4>5</vt:i4>
      </vt:variant>
      <vt:variant>
        <vt:lpwstr>http://www.fincen.gov/forms/files/f9022-47_sar-di.pdf</vt:lpwstr>
      </vt:variant>
      <vt:variant>
        <vt:lpwstr/>
      </vt:variant>
      <vt:variant>
        <vt:i4>1572961</vt:i4>
      </vt:variant>
      <vt:variant>
        <vt:i4>3</vt:i4>
      </vt:variant>
      <vt:variant>
        <vt:i4>0</vt:i4>
      </vt:variant>
      <vt:variant>
        <vt:i4>5</vt:i4>
      </vt:variant>
      <vt:variant>
        <vt:lpwstr>http://www.fincen.gov/forms/files/f9022-47_sar-di.pdf</vt:lpwstr>
      </vt:variant>
      <vt:variant>
        <vt:lpwstr/>
      </vt:variant>
      <vt:variant>
        <vt:i4>8126555</vt:i4>
      </vt:variant>
      <vt:variant>
        <vt:i4>0</vt:i4>
      </vt:variant>
      <vt:variant>
        <vt:i4>0</vt:i4>
      </vt:variant>
      <vt:variant>
        <vt:i4>5</vt:i4>
      </vt:variant>
      <vt:variant>
        <vt:lpwstr>http://www.fincen.gov/statutes_regs/frn/pdf/sar_fr_notice.pdf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StephR</dc:creator>
  <cp:lastModifiedBy>Malaka, Mackie</cp:lastModifiedBy>
  <cp:revision>2</cp:revision>
  <cp:lastPrinted>2013-09-28T08:37:00Z</cp:lastPrinted>
  <dcterms:created xsi:type="dcterms:W3CDTF">2020-03-23T14:45:00Z</dcterms:created>
  <dcterms:modified xsi:type="dcterms:W3CDTF">2020-03-23T14:45:00Z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0x0101003F62F64E8BC28345909BC2037B65158F0100575D3864973BE743BD7602542BF628DA</vt:lpwstr>
  </property>
</Properties>
</file>