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D0382" w:rsidR="005D0382" w:rsidP="005D0382" w:rsidRDefault="005D0382" w14:paraId="32508DCB" w14:textId="77777777">
      <w:pPr>
        <w:pStyle w:val="Default"/>
        <w:jc w:val="center"/>
        <w:rPr>
          <w:b/>
          <w:bCs/>
          <w:u w:val="single"/>
        </w:rPr>
      </w:pPr>
      <w:r w:rsidRPr="005D0382">
        <w:rPr>
          <w:b/>
          <w:bCs/>
          <w:u w:val="single"/>
        </w:rPr>
        <w:t>SUPPORTING STATEMENT</w:t>
      </w:r>
    </w:p>
    <w:p w:rsidRPr="005D0382" w:rsidR="00110CC8" w:rsidP="005D0382" w:rsidRDefault="00CB72F1" w14:paraId="575C681B" w14:textId="77777777">
      <w:pPr>
        <w:pStyle w:val="Default"/>
        <w:jc w:val="center"/>
        <w:rPr>
          <w:b/>
          <w:bCs/>
          <w:u w:val="single"/>
        </w:rPr>
      </w:pPr>
      <w:r w:rsidRPr="005D0382">
        <w:rPr>
          <w:b/>
          <w:bCs/>
          <w:u w:val="single"/>
        </w:rPr>
        <w:t>FOR RECORDKEEPING</w:t>
      </w:r>
      <w:r w:rsidRPr="005D0382" w:rsidR="005D0382">
        <w:rPr>
          <w:b/>
          <w:bCs/>
          <w:u w:val="single"/>
        </w:rPr>
        <w:t xml:space="preserve"> </w:t>
      </w:r>
      <w:r w:rsidRPr="005D0382">
        <w:rPr>
          <w:b/>
          <w:bCs/>
          <w:u w:val="single"/>
        </w:rPr>
        <w:t xml:space="preserve">AND REPORTING REQUIREMENTS </w:t>
      </w:r>
    </w:p>
    <w:p w:rsidRPr="004C2D86" w:rsidR="00CB72F1" w:rsidP="005D0382" w:rsidRDefault="00CB72F1" w14:paraId="0F12B8F7" w14:textId="77777777">
      <w:pPr>
        <w:pStyle w:val="Default"/>
        <w:jc w:val="center"/>
      </w:pPr>
      <w:r w:rsidRPr="005D0382">
        <w:rPr>
          <w:b/>
          <w:bCs/>
          <w:u w:val="single"/>
        </w:rPr>
        <w:t>NA</w:t>
      </w:r>
      <w:r w:rsidRPr="005D0382" w:rsidR="005D0382">
        <w:rPr>
          <w:b/>
          <w:bCs/>
          <w:u w:val="single"/>
        </w:rPr>
        <w:t>TIONAL ENVIRONMENTAL POLICY ACT</w:t>
      </w:r>
    </w:p>
    <w:p w:rsidR="003D4953" w:rsidP="005D0382" w:rsidRDefault="003D4953" w14:paraId="5C4E9772" w14:textId="77777777">
      <w:pPr>
        <w:pStyle w:val="Default"/>
        <w:rPr>
          <w:b/>
          <w:bCs/>
        </w:rPr>
      </w:pPr>
    </w:p>
    <w:p w:rsidRPr="00833BEC" w:rsidR="00CC6A42" w:rsidP="005D0382" w:rsidRDefault="00CC6A42" w14:paraId="4E14E7B3" w14:textId="77777777">
      <w:pPr>
        <w:spacing w:after="0" w:line="240" w:lineRule="auto"/>
        <w:ind w:left="360" w:hanging="360"/>
        <w:rPr>
          <w:rFonts w:ascii="Times New Roman" w:hAnsi="Times New Roman" w:cs="Times New Roman"/>
          <w:b/>
          <w:sz w:val="24"/>
          <w:szCs w:val="24"/>
        </w:rPr>
      </w:pPr>
      <w:r w:rsidRPr="00833BEC">
        <w:rPr>
          <w:rFonts w:ascii="Times New Roman" w:hAnsi="Times New Roman" w:cs="Times New Roman"/>
          <w:b/>
          <w:sz w:val="24"/>
          <w:szCs w:val="24"/>
        </w:rPr>
        <w:t xml:space="preserve">A. </w:t>
      </w:r>
      <w:r>
        <w:rPr>
          <w:rFonts w:ascii="Times New Roman" w:hAnsi="Times New Roman" w:cs="Times New Roman"/>
          <w:b/>
          <w:sz w:val="24"/>
          <w:szCs w:val="24"/>
        </w:rPr>
        <w:tab/>
        <w:t>JUSTIFICATION</w:t>
      </w:r>
      <w:r w:rsidRPr="00833BEC">
        <w:rPr>
          <w:rFonts w:ascii="Times New Roman" w:hAnsi="Times New Roman" w:cs="Times New Roman"/>
          <w:b/>
          <w:sz w:val="24"/>
          <w:szCs w:val="24"/>
        </w:rPr>
        <w:t xml:space="preserve"> </w:t>
      </w:r>
    </w:p>
    <w:p w:rsidR="00CC6A42" w:rsidP="005D0382" w:rsidRDefault="00CC6A42" w14:paraId="13099E77" w14:textId="77777777">
      <w:pPr>
        <w:spacing w:after="0" w:line="240" w:lineRule="auto"/>
        <w:rPr>
          <w:rFonts w:ascii="Times New Roman" w:hAnsi="Times New Roman" w:cs="Times New Roman"/>
          <w:b/>
          <w:sz w:val="24"/>
          <w:szCs w:val="24"/>
        </w:rPr>
      </w:pPr>
    </w:p>
    <w:p w:rsidRPr="004C2D86" w:rsidR="00CB72F1" w:rsidP="005D0382" w:rsidRDefault="00CC6A42" w14:paraId="7310E5F0" w14:textId="77777777">
      <w:pPr>
        <w:spacing w:after="0" w:line="240" w:lineRule="auto"/>
        <w:ind w:left="360" w:hanging="360"/>
      </w:pPr>
      <w:r w:rsidRPr="00833BEC">
        <w:rPr>
          <w:rFonts w:ascii="Times New Roman" w:hAnsi="Times New Roman" w:cs="Times New Roman"/>
          <w:b/>
          <w:sz w:val="24"/>
          <w:szCs w:val="24"/>
        </w:rPr>
        <w:t xml:space="preserve">1. </w:t>
      </w:r>
      <w:r>
        <w:rPr>
          <w:rFonts w:ascii="Times New Roman" w:hAnsi="Times New Roman" w:cs="Times New Roman"/>
          <w:b/>
          <w:sz w:val="24"/>
          <w:szCs w:val="24"/>
        </w:rPr>
        <w:tab/>
      </w:r>
      <w:r w:rsidRPr="00833BEC">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4C2D86" w:rsidR="00CB72F1">
        <w:rPr>
          <w:b/>
          <w:bCs/>
        </w:rPr>
        <w:t xml:space="preserve"> </w:t>
      </w:r>
    </w:p>
    <w:p w:rsidR="003D4953" w:rsidP="005D0382" w:rsidRDefault="003D4953" w14:paraId="6A52168E" w14:textId="77777777">
      <w:pPr>
        <w:pStyle w:val="Default"/>
        <w:ind w:firstLine="720"/>
      </w:pPr>
    </w:p>
    <w:p w:rsidRPr="00D0795E" w:rsidR="00FA3EFA" w:rsidP="00FA3EFA" w:rsidRDefault="00FA3EFA" w14:paraId="6A3834DA" w14:textId="77777777">
      <w:pPr>
        <w:pStyle w:val="Default"/>
        <w:spacing w:line="480" w:lineRule="auto"/>
        <w:ind w:firstLine="720"/>
        <w:rPr>
          <w:color w:val="auto"/>
        </w:rPr>
      </w:pPr>
      <w:r>
        <w:t>Pursuant to</w:t>
      </w:r>
      <w:r w:rsidRPr="004C2D86">
        <w:t xml:space="preserve"> the National Environmental Policy Act (NEPA), 42 U.S.C. § 4321, </w:t>
      </w:r>
      <w:r>
        <w:rPr>
          <w:i/>
          <w:iCs/>
        </w:rPr>
        <w:t>et</w:t>
      </w:r>
      <w:r w:rsidRPr="004C2D86">
        <w:rPr>
          <w:i/>
          <w:iCs/>
        </w:rPr>
        <w:t xml:space="preserve"> seq.</w:t>
      </w:r>
      <w:r w:rsidRPr="004C2D86">
        <w:t>, and the</w:t>
      </w:r>
      <w:r>
        <w:t xml:space="preserve"> </w:t>
      </w:r>
      <w:r w:rsidRPr="004C2D86">
        <w:t>Council on Environmental Quality</w:t>
      </w:r>
      <w:r>
        <w:t>’s</w:t>
      </w:r>
      <w:r w:rsidRPr="004C2D86">
        <w:t xml:space="preserve"> (CEQ) implementing regulations, </w:t>
      </w:r>
      <w:r>
        <w:t>f</w:t>
      </w:r>
      <w:r w:rsidRPr="004C2D86">
        <w:t xml:space="preserve">ederal agencies are required to prepare </w:t>
      </w:r>
      <w:r>
        <w:t>(</w:t>
      </w:r>
      <w:r w:rsidRPr="004C2D86">
        <w:t>or cause to be prepared</w:t>
      </w:r>
      <w:r>
        <w:t>)</w:t>
      </w:r>
      <w:r w:rsidRPr="004C2D86">
        <w:t xml:space="preserve"> environmental documents for </w:t>
      </w:r>
      <w:r>
        <w:t xml:space="preserve">agency </w:t>
      </w:r>
      <w:r w:rsidRPr="004C2D86">
        <w:t xml:space="preserve">actions </w:t>
      </w:r>
      <w:r w:rsidRPr="00D0795E">
        <w:t>that may have a significant impact</w:t>
      </w:r>
      <w:r w:rsidRPr="00D0795E">
        <w:rPr>
          <w:color w:val="auto"/>
        </w:rPr>
        <w:t xml:space="preserve"> on the environment. Under NEPA, an Environmental Assessment (EA) must be prepared when the agency action cannot be categorically excluded</w:t>
      </w:r>
      <w:r w:rsidRPr="00D0795E" w:rsidR="00F83527">
        <w:rPr>
          <w:color w:val="auto"/>
        </w:rPr>
        <w:t xml:space="preserve">. The EA determines whether </w:t>
      </w:r>
      <w:r w:rsidRPr="00D0795E" w:rsidR="00D0795E">
        <w:rPr>
          <w:color w:val="auto"/>
        </w:rPr>
        <w:t>or not</w:t>
      </w:r>
      <w:r w:rsidRPr="00D0795E" w:rsidR="00F83527">
        <w:rPr>
          <w:color w:val="auto"/>
        </w:rPr>
        <w:t xml:space="preserve"> the management agreement has the potential to cause significant environmental effects. Based on the EA, the NIGC may determine that the action will not have a significant environmental impact and issue a Finding of No Significant Impact (FONSI). If the EA determines that the environmental impacts of a proposed contract approval will be significant, and Environmental Impact Statement (EIS) is prepared. </w:t>
      </w:r>
      <w:r w:rsidRPr="00D0795E">
        <w:rPr>
          <w:color w:val="auto"/>
        </w:rPr>
        <w:t xml:space="preserve"> </w:t>
      </w:r>
      <w:r w:rsidRPr="00D0795E" w:rsidR="00954886">
        <w:rPr>
          <w:color w:val="auto"/>
        </w:rPr>
        <w:t xml:space="preserve">(The </w:t>
      </w:r>
      <w:r w:rsidRPr="00D0795E" w:rsidR="00F83527">
        <w:rPr>
          <w:color w:val="auto"/>
        </w:rPr>
        <w:t xml:space="preserve">categorical exclusion, </w:t>
      </w:r>
      <w:r w:rsidRPr="00D0795E" w:rsidR="00954886">
        <w:rPr>
          <w:color w:val="auto"/>
        </w:rPr>
        <w:t>EA,</w:t>
      </w:r>
      <w:r w:rsidRPr="00D0795E" w:rsidR="00F83527">
        <w:rPr>
          <w:color w:val="auto"/>
        </w:rPr>
        <w:t xml:space="preserve"> FONSI, and</w:t>
      </w:r>
      <w:r w:rsidR="00303A09">
        <w:rPr>
          <w:color w:val="auto"/>
        </w:rPr>
        <w:t>/or</w:t>
      </w:r>
      <w:r w:rsidRPr="00D0795E">
        <w:rPr>
          <w:color w:val="auto"/>
        </w:rPr>
        <w:t xml:space="preserve"> their supporting documents, will be singularly or collectively referred to herein as the “NEPA document(s)”.)</w:t>
      </w:r>
    </w:p>
    <w:p w:rsidRPr="00D0795E" w:rsidR="00CB72F1" w:rsidP="00F2257B" w:rsidRDefault="008243DC" w14:paraId="09508549" w14:textId="77777777">
      <w:pPr>
        <w:pStyle w:val="Default"/>
        <w:spacing w:line="480" w:lineRule="auto"/>
        <w:ind w:firstLine="720"/>
        <w:rPr>
          <w:color w:val="auto"/>
        </w:rPr>
      </w:pPr>
      <w:r w:rsidRPr="00D0795E">
        <w:rPr>
          <w:color w:val="auto"/>
        </w:rPr>
        <w:t xml:space="preserve">The Indian Gaming Regulatory Act (IGRA or the Act), Public Law 100–497, 25 U.S.C. 2701, </w:t>
      </w:r>
      <w:r w:rsidRPr="00D0795E">
        <w:rPr>
          <w:i/>
          <w:color w:val="auto"/>
        </w:rPr>
        <w:t>et seq.</w:t>
      </w:r>
      <w:r w:rsidRPr="00D0795E">
        <w:rPr>
          <w:color w:val="auto"/>
        </w:rPr>
        <w:t xml:space="preserve">, was signed into law on </w:t>
      </w:r>
      <w:smartTag w:uri="urn:schemas-microsoft-com:office:smarttags" w:element="date">
        <w:smartTagPr>
          <w:attr w:name="ls" w:val="trans"/>
          <w:attr w:name="Month" w:val="10"/>
          <w:attr w:name="Day" w:val="17"/>
          <w:attr w:name="Year" w:val="1988"/>
        </w:smartTagPr>
        <w:r w:rsidRPr="00D0795E">
          <w:rPr>
            <w:color w:val="auto"/>
          </w:rPr>
          <w:t>October 17, 1988</w:t>
        </w:r>
      </w:smartTag>
      <w:r w:rsidRPr="00D0795E">
        <w:rPr>
          <w:color w:val="auto"/>
        </w:rPr>
        <w:t xml:space="preserve">. The Act established the National Indian Gaming Commission (NIGC or Commission) and set out a comprehensive framework for the regulation of gaming on Indian lands. </w:t>
      </w:r>
      <w:r w:rsidRPr="00D0795E" w:rsidR="00816028">
        <w:rPr>
          <w:color w:val="auto"/>
        </w:rPr>
        <w:t>T</w:t>
      </w:r>
      <w:r w:rsidRPr="00D0795E">
        <w:rPr>
          <w:color w:val="auto"/>
        </w:rPr>
        <w:t>he Act sets standards for the regulation of</w:t>
      </w:r>
      <w:r w:rsidRPr="00D0795E" w:rsidR="00C47338">
        <w:rPr>
          <w:color w:val="auto"/>
        </w:rPr>
        <w:t xml:space="preserve"> Indian</w:t>
      </w:r>
      <w:r w:rsidRPr="00D0795E">
        <w:rPr>
          <w:color w:val="auto"/>
        </w:rPr>
        <w:t xml:space="preserve"> gaming,</w:t>
      </w:r>
      <w:r w:rsidRPr="00D0795E" w:rsidR="00816028">
        <w:rPr>
          <w:color w:val="auto"/>
        </w:rPr>
        <w:t xml:space="preserve"> </w:t>
      </w:r>
      <w:r w:rsidRPr="00D0795E" w:rsidR="00C47338">
        <w:rPr>
          <w:color w:val="auto"/>
        </w:rPr>
        <w:t>including</w:t>
      </w:r>
      <w:r w:rsidRPr="00D0795E">
        <w:rPr>
          <w:color w:val="auto"/>
        </w:rPr>
        <w:t xml:space="preserve"> </w:t>
      </w:r>
      <w:r w:rsidRPr="00D0795E" w:rsidR="00CB72F1">
        <w:rPr>
          <w:color w:val="auto"/>
        </w:rPr>
        <w:t>the responsibilit</w:t>
      </w:r>
      <w:r w:rsidRPr="00D0795E" w:rsidR="00C47338">
        <w:rPr>
          <w:color w:val="auto"/>
        </w:rPr>
        <w:t>y</w:t>
      </w:r>
      <w:r w:rsidRPr="00D0795E" w:rsidR="00CB72F1">
        <w:rPr>
          <w:color w:val="auto"/>
        </w:rPr>
        <w:t xml:space="preserve"> of the</w:t>
      </w:r>
      <w:r w:rsidRPr="00D0795E" w:rsidR="008C4DC4">
        <w:rPr>
          <w:color w:val="auto"/>
        </w:rPr>
        <w:t xml:space="preserve"> NIGC</w:t>
      </w:r>
      <w:r w:rsidRPr="00D0795E" w:rsidR="00CB72F1">
        <w:rPr>
          <w:color w:val="auto"/>
        </w:rPr>
        <w:t xml:space="preserve"> Chair</w:t>
      </w:r>
      <w:r w:rsidRPr="00D0795E" w:rsidR="008C4DC4">
        <w:rPr>
          <w:color w:val="auto"/>
        </w:rPr>
        <w:t xml:space="preserve"> to</w:t>
      </w:r>
      <w:r w:rsidRPr="00D0795E" w:rsidR="00CB72F1">
        <w:rPr>
          <w:color w:val="auto"/>
        </w:rPr>
        <w:t xml:space="preserve"> review and approv</w:t>
      </w:r>
      <w:r w:rsidRPr="00D0795E" w:rsidR="008C4DC4">
        <w:rPr>
          <w:color w:val="auto"/>
        </w:rPr>
        <w:t>e</w:t>
      </w:r>
      <w:r w:rsidRPr="00D0795E" w:rsidR="00CB72F1">
        <w:rPr>
          <w:color w:val="auto"/>
        </w:rPr>
        <w:t xml:space="preserve"> third-party management contracts that involve the operation of tribal gaming facilities. </w:t>
      </w:r>
      <w:r w:rsidRPr="00D0795E" w:rsidR="00816028">
        <w:rPr>
          <w:color w:val="auto"/>
        </w:rPr>
        <w:t>T</w:t>
      </w:r>
      <w:r w:rsidRPr="00D0795E" w:rsidR="00CB72F1">
        <w:rPr>
          <w:color w:val="auto"/>
        </w:rPr>
        <w:t xml:space="preserve">he </w:t>
      </w:r>
      <w:r w:rsidRPr="00D0795E" w:rsidR="00BD6E74">
        <w:rPr>
          <w:color w:val="auto"/>
        </w:rPr>
        <w:t xml:space="preserve">Commission has taken the </w:t>
      </w:r>
      <w:r w:rsidRPr="00D0795E" w:rsidR="00BD6E74">
        <w:rPr>
          <w:color w:val="auto"/>
        </w:rPr>
        <w:lastRenderedPageBreak/>
        <w:t xml:space="preserve">position that the </w:t>
      </w:r>
      <w:r w:rsidRPr="00D0795E" w:rsidR="00CB72F1">
        <w:rPr>
          <w:color w:val="auto"/>
        </w:rPr>
        <w:t xml:space="preserve">NEPA process is triggered when a tribe and </w:t>
      </w:r>
      <w:r w:rsidRPr="00D0795E" w:rsidR="00C47338">
        <w:rPr>
          <w:color w:val="auto"/>
        </w:rPr>
        <w:t xml:space="preserve">a </w:t>
      </w:r>
      <w:r w:rsidRPr="00D0795E" w:rsidR="00CA67FF">
        <w:rPr>
          <w:color w:val="auto"/>
        </w:rPr>
        <w:t>potential</w:t>
      </w:r>
      <w:r w:rsidRPr="00D0795E" w:rsidR="00CB72F1">
        <w:rPr>
          <w:color w:val="auto"/>
        </w:rPr>
        <w:t xml:space="preserve"> contractor</w:t>
      </w:r>
      <w:r w:rsidRPr="00D0795E" w:rsidR="00816028">
        <w:rPr>
          <w:color w:val="auto"/>
        </w:rPr>
        <w:t xml:space="preserve"> </w:t>
      </w:r>
      <w:r w:rsidRPr="00D0795E" w:rsidR="00CB72F1">
        <w:rPr>
          <w:color w:val="auto"/>
        </w:rPr>
        <w:t>seek approval of a manage</w:t>
      </w:r>
      <w:r w:rsidRPr="00D0795E" w:rsidR="00C47338">
        <w:rPr>
          <w:color w:val="auto"/>
        </w:rPr>
        <w:t xml:space="preserve">ment contract under 25 U.S.C. </w:t>
      </w:r>
      <w:r w:rsidRPr="00D0795E" w:rsidR="00CB72F1">
        <w:rPr>
          <w:color w:val="auto"/>
        </w:rPr>
        <w:t>2711</w:t>
      </w:r>
      <w:r w:rsidRPr="00D0795E" w:rsidR="00CA67FF">
        <w:rPr>
          <w:color w:val="auto"/>
        </w:rPr>
        <w:t>.</w:t>
      </w:r>
      <w:r w:rsidRPr="00D0795E" w:rsidR="00CB72F1">
        <w:rPr>
          <w:color w:val="auto"/>
        </w:rPr>
        <w:t xml:space="preserve"> Normally, an EA or EIS and its supporting documents are prepared by an environmental consult</w:t>
      </w:r>
      <w:r w:rsidRPr="00D0795E" w:rsidR="0083575A">
        <w:rPr>
          <w:color w:val="auto"/>
        </w:rPr>
        <w:t>ing firm</w:t>
      </w:r>
      <w:r w:rsidRPr="00D0795E" w:rsidR="00CB72F1">
        <w:rPr>
          <w:color w:val="auto"/>
        </w:rPr>
        <w:t xml:space="preserve"> and submitted to the Commission </w:t>
      </w:r>
      <w:r w:rsidRPr="00D0795E" w:rsidR="00816028">
        <w:rPr>
          <w:color w:val="auto"/>
        </w:rPr>
        <w:t>by the tribe</w:t>
      </w:r>
      <w:r w:rsidRPr="00D0795E" w:rsidR="00CB72F1">
        <w:rPr>
          <w:color w:val="auto"/>
        </w:rPr>
        <w:t>. In the case of an EA, the Commission must independently evaluate the</w:t>
      </w:r>
      <w:r w:rsidRPr="00D0795E" w:rsidR="00C47338">
        <w:rPr>
          <w:color w:val="auto"/>
        </w:rPr>
        <w:t xml:space="preserve"> NEPA</w:t>
      </w:r>
      <w:r w:rsidRPr="00D0795E" w:rsidR="00CB72F1">
        <w:rPr>
          <w:color w:val="auto"/>
        </w:rPr>
        <w:t xml:space="preserve"> document, verify its content, and assume responsibility for the accuracy of the information contained therein. In the case of </w:t>
      </w:r>
      <w:r w:rsidRPr="00D0795E" w:rsidR="00C47338">
        <w:rPr>
          <w:color w:val="auto"/>
        </w:rPr>
        <w:t xml:space="preserve">an </w:t>
      </w:r>
      <w:r w:rsidRPr="00D0795E" w:rsidR="00CB72F1">
        <w:rPr>
          <w:color w:val="auto"/>
        </w:rPr>
        <w:t>EIS, the Commission directs and is responsible for the preparation of the</w:t>
      </w:r>
      <w:r w:rsidRPr="00D0795E" w:rsidR="00C47338">
        <w:rPr>
          <w:color w:val="auto"/>
        </w:rPr>
        <w:t xml:space="preserve"> NEPA</w:t>
      </w:r>
      <w:r w:rsidRPr="00D0795E" w:rsidR="00CB72F1">
        <w:rPr>
          <w:color w:val="auto"/>
        </w:rPr>
        <w:t xml:space="preserve"> document, but the </w:t>
      </w:r>
      <w:r w:rsidRPr="00D0795E" w:rsidR="00816028">
        <w:rPr>
          <w:color w:val="auto"/>
        </w:rPr>
        <w:t>tribe</w:t>
      </w:r>
      <w:r w:rsidRPr="00D0795E" w:rsidR="00CB72F1">
        <w:rPr>
          <w:color w:val="auto"/>
        </w:rPr>
        <w:t xml:space="preserve"> or </w:t>
      </w:r>
      <w:r w:rsidRPr="00D0795E" w:rsidR="00816028">
        <w:rPr>
          <w:color w:val="auto"/>
        </w:rPr>
        <w:t>potential</w:t>
      </w:r>
      <w:r w:rsidRPr="00D0795E" w:rsidR="00CB72F1">
        <w:rPr>
          <w:color w:val="auto"/>
        </w:rPr>
        <w:t xml:space="preserve"> contractor is responsible for paying for the preparation of the document.</w:t>
      </w:r>
      <w:r w:rsidRPr="00D0795E" w:rsidR="00AC5BB2">
        <w:rPr>
          <w:color w:val="auto"/>
        </w:rPr>
        <w:t xml:space="preserve"> The information collected includes, but is not limited to, maps, charts, technical studies, correspondence from other agencies (federal, tribal, state, and local), and comments from the public.</w:t>
      </w:r>
      <w:r w:rsidRPr="00D0795E" w:rsidR="00CB72F1">
        <w:rPr>
          <w:color w:val="auto"/>
        </w:rPr>
        <w:t xml:space="preserve"> </w:t>
      </w:r>
    </w:p>
    <w:p w:rsidRPr="004C2D86" w:rsidR="00CB72F1" w:rsidP="005D0382" w:rsidRDefault="00CC6A42" w14:paraId="7115FF2F" w14:textId="77777777">
      <w:pPr>
        <w:spacing w:after="0" w:line="240" w:lineRule="auto"/>
        <w:ind w:left="360" w:hanging="360"/>
      </w:pPr>
      <w:r w:rsidRPr="00833BEC">
        <w:rPr>
          <w:rFonts w:ascii="Times New Roman" w:hAnsi="Times New Roman" w:cs="Times New Roman"/>
          <w:b/>
          <w:sz w:val="24"/>
          <w:szCs w:val="24"/>
        </w:rPr>
        <w:t xml:space="preserve">2. </w:t>
      </w:r>
      <w:r>
        <w:rPr>
          <w:rFonts w:ascii="Times New Roman" w:hAnsi="Times New Roman" w:cs="Times New Roman"/>
          <w:b/>
          <w:sz w:val="24"/>
          <w:szCs w:val="24"/>
        </w:rPr>
        <w:tab/>
      </w:r>
      <w:r w:rsidRPr="00833BEC">
        <w:rPr>
          <w:rFonts w:ascii="Times New Roman" w:hAnsi="Times New Roman" w:cs="Times New Roman"/>
          <w:b/>
          <w:sz w:val="24"/>
          <w:szCs w:val="24"/>
        </w:rPr>
        <w:t>Indicate how, by whom, and for what purpose the information is to be used. Except for a new collection, indicate the actual use the agency has made of the information received from the current collection.</w:t>
      </w:r>
      <w:r w:rsidRPr="004C2D86" w:rsidR="00CB72F1">
        <w:rPr>
          <w:b/>
          <w:bCs/>
        </w:rPr>
        <w:t xml:space="preserve"> </w:t>
      </w:r>
    </w:p>
    <w:p w:rsidR="003D4953" w:rsidP="005D0382" w:rsidRDefault="003D4953" w14:paraId="73EB9AB8" w14:textId="77777777">
      <w:pPr>
        <w:spacing w:after="0" w:line="240" w:lineRule="auto"/>
        <w:rPr>
          <w:rFonts w:ascii="Times New Roman" w:hAnsi="Times New Roman" w:cs="Times New Roman"/>
          <w:sz w:val="24"/>
          <w:szCs w:val="24"/>
        </w:rPr>
      </w:pPr>
    </w:p>
    <w:p w:rsidRPr="004C2D86" w:rsidR="00B74B18" w:rsidP="00F2257B" w:rsidRDefault="00CB72F1" w14:paraId="309B6D5F" w14:textId="77777777">
      <w:pPr>
        <w:pStyle w:val="Default"/>
        <w:spacing w:line="480" w:lineRule="auto"/>
        <w:ind w:firstLine="720"/>
      </w:pPr>
      <w:r w:rsidRPr="004C2D86">
        <w:t>The information contained in a</w:t>
      </w:r>
      <w:r w:rsidR="00AC5BB2">
        <w:t>n</w:t>
      </w:r>
      <w:r w:rsidRPr="004C2D86">
        <w:t xml:space="preserve"> EA or EIS is used to </w:t>
      </w:r>
      <w:r w:rsidR="00BD6E74">
        <w:t>ensure</w:t>
      </w:r>
      <w:r w:rsidRPr="004C2D86">
        <w:t xml:space="preserve"> compliance </w:t>
      </w:r>
      <w:r w:rsidR="00BD6E74">
        <w:t>with NEPA</w:t>
      </w:r>
      <w:r w:rsidRPr="004C2D86">
        <w:t xml:space="preserve">. The </w:t>
      </w:r>
      <w:r w:rsidR="00AC5BB2">
        <w:t xml:space="preserve">NIGC </w:t>
      </w:r>
      <w:r w:rsidRPr="004C2D86">
        <w:t xml:space="preserve">Chair uses </w:t>
      </w:r>
      <w:r w:rsidR="00AC5BB2">
        <w:t>these</w:t>
      </w:r>
      <w:r w:rsidRPr="004C2D86">
        <w:t xml:space="preserve"> NEPA document</w:t>
      </w:r>
      <w:r w:rsidR="00AC5BB2">
        <w:t>s</w:t>
      </w:r>
      <w:r w:rsidRPr="004C2D86">
        <w:t xml:space="preserve"> to determine whether there is a significant impact on the environment as a consequence of the proposed action. </w:t>
      </w:r>
    </w:p>
    <w:p w:rsidRPr="004C2D86" w:rsidR="00CB72F1" w:rsidP="005D0382" w:rsidRDefault="00CC6A42" w14:paraId="55BF97F9" w14:textId="77777777">
      <w:pPr>
        <w:spacing w:after="0" w:line="240" w:lineRule="auto"/>
        <w:ind w:left="360" w:hanging="360"/>
      </w:pPr>
      <w:r w:rsidRPr="00833BEC">
        <w:rPr>
          <w:rFonts w:ascii="Times New Roman" w:hAnsi="Times New Roman" w:cs="Times New Roman"/>
          <w:b/>
          <w:sz w:val="24"/>
          <w:szCs w:val="24"/>
        </w:rPr>
        <w:t xml:space="preserve">3. </w:t>
      </w:r>
      <w:r>
        <w:rPr>
          <w:rFonts w:ascii="Times New Roman" w:hAnsi="Times New Roman" w:cs="Times New Roman"/>
          <w:b/>
          <w:sz w:val="24"/>
          <w:szCs w:val="24"/>
        </w:rPr>
        <w:tab/>
      </w:r>
      <w:r w:rsidRPr="00833BEC">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4C2D86" w:rsidR="00CB72F1">
        <w:rPr>
          <w:b/>
          <w:bCs/>
        </w:rPr>
        <w:t xml:space="preserve"> </w:t>
      </w:r>
    </w:p>
    <w:p w:rsidR="003D4953" w:rsidP="005D0382" w:rsidRDefault="003D4953" w14:paraId="323609B8" w14:textId="77777777">
      <w:pPr>
        <w:pStyle w:val="Default"/>
        <w:ind w:firstLine="720"/>
      </w:pPr>
    </w:p>
    <w:p w:rsidRPr="004C2D86" w:rsidR="00CB72F1" w:rsidP="00F2257B" w:rsidRDefault="00D00DA4" w14:paraId="5E1F9EA6" w14:textId="77777777">
      <w:pPr>
        <w:pStyle w:val="Default"/>
        <w:spacing w:line="480" w:lineRule="auto"/>
        <w:ind w:firstLine="720"/>
      </w:pPr>
      <w:r>
        <w:t>While t</w:t>
      </w:r>
      <w:r w:rsidRPr="004C2D86" w:rsidR="00CB72F1">
        <w:t xml:space="preserve">he Commission encourages </w:t>
      </w:r>
      <w:r>
        <w:t xml:space="preserve">the public and </w:t>
      </w:r>
      <w:r w:rsidRPr="004C2D86" w:rsidR="00CB72F1">
        <w:t>other agencies</w:t>
      </w:r>
      <w:r>
        <w:t xml:space="preserve"> to</w:t>
      </w:r>
      <w:r w:rsidRPr="004C2D86" w:rsidR="00CB72F1">
        <w:t xml:space="preserve"> </w:t>
      </w:r>
      <w:r>
        <w:t xml:space="preserve">submit the </w:t>
      </w:r>
      <w:r w:rsidRPr="00427218">
        <w:t>information</w:t>
      </w:r>
      <w:r>
        <w:t xml:space="preserve"> under this collection</w:t>
      </w:r>
      <w:r w:rsidRPr="00427218">
        <w:t xml:space="preserve"> by compatible automated, electronic, a</w:t>
      </w:r>
      <w:r>
        <w:t xml:space="preserve">nd/or mechanical means, </w:t>
      </w:r>
      <w:r w:rsidR="00C47338">
        <w:t>other</w:t>
      </w:r>
      <w:r w:rsidRPr="004C2D86" w:rsidR="00CB72F1">
        <w:t xml:space="preserve"> agencies specifically request or mandate </w:t>
      </w:r>
      <w:r w:rsidR="00C47338">
        <w:t xml:space="preserve">that </w:t>
      </w:r>
      <w:r w:rsidRPr="004C2D86" w:rsidR="00CB72F1">
        <w:t>the</w:t>
      </w:r>
      <w:r w:rsidR="00C47338">
        <w:t xml:space="preserve"> NEPA</w:t>
      </w:r>
      <w:r w:rsidRPr="004C2D86" w:rsidR="00CB72F1">
        <w:t xml:space="preserve"> documents be in paper form. </w:t>
      </w:r>
    </w:p>
    <w:p w:rsidRPr="004C2D86" w:rsidR="00CB72F1" w:rsidP="005D0382" w:rsidRDefault="00CC6A42" w14:paraId="7E163917" w14:textId="77777777">
      <w:pPr>
        <w:spacing w:after="0" w:line="240" w:lineRule="auto"/>
        <w:ind w:left="360" w:hanging="360"/>
      </w:pPr>
      <w:r w:rsidRPr="00833BEC">
        <w:rPr>
          <w:rFonts w:ascii="Times New Roman" w:hAnsi="Times New Roman" w:cs="Times New Roman"/>
          <w:b/>
          <w:sz w:val="24"/>
          <w:szCs w:val="24"/>
        </w:rPr>
        <w:t xml:space="preserve">4. </w:t>
      </w:r>
      <w:r>
        <w:rPr>
          <w:rFonts w:ascii="Times New Roman" w:hAnsi="Times New Roman" w:cs="Times New Roman"/>
          <w:b/>
          <w:sz w:val="24"/>
          <w:szCs w:val="24"/>
        </w:rPr>
        <w:tab/>
      </w:r>
      <w:r w:rsidRPr="00833BEC">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Item 2 above.</w:t>
      </w:r>
    </w:p>
    <w:p w:rsidR="003D4953" w:rsidP="005D0382" w:rsidRDefault="003D4953" w14:paraId="3599320C" w14:textId="77777777">
      <w:pPr>
        <w:pStyle w:val="Default"/>
        <w:ind w:firstLine="720"/>
      </w:pPr>
    </w:p>
    <w:p w:rsidRPr="004C2D86" w:rsidR="00CB72F1" w:rsidP="00F2257B" w:rsidRDefault="005F0D56" w14:paraId="5121D897" w14:textId="77777777">
      <w:pPr>
        <w:pStyle w:val="Default"/>
        <w:spacing w:line="480" w:lineRule="auto"/>
        <w:ind w:firstLine="720"/>
      </w:pPr>
      <w:r>
        <w:lastRenderedPageBreak/>
        <w:t>The</w:t>
      </w:r>
      <w:r w:rsidRPr="004C2D86" w:rsidR="00CB72F1">
        <w:t xml:space="preserve"> CEQ</w:t>
      </w:r>
      <w:r w:rsidR="00C47338">
        <w:t>’s NEPA</w:t>
      </w:r>
      <w:r w:rsidRPr="004C2D86" w:rsidR="00CB72F1">
        <w:t xml:space="preserve"> regulations encourage the reuse of information “to reduce duplication and paperwork.” 40 </w:t>
      </w:r>
      <w:r w:rsidR="008E5D73">
        <w:t>CFR</w:t>
      </w:r>
      <w:r w:rsidRPr="004C2D86" w:rsidR="00CB72F1">
        <w:t xml:space="preserve"> § 1506.4. </w:t>
      </w:r>
      <w:r>
        <w:t>However, d</w:t>
      </w:r>
      <w:r w:rsidRPr="004C2D86" w:rsidR="00CB72F1">
        <w:t xml:space="preserve">ue to the highly individualized nature of the analysis conducted for NEPA compliance, most information will not be transferable. </w:t>
      </w:r>
      <w:r>
        <w:t>W</w:t>
      </w:r>
      <w:r w:rsidRPr="004C2D86" w:rsidR="00CB72F1">
        <w:t>here information in studies, such as regional impac</w:t>
      </w:r>
      <w:r w:rsidR="00C47338">
        <w:t>t studies (water, traffic, air)</w:t>
      </w:r>
      <w:r w:rsidRPr="004C2D86" w:rsidR="00CB72F1">
        <w:t xml:space="preserve"> is relevant in another project, the Commission does not require that an additional study be conducted but </w:t>
      </w:r>
      <w:r>
        <w:t>instead</w:t>
      </w:r>
      <w:r w:rsidRPr="004C2D86" w:rsidR="00CB72F1">
        <w:t xml:space="preserve"> encourage</w:t>
      </w:r>
      <w:r>
        <w:t>s</w:t>
      </w:r>
      <w:r w:rsidRPr="004C2D86" w:rsidR="00CB72F1">
        <w:t xml:space="preserve"> that the appropriate and all readily existing information be included as part of the NEPA document being prepared. </w:t>
      </w:r>
    </w:p>
    <w:p w:rsidRPr="004C2D86" w:rsidR="00CB72F1" w:rsidP="005D0382" w:rsidRDefault="00CC6A42" w14:paraId="1A7EF7B8" w14:textId="77777777">
      <w:pPr>
        <w:spacing w:after="0" w:line="240" w:lineRule="auto"/>
        <w:ind w:left="360" w:hanging="360"/>
      </w:pPr>
      <w:r w:rsidRPr="00833BEC">
        <w:rPr>
          <w:rFonts w:ascii="Times New Roman" w:hAnsi="Times New Roman" w:cs="Times New Roman"/>
          <w:b/>
          <w:sz w:val="24"/>
          <w:szCs w:val="24"/>
        </w:rPr>
        <w:t xml:space="preserve">5. </w:t>
      </w:r>
      <w:r>
        <w:rPr>
          <w:rFonts w:ascii="Times New Roman" w:hAnsi="Times New Roman" w:cs="Times New Roman"/>
          <w:b/>
          <w:sz w:val="24"/>
          <w:szCs w:val="24"/>
        </w:rPr>
        <w:tab/>
      </w:r>
      <w:r w:rsidRPr="00833BEC">
        <w:rPr>
          <w:rFonts w:ascii="Times New Roman" w:hAnsi="Times New Roman" w:cs="Times New Roman"/>
          <w:b/>
          <w:sz w:val="24"/>
          <w:szCs w:val="24"/>
        </w:rPr>
        <w:t>If the collection of information impacts small businesses or other small entities (Item 5 of OMB Form 83-I), describe any methods used to minimize burden.</w:t>
      </w:r>
      <w:r w:rsidRPr="004C2D86" w:rsidR="00CB72F1">
        <w:rPr>
          <w:b/>
          <w:bCs/>
        </w:rPr>
        <w:t xml:space="preserve"> </w:t>
      </w:r>
    </w:p>
    <w:p w:rsidR="003D4953" w:rsidP="005D0382" w:rsidRDefault="003D4953" w14:paraId="13F1FFAD" w14:textId="77777777">
      <w:pPr>
        <w:pStyle w:val="Default"/>
        <w:ind w:firstLine="720"/>
      </w:pPr>
    </w:p>
    <w:p w:rsidRPr="004C2D86" w:rsidR="00CB72F1" w:rsidP="005D0382" w:rsidRDefault="00D8133B" w14:paraId="45EA3B4E" w14:textId="17EC9BD7">
      <w:pPr>
        <w:pStyle w:val="Default"/>
        <w:ind w:firstLine="720"/>
      </w:pPr>
      <w:r>
        <w:t>N</w:t>
      </w:r>
      <w:r w:rsidRPr="002D1008">
        <w:t>one of the respondents meet the S</w:t>
      </w:r>
      <w:r w:rsidR="001E555D">
        <w:t xml:space="preserve">mall </w:t>
      </w:r>
      <w:r w:rsidRPr="002D1008">
        <w:t>B</w:t>
      </w:r>
      <w:r w:rsidR="001E555D">
        <w:t xml:space="preserve">usiness </w:t>
      </w:r>
      <w:r w:rsidRPr="002D1008">
        <w:t>A</w:t>
      </w:r>
      <w:r w:rsidR="001E555D">
        <w:t>dministration</w:t>
      </w:r>
      <w:r w:rsidRPr="002D1008">
        <w:t xml:space="preserve">’s definition of </w:t>
      </w:r>
      <w:r w:rsidR="001E555D">
        <w:t xml:space="preserve">a </w:t>
      </w:r>
      <w:r w:rsidRPr="002D1008">
        <w:t>small business</w:t>
      </w:r>
      <w:r w:rsidRPr="00427218" w:rsidR="00EA6A6F">
        <w:t xml:space="preserve">. </w:t>
      </w:r>
    </w:p>
    <w:p w:rsidRPr="00EA6A6F" w:rsidR="003D4953" w:rsidP="00EA6A6F" w:rsidRDefault="003D4953" w14:paraId="45F206A9" w14:textId="77777777">
      <w:pPr>
        <w:pStyle w:val="Default"/>
        <w:ind w:firstLine="720"/>
      </w:pPr>
    </w:p>
    <w:p w:rsidRPr="004C2D86" w:rsidR="00CB72F1" w:rsidP="005D0382" w:rsidRDefault="00CC6A42" w14:paraId="70F66DBD" w14:textId="77777777">
      <w:pPr>
        <w:spacing w:after="0" w:line="240" w:lineRule="auto"/>
        <w:ind w:left="360" w:hanging="360"/>
      </w:pPr>
      <w:r w:rsidRPr="00833BEC">
        <w:rPr>
          <w:rFonts w:ascii="Times New Roman" w:hAnsi="Times New Roman" w:cs="Times New Roman"/>
          <w:b/>
          <w:sz w:val="24"/>
          <w:szCs w:val="24"/>
        </w:rPr>
        <w:t xml:space="preserve">6. </w:t>
      </w:r>
      <w:r>
        <w:rPr>
          <w:rFonts w:ascii="Times New Roman" w:hAnsi="Times New Roman" w:cs="Times New Roman"/>
          <w:b/>
          <w:sz w:val="24"/>
          <w:szCs w:val="24"/>
        </w:rPr>
        <w:tab/>
      </w:r>
      <w:r w:rsidRPr="00833BEC">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r w:rsidRPr="004C2D86" w:rsidR="00CB72F1">
        <w:rPr>
          <w:b/>
          <w:bCs/>
        </w:rPr>
        <w:t xml:space="preserve"> </w:t>
      </w:r>
    </w:p>
    <w:p w:rsidR="003D4953" w:rsidP="005D0382" w:rsidRDefault="003D4953" w14:paraId="38DCDE87" w14:textId="77777777">
      <w:pPr>
        <w:spacing w:after="0" w:line="240" w:lineRule="auto"/>
        <w:rPr>
          <w:rFonts w:ascii="Times New Roman" w:hAnsi="Times New Roman" w:cs="Times New Roman"/>
          <w:sz w:val="24"/>
          <w:szCs w:val="24"/>
        </w:rPr>
      </w:pPr>
    </w:p>
    <w:p w:rsidR="00C47338" w:rsidP="00F2257B" w:rsidRDefault="00CB72F1" w14:paraId="0C51A60E" w14:textId="77777777">
      <w:pPr>
        <w:pStyle w:val="Default"/>
        <w:spacing w:line="480" w:lineRule="auto"/>
        <w:ind w:firstLine="720"/>
      </w:pPr>
      <w:r w:rsidRPr="004C2D86">
        <w:t xml:space="preserve">The </w:t>
      </w:r>
      <w:r w:rsidR="00BD6E74">
        <w:t xml:space="preserve">Commission has taken the position that the </w:t>
      </w:r>
      <w:r w:rsidRPr="004C2D86">
        <w:t>collection of a NEPA document is required by law. If the information is not collected</w:t>
      </w:r>
      <w:r w:rsidR="00C47338">
        <w:t xml:space="preserve"> and the NIGC Chair was</w:t>
      </w:r>
      <w:r w:rsidRPr="004C2D86" w:rsidR="00C47338">
        <w:t xml:space="preserve"> to approve a management contract </w:t>
      </w:r>
      <w:r w:rsidR="00C47338">
        <w:t>without</w:t>
      </w:r>
      <w:r w:rsidRPr="004C2D86" w:rsidR="00C47338">
        <w:t xml:space="preserve"> document</w:t>
      </w:r>
      <w:r w:rsidR="00C47338">
        <w:t>ing</w:t>
      </w:r>
      <w:r w:rsidRPr="004C2D86" w:rsidR="00C47338">
        <w:t xml:space="preserve"> and consider</w:t>
      </w:r>
      <w:r w:rsidR="00C47338">
        <w:t>ing</w:t>
      </w:r>
      <w:r w:rsidRPr="004C2D86" w:rsidR="00C47338">
        <w:t xml:space="preserve"> the environmental consequences of that </w:t>
      </w:r>
      <w:r w:rsidR="00C47338">
        <w:t xml:space="preserve">agency </w:t>
      </w:r>
      <w:r w:rsidRPr="004C2D86" w:rsidR="00C47338">
        <w:t>action</w:t>
      </w:r>
      <w:r w:rsidRPr="004C2D86">
        <w:t xml:space="preserve">, the Commission </w:t>
      </w:r>
      <w:r w:rsidR="00BD6E74">
        <w:t>c</w:t>
      </w:r>
      <w:r w:rsidRPr="004C2D86" w:rsidR="00BD6E74">
        <w:t xml:space="preserve">ould </w:t>
      </w:r>
      <w:r w:rsidRPr="004C2D86">
        <w:t xml:space="preserve">be subject to </w:t>
      </w:r>
      <w:r w:rsidR="00C47338">
        <w:t xml:space="preserve">a </w:t>
      </w:r>
      <w:r w:rsidRPr="004C2D86">
        <w:t>legal challenge under NEPA and</w:t>
      </w:r>
      <w:r w:rsidR="00AF3EEF">
        <w:t>/or</w:t>
      </w:r>
      <w:r w:rsidRPr="004C2D86">
        <w:t xml:space="preserve"> the Administrative</w:t>
      </w:r>
      <w:r w:rsidR="00C47338">
        <w:t xml:space="preserve"> Procedures Act</w:t>
      </w:r>
      <w:r w:rsidRPr="004C2D86">
        <w:t xml:space="preserve">. </w:t>
      </w:r>
    </w:p>
    <w:p w:rsidRPr="004C2D86" w:rsidR="00CB72F1" w:rsidP="00F2257B" w:rsidRDefault="00AF3EEF" w14:paraId="335C25BA" w14:textId="77777777">
      <w:pPr>
        <w:pStyle w:val="Default"/>
        <w:spacing w:line="480" w:lineRule="auto"/>
        <w:ind w:firstLine="720"/>
      </w:pPr>
      <w:r>
        <w:t>As a general matter</w:t>
      </w:r>
      <w:r w:rsidRPr="004C2D86" w:rsidR="00CB72F1">
        <w:t>, a NEPA document is</w:t>
      </w:r>
      <w:r w:rsidR="00C47338">
        <w:t xml:space="preserve"> only</w:t>
      </w:r>
      <w:r w:rsidRPr="004C2D86" w:rsidR="00CB72F1">
        <w:t xml:space="preserve"> collected</w:t>
      </w:r>
      <w:r>
        <w:t xml:space="preserve"> </w:t>
      </w:r>
      <w:r w:rsidRPr="004C2D86" w:rsidR="00CB72F1">
        <w:t>once</w:t>
      </w:r>
      <w:r w:rsidR="00C47338">
        <w:t xml:space="preserve">, unless the initial information collected becomes stale or unreliable due to the great </w:t>
      </w:r>
      <w:r w:rsidR="00C55365">
        <w:t xml:space="preserve">length of </w:t>
      </w:r>
      <w:r w:rsidRPr="004C2D86" w:rsidR="00CB72F1">
        <w:t>time between when the</w:t>
      </w:r>
      <w:r w:rsidR="00C55365">
        <w:t xml:space="preserve"> initial</w:t>
      </w:r>
      <w:r w:rsidRPr="004C2D86" w:rsidR="00CB72F1">
        <w:t xml:space="preserve"> information was collected and </w:t>
      </w:r>
      <w:r w:rsidR="00C55365">
        <w:t>the final agency</w:t>
      </w:r>
      <w:r w:rsidRPr="004C2D86" w:rsidR="00CB72F1">
        <w:t xml:space="preserve"> action </w:t>
      </w:r>
      <w:r w:rsidR="00C47338">
        <w:t>is taken</w:t>
      </w:r>
      <w:r w:rsidRPr="004C2D86" w:rsidR="00CB72F1">
        <w:t>.</w:t>
      </w:r>
    </w:p>
    <w:p w:rsidR="009B2DF7" w:rsidP="009B2DF7" w:rsidRDefault="009B2DF7" w14:paraId="712024B6" w14:textId="77777777">
      <w:pPr>
        <w:ind w:left="360" w:hanging="360"/>
        <w:rPr>
          <w:rFonts w:ascii="Times New Roman" w:hAnsi="Times New Roman" w:cs="Times New Roman"/>
          <w:b/>
          <w:sz w:val="24"/>
          <w:szCs w:val="24"/>
        </w:rPr>
      </w:pPr>
      <w:r w:rsidRPr="00833BEC">
        <w:rPr>
          <w:rFonts w:ascii="Times New Roman" w:hAnsi="Times New Roman" w:cs="Times New Roman"/>
          <w:b/>
          <w:sz w:val="24"/>
          <w:szCs w:val="24"/>
        </w:rPr>
        <w:t xml:space="preserve">7. </w:t>
      </w:r>
      <w:r>
        <w:rPr>
          <w:rFonts w:ascii="Times New Roman" w:hAnsi="Times New Roman" w:cs="Times New Roman"/>
          <w:b/>
          <w:sz w:val="24"/>
          <w:szCs w:val="24"/>
        </w:rPr>
        <w:tab/>
      </w:r>
      <w:r w:rsidRPr="00833BEC">
        <w:rPr>
          <w:rFonts w:ascii="Times New Roman" w:hAnsi="Times New Roman" w:cs="Times New Roman"/>
          <w:b/>
          <w:sz w:val="24"/>
          <w:szCs w:val="24"/>
        </w:rPr>
        <w:t xml:space="preserve">Explain any special circumstances that would cause an information collection to be conducted in a manner: </w:t>
      </w:r>
    </w:p>
    <w:p w:rsidR="009B2DF7" w:rsidP="009B2DF7" w:rsidRDefault="009B2DF7" w14:paraId="792D59A4" w14:textId="77777777">
      <w:pPr>
        <w:pStyle w:val="ListParagraph"/>
        <w:numPr>
          <w:ilvl w:val="0"/>
          <w:numId w:val="1"/>
        </w:numPr>
        <w:spacing w:after="0" w:line="240" w:lineRule="auto"/>
        <w:rPr>
          <w:rFonts w:ascii="Times New Roman" w:hAnsi="Times New Roman" w:cs="Times New Roman"/>
          <w:b/>
          <w:sz w:val="24"/>
          <w:szCs w:val="24"/>
        </w:rPr>
      </w:pPr>
      <w:r w:rsidRPr="005663C6">
        <w:rPr>
          <w:rFonts w:ascii="Times New Roman" w:hAnsi="Times New Roman" w:cs="Times New Roman"/>
          <w:b/>
          <w:sz w:val="24"/>
          <w:szCs w:val="24"/>
        </w:rPr>
        <w:t>requiring respondents to report information to the ag</w:t>
      </w:r>
      <w:r>
        <w:rPr>
          <w:rFonts w:ascii="Times New Roman" w:hAnsi="Times New Roman" w:cs="Times New Roman"/>
          <w:b/>
          <w:sz w:val="24"/>
          <w:szCs w:val="24"/>
        </w:rPr>
        <w:t>ency more often than quarterly:</w:t>
      </w:r>
    </w:p>
    <w:p w:rsidR="009B2DF7" w:rsidP="009B2DF7" w:rsidRDefault="009B2DF7" w14:paraId="5BD4EEC6" w14:textId="77777777">
      <w:pPr>
        <w:pStyle w:val="ListParagraph"/>
        <w:spacing w:after="0" w:line="240" w:lineRule="auto"/>
        <w:rPr>
          <w:rFonts w:ascii="Times New Roman" w:hAnsi="Times New Roman" w:cs="Times New Roman"/>
          <w:b/>
          <w:sz w:val="24"/>
          <w:szCs w:val="24"/>
        </w:rPr>
      </w:pPr>
    </w:p>
    <w:p w:rsidRPr="00033F36" w:rsidR="009B2DF7" w:rsidP="009B2DF7" w:rsidRDefault="009B2DF7" w14:paraId="12D9080F" w14:textId="77777777">
      <w:pPr>
        <w:pStyle w:val="ListParagraph"/>
        <w:spacing w:after="0" w:line="240" w:lineRule="auto"/>
        <w:rPr>
          <w:rFonts w:ascii="Times New Roman" w:hAnsi="Times New Roman" w:cs="Times New Roman"/>
          <w:sz w:val="24"/>
          <w:szCs w:val="24"/>
        </w:rPr>
      </w:pPr>
      <w:r w:rsidRPr="00033F36">
        <w:rPr>
          <w:rFonts w:ascii="Times New Roman" w:hAnsi="Times New Roman" w:cs="Times New Roman"/>
          <w:sz w:val="24"/>
          <w:szCs w:val="24"/>
        </w:rPr>
        <w:lastRenderedPageBreak/>
        <w:t>N/A</w:t>
      </w:r>
      <w:r>
        <w:rPr>
          <w:rFonts w:ascii="Times New Roman" w:hAnsi="Times New Roman" w:cs="Times New Roman"/>
          <w:sz w:val="24"/>
          <w:szCs w:val="24"/>
        </w:rPr>
        <w:t>.</w:t>
      </w:r>
    </w:p>
    <w:p w:rsidRPr="005663C6" w:rsidR="009B2DF7" w:rsidP="009B2DF7" w:rsidRDefault="009B2DF7" w14:paraId="2B16F108" w14:textId="77777777">
      <w:pPr>
        <w:pStyle w:val="ListParagraph"/>
        <w:spacing w:after="0" w:line="240" w:lineRule="auto"/>
        <w:rPr>
          <w:rFonts w:ascii="Times New Roman" w:hAnsi="Times New Roman" w:cs="Times New Roman"/>
          <w:b/>
          <w:sz w:val="24"/>
          <w:szCs w:val="24"/>
        </w:rPr>
      </w:pPr>
    </w:p>
    <w:p w:rsidR="009B2DF7" w:rsidP="009B2DF7" w:rsidRDefault="009B2DF7" w14:paraId="2A29819F" w14:textId="77777777">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requiring respondents to prepare a written response to a collection of information in fewer th</w:t>
      </w:r>
      <w:r>
        <w:rPr>
          <w:rFonts w:ascii="Times New Roman" w:hAnsi="Times New Roman" w:cs="Times New Roman"/>
          <w:b/>
          <w:sz w:val="24"/>
          <w:szCs w:val="24"/>
        </w:rPr>
        <w:t>an 30 days after receipt of it:</w:t>
      </w:r>
    </w:p>
    <w:p w:rsidR="009B2DF7" w:rsidP="009B2DF7" w:rsidRDefault="009B2DF7" w14:paraId="155E6FB4" w14:textId="77777777">
      <w:pPr>
        <w:pStyle w:val="ListParagraph"/>
        <w:spacing w:after="0" w:line="240" w:lineRule="auto"/>
        <w:rPr>
          <w:rFonts w:ascii="Times New Roman" w:hAnsi="Times New Roman" w:cs="Times New Roman"/>
          <w:b/>
          <w:sz w:val="24"/>
          <w:szCs w:val="24"/>
        </w:rPr>
      </w:pPr>
    </w:p>
    <w:p w:rsidRPr="00033F36" w:rsidR="009B2DF7" w:rsidP="009B2DF7" w:rsidRDefault="009B2DF7" w14:paraId="62F0160B" w14:textId="77777777">
      <w:pPr>
        <w:pStyle w:val="ListParagraph"/>
        <w:spacing w:after="0" w:line="240" w:lineRule="auto"/>
        <w:rPr>
          <w:rFonts w:ascii="Times New Roman" w:hAnsi="Times New Roman" w:cs="Times New Roman"/>
          <w:sz w:val="24"/>
          <w:szCs w:val="24"/>
        </w:rPr>
      </w:pPr>
      <w:r w:rsidRPr="00033F36">
        <w:rPr>
          <w:rFonts w:ascii="Times New Roman" w:hAnsi="Times New Roman" w:cs="Times New Roman"/>
          <w:sz w:val="24"/>
          <w:szCs w:val="24"/>
        </w:rPr>
        <w:t>N/A</w:t>
      </w:r>
      <w:r>
        <w:rPr>
          <w:rFonts w:ascii="Times New Roman" w:hAnsi="Times New Roman" w:cs="Times New Roman"/>
          <w:sz w:val="24"/>
          <w:szCs w:val="24"/>
        </w:rPr>
        <w:t>.</w:t>
      </w:r>
    </w:p>
    <w:p w:rsidRPr="00033F36" w:rsidR="009B2DF7" w:rsidP="009B2DF7" w:rsidRDefault="009B2DF7" w14:paraId="2F8A930B" w14:textId="77777777">
      <w:pPr>
        <w:pStyle w:val="ListParagraph"/>
        <w:spacing w:after="0" w:line="240" w:lineRule="auto"/>
        <w:rPr>
          <w:rFonts w:ascii="Times New Roman" w:hAnsi="Times New Roman" w:cs="Times New Roman"/>
          <w:b/>
          <w:sz w:val="24"/>
          <w:szCs w:val="24"/>
        </w:rPr>
      </w:pPr>
    </w:p>
    <w:p w:rsidR="009B2DF7" w:rsidP="009B2DF7" w:rsidRDefault="009B2DF7" w14:paraId="7237C7D0" w14:textId="77777777">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 xml:space="preserve">requiring respondents to submit more than an original </w:t>
      </w:r>
      <w:r>
        <w:rPr>
          <w:rFonts w:ascii="Times New Roman" w:hAnsi="Times New Roman" w:cs="Times New Roman"/>
          <w:b/>
          <w:sz w:val="24"/>
          <w:szCs w:val="24"/>
        </w:rPr>
        <w:t>and two copies of any document:</w:t>
      </w:r>
    </w:p>
    <w:p w:rsidR="009B2DF7" w:rsidP="009B2DF7" w:rsidRDefault="009B2DF7" w14:paraId="60F966F4" w14:textId="77777777">
      <w:pPr>
        <w:pStyle w:val="ListParagraph"/>
        <w:spacing w:after="0" w:line="240" w:lineRule="auto"/>
        <w:rPr>
          <w:rFonts w:ascii="Times New Roman" w:hAnsi="Times New Roman" w:cs="Times New Roman"/>
          <w:b/>
          <w:sz w:val="24"/>
          <w:szCs w:val="24"/>
        </w:rPr>
      </w:pPr>
    </w:p>
    <w:p w:rsidRPr="00033F36" w:rsidR="009B2DF7" w:rsidP="009B2DF7" w:rsidRDefault="009B2DF7" w14:paraId="5AEF8A29" w14:textId="77777777">
      <w:pPr>
        <w:pStyle w:val="ListParagraph"/>
        <w:spacing w:after="0" w:line="240" w:lineRule="auto"/>
        <w:rPr>
          <w:rFonts w:ascii="Times New Roman" w:hAnsi="Times New Roman" w:cs="Times New Roman"/>
          <w:sz w:val="24"/>
          <w:szCs w:val="24"/>
        </w:rPr>
      </w:pPr>
      <w:r w:rsidRPr="00033F36">
        <w:rPr>
          <w:rFonts w:ascii="Times New Roman" w:hAnsi="Times New Roman" w:cs="Times New Roman"/>
          <w:sz w:val="24"/>
          <w:szCs w:val="24"/>
        </w:rPr>
        <w:t>N/A</w:t>
      </w:r>
      <w:r>
        <w:rPr>
          <w:rFonts w:ascii="Times New Roman" w:hAnsi="Times New Roman" w:cs="Times New Roman"/>
          <w:sz w:val="24"/>
          <w:szCs w:val="24"/>
        </w:rPr>
        <w:t>.</w:t>
      </w:r>
    </w:p>
    <w:p w:rsidRPr="00033F36" w:rsidR="009B2DF7" w:rsidP="009B2DF7" w:rsidRDefault="009B2DF7" w14:paraId="329439D6" w14:textId="77777777">
      <w:pPr>
        <w:spacing w:after="0" w:line="240" w:lineRule="auto"/>
        <w:rPr>
          <w:rFonts w:ascii="Times New Roman" w:hAnsi="Times New Roman" w:cs="Times New Roman"/>
          <w:b/>
          <w:sz w:val="24"/>
          <w:szCs w:val="24"/>
        </w:rPr>
      </w:pPr>
    </w:p>
    <w:p w:rsidR="009B2DF7" w:rsidP="009B2DF7" w:rsidRDefault="009B2DF7" w14:paraId="7B7B92A4" w14:textId="77777777">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requiring respondents to retain records, other than health, medical, government contract, grant-in-aid, or tax reco</w:t>
      </w:r>
      <w:r>
        <w:rPr>
          <w:rFonts w:ascii="Times New Roman" w:hAnsi="Times New Roman" w:cs="Times New Roman"/>
          <w:b/>
          <w:sz w:val="24"/>
          <w:szCs w:val="24"/>
        </w:rPr>
        <w:t>rds, for more than three years:</w:t>
      </w:r>
    </w:p>
    <w:p w:rsidR="009B2DF7" w:rsidP="009B2DF7" w:rsidRDefault="009B2DF7" w14:paraId="4EB59DDB" w14:textId="77777777">
      <w:pPr>
        <w:pStyle w:val="ListParagraph"/>
        <w:spacing w:after="0" w:line="240" w:lineRule="auto"/>
        <w:rPr>
          <w:rFonts w:ascii="Times New Roman" w:hAnsi="Times New Roman" w:cs="Times New Roman"/>
          <w:b/>
          <w:sz w:val="24"/>
          <w:szCs w:val="24"/>
        </w:rPr>
      </w:pPr>
    </w:p>
    <w:p w:rsidRPr="00201C87" w:rsidR="009B2DF7" w:rsidP="00201C87" w:rsidRDefault="009B2DF7" w14:paraId="2875B333" w14:textId="77777777">
      <w:pPr>
        <w:spacing w:after="0" w:line="480" w:lineRule="auto"/>
        <w:ind w:firstLine="720"/>
        <w:rPr>
          <w:rFonts w:ascii="Times New Roman" w:hAnsi="Times New Roman" w:cs="Times New Roman"/>
          <w:sz w:val="24"/>
          <w:szCs w:val="24"/>
        </w:rPr>
      </w:pPr>
      <w:r w:rsidRPr="009B2DF7">
        <w:rPr>
          <w:rFonts w:ascii="Times New Roman" w:hAnsi="Times New Roman" w:cs="Times New Roman"/>
          <w:color w:val="000000"/>
          <w:sz w:val="24"/>
          <w:szCs w:val="24"/>
        </w:rPr>
        <w:t>N/A</w:t>
      </w:r>
    </w:p>
    <w:p w:rsidR="009B2DF7" w:rsidP="009B2DF7" w:rsidRDefault="009B2DF7" w14:paraId="466880CC" w14:textId="77777777">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in connection with a statistical survey, that is not designed to produce valid and reliable results that can be gener</w:t>
      </w:r>
      <w:r>
        <w:rPr>
          <w:rFonts w:ascii="Times New Roman" w:hAnsi="Times New Roman" w:cs="Times New Roman"/>
          <w:b/>
          <w:sz w:val="24"/>
          <w:szCs w:val="24"/>
        </w:rPr>
        <w:t>alized to the universe of study:</w:t>
      </w:r>
    </w:p>
    <w:p w:rsidR="009B2DF7" w:rsidP="009B2DF7" w:rsidRDefault="009B2DF7" w14:paraId="3221E0B6" w14:textId="77777777">
      <w:pPr>
        <w:pStyle w:val="ListParagraph"/>
        <w:spacing w:after="0" w:line="240" w:lineRule="auto"/>
        <w:rPr>
          <w:rFonts w:ascii="Times New Roman" w:hAnsi="Times New Roman" w:cs="Times New Roman"/>
          <w:b/>
          <w:sz w:val="24"/>
          <w:szCs w:val="24"/>
        </w:rPr>
      </w:pPr>
    </w:p>
    <w:p w:rsidRPr="00033F36" w:rsidR="009B2DF7" w:rsidP="009B2DF7" w:rsidRDefault="009B2DF7" w14:paraId="58B66E59" w14:textId="77777777">
      <w:pPr>
        <w:pStyle w:val="ListParagraph"/>
        <w:spacing w:after="0" w:line="240" w:lineRule="auto"/>
        <w:rPr>
          <w:rFonts w:ascii="Times New Roman" w:hAnsi="Times New Roman" w:cs="Times New Roman"/>
          <w:sz w:val="24"/>
          <w:szCs w:val="24"/>
        </w:rPr>
      </w:pPr>
      <w:r w:rsidRPr="00033F36">
        <w:rPr>
          <w:rFonts w:ascii="Times New Roman" w:hAnsi="Times New Roman" w:cs="Times New Roman"/>
          <w:sz w:val="24"/>
          <w:szCs w:val="24"/>
        </w:rPr>
        <w:t>N/A</w:t>
      </w:r>
      <w:r>
        <w:rPr>
          <w:rFonts w:ascii="Times New Roman" w:hAnsi="Times New Roman" w:cs="Times New Roman"/>
          <w:sz w:val="24"/>
          <w:szCs w:val="24"/>
        </w:rPr>
        <w:t>.</w:t>
      </w:r>
    </w:p>
    <w:p w:rsidRPr="00212403" w:rsidR="009B2DF7" w:rsidP="009B2DF7" w:rsidRDefault="009B2DF7" w14:paraId="69B42A11" w14:textId="77777777">
      <w:pPr>
        <w:spacing w:after="0" w:line="240" w:lineRule="auto"/>
        <w:rPr>
          <w:rFonts w:ascii="Times New Roman" w:hAnsi="Times New Roman" w:cs="Times New Roman"/>
          <w:b/>
          <w:sz w:val="24"/>
          <w:szCs w:val="24"/>
        </w:rPr>
      </w:pPr>
    </w:p>
    <w:p w:rsidR="009B2DF7" w:rsidP="009B2DF7" w:rsidRDefault="009B2DF7" w14:paraId="3FBEB0EE" w14:textId="77777777">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requiring the use of a statistical data classification that has not bee</w:t>
      </w:r>
      <w:r>
        <w:rPr>
          <w:rFonts w:ascii="Times New Roman" w:hAnsi="Times New Roman" w:cs="Times New Roman"/>
          <w:b/>
          <w:sz w:val="24"/>
          <w:szCs w:val="24"/>
        </w:rPr>
        <w:t>n reviewed and approved by OMB:</w:t>
      </w:r>
    </w:p>
    <w:p w:rsidRPr="00212403" w:rsidR="009B2DF7" w:rsidP="009B2DF7" w:rsidRDefault="009B2DF7" w14:paraId="119683BD" w14:textId="77777777">
      <w:pPr>
        <w:spacing w:after="0" w:line="240" w:lineRule="auto"/>
        <w:rPr>
          <w:rFonts w:ascii="Times New Roman" w:hAnsi="Times New Roman" w:cs="Times New Roman"/>
          <w:b/>
          <w:sz w:val="24"/>
          <w:szCs w:val="24"/>
        </w:rPr>
      </w:pPr>
    </w:p>
    <w:p w:rsidRPr="00033F36" w:rsidR="009B2DF7" w:rsidP="009B2DF7" w:rsidRDefault="009B2DF7" w14:paraId="5648A501" w14:textId="77777777">
      <w:pPr>
        <w:pStyle w:val="ListParagraph"/>
        <w:spacing w:after="0" w:line="240" w:lineRule="auto"/>
        <w:rPr>
          <w:rFonts w:ascii="Times New Roman" w:hAnsi="Times New Roman" w:cs="Times New Roman"/>
          <w:sz w:val="24"/>
          <w:szCs w:val="24"/>
        </w:rPr>
      </w:pPr>
      <w:r w:rsidRPr="00033F36">
        <w:rPr>
          <w:rFonts w:ascii="Times New Roman" w:hAnsi="Times New Roman" w:cs="Times New Roman"/>
          <w:sz w:val="24"/>
          <w:szCs w:val="24"/>
        </w:rPr>
        <w:t>N/A</w:t>
      </w:r>
      <w:r>
        <w:rPr>
          <w:rFonts w:ascii="Times New Roman" w:hAnsi="Times New Roman" w:cs="Times New Roman"/>
          <w:sz w:val="24"/>
          <w:szCs w:val="24"/>
        </w:rPr>
        <w:t>.</w:t>
      </w:r>
    </w:p>
    <w:p w:rsidRPr="00212403" w:rsidR="009B2DF7" w:rsidP="009B2DF7" w:rsidRDefault="009B2DF7" w14:paraId="3BEEEBCF" w14:textId="77777777">
      <w:pPr>
        <w:spacing w:after="0" w:line="240" w:lineRule="auto"/>
        <w:rPr>
          <w:rFonts w:ascii="Times New Roman" w:hAnsi="Times New Roman" w:cs="Times New Roman"/>
          <w:b/>
          <w:sz w:val="24"/>
          <w:szCs w:val="24"/>
        </w:rPr>
      </w:pPr>
    </w:p>
    <w:p w:rsidR="009B2DF7" w:rsidP="009B2DF7" w:rsidRDefault="009B2DF7" w14:paraId="57D932DF" w14:textId="77777777">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w:t>
      </w:r>
      <w:r>
        <w:rPr>
          <w:rFonts w:ascii="Times New Roman" w:hAnsi="Times New Roman" w:cs="Times New Roman"/>
          <w:b/>
          <w:sz w:val="24"/>
          <w:szCs w:val="24"/>
        </w:rPr>
        <w:t>for compatible confidential use, or:</w:t>
      </w:r>
    </w:p>
    <w:p w:rsidRPr="00212403" w:rsidR="009B2DF7" w:rsidP="009B2DF7" w:rsidRDefault="009B2DF7" w14:paraId="42818A93" w14:textId="77777777">
      <w:pPr>
        <w:spacing w:after="0" w:line="240" w:lineRule="auto"/>
        <w:rPr>
          <w:rFonts w:ascii="Times New Roman" w:hAnsi="Times New Roman" w:cs="Times New Roman"/>
          <w:b/>
          <w:sz w:val="24"/>
          <w:szCs w:val="24"/>
        </w:rPr>
      </w:pPr>
    </w:p>
    <w:p w:rsidRPr="00033F36" w:rsidR="009B2DF7" w:rsidP="009B2DF7" w:rsidRDefault="009B2DF7" w14:paraId="7EAE0303" w14:textId="77777777">
      <w:pPr>
        <w:pStyle w:val="ListParagraph"/>
        <w:spacing w:after="0" w:line="240" w:lineRule="auto"/>
        <w:rPr>
          <w:rFonts w:ascii="Times New Roman" w:hAnsi="Times New Roman" w:cs="Times New Roman"/>
          <w:sz w:val="24"/>
          <w:szCs w:val="24"/>
        </w:rPr>
      </w:pPr>
      <w:r w:rsidRPr="00033F36">
        <w:rPr>
          <w:rFonts w:ascii="Times New Roman" w:hAnsi="Times New Roman" w:cs="Times New Roman"/>
          <w:sz w:val="24"/>
          <w:szCs w:val="24"/>
        </w:rPr>
        <w:t>N/A</w:t>
      </w:r>
      <w:r>
        <w:rPr>
          <w:rFonts w:ascii="Times New Roman" w:hAnsi="Times New Roman" w:cs="Times New Roman"/>
          <w:sz w:val="24"/>
          <w:szCs w:val="24"/>
        </w:rPr>
        <w:t>.</w:t>
      </w:r>
    </w:p>
    <w:p w:rsidRPr="00212403" w:rsidR="009B2DF7" w:rsidP="009B2DF7" w:rsidRDefault="009B2DF7" w14:paraId="74B69395" w14:textId="77777777">
      <w:pPr>
        <w:spacing w:after="0" w:line="240" w:lineRule="auto"/>
        <w:rPr>
          <w:rFonts w:ascii="Times New Roman" w:hAnsi="Times New Roman" w:cs="Times New Roman"/>
          <w:b/>
          <w:sz w:val="24"/>
          <w:szCs w:val="24"/>
        </w:rPr>
      </w:pPr>
    </w:p>
    <w:p w:rsidRPr="00212403" w:rsidR="009B2DF7" w:rsidP="009B2DF7" w:rsidRDefault="009B2DF7" w14:paraId="1B48A0F6" w14:textId="77777777">
      <w:pPr>
        <w:pStyle w:val="ListParagraph"/>
        <w:numPr>
          <w:ilvl w:val="0"/>
          <w:numId w:val="1"/>
        </w:numPr>
        <w:spacing w:after="0" w:line="240" w:lineRule="auto"/>
        <w:rPr>
          <w:rFonts w:ascii="Times New Roman" w:hAnsi="Times New Roman" w:cs="Times New Roman"/>
          <w:color w:val="000000"/>
          <w:sz w:val="24"/>
          <w:szCs w:val="24"/>
        </w:rPr>
      </w:pPr>
      <w:r w:rsidRPr="00833BEC">
        <w:rPr>
          <w:rFonts w:ascii="Times New Roman" w:hAnsi="Times New Roman" w:cs="Times New Roman"/>
          <w:b/>
          <w:sz w:val="24"/>
          <w:szCs w:val="24"/>
        </w:rPr>
        <w:t>requiring respondents to submit proprietary trade secrets, or other confidential information unless the agency can demonstrate that it has instituted procedures to protect the information's confidentiality to the extent permitted by law.</w:t>
      </w:r>
      <w:r w:rsidRPr="00427218">
        <w:rPr>
          <w:rFonts w:ascii="Times New Roman" w:hAnsi="Times New Roman" w:cs="Times New Roman"/>
          <w:b/>
          <w:bCs/>
          <w:color w:val="000000"/>
          <w:sz w:val="24"/>
          <w:szCs w:val="24"/>
        </w:rPr>
        <w:t xml:space="preserve"> </w:t>
      </w:r>
    </w:p>
    <w:p w:rsidR="009B2DF7" w:rsidP="009B2DF7" w:rsidRDefault="009B2DF7" w14:paraId="4C53AB26" w14:textId="77777777">
      <w:pPr>
        <w:pStyle w:val="ListParagraph"/>
        <w:spacing w:after="0" w:line="240" w:lineRule="auto"/>
        <w:rPr>
          <w:rFonts w:ascii="Times New Roman" w:hAnsi="Times New Roman" w:cs="Times New Roman"/>
          <w:b/>
          <w:sz w:val="24"/>
          <w:szCs w:val="24"/>
        </w:rPr>
      </w:pPr>
    </w:p>
    <w:p w:rsidR="009B2DF7" w:rsidP="009B2DF7" w:rsidRDefault="009B2DF7" w14:paraId="40D9A9F8" w14:textId="77777777">
      <w:pPr>
        <w:pStyle w:val="ListParagraph"/>
        <w:spacing w:after="0" w:line="240" w:lineRule="auto"/>
        <w:rPr>
          <w:rFonts w:ascii="Times New Roman" w:hAnsi="Times New Roman" w:cs="Times New Roman"/>
          <w:sz w:val="24"/>
          <w:szCs w:val="24"/>
        </w:rPr>
      </w:pPr>
      <w:r w:rsidRPr="00033F36">
        <w:rPr>
          <w:rFonts w:ascii="Times New Roman" w:hAnsi="Times New Roman" w:cs="Times New Roman"/>
          <w:sz w:val="24"/>
          <w:szCs w:val="24"/>
        </w:rPr>
        <w:t>N/A</w:t>
      </w:r>
      <w:r>
        <w:rPr>
          <w:rFonts w:ascii="Times New Roman" w:hAnsi="Times New Roman" w:cs="Times New Roman"/>
          <w:sz w:val="24"/>
          <w:szCs w:val="24"/>
        </w:rPr>
        <w:t>.</w:t>
      </w:r>
    </w:p>
    <w:p w:rsidRPr="00033F36" w:rsidR="00727783" w:rsidP="009B2DF7" w:rsidRDefault="00727783" w14:paraId="795A6EC6" w14:textId="77777777">
      <w:pPr>
        <w:pStyle w:val="ListParagraph"/>
        <w:spacing w:after="0" w:line="240" w:lineRule="auto"/>
        <w:rPr>
          <w:rFonts w:ascii="Times New Roman" w:hAnsi="Times New Roman" w:cs="Times New Roman"/>
          <w:sz w:val="24"/>
          <w:szCs w:val="24"/>
        </w:rPr>
      </w:pPr>
    </w:p>
    <w:p w:rsidRPr="00833BEC" w:rsidR="00CC6A42" w:rsidP="005D0382" w:rsidRDefault="00CC6A42" w14:paraId="1D58A069" w14:textId="77777777">
      <w:pPr>
        <w:spacing w:after="0" w:line="240" w:lineRule="auto"/>
        <w:ind w:left="360" w:hanging="360"/>
        <w:rPr>
          <w:rFonts w:ascii="Times New Roman" w:hAnsi="Times New Roman" w:cs="Times New Roman"/>
          <w:b/>
          <w:sz w:val="24"/>
          <w:szCs w:val="24"/>
        </w:rPr>
      </w:pPr>
      <w:r w:rsidRPr="00833BEC">
        <w:rPr>
          <w:rFonts w:ascii="Times New Roman" w:hAnsi="Times New Roman" w:cs="Times New Roman"/>
          <w:b/>
          <w:sz w:val="24"/>
          <w:szCs w:val="24"/>
        </w:rPr>
        <w:t xml:space="preserve">8. </w:t>
      </w:r>
      <w:r>
        <w:rPr>
          <w:rFonts w:ascii="Times New Roman" w:hAnsi="Times New Roman" w:cs="Times New Roman"/>
          <w:b/>
          <w:sz w:val="24"/>
          <w:szCs w:val="24"/>
        </w:rPr>
        <w:tab/>
      </w:r>
      <w:r w:rsidRPr="00833BEC">
        <w:rPr>
          <w:rFonts w:ascii="Times New Roman" w:hAnsi="Times New Roman" w:cs="Times New Roman"/>
          <w:b/>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833BEC" w:rsidR="00CC6A42" w:rsidP="005D0382" w:rsidRDefault="00CC6A42" w14:paraId="6C0EA6FF" w14:textId="77777777">
      <w:pPr>
        <w:spacing w:after="0" w:line="240" w:lineRule="auto"/>
        <w:ind w:left="360"/>
        <w:rPr>
          <w:rFonts w:ascii="Times New Roman" w:hAnsi="Times New Roman" w:cs="Times New Roman"/>
          <w:b/>
          <w:sz w:val="24"/>
          <w:szCs w:val="24"/>
        </w:rPr>
      </w:pPr>
      <w:r w:rsidRPr="00833BEC">
        <w:rPr>
          <w:rFonts w:ascii="Times New Roman" w:hAnsi="Times New Roman" w:cs="Times New Roman"/>
          <w:b/>
          <w:sz w:val="24"/>
          <w:szCs w:val="24"/>
        </w:rPr>
        <w:lastRenderedPageBreak/>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4C2D86" w:rsidR="00CB72F1" w:rsidP="005D0382" w:rsidRDefault="00CC6A42" w14:paraId="09297016" w14:textId="77777777">
      <w:pPr>
        <w:spacing w:after="0" w:line="240" w:lineRule="auto"/>
        <w:ind w:left="360"/>
        <w:rPr>
          <w:rFonts w:ascii="Times New Roman" w:hAnsi="Times New Roman" w:cs="Times New Roman"/>
          <w:b/>
          <w:bCs/>
          <w:sz w:val="24"/>
          <w:szCs w:val="24"/>
        </w:rPr>
      </w:pPr>
      <w:r w:rsidRPr="00833BEC">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D4953" w:rsidP="005D0382" w:rsidRDefault="003D4953" w14:paraId="15BDC1C1" w14:textId="77777777">
      <w:pPr>
        <w:pStyle w:val="Default"/>
        <w:ind w:firstLine="720"/>
      </w:pPr>
    </w:p>
    <w:p w:rsidR="00DD5A2A" w:rsidP="00FA3EFA" w:rsidRDefault="00DD5A2A" w14:paraId="2BBEC0B6" w14:textId="77777777">
      <w:pPr>
        <w:pStyle w:val="Default"/>
        <w:spacing w:line="480" w:lineRule="auto"/>
        <w:ind w:firstLine="360"/>
      </w:pPr>
      <w:r w:rsidRPr="00C21C71">
        <w:t xml:space="preserve">On </w:t>
      </w:r>
      <w:r w:rsidR="000E475C">
        <w:t>J</w:t>
      </w:r>
      <w:r w:rsidR="007664E1">
        <w:t>uly 1, 2019</w:t>
      </w:r>
      <w:r w:rsidRPr="00C21C71">
        <w:t xml:space="preserve">, a </w:t>
      </w:r>
      <w:r w:rsidR="007664E1">
        <w:t>60-</w:t>
      </w:r>
      <w:r w:rsidRPr="00C21C71">
        <w:t>notice contai</w:t>
      </w:r>
      <w:r>
        <w:t>ning the information collection renewals</w:t>
      </w:r>
      <w:r w:rsidRPr="00C21C71">
        <w:t xml:space="preserve"> was published in the Federal Register allowing the public an opportunity to comment on the requirements.</w:t>
      </w:r>
      <w:r w:rsidRPr="00A64E8A" w:rsidR="00A64E8A">
        <w:t xml:space="preserve"> </w:t>
      </w:r>
      <w:r w:rsidRPr="00AB7CB2" w:rsidR="007664E1">
        <w:rPr>
          <w:i/>
        </w:rPr>
        <w:t>See</w:t>
      </w:r>
      <w:r w:rsidR="007664E1">
        <w:t xml:space="preserve"> 84 FR 31338 (July 1, 2019)</w:t>
      </w:r>
      <w:r>
        <w:t xml:space="preserve">. </w:t>
      </w:r>
      <w:r w:rsidRPr="00C21C71">
        <w:t xml:space="preserve">The public comment period closed on </w:t>
      </w:r>
      <w:r w:rsidR="002102DF">
        <w:t>August</w:t>
      </w:r>
      <w:r>
        <w:t xml:space="preserve"> </w:t>
      </w:r>
      <w:r w:rsidR="007664E1">
        <w:t>1, 2019</w:t>
      </w:r>
      <w:r w:rsidRPr="00C21C71">
        <w:t>. No public comments were received.</w:t>
      </w:r>
      <w:r>
        <w:t xml:space="preserve"> </w:t>
      </w:r>
    </w:p>
    <w:p w:rsidR="00FB59EB" w:rsidP="00FA3EFA" w:rsidRDefault="00FB59EB" w14:paraId="4FF3D76A" w14:textId="77777777">
      <w:pPr>
        <w:pStyle w:val="Default"/>
        <w:spacing w:line="480" w:lineRule="auto"/>
        <w:ind w:firstLine="360"/>
      </w:pPr>
      <w:r w:rsidRPr="00D0795E">
        <w:t xml:space="preserve">In addition, the Commission reached out to </w:t>
      </w:r>
      <w:r w:rsidRPr="00D0795E" w:rsidR="000E58A6">
        <w:t>6</w:t>
      </w:r>
      <w:r w:rsidRPr="00D0795E">
        <w:t xml:space="preserve"> Tribal gaming operations to consult on the submission requirement</w:t>
      </w:r>
      <w:r w:rsidRPr="00D0795E" w:rsidR="003D37AB">
        <w:t xml:space="preserve">s contained in the regulations.  Unfortunately, the Commission </w:t>
      </w:r>
      <w:r w:rsidRPr="00D0795E" w:rsidR="00224B7E">
        <w:t xml:space="preserve">only received </w:t>
      </w:r>
      <w:r w:rsidRPr="00D0795E" w:rsidR="003D37AB">
        <w:t>information from only 2 of these tribes, both located in California.  S</w:t>
      </w:r>
      <w:r w:rsidRPr="00D0795E">
        <w:t>pecifically, the Commission asked tribal gaming commissioners to provide annual hourly estimates of the Tribal labor that was required to fulfill the requirements, as well as any added cost estimates.</w:t>
      </w:r>
      <w:r w:rsidRPr="00D0795E" w:rsidR="00E2415C">
        <w:t xml:space="preserve">  More information from these consultations is provided below.</w:t>
      </w:r>
    </w:p>
    <w:p w:rsidR="00FB59EB" w:rsidP="005D0382" w:rsidRDefault="00FB59EB" w14:paraId="589BDA6B" w14:textId="77777777">
      <w:pPr>
        <w:spacing w:after="0" w:line="240" w:lineRule="auto"/>
        <w:ind w:left="360" w:hanging="360"/>
        <w:rPr>
          <w:rFonts w:ascii="Times New Roman" w:hAnsi="Times New Roman" w:cs="Times New Roman"/>
          <w:color w:val="000000"/>
          <w:sz w:val="24"/>
          <w:szCs w:val="24"/>
        </w:rPr>
      </w:pPr>
    </w:p>
    <w:p w:rsidRPr="004C2D86" w:rsidR="00CB72F1" w:rsidP="005D0382" w:rsidRDefault="00CC6A42" w14:paraId="6E171DB3" w14:textId="77777777">
      <w:pPr>
        <w:spacing w:after="0" w:line="240" w:lineRule="auto"/>
        <w:ind w:left="360" w:hanging="360"/>
      </w:pPr>
      <w:r w:rsidRPr="00833BEC">
        <w:rPr>
          <w:rFonts w:ascii="Times New Roman" w:hAnsi="Times New Roman" w:cs="Times New Roman"/>
          <w:b/>
          <w:sz w:val="24"/>
          <w:szCs w:val="24"/>
        </w:rPr>
        <w:t xml:space="preserve">9. </w:t>
      </w:r>
      <w:r>
        <w:rPr>
          <w:rFonts w:ascii="Times New Roman" w:hAnsi="Times New Roman" w:cs="Times New Roman"/>
          <w:b/>
          <w:sz w:val="24"/>
          <w:szCs w:val="24"/>
        </w:rPr>
        <w:tab/>
      </w:r>
      <w:r w:rsidRPr="00833BEC">
        <w:rPr>
          <w:rFonts w:ascii="Times New Roman" w:hAnsi="Times New Roman" w:cs="Times New Roman"/>
          <w:b/>
          <w:sz w:val="24"/>
          <w:szCs w:val="24"/>
        </w:rPr>
        <w:t>Explain any decision to provide any payment or gift to respondents, other than reenumeration of contractors or grantees.</w:t>
      </w:r>
      <w:r w:rsidRPr="004C2D86" w:rsidR="00CB72F1">
        <w:rPr>
          <w:b/>
          <w:bCs/>
        </w:rPr>
        <w:t xml:space="preserve"> </w:t>
      </w:r>
    </w:p>
    <w:p w:rsidR="003D4953" w:rsidP="005D0382" w:rsidRDefault="003D4953" w14:paraId="07DB4C46" w14:textId="77777777">
      <w:pPr>
        <w:pStyle w:val="Default"/>
        <w:ind w:left="720"/>
      </w:pPr>
    </w:p>
    <w:p w:rsidRPr="004C2D86" w:rsidR="00CB72F1" w:rsidP="00D4761C" w:rsidRDefault="00D4761C" w14:paraId="0309D0CE" w14:textId="77777777">
      <w:pPr>
        <w:pStyle w:val="Default"/>
        <w:ind w:firstLine="720"/>
      </w:pPr>
      <w:r w:rsidRPr="00427218">
        <w:t>Not applicable. The NIGC does not provide any payment or gift to respondents.</w:t>
      </w:r>
      <w:r w:rsidRPr="004C2D86" w:rsidR="00CB72F1">
        <w:t xml:space="preserve"> </w:t>
      </w:r>
    </w:p>
    <w:p w:rsidR="003D4953" w:rsidP="005D0382" w:rsidRDefault="003D4953" w14:paraId="2A9C2B3B" w14:textId="77777777">
      <w:pPr>
        <w:pStyle w:val="Default"/>
        <w:rPr>
          <w:b/>
          <w:bCs/>
        </w:rPr>
      </w:pPr>
    </w:p>
    <w:p w:rsidRPr="004C2D86" w:rsidR="00CB72F1" w:rsidP="005D0382" w:rsidRDefault="00CC6A42" w14:paraId="44333959" w14:textId="77777777">
      <w:pPr>
        <w:spacing w:after="0" w:line="240" w:lineRule="auto"/>
        <w:ind w:left="360" w:hanging="360"/>
      </w:pPr>
      <w:r>
        <w:rPr>
          <w:rFonts w:ascii="Times New Roman" w:hAnsi="Times New Roman" w:cs="Times New Roman"/>
          <w:b/>
          <w:sz w:val="24"/>
          <w:szCs w:val="24"/>
        </w:rPr>
        <w:t>10.</w:t>
      </w:r>
      <w:r>
        <w:rPr>
          <w:rFonts w:ascii="Times New Roman" w:hAnsi="Times New Roman" w:cs="Times New Roman"/>
          <w:b/>
          <w:sz w:val="24"/>
          <w:szCs w:val="24"/>
        </w:rPr>
        <w:tab/>
      </w:r>
      <w:r w:rsidRPr="00833BEC">
        <w:rPr>
          <w:rFonts w:ascii="Times New Roman" w:hAnsi="Times New Roman" w:cs="Times New Roman"/>
          <w:b/>
          <w:sz w:val="24"/>
          <w:szCs w:val="24"/>
        </w:rPr>
        <w:t>Describe any assurance of confidentiality provided to respondents and the basis for the assurance in statute, regulation, or agency policy.</w:t>
      </w:r>
      <w:r w:rsidRPr="004C2D86" w:rsidR="00CB72F1">
        <w:rPr>
          <w:b/>
          <w:bCs/>
        </w:rPr>
        <w:t xml:space="preserve"> </w:t>
      </w:r>
    </w:p>
    <w:p w:rsidR="003D4953" w:rsidP="005D0382" w:rsidRDefault="003D4953" w14:paraId="7C2BDDAD" w14:textId="77777777">
      <w:pPr>
        <w:pStyle w:val="Default"/>
        <w:ind w:firstLine="720"/>
      </w:pPr>
    </w:p>
    <w:p w:rsidRPr="004C2D86" w:rsidR="00CB72F1" w:rsidP="00F2257B" w:rsidRDefault="00CB72F1" w14:paraId="39E42797" w14:textId="77777777">
      <w:pPr>
        <w:pStyle w:val="Default"/>
        <w:spacing w:line="480" w:lineRule="auto"/>
        <w:ind w:firstLine="720"/>
      </w:pPr>
      <w:r w:rsidRPr="004C2D86">
        <w:t>In accordance with the National Historic Preservation Act,</w:t>
      </w:r>
      <w:r w:rsidR="00D4761C">
        <w:t xml:space="preserve"> 16 U.S.C. 470, </w:t>
      </w:r>
      <w:r w:rsidRPr="009C2735" w:rsidR="00D4761C">
        <w:rPr>
          <w:i/>
        </w:rPr>
        <w:t>et seq.</w:t>
      </w:r>
      <w:r w:rsidR="00D4761C">
        <w:t>,</w:t>
      </w:r>
      <w:r w:rsidRPr="004C2D86">
        <w:t xml:space="preserve"> some</w:t>
      </w:r>
      <w:r w:rsidR="00D4761C">
        <w:t xml:space="preserve"> of the</w:t>
      </w:r>
      <w:r w:rsidRPr="004C2D86">
        <w:t xml:space="preserve"> information collected and used in a NEPA document may be considered confidential and </w:t>
      </w:r>
      <w:r w:rsidR="009C2735">
        <w:t>may be</w:t>
      </w:r>
      <w:r w:rsidRPr="004C2D86">
        <w:t xml:space="preserve"> withheld from public disclosure. </w:t>
      </w:r>
    </w:p>
    <w:p w:rsidRPr="004C2D86" w:rsidR="00CB72F1" w:rsidP="005D0382" w:rsidRDefault="00CC6A42" w14:paraId="00CF9B82" w14:textId="77777777">
      <w:pPr>
        <w:spacing w:after="0" w:line="240" w:lineRule="auto"/>
        <w:ind w:left="360" w:hanging="360"/>
      </w:pPr>
      <w:r>
        <w:rPr>
          <w:rFonts w:ascii="Times New Roman" w:hAnsi="Times New Roman" w:cs="Times New Roman"/>
          <w:b/>
          <w:sz w:val="24"/>
          <w:szCs w:val="24"/>
        </w:rPr>
        <w:lastRenderedPageBreak/>
        <w:t>11.</w:t>
      </w:r>
      <w:r>
        <w:rPr>
          <w:rFonts w:ascii="Times New Roman" w:hAnsi="Times New Roman" w:cs="Times New Roman"/>
          <w:b/>
          <w:sz w:val="24"/>
          <w:szCs w:val="24"/>
        </w:rPr>
        <w:tab/>
      </w:r>
      <w:r w:rsidRPr="00833BEC">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w:t>
      </w:r>
      <w:r w:rsidRPr="00604BE6">
        <w:rPr>
          <w:rFonts w:ascii="Times New Roman" w:hAnsi="Times New Roman" w:cs="Times New Roman"/>
          <w:b/>
          <w:sz w:val="24"/>
          <w:szCs w:val="24"/>
        </w:rPr>
        <w:t>r</w:t>
      </w:r>
      <w:r w:rsidRPr="00833BEC">
        <w:rPr>
          <w:rFonts w:ascii="Times New Roman" w:hAnsi="Times New Roman" w:cs="Times New Roman"/>
          <w:b/>
          <w:sz w:val="24"/>
          <w:szCs w:val="24"/>
        </w:rPr>
        <w:t>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4C2D86" w:rsidR="00CB72F1">
        <w:rPr>
          <w:b/>
          <w:bCs/>
        </w:rPr>
        <w:t xml:space="preserve"> </w:t>
      </w:r>
    </w:p>
    <w:p w:rsidR="003D4953" w:rsidP="009C2735" w:rsidRDefault="003D4953" w14:paraId="378D80ED" w14:textId="77777777">
      <w:pPr>
        <w:pStyle w:val="Default"/>
        <w:ind w:firstLine="720"/>
      </w:pPr>
    </w:p>
    <w:p w:rsidRPr="004C2D86" w:rsidR="00CB72F1" w:rsidP="009C2735" w:rsidRDefault="009C2735" w14:paraId="4A97CE81" w14:textId="77777777">
      <w:pPr>
        <w:pStyle w:val="Default"/>
        <w:ind w:firstLine="720"/>
      </w:pPr>
      <w:r w:rsidRPr="00427218">
        <w:t>Not applicable. No sensitive questions are asked.</w:t>
      </w:r>
      <w:r w:rsidRPr="004C2D86" w:rsidR="00CB72F1">
        <w:t xml:space="preserve"> </w:t>
      </w:r>
    </w:p>
    <w:p w:rsidRPr="009C2735" w:rsidR="003D4953" w:rsidP="009C2735" w:rsidRDefault="003D4953" w14:paraId="3CD9F7F7" w14:textId="77777777">
      <w:pPr>
        <w:pStyle w:val="Default"/>
        <w:ind w:firstLine="720"/>
      </w:pPr>
    </w:p>
    <w:p w:rsidRPr="00833BEC" w:rsidR="00CC6A42" w:rsidP="005D0382" w:rsidRDefault="00CC6A42" w14:paraId="110A950D" w14:textId="77777777">
      <w:pPr>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sidRPr="00833BEC">
        <w:rPr>
          <w:rFonts w:ascii="Times New Roman" w:hAnsi="Times New Roman" w:cs="Times New Roman"/>
          <w:b/>
          <w:sz w:val="24"/>
          <w:szCs w:val="24"/>
        </w:rPr>
        <w:t xml:space="preserve">Provide estimates of the hour burden of the collection of information. The statement should: </w:t>
      </w:r>
    </w:p>
    <w:p w:rsidRPr="00833BEC" w:rsidR="00CC6A42" w:rsidP="005D0382" w:rsidRDefault="00CC6A42" w14:paraId="5E04D0CA" w14:textId="77777777">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833BEC" w:rsidR="00CC6A42" w:rsidP="005D0382" w:rsidRDefault="00CC6A42" w14:paraId="79CAB0A4" w14:textId="77777777">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 xml:space="preserve">If this request for approval covers more than one form, provide separate hour burden estimates for each form and aggregate the hour burdens in Item 13 of OMB Form 83-I. </w:t>
      </w:r>
    </w:p>
    <w:p w:rsidRPr="004C2D86" w:rsidR="00CB72F1" w:rsidP="009B75B0" w:rsidRDefault="00CC6A42" w14:paraId="6FE78CEB" w14:textId="77777777">
      <w:pPr>
        <w:pStyle w:val="ListParagraph"/>
        <w:numPr>
          <w:ilvl w:val="0"/>
          <w:numId w:val="1"/>
        </w:numPr>
        <w:spacing w:after="0" w:line="240" w:lineRule="auto"/>
      </w:pPr>
      <w:r w:rsidRPr="00833BEC">
        <w:rPr>
          <w:rFonts w:ascii="Times New Roman" w:hAnsi="Times New Roman" w:cs="Times New Roman"/>
          <w:b/>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w:t>
      </w:r>
    </w:p>
    <w:p w:rsidR="003D4953" w:rsidP="00F457CE" w:rsidRDefault="003D4953" w14:paraId="211611A1" w14:textId="77777777">
      <w:pPr>
        <w:pStyle w:val="Default"/>
      </w:pPr>
    </w:p>
    <w:p w:rsidR="001C1821" w:rsidP="001C1821" w:rsidRDefault="001C1821" w14:paraId="66AF0382" w14:textId="77777777">
      <w:pPr>
        <w:pStyle w:val="Default"/>
        <w:tabs>
          <w:tab w:val="left" w:pos="378"/>
        </w:tabs>
        <w:spacing w:line="480" w:lineRule="auto"/>
        <w:ind w:firstLine="720"/>
      </w:pPr>
      <w:r w:rsidRPr="00D0795E">
        <w:t xml:space="preserve">As stated in Item 8 above, the Commission </w:t>
      </w:r>
      <w:r w:rsidRPr="00D0795E" w:rsidR="006935F6">
        <w:t xml:space="preserve">consulted with 2 tribal gaming operations.  In order to obtain tribal feedback, tribes were assured that information they provided would be held confidentially.  Appropriate tribal gaming commission and/or operation personnel were asked how much time it took to maintain compliance with each information collection regulation requirement.  The Commission was able to obtain </w:t>
      </w:r>
      <w:r w:rsidRPr="00D0795E">
        <w:t xml:space="preserve">annual hourly burden </w:t>
      </w:r>
      <w:r w:rsidRPr="00D0795E" w:rsidR="003D37AB">
        <w:t xml:space="preserve">and added-cost </w:t>
      </w:r>
      <w:r w:rsidRPr="00D0795E">
        <w:t xml:space="preserve">estimates </w:t>
      </w:r>
      <w:r w:rsidRPr="00D0795E" w:rsidR="003D37AB">
        <w:t>from</w:t>
      </w:r>
      <w:r w:rsidRPr="00D0795E">
        <w:t xml:space="preserve"> </w:t>
      </w:r>
      <w:r w:rsidRPr="00D0795E" w:rsidR="003D37AB">
        <w:t>2 tribal</w:t>
      </w:r>
      <w:r w:rsidRPr="00D0795E">
        <w:t xml:space="preserve"> operation</w:t>
      </w:r>
      <w:r w:rsidRPr="00D0795E" w:rsidR="003D37AB">
        <w:t>s</w:t>
      </w:r>
      <w:r w:rsidRPr="00D0795E">
        <w:t xml:space="preserve">. </w:t>
      </w:r>
      <w:r w:rsidRPr="00D0795E" w:rsidR="003F1EE4">
        <w:t>Using these</w:t>
      </w:r>
      <w:r w:rsidRPr="00D0795E">
        <w:t xml:space="preserve"> annual hourly and cost figures, the Commission could </w:t>
      </w:r>
      <w:r w:rsidRPr="00D0795E" w:rsidR="003F1EE4">
        <w:t xml:space="preserve">calculate </w:t>
      </w:r>
      <w:r w:rsidRPr="00D0795E">
        <w:t xml:space="preserve">average </w:t>
      </w:r>
      <w:r w:rsidRPr="00D0795E" w:rsidR="003F1EE4">
        <w:t>hour</w:t>
      </w:r>
      <w:r w:rsidRPr="00D0795E">
        <w:t xml:space="preserve"> and cost estimates and </w:t>
      </w:r>
      <w:r w:rsidRPr="00D0795E" w:rsidR="003D37AB">
        <w:t>multiplied</w:t>
      </w:r>
      <w:r w:rsidRPr="00D0795E" w:rsidR="003F1EE4">
        <w:t xml:space="preserve"> these </w:t>
      </w:r>
      <w:r w:rsidRPr="00D0795E" w:rsidR="003D37AB">
        <w:t xml:space="preserve">averages </w:t>
      </w:r>
      <w:r w:rsidRPr="00D0795E" w:rsidR="003F1EE4">
        <w:t xml:space="preserve">by the </w:t>
      </w:r>
      <w:r w:rsidRPr="00D0795E" w:rsidR="003D37AB">
        <w:t xml:space="preserve">total number of responses in order to </w:t>
      </w:r>
      <w:r w:rsidRPr="00D0795E">
        <w:t xml:space="preserve">produce </w:t>
      </w:r>
      <w:r w:rsidRPr="00D0795E" w:rsidR="003D37AB">
        <w:t xml:space="preserve">the </w:t>
      </w:r>
      <w:r w:rsidRPr="00D0795E" w:rsidR="003F1EE4">
        <w:t xml:space="preserve">estimated annual </w:t>
      </w:r>
      <w:r w:rsidRPr="00D0795E">
        <w:t xml:space="preserve">total hours and </w:t>
      </w:r>
      <w:r w:rsidRPr="00D0795E" w:rsidR="003D37AB">
        <w:t xml:space="preserve">total </w:t>
      </w:r>
      <w:r w:rsidRPr="00D0795E">
        <w:t>costs. The table below reflects these calculations.</w:t>
      </w:r>
    </w:p>
    <w:p w:rsidR="005A060A" w:rsidP="005A060A" w:rsidRDefault="005A060A" w14:paraId="63269101" w14:textId="77777777">
      <w:pPr>
        <w:pStyle w:val="Default"/>
        <w:tabs>
          <w:tab w:val="left" w:pos="378"/>
        </w:tabs>
        <w:jc w:val="center"/>
        <w:rPr>
          <w:b/>
          <w:bCs/>
          <w:u w:val="single"/>
        </w:rPr>
      </w:pPr>
      <w:r w:rsidRPr="00427218">
        <w:rPr>
          <w:b/>
          <w:bCs/>
          <w:u w:val="single"/>
        </w:rPr>
        <w:lastRenderedPageBreak/>
        <w:t>ESTIMATED ANNUAL BURDEN</w:t>
      </w:r>
      <w:r>
        <w:rPr>
          <w:b/>
          <w:bCs/>
          <w:u w:val="single"/>
        </w:rPr>
        <w:t xml:space="preserve"> TOTALS</w:t>
      </w:r>
    </w:p>
    <w:tbl>
      <w:tblPr>
        <w:tblpPr w:leftFromText="180" w:rightFromText="180" w:vertAnchor="text" w:horzAnchor="margin" w:tblpY="411"/>
        <w:tblW w:w="10008" w:type="dxa"/>
        <w:tblLayout w:type="fixed"/>
        <w:tblLook w:val="04A0" w:firstRow="1" w:lastRow="0" w:firstColumn="1" w:lastColumn="0" w:noHBand="0" w:noVBand="1"/>
      </w:tblPr>
      <w:tblGrid>
        <w:gridCol w:w="1458"/>
        <w:gridCol w:w="1530"/>
        <w:gridCol w:w="1332"/>
        <w:gridCol w:w="1260"/>
        <w:gridCol w:w="1188"/>
        <w:gridCol w:w="1170"/>
        <w:gridCol w:w="990"/>
        <w:gridCol w:w="1080"/>
      </w:tblGrid>
      <w:tr w:rsidR="001C1821" w:rsidTr="001C1821" w14:paraId="6553259A" w14:textId="77777777">
        <w:trPr>
          <w:trHeight w:val="745"/>
        </w:trPr>
        <w:tc>
          <w:tcPr>
            <w:tcW w:w="1458" w:type="dxa"/>
            <w:tcBorders>
              <w:top w:val="single" w:color="auto" w:sz="8" w:space="0"/>
              <w:left w:val="single" w:color="auto" w:sz="8" w:space="0"/>
              <w:bottom w:val="single" w:color="auto" w:sz="4" w:space="0"/>
              <w:right w:val="single" w:color="auto" w:sz="8" w:space="0"/>
            </w:tcBorders>
            <w:shd w:val="clear" w:color="auto" w:fill="BFBFBF" w:themeFill="background1" w:themeFillShade="BF"/>
            <w:hideMark/>
          </w:tcPr>
          <w:p w:rsidR="001C1821" w:rsidP="001C1821" w:rsidRDefault="001C1821" w14:paraId="5995BA17" w14:textId="77777777">
            <w:pPr>
              <w:spacing w:before="60" w:after="60" w:line="240" w:lineRule="auto"/>
              <w:ind w:left="-93" w:right="-108"/>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CFR CITE/ COLLECTION</w:t>
            </w:r>
          </w:p>
        </w:tc>
        <w:tc>
          <w:tcPr>
            <w:tcW w:w="1530" w:type="dxa"/>
            <w:tcBorders>
              <w:top w:val="single" w:color="auto" w:sz="8" w:space="0"/>
              <w:left w:val="nil"/>
              <w:bottom w:val="single" w:color="auto" w:sz="8" w:space="0"/>
              <w:right w:val="single" w:color="auto" w:sz="8" w:space="0"/>
            </w:tcBorders>
            <w:shd w:val="clear" w:color="auto" w:fill="BFBFBF" w:themeFill="background1" w:themeFillShade="BF"/>
            <w:hideMark/>
          </w:tcPr>
          <w:p w:rsidR="001C1821" w:rsidP="001C1821" w:rsidRDefault="001C1821" w14:paraId="6010DF51" w14:textId="77777777">
            <w:pPr>
              <w:spacing w:before="60" w:after="60" w:line="240" w:lineRule="auto"/>
              <w:ind w:left="-108" w:right="-108"/>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NUMBER OF ANNUAL RESPONDENTS</w:t>
            </w:r>
          </w:p>
        </w:tc>
        <w:tc>
          <w:tcPr>
            <w:tcW w:w="1332" w:type="dxa"/>
            <w:tcBorders>
              <w:top w:val="single" w:color="auto" w:sz="8" w:space="0"/>
              <w:left w:val="nil"/>
              <w:bottom w:val="single" w:color="auto" w:sz="8" w:space="0"/>
              <w:right w:val="single" w:color="auto" w:sz="8" w:space="0"/>
            </w:tcBorders>
            <w:shd w:val="clear" w:color="auto" w:fill="BFBFBF" w:themeFill="background1" w:themeFillShade="BF"/>
            <w:hideMark/>
          </w:tcPr>
          <w:p w:rsidR="001C1821" w:rsidP="001C1821" w:rsidRDefault="001C1821" w14:paraId="025413E6" w14:textId="77777777">
            <w:pPr>
              <w:spacing w:before="60" w:after="60" w:line="240" w:lineRule="auto"/>
              <w:ind w:left="-108" w:right="-108"/>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FREQUENCY OF RESPONSES PER YEAR</w:t>
            </w:r>
          </w:p>
        </w:tc>
        <w:tc>
          <w:tcPr>
            <w:tcW w:w="1260" w:type="dxa"/>
            <w:tcBorders>
              <w:top w:val="single" w:color="auto" w:sz="8" w:space="0"/>
              <w:left w:val="nil"/>
              <w:bottom w:val="single" w:color="auto" w:sz="8" w:space="0"/>
              <w:right w:val="single" w:color="auto" w:sz="8" w:space="0"/>
            </w:tcBorders>
            <w:shd w:val="clear" w:color="auto" w:fill="BFBFBF" w:themeFill="background1" w:themeFillShade="BF"/>
            <w:hideMark/>
          </w:tcPr>
          <w:p w:rsidR="001C1821" w:rsidP="001C1821" w:rsidRDefault="001C1821" w14:paraId="6E8C207D" w14:textId="77777777">
            <w:pPr>
              <w:spacing w:before="60" w:after="60" w:line="240" w:lineRule="auto"/>
              <w:ind w:left="-108" w:right="-108"/>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TOTAL ANNUAL RESPONSES</w:t>
            </w:r>
          </w:p>
        </w:tc>
        <w:tc>
          <w:tcPr>
            <w:tcW w:w="1188" w:type="dxa"/>
            <w:tcBorders>
              <w:top w:val="single" w:color="auto" w:sz="8" w:space="0"/>
              <w:left w:val="nil"/>
              <w:bottom w:val="single" w:color="auto" w:sz="8" w:space="0"/>
              <w:right w:val="single" w:color="auto" w:sz="4" w:space="0"/>
            </w:tcBorders>
            <w:shd w:val="clear" w:color="auto" w:fill="BFBFBF" w:themeFill="background1" w:themeFillShade="BF"/>
            <w:hideMark/>
          </w:tcPr>
          <w:p w:rsidR="001C1821" w:rsidP="001C1821" w:rsidRDefault="001C1821" w14:paraId="10C755A0" w14:textId="77777777">
            <w:pPr>
              <w:spacing w:before="60" w:after="60" w:line="240" w:lineRule="auto"/>
              <w:ind w:left="-108" w:right="-108"/>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AVERAGE HOURS  PER RESPONSE</w:t>
            </w:r>
          </w:p>
        </w:tc>
        <w:tc>
          <w:tcPr>
            <w:tcW w:w="1170" w:type="dxa"/>
            <w:tcBorders>
              <w:top w:val="single" w:color="auto" w:sz="8" w:space="0"/>
              <w:left w:val="single" w:color="auto" w:sz="4" w:space="0"/>
              <w:bottom w:val="single" w:color="auto" w:sz="8" w:space="0"/>
              <w:right w:val="single" w:color="auto" w:sz="4" w:space="0"/>
            </w:tcBorders>
            <w:shd w:val="clear" w:color="auto" w:fill="BFBFBF" w:themeFill="background1" w:themeFillShade="BF"/>
          </w:tcPr>
          <w:p w:rsidR="001C1821" w:rsidP="0001083B" w:rsidRDefault="001C1821" w14:paraId="4A2C890E" w14:textId="77777777">
            <w:pPr>
              <w:spacing w:before="60" w:after="60" w:line="240" w:lineRule="auto"/>
              <w:ind w:left="-108" w:right="-108"/>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 xml:space="preserve">AVERAGE </w:t>
            </w:r>
            <w:r w:rsidR="0001083B">
              <w:rPr>
                <w:rFonts w:ascii="Times New Roman" w:hAnsi="Times New Roman" w:eastAsia="Times New Roman" w:cs="Times New Roman"/>
                <w:b/>
                <w:bCs/>
                <w:sz w:val="20"/>
                <w:szCs w:val="20"/>
              </w:rPr>
              <w:t>(WAGE) COST PER RESPONSE</w:t>
            </w:r>
          </w:p>
        </w:tc>
        <w:tc>
          <w:tcPr>
            <w:tcW w:w="990" w:type="dxa"/>
            <w:tcBorders>
              <w:top w:val="single" w:color="auto" w:sz="8" w:space="0"/>
              <w:left w:val="single" w:color="auto" w:sz="4" w:space="0"/>
              <w:bottom w:val="single" w:color="auto" w:sz="8" w:space="0"/>
              <w:right w:val="single" w:color="auto" w:sz="4" w:space="0"/>
            </w:tcBorders>
            <w:shd w:val="clear" w:color="auto" w:fill="BFBFBF" w:themeFill="background1" w:themeFillShade="BF"/>
          </w:tcPr>
          <w:p w:rsidR="001C1821" w:rsidP="001C1821" w:rsidRDefault="001C1821" w14:paraId="2992C530" w14:textId="77777777">
            <w:pPr>
              <w:spacing w:before="60" w:after="60" w:line="240" w:lineRule="auto"/>
              <w:ind w:left="-108" w:right="-108"/>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TOTAL ANNUAL HOURS</w:t>
            </w:r>
          </w:p>
        </w:tc>
        <w:tc>
          <w:tcPr>
            <w:tcW w:w="1080" w:type="dxa"/>
            <w:tcBorders>
              <w:top w:val="single" w:color="auto" w:sz="8" w:space="0"/>
              <w:left w:val="single" w:color="auto" w:sz="4" w:space="0"/>
              <w:bottom w:val="single" w:color="auto" w:sz="8" w:space="0"/>
              <w:right w:val="single" w:color="auto" w:sz="4" w:space="0"/>
            </w:tcBorders>
            <w:shd w:val="clear" w:color="auto" w:fill="BFBFBF" w:themeFill="background1" w:themeFillShade="BF"/>
          </w:tcPr>
          <w:p w:rsidR="001C1821" w:rsidP="001C1821" w:rsidRDefault="001C1821" w14:paraId="7EA399E0" w14:textId="77777777">
            <w:pPr>
              <w:spacing w:before="60" w:after="60" w:line="240" w:lineRule="auto"/>
              <w:ind w:left="-108" w:right="-108"/>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TOTAL (WAGE) COST</w:t>
            </w:r>
          </w:p>
        </w:tc>
      </w:tr>
      <w:tr w:rsidR="004B7BEB" w:rsidTr="001C1821" w14:paraId="73DE845F" w14:textId="77777777">
        <w:trPr>
          <w:trHeight w:val="330"/>
        </w:trPr>
        <w:tc>
          <w:tcPr>
            <w:tcW w:w="1458" w:type="dxa"/>
            <w:tcBorders>
              <w:top w:val="single" w:color="auto" w:sz="4" w:space="0"/>
              <w:left w:val="single" w:color="auto" w:sz="4" w:space="0"/>
              <w:bottom w:val="single" w:color="auto" w:sz="4" w:space="0"/>
              <w:right w:val="single" w:color="auto" w:sz="4" w:space="0"/>
            </w:tcBorders>
            <w:hideMark/>
          </w:tcPr>
          <w:p w:rsidR="004B7BEB" w:rsidP="004B7BEB" w:rsidRDefault="004B7BEB" w14:paraId="41D66F45" w14:textId="77777777">
            <w:pPr>
              <w:spacing w:after="60" w:line="240" w:lineRule="auto"/>
              <w:rPr>
                <w:rFonts w:ascii="Times New Roman" w:hAnsi="Times New Roman" w:cs="Times New Roman"/>
                <w:b/>
                <w:bCs/>
                <w:sz w:val="24"/>
                <w:szCs w:val="24"/>
              </w:rPr>
            </w:pPr>
            <w:r>
              <w:rPr>
                <w:rFonts w:ascii="Times New Roman" w:hAnsi="Times New Roman" w:cs="Times New Roman"/>
                <w:b/>
                <w:bCs/>
                <w:sz w:val="24"/>
                <w:szCs w:val="24"/>
              </w:rPr>
              <w:t>EIS</w:t>
            </w:r>
          </w:p>
        </w:tc>
        <w:tc>
          <w:tcPr>
            <w:tcW w:w="1530" w:type="dxa"/>
            <w:tcBorders>
              <w:top w:val="nil"/>
              <w:left w:val="single" w:color="auto" w:sz="4" w:space="0"/>
              <w:bottom w:val="single" w:color="auto" w:sz="8" w:space="0"/>
              <w:right w:val="single" w:color="auto" w:sz="8" w:space="0"/>
            </w:tcBorders>
            <w:hideMark/>
          </w:tcPr>
          <w:p w:rsidR="004B7BEB" w:rsidP="004B7BEB" w:rsidRDefault="00D0795E" w14:paraId="5A777A3D" w14:textId="77777777">
            <w:pPr>
              <w:spacing w:after="60" w:line="240" w:lineRule="auto"/>
              <w:rPr>
                <w:rFonts w:ascii="Times New Roman" w:hAnsi="Times New Roman" w:cs="Times New Roman"/>
              </w:rPr>
            </w:pPr>
            <w:r>
              <w:rPr>
                <w:rFonts w:ascii="Times New Roman" w:hAnsi="Times New Roman" w:cs="Times New Roman"/>
              </w:rPr>
              <w:t>1</w:t>
            </w:r>
          </w:p>
        </w:tc>
        <w:tc>
          <w:tcPr>
            <w:tcW w:w="1332" w:type="dxa"/>
            <w:tcBorders>
              <w:top w:val="nil"/>
              <w:left w:val="nil"/>
              <w:bottom w:val="single" w:color="auto" w:sz="8" w:space="0"/>
              <w:right w:val="single" w:color="auto" w:sz="8" w:space="0"/>
            </w:tcBorders>
            <w:hideMark/>
          </w:tcPr>
          <w:p w:rsidR="004B7BEB" w:rsidP="004B7BEB" w:rsidRDefault="004B7BEB" w14:paraId="34995DA3" w14:textId="77777777">
            <w:pPr>
              <w:spacing w:after="60" w:line="240" w:lineRule="auto"/>
              <w:rPr>
                <w:rFonts w:ascii="Times New Roman" w:hAnsi="Times New Roman" w:cs="Times New Roman"/>
              </w:rPr>
            </w:pPr>
            <w:r>
              <w:rPr>
                <w:rFonts w:ascii="Times New Roman" w:hAnsi="Times New Roman" w:cs="Times New Roman"/>
              </w:rPr>
              <w:t>Varies</w:t>
            </w:r>
          </w:p>
        </w:tc>
        <w:tc>
          <w:tcPr>
            <w:tcW w:w="1260" w:type="dxa"/>
            <w:tcBorders>
              <w:top w:val="nil"/>
              <w:left w:val="nil"/>
              <w:bottom w:val="single" w:color="auto" w:sz="8" w:space="0"/>
              <w:right w:val="single" w:color="auto" w:sz="8" w:space="0"/>
            </w:tcBorders>
            <w:hideMark/>
          </w:tcPr>
          <w:p w:rsidR="004B7BEB" w:rsidP="004B7BEB" w:rsidRDefault="00D0795E" w14:paraId="7AAA0A22" w14:textId="77777777">
            <w:pPr>
              <w:spacing w:after="60" w:line="240" w:lineRule="auto"/>
              <w:rPr>
                <w:rFonts w:ascii="Times New Roman" w:hAnsi="Times New Roman" w:cs="Times New Roman"/>
              </w:rPr>
            </w:pPr>
            <w:r>
              <w:rPr>
                <w:rFonts w:ascii="Times New Roman" w:hAnsi="Times New Roman" w:cs="Times New Roman"/>
              </w:rPr>
              <w:t>1</w:t>
            </w:r>
          </w:p>
        </w:tc>
        <w:tc>
          <w:tcPr>
            <w:tcW w:w="1188" w:type="dxa"/>
            <w:tcBorders>
              <w:top w:val="nil"/>
              <w:left w:val="nil"/>
              <w:bottom w:val="single" w:color="auto" w:sz="8" w:space="0"/>
              <w:right w:val="single" w:color="auto" w:sz="4" w:space="0"/>
            </w:tcBorders>
            <w:hideMark/>
          </w:tcPr>
          <w:p w:rsidR="004B7BEB" w:rsidP="004B7BEB" w:rsidRDefault="004B7BEB" w14:paraId="6853A4F9" w14:textId="77777777">
            <w:pPr>
              <w:spacing w:after="60" w:line="240" w:lineRule="auto"/>
              <w:rPr>
                <w:rFonts w:ascii="Times New Roman" w:hAnsi="Times New Roman" w:cs="Times New Roman"/>
              </w:rPr>
            </w:pPr>
            <w:r>
              <w:rPr>
                <w:rFonts w:ascii="Times New Roman" w:hAnsi="Times New Roman" w:cs="Times New Roman"/>
              </w:rPr>
              <w:t>16</w:t>
            </w:r>
          </w:p>
        </w:tc>
        <w:tc>
          <w:tcPr>
            <w:tcW w:w="1170" w:type="dxa"/>
            <w:tcBorders>
              <w:top w:val="nil"/>
              <w:left w:val="single" w:color="auto" w:sz="4" w:space="0"/>
              <w:bottom w:val="single" w:color="auto" w:sz="8" w:space="0"/>
              <w:right w:val="single" w:color="auto" w:sz="4" w:space="0"/>
            </w:tcBorders>
          </w:tcPr>
          <w:p w:rsidR="004B7BEB" w:rsidP="004B7BEB" w:rsidRDefault="004B7BEB" w14:paraId="6BECD094" w14:textId="77777777">
            <w:pPr>
              <w:spacing w:after="60" w:line="240" w:lineRule="auto"/>
              <w:rPr>
                <w:rFonts w:ascii="Times New Roman" w:hAnsi="Times New Roman" w:cs="Times New Roman"/>
              </w:rPr>
            </w:pPr>
            <w:r>
              <w:rPr>
                <w:rFonts w:ascii="Times New Roman" w:hAnsi="Times New Roman" w:cs="Times New Roman"/>
              </w:rPr>
              <w:t>$800</w:t>
            </w:r>
          </w:p>
        </w:tc>
        <w:tc>
          <w:tcPr>
            <w:tcW w:w="990" w:type="dxa"/>
            <w:tcBorders>
              <w:top w:val="nil"/>
              <w:left w:val="single" w:color="auto" w:sz="4" w:space="0"/>
              <w:bottom w:val="single" w:color="auto" w:sz="8" w:space="0"/>
              <w:right w:val="single" w:color="auto" w:sz="4" w:space="0"/>
            </w:tcBorders>
          </w:tcPr>
          <w:p w:rsidR="004B7BEB" w:rsidP="004B7BEB" w:rsidRDefault="00D0795E" w14:paraId="770A9BB9" w14:textId="77777777">
            <w:pPr>
              <w:spacing w:after="60" w:line="240" w:lineRule="auto"/>
              <w:rPr>
                <w:rFonts w:ascii="Times New Roman" w:hAnsi="Times New Roman" w:cs="Times New Roman"/>
              </w:rPr>
            </w:pPr>
            <w:r>
              <w:rPr>
                <w:rFonts w:ascii="Times New Roman" w:hAnsi="Times New Roman" w:cs="Times New Roman"/>
              </w:rPr>
              <w:t>16</w:t>
            </w:r>
          </w:p>
        </w:tc>
        <w:tc>
          <w:tcPr>
            <w:tcW w:w="1080" w:type="dxa"/>
            <w:tcBorders>
              <w:top w:val="nil"/>
              <w:left w:val="single" w:color="auto" w:sz="4" w:space="0"/>
              <w:bottom w:val="single" w:color="auto" w:sz="8" w:space="0"/>
              <w:right w:val="single" w:color="auto" w:sz="4" w:space="0"/>
            </w:tcBorders>
          </w:tcPr>
          <w:p w:rsidR="004B7BEB" w:rsidP="00D0795E" w:rsidRDefault="004B7BEB" w14:paraId="6D050004" w14:textId="77777777">
            <w:pPr>
              <w:spacing w:after="60" w:line="240" w:lineRule="auto"/>
              <w:rPr>
                <w:rFonts w:ascii="Times New Roman" w:hAnsi="Times New Roman" w:cs="Times New Roman"/>
              </w:rPr>
            </w:pPr>
            <w:r>
              <w:rPr>
                <w:rFonts w:ascii="Times New Roman" w:hAnsi="Times New Roman" w:cs="Times New Roman"/>
              </w:rPr>
              <w:t>$</w:t>
            </w:r>
            <w:r w:rsidR="00D0795E">
              <w:rPr>
                <w:rFonts w:ascii="Times New Roman" w:hAnsi="Times New Roman" w:cs="Times New Roman"/>
              </w:rPr>
              <w:t>800</w:t>
            </w:r>
          </w:p>
        </w:tc>
      </w:tr>
      <w:tr w:rsidR="001C1821" w:rsidTr="004B7BEB" w14:paraId="371F414E" w14:textId="77777777">
        <w:trPr>
          <w:trHeight w:val="330"/>
        </w:trPr>
        <w:tc>
          <w:tcPr>
            <w:tcW w:w="1458" w:type="dxa"/>
            <w:tcBorders>
              <w:top w:val="single" w:color="auto" w:sz="4" w:space="0"/>
              <w:left w:val="single" w:color="auto" w:sz="4" w:space="0"/>
              <w:bottom w:val="single" w:color="auto" w:sz="4" w:space="0"/>
              <w:right w:val="single" w:color="auto" w:sz="4" w:space="0"/>
            </w:tcBorders>
            <w:hideMark/>
          </w:tcPr>
          <w:p w:rsidR="001C1821" w:rsidP="001C1821" w:rsidRDefault="0001083B" w14:paraId="3A893882" w14:textId="77777777">
            <w:pPr>
              <w:spacing w:after="60" w:line="240" w:lineRule="auto"/>
              <w:rPr>
                <w:rFonts w:ascii="Times New Roman" w:hAnsi="Times New Roman" w:cs="Times New Roman"/>
                <w:b/>
                <w:bCs/>
                <w:sz w:val="24"/>
                <w:szCs w:val="24"/>
              </w:rPr>
            </w:pPr>
            <w:r>
              <w:rPr>
                <w:rFonts w:ascii="Times New Roman" w:hAnsi="Times New Roman" w:cs="Times New Roman"/>
                <w:b/>
                <w:bCs/>
                <w:sz w:val="24"/>
                <w:szCs w:val="24"/>
              </w:rPr>
              <w:t>EA</w:t>
            </w:r>
          </w:p>
        </w:tc>
        <w:tc>
          <w:tcPr>
            <w:tcW w:w="1530" w:type="dxa"/>
            <w:tcBorders>
              <w:top w:val="nil"/>
              <w:left w:val="single" w:color="auto" w:sz="4" w:space="0"/>
              <w:bottom w:val="single" w:color="auto" w:sz="8" w:space="0"/>
              <w:right w:val="single" w:color="auto" w:sz="8" w:space="0"/>
            </w:tcBorders>
            <w:hideMark/>
          </w:tcPr>
          <w:p w:rsidR="001C1821" w:rsidP="001C1821" w:rsidRDefault="00D0795E" w14:paraId="3D49A0C7" w14:textId="77777777">
            <w:pPr>
              <w:spacing w:after="60" w:line="240" w:lineRule="auto"/>
              <w:rPr>
                <w:rFonts w:ascii="Times New Roman" w:hAnsi="Times New Roman" w:cs="Times New Roman"/>
              </w:rPr>
            </w:pPr>
            <w:r>
              <w:rPr>
                <w:rFonts w:ascii="Times New Roman" w:hAnsi="Times New Roman" w:cs="Times New Roman"/>
              </w:rPr>
              <w:t>1</w:t>
            </w:r>
          </w:p>
        </w:tc>
        <w:tc>
          <w:tcPr>
            <w:tcW w:w="1332" w:type="dxa"/>
            <w:tcBorders>
              <w:top w:val="nil"/>
              <w:left w:val="nil"/>
              <w:bottom w:val="single" w:color="auto" w:sz="8" w:space="0"/>
              <w:right w:val="single" w:color="auto" w:sz="8" w:space="0"/>
            </w:tcBorders>
            <w:hideMark/>
          </w:tcPr>
          <w:p w:rsidR="001C1821" w:rsidP="001C1821" w:rsidRDefault="001C1821" w14:paraId="4CA9CC0E" w14:textId="77777777">
            <w:pPr>
              <w:spacing w:after="60" w:line="240" w:lineRule="auto"/>
              <w:rPr>
                <w:rFonts w:ascii="Times New Roman" w:hAnsi="Times New Roman" w:cs="Times New Roman"/>
              </w:rPr>
            </w:pPr>
            <w:r>
              <w:rPr>
                <w:rFonts w:ascii="Times New Roman" w:hAnsi="Times New Roman" w:cs="Times New Roman"/>
              </w:rPr>
              <w:t>Varies</w:t>
            </w:r>
          </w:p>
        </w:tc>
        <w:tc>
          <w:tcPr>
            <w:tcW w:w="1260" w:type="dxa"/>
            <w:tcBorders>
              <w:top w:val="nil"/>
              <w:left w:val="nil"/>
              <w:bottom w:val="single" w:color="auto" w:sz="8" w:space="0"/>
              <w:right w:val="single" w:color="auto" w:sz="8" w:space="0"/>
            </w:tcBorders>
            <w:hideMark/>
          </w:tcPr>
          <w:p w:rsidR="001C1821" w:rsidP="001C1821" w:rsidRDefault="00D0795E" w14:paraId="29062628" w14:textId="77777777">
            <w:pPr>
              <w:spacing w:after="60" w:line="240" w:lineRule="auto"/>
              <w:rPr>
                <w:rFonts w:ascii="Times New Roman" w:hAnsi="Times New Roman" w:cs="Times New Roman"/>
              </w:rPr>
            </w:pPr>
            <w:r>
              <w:rPr>
                <w:rFonts w:ascii="Times New Roman" w:hAnsi="Times New Roman" w:cs="Times New Roman"/>
              </w:rPr>
              <w:t>1</w:t>
            </w:r>
          </w:p>
        </w:tc>
        <w:tc>
          <w:tcPr>
            <w:tcW w:w="1188" w:type="dxa"/>
            <w:tcBorders>
              <w:top w:val="nil"/>
              <w:left w:val="nil"/>
              <w:bottom w:val="single" w:color="auto" w:sz="8" w:space="0"/>
              <w:right w:val="single" w:color="auto" w:sz="4" w:space="0"/>
            </w:tcBorders>
          </w:tcPr>
          <w:p w:rsidR="001C1821" w:rsidP="001C1821" w:rsidRDefault="004B7BEB" w14:paraId="6BF283AD" w14:textId="77777777">
            <w:pPr>
              <w:spacing w:after="60" w:line="240" w:lineRule="auto"/>
              <w:rPr>
                <w:rFonts w:ascii="Times New Roman" w:hAnsi="Times New Roman" w:cs="Times New Roman"/>
              </w:rPr>
            </w:pPr>
            <w:r>
              <w:rPr>
                <w:rFonts w:ascii="Times New Roman" w:hAnsi="Times New Roman" w:cs="Times New Roman"/>
              </w:rPr>
              <w:t>2.5</w:t>
            </w:r>
          </w:p>
        </w:tc>
        <w:tc>
          <w:tcPr>
            <w:tcW w:w="1170" w:type="dxa"/>
            <w:tcBorders>
              <w:top w:val="nil"/>
              <w:left w:val="single" w:color="auto" w:sz="4" w:space="0"/>
              <w:bottom w:val="single" w:color="auto" w:sz="8" w:space="0"/>
              <w:right w:val="single" w:color="auto" w:sz="4" w:space="0"/>
            </w:tcBorders>
          </w:tcPr>
          <w:p w:rsidR="001C1821" w:rsidP="0001083B" w:rsidRDefault="004B7BEB" w14:paraId="51B27810" w14:textId="77777777">
            <w:pPr>
              <w:spacing w:after="60" w:line="240" w:lineRule="auto"/>
              <w:rPr>
                <w:rFonts w:ascii="Times New Roman" w:hAnsi="Times New Roman" w:cs="Times New Roman"/>
              </w:rPr>
            </w:pPr>
            <w:r>
              <w:rPr>
                <w:rFonts w:ascii="Times New Roman" w:hAnsi="Times New Roman" w:cs="Times New Roman"/>
              </w:rPr>
              <w:t>$</w:t>
            </w:r>
            <w:r w:rsidR="009371D7">
              <w:rPr>
                <w:rFonts w:ascii="Times New Roman" w:hAnsi="Times New Roman" w:cs="Times New Roman"/>
              </w:rPr>
              <w:t>1</w:t>
            </w:r>
            <w:r>
              <w:rPr>
                <w:rFonts w:ascii="Times New Roman" w:hAnsi="Times New Roman" w:cs="Times New Roman"/>
              </w:rPr>
              <w:t>25</w:t>
            </w:r>
          </w:p>
        </w:tc>
        <w:tc>
          <w:tcPr>
            <w:tcW w:w="990" w:type="dxa"/>
            <w:tcBorders>
              <w:top w:val="nil"/>
              <w:left w:val="single" w:color="auto" w:sz="4" w:space="0"/>
              <w:bottom w:val="single" w:color="auto" w:sz="8" w:space="0"/>
              <w:right w:val="single" w:color="auto" w:sz="4" w:space="0"/>
            </w:tcBorders>
          </w:tcPr>
          <w:p w:rsidR="001C1821" w:rsidP="001C1821" w:rsidRDefault="00D0795E" w14:paraId="46B4CD29" w14:textId="77777777">
            <w:pPr>
              <w:spacing w:after="60" w:line="240" w:lineRule="auto"/>
              <w:rPr>
                <w:rFonts w:ascii="Times New Roman" w:hAnsi="Times New Roman" w:cs="Times New Roman"/>
              </w:rPr>
            </w:pPr>
            <w:r>
              <w:rPr>
                <w:rFonts w:ascii="Times New Roman" w:hAnsi="Times New Roman" w:cs="Times New Roman"/>
              </w:rPr>
              <w:t>2.5</w:t>
            </w:r>
          </w:p>
        </w:tc>
        <w:tc>
          <w:tcPr>
            <w:tcW w:w="1080" w:type="dxa"/>
            <w:tcBorders>
              <w:top w:val="nil"/>
              <w:left w:val="single" w:color="auto" w:sz="4" w:space="0"/>
              <w:bottom w:val="single" w:color="auto" w:sz="8" w:space="0"/>
              <w:right w:val="single" w:color="auto" w:sz="4" w:space="0"/>
            </w:tcBorders>
          </w:tcPr>
          <w:p w:rsidR="001C1821" w:rsidP="0001083B" w:rsidRDefault="00D0795E" w14:paraId="212F8573" w14:textId="77777777">
            <w:pPr>
              <w:spacing w:after="60" w:line="240" w:lineRule="auto"/>
              <w:rPr>
                <w:rFonts w:ascii="Times New Roman" w:hAnsi="Times New Roman" w:cs="Times New Roman"/>
              </w:rPr>
            </w:pPr>
            <w:r>
              <w:rPr>
                <w:rFonts w:ascii="Times New Roman" w:hAnsi="Times New Roman" w:cs="Times New Roman"/>
              </w:rPr>
              <w:t>$125</w:t>
            </w:r>
          </w:p>
        </w:tc>
      </w:tr>
      <w:tr w:rsidR="001C1821" w:rsidTr="001C1821" w14:paraId="082A6AC7" w14:textId="77777777">
        <w:trPr>
          <w:trHeight w:val="330"/>
        </w:trPr>
        <w:tc>
          <w:tcPr>
            <w:tcW w:w="1458" w:type="dxa"/>
            <w:tcBorders>
              <w:top w:val="single" w:color="auto" w:sz="4" w:space="0"/>
              <w:left w:val="single" w:color="auto" w:sz="4" w:space="0"/>
              <w:bottom w:val="single" w:color="auto" w:sz="4" w:space="0"/>
              <w:right w:val="single" w:color="auto" w:sz="4" w:space="0"/>
            </w:tcBorders>
          </w:tcPr>
          <w:p w:rsidR="001C1821" w:rsidP="001C1821" w:rsidRDefault="001C1821" w14:paraId="45190D79" w14:textId="77777777">
            <w:pPr>
              <w:spacing w:after="60" w:line="240" w:lineRule="auto"/>
              <w:rPr>
                <w:rFonts w:ascii="Times New Roman" w:hAnsi="Times New Roman" w:cs="Times New Roman"/>
                <w:b/>
                <w:bCs/>
                <w:sz w:val="24"/>
                <w:szCs w:val="24"/>
              </w:rPr>
            </w:pPr>
            <w:r w:rsidRPr="00D0795E">
              <w:rPr>
                <w:rFonts w:ascii="Times New Roman" w:hAnsi="Times New Roman" w:cs="Times New Roman"/>
                <w:b/>
                <w:bCs/>
                <w:sz w:val="24"/>
                <w:szCs w:val="24"/>
              </w:rPr>
              <w:t>CATEX/</w:t>
            </w:r>
            <w:r w:rsidRPr="00D0795E" w:rsidR="00487066">
              <w:rPr>
                <w:rFonts w:ascii="Times New Roman" w:hAnsi="Times New Roman" w:cs="Times New Roman"/>
                <w:b/>
                <w:bCs/>
                <w:sz w:val="24"/>
                <w:szCs w:val="24"/>
              </w:rPr>
              <w:t xml:space="preserve"> OTHER</w:t>
            </w:r>
          </w:p>
        </w:tc>
        <w:tc>
          <w:tcPr>
            <w:tcW w:w="1530" w:type="dxa"/>
            <w:tcBorders>
              <w:top w:val="nil"/>
              <w:left w:val="single" w:color="auto" w:sz="4" w:space="0"/>
              <w:bottom w:val="single" w:color="auto" w:sz="8" w:space="0"/>
              <w:right w:val="single" w:color="auto" w:sz="8" w:space="0"/>
            </w:tcBorders>
          </w:tcPr>
          <w:p w:rsidR="001C1821" w:rsidP="001C1821" w:rsidRDefault="002A7BEC" w14:paraId="6D26C760" w14:textId="77777777">
            <w:pPr>
              <w:spacing w:after="60" w:line="240" w:lineRule="auto"/>
              <w:rPr>
                <w:rFonts w:ascii="Times New Roman" w:hAnsi="Times New Roman" w:cs="Times New Roman"/>
              </w:rPr>
            </w:pPr>
            <w:r>
              <w:rPr>
                <w:rFonts w:ascii="Times New Roman" w:hAnsi="Times New Roman" w:cs="Times New Roman"/>
              </w:rPr>
              <w:t>6</w:t>
            </w:r>
          </w:p>
        </w:tc>
        <w:tc>
          <w:tcPr>
            <w:tcW w:w="1332" w:type="dxa"/>
            <w:tcBorders>
              <w:top w:val="nil"/>
              <w:left w:val="nil"/>
              <w:bottom w:val="single" w:color="auto" w:sz="8" w:space="0"/>
              <w:right w:val="single" w:color="auto" w:sz="8" w:space="0"/>
            </w:tcBorders>
          </w:tcPr>
          <w:p w:rsidR="001C1821" w:rsidP="001C1821" w:rsidRDefault="002A7BEC" w14:paraId="03BBA7B6" w14:textId="77777777">
            <w:pPr>
              <w:spacing w:after="60" w:line="240" w:lineRule="auto"/>
              <w:rPr>
                <w:rFonts w:ascii="Times New Roman" w:hAnsi="Times New Roman" w:cs="Times New Roman"/>
              </w:rPr>
            </w:pPr>
            <w:r>
              <w:rPr>
                <w:rFonts w:ascii="Times New Roman" w:hAnsi="Times New Roman" w:cs="Times New Roman"/>
              </w:rPr>
              <w:t>1</w:t>
            </w:r>
          </w:p>
        </w:tc>
        <w:tc>
          <w:tcPr>
            <w:tcW w:w="1260" w:type="dxa"/>
            <w:tcBorders>
              <w:top w:val="nil"/>
              <w:left w:val="nil"/>
              <w:bottom w:val="single" w:color="auto" w:sz="8" w:space="0"/>
              <w:right w:val="single" w:color="auto" w:sz="8" w:space="0"/>
            </w:tcBorders>
          </w:tcPr>
          <w:p w:rsidR="001C1821" w:rsidP="001C1821" w:rsidRDefault="002A7BEC" w14:paraId="511DB214" w14:textId="77777777">
            <w:pPr>
              <w:spacing w:after="60" w:line="240" w:lineRule="auto"/>
              <w:rPr>
                <w:rFonts w:ascii="Times New Roman" w:hAnsi="Times New Roman" w:cs="Times New Roman"/>
              </w:rPr>
            </w:pPr>
            <w:r>
              <w:rPr>
                <w:rFonts w:ascii="Times New Roman" w:hAnsi="Times New Roman" w:cs="Times New Roman"/>
              </w:rPr>
              <w:t>6</w:t>
            </w:r>
          </w:p>
        </w:tc>
        <w:tc>
          <w:tcPr>
            <w:tcW w:w="1188" w:type="dxa"/>
            <w:tcBorders>
              <w:top w:val="nil"/>
              <w:left w:val="nil"/>
              <w:bottom w:val="single" w:color="auto" w:sz="8" w:space="0"/>
              <w:right w:val="single" w:color="auto" w:sz="4" w:space="0"/>
            </w:tcBorders>
          </w:tcPr>
          <w:p w:rsidR="001C1821" w:rsidP="001C1821" w:rsidRDefault="004B7BEB" w14:paraId="7B45959C" w14:textId="77777777">
            <w:pPr>
              <w:spacing w:after="60" w:line="240" w:lineRule="auto"/>
              <w:rPr>
                <w:rFonts w:ascii="Times New Roman" w:hAnsi="Times New Roman" w:cs="Times New Roman"/>
              </w:rPr>
            </w:pPr>
            <w:r>
              <w:rPr>
                <w:rFonts w:ascii="Times New Roman" w:hAnsi="Times New Roman" w:cs="Times New Roman"/>
              </w:rPr>
              <w:t>4</w:t>
            </w:r>
          </w:p>
        </w:tc>
        <w:tc>
          <w:tcPr>
            <w:tcW w:w="1170" w:type="dxa"/>
            <w:tcBorders>
              <w:top w:val="nil"/>
              <w:left w:val="single" w:color="auto" w:sz="4" w:space="0"/>
              <w:bottom w:val="single" w:color="auto" w:sz="8" w:space="0"/>
              <w:right w:val="single" w:color="auto" w:sz="4" w:space="0"/>
            </w:tcBorders>
          </w:tcPr>
          <w:p w:rsidR="001C1821" w:rsidP="001C1821" w:rsidRDefault="00D8133B" w14:paraId="3789748A" w14:textId="77777777">
            <w:pPr>
              <w:spacing w:after="60" w:line="240" w:lineRule="auto"/>
              <w:rPr>
                <w:rFonts w:ascii="Times New Roman" w:hAnsi="Times New Roman" w:cs="Times New Roman"/>
              </w:rPr>
            </w:pPr>
            <w:r>
              <w:rPr>
                <w:rFonts w:ascii="Times New Roman" w:hAnsi="Times New Roman" w:cs="Times New Roman"/>
              </w:rPr>
              <w:t>$</w:t>
            </w:r>
            <w:r w:rsidR="004B7BEB">
              <w:rPr>
                <w:rFonts w:ascii="Times New Roman" w:hAnsi="Times New Roman" w:cs="Times New Roman"/>
              </w:rPr>
              <w:t>200</w:t>
            </w:r>
          </w:p>
        </w:tc>
        <w:tc>
          <w:tcPr>
            <w:tcW w:w="990" w:type="dxa"/>
            <w:tcBorders>
              <w:top w:val="nil"/>
              <w:left w:val="single" w:color="auto" w:sz="4" w:space="0"/>
              <w:bottom w:val="single" w:color="auto" w:sz="8" w:space="0"/>
              <w:right w:val="single" w:color="auto" w:sz="4" w:space="0"/>
            </w:tcBorders>
          </w:tcPr>
          <w:p w:rsidR="001C1821" w:rsidP="001C1821" w:rsidRDefault="004B7BEB" w14:paraId="2F489725" w14:textId="77777777">
            <w:pPr>
              <w:spacing w:after="60" w:line="240" w:lineRule="auto"/>
              <w:rPr>
                <w:rFonts w:ascii="Times New Roman" w:hAnsi="Times New Roman" w:cs="Times New Roman"/>
              </w:rPr>
            </w:pPr>
            <w:r>
              <w:rPr>
                <w:rFonts w:ascii="Times New Roman" w:hAnsi="Times New Roman" w:cs="Times New Roman"/>
              </w:rPr>
              <w:t>24</w:t>
            </w:r>
          </w:p>
        </w:tc>
        <w:tc>
          <w:tcPr>
            <w:tcW w:w="1080" w:type="dxa"/>
            <w:tcBorders>
              <w:top w:val="nil"/>
              <w:left w:val="single" w:color="auto" w:sz="4" w:space="0"/>
              <w:bottom w:val="single" w:color="auto" w:sz="8" w:space="0"/>
              <w:right w:val="single" w:color="auto" w:sz="4" w:space="0"/>
            </w:tcBorders>
          </w:tcPr>
          <w:p w:rsidR="001C1821" w:rsidP="001C1821" w:rsidRDefault="00D8133B" w14:paraId="0EDB2516" w14:textId="77777777">
            <w:pPr>
              <w:spacing w:after="60" w:line="240" w:lineRule="auto"/>
              <w:rPr>
                <w:rFonts w:ascii="Times New Roman" w:hAnsi="Times New Roman" w:cs="Times New Roman"/>
              </w:rPr>
            </w:pPr>
            <w:r>
              <w:rPr>
                <w:rFonts w:ascii="Times New Roman" w:hAnsi="Times New Roman" w:cs="Times New Roman"/>
              </w:rPr>
              <w:t>$</w:t>
            </w:r>
            <w:r w:rsidR="004B7BEB">
              <w:rPr>
                <w:rFonts w:ascii="Times New Roman" w:hAnsi="Times New Roman" w:cs="Times New Roman"/>
              </w:rPr>
              <w:t>1,200</w:t>
            </w:r>
          </w:p>
        </w:tc>
      </w:tr>
      <w:tr w:rsidR="001C1821" w:rsidTr="001C1821" w14:paraId="2CE84AE1" w14:textId="77777777">
        <w:trPr>
          <w:trHeight w:val="315"/>
        </w:trPr>
        <w:tc>
          <w:tcPr>
            <w:tcW w:w="1458" w:type="dxa"/>
            <w:tcBorders>
              <w:top w:val="single" w:color="auto" w:sz="4" w:space="0"/>
              <w:left w:val="single" w:color="auto" w:sz="4" w:space="0"/>
              <w:bottom w:val="single" w:color="auto" w:sz="4" w:space="0"/>
              <w:right w:val="single" w:color="auto" w:sz="4" w:space="0"/>
            </w:tcBorders>
            <w:shd w:val="clear" w:color="auto" w:fill="C0C0C0"/>
            <w:hideMark/>
          </w:tcPr>
          <w:p w:rsidR="001C1821" w:rsidP="001C1821" w:rsidRDefault="001C1821" w14:paraId="5E4F0718" w14:textId="77777777">
            <w:pPr>
              <w:spacing w:after="60" w:line="240" w:lineRule="auto"/>
              <w:rPr>
                <w:rFonts w:ascii="Times New Roman" w:hAnsi="Times New Roman" w:eastAsia="Times New Roman" w:cs="Times New Roman"/>
                <w:b/>
                <w:bCs/>
              </w:rPr>
            </w:pPr>
            <w:r>
              <w:rPr>
                <w:rFonts w:ascii="Times New Roman" w:hAnsi="Times New Roman" w:eastAsia="Times New Roman" w:cs="Times New Roman"/>
                <w:b/>
                <w:bCs/>
              </w:rPr>
              <w:t>TOTAL</w:t>
            </w:r>
          </w:p>
        </w:tc>
        <w:tc>
          <w:tcPr>
            <w:tcW w:w="1530" w:type="dxa"/>
            <w:tcBorders>
              <w:top w:val="single" w:color="auto" w:sz="4" w:space="0"/>
              <w:left w:val="single" w:color="auto" w:sz="4" w:space="0"/>
              <w:bottom w:val="single" w:color="auto" w:sz="4" w:space="0"/>
              <w:right w:val="single" w:color="auto" w:sz="4" w:space="0"/>
            </w:tcBorders>
            <w:shd w:val="clear" w:color="auto" w:fill="C0C0C0"/>
            <w:hideMark/>
          </w:tcPr>
          <w:p w:rsidR="001C1821" w:rsidP="001C1821" w:rsidRDefault="001E555D" w14:paraId="18D00368" w14:textId="43A79F7D">
            <w:pPr>
              <w:spacing w:after="60" w:line="240" w:lineRule="auto"/>
              <w:rPr>
                <w:rFonts w:ascii="Times New Roman" w:hAnsi="Times New Roman" w:cs="Times New Roman"/>
              </w:rPr>
            </w:pPr>
            <w:r>
              <w:rPr>
                <w:rFonts w:ascii="Times New Roman" w:hAnsi="Times New Roman" w:cs="Times New Roman"/>
              </w:rPr>
              <w:t xml:space="preserve"> </w:t>
            </w:r>
          </w:p>
        </w:tc>
        <w:tc>
          <w:tcPr>
            <w:tcW w:w="1332" w:type="dxa"/>
            <w:tcBorders>
              <w:top w:val="single" w:color="auto" w:sz="4" w:space="0"/>
              <w:left w:val="single" w:color="auto" w:sz="4" w:space="0"/>
              <w:bottom w:val="single" w:color="auto" w:sz="4" w:space="0"/>
              <w:right w:val="single" w:color="auto" w:sz="4" w:space="0"/>
            </w:tcBorders>
            <w:shd w:val="clear" w:color="auto" w:fill="C0C0C0"/>
            <w:hideMark/>
          </w:tcPr>
          <w:p w:rsidR="001C1821" w:rsidP="001C1821" w:rsidRDefault="001C1821" w14:paraId="7F1F5E88" w14:textId="77777777">
            <w:pPr>
              <w:spacing w:after="60" w:line="240" w:lineRule="auto"/>
              <w:rPr>
                <w:rFonts w:ascii="Times New Roman" w:hAnsi="Times New Roman" w:cs="Times New Roman"/>
              </w:rPr>
            </w:pPr>
            <w:r>
              <w:rPr>
                <w:rFonts w:ascii="Times New Roman" w:hAnsi="Times New Roman" w:cs="Times New Roman"/>
              </w:rPr>
              <w:t>Varies</w:t>
            </w:r>
          </w:p>
        </w:tc>
        <w:tc>
          <w:tcPr>
            <w:tcW w:w="1260" w:type="dxa"/>
            <w:tcBorders>
              <w:top w:val="single" w:color="auto" w:sz="4" w:space="0"/>
              <w:left w:val="single" w:color="auto" w:sz="4" w:space="0"/>
              <w:bottom w:val="single" w:color="auto" w:sz="4" w:space="0"/>
              <w:right w:val="single" w:color="auto" w:sz="4" w:space="0"/>
            </w:tcBorders>
            <w:shd w:val="clear" w:color="auto" w:fill="C0C0C0"/>
            <w:hideMark/>
          </w:tcPr>
          <w:p w:rsidR="001C1821" w:rsidP="001C1821" w:rsidRDefault="00D0795E" w14:paraId="717A789F" w14:textId="77777777">
            <w:pPr>
              <w:spacing w:after="60" w:line="240" w:lineRule="auto"/>
              <w:rPr>
                <w:rFonts w:ascii="Times New Roman" w:hAnsi="Times New Roman" w:cs="Times New Roman"/>
              </w:rPr>
            </w:pPr>
            <w:r>
              <w:rPr>
                <w:rFonts w:ascii="Times New Roman" w:hAnsi="Times New Roman" w:cs="Times New Roman"/>
              </w:rPr>
              <w:t>8</w:t>
            </w:r>
          </w:p>
        </w:tc>
        <w:tc>
          <w:tcPr>
            <w:tcW w:w="1188" w:type="dxa"/>
            <w:tcBorders>
              <w:top w:val="single" w:color="auto" w:sz="4" w:space="0"/>
              <w:left w:val="single" w:color="auto" w:sz="4" w:space="0"/>
              <w:bottom w:val="single" w:color="auto" w:sz="4" w:space="0"/>
              <w:right w:val="single" w:color="auto" w:sz="4" w:space="0"/>
            </w:tcBorders>
            <w:shd w:val="clear" w:color="auto" w:fill="C0C0C0"/>
            <w:hideMark/>
          </w:tcPr>
          <w:p w:rsidR="001C1821" w:rsidP="001C1821" w:rsidRDefault="001C1821" w14:paraId="0272574A" w14:textId="77777777">
            <w:pPr>
              <w:spacing w:after="60" w:line="240" w:lineRule="auto"/>
              <w:rPr>
                <w:rFonts w:ascii="Times New Roman" w:hAnsi="Times New Roman" w:cs="Times New Roman"/>
                <w:b/>
              </w:rPr>
            </w:pPr>
            <w:r>
              <w:rPr>
                <w:rFonts w:ascii="Times New Roman" w:hAnsi="Times New Roman" w:cs="Times New Roman"/>
                <w:b/>
              </w:rPr>
              <w:t> </w:t>
            </w:r>
          </w:p>
        </w:tc>
        <w:tc>
          <w:tcPr>
            <w:tcW w:w="1170" w:type="dxa"/>
            <w:tcBorders>
              <w:top w:val="single" w:color="auto" w:sz="4" w:space="0"/>
              <w:left w:val="single" w:color="auto" w:sz="4" w:space="0"/>
              <w:bottom w:val="single" w:color="auto" w:sz="4" w:space="0"/>
              <w:right w:val="single" w:color="auto" w:sz="4" w:space="0"/>
            </w:tcBorders>
            <w:shd w:val="clear" w:color="auto" w:fill="C0C0C0"/>
          </w:tcPr>
          <w:p w:rsidR="001C1821" w:rsidP="001C1821" w:rsidRDefault="001C1821" w14:paraId="778B582B" w14:textId="77777777">
            <w:pPr>
              <w:spacing w:after="60" w:line="240" w:lineRule="auto"/>
              <w:rPr>
                <w:rFonts w:ascii="Times New Roman" w:hAnsi="Times New Roman" w:cs="Times New Roman"/>
              </w:rPr>
            </w:pPr>
          </w:p>
        </w:tc>
        <w:tc>
          <w:tcPr>
            <w:tcW w:w="990" w:type="dxa"/>
            <w:tcBorders>
              <w:top w:val="single" w:color="auto" w:sz="4" w:space="0"/>
              <w:left w:val="single" w:color="auto" w:sz="4" w:space="0"/>
              <w:bottom w:val="single" w:color="auto" w:sz="4" w:space="0"/>
              <w:right w:val="single" w:color="auto" w:sz="4" w:space="0"/>
            </w:tcBorders>
            <w:shd w:val="clear" w:color="auto" w:fill="C0C0C0"/>
          </w:tcPr>
          <w:p w:rsidR="001C1821" w:rsidP="001C1821" w:rsidRDefault="00D0795E" w14:paraId="37C262DC" w14:textId="77777777">
            <w:pPr>
              <w:spacing w:after="60" w:line="240" w:lineRule="auto"/>
              <w:rPr>
                <w:rFonts w:ascii="Times New Roman" w:hAnsi="Times New Roman" w:cs="Times New Roman"/>
              </w:rPr>
            </w:pPr>
            <w:r>
              <w:rPr>
                <w:rFonts w:ascii="Times New Roman" w:hAnsi="Times New Roman" w:cs="Times New Roman"/>
              </w:rPr>
              <w:t>42.5</w:t>
            </w:r>
          </w:p>
        </w:tc>
        <w:tc>
          <w:tcPr>
            <w:tcW w:w="1080" w:type="dxa"/>
            <w:tcBorders>
              <w:top w:val="single" w:color="auto" w:sz="4" w:space="0"/>
              <w:left w:val="single" w:color="auto" w:sz="4" w:space="0"/>
              <w:bottom w:val="single" w:color="auto" w:sz="4" w:space="0"/>
              <w:right w:val="single" w:color="auto" w:sz="4" w:space="0"/>
            </w:tcBorders>
            <w:shd w:val="clear" w:color="auto" w:fill="C0C0C0"/>
          </w:tcPr>
          <w:p w:rsidR="001C1821" w:rsidP="001C1821" w:rsidRDefault="001700CE" w14:paraId="3757586E" w14:textId="5B9D3004">
            <w:pPr>
              <w:spacing w:after="60" w:line="240" w:lineRule="auto"/>
              <w:rPr>
                <w:rFonts w:ascii="Times New Roman" w:hAnsi="Times New Roman" w:cs="Times New Roman"/>
              </w:rPr>
            </w:pPr>
            <w:r>
              <w:rPr>
                <w:rFonts w:ascii="Times New Roman" w:hAnsi="Times New Roman" w:cs="Times New Roman"/>
              </w:rPr>
              <w:t>$</w:t>
            </w:r>
            <w:r w:rsidR="00D0795E">
              <w:rPr>
                <w:rFonts w:ascii="Times New Roman" w:hAnsi="Times New Roman" w:cs="Times New Roman"/>
              </w:rPr>
              <w:t>2,125</w:t>
            </w:r>
          </w:p>
        </w:tc>
      </w:tr>
    </w:tbl>
    <w:p w:rsidR="000D070A" w:rsidP="005A060A" w:rsidRDefault="000D070A" w14:paraId="668D6830" w14:textId="77777777">
      <w:pPr>
        <w:pStyle w:val="Default"/>
        <w:tabs>
          <w:tab w:val="left" w:pos="378"/>
        </w:tabs>
        <w:jc w:val="center"/>
        <w:rPr>
          <w:b/>
          <w:bCs/>
          <w:u w:val="single"/>
        </w:rPr>
      </w:pPr>
    </w:p>
    <w:p w:rsidR="000D070A" w:rsidP="005A060A" w:rsidRDefault="000D070A" w14:paraId="59E2DA18" w14:textId="77777777">
      <w:pPr>
        <w:pStyle w:val="Default"/>
        <w:tabs>
          <w:tab w:val="left" w:pos="378"/>
        </w:tabs>
        <w:jc w:val="center"/>
        <w:rPr>
          <w:b/>
          <w:bCs/>
          <w:u w:val="single"/>
        </w:rPr>
      </w:pPr>
    </w:p>
    <w:p w:rsidR="000D070A" w:rsidP="005A060A" w:rsidRDefault="000D070A" w14:paraId="6ED5B0B2" w14:textId="77777777">
      <w:pPr>
        <w:pStyle w:val="Default"/>
        <w:tabs>
          <w:tab w:val="left" w:pos="378"/>
        </w:tabs>
        <w:jc w:val="center"/>
        <w:rPr>
          <w:b/>
          <w:bCs/>
          <w:u w:val="single"/>
        </w:rPr>
      </w:pPr>
    </w:p>
    <w:p w:rsidRPr="00833BEC" w:rsidR="00CC6A42" w:rsidP="00CC6A42" w:rsidRDefault="00CC6A42" w14:paraId="16E87EAC" w14:textId="77777777">
      <w:pPr>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sidRPr="00833BEC">
        <w:rPr>
          <w:rFonts w:ascii="Times New Roman" w:hAnsi="Times New Roman" w:cs="Times New Roman"/>
          <w:b/>
          <w:sz w:val="24"/>
          <w:szCs w:val="24"/>
        </w:rPr>
        <w:t xml:space="preserve">Provide an estimate for the total annual cost burden to respondents or recordkeepers resulting from the collection of information. (Do not include the cost of any hour burden shown in Items 12 and 14). </w:t>
      </w:r>
    </w:p>
    <w:p w:rsidRPr="00B81C18" w:rsidR="00CC6A42" w:rsidP="00CC6A42" w:rsidRDefault="00CC6A42" w14:paraId="70505670" w14:textId="77777777">
      <w:pPr>
        <w:pStyle w:val="ListParagraph"/>
        <w:numPr>
          <w:ilvl w:val="0"/>
          <w:numId w:val="1"/>
        </w:numPr>
        <w:spacing w:after="0" w:line="240" w:lineRule="auto"/>
        <w:rPr>
          <w:rFonts w:ascii="Times New Roman" w:hAnsi="Times New Roman" w:cs="Times New Roman"/>
          <w:b/>
          <w:sz w:val="24"/>
          <w:szCs w:val="24"/>
        </w:rPr>
      </w:pPr>
      <w:r w:rsidRPr="00B81C18">
        <w:rPr>
          <w:rFonts w:ascii="Times New Roman" w:hAnsi="Times New Roman" w:cs="Times New Roman"/>
          <w:b/>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833BEC" w:rsidR="00CC6A42" w:rsidP="00CC6A42" w:rsidRDefault="00CC6A42" w14:paraId="5510EB3E" w14:textId="77777777">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w:t>
      </w:r>
      <w:r>
        <w:rPr>
          <w:rFonts w:ascii="Times New Roman" w:hAnsi="Times New Roman" w:cs="Times New Roman"/>
          <w:b/>
          <w:sz w:val="24"/>
          <w:szCs w:val="24"/>
        </w:rPr>
        <w:t xml:space="preserve"> </w:t>
      </w:r>
      <w:r w:rsidRPr="00833BEC">
        <w:rPr>
          <w:rFonts w:ascii="Times New Roman" w:hAnsi="Times New Roman" w:cs="Times New Roman"/>
          <w:b/>
          <w:sz w:val="24"/>
          <w:szCs w:val="24"/>
        </w:rPr>
        <w:t xml:space="preserve">existing economic or regulatory impact analysis associated with the rulemaking containing the information collection, as appropriate. </w:t>
      </w:r>
    </w:p>
    <w:p w:rsidRPr="004C2D86" w:rsidR="00CB72F1" w:rsidP="00604BE6" w:rsidRDefault="00CC6A42" w14:paraId="051D7A60" w14:textId="77777777">
      <w:pPr>
        <w:pStyle w:val="ListParagraph"/>
        <w:numPr>
          <w:ilvl w:val="0"/>
          <w:numId w:val="1"/>
        </w:numPr>
        <w:spacing w:after="0" w:line="240" w:lineRule="auto"/>
      </w:pPr>
      <w:r w:rsidRPr="00833BEC">
        <w:rPr>
          <w:rFonts w:ascii="Times New Roman" w:hAnsi="Times New Roman" w:cs="Times New Roman"/>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4C2D86" w:rsidR="00CB72F1">
        <w:rPr>
          <w:b/>
          <w:bCs/>
        </w:rPr>
        <w:t xml:space="preserve"> </w:t>
      </w:r>
    </w:p>
    <w:p w:rsidRPr="005D6D58" w:rsidR="003D4953" w:rsidP="004C2D86" w:rsidRDefault="003D4953" w14:paraId="56EC67FA" w14:textId="77777777">
      <w:pPr>
        <w:pStyle w:val="Default"/>
        <w:ind w:firstLine="720"/>
        <w:rPr>
          <w:color w:val="000000" w:themeColor="text1"/>
        </w:rPr>
      </w:pPr>
    </w:p>
    <w:p w:rsidRPr="005D6D58" w:rsidR="006B7598" w:rsidP="006B7598" w:rsidRDefault="006B7598" w14:paraId="465DB704" w14:textId="77777777">
      <w:pPr>
        <w:pStyle w:val="Default"/>
        <w:spacing w:line="480" w:lineRule="auto"/>
        <w:ind w:firstLine="720"/>
        <w:rPr>
          <w:color w:val="000000" w:themeColor="text1"/>
        </w:rPr>
      </w:pPr>
      <w:r w:rsidRPr="00D0795E">
        <w:rPr>
          <w:color w:val="000000" w:themeColor="text1"/>
        </w:rPr>
        <w:t xml:space="preserve">The total dollar cost for this information collection </w:t>
      </w:r>
      <w:r w:rsidRPr="00D0795E">
        <w:rPr>
          <w:rFonts w:eastAsia="Times New Roman"/>
          <w:color w:val="000000" w:themeColor="text1"/>
        </w:rPr>
        <w:t xml:space="preserve">is the estimated amount that the tribes will pay to outside environmental consulting firms to </w:t>
      </w:r>
      <w:r w:rsidRPr="00D0795E">
        <w:rPr>
          <w:color w:val="000000" w:themeColor="text1"/>
        </w:rPr>
        <w:t xml:space="preserve">prepare the NEPA documents for </w:t>
      </w:r>
      <w:r w:rsidRPr="00D0795E">
        <w:rPr>
          <w:color w:val="000000" w:themeColor="text1"/>
        </w:rPr>
        <w:lastRenderedPageBreak/>
        <w:t>submission to the Commission.</w:t>
      </w:r>
      <w:r w:rsidRPr="00D0795E" w:rsidR="001243B3">
        <w:rPr>
          <w:color w:val="000000" w:themeColor="text1"/>
        </w:rPr>
        <w:t xml:space="preserve">  </w:t>
      </w:r>
      <w:r w:rsidRPr="00D0795E" w:rsidR="001243B3">
        <w:rPr>
          <w:color w:val="auto"/>
        </w:rPr>
        <w:t>This estimate is based on the average of the costs submitted by the consulted tribes, which was then multiplied by the number of annual respondents.</w:t>
      </w:r>
    </w:p>
    <w:p w:rsidR="006B7598" w:rsidP="006B7598" w:rsidRDefault="006B7598" w14:paraId="1442DC16" w14:textId="77777777">
      <w:pPr>
        <w:pStyle w:val="Default"/>
        <w:tabs>
          <w:tab w:val="left" w:pos="378"/>
        </w:tabs>
        <w:jc w:val="center"/>
      </w:pPr>
      <w:r>
        <w:rPr>
          <w:b/>
          <w:bCs/>
          <w:u w:val="single"/>
        </w:rPr>
        <w:t>ESTIMATED ANNUAL BURDEN TOTALS</w:t>
      </w:r>
    </w:p>
    <w:p w:rsidR="006B7598" w:rsidP="006B7598" w:rsidRDefault="006B7598" w14:paraId="64020458" w14:textId="77777777">
      <w:pPr>
        <w:pStyle w:val="Default"/>
        <w:jc w:val="center"/>
      </w:pPr>
    </w:p>
    <w:tbl>
      <w:tblPr>
        <w:tblW w:w="7818" w:type="dxa"/>
        <w:tblInd w:w="930" w:type="dxa"/>
        <w:tblLayout w:type="fixed"/>
        <w:tblLook w:val="04A0" w:firstRow="1" w:lastRow="0" w:firstColumn="1" w:lastColumn="0" w:noHBand="0" w:noVBand="1"/>
      </w:tblPr>
      <w:tblGrid>
        <w:gridCol w:w="1260"/>
        <w:gridCol w:w="1340"/>
        <w:gridCol w:w="1170"/>
        <w:gridCol w:w="1080"/>
        <w:gridCol w:w="1348"/>
        <w:gridCol w:w="1620"/>
      </w:tblGrid>
      <w:tr w:rsidRPr="00E87425" w:rsidR="000F760B" w:rsidTr="000F760B" w14:paraId="6F1F1FC5" w14:textId="77777777">
        <w:trPr>
          <w:trHeight w:val="745"/>
        </w:trPr>
        <w:tc>
          <w:tcPr>
            <w:tcW w:w="1260" w:type="dxa"/>
            <w:tcBorders>
              <w:top w:val="single" w:color="auto" w:sz="8" w:space="0"/>
              <w:left w:val="single" w:color="auto" w:sz="8" w:space="0"/>
              <w:bottom w:val="single" w:color="auto" w:sz="4" w:space="0"/>
              <w:right w:val="single" w:color="auto" w:sz="8" w:space="0"/>
            </w:tcBorders>
            <w:shd w:val="clear" w:color="000000" w:fill="BFBFBF" w:themeFill="background1" w:themeFillShade="BF"/>
            <w:hideMark/>
          </w:tcPr>
          <w:p w:rsidR="000F760B" w:rsidP="0032406D" w:rsidRDefault="000F760B" w14:paraId="3C6D8154" w14:textId="77777777">
            <w:pPr>
              <w:spacing w:before="60" w:after="60"/>
              <w:ind w:left="-93" w:right="-108"/>
              <w:jc w:val="center"/>
              <w:rPr>
                <w:rFonts w:ascii="Times New Roman" w:hAnsi="Times New Roman" w:eastAsia="Times New Roman" w:cs="Times New Roman"/>
                <w:b/>
                <w:bCs/>
                <w:color w:val="000000"/>
                <w:sz w:val="18"/>
                <w:szCs w:val="18"/>
              </w:rPr>
            </w:pPr>
          </w:p>
          <w:p w:rsidRPr="00AF4EEB" w:rsidR="000F760B" w:rsidP="0032406D" w:rsidRDefault="000F760B" w14:paraId="500759CB" w14:textId="77777777">
            <w:pPr>
              <w:spacing w:before="60" w:after="60"/>
              <w:ind w:left="-93" w:right="-108"/>
              <w:jc w:val="center"/>
              <w:rPr>
                <w:rFonts w:ascii="Times New Roman" w:hAnsi="Times New Roman" w:eastAsia="Times New Roman" w:cs="Times New Roman"/>
                <w:b/>
                <w:bCs/>
                <w:color w:val="000000"/>
                <w:sz w:val="18"/>
                <w:szCs w:val="18"/>
              </w:rPr>
            </w:pPr>
            <w:r w:rsidRPr="00AF4EEB">
              <w:rPr>
                <w:rFonts w:ascii="Times New Roman" w:hAnsi="Times New Roman" w:eastAsia="Times New Roman" w:cs="Times New Roman"/>
                <w:b/>
                <w:bCs/>
                <w:color w:val="000000"/>
                <w:sz w:val="18"/>
                <w:szCs w:val="18"/>
              </w:rPr>
              <w:t>CFR CITE/ COLLECTION</w:t>
            </w:r>
          </w:p>
        </w:tc>
        <w:tc>
          <w:tcPr>
            <w:tcW w:w="1340" w:type="dxa"/>
            <w:tcBorders>
              <w:top w:val="single" w:color="auto" w:sz="8" w:space="0"/>
              <w:left w:val="nil"/>
              <w:bottom w:val="single" w:color="auto" w:sz="8" w:space="0"/>
              <w:right w:val="single" w:color="auto" w:sz="8" w:space="0"/>
            </w:tcBorders>
            <w:shd w:val="clear" w:color="000000" w:fill="BFBFBF" w:themeFill="background1" w:themeFillShade="BF"/>
            <w:hideMark/>
          </w:tcPr>
          <w:p w:rsidRPr="00AF4EEB" w:rsidR="000F760B" w:rsidP="0032406D" w:rsidRDefault="000F760B" w14:paraId="450C9843" w14:textId="77777777">
            <w:pPr>
              <w:spacing w:before="60" w:after="60"/>
              <w:ind w:left="-108" w:right="-108"/>
              <w:jc w:val="center"/>
              <w:rPr>
                <w:rFonts w:ascii="Times New Roman" w:hAnsi="Times New Roman" w:eastAsia="Times New Roman" w:cs="Times New Roman"/>
                <w:b/>
                <w:bCs/>
                <w:sz w:val="18"/>
                <w:szCs w:val="18"/>
              </w:rPr>
            </w:pPr>
            <w:r w:rsidRPr="00AF4EEB">
              <w:rPr>
                <w:rFonts w:ascii="Times New Roman" w:hAnsi="Times New Roman" w:eastAsia="Times New Roman" w:cs="Times New Roman"/>
                <w:b/>
                <w:bCs/>
                <w:sz w:val="18"/>
                <w:szCs w:val="18"/>
              </w:rPr>
              <w:t>NUMBER OF ANNUAL RESPONDENTS</w:t>
            </w:r>
          </w:p>
        </w:tc>
        <w:tc>
          <w:tcPr>
            <w:tcW w:w="1170" w:type="dxa"/>
            <w:tcBorders>
              <w:top w:val="single" w:color="auto" w:sz="8" w:space="0"/>
              <w:left w:val="nil"/>
              <w:bottom w:val="single" w:color="auto" w:sz="8" w:space="0"/>
              <w:right w:val="single" w:color="auto" w:sz="8" w:space="0"/>
            </w:tcBorders>
            <w:shd w:val="clear" w:color="000000" w:fill="BFBFBF" w:themeFill="background1" w:themeFillShade="BF"/>
            <w:hideMark/>
          </w:tcPr>
          <w:p w:rsidRPr="00AF4EEB" w:rsidR="000F760B" w:rsidP="0032406D" w:rsidRDefault="000F760B" w14:paraId="0F3A222D" w14:textId="77777777">
            <w:pPr>
              <w:spacing w:before="60" w:after="60"/>
              <w:ind w:left="-108" w:right="-108"/>
              <w:jc w:val="center"/>
              <w:rPr>
                <w:rFonts w:ascii="Times New Roman" w:hAnsi="Times New Roman" w:eastAsia="Times New Roman" w:cs="Times New Roman"/>
                <w:b/>
                <w:bCs/>
                <w:sz w:val="18"/>
                <w:szCs w:val="18"/>
              </w:rPr>
            </w:pPr>
            <w:r w:rsidRPr="00AF4EEB">
              <w:rPr>
                <w:rFonts w:ascii="Times New Roman" w:hAnsi="Times New Roman" w:eastAsia="Times New Roman" w:cs="Times New Roman"/>
                <w:b/>
                <w:bCs/>
                <w:sz w:val="18"/>
                <w:szCs w:val="18"/>
              </w:rPr>
              <w:t>FREQUENCY OF RESPONSES PER YEAR</w:t>
            </w:r>
          </w:p>
        </w:tc>
        <w:tc>
          <w:tcPr>
            <w:tcW w:w="1080" w:type="dxa"/>
            <w:tcBorders>
              <w:top w:val="single" w:color="auto" w:sz="8" w:space="0"/>
              <w:left w:val="nil"/>
              <w:bottom w:val="single" w:color="auto" w:sz="8" w:space="0"/>
              <w:right w:val="single" w:color="auto" w:sz="8" w:space="0"/>
            </w:tcBorders>
            <w:shd w:val="clear" w:color="000000" w:fill="BFBFBF" w:themeFill="background1" w:themeFillShade="BF"/>
            <w:hideMark/>
          </w:tcPr>
          <w:p w:rsidRPr="00AF4EEB" w:rsidR="000F760B" w:rsidP="0032406D" w:rsidRDefault="000F760B" w14:paraId="443DD809" w14:textId="77777777">
            <w:pPr>
              <w:spacing w:before="60" w:after="60"/>
              <w:ind w:left="-108" w:right="-108"/>
              <w:jc w:val="center"/>
              <w:rPr>
                <w:rFonts w:ascii="Times New Roman" w:hAnsi="Times New Roman" w:eastAsia="Times New Roman" w:cs="Times New Roman"/>
                <w:b/>
                <w:bCs/>
                <w:sz w:val="18"/>
                <w:szCs w:val="18"/>
              </w:rPr>
            </w:pPr>
            <w:r w:rsidRPr="00AF4EEB">
              <w:rPr>
                <w:rFonts w:ascii="Times New Roman" w:hAnsi="Times New Roman" w:eastAsia="Times New Roman" w:cs="Times New Roman"/>
                <w:b/>
                <w:bCs/>
                <w:sz w:val="18"/>
                <w:szCs w:val="18"/>
              </w:rPr>
              <w:t>TOTAL ANNUAL RESPONSES</w:t>
            </w:r>
          </w:p>
        </w:tc>
        <w:tc>
          <w:tcPr>
            <w:tcW w:w="1348" w:type="dxa"/>
            <w:tcBorders>
              <w:top w:val="single" w:color="auto" w:sz="8" w:space="0"/>
              <w:left w:val="single" w:color="auto" w:sz="4" w:space="0"/>
              <w:bottom w:val="single" w:color="auto" w:sz="8" w:space="0"/>
              <w:right w:val="single" w:color="auto" w:sz="4" w:space="0"/>
            </w:tcBorders>
            <w:shd w:val="clear" w:color="000000" w:fill="BFBFBF" w:themeFill="background1" w:themeFillShade="BF"/>
          </w:tcPr>
          <w:p w:rsidRPr="00AF4EEB" w:rsidR="000F760B" w:rsidP="0032406D" w:rsidRDefault="000F760B" w14:paraId="1395BA3F" w14:textId="77777777">
            <w:pPr>
              <w:spacing w:before="60" w:after="60"/>
              <w:jc w:val="center"/>
              <w:rPr>
                <w:rFonts w:ascii="Times New Roman" w:hAnsi="Times New Roman" w:eastAsia="Times New Roman" w:cs="Times New Roman"/>
                <w:b/>
                <w:bCs/>
                <w:sz w:val="18"/>
                <w:szCs w:val="18"/>
              </w:rPr>
            </w:pPr>
            <w:r>
              <w:rPr>
                <w:rFonts w:ascii="Times New Roman" w:hAnsi="Times New Roman" w:eastAsia="Times New Roman" w:cs="Times New Roman"/>
                <w:b/>
                <w:bCs/>
                <w:sz w:val="18"/>
                <w:szCs w:val="18"/>
              </w:rPr>
              <w:t>AVERAGE ANNUAL COSTS</w:t>
            </w:r>
          </w:p>
        </w:tc>
        <w:tc>
          <w:tcPr>
            <w:tcW w:w="1620" w:type="dxa"/>
            <w:tcBorders>
              <w:top w:val="single" w:color="auto" w:sz="8" w:space="0"/>
              <w:left w:val="single" w:color="auto" w:sz="4" w:space="0"/>
              <w:bottom w:val="single" w:color="auto" w:sz="8" w:space="0"/>
              <w:right w:val="single" w:color="auto" w:sz="8" w:space="0"/>
            </w:tcBorders>
            <w:shd w:val="clear" w:color="000000" w:fill="BFBFBF" w:themeFill="background1" w:themeFillShade="BF"/>
            <w:hideMark/>
          </w:tcPr>
          <w:p w:rsidRPr="00AF4EEB" w:rsidR="000F760B" w:rsidP="0032406D" w:rsidRDefault="000F760B" w14:paraId="7216C8B8" w14:textId="77777777">
            <w:pPr>
              <w:spacing w:before="60" w:after="60"/>
              <w:jc w:val="center"/>
              <w:rPr>
                <w:rFonts w:ascii="Times New Roman" w:hAnsi="Times New Roman" w:eastAsia="Times New Roman" w:cs="Times New Roman"/>
                <w:b/>
                <w:bCs/>
                <w:sz w:val="18"/>
                <w:szCs w:val="18"/>
              </w:rPr>
            </w:pPr>
            <w:r w:rsidRPr="00AF4EEB">
              <w:rPr>
                <w:rFonts w:ascii="Times New Roman" w:hAnsi="Times New Roman" w:eastAsia="Times New Roman" w:cs="Times New Roman"/>
                <w:b/>
                <w:bCs/>
                <w:sz w:val="18"/>
                <w:szCs w:val="18"/>
              </w:rPr>
              <w:t xml:space="preserve">TOTAL </w:t>
            </w:r>
            <w:r>
              <w:rPr>
                <w:rFonts w:ascii="Times New Roman" w:hAnsi="Times New Roman" w:eastAsia="Times New Roman" w:cs="Times New Roman"/>
                <w:b/>
                <w:bCs/>
                <w:sz w:val="18"/>
                <w:szCs w:val="18"/>
              </w:rPr>
              <w:t>COSTS</w:t>
            </w:r>
          </w:p>
        </w:tc>
      </w:tr>
      <w:tr w:rsidRPr="005B3E85" w:rsidR="00D0795E" w:rsidTr="000F760B" w14:paraId="15E9DC85" w14:textId="77777777">
        <w:trPr>
          <w:trHeight w:val="330"/>
        </w:trPr>
        <w:tc>
          <w:tcPr>
            <w:tcW w:w="1260" w:type="dxa"/>
            <w:tcBorders>
              <w:top w:val="single" w:color="auto" w:sz="4" w:space="0"/>
              <w:left w:val="single" w:color="auto" w:sz="4" w:space="0"/>
              <w:bottom w:val="single" w:color="auto" w:sz="4" w:space="0"/>
              <w:right w:val="single" w:color="auto" w:sz="4" w:space="0"/>
            </w:tcBorders>
            <w:shd w:val="clear" w:color="auto" w:fill="auto"/>
            <w:hideMark/>
          </w:tcPr>
          <w:p w:rsidRPr="00AF4EEB" w:rsidR="00D0795E" w:rsidP="00D0795E" w:rsidRDefault="00D0795E" w14:paraId="1812BC2F" w14:textId="77777777">
            <w:pPr>
              <w:spacing w:after="60"/>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EIS</w:t>
            </w:r>
          </w:p>
        </w:tc>
        <w:tc>
          <w:tcPr>
            <w:tcW w:w="1340" w:type="dxa"/>
            <w:tcBorders>
              <w:top w:val="single" w:color="auto" w:sz="8" w:space="0"/>
              <w:left w:val="single" w:color="auto" w:sz="4" w:space="0"/>
              <w:bottom w:val="single" w:color="auto" w:sz="8" w:space="0"/>
              <w:right w:val="single" w:color="auto" w:sz="8" w:space="0"/>
            </w:tcBorders>
            <w:shd w:val="clear" w:color="auto" w:fill="auto"/>
            <w:hideMark/>
          </w:tcPr>
          <w:p w:rsidRPr="000F760B" w:rsidR="00D0795E" w:rsidP="00D0795E" w:rsidRDefault="00D0795E" w14:paraId="21CA150B" w14:textId="77777777">
            <w:pPr>
              <w:spacing w:after="6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70" w:type="dxa"/>
            <w:tcBorders>
              <w:top w:val="single" w:color="auto" w:sz="8" w:space="0"/>
              <w:left w:val="nil"/>
              <w:bottom w:val="single" w:color="auto" w:sz="8" w:space="0"/>
              <w:right w:val="single" w:color="auto" w:sz="8" w:space="0"/>
            </w:tcBorders>
            <w:shd w:val="clear" w:color="auto" w:fill="auto"/>
            <w:hideMark/>
          </w:tcPr>
          <w:p w:rsidRPr="000F760B" w:rsidR="00D0795E" w:rsidP="00D0795E" w:rsidRDefault="00D0795E" w14:paraId="609602CA" w14:textId="77777777">
            <w:pPr>
              <w:spacing w:after="60"/>
              <w:jc w:val="center"/>
              <w:rPr>
                <w:rFonts w:ascii="Times New Roman" w:hAnsi="Times New Roman" w:eastAsia="Times New Roman" w:cs="Times New Roman"/>
                <w:sz w:val="24"/>
                <w:szCs w:val="24"/>
              </w:rPr>
            </w:pPr>
            <w:r w:rsidRPr="000F760B">
              <w:rPr>
                <w:rFonts w:ascii="Times New Roman" w:hAnsi="Times New Roman" w:eastAsia="Times New Roman" w:cs="Times New Roman"/>
                <w:sz w:val="24"/>
                <w:szCs w:val="24"/>
              </w:rPr>
              <w:t>1</w:t>
            </w:r>
          </w:p>
        </w:tc>
        <w:tc>
          <w:tcPr>
            <w:tcW w:w="1080" w:type="dxa"/>
            <w:tcBorders>
              <w:top w:val="single" w:color="auto" w:sz="8" w:space="0"/>
              <w:left w:val="nil"/>
              <w:bottom w:val="single" w:color="auto" w:sz="8" w:space="0"/>
              <w:right w:val="single" w:color="auto" w:sz="8" w:space="0"/>
            </w:tcBorders>
            <w:shd w:val="clear" w:color="auto" w:fill="auto"/>
            <w:hideMark/>
          </w:tcPr>
          <w:p w:rsidRPr="000F760B" w:rsidR="00D0795E" w:rsidP="00D0795E" w:rsidRDefault="00D0795E" w14:paraId="75F5D745" w14:textId="77777777">
            <w:pPr>
              <w:spacing w:after="6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348" w:type="dxa"/>
            <w:tcBorders>
              <w:top w:val="single" w:color="auto" w:sz="8" w:space="0"/>
              <w:left w:val="single" w:color="auto" w:sz="4" w:space="0"/>
              <w:bottom w:val="single" w:color="auto" w:sz="8" w:space="0"/>
              <w:right w:val="single" w:color="auto" w:sz="4" w:space="0"/>
            </w:tcBorders>
          </w:tcPr>
          <w:p w:rsidRPr="000F760B" w:rsidR="00D0795E" w:rsidP="00D0795E" w:rsidRDefault="00D0795E" w14:paraId="735074BD" w14:textId="77777777">
            <w:pPr>
              <w:spacing w:after="60"/>
              <w:jc w:val="center"/>
              <w:rPr>
                <w:rFonts w:ascii="Times New Roman" w:hAnsi="Times New Roman" w:eastAsia="Times New Roman" w:cs="Times New Roman"/>
                <w:sz w:val="24"/>
                <w:szCs w:val="24"/>
              </w:rPr>
            </w:pPr>
            <w:r w:rsidRPr="000F760B">
              <w:rPr>
                <w:rFonts w:ascii="Times New Roman" w:hAnsi="Times New Roman" w:cs="Times New Roman"/>
                <w:sz w:val="24"/>
                <w:szCs w:val="24"/>
              </w:rPr>
              <w:t>$</w:t>
            </w:r>
            <w:r>
              <w:rPr>
                <w:rFonts w:ascii="Times New Roman" w:hAnsi="Times New Roman" w:cs="Times New Roman"/>
                <w:sz w:val="24"/>
                <w:szCs w:val="24"/>
              </w:rPr>
              <w:t>256,000</w:t>
            </w:r>
          </w:p>
        </w:tc>
        <w:tc>
          <w:tcPr>
            <w:tcW w:w="1620" w:type="dxa"/>
            <w:tcBorders>
              <w:top w:val="single" w:color="auto" w:sz="8" w:space="0"/>
              <w:left w:val="single" w:color="auto" w:sz="4" w:space="0"/>
              <w:bottom w:val="single" w:color="auto" w:sz="8" w:space="0"/>
              <w:right w:val="single" w:color="auto" w:sz="8" w:space="0"/>
            </w:tcBorders>
            <w:shd w:val="clear" w:color="auto" w:fill="auto"/>
            <w:hideMark/>
          </w:tcPr>
          <w:p w:rsidRPr="000F760B" w:rsidR="00D0795E" w:rsidP="00D0795E" w:rsidRDefault="00D0795E" w14:paraId="709B6E78" w14:textId="77777777">
            <w:pPr>
              <w:spacing w:after="60"/>
              <w:jc w:val="center"/>
              <w:rPr>
                <w:rFonts w:ascii="Times New Roman" w:hAnsi="Times New Roman" w:eastAsia="Times New Roman" w:cs="Times New Roman"/>
                <w:sz w:val="24"/>
                <w:szCs w:val="24"/>
              </w:rPr>
            </w:pPr>
            <w:r w:rsidRPr="000F760B">
              <w:rPr>
                <w:rFonts w:ascii="Times New Roman" w:hAnsi="Times New Roman" w:cs="Times New Roman"/>
                <w:sz w:val="24"/>
                <w:szCs w:val="24"/>
              </w:rPr>
              <w:t>$</w:t>
            </w:r>
            <w:r>
              <w:rPr>
                <w:rFonts w:ascii="Times New Roman" w:hAnsi="Times New Roman" w:cs="Times New Roman"/>
                <w:sz w:val="24"/>
                <w:szCs w:val="24"/>
              </w:rPr>
              <w:t>256,000</w:t>
            </w:r>
          </w:p>
        </w:tc>
      </w:tr>
      <w:tr w:rsidRPr="008C0448" w:rsidR="00D0795E" w:rsidTr="000F760B" w14:paraId="1F6FE123" w14:textId="77777777">
        <w:trPr>
          <w:trHeight w:val="330"/>
        </w:trPr>
        <w:tc>
          <w:tcPr>
            <w:tcW w:w="1260" w:type="dxa"/>
            <w:tcBorders>
              <w:top w:val="single" w:color="auto" w:sz="4" w:space="0"/>
              <w:left w:val="single" w:color="auto" w:sz="4" w:space="0"/>
              <w:bottom w:val="single" w:color="auto" w:sz="4" w:space="0"/>
              <w:right w:val="single" w:color="auto" w:sz="4" w:space="0"/>
            </w:tcBorders>
            <w:shd w:val="clear" w:color="auto" w:fill="auto"/>
            <w:hideMark/>
          </w:tcPr>
          <w:p w:rsidRPr="00AF4EEB" w:rsidR="00D0795E" w:rsidP="00D0795E" w:rsidRDefault="00D0795E" w14:paraId="47BD9596" w14:textId="77777777">
            <w:pPr>
              <w:spacing w:after="60"/>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EA</w:t>
            </w:r>
          </w:p>
        </w:tc>
        <w:tc>
          <w:tcPr>
            <w:tcW w:w="1340" w:type="dxa"/>
            <w:tcBorders>
              <w:top w:val="nil"/>
              <w:left w:val="single" w:color="auto" w:sz="4" w:space="0"/>
              <w:bottom w:val="single" w:color="auto" w:sz="8" w:space="0"/>
              <w:right w:val="single" w:color="auto" w:sz="8" w:space="0"/>
            </w:tcBorders>
            <w:shd w:val="clear" w:color="auto" w:fill="auto"/>
            <w:hideMark/>
          </w:tcPr>
          <w:p w:rsidRPr="000F760B" w:rsidR="00D0795E" w:rsidP="00D0795E" w:rsidRDefault="00D0795E" w14:paraId="4F2068F8" w14:textId="77777777">
            <w:pPr>
              <w:spacing w:after="6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70" w:type="dxa"/>
            <w:tcBorders>
              <w:top w:val="nil"/>
              <w:left w:val="nil"/>
              <w:bottom w:val="single" w:color="auto" w:sz="8" w:space="0"/>
              <w:right w:val="single" w:color="auto" w:sz="8" w:space="0"/>
            </w:tcBorders>
            <w:shd w:val="clear" w:color="auto" w:fill="auto"/>
            <w:hideMark/>
          </w:tcPr>
          <w:p w:rsidRPr="000F760B" w:rsidR="00D0795E" w:rsidP="00D0795E" w:rsidRDefault="00D0795E" w14:paraId="2967C4E4" w14:textId="77777777">
            <w:pPr>
              <w:spacing w:after="60"/>
              <w:jc w:val="center"/>
              <w:rPr>
                <w:rFonts w:ascii="Times New Roman" w:hAnsi="Times New Roman" w:eastAsia="Times New Roman" w:cs="Times New Roman"/>
                <w:sz w:val="24"/>
                <w:szCs w:val="24"/>
              </w:rPr>
            </w:pPr>
            <w:r w:rsidRPr="000F760B">
              <w:rPr>
                <w:rFonts w:ascii="Times New Roman" w:hAnsi="Times New Roman" w:eastAsia="Times New Roman" w:cs="Times New Roman"/>
                <w:sz w:val="24"/>
                <w:szCs w:val="24"/>
              </w:rPr>
              <w:t>1</w:t>
            </w:r>
          </w:p>
        </w:tc>
        <w:tc>
          <w:tcPr>
            <w:tcW w:w="1080" w:type="dxa"/>
            <w:tcBorders>
              <w:top w:val="nil"/>
              <w:left w:val="nil"/>
              <w:bottom w:val="single" w:color="auto" w:sz="8" w:space="0"/>
              <w:right w:val="single" w:color="auto" w:sz="8" w:space="0"/>
            </w:tcBorders>
            <w:shd w:val="clear" w:color="auto" w:fill="auto"/>
            <w:hideMark/>
          </w:tcPr>
          <w:p w:rsidRPr="000F760B" w:rsidR="00D0795E" w:rsidP="00D0795E" w:rsidRDefault="00D0795E" w14:paraId="0CF92DA8" w14:textId="77777777">
            <w:pPr>
              <w:spacing w:after="6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348" w:type="dxa"/>
            <w:tcBorders>
              <w:top w:val="nil"/>
              <w:left w:val="single" w:color="auto" w:sz="4" w:space="0"/>
              <w:bottom w:val="single" w:color="auto" w:sz="8" w:space="0"/>
              <w:right w:val="single" w:color="auto" w:sz="4" w:space="0"/>
            </w:tcBorders>
          </w:tcPr>
          <w:p w:rsidRPr="000F760B" w:rsidR="00D0795E" w:rsidP="00D0795E" w:rsidRDefault="00D0795E" w14:paraId="4E593CCE" w14:textId="77777777">
            <w:pPr>
              <w:spacing w:after="60"/>
              <w:jc w:val="center"/>
              <w:rPr>
                <w:rFonts w:ascii="Times New Roman" w:hAnsi="Times New Roman" w:eastAsia="Times New Roman" w:cs="Times New Roman"/>
                <w:sz w:val="24"/>
                <w:szCs w:val="24"/>
              </w:rPr>
            </w:pPr>
            <w:r w:rsidRPr="000F760B">
              <w:rPr>
                <w:rFonts w:ascii="Times New Roman" w:hAnsi="Times New Roman" w:cs="Times New Roman"/>
                <w:sz w:val="24"/>
                <w:szCs w:val="24"/>
              </w:rPr>
              <w:t>$</w:t>
            </w:r>
            <w:r>
              <w:rPr>
                <w:rFonts w:ascii="Times New Roman" w:hAnsi="Times New Roman" w:cs="Times New Roman"/>
                <w:sz w:val="24"/>
                <w:szCs w:val="24"/>
              </w:rPr>
              <w:t>238,132</w:t>
            </w:r>
          </w:p>
        </w:tc>
        <w:tc>
          <w:tcPr>
            <w:tcW w:w="1620" w:type="dxa"/>
            <w:tcBorders>
              <w:top w:val="nil"/>
              <w:left w:val="single" w:color="auto" w:sz="4" w:space="0"/>
              <w:bottom w:val="single" w:color="auto" w:sz="8" w:space="0"/>
              <w:right w:val="single" w:color="auto" w:sz="8" w:space="0"/>
            </w:tcBorders>
            <w:shd w:val="clear" w:color="auto" w:fill="auto"/>
            <w:hideMark/>
          </w:tcPr>
          <w:p w:rsidRPr="000F760B" w:rsidR="00D0795E" w:rsidP="00D0795E" w:rsidRDefault="00D0795E" w14:paraId="507E7C35" w14:textId="77777777">
            <w:pPr>
              <w:spacing w:after="60"/>
              <w:jc w:val="center"/>
              <w:rPr>
                <w:rFonts w:ascii="Times New Roman" w:hAnsi="Times New Roman" w:eastAsia="Times New Roman" w:cs="Times New Roman"/>
                <w:sz w:val="24"/>
                <w:szCs w:val="24"/>
              </w:rPr>
            </w:pPr>
            <w:r w:rsidRPr="000F760B">
              <w:rPr>
                <w:rFonts w:ascii="Times New Roman" w:hAnsi="Times New Roman" w:cs="Times New Roman"/>
                <w:sz w:val="24"/>
                <w:szCs w:val="24"/>
              </w:rPr>
              <w:t>$</w:t>
            </w:r>
            <w:r>
              <w:rPr>
                <w:rFonts w:ascii="Times New Roman" w:hAnsi="Times New Roman" w:cs="Times New Roman"/>
                <w:sz w:val="24"/>
                <w:szCs w:val="24"/>
              </w:rPr>
              <w:t>238,132</w:t>
            </w:r>
          </w:p>
        </w:tc>
      </w:tr>
      <w:tr w:rsidRPr="00331392" w:rsidR="00D0795E" w:rsidTr="000F760B" w14:paraId="0DFB07D6" w14:textId="77777777">
        <w:trPr>
          <w:trHeight w:val="330"/>
        </w:trPr>
        <w:tc>
          <w:tcPr>
            <w:tcW w:w="1260" w:type="dxa"/>
            <w:tcBorders>
              <w:top w:val="single" w:color="auto" w:sz="4" w:space="0"/>
              <w:left w:val="single" w:color="auto" w:sz="4" w:space="0"/>
              <w:bottom w:val="single" w:color="auto" w:sz="4" w:space="0"/>
              <w:right w:val="single" w:color="auto" w:sz="4" w:space="0"/>
            </w:tcBorders>
            <w:shd w:val="clear" w:color="auto" w:fill="auto"/>
            <w:hideMark/>
          </w:tcPr>
          <w:p w:rsidRPr="00AF4EEB" w:rsidR="00D0795E" w:rsidP="00D0795E" w:rsidRDefault="00D0795E" w14:paraId="221CB410" w14:textId="77777777">
            <w:pPr>
              <w:spacing w:after="60"/>
              <w:jc w:val="center"/>
              <w:rPr>
                <w:rFonts w:ascii="Times New Roman" w:hAnsi="Times New Roman" w:eastAsia="Times New Roman" w:cs="Times New Roman"/>
                <w:b/>
                <w:bCs/>
                <w:sz w:val="24"/>
                <w:szCs w:val="24"/>
              </w:rPr>
            </w:pPr>
            <w:r w:rsidRPr="00D0795E">
              <w:rPr>
                <w:rFonts w:ascii="Times New Roman" w:hAnsi="Times New Roman" w:eastAsia="Times New Roman" w:cs="Times New Roman"/>
                <w:b/>
                <w:bCs/>
                <w:sz w:val="24"/>
                <w:szCs w:val="24"/>
              </w:rPr>
              <w:t>CATEX/ OTHER</w:t>
            </w:r>
          </w:p>
        </w:tc>
        <w:tc>
          <w:tcPr>
            <w:tcW w:w="1340" w:type="dxa"/>
            <w:tcBorders>
              <w:top w:val="nil"/>
              <w:left w:val="single" w:color="auto" w:sz="4" w:space="0"/>
              <w:bottom w:val="single" w:color="auto" w:sz="8" w:space="0"/>
              <w:right w:val="single" w:color="auto" w:sz="8" w:space="0"/>
            </w:tcBorders>
            <w:shd w:val="clear" w:color="auto" w:fill="auto"/>
            <w:hideMark/>
          </w:tcPr>
          <w:p w:rsidRPr="000F760B" w:rsidR="00D0795E" w:rsidP="00D0795E" w:rsidRDefault="00D0795E" w14:paraId="42349411" w14:textId="77777777">
            <w:pPr>
              <w:spacing w:after="6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170" w:type="dxa"/>
            <w:tcBorders>
              <w:top w:val="nil"/>
              <w:left w:val="nil"/>
              <w:bottom w:val="single" w:color="auto" w:sz="8" w:space="0"/>
              <w:right w:val="single" w:color="auto" w:sz="8" w:space="0"/>
            </w:tcBorders>
            <w:shd w:val="clear" w:color="auto" w:fill="auto"/>
            <w:hideMark/>
          </w:tcPr>
          <w:p w:rsidRPr="000F760B" w:rsidR="00D0795E" w:rsidP="00D0795E" w:rsidRDefault="00D0795E" w14:paraId="76212A3D" w14:textId="77777777">
            <w:pPr>
              <w:spacing w:after="60"/>
              <w:jc w:val="center"/>
              <w:rPr>
                <w:rFonts w:ascii="Times New Roman" w:hAnsi="Times New Roman" w:eastAsia="Times New Roman" w:cs="Times New Roman"/>
                <w:sz w:val="24"/>
                <w:szCs w:val="24"/>
              </w:rPr>
            </w:pPr>
            <w:r w:rsidRPr="000F760B">
              <w:rPr>
                <w:rFonts w:ascii="Times New Roman" w:hAnsi="Times New Roman" w:eastAsia="Times New Roman" w:cs="Times New Roman"/>
                <w:sz w:val="24"/>
                <w:szCs w:val="24"/>
              </w:rPr>
              <w:t>1</w:t>
            </w:r>
          </w:p>
        </w:tc>
        <w:tc>
          <w:tcPr>
            <w:tcW w:w="1080" w:type="dxa"/>
            <w:tcBorders>
              <w:top w:val="nil"/>
              <w:left w:val="nil"/>
              <w:bottom w:val="single" w:color="auto" w:sz="8" w:space="0"/>
              <w:right w:val="single" w:color="auto" w:sz="8" w:space="0"/>
            </w:tcBorders>
            <w:shd w:val="clear" w:color="auto" w:fill="auto"/>
            <w:hideMark/>
          </w:tcPr>
          <w:p w:rsidRPr="000F760B" w:rsidR="00D0795E" w:rsidP="00D0795E" w:rsidRDefault="00D0795E" w14:paraId="715E4CBC" w14:textId="77777777">
            <w:pPr>
              <w:spacing w:after="6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348" w:type="dxa"/>
            <w:tcBorders>
              <w:top w:val="nil"/>
              <w:left w:val="single" w:color="auto" w:sz="4" w:space="0"/>
              <w:bottom w:val="single" w:color="auto" w:sz="8" w:space="0"/>
              <w:right w:val="single" w:color="auto" w:sz="4" w:space="0"/>
            </w:tcBorders>
          </w:tcPr>
          <w:p w:rsidRPr="000F760B" w:rsidR="00D0795E" w:rsidP="00D0795E" w:rsidRDefault="0026385E" w14:paraId="49B2BBC3" w14:textId="155E6003">
            <w:pPr>
              <w:spacing w:after="6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00D0795E">
              <w:rPr>
                <w:rFonts w:ascii="Times New Roman" w:hAnsi="Times New Roman" w:eastAsia="Times New Roman" w:cs="Times New Roman"/>
                <w:sz w:val="24"/>
                <w:szCs w:val="24"/>
              </w:rPr>
              <w:t>0</w:t>
            </w:r>
          </w:p>
        </w:tc>
        <w:tc>
          <w:tcPr>
            <w:tcW w:w="1620" w:type="dxa"/>
            <w:tcBorders>
              <w:top w:val="nil"/>
              <w:left w:val="single" w:color="auto" w:sz="4" w:space="0"/>
              <w:bottom w:val="single" w:color="auto" w:sz="8" w:space="0"/>
              <w:right w:val="single" w:color="auto" w:sz="8" w:space="0"/>
            </w:tcBorders>
            <w:shd w:val="clear" w:color="auto" w:fill="auto"/>
            <w:hideMark/>
          </w:tcPr>
          <w:p w:rsidRPr="000F760B" w:rsidR="00D0795E" w:rsidP="00D0795E" w:rsidRDefault="0026385E" w14:paraId="68D9FE3B" w14:textId="6095FF85">
            <w:pPr>
              <w:spacing w:after="60"/>
              <w:jc w:val="center"/>
              <w:rPr>
                <w:rFonts w:ascii="Times New Roman" w:hAnsi="Times New Roman" w:eastAsia="Times New Roman" w:cs="Times New Roman"/>
                <w:sz w:val="24"/>
                <w:szCs w:val="24"/>
              </w:rPr>
            </w:pPr>
            <w:r>
              <w:rPr>
                <w:rFonts w:ascii="Times New Roman" w:hAnsi="Times New Roman" w:cs="Times New Roman"/>
                <w:sz w:val="24"/>
                <w:szCs w:val="24"/>
              </w:rPr>
              <w:t>$</w:t>
            </w:r>
            <w:r w:rsidR="00D0795E">
              <w:rPr>
                <w:rFonts w:ascii="Times New Roman" w:hAnsi="Times New Roman" w:cs="Times New Roman"/>
                <w:sz w:val="24"/>
                <w:szCs w:val="24"/>
              </w:rPr>
              <w:t>0</w:t>
            </w:r>
          </w:p>
        </w:tc>
      </w:tr>
      <w:tr w:rsidRPr="005B3E85" w:rsidR="00D0795E" w:rsidTr="000F760B" w14:paraId="249F06E5" w14:textId="77777777">
        <w:trPr>
          <w:trHeight w:val="315"/>
        </w:trPr>
        <w:tc>
          <w:tcPr>
            <w:tcW w:w="1260" w:type="dxa"/>
            <w:tcBorders>
              <w:top w:val="single" w:color="auto" w:sz="4" w:space="0"/>
              <w:left w:val="single" w:color="auto" w:sz="4" w:space="0"/>
              <w:bottom w:val="single" w:color="auto" w:sz="4" w:space="0"/>
              <w:right w:val="single" w:color="auto" w:sz="4" w:space="0"/>
            </w:tcBorders>
            <w:shd w:val="clear" w:color="000000" w:fill="C0C0C0"/>
            <w:hideMark/>
          </w:tcPr>
          <w:p w:rsidRPr="00AF4EEB" w:rsidR="00D0795E" w:rsidP="00D0795E" w:rsidRDefault="00D0795E" w14:paraId="72684D85" w14:textId="77777777">
            <w:pPr>
              <w:spacing w:after="60"/>
              <w:jc w:val="center"/>
              <w:rPr>
                <w:rFonts w:ascii="Times New Roman" w:hAnsi="Times New Roman" w:eastAsia="Times New Roman" w:cs="Times New Roman"/>
                <w:b/>
                <w:bCs/>
                <w:sz w:val="24"/>
                <w:szCs w:val="24"/>
              </w:rPr>
            </w:pPr>
            <w:r w:rsidRPr="00AF4EEB">
              <w:rPr>
                <w:rFonts w:ascii="Times New Roman" w:hAnsi="Times New Roman" w:eastAsia="Times New Roman" w:cs="Times New Roman"/>
                <w:b/>
                <w:bCs/>
                <w:sz w:val="24"/>
                <w:szCs w:val="24"/>
              </w:rPr>
              <w:t>TOTAL</w:t>
            </w:r>
          </w:p>
        </w:tc>
        <w:tc>
          <w:tcPr>
            <w:tcW w:w="1340" w:type="dxa"/>
            <w:tcBorders>
              <w:top w:val="single" w:color="auto" w:sz="4" w:space="0"/>
              <w:left w:val="single" w:color="auto" w:sz="4" w:space="0"/>
              <w:bottom w:val="single" w:color="auto" w:sz="4" w:space="0"/>
              <w:right w:val="single" w:color="auto" w:sz="4" w:space="0"/>
            </w:tcBorders>
            <w:shd w:val="clear" w:color="000000" w:fill="C0C0C0"/>
            <w:hideMark/>
          </w:tcPr>
          <w:p w:rsidRPr="000F760B" w:rsidR="00D0795E" w:rsidP="00D0795E" w:rsidRDefault="00D0795E" w14:paraId="2672CAAC" w14:textId="109E5076">
            <w:pPr>
              <w:spacing w:after="60"/>
              <w:jc w:val="center"/>
              <w:rPr>
                <w:rFonts w:ascii="Times New Roman" w:hAnsi="Times New Roman" w:eastAsia="Times New Roman" w:cs="Times New Roman"/>
                <w:sz w:val="24"/>
                <w:szCs w:val="24"/>
              </w:rPr>
            </w:pPr>
          </w:p>
        </w:tc>
        <w:tc>
          <w:tcPr>
            <w:tcW w:w="1170" w:type="dxa"/>
            <w:tcBorders>
              <w:top w:val="single" w:color="auto" w:sz="4" w:space="0"/>
              <w:left w:val="single" w:color="auto" w:sz="4" w:space="0"/>
              <w:bottom w:val="single" w:color="auto" w:sz="4" w:space="0"/>
              <w:right w:val="single" w:color="auto" w:sz="4" w:space="0"/>
            </w:tcBorders>
            <w:shd w:val="clear" w:color="000000" w:fill="C0C0C0"/>
            <w:hideMark/>
          </w:tcPr>
          <w:p w:rsidRPr="000F760B" w:rsidR="00D0795E" w:rsidP="00D0795E" w:rsidRDefault="00D0795E" w14:paraId="1CD5FCEE" w14:textId="77777777">
            <w:pPr>
              <w:spacing w:after="60"/>
              <w:jc w:val="center"/>
              <w:rPr>
                <w:rFonts w:ascii="Times New Roman" w:hAnsi="Times New Roman" w:eastAsia="Times New Roman" w:cs="Times New Roman"/>
                <w:sz w:val="24"/>
                <w:szCs w:val="24"/>
              </w:rPr>
            </w:pPr>
          </w:p>
        </w:tc>
        <w:tc>
          <w:tcPr>
            <w:tcW w:w="1080" w:type="dxa"/>
            <w:tcBorders>
              <w:top w:val="single" w:color="auto" w:sz="4" w:space="0"/>
              <w:left w:val="single" w:color="auto" w:sz="4" w:space="0"/>
              <w:bottom w:val="single" w:color="auto" w:sz="4" w:space="0"/>
              <w:right w:val="single" w:color="auto" w:sz="4" w:space="0"/>
            </w:tcBorders>
            <w:shd w:val="clear" w:color="000000" w:fill="C0C0C0"/>
            <w:hideMark/>
          </w:tcPr>
          <w:p w:rsidRPr="000F760B" w:rsidR="00D0795E" w:rsidP="00D0795E" w:rsidRDefault="00D0795E" w14:paraId="58550522" w14:textId="77777777">
            <w:pPr>
              <w:spacing w:after="6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1348" w:type="dxa"/>
            <w:tcBorders>
              <w:top w:val="single" w:color="auto" w:sz="4" w:space="0"/>
              <w:left w:val="single" w:color="auto" w:sz="4" w:space="0"/>
              <w:bottom w:val="single" w:color="auto" w:sz="4" w:space="0"/>
              <w:right w:val="single" w:color="auto" w:sz="4" w:space="0"/>
            </w:tcBorders>
            <w:shd w:val="clear" w:color="000000" w:fill="C0C0C0"/>
          </w:tcPr>
          <w:p w:rsidRPr="000F760B" w:rsidR="00D0795E" w:rsidP="00D0795E" w:rsidRDefault="00D0795E" w14:paraId="50B2DEEA" w14:textId="1474127F">
            <w:pPr>
              <w:spacing w:after="60"/>
              <w:ind w:left="-108" w:right="-18"/>
              <w:jc w:val="center"/>
              <w:rPr>
                <w:rFonts w:ascii="Times New Roman" w:hAnsi="Times New Roman" w:eastAsia="Times New Roman" w:cs="Times New Roman"/>
                <w:sz w:val="24"/>
                <w:szCs w:val="24"/>
              </w:rPr>
            </w:pPr>
          </w:p>
        </w:tc>
        <w:tc>
          <w:tcPr>
            <w:tcW w:w="1620" w:type="dxa"/>
            <w:tcBorders>
              <w:top w:val="single" w:color="auto" w:sz="4" w:space="0"/>
              <w:left w:val="single" w:color="auto" w:sz="4" w:space="0"/>
              <w:bottom w:val="single" w:color="auto" w:sz="4" w:space="0"/>
              <w:right w:val="single" w:color="auto" w:sz="4" w:space="0"/>
            </w:tcBorders>
            <w:shd w:val="clear" w:color="000000" w:fill="C0C0C0"/>
            <w:hideMark/>
          </w:tcPr>
          <w:p w:rsidRPr="000F760B" w:rsidR="00D0795E" w:rsidP="00D0795E" w:rsidRDefault="001700CE" w14:paraId="791E909E" w14:textId="3847F8D6">
            <w:pPr>
              <w:spacing w:after="60"/>
              <w:ind w:left="-108" w:right="-18"/>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00D0795E">
              <w:rPr>
                <w:rFonts w:ascii="Times New Roman" w:hAnsi="Times New Roman" w:eastAsia="Times New Roman" w:cs="Times New Roman"/>
                <w:sz w:val="24"/>
                <w:szCs w:val="24"/>
              </w:rPr>
              <w:t>494,132</w:t>
            </w:r>
          </w:p>
        </w:tc>
      </w:tr>
    </w:tbl>
    <w:p w:rsidR="000F760B" w:rsidP="006B7598" w:rsidRDefault="000F760B" w14:paraId="03D83EA9" w14:textId="77777777">
      <w:pPr>
        <w:pStyle w:val="Default"/>
        <w:jc w:val="center"/>
      </w:pPr>
    </w:p>
    <w:p w:rsidR="000F760B" w:rsidP="006B7598" w:rsidRDefault="000F760B" w14:paraId="19E8871A" w14:textId="77777777">
      <w:pPr>
        <w:pStyle w:val="Default"/>
        <w:jc w:val="center"/>
      </w:pPr>
    </w:p>
    <w:p w:rsidRPr="00B32CE3" w:rsidR="003D4953" w:rsidP="00DA29B4" w:rsidRDefault="00DA29B4" w14:paraId="0893C2A5" w14:textId="77777777">
      <w:pPr>
        <w:pStyle w:val="Default"/>
        <w:tabs>
          <w:tab w:val="left" w:pos="378"/>
        </w:tabs>
      </w:pPr>
      <w:r w:rsidRPr="00427218">
        <w:t xml:space="preserve"> </w:t>
      </w:r>
    </w:p>
    <w:p w:rsidRPr="004C2D86" w:rsidR="00CB72F1" w:rsidP="00604BE6" w:rsidRDefault="00CC6A42" w14:paraId="279EF162" w14:textId="77777777">
      <w:pPr>
        <w:spacing w:after="0" w:line="240" w:lineRule="auto"/>
        <w:ind w:left="360" w:hanging="360"/>
      </w:pPr>
      <w:r>
        <w:rPr>
          <w:rFonts w:ascii="Times New Roman" w:hAnsi="Times New Roman" w:cs="Times New Roman"/>
          <w:b/>
          <w:sz w:val="24"/>
          <w:szCs w:val="24"/>
        </w:rPr>
        <w:t>14.</w:t>
      </w:r>
      <w:r>
        <w:rPr>
          <w:rFonts w:ascii="Times New Roman" w:hAnsi="Times New Roman" w:cs="Times New Roman"/>
          <w:b/>
          <w:sz w:val="24"/>
          <w:szCs w:val="24"/>
        </w:rPr>
        <w:tab/>
      </w:r>
      <w:r w:rsidRPr="00833BEC">
        <w:rPr>
          <w:rFonts w:ascii="Times New Roman" w:hAnsi="Times New Roman" w:cs="Times New Roman"/>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sidRPr="004C2D86" w:rsidR="00CB72F1">
        <w:rPr>
          <w:b/>
          <w:bCs/>
        </w:rPr>
        <w:t xml:space="preserve"> </w:t>
      </w:r>
    </w:p>
    <w:p w:rsidR="003D4953" w:rsidP="00FA30E8" w:rsidRDefault="003D4953" w14:paraId="179F1458" w14:textId="77777777">
      <w:pPr>
        <w:pStyle w:val="Default"/>
        <w:ind w:firstLine="720"/>
      </w:pPr>
    </w:p>
    <w:p w:rsidRPr="00D94C45" w:rsidR="006B6387" w:rsidP="00D94C45" w:rsidRDefault="00D94C45" w14:paraId="4CDC4258" w14:textId="77777777">
      <w:pPr>
        <w:pStyle w:val="Default"/>
        <w:spacing w:line="480" w:lineRule="auto"/>
        <w:ind w:firstLine="720"/>
        <w:rPr>
          <w:color w:val="000000" w:themeColor="text1"/>
        </w:rPr>
      </w:pPr>
      <w:r w:rsidRPr="00D0795E">
        <w:rPr>
          <w:color w:val="000000" w:themeColor="text1"/>
        </w:rPr>
        <w:t>The Commission determined its cost and burden hour estimates, inclusive of operational expenses, based on the workflows of the agency, and the functions specific to the receipt, recording, and analysis of the submissions. The wage rates are based on hourly compensation at the level of a GS-14/7.</w:t>
      </w:r>
    </w:p>
    <w:p w:rsidRPr="005D0382" w:rsidR="005D0382" w:rsidP="005D0382" w:rsidRDefault="005D0382" w14:paraId="38EA03A9" w14:textId="77777777">
      <w:pPr>
        <w:pStyle w:val="Default"/>
        <w:tabs>
          <w:tab w:val="left" w:pos="378"/>
        </w:tabs>
        <w:jc w:val="center"/>
      </w:pPr>
      <w:r w:rsidRPr="005D0382">
        <w:rPr>
          <w:b/>
          <w:bCs/>
          <w:u w:val="single"/>
        </w:rPr>
        <w:t xml:space="preserve">ESTIMATED ANNUAL </w:t>
      </w:r>
      <w:r w:rsidR="00664383">
        <w:rPr>
          <w:b/>
          <w:bCs/>
          <w:u w:val="single"/>
        </w:rPr>
        <w:t xml:space="preserve">AGENCY </w:t>
      </w:r>
      <w:r w:rsidRPr="005D0382">
        <w:rPr>
          <w:b/>
          <w:bCs/>
          <w:u w:val="single"/>
        </w:rPr>
        <w:t>BURDEN TOTALS</w:t>
      </w:r>
    </w:p>
    <w:p w:rsidRPr="005D0382" w:rsidR="005D0382" w:rsidP="005D0382" w:rsidRDefault="005D0382" w14:paraId="049B2E22" w14:textId="77777777">
      <w:pPr>
        <w:pStyle w:val="Default"/>
        <w:jc w:val="center"/>
      </w:pPr>
    </w:p>
    <w:tbl>
      <w:tblPr>
        <w:tblW w:w="9540" w:type="dxa"/>
        <w:tblInd w:w="18" w:type="dxa"/>
        <w:tblLayout w:type="fixed"/>
        <w:tblLook w:val="04A0" w:firstRow="1" w:lastRow="0" w:firstColumn="1" w:lastColumn="0" w:noHBand="0" w:noVBand="1"/>
      </w:tblPr>
      <w:tblGrid>
        <w:gridCol w:w="1350"/>
        <w:gridCol w:w="1530"/>
        <w:gridCol w:w="1350"/>
        <w:gridCol w:w="1170"/>
        <w:gridCol w:w="1170"/>
        <w:gridCol w:w="900"/>
        <w:gridCol w:w="900"/>
        <w:gridCol w:w="1170"/>
      </w:tblGrid>
      <w:tr w:rsidRPr="00E87425" w:rsidR="00664383" w:rsidTr="00334FBC" w14:paraId="4709F5EE" w14:textId="77777777">
        <w:trPr>
          <w:trHeight w:val="745"/>
        </w:trPr>
        <w:tc>
          <w:tcPr>
            <w:tcW w:w="1350" w:type="dxa"/>
            <w:tcBorders>
              <w:top w:val="single" w:color="auto" w:sz="8" w:space="0"/>
              <w:left w:val="single" w:color="auto" w:sz="8" w:space="0"/>
              <w:bottom w:val="single" w:color="auto" w:sz="4" w:space="0"/>
              <w:right w:val="single" w:color="auto" w:sz="8" w:space="0"/>
            </w:tcBorders>
            <w:shd w:val="clear" w:color="000000" w:fill="BFBFBF" w:themeFill="background1" w:themeFillShade="BF"/>
            <w:vAlign w:val="bottom"/>
            <w:hideMark/>
          </w:tcPr>
          <w:p w:rsidRPr="00052DE1" w:rsidR="005D0382" w:rsidP="00664383" w:rsidRDefault="005D0382" w14:paraId="5045899F" w14:textId="77777777">
            <w:pPr>
              <w:spacing w:before="60" w:after="60" w:line="240" w:lineRule="auto"/>
              <w:ind w:left="-93" w:right="-108"/>
              <w:jc w:val="center"/>
              <w:rPr>
                <w:rFonts w:ascii="Times New Roman" w:hAnsi="Times New Roman" w:eastAsia="Times New Roman" w:cs="Times New Roman"/>
                <w:b/>
                <w:bCs/>
                <w:color w:val="000000"/>
                <w:sz w:val="18"/>
                <w:szCs w:val="18"/>
              </w:rPr>
            </w:pPr>
            <w:r w:rsidRPr="00052DE1">
              <w:rPr>
                <w:rFonts w:ascii="Times New Roman" w:hAnsi="Times New Roman" w:eastAsia="Times New Roman" w:cs="Times New Roman"/>
                <w:b/>
                <w:bCs/>
                <w:color w:val="000000"/>
                <w:sz w:val="18"/>
                <w:szCs w:val="18"/>
              </w:rPr>
              <w:t>CFR CITE/ COLLECTION</w:t>
            </w:r>
          </w:p>
        </w:tc>
        <w:tc>
          <w:tcPr>
            <w:tcW w:w="1530" w:type="dxa"/>
            <w:tcBorders>
              <w:top w:val="single" w:color="auto" w:sz="8" w:space="0"/>
              <w:left w:val="nil"/>
              <w:bottom w:val="single" w:color="auto" w:sz="8" w:space="0"/>
              <w:right w:val="single" w:color="auto" w:sz="8" w:space="0"/>
            </w:tcBorders>
            <w:shd w:val="clear" w:color="000000" w:fill="BFBFBF" w:themeFill="background1" w:themeFillShade="BF"/>
            <w:vAlign w:val="bottom"/>
            <w:hideMark/>
          </w:tcPr>
          <w:p w:rsidRPr="00052DE1" w:rsidR="005D0382" w:rsidP="00664383" w:rsidRDefault="005D0382" w14:paraId="16BD663E" w14:textId="77777777">
            <w:pPr>
              <w:spacing w:before="60" w:after="60" w:line="240" w:lineRule="auto"/>
              <w:ind w:left="-108" w:right="-108"/>
              <w:jc w:val="center"/>
              <w:rPr>
                <w:rFonts w:ascii="Times New Roman" w:hAnsi="Times New Roman" w:eastAsia="Times New Roman" w:cs="Times New Roman"/>
                <w:b/>
                <w:bCs/>
                <w:sz w:val="18"/>
                <w:szCs w:val="18"/>
              </w:rPr>
            </w:pPr>
            <w:r w:rsidRPr="00052DE1">
              <w:rPr>
                <w:rFonts w:ascii="Times New Roman" w:hAnsi="Times New Roman" w:eastAsia="Times New Roman" w:cs="Times New Roman"/>
                <w:b/>
                <w:bCs/>
                <w:sz w:val="18"/>
                <w:szCs w:val="18"/>
              </w:rPr>
              <w:t>NUMBER OF ANNUAL RESPONDENTS</w:t>
            </w:r>
          </w:p>
        </w:tc>
        <w:tc>
          <w:tcPr>
            <w:tcW w:w="1350" w:type="dxa"/>
            <w:tcBorders>
              <w:top w:val="single" w:color="auto" w:sz="8" w:space="0"/>
              <w:left w:val="nil"/>
              <w:bottom w:val="single" w:color="auto" w:sz="8" w:space="0"/>
              <w:right w:val="single" w:color="auto" w:sz="8" w:space="0"/>
            </w:tcBorders>
            <w:shd w:val="clear" w:color="000000" w:fill="BFBFBF" w:themeFill="background1" w:themeFillShade="BF"/>
            <w:vAlign w:val="bottom"/>
            <w:hideMark/>
          </w:tcPr>
          <w:p w:rsidRPr="00052DE1" w:rsidR="005D0382" w:rsidP="00664383" w:rsidRDefault="005D0382" w14:paraId="7B0804F4" w14:textId="77777777">
            <w:pPr>
              <w:spacing w:before="60" w:after="60" w:line="240" w:lineRule="auto"/>
              <w:ind w:left="-108" w:right="-108"/>
              <w:jc w:val="center"/>
              <w:rPr>
                <w:rFonts w:ascii="Times New Roman" w:hAnsi="Times New Roman" w:eastAsia="Times New Roman" w:cs="Times New Roman"/>
                <w:b/>
                <w:bCs/>
                <w:sz w:val="18"/>
                <w:szCs w:val="18"/>
              </w:rPr>
            </w:pPr>
            <w:r w:rsidRPr="00052DE1">
              <w:rPr>
                <w:rFonts w:ascii="Times New Roman" w:hAnsi="Times New Roman" w:eastAsia="Times New Roman" w:cs="Times New Roman"/>
                <w:b/>
                <w:bCs/>
                <w:sz w:val="18"/>
                <w:szCs w:val="18"/>
              </w:rPr>
              <w:t>FREQUENCY OF RESPONSE PER YEAR</w:t>
            </w:r>
          </w:p>
        </w:tc>
        <w:tc>
          <w:tcPr>
            <w:tcW w:w="1170" w:type="dxa"/>
            <w:tcBorders>
              <w:top w:val="single" w:color="auto" w:sz="8" w:space="0"/>
              <w:left w:val="nil"/>
              <w:bottom w:val="single" w:color="auto" w:sz="8" w:space="0"/>
              <w:right w:val="single" w:color="auto" w:sz="8" w:space="0"/>
            </w:tcBorders>
            <w:shd w:val="clear" w:color="000000" w:fill="BFBFBF" w:themeFill="background1" w:themeFillShade="BF"/>
            <w:vAlign w:val="bottom"/>
            <w:hideMark/>
          </w:tcPr>
          <w:p w:rsidRPr="00052DE1" w:rsidR="005D0382" w:rsidP="00664383" w:rsidRDefault="005D0382" w14:paraId="7DB2F9D3" w14:textId="77777777">
            <w:pPr>
              <w:spacing w:before="60" w:after="60" w:line="240" w:lineRule="auto"/>
              <w:ind w:left="-108" w:right="-108"/>
              <w:jc w:val="center"/>
              <w:rPr>
                <w:rFonts w:ascii="Times New Roman" w:hAnsi="Times New Roman" w:eastAsia="Times New Roman" w:cs="Times New Roman"/>
                <w:b/>
                <w:bCs/>
                <w:sz w:val="18"/>
                <w:szCs w:val="18"/>
              </w:rPr>
            </w:pPr>
            <w:r w:rsidRPr="00052DE1">
              <w:rPr>
                <w:rFonts w:ascii="Times New Roman" w:hAnsi="Times New Roman" w:eastAsia="Times New Roman" w:cs="Times New Roman"/>
                <w:b/>
                <w:bCs/>
                <w:sz w:val="18"/>
                <w:szCs w:val="18"/>
              </w:rPr>
              <w:t>TOTAL ANNUAL RESPONSES</w:t>
            </w:r>
          </w:p>
        </w:tc>
        <w:tc>
          <w:tcPr>
            <w:tcW w:w="1170" w:type="dxa"/>
            <w:tcBorders>
              <w:top w:val="single" w:color="auto" w:sz="8" w:space="0"/>
              <w:left w:val="nil"/>
              <w:bottom w:val="single" w:color="auto" w:sz="8" w:space="0"/>
              <w:right w:val="single" w:color="auto" w:sz="8" w:space="0"/>
            </w:tcBorders>
            <w:shd w:val="clear" w:color="000000" w:fill="BFBFBF" w:themeFill="background1" w:themeFillShade="BF"/>
            <w:vAlign w:val="bottom"/>
            <w:hideMark/>
          </w:tcPr>
          <w:p w:rsidRPr="00052DE1" w:rsidR="005D0382" w:rsidP="00664383" w:rsidRDefault="00664383" w14:paraId="56271727" w14:textId="77777777">
            <w:pPr>
              <w:spacing w:before="60" w:after="60" w:line="240" w:lineRule="auto"/>
              <w:ind w:left="-108" w:right="-108"/>
              <w:jc w:val="center"/>
              <w:rPr>
                <w:rFonts w:ascii="Times New Roman" w:hAnsi="Times New Roman" w:eastAsia="Times New Roman" w:cs="Times New Roman"/>
                <w:b/>
                <w:bCs/>
                <w:sz w:val="18"/>
                <w:szCs w:val="18"/>
              </w:rPr>
            </w:pPr>
            <w:r w:rsidRPr="00052DE1">
              <w:rPr>
                <w:rFonts w:ascii="Times New Roman" w:hAnsi="Times New Roman" w:eastAsia="Times New Roman" w:cs="Times New Roman"/>
                <w:b/>
                <w:bCs/>
                <w:sz w:val="18"/>
                <w:szCs w:val="18"/>
              </w:rPr>
              <w:t>REVIEW HOURS PER RESPONSE</w:t>
            </w:r>
          </w:p>
        </w:tc>
        <w:tc>
          <w:tcPr>
            <w:tcW w:w="900" w:type="dxa"/>
            <w:tcBorders>
              <w:top w:val="single" w:color="auto" w:sz="8" w:space="0"/>
              <w:left w:val="nil"/>
              <w:bottom w:val="single" w:color="auto" w:sz="8" w:space="0"/>
              <w:right w:val="single" w:color="auto" w:sz="8" w:space="0"/>
            </w:tcBorders>
            <w:shd w:val="clear" w:color="000000" w:fill="BFBFBF" w:themeFill="background1" w:themeFillShade="BF"/>
            <w:vAlign w:val="bottom"/>
            <w:hideMark/>
          </w:tcPr>
          <w:p w:rsidRPr="00052DE1" w:rsidR="005D0382" w:rsidP="00664383" w:rsidRDefault="005D0382" w14:paraId="34B0049E" w14:textId="77777777">
            <w:pPr>
              <w:spacing w:before="60" w:after="60" w:line="240" w:lineRule="auto"/>
              <w:ind w:left="-108" w:right="-108"/>
              <w:jc w:val="center"/>
              <w:rPr>
                <w:rFonts w:ascii="Times New Roman" w:hAnsi="Times New Roman" w:eastAsia="Times New Roman" w:cs="Times New Roman"/>
                <w:b/>
                <w:bCs/>
                <w:sz w:val="18"/>
                <w:szCs w:val="18"/>
              </w:rPr>
            </w:pPr>
            <w:r w:rsidRPr="00052DE1">
              <w:rPr>
                <w:rFonts w:ascii="Times New Roman" w:hAnsi="Times New Roman" w:eastAsia="Times New Roman" w:cs="Times New Roman"/>
                <w:b/>
                <w:bCs/>
                <w:sz w:val="18"/>
                <w:szCs w:val="18"/>
              </w:rPr>
              <w:t>TOTAL HOURS</w:t>
            </w:r>
          </w:p>
        </w:tc>
        <w:tc>
          <w:tcPr>
            <w:tcW w:w="900" w:type="dxa"/>
            <w:tcBorders>
              <w:top w:val="single" w:color="auto" w:sz="8" w:space="0"/>
              <w:left w:val="nil"/>
              <w:bottom w:val="single" w:color="auto" w:sz="8" w:space="0"/>
              <w:right w:val="single" w:color="auto" w:sz="8" w:space="0"/>
            </w:tcBorders>
            <w:shd w:val="clear" w:color="000000" w:fill="BFBFBF" w:themeFill="background1" w:themeFillShade="BF"/>
            <w:vAlign w:val="bottom"/>
            <w:hideMark/>
          </w:tcPr>
          <w:p w:rsidRPr="00052DE1" w:rsidR="005D0382" w:rsidP="00664383" w:rsidRDefault="00664383" w14:paraId="5FADE5E2" w14:textId="77777777">
            <w:pPr>
              <w:spacing w:before="60" w:after="60" w:line="240" w:lineRule="auto"/>
              <w:ind w:left="-101" w:right="-115"/>
              <w:jc w:val="center"/>
              <w:rPr>
                <w:rFonts w:ascii="Times New Roman" w:hAnsi="Times New Roman" w:eastAsia="Times New Roman" w:cs="Times New Roman"/>
                <w:b/>
                <w:bCs/>
                <w:sz w:val="18"/>
                <w:szCs w:val="18"/>
              </w:rPr>
            </w:pPr>
            <w:r w:rsidRPr="00052DE1">
              <w:rPr>
                <w:rFonts w:ascii="Times New Roman" w:hAnsi="Times New Roman" w:eastAsia="Times New Roman" w:cs="Times New Roman"/>
                <w:b/>
                <w:bCs/>
                <w:sz w:val="18"/>
                <w:szCs w:val="18"/>
              </w:rPr>
              <w:t>HOURLY RATE</w:t>
            </w:r>
            <w:r w:rsidRPr="00052DE1" w:rsidR="005D0382">
              <w:rPr>
                <w:rFonts w:ascii="Times New Roman" w:hAnsi="Times New Roman" w:eastAsia="Times New Roman" w:cs="Times New Roman"/>
                <w:b/>
                <w:bCs/>
                <w:sz w:val="18"/>
                <w:szCs w:val="18"/>
              </w:rPr>
              <w:t xml:space="preserve"> </w:t>
            </w:r>
          </w:p>
        </w:tc>
        <w:tc>
          <w:tcPr>
            <w:tcW w:w="1170" w:type="dxa"/>
            <w:tcBorders>
              <w:top w:val="single" w:color="auto" w:sz="8" w:space="0"/>
              <w:left w:val="nil"/>
              <w:bottom w:val="single" w:color="auto" w:sz="8" w:space="0"/>
              <w:right w:val="single" w:color="auto" w:sz="8" w:space="0"/>
            </w:tcBorders>
            <w:shd w:val="clear" w:color="000000" w:fill="BFBFBF" w:themeFill="background1" w:themeFillShade="BF"/>
            <w:vAlign w:val="bottom"/>
            <w:hideMark/>
          </w:tcPr>
          <w:p w:rsidRPr="00052DE1" w:rsidR="005D0382" w:rsidP="00664383" w:rsidRDefault="005D0382" w14:paraId="2D58E9B1" w14:textId="77777777">
            <w:pPr>
              <w:spacing w:before="60" w:after="60" w:line="240" w:lineRule="auto"/>
              <w:ind w:left="-108"/>
              <w:jc w:val="center"/>
              <w:rPr>
                <w:rFonts w:ascii="Times New Roman" w:hAnsi="Times New Roman" w:eastAsia="Times New Roman" w:cs="Times New Roman"/>
                <w:b/>
                <w:bCs/>
                <w:sz w:val="18"/>
                <w:szCs w:val="18"/>
              </w:rPr>
            </w:pPr>
            <w:r w:rsidRPr="00052DE1">
              <w:rPr>
                <w:rFonts w:ascii="Times New Roman" w:hAnsi="Times New Roman" w:eastAsia="Times New Roman" w:cs="Times New Roman"/>
                <w:b/>
                <w:bCs/>
                <w:sz w:val="18"/>
                <w:szCs w:val="18"/>
              </w:rPr>
              <w:t xml:space="preserve">TOTAL </w:t>
            </w:r>
            <w:r w:rsidRPr="00052DE1" w:rsidR="00664383">
              <w:rPr>
                <w:rFonts w:ascii="Times New Roman" w:hAnsi="Times New Roman" w:eastAsia="Times New Roman" w:cs="Times New Roman"/>
                <w:b/>
                <w:bCs/>
                <w:sz w:val="18"/>
                <w:szCs w:val="18"/>
              </w:rPr>
              <w:t xml:space="preserve">AGENCY </w:t>
            </w:r>
            <w:r w:rsidRPr="00052DE1">
              <w:rPr>
                <w:rFonts w:ascii="Times New Roman" w:hAnsi="Times New Roman" w:eastAsia="Times New Roman" w:cs="Times New Roman"/>
                <w:b/>
                <w:bCs/>
                <w:sz w:val="18"/>
                <w:szCs w:val="18"/>
              </w:rPr>
              <w:t>COSTS</w:t>
            </w:r>
          </w:p>
        </w:tc>
      </w:tr>
      <w:tr w:rsidRPr="005B3E85" w:rsidR="00D0795E" w:rsidTr="00334FBC" w14:paraId="7C9D79F3" w14:textId="77777777">
        <w:trPr>
          <w:trHeight w:val="330"/>
        </w:trPr>
        <w:tc>
          <w:tcPr>
            <w:tcW w:w="135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052DE1" w:rsidR="00D0795E" w:rsidP="00D0795E" w:rsidRDefault="00D0795E" w14:paraId="642C8200" w14:textId="77777777">
            <w:pPr>
              <w:spacing w:after="60" w:line="240" w:lineRule="auto"/>
              <w:rPr>
                <w:rFonts w:ascii="Times New Roman" w:hAnsi="Times New Roman" w:cs="Times New Roman"/>
                <w:b/>
                <w:bCs/>
                <w:sz w:val="24"/>
                <w:szCs w:val="24"/>
              </w:rPr>
            </w:pPr>
            <w:r w:rsidRPr="00052DE1">
              <w:rPr>
                <w:rFonts w:ascii="Times New Roman" w:hAnsi="Times New Roman" w:cs="Times New Roman"/>
                <w:b/>
                <w:bCs/>
                <w:sz w:val="24"/>
                <w:szCs w:val="24"/>
              </w:rPr>
              <w:t>EA/EIS</w:t>
            </w:r>
          </w:p>
        </w:tc>
        <w:tc>
          <w:tcPr>
            <w:tcW w:w="1530" w:type="dxa"/>
            <w:tcBorders>
              <w:top w:val="nil"/>
              <w:left w:val="single" w:color="auto" w:sz="4" w:space="0"/>
              <w:bottom w:val="single" w:color="auto" w:sz="8" w:space="0"/>
              <w:right w:val="single" w:color="auto" w:sz="8" w:space="0"/>
            </w:tcBorders>
            <w:shd w:val="clear" w:color="auto" w:fill="auto"/>
            <w:vAlign w:val="bottom"/>
            <w:hideMark/>
          </w:tcPr>
          <w:p w:rsidRPr="00052DE1" w:rsidR="00D0795E" w:rsidP="00D0795E" w:rsidRDefault="00D0795E" w14:paraId="1A843256" w14:textId="77777777">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nil"/>
              <w:left w:val="nil"/>
              <w:bottom w:val="single" w:color="auto" w:sz="8" w:space="0"/>
              <w:right w:val="single" w:color="auto" w:sz="8" w:space="0"/>
            </w:tcBorders>
            <w:shd w:val="clear" w:color="auto" w:fill="auto"/>
            <w:vAlign w:val="bottom"/>
            <w:hideMark/>
          </w:tcPr>
          <w:p w:rsidRPr="00052DE1" w:rsidR="00D0795E" w:rsidP="00D0795E" w:rsidRDefault="00D0795E" w14:paraId="5C8BDC24" w14:textId="77777777">
            <w:pPr>
              <w:spacing w:after="60" w:line="240" w:lineRule="auto"/>
              <w:jc w:val="right"/>
              <w:rPr>
                <w:rFonts w:ascii="Times New Roman" w:hAnsi="Times New Roman" w:cs="Times New Roman"/>
                <w:sz w:val="24"/>
                <w:szCs w:val="24"/>
              </w:rPr>
            </w:pPr>
            <w:r w:rsidRPr="00052DE1">
              <w:rPr>
                <w:rFonts w:ascii="Times New Roman" w:hAnsi="Times New Roman" w:cs="Times New Roman"/>
                <w:sz w:val="24"/>
                <w:szCs w:val="24"/>
              </w:rPr>
              <w:t>Varies</w:t>
            </w:r>
          </w:p>
        </w:tc>
        <w:tc>
          <w:tcPr>
            <w:tcW w:w="1170" w:type="dxa"/>
            <w:tcBorders>
              <w:top w:val="nil"/>
              <w:left w:val="nil"/>
              <w:bottom w:val="single" w:color="auto" w:sz="8" w:space="0"/>
              <w:right w:val="single" w:color="auto" w:sz="8" w:space="0"/>
            </w:tcBorders>
            <w:shd w:val="clear" w:color="auto" w:fill="auto"/>
            <w:vAlign w:val="bottom"/>
            <w:hideMark/>
          </w:tcPr>
          <w:p w:rsidRPr="00052DE1" w:rsidR="00D0795E" w:rsidP="00D0795E" w:rsidRDefault="00D0795E" w14:paraId="7C89352E" w14:textId="77777777">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2</w:t>
            </w:r>
          </w:p>
        </w:tc>
        <w:tc>
          <w:tcPr>
            <w:tcW w:w="1170" w:type="dxa"/>
            <w:tcBorders>
              <w:top w:val="nil"/>
              <w:left w:val="nil"/>
              <w:bottom w:val="single" w:color="auto" w:sz="8" w:space="0"/>
              <w:right w:val="single" w:color="auto" w:sz="8" w:space="0"/>
            </w:tcBorders>
            <w:shd w:val="clear" w:color="auto" w:fill="auto"/>
            <w:vAlign w:val="bottom"/>
          </w:tcPr>
          <w:p w:rsidRPr="00052DE1" w:rsidR="00D0795E" w:rsidP="00D0795E" w:rsidRDefault="00D0795E" w14:paraId="36CA1954" w14:textId="77777777">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120</w:t>
            </w:r>
          </w:p>
        </w:tc>
        <w:tc>
          <w:tcPr>
            <w:tcW w:w="900" w:type="dxa"/>
            <w:tcBorders>
              <w:top w:val="nil"/>
              <w:left w:val="nil"/>
              <w:bottom w:val="single" w:color="auto" w:sz="8" w:space="0"/>
              <w:right w:val="single" w:color="auto" w:sz="8" w:space="0"/>
            </w:tcBorders>
            <w:shd w:val="clear" w:color="auto" w:fill="auto"/>
            <w:vAlign w:val="bottom"/>
          </w:tcPr>
          <w:p w:rsidRPr="00052DE1" w:rsidR="00D0795E" w:rsidP="00D0795E" w:rsidRDefault="00D0795E" w14:paraId="023A697C" w14:textId="77777777">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120</w:t>
            </w:r>
          </w:p>
        </w:tc>
        <w:tc>
          <w:tcPr>
            <w:tcW w:w="900" w:type="dxa"/>
            <w:tcBorders>
              <w:top w:val="nil"/>
              <w:left w:val="nil"/>
              <w:bottom w:val="single" w:color="auto" w:sz="8" w:space="0"/>
              <w:right w:val="single" w:color="auto" w:sz="8" w:space="0"/>
            </w:tcBorders>
            <w:shd w:val="clear" w:color="auto" w:fill="auto"/>
            <w:vAlign w:val="bottom"/>
          </w:tcPr>
          <w:p w:rsidRPr="00052DE1" w:rsidR="00D0795E" w:rsidP="00D0795E" w:rsidRDefault="00D0795E" w14:paraId="15ED75D8" w14:textId="77777777">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$52.11</w:t>
            </w:r>
          </w:p>
        </w:tc>
        <w:tc>
          <w:tcPr>
            <w:tcW w:w="1170" w:type="dxa"/>
            <w:tcBorders>
              <w:top w:val="nil"/>
              <w:left w:val="nil"/>
              <w:bottom w:val="single" w:color="auto" w:sz="8" w:space="0"/>
              <w:right w:val="single" w:color="auto" w:sz="8" w:space="0"/>
            </w:tcBorders>
            <w:shd w:val="clear" w:color="auto" w:fill="auto"/>
            <w:vAlign w:val="bottom"/>
          </w:tcPr>
          <w:p w:rsidRPr="00052DE1" w:rsidR="00D0795E" w:rsidP="00D0795E" w:rsidRDefault="00D0795E" w14:paraId="51CE90FF" w14:textId="77777777">
            <w:pPr>
              <w:spacing w:after="60" w:line="240" w:lineRule="auto"/>
              <w:jc w:val="right"/>
              <w:rPr>
                <w:rFonts w:ascii="Times New Roman" w:hAnsi="Times New Roman" w:cs="Times New Roman"/>
                <w:sz w:val="24"/>
                <w:szCs w:val="24"/>
              </w:rPr>
            </w:pPr>
            <w:r w:rsidRPr="00052DE1">
              <w:rPr>
                <w:rFonts w:ascii="Times New Roman" w:hAnsi="Times New Roman" w:cs="Times New Roman"/>
                <w:sz w:val="24"/>
                <w:szCs w:val="24"/>
              </w:rPr>
              <w:t>$</w:t>
            </w:r>
            <w:r>
              <w:rPr>
                <w:rFonts w:ascii="Times New Roman" w:hAnsi="Times New Roman" w:cs="Times New Roman"/>
                <w:sz w:val="24"/>
                <w:szCs w:val="24"/>
              </w:rPr>
              <w:t>6,253</w:t>
            </w:r>
          </w:p>
        </w:tc>
      </w:tr>
      <w:tr w:rsidRPr="005B3E85" w:rsidR="00D0795E" w:rsidTr="00334FBC" w14:paraId="5907CBBB" w14:textId="77777777">
        <w:trPr>
          <w:trHeight w:val="330"/>
        </w:trPr>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052DE1" w:rsidR="00D0795E" w:rsidP="00D0795E" w:rsidRDefault="00D0795E" w14:paraId="405C4E06" w14:textId="77777777">
            <w:pPr>
              <w:spacing w:after="60" w:line="240" w:lineRule="auto"/>
              <w:rPr>
                <w:rFonts w:ascii="Times New Roman" w:hAnsi="Times New Roman" w:cs="Times New Roman"/>
                <w:b/>
                <w:bCs/>
                <w:sz w:val="24"/>
                <w:szCs w:val="24"/>
              </w:rPr>
            </w:pPr>
            <w:r w:rsidRPr="00D0795E">
              <w:rPr>
                <w:rFonts w:ascii="Times New Roman" w:hAnsi="Times New Roman" w:cs="Times New Roman"/>
                <w:b/>
                <w:bCs/>
                <w:sz w:val="24"/>
                <w:szCs w:val="24"/>
              </w:rPr>
              <w:t>CATEX / OTHER</w:t>
            </w:r>
          </w:p>
        </w:tc>
        <w:tc>
          <w:tcPr>
            <w:tcW w:w="1530" w:type="dxa"/>
            <w:tcBorders>
              <w:top w:val="nil"/>
              <w:left w:val="single" w:color="auto" w:sz="4" w:space="0"/>
              <w:bottom w:val="single" w:color="auto" w:sz="8" w:space="0"/>
              <w:right w:val="single" w:color="auto" w:sz="8" w:space="0"/>
            </w:tcBorders>
            <w:shd w:val="clear" w:color="auto" w:fill="auto"/>
            <w:vAlign w:val="bottom"/>
          </w:tcPr>
          <w:p w:rsidR="00D0795E" w:rsidP="00D0795E" w:rsidRDefault="00D0795E" w14:paraId="302A01A4" w14:textId="77777777">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6</w:t>
            </w:r>
          </w:p>
        </w:tc>
        <w:tc>
          <w:tcPr>
            <w:tcW w:w="1350" w:type="dxa"/>
            <w:tcBorders>
              <w:top w:val="nil"/>
              <w:left w:val="nil"/>
              <w:bottom w:val="single" w:color="auto" w:sz="8" w:space="0"/>
              <w:right w:val="single" w:color="auto" w:sz="8" w:space="0"/>
            </w:tcBorders>
            <w:shd w:val="clear" w:color="auto" w:fill="auto"/>
            <w:vAlign w:val="bottom"/>
          </w:tcPr>
          <w:p w:rsidRPr="00052DE1" w:rsidR="00D0795E" w:rsidP="00D0795E" w:rsidRDefault="00960935" w14:paraId="568DB2AA" w14:textId="66B7A694">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1170" w:type="dxa"/>
            <w:tcBorders>
              <w:top w:val="nil"/>
              <w:left w:val="nil"/>
              <w:bottom w:val="single" w:color="auto" w:sz="8" w:space="0"/>
              <w:right w:val="single" w:color="auto" w:sz="8" w:space="0"/>
            </w:tcBorders>
            <w:shd w:val="clear" w:color="auto" w:fill="auto"/>
            <w:vAlign w:val="bottom"/>
          </w:tcPr>
          <w:p w:rsidR="00D0795E" w:rsidP="00D0795E" w:rsidRDefault="00D0795E" w14:paraId="150C058B" w14:textId="77777777">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6</w:t>
            </w:r>
          </w:p>
        </w:tc>
        <w:tc>
          <w:tcPr>
            <w:tcW w:w="1170" w:type="dxa"/>
            <w:tcBorders>
              <w:top w:val="nil"/>
              <w:left w:val="nil"/>
              <w:bottom w:val="single" w:color="auto" w:sz="8" w:space="0"/>
              <w:right w:val="single" w:color="auto" w:sz="8" w:space="0"/>
            </w:tcBorders>
            <w:shd w:val="clear" w:color="auto" w:fill="auto"/>
            <w:vAlign w:val="bottom"/>
          </w:tcPr>
          <w:p w:rsidRPr="00052DE1" w:rsidR="00D0795E" w:rsidP="00D0795E" w:rsidRDefault="00D0795E" w14:paraId="093D5A8D" w14:textId="77777777">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nil"/>
              <w:left w:val="nil"/>
              <w:bottom w:val="single" w:color="auto" w:sz="8" w:space="0"/>
              <w:right w:val="single" w:color="auto" w:sz="8" w:space="0"/>
            </w:tcBorders>
            <w:shd w:val="clear" w:color="auto" w:fill="auto"/>
            <w:vAlign w:val="bottom"/>
          </w:tcPr>
          <w:p w:rsidRPr="00052DE1" w:rsidR="00D0795E" w:rsidP="00D0795E" w:rsidRDefault="00D0795E" w14:paraId="11C7776B" w14:textId="77777777">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12</w:t>
            </w:r>
          </w:p>
        </w:tc>
        <w:tc>
          <w:tcPr>
            <w:tcW w:w="900" w:type="dxa"/>
            <w:tcBorders>
              <w:top w:val="nil"/>
              <w:left w:val="nil"/>
              <w:bottom w:val="single" w:color="auto" w:sz="8" w:space="0"/>
              <w:right w:val="single" w:color="auto" w:sz="8" w:space="0"/>
            </w:tcBorders>
            <w:shd w:val="clear" w:color="auto" w:fill="auto"/>
            <w:vAlign w:val="bottom"/>
          </w:tcPr>
          <w:p w:rsidRPr="00052DE1" w:rsidR="00D0795E" w:rsidP="00D0795E" w:rsidRDefault="00D0795E" w14:paraId="2C3CED15" w14:textId="77777777">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$52.11</w:t>
            </w:r>
          </w:p>
        </w:tc>
        <w:tc>
          <w:tcPr>
            <w:tcW w:w="1170" w:type="dxa"/>
            <w:tcBorders>
              <w:top w:val="nil"/>
              <w:left w:val="nil"/>
              <w:bottom w:val="single" w:color="auto" w:sz="8" w:space="0"/>
              <w:right w:val="single" w:color="auto" w:sz="8" w:space="0"/>
            </w:tcBorders>
            <w:shd w:val="clear" w:color="auto" w:fill="auto"/>
            <w:vAlign w:val="bottom"/>
          </w:tcPr>
          <w:p w:rsidRPr="00052DE1" w:rsidR="00D0795E" w:rsidP="00D0795E" w:rsidRDefault="00D0795E" w14:paraId="386014B9" w14:textId="77777777">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$625.32</w:t>
            </w:r>
          </w:p>
        </w:tc>
      </w:tr>
      <w:tr w:rsidRPr="005B3E85" w:rsidR="00D0795E" w:rsidTr="00334FBC" w14:paraId="5A82B99E" w14:textId="77777777">
        <w:trPr>
          <w:trHeight w:val="315"/>
        </w:trPr>
        <w:tc>
          <w:tcPr>
            <w:tcW w:w="1350" w:type="dxa"/>
            <w:tcBorders>
              <w:top w:val="single" w:color="auto" w:sz="4" w:space="0"/>
              <w:left w:val="single" w:color="auto" w:sz="4" w:space="0"/>
              <w:bottom w:val="single" w:color="auto" w:sz="4" w:space="0"/>
              <w:right w:val="single" w:color="auto" w:sz="4" w:space="0"/>
            </w:tcBorders>
            <w:shd w:val="clear" w:color="000000" w:fill="C0C0C0"/>
            <w:vAlign w:val="bottom"/>
            <w:hideMark/>
          </w:tcPr>
          <w:p w:rsidRPr="00052DE1" w:rsidR="00D0795E" w:rsidP="00D0795E" w:rsidRDefault="00D0795E" w14:paraId="1B1FAC90" w14:textId="77777777">
            <w:pPr>
              <w:spacing w:after="60" w:line="240" w:lineRule="auto"/>
              <w:rPr>
                <w:rFonts w:ascii="Times New Roman" w:hAnsi="Times New Roman" w:eastAsia="Times New Roman" w:cs="Times New Roman"/>
                <w:b/>
                <w:bCs/>
                <w:sz w:val="24"/>
                <w:szCs w:val="24"/>
              </w:rPr>
            </w:pPr>
            <w:r w:rsidRPr="00052DE1">
              <w:rPr>
                <w:rFonts w:ascii="Times New Roman" w:hAnsi="Times New Roman" w:eastAsia="Times New Roman" w:cs="Times New Roman"/>
                <w:b/>
                <w:bCs/>
                <w:sz w:val="24"/>
                <w:szCs w:val="24"/>
              </w:rPr>
              <w:t>TOTAL</w:t>
            </w:r>
          </w:p>
        </w:tc>
        <w:tc>
          <w:tcPr>
            <w:tcW w:w="1530" w:type="dxa"/>
            <w:tcBorders>
              <w:top w:val="single" w:color="auto" w:sz="4" w:space="0"/>
              <w:left w:val="single" w:color="auto" w:sz="4" w:space="0"/>
              <w:bottom w:val="single" w:color="auto" w:sz="4" w:space="0"/>
              <w:right w:val="single" w:color="auto" w:sz="4" w:space="0"/>
            </w:tcBorders>
            <w:shd w:val="clear" w:color="000000" w:fill="C0C0C0"/>
            <w:vAlign w:val="bottom"/>
            <w:hideMark/>
          </w:tcPr>
          <w:p w:rsidRPr="00052DE1" w:rsidR="00D0795E" w:rsidP="00D0795E" w:rsidRDefault="00D0795E" w14:paraId="292BCBCF" w14:textId="43F65FC3">
            <w:pPr>
              <w:spacing w:after="60" w:line="240" w:lineRule="auto"/>
              <w:jc w:val="right"/>
              <w:rPr>
                <w:rFonts w:ascii="Times New Roman" w:hAnsi="Times New Roman" w:cs="Times New Roman"/>
                <w:sz w:val="24"/>
                <w:szCs w:val="24"/>
              </w:rPr>
            </w:pPr>
          </w:p>
        </w:tc>
        <w:tc>
          <w:tcPr>
            <w:tcW w:w="1350" w:type="dxa"/>
            <w:tcBorders>
              <w:top w:val="single" w:color="auto" w:sz="4" w:space="0"/>
              <w:left w:val="single" w:color="auto" w:sz="4" w:space="0"/>
              <w:bottom w:val="single" w:color="auto" w:sz="4" w:space="0"/>
              <w:right w:val="single" w:color="auto" w:sz="4" w:space="0"/>
            </w:tcBorders>
            <w:shd w:val="clear" w:color="000000" w:fill="C0C0C0"/>
            <w:vAlign w:val="bottom"/>
            <w:hideMark/>
          </w:tcPr>
          <w:p w:rsidRPr="00052DE1" w:rsidR="00D0795E" w:rsidP="00D0795E" w:rsidRDefault="00D0795E" w14:paraId="10368038" w14:textId="77777777">
            <w:pPr>
              <w:spacing w:after="60" w:line="240" w:lineRule="auto"/>
              <w:jc w:val="right"/>
              <w:rPr>
                <w:rFonts w:ascii="Times New Roman" w:hAnsi="Times New Roman" w:cs="Times New Roman"/>
                <w:sz w:val="24"/>
                <w:szCs w:val="24"/>
              </w:rPr>
            </w:pPr>
            <w:r w:rsidRPr="00052DE1">
              <w:rPr>
                <w:rFonts w:ascii="Times New Roman" w:hAnsi="Times New Roman" w:cs="Times New Roman"/>
                <w:sz w:val="24"/>
                <w:szCs w:val="24"/>
              </w:rPr>
              <w:t>Varies</w:t>
            </w:r>
          </w:p>
        </w:tc>
        <w:tc>
          <w:tcPr>
            <w:tcW w:w="1170" w:type="dxa"/>
            <w:tcBorders>
              <w:top w:val="single" w:color="auto" w:sz="4" w:space="0"/>
              <w:left w:val="single" w:color="auto" w:sz="4" w:space="0"/>
              <w:bottom w:val="single" w:color="auto" w:sz="4" w:space="0"/>
              <w:right w:val="single" w:color="auto" w:sz="4" w:space="0"/>
            </w:tcBorders>
            <w:shd w:val="clear" w:color="000000" w:fill="C0C0C0"/>
            <w:vAlign w:val="bottom"/>
            <w:hideMark/>
          </w:tcPr>
          <w:p w:rsidRPr="00052DE1" w:rsidR="00D0795E" w:rsidP="00D0795E" w:rsidRDefault="001700CE" w14:paraId="15E1AAC7" w14:textId="5DC49C92">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8</w:t>
            </w:r>
          </w:p>
        </w:tc>
        <w:tc>
          <w:tcPr>
            <w:tcW w:w="1170" w:type="dxa"/>
            <w:tcBorders>
              <w:top w:val="single" w:color="auto" w:sz="4" w:space="0"/>
              <w:left w:val="single" w:color="auto" w:sz="4" w:space="0"/>
              <w:bottom w:val="single" w:color="auto" w:sz="4" w:space="0"/>
              <w:right w:val="single" w:color="auto" w:sz="4" w:space="0"/>
            </w:tcBorders>
            <w:shd w:val="clear" w:color="000000" w:fill="C0C0C0"/>
            <w:vAlign w:val="bottom"/>
          </w:tcPr>
          <w:p w:rsidRPr="00052DE1" w:rsidR="00D0795E" w:rsidP="00D0795E" w:rsidRDefault="00D0795E" w14:paraId="0D61643F" w14:textId="77777777">
            <w:pPr>
              <w:spacing w:after="60" w:line="240" w:lineRule="auto"/>
              <w:jc w:val="right"/>
              <w:rPr>
                <w:rFonts w:ascii="Times New Roman" w:hAnsi="Times New Roman" w:cs="Times New Roman"/>
                <w:b/>
                <w:sz w:val="24"/>
                <w:szCs w:val="24"/>
              </w:rPr>
            </w:pPr>
          </w:p>
        </w:tc>
        <w:tc>
          <w:tcPr>
            <w:tcW w:w="900" w:type="dxa"/>
            <w:tcBorders>
              <w:top w:val="single" w:color="auto" w:sz="4" w:space="0"/>
              <w:left w:val="single" w:color="auto" w:sz="4" w:space="0"/>
              <w:bottom w:val="single" w:color="auto" w:sz="4" w:space="0"/>
              <w:right w:val="single" w:color="auto" w:sz="4" w:space="0"/>
            </w:tcBorders>
            <w:shd w:val="clear" w:color="000000" w:fill="C0C0C0"/>
            <w:vAlign w:val="bottom"/>
          </w:tcPr>
          <w:p w:rsidRPr="00052DE1" w:rsidR="00D0795E" w:rsidP="00D0795E" w:rsidRDefault="001700CE" w14:paraId="6C4F7118" w14:textId="5AB779FC">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132</w:t>
            </w:r>
          </w:p>
        </w:tc>
        <w:tc>
          <w:tcPr>
            <w:tcW w:w="900" w:type="dxa"/>
            <w:tcBorders>
              <w:top w:val="single" w:color="auto" w:sz="4" w:space="0"/>
              <w:left w:val="single" w:color="auto" w:sz="4" w:space="0"/>
              <w:bottom w:val="single" w:color="auto" w:sz="4" w:space="0"/>
              <w:right w:val="single" w:color="auto" w:sz="4" w:space="0"/>
            </w:tcBorders>
            <w:shd w:val="clear" w:color="000000" w:fill="C0C0C0"/>
            <w:vAlign w:val="bottom"/>
          </w:tcPr>
          <w:p w:rsidRPr="00052DE1" w:rsidR="00D0795E" w:rsidP="00D0795E" w:rsidRDefault="00D0795E" w14:paraId="3EB28601" w14:textId="77777777">
            <w:pPr>
              <w:spacing w:after="60" w:line="240" w:lineRule="auto"/>
              <w:jc w:val="right"/>
              <w:rPr>
                <w:rFonts w:ascii="Times New Roman" w:hAnsi="Times New Roman" w:eastAsia="Times New Roman" w:cs="Times New Roman"/>
                <w:b/>
                <w:sz w:val="24"/>
                <w:szCs w:val="24"/>
              </w:rPr>
            </w:pPr>
          </w:p>
        </w:tc>
        <w:tc>
          <w:tcPr>
            <w:tcW w:w="1170" w:type="dxa"/>
            <w:tcBorders>
              <w:top w:val="single" w:color="auto" w:sz="4" w:space="0"/>
              <w:left w:val="single" w:color="auto" w:sz="4" w:space="0"/>
              <w:bottom w:val="single" w:color="auto" w:sz="4" w:space="0"/>
              <w:right w:val="single" w:color="auto" w:sz="4" w:space="0"/>
            </w:tcBorders>
            <w:shd w:val="clear" w:color="000000" w:fill="C0C0C0"/>
            <w:vAlign w:val="bottom"/>
          </w:tcPr>
          <w:p w:rsidRPr="00052DE1" w:rsidR="00D0795E" w:rsidP="00D0795E" w:rsidRDefault="00D0795E" w14:paraId="61CB9792" w14:textId="77777777">
            <w:pPr>
              <w:spacing w:after="60" w:line="240" w:lineRule="auto"/>
              <w:jc w:val="right"/>
              <w:rPr>
                <w:rFonts w:ascii="Times New Roman" w:hAnsi="Times New Roman" w:cs="Times New Roman"/>
                <w:sz w:val="24"/>
                <w:szCs w:val="24"/>
              </w:rPr>
            </w:pPr>
            <w:r w:rsidRPr="00052DE1">
              <w:rPr>
                <w:rFonts w:ascii="Times New Roman" w:hAnsi="Times New Roman" w:cs="Times New Roman"/>
                <w:sz w:val="24"/>
                <w:szCs w:val="24"/>
              </w:rPr>
              <w:t>$</w:t>
            </w:r>
            <w:r>
              <w:rPr>
                <w:rFonts w:ascii="Times New Roman" w:hAnsi="Times New Roman" w:cs="Times New Roman"/>
                <w:sz w:val="24"/>
                <w:szCs w:val="24"/>
              </w:rPr>
              <w:t>6,878</w:t>
            </w:r>
          </w:p>
        </w:tc>
      </w:tr>
    </w:tbl>
    <w:p w:rsidRPr="00427218" w:rsidR="005D0382" w:rsidP="005D0382" w:rsidRDefault="005D0382" w14:paraId="6417CCB8" w14:textId="77777777">
      <w:pPr>
        <w:pStyle w:val="Default"/>
        <w:tabs>
          <w:tab w:val="left" w:pos="378"/>
        </w:tabs>
      </w:pPr>
      <w:r w:rsidRPr="00427218">
        <w:t xml:space="preserve"> </w:t>
      </w:r>
    </w:p>
    <w:p w:rsidRPr="00D0795E" w:rsidR="00CB72F1" w:rsidP="00604BE6" w:rsidRDefault="00CC6A42" w14:paraId="0015A562" w14:textId="77777777">
      <w:pPr>
        <w:spacing w:after="0" w:line="240" w:lineRule="auto"/>
        <w:ind w:left="360" w:hanging="360"/>
      </w:pPr>
      <w:r w:rsidRPr="00D0795E">
        <w:rPr>
          <w:rFonts w:ascii="Times New Roman" w:hAnsi="Times New Roman" w:cs="Times New Roman"/>
          <w:b/>
          <w:sz w:val="24"/>
          <w:szCs w:val="24"/>
        </w:rPr>
        <w:lastRenderedPageBreak/>
        <w:t>15.</w:t>
      </w:r>
      <w:r w:rsidRPr="00D0795E">
        <w:rPr>
          <w:rFonts w:ascii="Times New Roman" w:hAnsi="Times New Roman" w:cs="Times New Roman"/>
          <w:b/>
          <w:sz w:val="24"/>
          <w:szCs w:val="24"/>
        </w:rPr>
        <w:tab/>
        <w:t>Explain the reasons for any program changes or adjustments reported in Items 13 or 14 of the OMB Form 83-I.</w:t>
      </w:r>
      <w:r w:rsidRPr="00D0795E" w:rsidR="00CB72F1">
        <w:rPr>
          <w:b/>
          <w:bCs/>
        </w:rPr>
        <w:t xml:space="preserve"> </w:t>
      </w:r>
    </w:p>
    <w:p w:rsidRPr="00D0795E" w:rsidR="003D4953" w:rsidP="004C2D86" w:rsidRDefault="003D4953" w14:paraId="597661B7" w14:textId="77777777">
      <w:pPr>
        <w:pStyle w:val="Default"/>
        <w:ind w:left="720"/>
      </w:pPr>
    </w:p>
    <w:p w:rsidRPr="00D0795E" w:rsidR="001243B3" w:rsidP="001243B3" w:rsidRDefault="001243B3" w14:paraId="2D8F7D67" w14:textId="77777777">
      <w:pPr>
        <w:pStyle w:val="Default"/>
        <w:tabs>
          <w:tab w:val="left" w:pos="378"/>
        </w:tabs>
        <w:spacing w:line="480" w:lineRule="auto"/>
        <w:ind w:firstLine="720"/>
      </w:pPr>
      <w:r w:rsidRPr="00D0795E">
        <w:t>It should be noted at the outset that tribal gaming operations and their business practices   are unique to each gaming Tribe and influenced by many local, state, and regional factors.  Tribal gaming facilities vary in size and c</w:t>
      </w:r>
      <w:r w:rsidR="00DD2165">
        <w:t xml:space="preserve">omplexity and range from small </w:t>
      </w:r>
      <w:r w:rsidRPr="00D0795E">
        <w:t>truck stops to world-class casino resorts.  The amount of time and resources that gaming tribes expend fulfilling regulatory requirements can vary dramatically and is further complicated by their varying levels of investment in, and adoption of, new technologies and technical expertise. For these reasons, estimates provided by a statistically insignificant group of rotating tribal contacts has limited value and it would be improper to claim to be able to extrapolate from this feedback any definitive trends.</w:t>
      </w:r>
    </w:p>
    <w:p w:rsidRPr="00D0795E" w:rsidR="001243B3" w:rsidP="001243B3" w:rsidRDefault="001243B3" w14:paraId="74CAAA50" w14:textId="77777777">
      <w:pPr>
        <w:pStyle w:val="Default"/>
        <w:tabs>
          <w:tab w:val="left" w:pos="378"/>
        </w:tabs>
        <w:spacing w:line="480" w:lineRule="auto"/>
      </w:pPr>
      <w:r w:rsidRPr="00D0795E">
        <w:tab/>
      </w:r>
      <w:r w:rsidRPr="00D0795E">
        <w:tab/>
        <w:t>It should also be noted that, in previous years, the NIGC did not include wage costs in its data but it does so now and will continue doing this in all future renewals.</w:t>
      </w:r>
    </w:p>
    <w:p w:rsidRPr="00D0795E" w:rsidR="001243B3" w:rsidP="001243B3" w:rsidRDefault="001243B3" w14:paraId="1DF4AD5C" w14:textId="4BCF966E">
      <w:pPr>
        <w:pStyle w:val="Default"/>
        <w:tabs>
          <w:tab w:val="left" w:pos="378"/>
        </w:tabs>
        <w:spacing w:line="480" w:lineRule="auto"/>
        <w:ind w:firstLine="720"/>
      </w:pPr>
      <w:r w:rsidRPr="00D0795E">
        <w:t xml:space="preserve">As mentioned in item number 8, the Commission consulted with 2 tribal gaming financial directors and/or tribal gaming commissioners.  </w:t>
      </w:r>
      <w:r w:rsidR="00D02AE7">
        <w:t>Consultation with stakeholders is an important source of information on the burdens of information collections. NIGC notes that, due to the heterogeneity of respondents, it is difficult to develop a r</w:t>
      </w:r>
      <w:bookmarkStart w:name="_GoBack" w:id="0"/>
      <w:bookmarkEnd w:id="0"/>
      <w:r w:rsidR="00D02AE7">
        <w:t>epresentative estimate of respondent burden hours. Nevertheless, b</w:t>
      </w:r>
      <w:r w:rsidRPr="00D0795E">
        <w:t xml:space="preserve">ased on this tribal feedback, the Commission has made the following adjustments to its estimated burdens:  </w:t>
      </w:r>
    </w:p>
    <w:p w:rsidRPr="00D0795E" w:rsidR="001243B3" w:rsidP="009F6E9C" w:rsidRDefault="001243B3" w14:paraId="4EAB6449" w14:textId="77777777">
      <w:pPr>
        <w:pStyle w:val="Default"/>
        <w:numPr>
          <w:ilvl w:val="0"/>
          <w:numId w:val="2"/>
        </w:numPr>
        <w:tabs>
          <w:tab w:val="left" w:pos="378"/>
        </w:tabs>
        <w:spacing w:line="480" w:lineRule="auto"/>
      </w:pPr>
      <w:r w:rsidRPr="00D0795E">
        <w:t xml:space="preserve">the estimated annual burden hour total has slightly increased, however, behind these numbers there is marked decline in EA/EIS burden hours and </w:t>
      </w:r>
      <w:r w:rsidRPr="00D0795E" w:rsidR="009F6E9C">
        <w:t xml:space="preserve">this is mainly due to two reasons: 1) the NEPA process for the construction of a gaming operation is sometimes triggered prior the NIGC action and, therefore, the NIGC is able to incorporate some of the time already invested in the NEPA process, and 2) there is a concomitant rise in </w:t>
      </w:r>
      <w:r w:rsidRPr="00D0795E" w:rsidR="009F6E9C">
        <w:lastRenderedPageBreak/>
        <w:t>handling NEPA requirements under the Categorical Exclusion process which, generally requires less investment of time than an EA or an EIS.</w:t>
      </w:r>
      <w:r w:rsidRPr="00D0795E">
        <w:t xml:space="preserve">  </w:t>
      </w:r>
    </w:p>
    <w:p w:rsidRPr="00D0795E" w:rsidR="001243B3" w:rsidP="001243B3" w:rsidRDefault="001243B3" w14:paraId="20331166" w14:textId="77777777">
      <w:pPr>
        <w:pStyle w:val="Default"/>
        <w:numPr>
          <w:ilvl w:val="0"/>
          <w:numId w:val="2"/>
        </w:numPr>
        <w:tabs>
          <w:tab w:val="left" w:pos="378"/>
        </w:tabs>
        <w:spacing w:line="480" w:lineRule="auto"/>
      </w:pPr>
      <w:r w:rsidRPr="00D0795E">
        <w:t xml:space="preserve">the estimated annual total cost has </w:t>
      </w:r>
      <w:r w:rsidRPr="00D0795E" w:rsidR="009F6E9C">
        <w:t xml:space="preserve">been significantly reduced and this is primarily due to the fact that the </w:t>
      </w:r>
      <w:r w:rsidRPr="00D0795E" w:rsidR="00E93A6A">
        <w:t xml:space="preserve">estimated average cost of an EIS has been reduced from $7,304,277 to </w:t>
      </w:r>
      <w:r w:rsidRPr="000F760B" w:rsidR="00D0795E">
        <w:t>$</w:t>
      </w:r>
      <w:r w:rsidR="00D0795E">
        <w:t>256,000</w:t>
      </w:r>
      <w:r w:rsidRPr="00D0795E" w:rsidR="00E93A6A">
        <w:t xml:space="preserve">.  Add to this, based on information gained since the last renewal cycle, the number of estimated total annual EA/EIS responses has been reduced 3 to </w:t>
      </w:r>
      <w:r w:rsidR="00D0795E">
        <w:t>2</w:t>
      </w:r>
      <w:r w:rsidRPr="00D0795E" w:rsidR="00E93A6A">
        <w:t xml:space="preserve"> per annum.</w:t>
      </w:r>
    </w:p>
    <w:p w:rsidR="00D02AE7" w:rsidP="003420EA" w:rsidRDefault="00D02AE7" w14:paraId="5A37EA0E" w14:textId="77777777">
      <w:pPr>
        <w:pStyle w:val="Default"/>
        <w:tabs>
          <w:tab w:val="left" w:pos="360"/>
        </w:tabs>
        <w:spacing w:line="480" w:lineRule="auto"/>
        <w:ind w:firstLine="720"/>
      </w:pPr>
      <w:r w:rsidRPr="000C7172">
        <w:t>NIGC recognizes there are limitations with these modes of estimation and will continue to consider stakeholder consultation in the development of its estimated burden hours.</w:t>
      </w:r>
    </w:p>
    <w:p w:rsidR="00D02AE7" w:rsidP="003420EA" w:rsidRDefault="00D02AE7" w14:paraId="2E1AF1C8" w14:textId="77777777">
      <w:pPr>
        <w:pStyle w:val="Default"/>
        <w:tabs>
          <w:tab w:val="left" w:pos="360"/>
        </w:tabs>
        <w:spacing w:line="480" w:lineRule="auto"/>
        <w:jc w:val="center"/>
        <w:rPr>
          <w:b/>
        </w:rPr>
      </w:pPr>
      <w:r w:rsidRPr="00060F85">
        <w:rPr>
          <w:b/>
        </w:rPr>
        <w:t>CHANGES FROM THE PREVIOUS COLLECTION</w:t>
      </w:r>
    </w:p>
    <w:tbl>
      <w:tblPr>
        <w:tblStyle w:val="TableGrid"/>
        <w:tblW w:w="0" w:type="auto"/>
        <w:tblLook w:val="04A0" w:firstRow="1" w:lastRow="0" w:firstColumn="1" w:lastColumn="0" w:noHBand="0" w:noVBand="1"/>
      </w:tblPr>
      <w:tblGrid>
        <w:gridCol w:w="2605"/>
        <w:gridCol w:w="2250"/>
        <w:gridCol w:w="2430"/>
        <w:gridCol w:w="2065"/>
      </w:tblGrid>
      <w:tr w:rsidR="00D02AE7" w:rsidTr="00060F85" w14:paraId="1D7DC659" w14:textId="77777777">
        <w:tc>
          <w:tcPr>
            <w:tcW w:w="2605" w:type="dxa"/>
          </w:tcPr>
          <w:p w:rsidR="00D02AE7" w:rsidP="00060F85" w:rsidRDefault="00D02AE7" w14:paraId="5ABA3F33" w14:textId="77777777">
            <w:pPr>
              <w:pStyle w:val="Default"/>
              <w:tabs>
                <w:tab w:val="left" w:pos="378"/>
              </w:tabs>
            </w:pPr>
          </w:p>
        </w:tc>
        <w:tc>
          <w:tcPr>
            <w:tcW w:w="2250" w:type="dxa"/>
          </w:tcPr>
          <w:p w:rsidRPr="00060F85" w:rsidR="00D02AE7" w:rsidP="00060F85" w:rsidRDefault="00D02AE7" w14:paraId="3617748D" w14:textId="77777777">
            <w:pPr>
              <w:pStyle w:val="Default"/>
              <w:tabs>
                <w:tab w:val="left" w:pos="378"/>
              </w:tabs>
              <w:rPr>
                <w:b/>
              </w:rPr>
            </w:pPr>
            <w:r w:rsidRPr="00060F85">
              <w:rPr>
                <w:b/>
              </w:rPr>
              <w:t>Requested in this collection</w:t>
            </w:r>
          </w:p>
        </w:tc>
        <w:tc>
          <w:tcPr>
            <w:tcW w:w="2430" w:type="dxa"/>
          </w:tcPr>
          <w:p w:rsidRPr="00060F85" w:rsidR="00D02AE7" w:rsidP="00060F85" w:rsidRDefault="00D02AE7" w14:paraId="3CDF03B7" w14:textId="77777777">
            <w:pPr>
              <w:pStyle w:val="Default"/>
              <w:tabs>
                <w:tab w:val="left" w:pos="378"/>
              </w:tabs>
              <w:rPr>
                <w:b/>
              </w:rPr>
            </w:pPr>
            <w:r w:rsidRPr="00060F85">
              <w:rPr>
                <w:b/>
              </w:rPr>
              <w:t>Previously Approved Collection</w:t>
            </w:r>
          </w:p>
        </w:tc>
        <w:tc>
          <w:tcPr>
            <w:tcW w:w="2065" w:type="dxa"/>
          </w:tcPr>
          <w:p w:rsidRPr="00060F85" w:rsidR="00D02AE7" w:rsidP="00060F85" w:rsidRDefault="00D02AE7" w14:paraId="529E49B0" w14:textId="77777777">
            <w:pPr>
              <w:pStyle w:val="Default"/>
              <w:tabs>
                <w:tab w:val="left" w:pos="378"/>
              </w:tabs>
              <w:rPr>
                <w:b/>
              </w:rPr>
            </w:pPr>
            <w:r w:rsidRPr="00060F85">
              <w:rPr>
                <w:b/>
              </w:rPr>
              <w:t>Net Change</w:t>
            </w:r>
          </w:p>
        </w:tc>
      </w:tr>
      <w:tr w:rsidR="00D02AE7" w:rsidTr="00060F85" w14:paraId="2206F092" w14:textId="77777777">
        <w:tc>
          <w:tcPr>
            <w:tcW w:w="2605" w:type="dxa"/>
          </w:tcPr>
          <w:p w:rsidR="00D02AE7" w:rsidP="00D02AE7" w:rsidRDefault="00D02AE7" w14:paraId="7D2EFCE6" w14:textId="77777777">
            <w:pPr>
              <w:pStyle w:val="Default"/>
              <w:tabs>
                <w:tab w:val="left" w:pos="378"/>
              </w:tabs>
            </w:pPr>
            <w:r w:rsidRPr="006049BC">
              <w:t>Annual Number of Responses</w:t>
            </w:r>
          </w:p>
        </w:tc>
        <w:tc>
          <w:tcPr>
            <w:tcW w:w="2250" w:type="dxa"/>
          </w:tcPr>
          <w:p w:rsidR="00D02AE7" w:rsidP="00D02AE7" w:rsidRDefault="00D02AE7" w14:paraId="0EA90915" w14:textId="48401262">
            <w:pPr>
              <w:pStyle w:val="Default"/>
              <w:tabs>
                <w:tab w:val="left" w:pos="378"/>
              </w:tabs>
            </w:pPr>
            <w:r w:rsidRPr="00280DF2">
              <w:t>  8</w:t>
            </w:r>
          </w:p>
        </w:tc>
        <w:tc>
          <w:tcPr>
            <w:tcW w:w="2430" w:type="dxa"/>
          </w:tcPr>
          <w:p w:rsidR="00D02AE7" w:rsidP="00D02AE7" w:rsidRDefault="00D02AE7" w14:paraId="05CE121F" w14:textId="7D23B3D2">
            <w:pPr>
              <w:pStyle w:val="Default"/>
              <w:tabs>
                <w:tab w:val="left" w:pos="378"/>
              </w:tabs>
            </w:pPr>
            <w:r w:rsidRPr="006B329E">
              <w:t>  3</w:t>
            </w:r>
          </w:p>
        </w:tc>
        <w:tc>
          <w:tcPr>
            <w:tcW w:w="2065" w:type="dxa"/>
          </w:tcPr>
          <w:p w:rsidR="00D02AE7" w:rsidP="00D02AE7" w:rsidRDefault="00D02AE7" w14:paraId="4D99D82C" w14:textId="62FF5F32">
            <w:pPr>
              <w:pStyle w:val="Default"/>
              <w:tabs>
                <w:tab w:val="left" w:pos="378"/>
              </w:tabs>
            </w:pPr>
            <w:r w:rsidRPr="006E38DF">
              <w:t>  5</w:t>
            </w:r>
          </w:p>
        </w:tc>
      </w:tr>
      <w:tr w:rsidR="00D02AE7" w:rsidTr="00060F85" w14:paraId="541D5E73" w14:textId="77777777">
        <w:tc>
          <w:tcPr>
            <w:tcW w:w="2605" w:type="dxa"/>
          </w:tcPr>
          <w:p w:rsidR="00D02AE7" w:rsidP="00D02AE7" w:rsidRDefault="00D02AE7" w14:paraId="7F47C9AE" w14:textId="77777777">
            <w:pPr>
              <w:pStyle w:val="Default"/>
              <w:tabs>
                <w:tab w:val="left" w:pos="378"/>
              </w:tabs>
            </w:pPr>
            <w:r w:rsidRPr="006049BC">
              <w:t>Annual Time Burden (Hr)</w:t>
            </w:r>
          </w:p>
        </w:tc>
        <w:tc>
          <w:tcPr>
            <w:tcW w:w="2250" w:type="dxa"/>
          </w:tcPr>
          <w:p w:rsidR="00D02AE7" w:rsidP="00D02AE7" w:rsidRDefault="00D02AE7" w14:paraId="001124B5" w14:textId="00FE1CDD">
            <w:pPr>
              <w:pStyle w:val="Default"/>
              <w:tabs>
                <w:tab w:val="left" w:pos="378"/>
              </w:tabs>
            </w:pPr>
            <w:r w:rsidRPr="00280DF2">
              <w:t>  43</w:t>
            </w:r>
          </w:p>
        </w:tc>
        <w:tc>
          <w:tcPr>
            <w:tcW w:w="2430" w:type="dxa"/>
          </w:tcPr>
          <w:p w:rsidR="00D02AE7" w:rsidP="00D02AE7" w:rsidRDefault="00D02AE7" w14:paraId="2CB9D70C" w14:textId="3E4B6AD4">
            <w:pPr>
              <w:pStyle w:val="Default"/>
              <w:tabs>
                <w:tab w:val="left" w:pos="378"/>
              </w:tabs>
            </w:pPr>
            <w:r w:rsidRPr="006B329E">
              <w:t>  27</w:t>
            </w:r>
          </w:p>
        </w:tc>
        <w:tc>
          <w:tcPr>
            <w:tcW w:w="2065" w:type="dxa"/>
          </w:tcPr>
          <w:p w:rsidR="00D02AE7" w:rsidP="00D02AE7" w:rsidRDefault="00D02AE7" w14:paraId="707BB00A" w14:textId="205E2AE7">
            <w:pPr>
              <w:pStyle w:val="Default"/>
              <w:tabs>
                <w:tab w:val="left" w:pos="378"/>
              </w:tabs>
            </w:pPr>
            <w:r w:rsidRPr="006E38DF">
              <w:t>  16</w:t>
            </w:r>
          </w:p>
        </w:tc>
      </w:tr>
      <w:tr w:rsidR="00D02AE7" w:rsidTr="00060F85" w14:paraId="1E25DB33" w14:textId="77777777">
        <w:tc>
          <w:tcPr>
            <w:tcW w:w="2605" w:type="dxa"/>
          </w:tcPr>
          <w:p w:rsidR="00D02AE7" w:rsidP="00D02AE7" w:rsidRDefault="00D02AE7" w14:paraId="05BD547F" w14:textId="77777777">
            <w:pPr>
              <w:pStyle w:val="Default"/>
              <w:tabs>
                <w:tab w:val="left" w:pos="378"/>
              </w:tabs>
            </w:pPr>
            <w:r w:rsidRPr="006049BC">
              <w:t>Annual Cost Burden ($)</w:t>
            </w:r>
          </w:p>
        </w:tc>
        <w:tc>
          <w:tcPr>
            <w:tcW w:w="2250" w:type="dxa"/>
          </w:tcPr>
          <w:p w:rsidR="00D02AE7" w:rsidP="00D02AE7" w:rsidRDefault="00D02AE7" w14:paraId="4B5F4322" w14:textId="0DD135D8">
            <w:pPr>
              <w:pStyle w:val="Default"/>
              <w:tabs>
                <w:tab w:val="left" w:pos="378"/>
              </w:tabs>
            </w:pPr>
            <w:r w:rsidRPr="00280DF2">
              <w:t>  494,132</w:t>
            </w:r>
          </w:p>
        </w:tc>
        <w:tc>
          <w:tcPr>
            <w:tcW w:w="2430" w:type="dxa"/>
          </w:tcPr>
          <w:p w:rsidR="00D02AE7" w:rsidP="00D02AE7" w:rsidRDefault="00D02AE7" w14:paraId="209F55A2" w14:textId="43DF7F4B">
            <w:pPr>
              <w:pStyle w:val="Default"/>
              <w:tabs>
                <w:tab w:val="left" w:pos="378"/>
              </w:tabs>
            </w:pPr>
            <w:r w:rsidRPr="006B329E">
              <w:t>  14,846,686</w:t>
            </w:r>
          </w:p>
        </w:tc>
        <w:tc>
          <w:tcPr>
            <w:tcW w:w="2065" w:type="dxa"/>
          </w:tcPr>
          <w:p w:rsidR="00D02AE7" w:rsidP="00D02AE7" w:rsidRDefault="00D02AE7" w14:paraId="1BA4D902" w14:textId="467CD8C7">
            <w:pPr>
              <w:pStyle w:val="Default"/>
              <w:tabs>
                <w:tab w:val="left" w:pos="378"/>
              </w:tabs>
            </w:pPr>
            <w:r w:rsidRPr="006E38DF">
              <w:t>  -14,352,554</w:t>
            </w:r>
          </w:p>
        </w:tc>
      </w:tr>
    </w:tbl>
    <w:p w:rsidRPr="000C7172" w:rsidR="00D02AE7" w:rsidP="003420EA" w:rsidRDefault="00D02AE7" w14:paraId="2D56F338" w14:textId="77777777">
      <w:pPr>
        <w:pStyle w:val="Default"/>
        <w:tabs>
          <w:tab w:val="left" w:pos="360"/>
        </w:tabs>
        <w:spacing w:line="480" w:lineRule="auto"/>
        <w:ind w:left="720"/>
      </w:pPr>
    </w:p>
    <w:p w:rsidRPr="004C2D86" w:rsidR="00CB72F1" w:rsidP="00604BE6" w:rsidRDefault="00CC6A42" w14:paraId="622F3777" w14:textId="77777777">
      <w:pPr>
        <w:spacing w:after="0" w:line="240" w:lineRule="auto"/>
        <w:ind w:left="360" w:hanging="360"/>
      </w:pPr>
      <w:r>
        <w:rPr>
          <w:rFonts w:ascii="Times New Roman" w:hAnsi="Times New Roman" w:cs="Times New Roman"/>
          <w:b/>
          <w:sz w:val="24"/>
          <w:szCs w:val="24"/>
        </w:rPr>
        <w:t>16.</w:t>
      </w:r>
      <w:r>
        <w:rPr>
          <w:rFonts w:ascii="Times New Roman" w:hAnsi="Times New Roman" w:cs="Times New Roman"/>
          <w:b/>
          <w:sz w:val="24"/>
          <w:szCs w:val="24"/>
        </w:rPr>
        <w:tab/>
      </w:r>
      <w:r w:rsidRPr="00833BEC">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4C2D86" w:rsidR="00CB72F1">
        <w:rPr>
          <w:b/>
          <w:bCs/>
        </w:rPr>
        <w:t xml:space="preserve"> </w:t>
      </w:r>
    </w:p>
    <w:p w:rsidR="003D4953" w:rsidP="004C2D86" w:rsidRDefault="003D4953" w14:paraId="486FC006" w14:textId="77777777">
      <w:pPr>
        <w:pStyle w:val="Default"/>
        <w:ind w:firstLine="720"/>
      </w:pPr>
    </w:p>
    <w:p w:rsidRPr="004C2D86" w:rsidR="00CB72F1" w:rsidP="00F2257B" w:rsidRDefault="00372EB7" w14:paraId="02268053" w14:textId="77777777">
      <w:pPr>
        <w:pStyle w:val="Default"/>
        <w:spacing w:line="480" w:lineRule="auto"/>
        <w:ind w:firstLine="720"/>
      </w:pPr>
      <w:r>
        <w:t>The</w:t>
      </w:r>
      <w:r w:rsidRPr="004C2D86" w:rsidR="00CB72F1">
        <w:t xml:space="preserve"> information collected </w:t>
      </w:r>
      <w:r>
        <w:t>is</w:t>
      </w:r>
      <w:r w:rsidRPr="004C2D86" w:rsidR="00CB72F1">
        <w:t xml:space="preserve"> published at the conclusion of the NEPA process</w:t>
      </w:r>
      <w:r>
        <w:t xml:space="preserve"> </w:t>
      </w:r>
      <w:r w:rsidRPr="004C2D86" w:rsidR="00CB72F1">
        <w:t>by making the EA or EIS available to the public in places easily accessible to the public</w:t>
      </w:r>
      <w:r>
        <w:t xml:space="preserve">, including </w:t>
      </w:r>
      <w:r w:rsidRPr="004C2D86" w:rsidR="00CB72F1">
        <w:t xml:space="preserve">on the internet. </w:t>
      </w:r>
      <w:r>
        <w:t>Because</w:t>
      </w:r>
      <w:r w:rsidRPr="004C2D86" w:rsidR="00CB72F1">
        <w:t xml:space="preserve"> NEPA documents usually contain complex analytical techniques, the Commission uses public information workshops to explain these techniques. </w:t>
      </w:r>
      <w:r w:rsidRPr="00427218">
        <w:t>Th</w:t>
      </w:r>
      <w:r>
        <w:t>ese are</w:t>
      </w:r>
      <w:r w:rsidRPr="00427218">
        <w:t xml:space="preserve"> ongoing information collection</w:t>
      </w:r>
      <w:r>
        <w:t>s</w:t>
      </w:r>
      <w:r w:rsidRPr="00427218">
        <w:t xml:space="preserve"> </w:t>
      </w:r>
      <w:r>
        <w:t>with no ending date</w:t>
      </w:r>
      <w:r w:rsidRPr="004C2D86" w:rsidR="00CB72F1">
        <w:t xml:space="preserve">. </w:t>
      </w:r>
    </w:p>
    <w:p w:rsidRPr="004C2D86" w:rsidR="00CB72F1" w:rsidP="00604BE6" w:rsidRDefault="00CC6A42" w14:paraId="1A1590F9" w14:textId="77777777">
      <w:pPr>
        <w:spacing w:after="0" w:line="240" w:lineRule="auto"/>
        <w:ind w:left="360" w:hanging="360"/>
      </w:pPr>
      <w:r>
        <w:rPr>
          <w:rFonts w:ascii="Times New Roman" w:hAnsi="Times New Roman" w:cs="Times New Roman"/>
          <w:b/>
          <w:sz w:val="24"/>
          <w:szCs w:val="24"/>
        </w:rPr>
        <w:t>17.</w:t>
      </w:r>
      <w:r>
        <w:rPr>
          <w:rFonts w:ascii="Times New Roman" w:hAnsi="Times New Roman" w:cs="Times New Roman"/>
          <w:b/>
          <w:sz w:val="24"/>
          <w:szCs w:val="24"/>
        </w:rPr>
        <w:tab/>
      </w:r>
      <w:r w:rsidRPr="00833BEC">
        <w:rPr>
          <w:rFonts w:ascii="Times New Roman" w:hAnsi="Times New Roman" w:cs="Times New Roman"/>
          <w:b/>
          <w:sz w:val="24"/>
          <w:szCs w:val="24"/>
        </w:rPr>
        <w:t>If seeking approval to not display the expiration date for OMB approval of the information collection, explain the reasons that display would be inappropriate.</w:t>
      </w:r>
      <w:r w:rsidRPr="004C2D86" w:rsidR="00CB72F1">
        <w:rPr>
          <w:b/>
          <w:bCs/>
        </w:rPr>
        <w:t xml:space="preserve"> </w:t>
      </w:r>
    </w:p>
    <w:p w:rsidR="003D4953" w:rsidP="004C2D86" w:rsidRDefault="003D4953" w14:paraId="4867695D" w14:textId="77777777">
      <w:pPr>
        <w:pStyle w:val="Default"/>
        <w:ind w:left="720"/>
      </w:pPr>
    </w:p>
    <w:p w:rsidRPr="004C2D86" w:rsidR="00CB72F1" w:rsidP="004C2D86" w:rsidRDefault="00DC6A00" w14:paraId="4241FB83" w14:textId="77777777">
      <w:pPr>
        <w:pStyle w:val="Default"/>
        <w:ind w:left="720"/>
      </w:pPr>
      <w:r w:rsidRPr="00427218">
        <w:lastRenderedPageBreak/>
        <w:t xml:space="preserve">Not applicable. </w:t>
      </w:r>
    </w:p>
    <w:p w:rsidR="003D4953" w:rsidP="004C2D86" w:rsidRDefault="003D4953" w14:paraId="785AAB8D" w14:textId="77777777">
      <w:pPr>
        <w:pStyle w:val="Default"/>
        <w:rPr>
          <w:b/>
          <w:bCs/>
        </w:rPr>
      </w:pPr>
    </w:p>
    <w:p w:rsidRPr="004C2D86" w:rsidR="00CB72F1" w:rsidP="00604BE6" w:rsidRDefault="00CC6A42" w14:paraId="49742DB1" w14:textId="77777777">
      <w:pPr>
        <w:spacing w:after="0" w:line="240" w:lineRule="auto"/>
        <w:ind w:left="360" w:hanging="360"/>
      </w:pPr>
      <w:r>
        <w:rPr>
          <w:rFonts w:ascii="Times New Roman" w:hAnsi="Times New Roman" w:cs="Times New Roman"/>
          <w:b/>
          <w:sz w:val="24"/>
          <w:szCs w:val="24"/>
        </w:rPr>
        <w:t>18.</w:t>
      </w:r>
      <w:r>
        <w:rPr>
          <w:rFonts w:ascii="Times New Roman" w:hAnsi="Times New Roman" w:cs="Times New Roman"/>
          <w:b/>
          <w:sz w:val="24"/>
          <w:szCs w:val="24"/>
        </w:rPr>
        <w:tab/>
      </w:r>
      <w:r w:rsidRPr="00833BEC">
        <w:rPr>
          <w:rFonts w:ascii="Times New Roman" w:hAnsi="Times New Roman" w:cs="Times New Roman"/>
          <w:b/>
          <w:sz w:val="24"/>
          <w:szCs w:val="24"/>
        </w:rPr>
        <w:t xml:space="preserve">Explain each exception to the certification statement identified in Item 19, </w:t>
      </w:r>
      <w:r>
        <w:rPr>
          <w:rFonts w:ascii="Times New Roman" w:hAnsi="Times New Roman" w:cs="Times New Roman"/>
          <w:b/>
          <w:sz w:val="24"/>
          <w:szCs w:val="24"/>
        </w:rPr>
        <w:t>“</w:t>
      </w:r>
      <w:r w:rsidRPr="00833BEC">
        <w:rPr>
          <w:rFonts w:ascii="Times New Roman" w:hAnsi="Times New Roman" w:cs="Times New Roman"/>
          <w:b/>
          <w:sz w:val="24"/>
          <w:szCs w:val="24"/>
        </w:rPr>
        <w:t>Certification for Paperwork Reduction Act Submissions,</w:t>
      </w:r>
      <w:r>
        <w:rPr>
          <w:rFonts w:ascii="Times New Roman" w:hAnsi="Times New Roman" w:cs="Times New Roman"/>
          <w:b/>
          <w:sz w:val="24"/>
          <w:szCs w:val="24"/>
        </w:rPr>
        <w:t>”</w:t>
      </w:r>
      <w:r w:rsidRPr="00833BEC">
        <w:rPr>
          <w:rFonts w:ascii="Times New Roman" w:hAnsi="Times New Roman" w:cs="Times New Roman"/>
          <w:b/>
          <w:sz w:val="24"/>
          <w:szCs w:val="24"/>
        </w:rPr>
        <w:t xml:space="preserve"> of OMB Form 83-I.</w:t>
      </w:r>
      <w:r w:rsidRPr="004C2D86" w:rsidR="00CB72F1">
        <w:rPr>
          <w:b/>
          <w:bCs/>
        </w:rPr>
        <w:t xml:space="preserve"> </w:t>
      </w:r>
    </w:p>
    <w:p w:rsidR="003D4953" w:rsidP="004C2D86" w:rsidRDefault="003D4953" w14:paraId="0909C7AE" w14:textId="77777777">
      <w:pPr>
        <w:pStyle w:val="Default"/>
        <w:ind w:left="720"/>
      </w:pPr>
    </w:p>
    <w:p w:rsidRPr="004C2D86" w:rsidR="00CB72F1" w:rsidP="004C2D86" w:rsidRDefault="00DC6A00" w14:paraId="573E12A9" w14:textId="77777777">
      <w:pPr>
        <w:pStyle w:val="Default"/>
        <w:ind w:left="720"/>
      </w:pPr>
      <w:r w:rsidRPr="00427218">
        <w:t xml:space="preserve">Not applicable. The NIGC certifies compliance with 5 </w:t>
      </w:r>
      <w:r w:rsidR="008E5D73">
        <w:t>CFR</w:t>
      </w:r>
      <w:r w:rsidRPr="00427218">
        <w:t xml:space="preserve"> § 1320.9.</w:t>
      </w:r>
      <w:r w:rsidRPr="004C2D86" w:rsidR="00CB72F1">
        <w:t xml:space="preserve"> </w:t>
      </w:r>
    </w:p>
    <w:p w:rsidR="003D4953" w:rsidP="004C2D86" w:rsidRDefault="003D4953" w14:paraId="035EBCEF" w14:textId="77777777">
      <w:pPr>
        <w:pStyle w:val="Default"/>
        <w:rPr>
          <w:b/>
          <w:bCs/>
        </w:rPr>
      </w:pPr>
    </w:p>
    <w:p w:rsidRPr="004C2D86" w:rsidR="00CB72F1" w:rsidP="00604BE6" w:rsidRDefault="007E31A1" w14:paraId="6482C0A3" w14:textId="77777777">
      <w:pPr>
        <w:spacing w:after="0" w:line="240" w:lineRule="auto"/>
        <w:ind w:left="360" w:hanging="360"/>
      </w:pPr>
      <w:r>
        <w:rPr>
          <w:rFonts w:ascii="Times New Roman" w:hAnsi="Times New Roman" w:cs="Times New Roman"/>
          <w:b/>
          <w:sz w:val="24"/>
          <w:szCs w:val="24"/>
        </w:rPr>
        <w:t>B.</w:t>
      </w:r>
      <w:r>
        <w:rPr>
          <w:rFonts w:ascii="Times New Roman" w:hAnsi="Times New Roman" w:cs="Times New Roman"/>
          <w:b/>
          <w:sz w:val="24"/>
          <w:szCs w:val="24"/>
        </w:rPr>
        <w:tab/>
      </w:r>
      <w:r w:rsidRPr="00833BEC">
        <w:rPr>
          <w:rFonts w:ascii="Times New Roman" w:hAnsi="Times New Roman" w:cs="Times New Roman"/>
          <w:b/>
          <w:sz w:val="24"/>
          <w:szCs w:val="24"/>
        </w:rPr>
        <w:t>C</w:t>
      </w:r>
      <w:r>
        <w:rPr>
          <w:rFonts w:ascii="Times New Roman" w:hAnsi="Times New Roman" w:cs="Times New Roman"/>
          <w:b/>
          <w:sz w:val="24"/>
          <w:szCs w:val="24"/>
        </w:rPr>
        <w:t>OLLECTIONS OF INFORMATION EMPLOYING STATISTICAL METHODS</w:t>
      </w:r>
      <w:r w:rsidRPr="004C2D86" w:rsidR="00CB72F1">
        <w:rPr>
          <w:b/>
          <w:bCs/>
        </w:rPr>
        <w:t xml:space="preserve"> </w:t>
      </w:r>
    </w:p>
    <w:p w:rsidR="003D4953" w:rsidP="00DC6A00" w:rsidRDefault="003D4953" w14:paraId="072526AD" w14:textId="77777777">
      <w:pPr>
        <w:pStyle w:val="Default"/>
        <w:ind w:left="720"/>
      </w:pPr>
    </w:p>
    <w:p w:rsidRPr="004C2D86" w:rsidR="00CB72F1" w:rsidP="00372EB7" w:rsidRDefault="00DC6A00" w14:paraId="37497F2F" w14:textId="77777777">
      <w:pPr>
        <w:pStyle w:val="Default"/>
        <w:ind w:left="720"/>
      </w:pPr>
      <w:r w:rsidRPr="00427218">
        <w:t xml:space="preserve">This section is not applicable. Statistical methods are not </w:t>
      </w:r>
      <w:r>
        <w:t xml:space="preserve">being </w:t>
      </w:r>
      <w:r w:rsidRPr="00427218">
        <w:t>employed</w:t>
      </w:r>
      <w:r>
        <w:t>.</w:t>
      </w:r>
    </w:p>
    <w:sectPr w:rsidRPr="004C2D86" w:rsidR="00CB72F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53">
      <wne:wch wne:val="000000A7"/>
    </wne:keymap>
  </wne:keymap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D5C51" w14:textId="77777777" w:rsidR="004D014D" w:rsidRDefault="004D014D" w:rsidP="000A188E">
      <w:pPr>
        <w:spacing w:after="0" w:line="240" w:lineRule="auto"/>
      </w:pPr>
      <w:r>
        <w:separator/>
      </w:r>
    </w:p>
  </w:endnote>
  <w:endnote w:type="continuationSeparator" w:id="0">
    <w:p w14:paraId="38A81D08" w14:textId="77777777" w:rsidR="004D014D" w:rsidRDefault="004D014D" w:rsidP="000A1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15208" w14:textId="77777777" w:rsidR="00C50AA9" w:rsidRDefault="00C50AA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B09D0" w14:textId="77777777" w:rsidR="000A188E" w:rsidRPr="00C50AA9" w:rsidRDefault="000A188E" w:rsidP="00C50AA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84CE3" w14:textId="77777777" w:rsidR="00C50AA9" w:rsidRDefault="00C50AA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AE699" w14:textId="77777777" w:rsidR="004D014D" w:rsidRDefault="004D014D" w:rsidP="000A188E">
      <w:pPr>
        <w:spacing w:after="0" w:line="240" w:lineRule="auto"/>
      </w:pPr>
      <w:r>
        <w:separator/>
      </w:r>
    </w:p>
  </w:footnote>
  <w:footnote w:type="continuationSeparator" w:id="0">
    <w:p w14:paraId="5260F17D" w14:textId="77777777" w:rsidR="004D014D" w:rsidRDefault="004D014D" w:rsidP="000A18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8DA54" w14:textId="77777777" w:rsidR="00C50AA9" w:rsidRDefault="00C50AA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5C2D6" w14:textId="77777777" w:rsidR="00C50AA9" w:rsidRDefault="00C50AA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1DFBA" w14:textId="77777777" w:rsidR="00C50AA9" w:rsidRDefault="00C50AA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544667"/>
    <w:multiLevelType w:val="hybridMultilevel"/>
    <w:tmpl w:val="39A00A0E"/>
    <w:lvl w:ilvl="0" w:tplc="8DC2DAB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7A6487"/>
    <w:multiLevelType w:val="hybridMultilevel"/>
    <w:tmpl w:val="A606A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2F1"/>
    <w:rsid w:val="00005C4A"/>
    <w:rsid w:val="0001083B"/>
    <w:rsid w:val="000221E1"/>
    <w:rsid w:val="00022557"/>
    <w:rsid w:val="00031871"/>
    <w:rsid w:val="00052DE1"/>
    <w:rsid w:val="00073D85"/>
    <w:rsid w:val="00082FA1"/>
    <w:rsid w:val="0009351D"/>
    <w:rsid w:val="000A188E"/>
    <w:rsid w:val="000D070A"/>
    <w:rsid w:val="000E475C"/>
    <w:rsid w:val="000E58A6"/>
    <w:rsid w:val="000F1DA8"/>
    <w:rsid w:val="000F760B"/>
    <w:rsid w:val="00110CC8"/>
    <w:rsid w:val="00122A07"/>
    <w:rsid w:val="001243B3"/>
    <w:rsid w:val="00140A2F"/>
    <w:rsid w:val="001700CE"/>
    <w:rsid w:val="00173A59"/>
    <w:rsid w:val="0019504D"/>
    <w:rsid w:val="001A0CA9"/>
    <w:rsid w:val="001A64BF"/>
    <w:rsid w:val="001B2323"/>
    <w:rsid w:val="001B6C52"/>
    <w:rsid w:val="001C1821"/>
    <w:rsid w:val="001C3A5F"/>
    <w:rsid w:val="001C4C2D"/>
    <w:rsid w:val="001E555D"/>
    <w:rsid w:val="001F20F6"/>
    <w:rsid w:val="00201C87"/>
    <w:rsid w:val="002102DF"/>
    <w:rsid w:val="00224B7E"/>
    <w:rsid w:val="002263C8"/>
    <w:rsid w:val="0026385E"/>
    <w:rsid w:val="002A7BEC"/>
    <w:rsid w:val="002B0DEB"/>
    <w:rsid w:val="002E754F"/>
    <w:rsid w:val="00303A09"/>
    <w:rsid w:val="00312528"/>
    <w:rsid w:val="00312FE1"/>
    <w:rsid w:val="003207F5"/>
    <w:rsid w:val="00334FBC"/>
    <w:rsid w:val="003420EA"/>
    <w:rsid w:val="00361764"/>
    <w:rsid w:val="00372EB7"/>
    <w:rsid w:val="003D37AB"/>
    <w:rsid w:val="003D4953"/>
    <w:rsid w:val="003E2286"/>
    <w:rsid w:val="003F1615"/>
    <w:rsid w:val="003F1EE4"/>
    <w:rsid w:val="003F7C7F"/>
    <w:rsid w:val="004075CB"/>
    <w:rsid w:val="004459C4"/>
    <w:rsid w:val="004862EA"/>
    <w:rsid w:val="00487066"/>
    <w:rsid w:val="004A5895"/>
    <w:rsid w:val="004A7455"/>
    <w:rsid w:val="004A751A"/>
    <w:rsid w:val="004B609B"/>
    <w:rsid w:val="004B7BEB"/>
    <w:rsid w:val="004C2D86"/>
    <w:rsid w:val="004C3ADA"/>
    <w:rsid w:val="004C76DB"/>
    <w:rsid w:val="004D014D"/>
    <w:rsid w:val="004E7720"/>
    <w:rsid w:val="0055460E"/>
    <w:rsid w:val="005938B5"/>
    <w:rsid w:val="005A060A"/>
    <w:rsid w:val="005A46D7"/>
    <w:rsid w:val="005B4C33"/>
    <w:rsid w:val="005C14F3"/>
    <w:rsid w:val="005D0382"/>
    <w:rsid w:val="005D4297"/>
    <w:rsid w:val="005D6229"/>
    <w:rsid w:val="005D6D58"/>
    <w:rsid w:val="005E7FE0"/>
    <w:rsid w:val="005F0D56"/>
    <w:rsid w:val="005F66FE"/>
    <w:rsid w:val="00604BE6"/>
    <w:rsid w:val="00643F61"/>
    <w:rsid w:val="00651CED"/>
    <w:rsid w:val="00657BE6"/>
    <w:rsid w:val="006625D6"/>
    <w:rsid w:val="00664383"/>
    <w:rsid w:val="00686A0C"/>
    <w:rsid w:val="006918D8"/>
    <w:rsid w:val="006935F6"/>
    <w:rsid w:val="00697178"/>
    <w:rsid w:val="006B2DCC"/>
    <w:rsid w:val="006B6387"/>
    <w:rsid w:val="006B7598"/>
    <w:rsid w:val="006C2BE2"/>
    <w:rsid w:val="006E50F8"/>
    <w:rsid w:val="006F3B1C"/>
    <w:rsid w:val="0072541F"/>
    <w:rsid w:val="00727783"/>
    <w:rsid w:val="007664E1"/>
    <w:rsid w:val="007670E7"/>
    <w:rsid w:val="00774FC7"/>
    <w:rsid w:val="00790883"/>
    <w:rsid w:val="00792C68"/>
    <w:rsid w:val="00796C70"/>
    <w:rsid w:val="007D4EAA"/>
    <w:rsid w:val="007D6149"/>
    <w:rsid w:val="007E31A1"/>
    <w:rsid w:val="007E5428"/>
    <w:rsid w:val="00806DF5"/>
    <w:rsid w:val="00816028"/>
    <w:rsid w:val="00821DBD"/>
    <w:rsid w:val="0082279E"/>
    <w:rsid w:val="008243DC"/>
    <w:rsid w:val="00835678"/>
    <w:rsid w:val="0083575A"/>
    <w:rsid w:val="00880AEF"/>
    <w:rsid w:val="00882B4D"/>
    <w:rsid w:val="00896B3D"/>
    <w:rsid w:val="008A65EF"/>
    <w:rsid w:val="008A7057"/>
    <w:rsid w:val="008B2076"/>
    <w:rsid w:val="008C245B"/>
    <w:rsid w:val="008C4DC4"/>
    <w:rsid w:val="008E5D73"/>
    <w:rsid w:val="008E67EA"/>
    <w:rsid w:val="009032FA"/>
    <w:rsid w:val="00917BA0"/>
    <w:rsid w:val="00932220"/>
    <w:rsid w:val="009371D7"/>
    <w:rsid w:val="0095275D"/>
    <w:rsid w:val="00954886"/>
    <w:rsid w:val="00960935"/>
    <w:rsid w:val="00961623"/>
    <w:rsid w:val="00981F60"/>
    <w:rsid w:val="009A2F27"/>
    <w:rsid w:val="009B2DF7"/>
    <w:rsid w:val="009B75B0"/>
    <w:rsid w:val="009C2735"/>
    <w:rsid w:val="009D3890"/>
    <w:rsid w:val="009F6E9C"/>
    <w:rsid w:val="009F7312"/>
    <w:rsid w:val="00A04E4B"/>
    <w:rsid w:val="00A459BB"/>
    <w:rsid w:val="00A64E8A"/>
    <w:rsid w:val="00A76160"/>
    <w:rsid w:val="00A765C2"/>
    <w:rsid w:val="00A76D10"/>
    <w:rsid w:val="00A87225"/>
    <w:rsid w:val="00AA3895"/>
    <w:rsid w:val="00AB16E8"/>
    <w:rsid w:val="00AC0424"/>
    <w:rsid w:val="00AC2597"/>
    <w:rsid w:val="00AC5BB2"/>
    <w:rsid w:val="00AF3EEF"/>
    <w:rsid w:val="00B17D08"/>
    <w:rsid w:val="00B17E20"/>
    <w:rsid w:val="00B32CE3"/>
    <w:rsid w:val="00B47093"/>
    <w:rsid w:val="00B74B18"/>
    <w:rsid w:val="00B97919"/>
    <w:rsid w:val="00BB307B"/>
    <w:rsid w:val="00BC3E22"/>
    <w:rsid w:val="00BD6E74"/>
    <w:rsid w:val="00BE293C"/>
    <w:rsid w:val="00C30525"/>
    <w:rsid w:val="00C423A4"/>
    <w:rsid w:val="00C47338"/>
    <w:rsid w:val="00C50AA9"/>
    <w:rsid w:val="00C55365"/>
    <w:rsid w:val="00C6412B"/>
    <w:rsid w:val="00C74FAA"/>
    <w:rsid w:val="00C96524"/>
    <w:rsid w:val="00CA67FF"/>
    <w:rsid w:val="00CB0298"/>
    <w:rsid w:val="00CB1101"/>
    <w:rsid w:val="00CB1226"/>
    <w:rsid w:val="00CB72F1"/>
    <w:rsid w:val="00CB7BCC"/>
    <w:rsid w:val="00CC6A42"/>
    <w:rsid w:val="00D00DA4"/>
    <w:rsid w:val="00D02AE7"/>
    <w:rsid w:val="00D032AE"/>
    <w:rsid w:val="00D0795E"/>
    <w:rsid w:val="00D2794B"/>
    <w:rsid w:val="00D4761C"/>
    <w:rsid w:val="00D8133B"/>
    <w:rsid w:val="00D94C45"/>
    <w:rsid w:val="00DA29B4"/>
    <w:rsid w:val="00DA311C"/>
    <w:rsid w:val="00DC6A00"/>
    <w:rsid w:val="00DD2165"/>
    <w:rsid w:val="00DD5A2A"/>
    <w:rsid w:val="00DE0DEC"/>
    <w:rsid w:val="00DF2CF8"/>
    <w:rsid w:val="00E12279"/>
    <w:rsid w:val="00E17DC6"/>
    <w:rsid w:val="00E2415C"/>
    <w:rsid w:val="00E350F8"/>
    <w:rsid w:val="00E52263"/>
    <w:rsid w:val="00E64F79"/>
    <w:rsid w:val="00E674D2"/>
    <w:rsid w:val="00E76F54"/>
    <w:rsid w:val="00E93A6A"/>
    <w:rsid w:val="00EA5769"/>
    <w:rsid w:val="00EA6A6F"/>
    <w:rsid w:val="00EC0EC6"/>
    <w:rsid w:val="00EC6FFF"/>
    <w:rsid w:val="00ED56D4"/>
    <w:rsid w:val="00EE4F70"/>
    <w:rsid w:val="00F2257B"/>
    <w:rsid w:val="00F231D2"/>
    <w:rsid w:val="00F23C72"/>
    <w:rsid w:val="00F431C4"/>
    <w:rsid w:val="00F457CE"/>
    <w:rsid w:val="00F815CE"/>
    <w:rsid w:val="00F83527"/>
    <w:rsid w:val="00FA30E8"/>
    <w:rsid w:val="00FA3EFA"/>
    <w:rsid w:val="00FB59EB"/>
    <w:rsid w:val="00FB71A9"/>
    <w:rsid w:val="00FC288C"/>
    <w:rsid w:val="00FD7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6145"/>
    <o:shapelayout v:ext="edit">
      <o:idmap v:ext="edit" data="1"/>
    </o:shapelayout>
  </w:shapeDefaults>
  <w:decimalSymbol w:val="."/>
  <w:listSeparator w:val=","/>
  <w14:docId w14:val="1AF24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72F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C6A42"/>
    <w:pPr>
      <w:ind w:left="720"/>
      <w:contextualSpacing/>
    </w:pPr>
  </w:style>
  <w:style w:type="paragraph" w:styleId="Header">
    <w:name w:val="header"/>
    <w:basedOn w:val="Normal"/>
    <w:link w:val="HeaderChar"/>
    <w:uiPriority w:val="99"/>
    <w:unhideWhenUsed/>
    <w:rsid w:val="000A1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88E"/>
  </w:style>
  <w:style w:type="paragraph" w:styleId="Footer">
    <w:name w:val="footer"/>
    <w:basedOn w:val="Normal"/>
    <w:link w:val="FooterChar"/>
    <w:uiPriority w:val="99"/>
    <w:unhideWhenUsed/>
    <w:rsid w:val="000A1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88E"/>
  </w:style>
  <w:style w:type="paragraph" w:styleId="BalloonText">
    <w:name w:val="Balloon Text"/>
    <w:basedOn w:val="Normal"/>
    <w:link w:val="BalloonTextChar"/>
    <w:uiPriority w:val="99"/>
    <w:semiHidden/>
    <w:unhideWhenUsed/>
    <w:rsid w:val="003207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7F5"/>
    <w:rPr>
      <w:rFonts w:ascii="Tahoma" w:hAnsi="Tahoma" w:cs="Tahoma"/>
      <w:sz w:val="16"/>
      <w:szCs w:val="16"/>
    </w:rPr>
  </w:style>
  <w:style w:type="character" w:styleId="CommentReference">
    <w:name w:val="annotation reference"/>
    <w:basedOn w:val="DefaultParagraphFont"/>
    <w:uiPriority w:val="99"/>
    <w:semiHidden/>
    <w:unhideWhenUsed/>
    <w:rsid w:val="004459C4"/>
    <w:rPr>
      <w:sz w:val="16"/>
      <w:szCs w:val="16"/>
    </w:rPr>
  </w:style>
  <w:style w:type="paragraph" w:styleId="CommentText">
    <w:name w:val="annotation text"/>
    <w:basedOn w:val="Normal"/>
    <w:link w:val="CommentTextChar"/>
    <w:uiPriority w:val="99"/>
    <w:semiHidden/>
    <w:unhideWhenUsed/>
    <w:rsid w:val="004459C4"/>
    <w:pPr>
      <w:spacing w:line="240" w:lineRule="auto"/>
    </w:pPr>
    <w:rPr>
      <w:sz w:val="20"/>
      <w:szCs w:val="20"/>
    </w:rPr>
  </w:style>
  <w:style w:type="character" w:customStyle="1" w:styleId="CommentTextChar">
    <w:name w:val="Comment Text Char"/>
    <w:basedOn w:val="DefaultParagraphFont"/>
    <w:link w:val="CommentText"/>
    <w:uiPriority w:val="99"/>
    <w:semiHidden/>
    <w:rsid w:val="004459C4"/>
    <w:rPr>
      <w:sz w:val="20"/>
      <w:szCs w:val="20"/>
    </w:rPr>
  </w:style>
  <w:style w:type="paragraph" w:styleId="CommentSubject">
    <w:name w:val="annotation subject"/>
    <w:basedOn w:val="CommentText"/>
    <w:next w:val="CommentText"/>
    <w:link w:val="CommentSubjectChar"/>
    <w:uiPriority w:val="99"/>
    <w:semiHidden/>
    <w:unhideWhenUsed/>
    <w:rsid w:val="004459C4"/>
    <w:rPr>
      <w:b/>
      <w:bCs/>
    </w:rPr>
  </w:style>
  <w:style w:type="character" w:customStyle="1" w:styleId="CommentSubjectChar">
    <w:name w:val="Comment Subject Char"/>
    <w:basedOn w:val="CommentTextChar"/>
    <w:link w:val="CommentSubject"/>
    <w:uiPriority w:val="99"/>
    <w:semiHidden/>
    <w:rsid w:val="004459C4"/>
    <w:rPr>
      <w:b/>
      <w:bCs/>
      <w:sz w:val="20"/>
      <w:szCs w:val="20"/>
    </w:rPr>
  </w:style>
  <w:style w:type="table" w:styleId="TableGrid">
    <w:name w:val="Table Grid"/>
    <w:basedOn w:val="TableNormal"/>
    <w:uiPriority w:val="59"/>
    <w:rsid w:val="00D02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605480">
      <w:bodyDiv w:val="1"/>
      <w:marLeft w:val="0"/>
      <w:marRight w:val="0"/>
      <w:marTop w:val="0"/>
      <w:marBottom w:val="0"/>
      <w:divBdr>
        <w:top w:val="none" w:sz="0" w:space="0" w:color="auto"/>
        <w:left w:val="none" w:sz="0" w:space="0" w:color="auto"/>
        <w:bottom w:val="none" w:sz="0" w:space="0" w:color="auto"/>
        <w:right w:val="none" w:sz="0" w:space="0" w:color="auto"/>
      </w:divBdr>
    </w:div>
    <w:div w:id="342053369">
      <w:bodyDiv w:val="1"/>
      <w:marLeft w:val="0"/>
      <w:marRight w:val="0"/>
      <w:marTop w:val="0"/>
      <w:marBottom w:val="0"/>
      <w:divBdr>
        <w:top w:val="none" w:sz="0" w:space="0" w:color="auto"/>
        <w:left w:val="none" w:sz="0" w:space="0" w:color="auto"/>
        <w:bottom w:val="none" w:sz="0" w:space="0" w:color="auto"/>
        <w:right w:val="none" w:sz="0" w:space="0" w:color="auto"/>
      </w:divBdr>
    </w:div>
    <w:div w:id="1058623655">
      <w:bodyDiv w:val="1"/>
      <w:marLeft w:val="0"/>
      <w:marRight w:val="0"/>
      <w:marTop w:val="0"/>
      <w:marBottom w:val="0"/>
      <w:divBdr>
        <w:top w:val="none" w:sz="0" w:space="0" w:color="auto"/>
        <w:left w:val="none" w:sz="0" w:space="0" w:color="auto"/>
        <w:bottom w:val="none" w:sz="0" w:space="0" w:color="auto"/>
        <w:right w:val="none" w:sz="0" w:space="0" w:color="auto"/>
      </w:divBdr>
    </w:div>
    <w:div w:id="1421295291">
      <w:bodyDiv w:val="1"/>
      <w:marLeft w:val="0"/>
      <w:marRight w:val="0"/>
      <w:marTop w:val="0"/>
      <w:marBottom w:val="0"/>
      <w:divBdr>
        <w:top w:val="none" w:sz="0" w:space="0" w:color="auto"/>
        <w:left w:val="none" w:sz="0" w:space="0" w:color="auto"/>
        <w:bottom w:val="none" w:sz="0" w:space="0" w:color="auto"/>
        <w:right w:val="none" w:sz="0" w:space="0" w:color="auto"/>
      </w:divBdr>
    </w:div>
    <w:div w:id="198990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0A3F1-426D-45F3-B873-AEE8061BE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3077</Words>
  <Characters>17543</Characters>
  <Application>Microsoft Office Word</Application>
  <DocSecurity>0</DocSecurity>
  <Lines>146</Lines>
  <Paragraphs>41</Paragraphs>
  <ScaleCrop>false</ScaleCrop>
  <Company/>
  <LinksUpToDate>false</LinksUpToDate>
  <CharactersWithSpaces>20579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2020-05-26T16:39:00Z</dcterms:created>
  <dcterms:modified xsi:type="dcterms:W3CDTF">2020-05-26T16:41:00Z</dcterms:modified>
</cp:coreProperties>
</file>