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D80" w:rsidP="00717D80" w:rsidRDefault="00717D80" w14:paraId="292B6026" w14:textId="77777777">
      <w:pPr>
        <w:pStyle w:val="Heading1"/>
      </w:pPr>
      <w:bookmarkStart w:name="_Toc12629348" w:id="0"/>
      <w:bookmarkStart w:name="_Toc20741171" w:id="1"/>
      <w:bookmarkStart w:name="_GoBack" w:id="2"/>
      <w:bookmarkEnd w:id="2"/>
      <w:r w:rsidRPr="000649D8">
        <w:t xml:space="preserve">Supporting Statement </w:t>
      </w:r>
      <w:r>
        <w:t>P</w:t>
      </w:r>
      <w:r w:rsidRPr="000649D8">
        <w:t>art B</w:t>
      </w:r>
      <w:r>
        <w:t>: Collections of Information Employing Statistical Methods</w:t>
      </w:r>
      <w:bookmarkEnd w:id="0"/>
      <w:bookmarkEnd w:id="1"/>
    </w:p>
    <w:p w:rsidRPr="009B6494" w:rsidR="00717D80" w:rsidP="00717D80" w:rsidRDefault="00717D80" w14:paraId="00146A73" w14:textId="77777777">
      <w:pPr>
        <w:pStyle w:val="Heading2"/>
      </w:pPr>
      <w:bookmarkStart w:name="_Toc20223775" w:id="3"/>
      <w:r w:rsidRPr="009B6494">
        <w:t>B.1</w:t>
      </w:r>
      <w:r w:rsidRPr="009B6494">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9B6494">
        <w:t>collection as a whole</w:t>
      </w:r>
      <w:proofErr w:type="gramEnd"/>
      <w:r w:rsidRPr="009B6494">
        <w:t>. If the collection had been conducted previously, include the actual response rate achieved during the last collection.</w:t>
      </w:r>
      <w:bookmarkEnd w:id="3"/>
    </w:p>
    <w:p w:rsidR="00717D80" w:rsidP="00717D80" w:rsidRDefault="00717D80" w14:paraId="2A446CAF" w14:textId="77777777">
      <w:r>
        <w:tab/>
      </w:r>
      <w:r w:rsidRPr="003E28BD">
        <w:t xml:space="preserve">A national survey of </w:t>
      </w:r>
      <w:r>
        <w:t xml:space="preserve">surety firms and surety agents </w:t>
      </w:r>
      <w:r w:rsidRPr="003E28BD">
        <w:t xml:space="preserve">will be conducted </w:t>
      </w:r>
      <w:r>
        <w:t xml:space="preserve">to </w:t>
      </w:r>
      <w:r w:rsidRPr="00843A88">
        <w:t xml:space="preserve">evaluate the impacts of </w:t>
      </w:r>
      <w:r>
        <w:t>fee changes</w:t>
      </w:r>
      <w:r w:rsidRPr="00843A88">
        <w:t xml:space="preserve"> on the SBG Program</w:t>
      </w:r>
      <w:r>
        <w:t xml:space="preserve"> through</w:t>
      </w:r>
      <w:r w:rsidRPr="00843A88">
        <w:t xml:space="preserve"> a multimethod approach </w:t>
      </w:r>
      <w:r>
        <w:t xml:space="preserve">consisting of </w:t>
      </w:r>
      <w:r w:rsidRPr="00843A88">
        <w:t xml:space="preserve">two study components: (1) statistical modeling using the </w:t>
      </w:r>
      <w:r>
        <w:t xml:space="preserve">SBG </w:t>
      </w:r>
      <w:r w:rsidRPr="00843A88">
        <w:t xml:space="preserve">Program’s administrative data </w:t>
      </w:r>
      <w:r>
        <w:t xml:space="preserve">(collected under a previously approved collection, OMB Control Number </w:t>
      </w:r>
      <w:r w:rsidRPr="00837B78">
        <w:t>3245-0007</w:t>
      </w:r>
      <w:r>
        <w:t xml:space="preserve">) </w:t>
      </w:r>
      <w:r w:rsidRPr="00843A88">
        <w:t>and (2) a web-based survey</w:t>
      </w:r>
      <w:r>
        <w:t xml:space="preserve"> (this collection)</w:t>
      </w:r>
      <w:r w:rsidRPr="00843A88">
        <w:t>.</w:t>
      </w:r>
      <w:r>
        <w:t xml:space="preserve"> </w:t>
      </w:r>
      <w:r w:rsidRPr="003E28BD">
        <w:t xml:space="preserve">Surveys will be </w:t>
      </w:r>
      <w:r>
        <w:t>sent to</w:t>
      </w:r>
      <w:r w:rsidRPr="003E28BD">
        <w:t xml:space="preserve"> </w:t>
      </w:r>
      <w:r>
        <w:t xml:space="preserve">the universe of surety firms participating in the SBG Program (41 firms) and the universe of participating surety agents (450 agents). SBA will provide lists to the Contractor of both populations. An 80 percent response rate is estimated for this collection due to SBA’s collaborative partnerships with the surety firms and surety agents participating in the Program and a multistep recruitment and follow-up process that will be undertaken (see Appendix B3 below). </w:t>
      </w:r>
    </w:p>
    <w:p w:rsidRPr="00DA2407" w:rsidR="00717D80" w:rsidP="00717D80" w:rsidRDefault="00717D80" w14:paraId="1E0A442E" w14:textId="77777777">
      <w:pPr>
        <w:pStyle w:val="Heading2"/>
      </w:pPr>
      <w:bookmarkStart w:name="_Toc282506043" w:id="4"/>
      <w:bookmarkStart w:name="_Toc523472577" w:id="5"/>
      <w:bookmarkStart w:name="_Toc20223776" w:id="6"/>
      <w:r w:rsidRPr="00DA2407">
        <w:lastRenderedPageBreak/>
        <w:t xml:space="preserve">B.2 </w:t>
      </w:r>
      <w:r w:rsidRPr="00DA2407">
        <w:tab/>
      </w:r>
      <w:bookmarkEnd w:id="4"/>
      <w:r w:rsidRPr="00DA2407">
        <w:t>Describe the procedures for the collection of information including:</w:t>
      </w:r>
      <w:bookmarkEnd w:id="5"/>
      <w:bookmarkEnd w:id="6"/>
    </w:p>
    <w:p w:rsidRPr="00AB2962" w:rsidR="00717D80" w:rsidP="00717D80" w:rsidRDefault="00717D80" w14:paraId="0AE64838" w14:textId="77777777">
      <w:pPr>
        <w:pStyle w:val="Heading3"/>
      </w:pPr>
      <w:bookmarkStart w:name="_Toc20223777" w:id="7"/>
      <w:r w:rsidRPr="00AB2962">
        <w:t>B.2.A</w:t>
      </w:r>
      <w:r>
        <w:tab/>
      </w:r>
      <w:r w:rsidRPr="00AB2962">
        <w:t xml:space="preserve">Statistical Methodology </w:t>
      </w:r>
      <w:r>
        <w:t>f</w:t>
      </w:r>
      <w:r w:rsidRPr="00AB2962">
        <w:t xml:space="preserve">or Stratification </w:t>
      </w:r>
      <w:r>
        <w:t>a</w:t>
      </w:r>
      <w:r w:rsidRPr="00AB2962">
        <w:t>nd Sample Selection</w:t>
      </w:r>
      <w:bookmarkEnd w:id="7"/>
    </w:p>
    <w:p w:rsidRPr="00B64C88" w:rsidR="00717D80" w:rsidP="00717D80" w:rsidRDefault="00717D80" w14:paraId="3F6D45F7" w14:textId="77777777">
      <w:r>
        <w:tab/>
        <w:t>Sampling will not be conducted because the surveys will be administered to the universes of the surety firms and surety agents participating in the SBG Program</w:t>
      </w:r>
      <w:r w:rsidDel="006E1574">
        <w:t>.</w:t>
      </w:r>
      <w:r>
        <w:t xml:space="preserve"> </w:t>
      </w:r>
      <w:r w:rsidRPr="00B64C88">
        <w:t xml:space="preserve">Prior to </w:t>
      </w:r>
      <w:r>
        <w:t>data collection efforts</w:t>
      </w:r>
      <w:r w:rsidRPr="00B64C88">
        <w:t xml:space="preserve">, </w:t>
      </w:r>
      <w:r>
        <w:t>both universe frames</w:t>
      </w:r>
      <w:r w:rsidRPr="00B64C88">
        <w:t xml:space="preserve"> will be reviewed for duplicate cases</w:t>
      </w:r>
      <w:r>
        <w:t xml:space="preserve"> or any anomalies; variables that will be reviewed include surety firm/surety agent</w:t>
      </w:r>
      <w:r w:rsidRPr="00B64C88">
        <w:t xml:space="preserve"> name, email address, and </w:t>
      </w:r>
      <w:r>
        <w:t>telephone number</w:t>
      </w:r>
      <w:r w:rsidRPr="00B64C88">
        <w:t xml:space="preserve">. </w:t>
      </w:r>
      <w:r>
        <w:t xml:space="preserve">Any variances will be verified with follow-up efforts and removed if necessary. </w:t>
      </w:r>
    </w:p>
    <w:p w:rsidRPr="00AB2962" w:rsidR="00717D80" w:rsidP="00717D80" w:rsidRDefault="00717D80" w14:paraId="5E21E25B" w14:textId="77777777">
      <w:pPr>
        <w:pStyle w:val="Heading3"/>
      </w:pPr>
      <w:bookmarkStart w:name="_Toc20223778" w:id="8"/>
      <w:r w:rsidRPr="00AB2962">
        <w:t>B.2.B</w:t>
      </w:r>
      <w:r>
        <w:tab/>
      </w:r>
      <w:r w:rsidRPr="00AB2962">
        <w:t xml:space="preserve">Estimation Procedure </w:t>
      </w:r>
      <w:r>
        <w:t>a</w:t>
      </w:r>
      <w:r w:rsidRPr="00AB2962">
        <w:t xml:space="preserve">nd Degree </w:t>
      </w:r>
      <w:r>
        <w:t>o</w:t>
      </w:r>
      <w:r w:rsidRPr="00AB2962">
        <w:t xml:space="preserve">f Accuracy Needed </w:t>
      </w:r>
      <w:r>
        <w:t>f</w:t>
      </w:r>
      <w:r w:rsidRPr="00AB2962">
        <w:t xml:space="preserve">or </w:t>
      </w:r>
      <w:r>
        <w:t>t</w:t>
      </w:r>
      <w:r w:rsidRPr="00AB2962">
        <w:t xml:space="preserve">he Purpose Described </w:t>
      </w:r>
      <w:r>
        <w:t>i</w:t>
      </w:r>
      <w:r w:rsidRPr="00AB2962">
        <w:t xml:space="preserve">n </w:t>
      </w:r>
      <w:r>
        <w:t>t</w:t>
      </w:r>
      <w:r w:rsidRPr="00AB2962">
        <w:t>he Justification</w:t>
      </w:r>
      <w:bookmarkEnd w:id="8"/>
    </w:p>
    <w:p w:rsidRPr="00B64C88" w:rsidR="00717D80" w:rsidP="00717D80" w:rsidRDefault="00717D80" w14:paraId="54F59DCA" w14:textId="77777777">
      <w:r>
        <w:tab/>
      </w:r>
      <w:r w:rsidRPr="005F2516">
        <w:t xml:space="preserve">The survey estimates will be derived </w:t>
      </w:r>
      <w:r>
        <w:t>using</w:t>
      </w:r>
      <w:r w:rsidRPr="005F2516">
        <w:t xml:space="preserve"> unweighted responses </w:t>
      </w:r>
      <w:r>
        <w:t>because</w:t>
      </w:r>
      <w:r w:rsidRPr="005F2516">
        <w:t xml:space="preserve"> the data collection phase includes the universe of both priority populations. The data will be adjusted for nonresponse rates to appropriately reflect both universes. The above methodology will allow for accurate population estimates and reporting.</w:t>
      </w:r>
      <w:r w:rsidRPr="00B64C88">
        <w:t xml:space="preserve"> </w:t>
      </w:r>
    </w:p>
    <w:p w:rsidRPr="00AB2962" w:rsidR="00717D80" w:rsidP="00717D80" w:rsidRDefault="00717D80" w14:paraId="6DB33B53" w14:textId="77777777">
      <w:pPr>
        <w:pStyle w:val="Heading3"/>
      </w:pPr>
      <w:bookmarkStart w:name="_Toc20223779" w:id="9"/>
      <w:r w:rsidRPr="00AB2962">
        <w:t>B.2.C</w:t>
      </w:r>
      <w:r>
        <w:tab/>
      </w:r>
      <w:r w:rsidRPr="00AB2962">
        <w:t>Unusual Problems Requiring Specialized Sampling Procedures</w:t>
      </w:r>
      <w:bookmarkEnd w:id="9"/>
    </w:p>
    <w:p w:rsidRPr="00B64C88" w:rsidR="00717D80" w:rsidP="00717D80" w:rsidRDefault="00717D80" w14:paraId="0FF7E367" w14:textId="77777777">
      <w:pPr>
        <w:rPr>
          <w:b/>
        </w:rPr>
      </w:pPr>
      <w:r>
        <w:tab/>
      </w:r>
      <w:r w:rsidRPr="00B64C88">
        <w:t>SBA does not anticipate unusual problems that require the usage of specialized sampling procedures.</w:t>
      </w:r>
    </w:p>
    <w:p w:rsidR="00717D80" w:rsidP="00717D80" w:rsidRDefault="00717D80" w14:paraId="33DBB0D3" w14:textId="77777777">
      <w:pPr>
        <w:pStyle w:val="Heading3"/>
      </w:pPr>
      <w:bookmarkStart w:name="_Toc20223780" w:id="10"/>
      <w:r w:rsidRPr="00AB2962">
        <w:t>B.2.D</w:t>
      </w:r>
      <w:r>
        <w:tab/>
      </w:r>
      <w:r w:rsidRPr="00AB2962">
        <w:t xml:space="preserve">Any Use </w:t>
      </w:r>
      <w:r>
        <w:t>o</w:t>
      </w:r>
      <w:r w:rsidRPr="00AB2962">
        <w:t xml:space="preserve">f Periodic (Less Frequent Than Annual) Data Collection Cycles </w:t>
      </w:r>
      <w:r>
        <w:t>t</w:t>
      </w:r>
      <w:r w:rsidRPr="00AB2962">
        <w:t>o Reduce Burden</w:t>
      </w:r>
      <w:bookmarkEnd w:id="10"/>
    </w:p>
    <w:p w:rsidRPr="00B64C88" w:rsidR="00717D80" w:rsidP="00717D80" w:rsidRDefault="00717D80" w14:paraId="0E1B504B" w14:textId="77777777">
      <w:r>
        <w:tab/>
        <w:t xml:space="preserve">The data collection will be conducted only once. </w:t>
      </w:r>
    </w:p>
    <w:p w:rsidRPr="005E54AE" w:rsidR="00717D80" w:rsidP="00717D80" w:rsidRDefault="00717D80" w14:paraId="48E40538" w14:textId="77777777">
      <w:pPr>
        <w:pStyle w:val="Heading3"/>
      </w:pPr>
      <w:bookmarkStart w:name="_Toc20223781" w:id="11"/>
      <w:r w:rsidRPr="005E54AE">
        <w:lastRenderedPageBreak/>
        <w:t>B.2.E</w:t>
      </w:r>
      <w:r>
        <w:tab/>
      </w:r>
      <w:r w:rsidRPr="005E54AE">
        <w:t>General Data Collection Procedures</w:t>
      </w:r>
      <w:bookmarkEnd w:id="11"/>
    </w:p>
    <w:p w:rsidRPr="00B64C88" w:rsidR="00717D80" w:rsidP="00717D80" w:rsidRDefault="00717D80" w14:paraId="6EA9031E" w14:textId="77777777">
      <w:r>
        <w:tab/>
      </w:r>
      <w:r w:rsidRPr="008C0BAA">
        <w:t>Identical data collection procedures will be used for both the surety agent and surety firm universe populations. T</w:t>
      </w:r>
      <w:r w:rsidRPr="00B64C88">
        <w:t>he process of collecting data will occur in the following fashion:</w:t>
      </w:r>
    </w:p>
    <w:p w:rsidRPr="00B64C88" w:rsidR="00717D80" w:rsidP="00717D80" w:rsidRDefault="00717D80" w14:paraId="64E98491" w14:textId="77777777">
      <w:pPr>
        <w:pStyle w:val="ListParagraph"/>
        <w:numPr>
          <w:ilvl w:val="0"/>
          <w:numId w:val="1"/>
        </w:numPr>
      </w:pPr>
      <w:bookmarkStart w:name="_Hlk27403622" w:id="12"/>
      <w:r w:rsidRPr="00204978">
        <w:t>Surety firms and surety agents</w:t>
      </w:r>
      <w:r w:rsidRPr="00B64C88">
        <w:t xml:space="preserve"> will be notified of the study by </w:t>
      </w:r>
      <w:r>
        <w:t>two introductory emails</w:t>
      </w:r>
      <w:r w:rsidRPr="00B64C88">
        <w:t xml:space="preserve"> (Appendi</w:t>
      </w:r>
      <w:r>
        <w:t>ces</w:t>
      </w:r>
      <w:r w:rsidRPr="00B64C88">
        <w:t xml:space="preserve"> B</w:t>
      </w:r>
      <w:r>
        <w:t>2, C2, B4, and C4</w:t>
      </w:r>
      <w:r w:rsidRPr="00B64C88">
        <w:t xml:space="preserve">) </w:t>
      </w:r>
      <w:r>
        <w:t>providing</w:t>
      </w:r>
      <w:r w:rsidRPr="00B64C88">
        <w:t xml:space="preserve"> information necessary to complete the web survey (Appendi</w:t>
      </w:r>
      <w:r>
        <w:t>ces</w:t>
      </w:r>
      <w:r w:rsidRPr="00B64C88">
        <w:t xml:space="preserve"> B</w:t>
      </w:r>
      <w:r>
        <w:t>3 and C3</w:t>
      </w:r>
      <w:r w:rsidRPr="00B64C88">
        <w:t>). The</w:t>
      </w:r>
      <w:r>
        <w:t xml:space="preserve"> emails will</w:t>
      </w:r>
      <w:bookmarkStart w:name="_Hlk485198313" w:id="13"/>
      <w:r w:rsidRPr="00B64C88">
        <w:t xml:space="preserve"> contain official labels to verify </w:t>
      </w:r>
      <w:r>
        <w:t xml:space="preserve">SBA’s and the Contractor’s </w:t>
      </w:r>
      <w:r w:rsidRPr="00B64C88">
        <w:t xml:space="preserve">intent and professionalism. </w:t>
      </w:r>
    </w:p>
    <w:p w:rsidRPr="00B64C88" w:rsidR="00717D80" w:rsidP="00717D80" w:rsidRDefault="00717D80" w14:paraId="6D8F9374" w14:textId="77777777">
      <w:pPr>
        <w:pStyle w:val="ListParagraph"/>
        <w:numPr>
          <w:ilvl w:val="0"/>
          <w:numId w:val="1"/>
        </w:numPr>
      </w:pPr>
      <w:r w:rsidRPr="00B64C88">
        <w:t xml:space="preserve">If the </w:t>
      </w:r>
      <w:r>
        <w:t>participant</w:t>
      </w:r>
      <w:r w:rsidRPr="00B64C88">
        <w:t xml:space="preserve"> does not complete the web survey within 1 week, </w:t>
      </w:r>
      <w:r>
        <w:t>the surety firms or surety agent</w:t>
      </w:r>
      <w:r w:rsidRPr="00B64C88">
        <w:t xml:space="preserve"> may be contacted throughout the duration of the data collection period (up to </w:t>
      </w:r>
      <w:r w:rsidRPr="00204978">
        <w:t xml:space="preserve">four </w:t>
      </w:r>
      <w:r w:rsidRPr="00B64C88">
        <w:t xml:space="preserve">times by email </w:t>
      </w:r>
      <w:r>
        <w:t>[</w:t>
      </w:r>
      <w:r w:rsidRPr="00B64C88">
        <w:t>Appendi</w:t>
      </w:r>
      <w:r>
        <w:t>ces</w:t>
      </w:r>
      <w:r w:rsidRPr="00B64C88">
        <w:t xml:space="preserve"> </w:t>
      </w:r>
      <w:r>
        <w:t>B5, C5, B6, C6, B8, C8, B9, and C9]</w:t>
      </w:r>
      <w:r w:rsidRPr="00B64C88">
        <w:t xml:space="preserve"> and </w:t>
      </w:r>
      <w:r>
        <w:t>twice</w:t>
      </w:r>
      <w:r w:rsidRPr="00B64C88">
        <w:t xml:space="preserve"> by telephone </w:t>
      </w:r>
      <w:r>
        <w:t>[Appendices B7 and C7])</w:t>
      </w:r>
      <w:r w:rsidRPr="00B64C88">
        <w:t xml:space="preserve"> as reminders and encouragement to complete the</w:t>
      </w:r>
      <w:r w:rsidRPr="00204978">
        <w:t xml:space="preserve"> Surety Bond Guarantee Program Impacts on Fee Reduction Survey</w:t>
      </w:r>
      <w:r w:rsidRPr="00B64C88">
        <w:t xml:space="preserve"> via </w:t>
      </w:r>
      <w:r>
        <w:t xml:space="preserve">an online platform. </w:t>
      </w:r>
      <w:r w:rsidRPr="00B64C88">
        <w:t xml:space="preserve"> </w:t>
      </w:r>
    </w:p>
    <w:bookmarkEnd w:id="12"/>
    <w:bookmarkEnd w:id="13"/>
    <w:p w:rsidRPr="00B64C88" w:rsidR="00717D80" w:rsidP="00717D80" w:rsidRDefault="00717D80" w14:paraId="3818AEBF" w14:textId="77777777">
      <w:pPr>
        <w:pStyle w:val="ListParagraph"/>
        <w:numPr>
          <w:ilvl w:val="0"/>
          <w:numId w:val="1"/>
        </w:numPr>
      </w:pPr>
      <w:r w:rsidRPr="00B64C88">
        <w:t>Throughout the duration of the data collection period, web-based responses will be stored electronically and downloaded.</w:t>
      </w:r>
    </w:p>
    <w:p w:rsidRPr="002A3F0A" w:rsidR="00717D80" w:rsidP="00717D80" w:rsidRDefault="00717D80" w14:paraId="25F4948E" w14:textId="77777777">
      <w:pPr>
        <w:pStyle w:val="Heading2"/>
      </w:pPr>
      <w:bookmarkStart w:name="_Toc282506044" w:id="14"/>
      <w:bookmarkStart w:name="_Toc523472578" w:id="15"/>
      <w:bookmarkStart w:name="_Toc20223782" w:id="16"/>
      <w:r w:rsidRPr="002A3F0A">
        <w:t>B.3</w:t>
      </w:r>
      <w:bookmarkEnd w:id="14"/>
      <w:r w:rsidRPr="002A3F0A">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bookmarkEnd w:id="15"/>
      <w:bookmarkEnd w:id="16"/>
    </w:p>
    <w:p w:rsidR="00717D80" w:rsidP="00717D80" w:rsidRDefault="00717D80" w14:paraId="32F3C3C9" w14:textId="77777777">
      <w:r>
        <w:tab/>
      </w:r>
      <w:proofErr w:type="gramStart"/>
      <w:r>
        <w:t>In an effort to</w:t>
      </w:r>
      <w:proofErr w:type="gramEnd"/>
      <w:r>
        <w:t xml:space="preserve"> achieve an 80 percent response rate for both surety firm and surety agent populations, the </w:t>
      </w:r>
      <w:r w:rsidRPr="00D368BA">
        <w:t xml:space="preserve">procedures described below </w:t>
      </w:r>
      <w:r>
        <w:t xml:space="preserve">will be executed to </w:t>
      </w:r>
      <w:r w:rsidRPr="00D368BA">
        <w:t xml:space="preserve">secure </w:t>
      </w:r>
      <w:r>
        <w:t xml:space="preserve">survey </w:t>
      </w:r>
      <w:r w:rsidRPr="00D368BA">
        <w:t>participation</w:t>
      </w:r>
      <w:r>
        <w:t xml:space="preserve">. </w:t>
      </w:r>
      <w:r w:rsidRPr="00D368BA">
        <w:lastRenderedPageBreak/>
        <w:t>The</w:t>
      </w:r>
      <w:r>
        <w:t xml:space="preserve"> Surety Bond Guarantee Program Impacts on the Fee Reduction Surveys</w:t>
      </w:r>
      <w:r w:rsidRPr="00D368BA">
        <w:t xml:space="preserve"> </w:t>
      </w:r>
      <w:r>
        <w:t>are</w:t>
      </w:r>
      <w:r w:rsidRPr="00D368BA">
        <w:t xml:space="preserve"> designed to achieve the highest practical response</w:t>
      </w:r>
      <w:r>
        <w:t xml:space="preserve"> rates</w:t>
      </w:r>
      <w:r w:rsidRPr="00D368BA">
        <w:t xml:space="preserve">, commensurate with the importance of survey uses, time constraints, respondent burden, and data collection costs. </w:t>
      </w:r>
      <w:r w:rsidRPr="00076B0D">
        <w:t>Efforts to minimize cost include</w:t>
      </w:r>
      <w:r>
        <w:t xml:space="preserve"> the convenience</w:t>
      </w:r>
      <w:r w:rsidRPr="00076B0D">
        <w:t xml:space="preserve"> </w:t>
      </w:r>
      <w:r>
        <w:t>of</w:t>
      </w:r>
      <w:r w:rsidRPr="00076B0D">
        <w:t xml:space="preserve"> respond</w:t>
      </w:r>
      <w:r>
        <w:t>ing</w:t>
      </w:r>
      <w:r w:rsidRPr="00076B0D">
        <w:t xml:space="preserve"> </w:t>
      </w:r>
      <w:r>
        <w:t>on</w:t>
      </w:r>
      <w:r w:rsidRPr="00076B0D">
        <w:t xml:space="preserve"> an online platform</w:t>
      </w:r>
      <w:r>
        <w:t>;</w:t>
      </w:r>
      <w:r w:rsidRPr="00076B0D">
        <w:t xml:space="preserve"> the short length of the survey</w:t>
      </w:r>
      <w:r>
        <w:t>s</w:t>
      </w:r>
      <w:r w:rsidRPr="00076B0D">
        <w:t xml:space="preserve"> (</w:t>
      </w:r>
      <w:r>
        <w:t>15</w:t>
      </w:r>
      <w:r w:rsidRPr="00076B0D">
        <w:t xml:space="preserve"> minutes)</w:t>
      </w:r>
      <w:r>
        <w:t>;</w:t>
      </w:r>
      <w:r w:rsidRPr="00076B0D">
        <w:t xml:space="preserve"> easy-to-answer question formats (close</w:t>
      </w:r>
      <w:r>
        <w:t>d</w:t>
      </w:r>
      <w:r w:rsidRPr="00076B0D">
        <w:t>-ended, multiple-choice questions)</w:t>
      </w:r>
      <w:r>
        <w:t xml:space="preserve">; and using survey management software that allows respondents to save and exit the survey at any time and return to complete the survey at a later time. </w:t>
      </w:r>
      <w:proofErr w:type="gramStart"/>
      <w:r w:rsidRPr="0000254F">
        <w:t>In the event that</w:t>
      </w:r>
      <w:proofErr w:type="gramEnd"/>
      <w:r w:rsidRPr="0000254F">
        <w:t xml:space="preserve"> an 80</w:t>
      </w:r>
      <w:r>
        <w:t xml:space="preserve"> percent</w:t>
      </w:r>
      <w:r w:rsidRPr="0000254F">
        <w:t xml:space="preserve"> response rate is not obtained, a nonresponse bias analysis will be conducted.</w:t>
      </w:r>
    </w:p>
    <w:p w:rsidR="00717D80" w:rsidP="00717D80" w:rsidRDefault="00717D80" w14:paraId="4CAAB256" w14:textId="77777777">
      <w:r>
        <w:tab/>
        <w:t>Below, we describe t</w:t>
      </w:r>
      <w:r w:rsidRPr="00D368BA">
        <w:t>he recruitment procedures designed to maximize the number of</w:t>
      </w:r>
      <w:r>
        <w:t xml:space="preserve"> surety firms and surety agents who </w:t>
      </w:r>
      <w:r w:rsidRPr="00D368BA">
        <w:t xml:space="preserve">complete the </w:t>
      </w:r>
      <w:r>
        <w:t>Surety Bond Guarantee Program Impacts on the Fee Reduction Surveys</w:t>
      </w:r>
      <w:r w:rsidRPr="00D368BA">
        <w:t>.</w:t>
      </w:r>
    </w:p>
    <w:p w:rsidRPr="00D368BA" w:rsidR="00717D80" w:rsidP="00717D80" w:rsidRDefault="00717D80" w14:paraId="4B886F8C" w14:textId="77777777">
      <w:pPr>
        <w:pStyle w:val="ListParagraph"/>
        <w:numPr>
          <w:ilvl w:val="0"/>
          <w:numId w:val="2"/>
        </w:numPr>
      </w:pPr>
      <w:r w:rsidRPr="00D368BA">
        <w:t xml:space="preserve">The introductory </w:t>
      </w:r>
      <w:r>
        <w:t>emails</w:t>
      </w:r>
      <w:r w:rsidRPr="00D368BA">
        <w:t xml:space="preserve"> inviting </w:t>
      </w:r>
      <w:r>
        <w:t>surety firms and surety agents</w:t>
      </w:r>
      <w:r w:rsidRPr="00D368BA">
        <w:t xml:space="preserve"> to participate in the </w:t>
      </w:r>
      <w:r>
        <w:t>Surety Bond Guarantee Program Impacts on the Fee Reduction Survey</w:t>
      </w:r>
      <w:r w:rsidRPr="00D368BA">
        <w:t xml:space="preserve"> </w:t>
      </w:r>
      <w:r>
        <w:t>have been</w:t>
      </w:r>
      <w:r w:rsidRPr="00D368BA">
        <w:t xml:space="preserve"> carefully developed to emphasize the importance of this study and how the information will help </w:t>
      </w:r>
      <w:r>
        <w:t>SBA</w:t>
      </w:r>
      <w:r w:rsidRPr="00D368BA">
        <w:t xml:space="preserve"> improve the </w:t>
      </w:r>
      <w:r>
        <w:t>SBG Program</w:t>
      </w:r>
      <w:r w:rsidRPr="00D368BA">
        <w:t xml:space="preserve">, </w:t>
      </w:r>
      <w:r>
        <w:t>as well as</w:t>
      </w:r>
      <w:r w:rsidRPr="00D368BA">
        <w:t xml:space="preserve"> </w:t>
      </w:r>
      <w:r>
        <w:t>to maximize</w:t>
      </w:r>
      <w:r w:rsidRPr="00D368BA">
        <w:t xml:space="preserve"> cooperation through advance </w:t>
      </w:r>
      <w:r>
        <w:t>notice. Furthermore, introductory emails will frame the evaluation as an opportunity for surety firms and surety agents to partner with SBA to improve the SBG Program.</w:t>
      </w:r>
      <w:r w:rsidRPr="00D368BA">
        <w:t xml:space="preserve"> </w:t>
      </w:r>
    </w:p>
    <w:p w:rsidRPr="00AB2962" w:rsidR="00717D80" w:rsidP="00717D80" w:rsidRDefault="00717D80" w14:paraId="4C2C33B0" w14:textId="77777777">
      <w:pPr>
        <w:pStyle w:val="ListParagraph"/>
        <w:numPr>
          <w:ilvl w:val="0"/>
          <w:numId w:val="2"/>
        </w:numPr>
      </w:pPr>
      <w:bookmarkStart w:name="_Hlk27403722" w:id="17"/>
      <w:r w:rsidRPr="00AB2962">
        <w:t>A</w:t>
      </w:r>
      <w:r>
        <w:t>n</w:t>
      </w:r>
      <w:r w:rsidRPr="00AB2962">
        <w:t xml:space="preserve"> email address for the study will be provided so respondents can receive assistance with the survey. </w:t>
      </w:r>
    </w:p>
    <w:bookmarkEnd w:id="17"/>
    <w:p w:rsidRPr="00D368BA" w:rsidR="00717D80" w:rsidP="00717D80" w:rsidRDefault="00717D80" w14:paraId="56C7BB02" w14:textId="77777777">
      <w:pPr>
        <w:pStyle w:val="ListParagraph"/>
        <w:numPr>
          <w:ilvl w:val="0"/>
          <w:numId w:val="2"/>
        </w:numPr>
      </w:pPr>
      <w:r w:rsidRPr="00AB2962">
        <w:t xml:space="preserve">A training for telephone interviewers will be conducted. The training, specific to this study, will include an overview of the project, techniques for encouraging respondent </w:t>
      </w:r>
      <w:r w:rsidRPr="00AB2962">
        <w:lastRenderedPageBreak/>
        <w:t xml:space="preserve">candor, and a review of the survey questions in case the interviewer needs to discuss specific survey question inquiries. </w:t>
      </w:r>
    </w:p>
    <w:p w:rsidRPr="00AB2962" w:rsidR="00717D80" w:rsidP="00717D80" w:rsidRDefault="00717D80" w14:paraId="475E0DEC" w14:textId="77777777">
      <w:pPr>
        <w:pStyle w:val="ListParagraph"/>
        <w:numPr>
          <w:ilvl w:val="0"/>
          <w:numId w:val="2"/>
        </w:numPr>
      </w:pPr>
      <w:r w:rsidRPr="00AB2962">
        <w:t xml:space="preserve">A survey support team with in-depth background on the SBG Program, the evaluation, and familiarity with the population being surveyed will be available. </w:t>
      </w:r>
    </w:p>
    <w:p w:rsidRPr="00AB2962" w:rsidR="00717D80" w:rsidP="00717D80" w:rsidRDefault="00717D80" w14:paraId="7E48FA89" w14:textId="77777777">
      <w:pPr>
        <w:pStyle w:val="ListParagraph"/>
        <w:numPr>
          <w:ilvl w:val="0"/>
          <w:numId w:val="2"/>
        </w:numPr>
      </w:pPr>
      <w:r w:rsidRPr="00AB2962">
        <w:t xml:space="preserve">Follow-up attempts will begin to be emailed to all surety firms and surety agents who do not complete the survey 1 week after the start of data collection. A telephone follow-up attempt will be conducted the fourth and sixth week of data collection to offer respondents the opportunity to answer any study questions or inquiries regarding survey questions or responses and provide technical support to surety firms and surety agents. </w:t>
      </w:r>
    </w:p>
    <w:p w:rsidRPr="00AB2962" w:rsidR="00717D80" w:rsidP="00717D80" w:rsidRDefault="00717D80" w14:paraId="50C057E0" w14:textId="77777777">
      <w:pPr>
        <w:pStyle w:val="ListParagraph"/>
        <w:numPr>
          <w:ilvl w:val="0"/>
          <w:numId w:val="2"/>
        </w:numPr>
      </w:pPr>
      <w:r w:rsidRPr="00AB2962">
        <w:t xml:space="preserve">Weekly reminder emails will be sent to participants from the second week of data collection to the sixth week of data collection. The reminders will emphasize the importance of surety firms’ and surety agents’ cooperation to the evaluation and the SBG Program. </w:t>
      </w:r>
    </w:p>
    <w:p w:rsidRPr="00AB2962" w:rsidR="00717D80" w:rsidP="00717D80" w:rsidRDefault="00717D80" w14:paraId="7DF7FAD2" w14:textId="77777777">
      <w:pPr>
        <w:pStyle w:val="ListParagraph"/>
        <w:numPr>
          <w:ilvl w:val="0"/>
          <w:numId w:val="2"/>
        </w:numPr>
      </w:pPr>
      <w:r w:rsidRPr="00AB2962">
        <w:t xml:space="preserve">The final 2 weeks of data collection will be utilized for follow-up efforts with a post-survey clarification email (Appendices B.10 and C.10) and a clarification phone call (Appendices B.11 and C.11). </w:t>
      </w:r>
    </w:p>
    <w:p w:rsidRPr="00AB2962" w:rsidR="00717D80" w:rsidP="00717D80" w:rsidRDefault="00717D80" w14:paraId="2D5E5150" w14:textId="77777777">
      <w:pPr>
        <w:pStyle w:val="ListParagraph"/>
        <w:numPr>
          <w:ilvl w:val="0"/>
          <w:numId w:val="2"/>
        </w:numPr>
      </w:pPr>
      <w:r w:rsidRPr="00AB2962">
        <w:t xml:space="preserve">The survey support team will be available to provide support for technical issues and for all inquiries between 7:30 a.m. and 4:00 p.m. ET during the week (Monday through Friday) throughout the entire data collection period. </w:t>
      </w:r>
    </w:p>
    <w:p w:rsidR="00717D80" w:rsidP="00717D80" w:rsidRDefault="00717D80" w14:paraId="166229D4" w14:textId="77777777">
      <w:pPr>
        <w:pStyle w:val="Heading2"/>
      </w:pPr>
      <w:bookmarkStart w:name="_Toc20223783" w:id="18"/>
      <w:r w:rsidRPr="003108B4">
        <w:lastRenderedPageBreak/>
        <w:t>B.4</w:t>
      </w:r>
      <w:r w:rsidRPr="003108B4">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bookmarkEnd w:id="18"/>
    </w:p>
    <w:p w:rsidRPr="00F978F7" w:rsidR="00717D80" w:rsidP="00717D80" w:rsidRDefault="00717D80" w14:paraId="4EEB7398" w14:textId="77777777">
      <w:r>
        <w:tab/>
      </w:r>
      <w:r w:rsidRPr="00651230">
        <w:t xml:space="preserve">The </w:t>
      </w:r>
      <w:r w:rsidRPr="00444CB5">
        <w:t>Surety Bond Guarantee Program Impacts on the Fee Reduction Survey</w:t>
      </w:r>
      <w:r>
        <w:t>s</w:t>
      </w:r>
      <w:r w:rsidRPr="00444CB5">
        <w:t xml:space="preserve"> </w:t>
      </w:r>
      <w:r w:rsidRPr="00651230">
        <w:t>w</w:t>
      </w:r>
      <w:r>
        <w:t>ere</w:t>
      </w:r>
      <w:r w:rsidRPr="00651230">
        <w:t xml:space="preserve"> pretested </w:t>
      </w:r>
      <w:proofErr w:type="gramStart"/>
      <w:r w:rsidRPr="00651230">
        <w:t xml:space="preserve">with </w:t>
      </w:r>
      <w:r>
        <w:t xml:space="preserve"> s</w:t>
      </w:r>
      <w:r w:rsidRPr="008B3F43">
        <w:t>even</w:t>
      </w:r>
      <w:proofErr w:type="gramEnd"/>
      <w:r w:rsidRPr="00651230">
        <w:t xml:space="preserve">  respondents for understandability (confusing wording or layout, failure to comprehend the question, etc.) and length of time to answer</w:t>
      </w:r>
      <w:r>
        <w:t xml:space="preserve">. </w:t>
      </w:r>
      <w:r w:rsidRPr="008B3F43">
        <w:t>Three</w:t>
      </w:r>
      <w:r w:rsidRPr="007658A4">
        <w:t xml:space="preserve"> </w:t>
      </w:r>
      <w:r>
        <w:t xml:space="preserve">surety firm staff and </w:t>
      </w:r>
      <w:r w:rsidRPr="008B3F43">
        <w:t>four</w:t>
      </w:r>
      <w:r>
        <w:t xml:space="preserve"> surety agents pretested the respective surveys. Recommended revisions from both populations were incorporated into each respective </w:t>
      </w:r>
      <w:r w:rsidRPr="008B6A62">
        <w:t>survey; certain revisions were added to both surveys due the similarities between the instruments. Revisions included adding response options to both surveys and modifying the wording of the survey introduction for clarity purposes. Burden estimates for the two surveys did not change</w:t>
      </w:r>
      <w:bookmarkStart w:name="_Hlk27403869" w:id="19"/>
      <w:r w:rsidRPr="008B6A62">
        <w:t>. The final</w:t>
      </w:r>
      <w:r w:rsidRPr="00651230">
        <w:t xml:space="preserve"> version</w:t>
      </w:r>
      <w:r>
        <w:t>s</w:t>
      </w:r>
      <w:r w:rsidRPr="00651230">
        <w:t xml:space="preserve"> of the survey</w:t>
      </w:r>
      <w:r>
        <w:t>s for surety firms and surety agents are included</w:t>
      </w:r>
      <w:r w:rsidRPr="00651230">
        <w:t xml:space="preserve"> in Appendi</w:t>
      </w:r>
      <w:r>
        <w:t>ces</w:t>
      </w:r>
      <w:r w:rsidRPr="00651230">
        <w:t xml:space="preserve"> </w:t>
      </w:r>
      <w:r>
        <w:t>B1 and C1, respectively</w:t>
      </w:r>
      <w:r w:rsidRPr="00651230">
        <w:t>.</w:t>
      </w:r>
      <w:bookmarkEnd w:id="19"/>
    </w:p>
    <w:p w:rsidR="00717D80" w:rsidP="00717D80" w:rsidRDefault="00717D80" w14:paraId="39BE764B" w14:textId="77777777">
      <w:pPr>
        <w:pStyle w:val="Heading2"/>
      </w:pPr>
      <w:bookmarkStart w:name="_Toc20223784" w:id="20"/>
      <w:r w:rsidRPr="003108B4">
        <w:t>B.5</w:t>
      </w:r>
      <w:r w:rsidRPr="003108B4">
        <w:tab/>
        <w:t>Provide the name</w:t>
      </w:r>
      <w:r>
        <w:t>s</w:t>
      </w:r>
      <w:r w:rsidRPr="003108B4">
        <w:t xml:space="preserve"> and telephone number</w:t>
      </w:r>
      <w:r>
        <w:t>s</w:t>
      </w:r>
      <w:r w:rsidRPr="003108B4">
        <w:t xml:space="preserve"> of individuals consulted on statistical aspects of the design and the name of the agency unit, contractor(s), grantee(s), or other person(s) who will actually collect and/or analyze the information for the agency.</w:t>
      </w:r>
      <w:bookmarkEnd w:id="20"/>
    </w:p>
    <w:p w:rsidR="00717D80" w:rsidP="00717D80" w:rsidRDefault="00717D80" w14:paraId="5ACD008C" w14:textId="77777777">
      <w:pPr>
        <w:rPr>
          <w:rStyle w:val="Heading3Char"/>
        </w:rPr>
      </w:pPr>
      <w:r>
        <w:tab/>
      </w:r>
      <w:r w:rsidRPr="006E10CB">
        <w:t>The Contractor, 2M Research, will conduct this study</w:t>
      </w:r>
      <w:r>
        <w:t xml:space="preserve"> and will be supported by SBA project members</w:t>
      </w:r>
      <w:r w:rsidRPr="005F2516">
        <w:t>.</w:t>
      </w:r>
      <w:r w:rsidRPr="006E10CB">
        <w:t xml:space="preserve"> See </w:t>
      </w:r>
      <w:r w:rsidRPr="005F2516">
        <w:t>Table 4</w:t>
      </w:r>
      <w:r w:rsidRPr="006E10CB">
        <w:t xml:space="preserve"> for contact information. </w:t>
      </w:r>
    </w:p>
    <w:p w:rsidR="00717D80" w:rsidP="00717D80" w:rsidRDefault="00717D80" w14:paraId="059AEAE2" w14:textId="77777777">
      <w:pPr>
        <w:spacing w:line="259" w:lineRule="auto"/>
        <w:contextualSpacing w:val="0"/>
        <w:rPr>
          <w:b/>
          <w:iCs/>
          <w:szCs w:val="18"/>
        </w:rPr>
      </w:pPr>
      <w:r>
        <w:br w:type="page"/>
      </w:r>
    </w:p>
    <w:p w:rsidR="00717D80" w:rsidP="00717D80" w:rsidRDefault="00717D80" w14:paraId="2331826C" w14:textId="77777777">
      <w:pPr>
        <w:pStyle w:val="Caption"/>
      </w:pPr>
      <w:r>
        <w:lastRenderedPageBreak/>
        <w:t xml:space="preserve">Table </w:t>
      </w:r>
      <w:fldSimple w:instr=" SEQ Table \* ARABIC ">
        <w:r>
          <w:rPr>
            <w:noProof/>
          </w:rPr>
          <w:t>4</w:t>
        </w:r>
      </w:fldSimple>
      <w:r>
        <w:t xml:space="preserve"> - </w:t>
      </w:r>
      <w:r w:rsidRPr="009A7492">
        <w:t>Persons Consulted on Statistical Aspects of the Design</w:t>
      </w:r>
    </w:p>
    <w:tbl>
      <w:tblPr>
        <w:tblStyle w:val="GridTable4-Accent4"/>
        <w:tblW w:w="0" w:type="auto"/>
        <w:tblLook w:val="0620" w:firstRow="1" w:lastRow="0" w:firstColumn="0" w:lastColumn="0" w:noHBand="1" w:noVBand="1"/>
      </w:tblPr>
      <w:tblGrid>
        <w:gridCol w:w="2700"/>
        <w:gridCol w:w="1491"/>
        <w:gridCol w:w="2123"/>
        <w:gridCol w:w="3036"/>
      </w:tblGrid>
      <w:tr w:rsidRPr="00C81B32" w:rsidR="00717D80" w:rsidTr="0097162A" w14:paraId="79C34B50" w14:textId="77777777">
        <w:trPr>
          <w:cnfStyle w:val="100000000000" w:firstRow="1" w:lastRow="0" w:firstColumn="0" w:lastColumn="0" w:oddVBand="0" w:evenVBand="0" w:oddHBand="0" w:evenHBand="0" w:firstRowFirstColumn="0" w:firstRowLastColumn="0" w:lastRowFirstColumn="0" w:lastRowLastColumn="0"/>
          <w:trHeight w:val="288"/>
        </w:trPr>
        <w:tc>
          <w:tcPr>
            <w:tcW w:w="2700" w:type="dxa"/>
            <w:vAlign w:val="center"/>
          </w:tcPr>
          <w:p w:rsidRPr="004D439D" w:rsidR="00717D80" w:rsidP="0097162A" w:rsidRDefault="00717D80" w14:paraId="3D65240E" w14:textId="77777777">
            <w:pPr>
              <w:spacing w:line="240" w:lineRule="auto"/>
            </w:pPr>
            <w:r w:rsidRPr="004D439D">
              <w:t>Name</w:t>
            </w:r>
          </w:p>
        </w:tc>
        <w:tc>
          <w:tcPr>
            <w:tcW w:w="1491" w:type="dxa"/>
            <w:vAlign w:val="center"/>
          </w:tcPr>
          <w:p w:rsidRPr="004D439D" w:rsidR="00717D80" w:rsidP="0097162A" w:rsidRDefault="00717D80" w14:paraId="6C24F71D" w14:textId="77777777">
            <w:pPr>
              <w:spacing w:line="240" w:lineRule="auto"/>
            </w:pPr>
            <w:r w:rsidRPr="004D439D">
              <w:t>Affiliation</w:t>
            </w:r>
          </w:p>
        </w:tc>
        <w:tc>
          <w:tcPr>
            <w:tcW w:w="2123" w:type="dxa"/>
            <w:vAlign w:val="center"/>
          </w:tcPr>
          <w:p w:rsidRPr="004D439D" w:rsidR="00717D80" w:rsidP="0097162A" w:rsidRDefault="00717D80" w14:paraId="6128FF0E" w14:textId="77777777">
            <w:pPr>
              <w:spacing w:line="240" w:lineRule="auto"/>
            </w:pPr>
            <w:r w:rsidRPr="004D439D">
              <w:t>Telephone Number</w:t>
            </w:r>
          </w:p>
        </w:tc>
        <w:tc>
          <w:tcPr>
            <w:tcW w:w="3036" w:type="dxa"/>
            <w:vAlign w:val="center"/>
          </w:tcPr>
          <w:p w:rsidRPr="004D439D" w:rsidR="00717D80" w:rsidP="0097162A" w:rsidRDefault="00717D80" w14:paraId="7CCDAF19" w14:textId="77777777">
            <w:pPr>
              <w:spacing w:line="240" w:lineRule="auto"/>
            </w:pPr>
            <w:r w:rsidRPr="004D439D">
              <w:t>Email</w:t>
            </w:r>
          </w:p>
        </w:tc>
      </w:tr>
      <w:tr w:rsidRPr="00C81B32" w:rsidR="00717D80" w:rsidTr="0097162A" w14:paraId="41A26F3B" w14:textId="77777777">
        <w:trPr>
          <w:trHeight w:val="288"/>
        </w:trPr>
        <w:tc>
          <w:tcPr>
            <w:tcW w:w="2700" w:type="dxa"/>
            <w:vAlign w:val="center"/>
          </w:tcPr>
          <w:p w:rsidRPr="004D439D" w:rsidR="00717D80" w:rsidP="0097162A" w:rsidRDefault="00717D80" w14:paraId="542D385E" w14:textId="77777777">
            <w:pPr>
              <w:spacing w:line="240" w:lineRule="auto"/>
            </w:pPr>
            <w:r w:rsidRPr="004D439D">
              <w:t>Jim Murdoch, PhD</w:t>
            </w:r>
          </w:p>
        </w:tc>
        <w:tc>
          <w:tcPr>
            <w:tcW w:w="1491" w:type="dxa"/>
            <w:vAlign w:val="center"/>
          </w:tcPr>
          <w:p w:rsidRPr="004D439D" w:rsidR="00717D80" w:rsidP="0097162A" w:rsidRDefault="00717D80" w14:paraId="65D8552C" w14:textId="77777777">
            <w:pPr>
              <w:spacing w:line="240" w:lineRule="auto"/>
            </w:pPr>
            <w:r w:rsidRPr="004D439D">
              <w:t>2M</w:t>
            </w:r>
          </w:p>
        </w:tc>
        <w:tc>
          <w:tcPr>
            <w:tcW w:w="2123" w:type="dxa"/>
            <w:vAlign w:val="center"/>
          </w:tcPr>
          <w:p w:rsidRPr="004D439D" w:rsidR="00717D80" w:rsidP="0097162A" w:rsidRDefault="00717D80" w14:paraId="37486FD2" w14:textId="77777777">
            <w:pPr>
              <w:spacing w:line="240" w:lineRule="auto"/>
            </w:pPr>
            <w:r w:rsidRPr="004D439D">
              <w:t>817-856-0863</w:t>
            </w:r>
          </w:p>
        </w:tc>
        <w:tc>
          <w:tcPr>
            <w:tcW w:w="3036" w:type="dxa"/>
            <w:vAlign w:val="center"/>
          </w:tcPr>
          <w:p w:rsidRPr="004D439D" w:rsidR="00717D80" w:rsidP="0097162A" w:rsidRDefault="00F84BD3" w14:paraId="70F6A846" w14:textId="77777777">
            <w:pPr>
              <w:spacing w:line="240" w:lineRule="auto"/>
            </w:pPr>
            <w:hyperlink w:history="1" r:id="rId5">
              <w:r w:rsidRPr="004D439D" w:rsidR="00717D80">
                <w:rPr>
                  <w:rStyle w:val="Hyperlink"/>
                </w:rPr>
                <w:t>jmurdoch@2mresearch.com</w:t>
              </w:r>
            </w:hyperlink>
          </w:p>
        </w:tc>
      </w:tr>
      <w:tr w:rsidRPr="00C81B32" w:rsidR="00717D80" w:rsidTr="0097162A" w14:paraId="61A35EE6" w14:textId="77777777">
        <w:trPr>
          <w:trHeight w:val="288"/>
        </w:trPr>
        <w:tc>
          <w:tcPr>
            <w:tcW w:w="2700" w:type="dxa"/>
            <w:vAlign w:val="center"/>
          </w:tcPr>
          <w:p w:rsidRPr="004D439D" w:rsidR="00717D80" w:rsidP="0097162A" w:rsidRDefault="00717D80" w14:paraId="0F91F032" w14:textId="77777777">
            <w:pPr>
              <w:spacing w:line="240" w:lineRule="auto"/>
            </w:pPr>
            <w:r w:rsidRPr="004D439D">
              <w:t xml:space="preserve">Nicholas </w:t>
            </w:r>
            <w:proofErr w:type="spellStart"/>
            <w:r w:rsidRPr="004D439D">
              <w:t>Beyler</w:t>
            </w:r>
            <w:proofErr w:type="spellEnd"/>
            <w:r w:rsidRPr="004D439D">
              <w:t xml:space="preserve">, PhD </w:t>
            </w:r>
          </w:p>
        </w:tc>
        <w:tc>
          <w:tcPr>
            <w:tcW w:w="1491" w:type="dxa"/>
            <w:vAlign w:val="center"/>
          </w:tcPr>
          <w:p w:rsidRPr="004D439D" w:rsidR="00717D80" w:rsidP="0097162A" w:rsidRDefault="00717D80" w14:paraId="6CB865C2" w14:textId="77777777">
            <w:pPr>
              <w:spacing w:line="240" w:lineRule="auto"/>
            </w:pPr>
            <w:r w:rsidRPr="004D439D">
              <w:t>2M</w:t>
            </w:r>
          </w:p>
        </w:tc>
        <w:tc>
          <w:tcPr>
            <w:tcW w:w="2123" w:type="dxa"/>
            <w:vAlign w:val="center"/>
          </w:tcPr>
          <w:p w:rsidRPr="004D439D" w:rsidR="00717D80" w:rsidP="0097162A" w:rsidRDefault="00717D80" w14:paraId="7924BB22" w14:textId="77777777">
            <w:pPr>
              <w:spacing w:line="240" w:lineRule="auto"/>
            </w:pPr>
            <w:r w:rsidRPr="004D439D">
              <w:t>703-214-0931</w:t>
            </w:r>
          </w:p>
        </w:tc>
        <w:tc>
          <w:tcPr>
            <w:tcW w:w="3036" w:type="dxa"/>
            <w:vAlign w:val="center"/>
          </w:tcPr>
          <w:p w:rsidRPr="004D439D" w:rsidR="00717D80" w:rsidP="0097162A" w:rsidRDefault="00F84BD3" w14:paraId="112C0AB4" w14:textId="77777777">
            <w:pPr>
              <w:spacing w:line="240" w:lineRule="auto"/>
            </w:pPr>
            <w:hyperlink w:history="1" r:id="rId6">
              <w:r w:rsidRPr="004D439D" w:rsidR="00717D80">
                <w:rPr>
                  <w:rStyle w:val="Hyperlink"/>
                </w:rPr>
                <w:t>nbeyler@2mresearch.com</w:t>
              </w:r>
            </w:hyperlink>
            <w:r w:rsidRPr="004D439D" w:rsidR="00717D80">
              <w:t xml:space="preserve"> </w:t>
            </w:r>
          </w:p>
        </w:tc>
      </w:tr>
      <w:tr w:rsidRPr="00C81B32" w:rsidR="00717D80" w:rsidTr="0097162A" w14:paraId="2DDCAE53" w14:textId="77777777">
        <w:trPr>
          <w:trHeight w:val="288"/>
        </w:trPr>
        <w:tc>
          <w:tcPr>
            <w:tcW w:w="2700" w:type="dxa"/>
            <w:vAlign w:val="center"/>
          </w:tcPr>
          <w:p w:rsidRPr="004D439D" w:rsidR="00717D80" w:rsidP="0097162A" w:rsidRDefault="00717D80" w14:paraId="537C90A5" w14:textId="77777777">
            <w:pPr>
              <w:spacing w:line="240" w:lineRule="auto"/>
            </w:pPr>
            <w:r w:rsidRPr="004D439D">
              <w:t>Roderick Harrison, PhD</w:t>
            </w:r>
          </w:p>
        </w:tc>
        <w:tc>
          <w:tcPr>
            <w:tcW w:w="1491" w:type="dxa"/>
            <w:vAlign w:val="center"/>
          </w:tcPr>
          <w:p w:rsidRPr="004D439D" w:rsidR="00717D80" w:rsidP="0097162A" w:rsidRDefault="00717D80" w14:paraId="6CC5E3C7" w14:textId="77777777">
            <w:pPr>
              <w:spacing w:line="240" w:lineRule="auto"/>
            </w:pPr>
            <w:r w:rsidRPr="004D439D">
              <w:t>2M</w:t>
            </w:r>
          </w:p>
        </w:tc>
        <w:tc>
          <w:tcPr>
            <w:tcW w:w="2123" w:type="dxa"/>
            <w:vAlign w:val="center"/>
          </w:tcPr>
          <w:p w:rsidRPr="004D439D" w:rsidR="00717D80" w:rsidP="0097162A" w:rsidRDefault="00717D80" w14:paraId="7EC04153" w14:textId="77777777">
            <w:pPr>
              <w:spacing w:line="240" w:lineRule="auto"/>
            </w:pPr>
            <w:r w:rsidRPr="004D439D">
              <w:t>703-435-5901</w:t>
            </w:r>
          </w:p>
        </w:tc>
        <w:tc>
          <w:tcPr>
            <w:tcW w:w="3036" w:type="dxa"/>
            <w:vAlign w:val="center"/>
          </w:tcPr>
          <w:p w:rsidRPr="004D439D" w:rsidR="00717D80" w:rsidP="0097162A" w:rsidRDefault="00F84BD3" w14:paraId="30970D0E" w14:textId="77777777">
            <w:pPr>
              <w:spacing w:line="240" w:lineRule="auto"/>
            </w:pPr>
            <w:hyperlink w:history="1" r:id="rId7">
              <w:r w:rsidRPr="004D439D" w:rsidR="00717D80">
                <w:rPr>
                  <w:rStyle w:val="Hyperlink"/>
                </w:rPr>
                <w:t>rharrison@2mresearch.com</w:t>
              </w:r>
            </w:hyperlink>
            <w:r w:rsidRPr="004D439D" w:rsidR="00717D80">
              <w:t xml:space="preserve"> </w:t>
            </w:r>
          </w:p>
        </w:tc>
      </w:tr>
      <w:tr w:rsidRPr="00C81B32" w:rsidR="00717D80" w:rsidTr="0097162A" w14:paraId="75C7886B" w14:textId="77777777">
        <w:trPr>
          <w:trHeight w:val="288"/>
        </w:trPr>
        <w:tc>
          <w:tcPr>
            <w:tcW w:w="2700" w:type="dxa"/>
            <w:vAlign w:val="center"/>
          </w:tcPr>
          <w:p w:rsidRPr="004D439D" w:rsidR="00717D80" w:rsidP="0097162A" w:rsidRDefault="00717D80" w14:paraId="061870A3" w14:textId="77777777">
            <w:pPr>
              <w:spacing w:line="240" w:lineRule="auto"/>
            </w:pPr>
            <w:r w:rsidRPr="004D439D">
              <w:t>Dallas Elgin, PhD</w:t>
            </w:r>
          </w:p>
        </w:tc>
        <w:tc>
          <w:tcPr>
            <w:tcW w:w="1491" w:type="dxa"/>
            <w:vAlign w:val="center"/>
          </w:tcPr>
          <w:p w:rsidRPr="004D439D" w:rsidR="00717D80" w:rsidP="0097162A" w:rsidRDefault="00717D80" w14:paraId="72A5BF74" w14:textId="77777777">
            <w:pPr>
              <w:spacing w:line="240" w:lineRule="auto"/>
            </w:pPr>
            <w:r w:rsidRPr="004D439D">
              <w:t>2M</w:t>
            </w:r>
          </w:p>
        </w:tc>
        <w:tc>
          <w:tcPr>
            <w:tcW w:w="2123" w:type="dxa"/>
            <w:vAlign w:val="center"/>
          </w:tcPr>
          <w:p w:rsidRPr="004D439D" w:rsidR="00717D80" w:rsidP="0097162A" w:rsidRDefault="00717D80" w14:paraId="5BAEC5B7" w14:textId="77777777">
            <w:pPr>
              <w:spacing w:line="240" w:lineRule="auto"/>
            </w:pPr>
            <w:r w:rsidRPr="004D439D">
              <w:t>703-214-1004</w:t>
            </w:r>
          </w:p>
        </w:tc>
        <w:tc>
          <w:tcPr>
            <w:tcW w:w="3036" w:type="dxa"/>
            <w:vAlign w:val="center"/>
          </w:tcPr>
          <w:p w:rsidRPr="004D439D" w:rsidR="00717D80" w:rsidP="0097162A" w:rsidRDefault="00F84BD3" w14:paraId="5AE3F1FE" w14:textId="77777777">
            <w:pPr>
              <w:spacing w:line="240" w:lineRule="auto"/>
            </w:pPr>
            <w:hyperlink w:history="1" r:id="rId8">
              <w:r w:rsidRPr="004D439D" w:rsidR="00717D80">
                <w:rPr>
                  <w:rStyle w:val="Hyperlink"/>
                </w:rPr>
                <w:t>delgin@2mresearch.com</w:t>
              </w:r>
            </w:hyperlink>
          </w:p>
        </w:tc>
      </w:tr>
      <w:tr w:rsidRPr="00C81B32" w:rsidR="00717D80" w:rsidTr="0097162A" w14:paraId="103952E2" w14:textId="77777777">
        <w:trPr>
          <w:trHeight w:val="288"/>
        </w:trPr>
        <w:tc>
          <w:tcPr>
            <w:tcW w:w="2700" w:type="dxa"/>
            <w:vAlign w:val="center"/>
          </w:tcPr>
          <w:p w:rsidRPr="004D439D" w:rsidR="00717D80" w:rsidP="0097162A" w:rsidRDefault="00717D80" w14:paraId="02C96756" w14:textId="77777777">
            <w:pPr>
              <w:spacing w:line="240" w:lineRule="auto"/>
            </w:pPr>
            <w:r w:rsidRPr="004D439D">
              <w:t>Brittany Borg, MA</w:t>
            </w:r>
          </w:p>
        </w:tc>
        <w:tc>
          <w:tcPr>
            <w:tcW w:w="1491" w:type="dxa"/>
            <w:vAlign w:val="center"/>
          </w:tcPr>
          <w:p w:rsidRPr="004D439D" w:rsidR="00717D80" w:rsidP="0097162A" w:rsidRDefault="00717D80" w14:paraId="038E0877" w14:textId="77777777">
            <w:pPr>
              <w:spacing w:line="240" w:lineRule="auto"/>
            </w:pPr>
            <w:r w:rsidRPr="004D439D">
              <w:t>SBA</w:t>
            </w:r>
          </w:p>
        </w:tc>
        <w:tc>
          <w:tcPr>
            <w:tcW w:w="2123" w:type="dxa"/>
            <w:vAlign w:val="center"/>
          </w:tcPr>
          <w:p w:rsidRPr="004D439D" w:rsidR="00717D80" w:rsidP="0097162A" w:rsidRDefault="00717D80" w14:paraId="7AE775E0" w14:textId="77777777">
            <w:pPr>
              <w:spacing w:line="240" w:lineRule="auto"/>
            </w:pPr>
            <w:r w:rsidRPr="004D439D">
              <w:t>202-401-1354</w:t>
            </w:r>
          </w:p>
        </w:tc>
        <w:tc>
          <w:tcPr>
            <w:tcW w:w="3036" w:type="dxa"/>
            <w:vAlign w:val="center"/>
          </w:tcPr>
          <w:p w:rsidRPr="004D439D" w:rsidR="00717D80" w:rsidP="0097162A" w:rsidRDefault="00F84BD3" w14:paraId="1CA20F80" w14:textId="77777777">
            <w:pPr>
              <w:spacing w:line="240" w:lineRule="auto"/>
            </w:pPr>
            <w:hyperlink w:history="1" r:id="rId9">
              <w:r w:rsidRPr="004D439D" w:rsidR="00717D80">
                <w:rPr>
                  <w:rStyle w:val="Hyperlink"/>
                </w:rPr>
                <w:t>Brittany.Borg@sba.gov</w:t>
              </w:r>
            </w:hyperlink>
          </w:p>
        </w:tc>
      </w:tr>
      <w:tr w:rsidRPr="00C81B32" w:rsidR="00717D80" w:rsidTr="0097162A" w14:paraId="51065F5E" w14:textId="77777777">
        <w:trPr>
          <w:trHeight w:val="288"/>
        </w:trPr>
        <w:tc>
          <w:tcPr>
            <w:tcW w:w="2700" w:type="dxa"/>
            <w:vAlign w:val="center"/>
          </w:tcPr>
          <w:p w:rsidRPr="004D439D" w:rsidR="00717D80" w:rsidP="0097162A" w:rsidRDefault="00717D80" w14:paraId="022D501E" w14:textId="77777777">
            <w:pPr>
              <w:spacing w:line="240" w:lineRule="auto"/>
            </w:pPr>
            <w:r w:rsidRPr="004D439D">
              <w:t xml:space="preserve">Jason </w:t>
            </w:r>
            <w:proofErr w:type="spellStart"/>
            <w:r w:rsidRPr="004D439D">
              <w:t>Bossie</w:t>
            </w:r>
            <w:proofErr w:type="spellEnd"/>
            <w:r w:rsidRPr="004D439D">
              <w:t>, MS</w:t>
            </w:r>
          </w:p>
        </w:tc>
        <w:tc>
          <w:tcPr>
            <w:tcW w:w="1491" w:type="dxa"/>
            <w:vAlign w:val="center"/>
          </w:tcPr>
          <w:p w:rsidRPr="004D439D" w:rsidR="00717D80" w:rsidP="0097162A" w:rsidRDefault="00717D80" w14:paraId="1F67423A" w14:textId="77777777">
            <w:pPr>
              <w:spacing w:line="240" w:lineRule="auto"/>
            </w:pPr>
            <w:r w:rsidRPr="004D439D">
              <w:t>SBA</w:t>
            </w:r>
          </w:p>
        </w:tc>
        <w:tc>
          <w:tcPr>
            <w:tcW w:w="2123" w:type="dxa"/>
            <w:vAlign w:val="center"/>
          </w:tcPr>
          <w:p w:rsidRPr="004D439D" w:rsidR="00717D80" w:rsidP="0097162A" w:rsidRDefault="00717D80" w14:paraId="57646ECF" w14:textId="77777777">
            <w:pPr>
              <w:spacing w:line="240" w:lineRule="auto"/>
            </w:pPr>
            <w:r w:rsidRPr="004D439D">
              <w:t>202-205-6613</w:t>
            </w:r>
          </w:p>
        </w:tc>
        <w:tc>
          <w:tcPr>
            <w:tcW w:w="3036" w:type="dxa"/>
            <w:vAlign w:val="center"/>
          </w:tcPr>
          <w:p w:rsidRPr="004D439D" w:rsidR="00717D80" w:rsidP="0097162A" w:rsidRDefault="00F84BD3" w14:paraId="42FBCD78" w14:textId="77777777">
            <w:pPr>
              <w:spacing w:line="240" w:lineRule="auto"/>
            </w:pPr>
            <w:hyperlink w:history="1" r:id="rId10">
              <w:r w:rsidRPr="004D439D" w:rsidR="00717D80">
                <w:rPr>
                  <w:rStyle w:val="Hyperlink"/>
                </w:rPr>
                <w:t>Jason.Bossie@sba.gov</w:t>
              </w:r>
            </w:hyperlink>
          </w:p>
        </w:tc>
      </w:tr>
    </w:tbl>
    <w:p w:rsidR="00717D80" w:rsidP="00717D80" w:rsidRDefault="00717D80" w14:paraId="7C856CC4" w14:textId="77777777"/>
    <w:p w:rsidR="00E501E2" w:rsidRDefault="00E501E2" w14:paraId="25AA9051" w14:textId="77777777"/>
    <w:sectPr w:rsidR="00E50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C4333"/>
    <w:multiLevelType w:val="hybridMultilevel"/>
    <w:tmpl w:val="A1A276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A67822"/>
    <w:multiLevelType w:val="hybridMultilevel"/>
    <w:tmpl w:val="FB4AFC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D80"/>
    <w:rsid w:val="00717D80"/>
    <w:rsid w:val="009176A5"/>
    <w:rsid w:val="00E501E2"/>
    <w:rsid w:val="00F84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A0196"/>
  <w15:chartTrackingRefBased/>
  <w15:docId w15:val="{A863373C-BA9B-42AC-A913-86A468DA4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D80"/>
    <w:pPr>
      <w:spacing w:line="480" w:lineRule="auto"/>
      <w:contextualSpacing/>
    </w:pPr>
    <w:rPr>
      <w:sz w:val="24"/>
    </w:rPr>
  </w:style>
  <w:style w:type="paragraph" w:styleId="Heading1">
    <w:name w:val="heading 1"/>
    <w:basedOn w:val="Normal"/>
    <w:next w:val="Normal"/>
    <w:link w:val="Heading1Char"/>
    <w:uiPriority w:val="9"/>
    <w:qFormat/>
    <w:rsid w:val="00717D80"/>
    <w:pPr>
      <w:keepNext/>
      <w:keepLines/>
      <w:pageBreakBefore/>
      <w:spacing w:after="480" w:line="240" w:lineRule="auto"/>
      <w:jc w:val="center"/>
      <w:outlineLvl w:val="0"/>
    </w:pPr>
    <w:rPr>
      <w:rFonts w:asciiTheme="majorHAnsi" w:eastAsiaTheme="majorEastAsia" w:hAnsiTheme="majorHAnsi" w:cstheme="majorBidi"/>
      <w:b/>
      <w:kern w:val="32"/>
      <w:sz w:val="36"/>
      <w:szCs w:val="32"/>
    </w:rPr>
  </w:style>
  <w:style w:type="paragraph" w:styleId="Heading2">
    <w:name w:val="heading 2"/>
    <w:basedOn w:val="Normal"/>
    <w:next w:val="Normal"/>
    <w:link w:val="Heading2Char"/>
    <w:uiPriority w:val="9"/>
    <w:unhideWhenUsed/>
    <w:qFormat/>
    <w:rsid w:val="00717D80"/>
    <w:pPr>
      <w:keepNext/>
      <w:keepLines/>
      <w:spacing w:after="24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717D80"/>
    <w:pPr>
      <w:keepNext/>
      <w:keepLines/>
      <w:autoSpaceDE w:val="0"/>
      <w:autoSpaceDN w:val="0"/>
      <w:adjustRightInd w:val="0"/>
      <w:spacing w:after="120"/>
      <w:contextualSpacing w:val="0"/>
      <w:textAlignment w:val="center"/>
      <w:outlineLvl w:val="2"/>
    </w:pPr>
    <w:rPr>
      <w:rFonts w:asciiTheme="majorHAnsi" w:hAnsiTheme="majorHAnsi" w:cs="Calibri"/>
      <w:b/>
      <w:bCs/>
      <w:color w:val="3B3838" w:themeColor="background2" w:themeShade="4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D80"/>
    <w:rPr>
      <w:rFonts w:asciiTheme="majorHAnsi" w:eastAsiaTheme="majorEastAsia" w:hAnsiTheme="majorHAnsi" w:cstheme="majorBidi"/>
      <w:b/>
      <w:kern w:val="32"/>
      <w:sz w:val="36"/>
      <w:szCs w:val="32"/>
    </w:rPr>
  </w:style>
  <w:style w:type="character" w:customStyle="1" w:styleId="Heading2Char">
    <w:name w:val="Heading 2 Char"/>
    <w:basedOn w:val="DefaultParagraphFont"/>
    <w:link w:val="Heading2"/>
    <w:uiPriority w:val="9"/>
    <w:rsid w:val="00717D80"/>
    <w:rPr>
      <w:rFonts w:asciiTheme="majorHAnsi" w:eastAsiaTheme="majorEastAsia" w:hAnsiTheme="majorHAnsi" w:cstheme="majorBidi"/>
      <w:b/>
      <w:sz w:val="24"/>
      <w:szCs w:val="26"/>
    </w:rPr>
  </w:style>
  <w:style w:type="character" w:customStyle="1" w:styleId="Heading3Char">
    <w:name w:val="Heading 3 Char"/>
    <w:basedOn w:val="DefaultParagraphFont"/>
    <w:link w:val="Heading3"/>
    <w:uiPriority w:val="9"/>
    <w:rsid w:val="00717D80"/>
    <w:rPr>
      <w:rFonts w:asciiTheme="majorHAnsi" w:hAnsiTheme="majorHAnsi" w:cs="Calibri"/>
      <w:b/>
      <w:bCs/>
      <w:color w:val="3B3838" w:themeColor="background2" w:themeShade="40"/>
      <w:sz w:val="24"/>
      <w:szCs w:val="18"/>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717D80"/>
    <w:pPr>
      <w:ind w:left="720"/>
    </w:pPr>
  </w:style>
  <w:style w:type="character" w:styleId="Hyperlink">
    <w:name w:val="Hyperlink"/>
    <w:basedOn w:val="DefaultParagraphFont"/>
    <w:uiPriority w:val="99"/>
    <w:unhideWhenUsed/>
    <w:rsid w:val="00717D80"/>
    <w:rPr>
      <w:color w:val="0563C1" w:themeColor="hyperlink"/>
      <w:u w:val="single"/>
    </w:rPr>
  </w:style>
  <w:style w:type="paragraph" w:styleId="Caption">
    <w:name w:val="caption"/>
    <w:aliases w:val="Caption ECSS"/>
    <w:basedOn w:val="Normal"/>
    <w:next w:val="Normal"/>
    <w:uiPriority w:val="35"/>
    <w:unhideWhenUsed/>
    <w:qFormat/>
    <w:rsid w:val="00717D80"/>
    <w:pPr>
      <w:keepNext/>
      <w:spacing w:after="200" w:line="240" w:lineRule="auto"/>
      <w:ind w:left="936" w:hanging="936"/>
    </w:pPr>
    <w:rPr>
      <w:b/>
      <w:iCs/>
      <w:szCs w:val="18"/>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717D80"/>
    <w:rPr>
      <w:sz w:val="24"/>
    </w:rPr>
  </w:style>
  <w:style w:type="table" w:styleId="GridTable4-Accent4">
    <w:name w:val="Grid Table 4 Accent 4"/>
    <w:basedOn w:val="TableNormal"/>
    <w:uiPriority w:val="49"/>
    <w:rsid w:val="00717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2k8-hq-fsc1fs/OCFOUSERS/Users/OAPA/Program%20Evaluation/PMO%20Evaluations/2018%20-19/SBG/Survey%20Study%20Information/ICR/delgin@2mresearch.com" TargetMode="External"/><Relationship Id="rId3" Type="http://schemas.openxmlformats.org/officeDocument/2006/relationships/settings" Target="settings.xml"/><Relationship Id="rId7" Type="http://schemas.openxmlformats.org/officeDocument/2006/relationships/hyperlink" Target="mailto:rharrison@2mresearc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beyler@2mresearch.com" TargetMode="External"/><Relationship Id="rId11" Type="http://schemas.openxmlformats.org/officeDocument/2006/relationships/fontTable" Target="fontTable.xml"/><Relationship Id="rId5" Type="http://schemas.openxmlformats.org/officeDocument/2006/relationships/hyperlink" Target="mailto:jmurdoch@2mresearch.com" TargetMode="External"/><Relationship Id="rId10" Type="http://schemas.openxmlformats.org/officeDocument/2006/relationships/hyperlink" Target="mailto:Jason.Bossie@sba.gov" TargetMode="External"/><Relationship Id="rId4" Type="http://schemas.openxmlformats.org/officeDocument/2006/relationships/webSettings" Target="webSettings.xml"/><Relationship Id="rId9" Type="http://schemas.openxmlformats.org/officeDocument/2006/relationships/hyperlink" Target="mailto:Brittany.Borg@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1496</Words>
  <Characters>8696</Characters>
  <Application>Microsoft Office Word</Application>
  <DocSecurity>4</DocSecurity>
  <Lines>322</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 Brittany J.</dc:creator>
  <cp:keywords/>
  <dc:description/>
  <cp:lastModifiedBy>Rich, Curtis B.</cp:lastModifiedBy>
  <cp:revision>2</cp:revision>
  <dcterms:created xsi:type="dcterms:W3CDTF">2020-01-29T15:59:00Z</dcterms:created>
  <dcterms:modified xsi:type="dcterms:W3CDTF">2020-01-29T15:59:00Z</dcterms:modified>
</cp:coreProperties>
</file>