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08A" w:rsidP="003C608A" w:rsidRDefault="003C608A" w14:paraId="53692DAD" w14:textId="77777777">
      <w:pPr>
        <w:pStyle w:val="AppendixHdg"/>
      </w:pPr>
      <w:bookmarkStart w:name="_Toc20740410" w:id="0"/>
      <w:bookmarkStart w:name="_Toc20740495" w:id="1"/>
      <w:bookmarkStart w:name="_Toc20740599" w:id="2"/>
      <w:bookmarkStart w:name="_Toc20741172" w:id="3"/>
      <w:r>
        <w:t>Appendix A</w:t>
      </w:r>
      <w:bookmarkEnd w:id="0"/>
      <w:bookmarkEnd w:id="1"/>
      <w:bookmarkEnd w:id="2"/>
      <w:bookmarkEnd w:id="3"/>
    </w:p>
    <w:p w:rsidR="003C608A" w:rsidP="003C608A" w:rsidRDefault="003C608A" w14:paraId="050A1726" w14:textId="77777777">
      <w:pPr>
        <w:spacing w:line="259" w:lineRule="auto"/>
        <w:contextualSpacing w:val="0"/>
        <w:sectPr w:rsidR="003C608A" w:rsidSect="00125C22">
          <w:footerReference w:type="default" r:id="rId7"/>
          <w:pgSz w:w="12240" w:h="15840" w:code="1"/>
          <w:pgMar w:top="1440" w:right="1440" w:bottom="1440" w:left="1440" w:header="720" w:footer="720" w:gutter="0"/>
          <w:pgNumType w:start="1"/>
          <w:cols w:space="720"/>
          <w:vAlign w:val="center"/>
          <w:docGrid w:linePitch="360"/>
        </w:sectPr>
      </w:pPr>
    </w:p>
    <w:p w:rsidR="003C608A" w:rsidP="003C608A" w:rsidRDefault="003C608A" w14:paraId="6F26C35A" w14:textId="77777777">
      <w:pPr>
        <w:pStyle w:val="AppendixSub"/>
      </w:pPr>
      <w:bookmarkStart w:name="_Toc20740496" w:id="4"/>
      <w:bookmarkStart w:name="_Toc20740600" w:id="5"/>
      <w:bookmarkStart w:name="_Toc20741173" w:id="6"/>
      <w:r>
        <w:lastRenderedPageBreak/>
        <w:t xml:space="preserve">Appendix A.1 – </w:t>
      </w:r>
      <w:bookmarkStart w:name="_GoBack" w:id="7"/>
      <w:r>
        <w:t>Research Questions</w:t>
      </w:r>
      <w:bookmarkEnd w:id="4"/>
      <w:bookmarkEnd w:id="5"/>
      <w:bookmarkEnd w:id="6"/>
    </w:p>
    <w:tbl>
      <w:tblPr>
        <w:tblStyle w:val="GridTable4-Accent11"/>
        <w:tblW w:w="0" w:type="auto"/>
        <w:jc w:val="center"/>
        <w:tblBorders>
          <w:top w:val="none" w:color="auto" w:sz="0" w:space="0"/>
          <w:left w:val="none" w:color="auto" w:sz="0" w:space="0"/>
          <w:bottom w:val="none" w:color="auto" w:sz="0" w:space="0"/>
          <w:right w:val="none" w:color="auto" w:sz="0" w:space="0"/>
          <w:insideH w:val="single" w:color="009CD3" w:sz="4" w:space="0"/>
          <w:insideV w:val="none" w:color="auto" w:sz="0" w:space="0"/>
        </w:tblBorders>
        <w:tblLook w:val="0600" w:firstRow="0" w:lastRow="0" w:firstColumn="0" w:lastColumn="0" w:noHBand="1" w:noVBand="1"/>
      </w:tblPr>
      <w:tblGrid>
        <w:gridCol w:w="9360"/>
      </w:tblGrid>
      <w:tr w:rsidRPr="009C3BCD" w:rsidR="003C608A" w:rsidTr="0097162A" w14:paraId="3E35A2FF" w14:textId="77777777">
        <w:trPr>
          <w:trHeight w:val="586"/>
          <w:tblHeader/>
          <w:jc w:val="center"/>
        </w:trPr>
        <w:tc>
          <w:tcPr>
            <w:tcW w:w="9360" w:type="dxa"/>
            <w:vMerge w:val="restart"/>
            <w:shd w:val="clear" w:color="auto" w:fill="009CD3"/>
            <w:vAlign w:val="center"/>
          </w:tcPr>
          <w:bookmarkEnd w:id="7"/>
          <w:p w:rsidRPr="009C3BCD" w:rsidR="003C608A" w:rsidP="0097162A" w:rsidRDefault="003C608A" w14:paraId="3D213687" w14:textId="77777777">
            <w:pPr>
              <w:jc w:val="center"/>
              <w:rPr>
                <w:rFonts w:eastAsia="SimSun" w:cs="Times New Roman"/>
                <w:b/>
                <w:color w:val="FFFFFF"/>
                <w:kern w:val="22"/>
                <w:szCs w:val="21"/>
              </w:rPr>
            </w:pPr>
            <w:r>
              <w:rPr>
                <w:rFonts w:eastAsia="SimSun" w:cs="Times New Roman"/>
                <w:b/>
                <w:color w:val="FFFFFF"/>
                <w:kern w:val="22"/>
                <w:szCs w:val="21"/>
              </w:rPr>
              <w:t>Research Questions</w:t>
            </w:r>
          </w:p>
        </w:tc>
      </w:tr>
      <w:tr w:rsidRPr="009C3BCD" w:rsidR="003C608A" w:rsidTr="0097162A" w14:paraId="615D297F" w14:textId="77777777">
        <w:trPr>
          <w:trHeight w:val="337"/>
          <w:tblHeader/>
          <w:jc w:val="center"/>
        </w:trPr>
        <w:tc>
          <w:tcPr>
            <w:tcW w:w="9360" w:type="dxa"/>
            <w:vMerge/>
            <w:shd w:val="clear" w:color="auto" w:fill="009CD3"/>
          </w:tcPr>
          <w:p w:rsidRPr="009C3BCD" w:rsidR="003C608A" w:rsidP="0097162A" w:rsidRDefault="003C608A" w14:paraId="2ABAF531" w14:textId="77777777">
            <w:pPr>
              <w:spacing w:line="276" w:lineRule="auto"/>
              <w:jc w:val="center"/>
              <w:rPr>
                <w:rFonts w:eastAsia="SimSun" w:cs="Times New Roman"/>
                <w:b/>
                <w:color w:val="FFFFFF"/>
                <w:kern w:val="22"/>
                <w:szCs w:val="21"/>
              </w:rPr>
            </w:pPr>
          </w:p>
        </w:tc>
      </w:tr>
      <w:tr w:rsidRPr="009C3BCD" w:rsidR="003C608A" w:rsidTr="0097162A" w14:paraId="0531ECFC" w14:textId="77777777">
        <w:trPr>
          <w:trHeight w:val="20"/>
          <w:jc w:val="center"/>
        </w:trPr>
        <w:tc>
          <w:tcPr>
            <w:tcW w:w="9360" w:type="dxa"/>
            <w:shd w:val="clear" w:color="auto" w:fill="auto"/>
          </w:tcPr>
          <w:p w:rsidRPr="009C3BCD" w:rsidR="003C608A" w:rsidP="0097162A" w:rsidRDefault="003C608A" w14:paraId="4E0DDF07" w14:textId="77777777">
            <w:pPr>
              <w:spacing w:line="276" w:lineRule="auto"/>
              <w:rPr>
                <w:rFonts w:eastAsia="SimSun" w:cs="Times New Roman"/>
                <w:b/>
                <w:kern w:val="22"/>
                <w:szCs w:val="21"/>
              </w:rPr>
            </w:pPr>
            <w:r>
              <w:rPr>
                <w:rFonts w:eastAsia="SimSun" w:cs="Times New Roman"/>
                <w:b/>
                <w:kern w:val="22"/>
                <w:szCs w:val="21"/>
              </w:rPr>
              <w:t xml:space="preserve">Research Question 1: </w:t>
            </w:r>
            <w:r w:rsidRPr="00E4661C">
              <w:rPr>
                <w:rFonts w:eastAsia="SimSun" w:cs="Times New Roman"/>
                <w:bCs/>
                <w:kern w:val="22"/>
                <w:szCs w:val="21"/>
              </w:rPr>
              <w:t>How do the fee reductions affect program use by surety firms, surety agents, and small businesses, and how do the fee reductions affect the number and aggregate value of bonds guaranteed?</w:t>
            </w:r>
          </w:p>
        </w:tc>
      </w:tr>
      <w:tr w:rsidRPr="009C3BCD" w:rsidR="003C608A" w:rsidTr="0097162A" w14:paraId="7AA3FF91" w14:textId="77777777">
        <w:trPr>
          <w:trHeight w:val="20"/>
          <w:jc w:val="center"/>
        </w:trPr>
        <w:tc>
          <w:tcPr>
            <w:tcW w:w="9360" w:type="dxa"/>
            <w:shd w:val="clear" w:color="auto" w:fill="auto"/>
          </w:tcPr>
          <w:p w:rsidRPr="009C3BCD" w:rsidR="003C608A" w:rsidP="0097162A" w:rsidRDefault="003C608A" w14:paraId="675D2010" w14:textId="77777777">
            <w:pPr>
              <w:spacing w:line="276" w:lineRule="auto"/>
              <w:rPr>
                <w:rFonts w:eastAsia="SimSun" w:cs="Times New Roman"/>
                <w:b/>
                <w:kern w:val="22"/>
                <w:szCs w:val="21"/>
              </w:rPr>
            </w:pPr>
            <w:r>
              <w:rPr>
                <w:rFonts w:eastAsia="SimSun" w:cs="Times New Roman"/>
                <w:b/>
                <w:kern w:val="22"/>
                <w:szCs w:val="21"/>
              </w:rPr>
              <w:t>Research Question</w:t>
            </w:r>
            <w:r w:rsidRPr="009C3BCD">
              <w:rPr>
                <w:rFonts w:eastAsia="SimSun" w:cs="Times New Roman"/>
                <w:b/>
                <w:kern w:val="22"/>
                <w:szCs w:val="21"/>
              </w:rPr>
              <w:t xml:space="preserve"> 2: </w:t>
            </w:r>
            <w:r w:rsidRPr="006A4C20">
              <w:rPr>
                <w:rFonts w:eastAsia="SimSun" w:cs="Times New Roman"/>
                <w:bCs/>
                <w:kern w:val="22"/>
                <w:szCs w:val="21"/>
              </w:rPr>
              <w:t>How do the fee reductions affect the size and characteristics of small businesses in the portfolio?</w:t>
            </w:r>
          </w:p>
        </w:tc>
      </w:tr>
      <w:tr w:rsidRPr="009C3BCD" w:rsidR="003C608A" w:rsidTr="0097162A" w14:paraId="3E62A76B" w14:textId="77777777">
        <w:trPr>
          <w:trHeight w:val="20"/>
          <w:jc w:val="center"/>
        </w:trPr>
        <w:tc>
          <w:tcPr>
            <w:tcW w:w="9360" w:type="dxa"/>
            <w:shd w:val="clear" w:color="auto" w:fill="auto"/>
            <w:vAlign w:val="center"/>
          </w:tcPr>
          <w:p w:rsidRPr="00195FF3" w:rsidR="003C608A" w:rsidP="003C608A" w:rsidRDefault="003C608A" w14:paraId="00906440" w14:textId="77777777">
            <w:pPr>
              <w:pStyle w:val="ListParagraph"/>
              <w:numPr>
                <w:ilvl w:val="0"/>
                <w:numId w:val="1"/>
              </w:numPr>
              <w:spacing w:line="276" w:lineRule="auto"/>
              <w:rPr>
                <w:rFonts w:eastAsia="SimSun" w:cs="Times New Roman"/>
                <w:kern w:val="22"/>
                <w:sz w:val="20"/>
                <w:szCs w:val="20"/>
              </w:rPr>
            </w:pPr>
            <w:r w:rsidRPr="00195FF3">
              <w:rPr>
                <w:rFonts w:eastAsia="SimSun" w:cs="Times New Roman"/>
                <w:kern w:val="22"/>
                <w:sz w:val="20"/>
                <w:szCs w:val="20"/>
              </w:rPr>
              <w:t>How do fee reductions affect the characteristics</w:t>
            </w:r>
            <w:r>
              <w:rPr>
                <w:rFonts w:eastAsia="SimSun" w:cs="Times New Roman"/>
                <w:kern w:val="22"/>
                <w:sz w:val="20"/>
                <w:szCs w:val="20"/>
              </w:rPr>
              <w:t xml:space="preserve"> (e.g., industry)</w:t>
            </w:r>
            <w:r w:rsidRPr="00195FF3">
              <w:rPr>
                <w:rFonts w:eastAsia="SimSun" w:cs="Times New Roman"/>
                <w:kern w:val="22"/>
                <w:sz w:val="20"/>
                <w:szCs w:val="20"/>
              </w:rPr>
              <w:t xml:space="preserve"> of small businesses in the portfolio?</w:t>
            </w:r>
          </w:p>
        </w:tc>
      </w:tr>
      <w:tr w:rsidRPr="009C3BCD" w:rsidR="003C608A" w:rsidTr="0097162A" w14:paraId="272085B2" w14:textId="77777777">
        <w:trPr>
          <w:trHeight w:val="20"/>
          <w:jc w:val="center"/>
        </w:trPr>
        <w:tc>
          <w:tcPr>
            <w:tcW w:w="9360" w:type="dxa"/>
            <w:shd w:val="clear" w:color="auto" w:fill="auto"/>
            <w:vAlign w:val="center"/>
          </w:tcPr>
          <w:p w:rsidRPr="003840B8" w:rsidR="003C608A" w:rsidP="003C608A" w:rsidRDefault="003C608A" w14:paraId="69BD883D" w14:textId="77777777">
            <w:pPr>
              <w:pStyle w:val="ListParagraph"/>
              <w:numPr>
                <w:ilvl w:val="0"/>
                <w:numId w:val="1"/>
              </w:numPr>
              <w:spacing w:line="276" w:lineRule="auto"/>
              <w:rPr>
                <w:rFonts w:eastAsia="SimSun" w:cs="Times New Roman"/>
                <w:kern w:val="22"/>
                <w:sz w:val="20"/>
                <w:szCs w:val="20"/>
              </w:rPr>
            </w:pPr>
            <w:r w:rsidRPr="003840B8">
              <w:rPr>
                <w:rFonts w:eastAsia="SimSun" w:cs="Times New Roman"/>
                <w:kern w:val="22"/>
                <w:sz w:val="20"/>
                <w:szCs w:val="20"/>
              </w:rPr>
              <w:t>How do the fee reductions affect the portfolio of participating surety firms and agents?</w:t>
            </w:r>
          </w:p>
        </w:tc>
      </w:tr>
      <w:tr w:rsidRPr="009C3BCD" w:rsidR="003C608A" w:rsidTr="0097162A" w14:paraId="49EB9AA0" w14:textId="77777777">
        <w:trPr>
          <w:trHeight w:val="20"/>
          <w:jc w:val="center"/>
        </w:trPr>
        <w:tc>
          <w:tcPr>
            <w:tcW w:w="9360" w:type="dxa"/>
            <w:shd w:val="clear" w:color="auto" w:fill="auto"/>
          </w:tcPr>
          <w:p w:rsidRPr="009C3BCD" w:rsidR="003C608A" w:rsidP="0097162A" w:rsidRDefault="003C608A" w14:paraId="25B5C8F8" w14:textId="77777777">
            <w:pPr>
              <w:spacing w:line="276" w:lineRule="auto"/>
              <w:rPr>
                <w:rFonts w:eastAsia="SimSun" w:cs="Times New Roman"/>
                <w:b/>
                <w:kern w:val="22"/>
                <w:szCs w:val="21"/>
              </w:rPr>
            </w:pPr>
            <w:r>
              <w:rPr>
                <w:rFonts w:eastAsia="SimSun" w:cs="Times New Roman"/>
                <w:b/>
                <w:kern w:val="22"/>
                <w:szCs w:val="21"/>
              </w:rPr>
              <w:t>Research Question</w:t>
            </w:r>
            <w:r w:rsidRPr="009C3BCD">
              <w:rPr>
                <w:rFonts w:eastAsia="SimSun" w:cs="Times New Roman"/>
                <w:b/>
                <w:kern w:val="22"/>
                <w:szCs w:val="21"/>
              </w:rPr>
              <w:t xml:space="preserve"> </w:t>
            </w:r>
            <w:r>
              <w:rPr>
                <w:rFonts w:eastAsia="SimSun" w:cs="Times New Roman"/>
                <w:b/>
                <w:kern w:val="22"/>
                <w:szCs w:val="21"/>
              </w:rPr>
              <w:t xml:space="preserve">3: </w:t>
            </w:r>
            <w:r w:rsidRPr="006D5FDC">
              <w:rPr>
                <w:rFonts w:eastAsia="SimSun" w:cs="Times New Roman"/>
                <w:bCs/>
                <w:kern w:val="22"/>
                <w:szCs w:val="21"/>
              </w:rPr>
              <w:t>How do the fee reductions affect the risks associated with guaranteeing bonds?</w:t>
            </w:r>
          </w:p>
        </w:tc>
      </w:tr>
      <w:tr w:rsidRPr="009C3BCD" w:rsidR="003C608A" w:rsidTr="0097162A" w14:paraId="4E9571C8" w14:textId="77777777">
        <w:trPr>
          <w:trHeight w:val="20"/>
          <w:jc w:val="center"/>
        </w:trPr>
        <w:tc>
          <w:tcPr>
            <w:tcW w:w="9360" w:type="dxa"/>
            <w:shd w:val="clear" w:color="auto" w:fill="auto"/>
            <w:vAlign w:val="center"/>
          </w:tcPr>
          <w:p w:rsidRPr="006D5FDC" w:rsidR="003C608A" w:rsidP="003C608A" w:rsidRDefault="003C608A" w14:paraId="6E97BF5E" w14:textId="77777777">
            <w:pPr>
              <w:pStyle w:val="ListParagraph"/>
              <w:numPr>
                <w:ilvl w:val="0"/>
                <w:numId w:val="2"/>
              </w:numPr>
              <w:spacing w:line="276" w:lineRule="auto"/>
              <w:rPr>
                <w:rFonts w:eastAsia="SimSun" w:cs="Times New Roman"/>
                <w:kern w:val="22"/>
                <w:sz w:val="20"/>
                <w:szCs w:val="20"/>
              </w:rPr>
            </w:pPr>
            <w:r w:rsidRPr="005525A8">
              <w:rPr>
                <w:rFonts w:eastAsia="SimSun" w:cs="Times New Roman"/>
                <w:kern w:val="22"/>
                <w:sz w:val="20"/>
                <w:szCs w:val="20"/>
              </w:rPr>
              <w:t>How do the fee reductions affect the size of SBA’s revolving fund?</w:t>
            </w:r>
          </w:p>
        </w:tc>
      </w:tr>
      <w:tr w:rsidRPr="009C3BCD" w:rsidR="003C608A" w:rsidTr="0097162A" w14:paraId="2E2C3F53" w14:textId="77777777">
        <w:trPr>
          <w:trHeight w:val="20"/>
          <w:jc w:val="center"/>
        </w:trPr>
        <w:tc>
          <w:tcPr>
            <w:tcW w:w="9360" w:type="dxa"/>
            <w:shd w:val="clear" w:color="auto" w:fill="auto"/>
            <w:vAlign w:val="center"/>
          </w:tcPr>
          <w:p w:rsidRPr="006D5FDC" w:rsidR="003C608A" w:rsidP="003C608A" w:rsidRDefault="003C608A" w14:paraId="563AF094" w14:textId="77777777">
            <w:pPr>
              <w:pStyle w:val="ListParagraph"/>
              <w:numPr>
                <w:ilvl w:val="0"/>
                <w:numId w:val="2"/>
              </w:numPr>
              <w:spacing w:line="276" w:lineRule="auto"/>
              <w:rPr>
                <w:rFonts w:eastAsia="SimSun" w:cs="Times New Roman"/>
                <w:kern w:val="22"/>
                <w:sz w:val="20"/>
                <w:szCs w:val="20"/>
              </w:rPr>
            </w:pPr>
            <w:r w:rsidRPr="00140B0B">
              <w:rPr>
                <w:rFonts w:eastAsia="SimSun" w:cs="Times New Roman"/>
                <w:kern w:val="22"/>
                <w:sz w:val="20"/>
                <w:szCs w:val="20"/>
              </w:rPr>
              <w:t>How do the fee reductions affect defaults in the program?</w:t>
            </w:r>
          </w:p>
        </w:tc>
      </w:tr>
      <w:tr w:rsidRPr="009C3BCD" w:rsidR="003C608A" w:rsidTr="0097162A" w14:paraId="1D933F50" w14:textId="77777777">
        <w:trPr>
          <w:trHeight w:val="20"/>
          <w:jc w:val="center"/>
        </w:trPr>
        <w:tc>
          <w:tcPr>
            <w:tcW w:w="9360" w:type="dxa"/>
            <w:shd w:val="clear" w:color="auto" w:fill="auto"/>
          </w:tcPr>
          <w:p w:rsidRPr="009C3BCD" w:rsidR="003C608A" w:rsidP="0097162A" w:rsidRDefault="003C608A" w14:paraId="728619A8" w14:textId="77777777">
            <w:pPr>
              <w:spacing w:line="276" w:lineRule="auto"/>
              <w:rPr>
                <w:rFonts w:eastAsia="SimSun" w:cs="Times New Roman"/>
                <w:b/>
                <w:kern w:val="22"/>
                <w:szCs w:val="21"/>
              </w:rPr>
            </w:pPr>
            <w:r>
              <w:rPr>
                <w:rFonts w:eastAsia="SimSun" w:cs="Times New Roman"/>
                <w:b/>
                <w:kern w:val="22"/>
                <w:szCs w:val="21"/>
              </w:rPr>
              <w:t>Research Question</w:t>
            </w:r>
            <w:r w:rsidRPr="009C3BCD">
              <w:rPr>
                <w:rFonts w:eastAsia="SimSun" w:cs="Times New Roman"/>
                <w:b/>
                <w:kern w:val="22"/>
                <w:szCs w:val="21"/>
              </w:rPr>
              <w:t xml:space="preserve"> </w:t>
            </w:r>
            <w:r>
              <w:rPr>
                <w:rFonts w:eastAsia="SimSun" w:cs="Times New Roman"/>
                <w:b/>
                <w:kern w:val="22"/>
                <w:szCs w:val="21"/>
              </w:rPr>
              <w:t xml:space="preserve">4: </w:t>
            </w:r>
            <w:r w:rsidRPr="00056A5B">
              <w:rPr>
                <w:rFonts w:eastAsia="SimSun" w:cs="Times New Roman"/>
                <w:bCs/>
                <w:kern w:val="22"/>
                <w:szCs w:val="21"/>
              </w:rPr>
              <w:t>How d</w:t>
            </w:r>
            <w:r>
              <w:rPr>
                <w:rFonts w:eastAsia="SimSun" w:cs="Times New Roman"/>
                <w:bCs/>
                <w:kern w:val="22"/>
                <w:szCs w:val="21"/>
              </w:rPr>
              <w:t>o</w:t>
            </w:r>
            <w:r w:rsidRPr="00056A5B">
              <w:rPr>
                <w:rFonts w:eastAsia="SimSun" w:cs="Times New Roman"/>
                <w:bCs/>
                <w:kern w:val="22"/>
                <w:szCs w:val="21"/>
              </w:rPr>
              <w:t xml:space="preserve"> surety firms and agents view the fee reductions and their potential value for expanding their clientele and the number and value of bonds they approve?</w:t>
            </w:r>
          </w:p>
        </w:tc>
      </w:tr>
      <w:tr w:rsidRPr="009C3BCD" w:rsidR="003C608A" w:rsidTr="0097162A" w14:paraId="1063B840" w14:textId="77777777">
        <w:trPr>
          <w:trHeight w:val="20"/>
          <w:jc w:val="center"/>
        </w:trPr>
        <w:tc>
          <w:tcPr>
            <w:tcW w:w="9360" w:type="dxa"/>
            <w:shd w:val="clear" w:color="auto" w:fill="auto"/>
          </w:tcPr>
          <w:p w:rsidR="003C608A" w:rsidP="0097162A" w:rsidRDefault="003C608A" w14:paraId="34F0AE83" w14:textId="77777777">
            <w:pPr>
              <w:spacing w:line="276" w:lineRule="auto"/>
              <w:rPr>
                <w:rFonts w:eastAsia="SimSun" w:cs="Times New Roman"/>
                <w:b/>
                <w:kern w:val="22"/>
                <w:szCs w:val="21"/>
              </w:rPr>
            </w:pPr>
            <w:r>
              <w:rPr>
                <w:rFonts w:eastAsia="SimSun" w:cs="Times New Roman"/>
                <w:b/>
                <w:kern w:val="22"/>
                <w:szCs w:val="21"/>
              </w:rPr>
              <w:t>Research Question</w:t>
            </w:r>
            <w:r w:rsidRPr="009C3BCD">
              <w:rPr>
                <w:rFonts w:eastAsia="SimSun" w:cs="Times New Roman"/>
                <w:b/>
                <w:kern w:val="22"/>
                <w:szCs w:val="21"/>
              </w:rPr>
              <w:t xml:space="preserve"> </w:t>
            </w:r>
            <w:r>
              <w:rPr>
                <w:rFonts w:eastAsia="SimSun" w:cs="Times New Roman"/>
                <w:b/>
                <w:kern w:val="22"/>
                <w:szCs w:val="21"/>
              </w:rPr>
              <w:t xml:space="preserve">5: </w:t>
            </w:r>
            <w:r w:rsidRPr="00D250B3">
              <w:rPr>
                <w:rFonts w:eastAsia="SimSun" w:cs="Times New Roman"/>
                <w:bCs/>
                <w:kern w:val="22"/>
                <w:szCs w:val="21"/>
              </w:rPr>
              <w:t>Based on the outcomes of this study, what are the predicted effects of future fee reductions, and what do the results imply for recommendations to maintain, modify, or rescind the fee reductions?</w:t>
            </w:r>
          </w:p>
        </w:tc>
      </w:tr>
    </w:tbl>
    <w:p w:rsidR="003C608A" w:rsidP="003C608A" w:rsidRDefault="003C608A" w14:paraId="5CA02EDD" w14:textId="77777777"/>
    <w:p w:rsidR="003C608A" w:rsidP="003C608A" w:rsidRDefault="003C608A" w14:paraId="0832B64C" w14:textId="77777777"/>
    <w:p w:rsidR="00E501E2" w:rsidRDefault="00E501E2" w14:paraId="1C882534" w14:textId="77777777"/>
    <w:sectPr w:rsidR="00E501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F137" w14:textId="77777777" w:rsidR="00000000" w:rsidRDefault="0068746A">
      <w:pPr>
        <w:spacing w:after="0" w:line="240" w:lineRule="auto"/>
      </w:pPr>
      <w:r>
        <w:separator/>
      </w:r>
    </w:p>
  </w:endnote>
  <w:endnote w:type="continuationSeparator" w:id="0">
    <w:p w14:paraId="5FF6FAD1" w14:textId="77777777" w:rsidR="00000000" w:rsidRDefault="0068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921E" w14:textId="77777777" w:rsidR="006A27BB" w:rsidRPr="003064AF" w:rsidRDefault="0068746A" w:rsidP="001D197D">
    <w:pPr>
      <w:pBdr>
        <w:top w:val="single" w:sz="4" w:space="1" w:color="404040" w:themeColor="text1" w:themeTint="BF"/>
      </w:pBdr>
      <w:spacing w:line="240" w:lineRule="auto"/>
      <w:jc w:val="right"/>
      <w:rPr>
        <w:sz w:val="18"/>
      </w:rPr>
    </w:pPr>
    <w:sdt>
      <w:sdtPr>
        <w:rPr>
          <w:sz w:val="18"/>
        </w:rPr>
        <w:alias w:val="Subject"/>
        <w:tag w:val=""/>
        <w:id w:val="-4515392"/>
        <w:showingPlcHdr/>
        <w:dataBinding w:prefixMappings="xmlns:ns0='http://purl.org/dc/elements/1.1/' xmlns:ns1='http://schemas.openxmlformats.org/package/2006/metadata/core-properties' " w:xpath="/ns1:coreProperties[1]/ns0:subject[1]" w:storeItemID="{6C3C8BC8-F283-45AE-878A-BAB7291924A1}"/>
        <w:text/>
      </w:sdtPr>
      <w:sdtEndPr/>
      <w:sdtContent>
        <w:r w:rsidR="003C608A">
          <w:rPr>
            <w:sz w:val="18"/>
          </w:rPr>
          <w:t xml:space="preserve">     </w:t>
        </w:r>
      </w:sdtContent>
    </w:sdt>
    <w:r w:rsidR="003C608A">
      <w:rPr>
        <w:sz w:val="18"/>
      </w:rPr>
      <w:t xml:space="preserve"> </w:t>
    </w:r>
    <w:r w:rsidR="003C608A" w:rsidRPr="003064AF">
      <w:rPr>
        <w:sz w:val="18"/>
      </w:rPr>
      <w:t>|</w:t>
    </w:r>
    <w:r w:rsidR="003C608A">
      <w:rPr>
        <w:sz w:val="18"/>
      </w:rPr>
      <w:t xml:space="preserve"> Appendix A-</w:t>
    </w:r>
    <w:r w:rsidR="003C608A" w:rsidRPr="003064AF">
      <w:rPr>
        <w:b/>
        <w:color w:val="4472C4" w:themeColor="accent1"/>
        <w:sz w:val="18"/>
      </w:rPr>
      <w:fldChar w:fldCharType="begin"/>
    </w:r>
    <w:r w:rsidR="003C608A" w:rsidRPr="003064AF">
      <w:rPr>
        <w:b/>
        <w:color w:val="4472C4" w:themeColor="accent1"/>
        <w:sz w:val="18"/>
      </w:rPr>
      <w:instrText xml:space="preserve"> PAGE   \* MERGEFORMAT </w:instrText>
    </w:r>
    <w:r w:rsidR="003C608A" w:rsidRPr="003064AF">
      <w:rPr>
        <w:b/>
        <w:color w:val="4472C4" w:themeColor="accent1"/>
        <w:sz w:val="18"/>
      </w:rPr>
      <w:fldChar w:fldCharType="separate"/>
    </w:r>
    <w:r w:rsidR="003C608A">
      <w:rPr>
        <w:b/>
        <w:noProof/>
        <w:color w:val="4472C4" w:themeColor="accent1"/>
        <w:sz w:val="18"/>
      </w:rPr>
      <w:t>11</w:t>
    </w:r>
    <w:r w:rsidR="003C608A" w:rsidRPr="003064AF">
      <w:rPr>
        <w:b/>
        <w:noProof/>
        <w:color w:val="4472C4" w:themeColor="accen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7FA15" w14:textId="77777777" w:rsidR="00000000" w:rsidRDefault="0068746A">
      <w:pPr>
        <w:spacing w:after="0" w:line="240" w:lineRule="auto"/>
      </w:pPr>
      <w:r>
        <w:separator/>
      </w:r>
    </w:p>
  </w:footnote>
  <w:footnote w:type="continuationSeparator" w:id="0">
    <w:p w14:paraId="5C3F0A0B" w14:textId="77777777" w:rsidR="00000000" w:rsidRDefault="00687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9E1"/>
    <w:multiLevelType w:val="hybridMultilevel"/>
    <w:tmpl w:val="7E0AE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74E3C"/>
    <w:multiLevelType w:val="hybridMultilevel"/>
    <w:tmpl w:val="4E8A9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8A"/>
    <w:rsid w:val="003C608A"/>
    <w:rsid w:val="0068746A"/>
    <w:rsid w:val="009176A5"/>
    <w:rsid w:val="00E5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81D8"/>
  <w15:chartTrackingRefBased/>
  <w15:docId w15:val="{EF1F75CE-660F-4A48-ABAE-E1533D12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08A"/>
    <w:pPr>
      <w:spacing w:line="480" w:lineRule="auto"/>
      <w:contextualSpacing/>
    </w:pPr>
    <w:rPr>
      <w:sz w:val="24"/>
    </w:rPr>
  </w:style>
  <w:style w:type="paragraph" w:styleId="Heading1">
    <w:name w:val="heading 1"/>
    <w:basedOn w:val="Normal"/>
    <w:next w:val="Normal"/>
    <w:link w:val="Heading1Char"/>
    <w:uiPriority w:val="9"/>
    <w:qFormat/>
    <w:rsid w:val="003C60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C608A"/>
    <w:pPr>
      <w:ind w:left="720"/>
    </w:p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C608A"/>
    <w:rPr>
      <w:sz w:val="24"/>
    </w:rPr>
  </w:style>
  <w:style w:type="table" w:customStyle="1" w:styleId="GridTable4-Accent11">
    <w:name w:val="Grid Table 4 - Accent 11"/>
    <w:basedOn w:val="TableNormal"/>
    <w:next w:val="GridTable4-Accent1"/>
    <w:uiPriority w:val="49"/>
    <w:rsid w:val="003C608A"/>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AppendixHdg">
    <w:name w:val="AppendixHdg"/>
    <w:basedOn w:val="Heading1"/>
    <w:link w:val="AppendixHdgChar"/>
    <w:qFormat/>
    <w:rsid w:val="003C608A"/>
    <w:pPr>
      <w:pageBreakBefore/>
      <w:spacing w:before="0" w:after="480" w:line="240" w:lineRule="auto"/>
      <w:jc w:val="center"/>
    </w:pPr>
    <w:rPr>
      <w:b/>
      <w:kern w:val="32"/>
      <w:sz w:val="36"/>
    </w:rPr>
  </w:style>
  <w:style w:type="paragraph" w:customStyle="1" w:styleId="AppendixSub">
    <w:name w:val="AppendixSub"/>
    <w:basedOn w:val="AppendixHdg"/>
    <w:link w:val="AppendixSubChar"/>
    <w:qFormat/>
    <w:rsid w:val="003C608A"/>
    <w:pPr>
      <w:pageBreakBefore w:val="0"/>
      <w:jc w:val="left"/>
    </w:pPr>
    <w:rPr>
      <w:sz w:val="24"/>
    </w:rPr>
  </w:style>
  <w:style w:type="character" w:customStyle="1" w:styleId="AppendixHdgChar">
    <w:name w:val="AppendixHdg Char"/>
    <w:basedOn w:val="Heading1Char"/>
    <w:link w:val="AppendixHdg"/>
    <w:rsid w:val="003C608A"/>
    <w:rPr>
      <w:rFonts w:asciiTheme="majorHAnsi" w:eastAsiaTheme="majorEastAsia" w:hAnsiTheme="majorHAnsi" w:cstheme="majorBidi"/>
      <w:b/>
      <w:color w:val="2F5496" w:themeColor="accent1" w:themeShade="BF"/>
      <w:kern w:val="32"/>
      <w:sz w:val="36"/>
      <w:szCs w:val="32"/>
    </w:rPr>
  </w:style>
  <w:style w:type="character" w:customStyle="1" w:styleId="AppendixSubChar">
    <w:name w:val="AppendixSub Char"/>
    <w:basedOn w:val="AppendixHdgChar"/>
    <w:link w:val="AppendixSub"/>
    <w:rsid w:val="003C608A"/>
    <w:rPr>
      <w:rFonts w:asciiTheme="majorHAnsi" w:eastAsiaTheme="majorEastAsia" w:hAnsiTheme="majorHAnsi" w:cstheme="majorBidi"/>
      <w:b/>
      <w:color w:val="2F5496" w:themeColor="accent1" w:themeShade="BF"/>
      <w:kern w:val="32"/>
      <w:sz w:val="24"/>
      <w:szCs w:val="32"/>
    </w:rPr>
  </w:style>
  <w:style w:type="table" w:styleId="GridTable4-Accent1">
    <w:name w:val="Grid Table 4 Accent 1"/>
    <w:basedOn w:val="TableNormal"/>
    <w:uiPriority w:val="49"/>
    <w:rsid w:val="003C608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3C60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1046</Characters>
  <Application>Microsoft Office Word</Application>
  <DocSecurity>4</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Brittany J.</dc:creator>
  <cp:keywords/>
  <dc:description/>
  <cp:lastModifiedBy>Rich, Curtis B.</cp:lastModifiedBy>
  <cp:revision>2</cp:revision>
  <cp:lastPrinted>2020-01-29T15:33:00Z</cp:lastPrinted>
  <dcterms:created xsi:type="dcterms:W3CDTF">2020-01-29T15:34:00Z</dcterms:created>
  <dcterms:modified xsi:type="dcterms:W3CDTF">2020-01-29T15:34:00Z</dcterms:modified>
</cp:coreProperties>
</file>