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324BF0AD"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265CFB1C"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581A27FA"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C33577" w14:paraId="7E7C949B" w14:textId="77777777">
      <w:pPr>
        <w:tabs>
          <w:tab w:val="left" w:pos="540"/>
        </w:tabs>
        <w:ind w:left="540" w:hanging="540"/>
        <w:jc w:val="center"/>
        <w:rPr>
          <w:b/>
          <w:sz w:val="24"/>
          <w:szCs w:val="24"/>
        </w:rPr>
      </w:pPr>
      <w:r>
        <w:rPr>
          <w:b/>
          <w:sz w:val="24"/>
          <w:szCs w:val="24"/>
        </w:rPr>
        <w:t>Alaska Region Gear Identification Requirements</w:t>
      </w:r>
    </w:p>
    <w:p w:rsidRPr="00B701E8" w:rsidR="004A76F5" w:rsidP="00493868" w:rsidRDefault="004A76F5" w14:paraId="0C5E0901" w14:textId="77777777">
      <w:pPr>
        <w:tabs>
          <w:tab w:val="left" w:pos="540"/>
        </w:tabs>
        <w:ind w:left="540" w:hanging="540"/>
        <w:jc w:val="center"/>
        <w:rPr>
          <w:b/>
          <w:sz w:val="24"/>
          <w:szCs w:val="24"/>
        </w:rPr>
      </w:pPr>
      <w:r w:rsidRPr="00B701E8">
        <w:rPr>
          <w:b/>
          <w:sz w:val="24"/>
          <w:szCs w:val="24"/>
        </w:rPr>
        <w:t>OMB Control No. 0648-</w:t>
      </w:r>
      <w:r w:rsidR="008F6AEC">
        <w:rPr>
          <w:b/>
          <w:sz w:val="24"/>
          <w:szCs w:val="24"/>
        </w:rPr>
        <w:t>0353</w:t>
      </w:r>
    </w:p>
    <w:p w:rsidR="004F26E9" w:rsidP="00493868" w:rsidRDefault="004F26E9" w14:paraId="31C9E14B" w14:textId="4E60D8D4">
      <w:pPr>
        <w:tabs>
          <w:tab w:val="left" w:pos="540"/>
        </w:tabs>
        <w:ind w:left="540" w:hanging="540"/>
        <w:rPr>
          <w:sz w:val="24"/>
          <w:szCs w:val="24"/>
        </w:rPr>
      </w:pPr>
    </w:p>
    <w:p w:rsidRPr="00F76E4A" w:rsidR="00F76E4A" w:rsidP="00F76E4A" w:rsidRDefault="00F76E4A" w14:paraId="529220F4" w14:textId="77777777">
      <w:pPr>
        <w:widowControl/>
        <w:rPr>
          <w:sz w:val="24"/>
          <w:szCs w:val="24"/>
        </w:rPr>
      </w:pPr>
      <w:r w:rsidRPr="00F76E4A">
        <w:rPr>
          <w:sz w:val="24"/>
          <w:szCs w:val="24"/>
        </w:rPr>
        <w:t>This action requests extension of this collection.</w:t>
      </w:r>
    </w:p>
    <w:p w:rsidR="00F76E4A" w:rsidP="00F76E4A" w:rsidRDefault="00F76E4A" w14:paraId="09F737DE" w14:textId="77777777">
      <w:pPr>
        <w:widowControl/>
        <w:rPr>
          <w:sz w:val="24"/>
          <w:szCs w:val="24"/>
        </w:rPr>
      </w:pPr>
    </w:p>
    <w:p w:rsidRPr="00F76E4A" w:rsidR="00F76E4A" w:rsidP="00F76E4A" w:rsidRDefault="00F76E4A" w14:paraId="4B07254E" w14:textId="459BED9B">
      <w:pPr>
        <w:widowControl/>
        <w:rPr>
          <w:b/>
          <w:sz w:val="24"/>
          <w:szCs w:val="24"/>
        </w:rPr>
      </w:pPr>
      <w:r w:rsidRPr="00F76E4A">
        <w:rPr>
          <w:b/>
          <w:sz w:val="24"/>
          <w:szCs w:val="24"/>
        </w:rPr>
        <w:t>INTRODUCTION</w:t>
      </w:r>
    </w:p>
    <w:p w:rsidRPr="00F76E4A" w:rsidR="00F76E4A" w:rsidP="00F76E4A" w:rsidRDefault="00F76E4A" w14:paraId="68F98649" w14:textId="77777777">
      <w:pPr>
        <w:widowControl/>
        <w:rPr>
          <w:sz w:val="24"/>
          <w:szCs w:val="24"/>
        </w:rPr>
      </w:pPr>
    </w:p>
    <w:p w:rsidR="005A08EC" w:rsidP="005A08EC" w:rsidRDefault="005A08EC" w14:paraId="5B2BCD88" w14:textId="3F7114E6">
      <w:pPr>
        <w:autoSpaceDE/>
        <w:autoSpaceDN/>
        <w:adjustRightInd/>
        <w:rPr>
          <w:sz w:val="24"/>
          <w:szCs w:val="24"/>
        </w:rPr>
      </w:pPr>
      <w:r w:rsidRPr="00A65556">
        <w:rPr>
          <w:sz w:val="24"/>
          <w:szCs w:val="24"/>
        </w:rPr>
        <w:t xml:space="preserve">This information collection contains the </w:t>
      </w:r>
      <w:r>
        <w:rPr>
          <w:sz w:val="24"/>
          <w:szCs w:val="24"/>
        </w:rPr>
        <w:t xml:space="preserve">collection instruments </w:t>
      </w:r>
      <w:proofErr w:type="gramStart"/>
      <w:r>
        <w:rPr>
          <w:sz w:val="24"/>
          <w:szCs w:val="24"/>
        </w:rPr>
        <w:t xml:space="preserve">for </w:t>
      </w:r>
      <w:r w:rsidRPr="00A65556">
        <w:rPr>
          <w:sz w:val="24"/>
          <w:szCs w:val="24"/>
        </w:rPr>
        <w:t xml:space="preserve">gear identification requirements for participants in the groundfish fisheries in the Exclusive Economic Zone </w:t>
      </w:r>
      <w:r w:rsidR="004D3F58">
        <w:rPr>
          <w:sz w:val="24"/>
          <w:szCs w:val="24"/>
        </w:rPr>
        <w:t xml:space="preserve">(EEZ) </w:t>
      </w:r>
      <w:r w:rsidRPr="00A65556">
        <w:rPr>
          <w:sz w:val="24"/>
          <w:szCs w:val="24"/>
        </w:rPr>
        <w:t>off Alaska</w:t>
      </w:r>
      <w:proofErr w:type="gramEnd"/>
      <w:r w:rsidRPr="00A65556">
        <w:rPr>
          <w:sz w:val="24"/>
          <w:szCs w:val="24"/>
        </w:rPr>
        <w:t>.</w:t>
      </w:r>
    </w:p>
    <w:p w:rsidR="005A08EC" w:rsidP="00F76E4A" w:rsidRDefault="005A08EC" w14:paraId="6D58F28C" w14:textId="77777777">
      <w:pPr>
        <w:widowControl/>
        <w:rPr>
          <w:sz w:val="24"/>
          <w:szCs w:val="24"/>
        </w:rPr>
      </w:pPr>
    </w:p>
    <w:p w:rsidRPr="00F76E4A" w:rsidR="00F76E4A" w:rsidP="00F76E4A" w:rsidRDefault="00F76E4A" w14:paraId="6C2EF40E" w14:textId="0FAABE6B">
      <w:pPr>
        <w:widowControl/>
        <w:rPr>
          <w:sz w:val="24"/>
          <w:szCs w:val="24"/>
        </w:rPr>
      </w:pPr>
      <w:r w:rsidRPr="00F76E4A">
        <w:rPr>
          <w:sz w:val="24"/>
          <w:szCs w:val="24"/>
        </w:rPr>
        <w:t>National Marine Fisheries Service (NMFS), Alaska Region</w:t>
      </w:r>
      <w:r w:rsidR="00B63EF7">
        <w:rPr>
          <w:sz w:val="24"/>
          <w:szCs w:val="24"/>
        </w:rPr>
        <w:t>,</w:t>
      </w:r>
      <w:r w:rsidRPr="00F76E4A">
        <w:rPr>
          <w:sz w:val="24"/>
          <w:szCs w:val="24"/>
        </w:rPr>
        <w:t xml:space="preserve"> manages the groundfish fisheries in the exclusive economic zone off the coast of Alaska, under the Fishery Management Plan for Groundfish of the Gulf of Alaska </w:t>
      </w:r>
      <w:r w:rsidR="00A9787A">
        <w:rPr>
          <w:sz w:val="24"/>
          <w:szCs w:val="24"/>
        </w:rPr>
        <w:t xml:space="preserve">(GOA) </w:t>
      </w:r>
      <w:r w:rsidRPr="00F76E4A">
        <w:rPr>
          <w:sz w:val="24"/>
          <w:szCs w:val="24"/>
        </w:rPr>
        <w:t xml:space="preserve">and the Fishery Management Plan for Groundfish of the Bering Sea and Aleutian Islands Management Area (FMPs). These FMPs </w:t>
      </w:r>
      <w:proofErr w:type="gramStart"/>
      <w:r w:rsidRPr="00F76E4A">
        <w:rPr>
          <w:sz w:val="24"/>
          <w:szCs w:val="24"/>
        </w:rPr>
        <w:t>are implemented</w:t>
      </w:r>
      <w:proofErr w:type="gramEnd"/>
      <w:r w:rsidRPr="00F76E4A">
        <w:rPr>
          <w:sz w:val="24"/>
          <w:szCs w:val="24"/>
        </w:rPr>
        <w:t xml:space="preserve"> by regulations at </w:t>
      </w:r>
      <w:hyperlink w:history="1" r:id="rId8">
        <w:r w:rsidRPr="00F76E4A">
          <w:rPr>
            <w:color w:val="336699"/>
            <w:sz w:val="24"/>
            <w:szCs w:val="24"/>
          </w:rPr>
          <w:t>50 CFR part 679</w:t>
        </w:r>
      </w:hyperlink>
      <w:r w:rsidRPr="00F76E4A">
        <w:rPr>
          <w:sz w:val="24"/>
          <w:szCs w:val="24"/>
        </w:rPr>
        <w:t xml:space="preserve">. </w:t>
      </w:r>
    </w:p>
    <w:p w:rsidRPr="00F76E4A" w:rsidR="00F76E4A" w:rsidP="00F76E4A" w:rsidRDefault="00F76E4A" w14:paraId="6055AB4E" w14:textId="77777777">
      <w:pPr>
        <w:widowControl/>
        <w:rPr>
          <w:sz w:val="24"/>
          <w:szCs w:val="24"/>
        </w:rPr>
      </w:pPr>
    </w:p>
    <w:p w:rsidRPr="00F76E4A" w:rsidR="00F76E4A" w:rsidP="00F76E4A" w:rsidRDefault="00F76E4A" w14:paraId="5199B0AB" w14:textId="0743928D">
      <w:pPr>
        <w:widowControl/>
        <w:rPr>
          <w:sz w:val="24"/>
          <w:szCs w:val="24"/>
        </w:rPr>
      </w:pPr>
      <w:r w:rsidRPr="00F76E4A">
        <w:rPr>
          <w:sz w:val="24"/>
          <w:szCs w:val="24"/>
        </w:rPr>
        <w:t>NMFS and the International Pacific Halibut Commission (IPHC) manage fishing for Pacific halibut (</w:t>
      </w:r>
      <w:proofErr w:type="spellStart"/>
      <w:r w:rsidRPr="00F76E4A">
        <w:rPr>
          <w:i/>
          <w:sz w:val="24"/>
          <w:szCs w:val="24"/>
        </w:rPr>
        <w:t>Hippoglossus</w:t>
      </w:r>
      <w:proofErr w:type="spellEnd"/>
      <w:r w:rsidRPr="00F76E4A">
        <w:rPr>
          <w:i/>
          <w:sz w:val="24"/>
          <w:szCs w:val="24"/>
        </w:rPr>
        <w:t xml:space="preserve"> </w:t>
      </w:r>
      <w:proofErr w:type="spellStart"/>
      <w:r w:rsidRPr="00F76E4A">
        <w:rPr>
          <w:i/>
          <w:sz w:val="24"/>
          <w:szCs w:val="24"/>
        </w:rPr>
        <w:t>stenolepis</w:t>
      </w:r>
      <w:proofErr w:type="spellEnd"/>
      <w:r w:rsidRPr="00F76E4A">
        <w:rPr>
          <w:sz w:val="24"/>
          <w:szCs w:val="24"/>
        </w:rPr>
        <w:t xml:space="preserve">) through regulations established under the authority of the </w:t>
      </w:r>
      <w:hyperlink w:history="1" r:id="rId9">
        <w:r w:rsidRPr="00F76E4A">
          <w:rPr>
            <w:color w:val="336699"/>
            <w:sz w:val="24"/>
            <w:szCs w:val="24"/>
          </w:rPr>
          <w:t>Northern Pacific Halibut Act of 1982</w:t>
        </w:r>
      </w:hyperlink>
      <w:r w:rsidRPr="00F76E4A">
        <w:rPr>
          <w:sz w:val="24"/>
          <w:szCs w:val="24"/>
        </w:rPr>
        <w:t xml:space="preserve"> (Halibut Act). The IPHC promulgates regulations governing the halibut fishery under the Convention between the United States and Canada for the Preservation of the Halibut Fishery of the Northern Pacific Ocean and Bering Sea</w:t>
      </w:r>
      <w:r w:rsidR="002E2DAA">
        <w:rPr>
          <w:sz w:val="24"/>
          <w:szCs w:val="24"/>
        </w:rPr>
        <w:t xml:space="preserve"> (Convention)</w:t>
      </w:r>
      <w:r w:rsidRPr="00F76E4A">
        <w:rPr>
          <w:sz w:val="24"/>
          <w:szCs w:val="24"/>
        </w:rPr>
        <w:t>.</w:t>
      </w:r>
    </w:p>
    <w:p w:rsidRPr="00F76E4A" w:rsidR="00F76E4A" w:rsidP="00F76E4A" w:rsidRDefault="00F76E4A" w14:paraId="101B6817" w14:textId="77777777">
      <w:pPr>
        <w:widowControl/>
        <w:rPr>
          <w:sz w:val="24"/>
          <w:szCs w:val="24"/>
        </w:rPr>
      </w:pPr>
    </w:p>
    <w:p w:rsidRPr="00F76E4A" w:rsidR="00F76E4A" w:rsidP="00F76E4A" w:rsidRDefault="00F76E4A" w14:paraId="0674F747" w14:textId="46804F06">
      <w:pPr>
        <w:widowControl/>
        <w:rPr>
          <w:sz w:val="24"/>
          <w:szCs w:val="24"/>
        </w:rPr>
      </w:pPr>
      <w:proofErr w:type="gramStart"/>
      <w:r w:rsidRPr="00F76E4A">
        <w:rPr>
          <w:sz w:val="24"/>
          <w:szCs w:val="24"/>
        </w:rPr>
        <w:t xml:space="preserve">The North Pacific Fisheries Management Council (Council), under the authority of the Halibut Act (with respect to Pacific halibut) and the </w:t>
      </w:r>
      <w:hyperlink w:history="1" r:id="rId10">
        <w:r w:rsidRPr="00F76E4A">
          <w:rPr>
            <w:color w:val="336699"/>
            <w:sz w:val="24"/>
            <w:szCs w:val="24"/>
          </w:rPr>
          <w:t>Magnuson-Stevens Act</w:t>
        </w:r>
      </w:hyperlink>
      <w:r w:rsidRPr="00F76E4A">
        <w:rPr>
          <w:sz w:val="24"/>
          <w:szCs w:val="24"/>
        </w:rPr>
        <w:t xml:space="preserve"> (with respect to sablefish), manages the fixed</w:t>
      </w:r>
      <w:r w:rsidR="00B63EF7">
        <w:rPr>
          <w:sz w:val="24"/>
          <w:szCs w:val="24"/>
        </w:rPr>
        <w:t>-</w:t>
      </w:r>
      <w:r w:rsidRPr="00F76E4A">
        <w:rPr>
          <w:sz w:val="24"/>
          <w:szCs w:val="24"/>
        </w:rPr>
        <w:t>gear Pacific halibut and sablefish Individual Fishing Quota Program (IFQ Program) and provides a limited access system for Pacific halibut in Convention waters in and off Alaska and sablefish (</w:t>
      </w:r>
      <w:proofErr w:type="spellStart"/>
      <w:r w:rsidRPr="00F76E4A">
        <w:rPr>
          <w:i/>
          <w:sz w:val="24"/>
          <w:szCs w:val="24"/>
        </w:rPr>
        <w:t>Anoplopoma</w:t>
      </w:r>
      <w:proofErr w:type="spellEnd"/>
      <w:r w:rsidRPr="00F76E4A">
        <w:rPr>
          <w:i/>
          <w:sz w:val="24"/>
          <w:szCs w:val="24"/>
        </w:rPr>
        <w:t xml:space="preserve"> fimbria</w:t>
      </w:r>
      <w:r w:rsidRPr="00F76E4A">
        <w:rPr>
          <w:sz w:val="24"/>
          <w:szCs w:val="24"/>
        </w:rPr>
        <w:t xml:space="preserve">) in waters of the </w:t>
      </w:r>
      <w:r w:rsidR="004D3F58">
        <w:rPr>
          <w:sz w:val="24"/>
          <w:szCs w:val="24"/>
        </w:rPr>
        <w:t>EEZ</w:t>
      </w:r>
      <w:r w:rsidRPr="00F76E4A">
        <w:rPr>
          <w:sz w:val="24"/>
          <w:szCs w:val="24"/>
        </w:rPr>
        <w:t xml:space="preserve"> off Alaska.</w:t>
      </w:r>
      <w:proofErr w:type="gramEnd"/>
      <w:r w:rsidRPr="00F76E4A">
        <w:rPr>
          <w:sz w:val="24"/>
          <w:szCs w:val="24"/>
        </w:rPr>
        <w:t xml:space="preserve"> Regulations implementing the IFQ Program are set forth at 50 CFR part 679. Sablefish </w:t>
      </w:r>
      <w:proofErr w:type="gramStart"/>
      <w:r w:rsidRPr="00F76E4A">
        <w:rPr>
          <w:sz w:val="24"/>
          <w:szCs w:val="24"/>
        </w:rPr>
        <w:t>is managed</w:t>
      </w:r>
      <w:proofErr w:type="gramEnd"/>
      <w:r w:rsidRPr="00F76E4A">
        <w:rPr>
          <w:sz w:val="24"/>
          <w:szCs w:val="24"/>
        </w:rPr>
        <w:t xml:space="preserve"> as a groundfish species under the FMP</w:t>
      </w:r>
      <w:r w:rsidR="004D3F58">
        <w:rPr>
          <w:sz w:val="24"/>
          <w:szCs w:val="24"/>
        </w:rPr>
        <w:t>s</w:t>
      </w:r>
      <w:r w:rsidRPr="00F76E4A">
        <w:rPr>
          <w:sz w:val="24"/>
          <w:szCs w:val="24"/>
        </w:rPr>
        <w:t xml:space="preserve">, as well as under the IFQ Program. Pacific halibut is not an FMP species.  </w:t>
      </w:r>
    </w:p>
    <w:p w:rsidR="00F76E4A" w:rsidP="00493868" w:rsidRDefault="00F76E4A" w14:paraId="746B28D6" w14:textId="447F503B">
      <w:pPr>
        <w:tabs>
          <w:tab w:val="left" w:pos="540"/>
        </w:tabs>
        <w:ind w:left="540" w:hanging="540"/>
        <w:rPr>
          <w:sz w:val="24"/>
          <w:szCs w:val="24"/>
        </w:rPr>
      </w:pPr>
    </w:p>
    <w:p w:rsidR="00F76E4A" w:rsidP="00493868" w:rsidRDefault="00F76E4A" w14:paraId="6335D042" w14:textId="77777777">
      <w:pPr>
        <w:tabs>
          <w:tab w:val="left" w:pos="540"/>
        </w:tabs>
        <w:ind w:left="540" w:hanging="540"/>
        <w:rPr>
          <w:sz w:val="24"/>
          <w:szCs w:val="24"/>
        </w:rPr>
      </w:pPr>
    </w:p>
    <w:p w:rsidR="004F26E9" w:rsidP="00493868" w:rsidRDefault="004F26E9" w14:paraId="28D4D270"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0799E483" w14:textId="77777777">
      <w:pPr>
        <w:tabs>
          <w:tab w:val="left" w:pos="540"/>
        </w:tabs>
        <w:ind w:left="540" w:hanging="540"/>
        <w:rPr>
          <w:sz w:val="24"/>
          <w:szCs w:val="24"/>
        </w:rPr>
      </w:pPr>
    </w:p>
    <w:p w:rsidR="004F26E9" w:rsidP="00493868" w:rsidRDefault="004F26E9" w14:paraId="35E0368E" w14:textId="77777777">
      <w:pPr>
        <w:tabs>
          <w:tab w:val="left" w:pos="540"/>
        </w:tabs>
        <w:ind w:left="540" w:hanging="540"/>
        <w:rPr>
          <w:sz w:val="24"/>
          <w:szCs w:val="24"/>
        </w:rPr>
        <w:sectPr w:rsidR="004F26E9" w:rsidSect="00493868">
          <w:footerReference w:type="default" r:id="rId11"/>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7599AB91"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14:paraId="2357CC8B" w14:textId="77777777">
      <w:pPr>
        <w:tabs>
          <w:tab w:val="left" w:pos="540"/>
        </w:tabs>
        <w:ind w:left="540"/>
        <w:rPr>
          <w:sz w:val="24"/>
          <w:szCs w:val="24"/>
        </w:rPr>
      </w:pPr>
      <w:r>
        <w:rPr>
          <w:b/>
          <w:bCs/>
          <w:sz w:val="24"/>
          <w:szCs w:val="24"/>
        </w:rPr>
        <w:t>Cite all applicable authorities for this information collection.</w:t>
      </w:r>
    </w:p>
    <w:p w:rsidR="00F130D3" w:rsidP="00F130D3" w:rsidRDefault="00F130D3" w14:paraId="3CD52647" w14:textId="77777777">
      <w:pPr>
        <w:autoSpaceDE/>
        <w:autoSpaceDN/>
        <w:adjustRightInd/>
        <w:rPr>
          <w:i/>
          <w:sz w:val="24"/>
        </w:rPr>
      </w:pPr>
    </w:p>
    <w:p w:rsidR="00E035D2" w:rsidP="00F130D3" w:rsidRDefault="00E035D2" w14:paraId="190E9434" w14:textId="77777777">
      <w:pPr>
        <w:autoSpaceDE/>
        <w:autoSpaceDN/>
        <w:adjustRightInd/>
        <w:rPr>
          <w:i/>
          <w:sz w:val="24"/>
        </w:rPr>
      </w:pPr>
      <w:r w:rsidRPr="00E035D2">
        <w:rPr>
          <w:i/>
          <w:sz w:val="24"/>
        </w:rPr>
        <w:t>Marker Buoys</w:t>
      </w:r>
    </w:p>
    <w:p w:rsidRPr="00E035D2" w:rsidR="00FD7378" w:rsidP="00F130D3" w:rsidRDefault="00FD7378" w14:paraId="30C49A4C" w14:textId="77777777">
      <w:pPr>
        <w:autoSpaceDE/>
        <w:autoSpaceDN/>
        <w:adjustRightInd/>
        <w:rPr>
          <w:i/>
          <w:sz w:val="24"/>
        </w:rPr>
      </w:pPr>
    </w:p>
    <w:p w:rsidR="005423F6" w:rsidP="00F130D3" w:rsidRDefault="00250927" w14:paraId="71F26E9E" w14:textId="220B00EA">
      <w:pPr>
        <w:widowControl/>
        <w:rPr>
          <w:sz w:val="24"/>
          <w:szCs w:val="24"/>
        </w:rPr>
      </w:pPr>
      <w:r w:rsidRPr="008A7E12">
        <w:rPr>
          <w:sz w:val="24"/>
          <w:szCs w:val="24"/>
        </w:rPr>
        <w:t xml:space="preserve">Regulations pertaining to vessel gear markings are set forth at 50 CFR part 679 and in the annual management measures </w:t>
      </w:r>
      <w:r w:rsidRPr="00A65556">
        <w:rPr>
          <w:sz w:val="24"/>
          <w:szCs w:val="24"/>
        </w:rPr>
        <w:t xml:space="preserve">published in the </w:t>
      </w:r>
      <w:r w:rsidRPr="007E5AC5">
        <w:rPr>
          <w:i/>
          <w:sz w:val="24"/>
          <w:szCs w:val="24"/>
        </w:rPr>
        <w:t>Federal Register</w:t>
      </w:r>
      <w:r w:rsidRPr="00A65556">
        <w:rPr>
          <w:sz w:val="24"/>
          <w:szCs w:val="24"/>
        </w:rPr>
        <w:t xml:space="preserve"> pursuant to 50 CFR</w:t>
      </w:r>
      <w:hyperlink w:history="1" r:id="rId12">
        <w:r w:rsidRPr="008A7E12">
          <w:rPr>
            <w:color w:val="336699"/>
            <w:sz w:val="24"/>
            <w:szCs w:val="24"/>
            <w:u w:val="single"/>
          </w:rPr>
          <w:t xml:space="preserve"> 300.62</w:t>
        </w:r>
      </w:hyperlink>
      <w:r w:rsidRPr="008A7E12">
        <w:rPr>
          <w:sz w:val="24"/>
          <w:szCs w:val="24"/>
        </w:rPr>
        <w:t>.</w:t>
      </w:r>
      <w:r w:rsidR="00471F2D">
        <w:rPr>
          <w:sz w:val="24"/>
          <w:szCs w:val="24"/>
        </w:rPr>
        <w:t xml:space="preserve"> </w:t>
      </w:r>
      <w:r w:rsidR="00442FD6">
        <w:rPr>
          <w:sz w:val="24"/>
          <w:szCs w:val="24"/>
        </w:rPr>
        <w:t>Section</w:t>
      </w:r>
      <w:r w:rsidRPr="00250FB8" w:rsidR="00F41AAA">
        <w:rPr>
          <w:sz w:val="24"/>
          <w:szCs w:val="24"/>
        </w:rPr>
        <w:t xml:space="preserve"> 679.24(a) </w:t>
      </w:r>
      <w:r w:rsidR="00442FD6">
        <w:rPr>
          <w:sz w:val="24"/>
          <w:szCs w:val="24"/>
        </w:rPr>
        <w:t>provides the identification information requirements for</w:t>
      </w:r>
      <w:r w:rsidRPr="00250FB8" w:rsidR="00F41AAA">
        <w:rPr>
          <w:sz w:val="24"/>
          <w:szCs w:val="24"/>
        </w:rPr>
        <w:t xml:space="preserve"> </w:t>
      </w:r>
      <w:r w:rsidR="00471F2D">
        <w:rPr>
          <w:sz w:val="24"/>
          <w:szCs w:val="24"/>
        </w:rPr>
        <w:t xml:space="preserve">marker </w:t>
      </w:r>
      <w:r w:rsidRPr="00250FB8" w:rsidR="00F41AAA">
        <w:rPr>
          <w:sz w:val="24"/>
          <w:szCs w:val="24"/>
        </w:rPr>
        <w:t>buoys carried on</w:t>
      </w:r>
      <w:r w:rsidR="00F41AAA">
        <w:rPr>
          <w:sz w:val="24"/>
          <w:szCs w:val="24"/>
        </w:rPr>
        <w:t xml:space="preserve"> </w:t>
      </w:r>
      <w:r w:rsidRPr="00250FB8" w:rsidR="00F41AAA">
        <w:rPr>
          <w:sz w:val="24"/>
          <w:szCs w:val="24"/>
        </w:rPr>
        <w:t xml:space="preserve">board or used by any vessel subject to 50 CFR part 679 that is using hook-and-line, longline pot, or pot-and-line gear.  </w:t>
      </w:r>
    </w:p>
    <w:p w:rsidR="00E035D2" w:rsidP="00F76E4A" w:rsidRDefault="00E035D2" w14:paraId="709E9A98" w14:textId="77777777">
      <w:pPr>
        <w:widowControl/>
        <w:rPr>
          <w:sz w:val="24"/>
          <w:szCs w:val="24"/>
        </w:rPr>
      </w:pPr>
    </w:p>
    <w:p w:rsidRPr="006C44EC" w:rsidR="006C44EC" w:rsidP="006C44EC" w:rsidRDefault="006C44EC" w14:paraId="5A3F2231" w14:textId="3D0A59A1">
      <w:pPr>
        <w:widowControl/>
        <w:rPr>
          <w:sz w:val="24"/>
          <w:szCs w:val="24"/>
        </w:rPr>
      </w:pPr>
      <w:r w:rsidRPr="006C44EC">
        <w:rPr>
          <w:sz w:val="24"/>
          <w:szCs w:val="24"/>
        </w:rPr>
        <w:lastRenderedPageBreak/>
        <w:t>In addition to Fe</w:t>
      </w:r>
      <w:r w:rsidR="003F5488">
        <w:rPr>
          <w:sz w:val="24"/>
          <w:szCs w:val="24"/>
        </w:rPr>
        <w:t>deral gear-marking requirements</w:t>
      </w:r>
      <w:r w:rsidRPr="006C44EC">
        <w:rPr>
          <w:sz w:val="24"/>
          <w:szCs w:val="24"/>
        </w:rPr>
        <w:t xml:space="preserve">, </w:t>
      </w:r>
      <w:r w:rsidR="00A9787A">
        <w:rPr>
          <w:sz w:val="24"/>
          <w:szCs w:val="24"/>
        </w:rPr>
        <w:t>Alaska Department of Fish &amp; Game (</w:t>
      </w:r>
      <w:r w:rsidRPr="006C44EC">
        <w:rPr>
          <w:sz w:val="24"/>
          <w:szCs w:val="24"/>
        </w:rPr>
        <w:t>ADF&amp;G</w:t>
      </w:r>
      <w:r w:rsidR="00A9787A">
        <w:rPr>
          <w:sz w:val="24"/>
          <w:szCs w:val="24"/>
        </w:rPr>
        <w:t>)</w:t>
      </w:r>
      <w:r w:rsidRPr="006C44EC">
        <w:rPr>
          <w:sz w:val="24"/>
          <w:szCs w:val="24"/>
        </w:rPr>
        <w:t xml:space="preserve"> regulations (5 AAC 28.050) require fishermen to mark crab and groundfish pots with the ADF&amp;G vessel registration number of the vessel operating the gear. Since many Pacific cod </w:t>
      </w:r>
      <w:proofErr w:type="gramStart"/>
      <w:r w:rsidRPr="006C44EC">
        <w:rPr>
          <w:sz w:val="24"/>
          <w:szCs w:val="24"/>
        </w:rPr>
        <w:t>fishermen</w:t>
      </w:r>
      <w:proofErr w:type="gramEnd"/>
      <w:r w:rsidRPr="006C44EC">
        <w:rPr>
          <w:sz w:val="24"/>
          <w:szCs w:val="24"/>
        </w:rPr>
        <w:t xml:space="preserve"> participate in State groundfish and crab fisheries, they already are complying with this requirement</w:t>
      </w:r>
      <w:r w:rsidR="00A9787A">
        <w:rPr>
          <w:sz w:val="24"/>
          <w:szCs w:val="24"/>
        </w:rPr>
        <w:t>.</w:t>
      </w:r>
    </w:p>
    <w:p w:rsidR="006C44EC" w:rsidP="00F76E4A" w:rsidRDefault="006C44EC" w14:paraId="541F66A5" w14:textId="77777777">
      <w:pPr>
        <w:widowControl/>
        <w:rPr>
          <w:sz w:val="24"/>
          <w:szCs w:val="24"/>
        </w:rPr>
      </w:pPr>
    </w:p>
    <w:p w:rsidR="003F5488" w:rsidP="00F76E4A" w:rsidRDefault="00F76E4A" w14:paraId="3074E8C0" w14:textId="33C22C68">
      <w:pPr>
        <w:widowControl/>
        <w:rPr>
          <w:sz w:val="24"/>
          <w:szCs w:val="24"/>
        </w:rPr>
      </w:pPr>
      <w:r w:rsidRPr="00F76E4A">
        <w:rPr>
          <w:sz w:val="24"/>
          <w:szCs w:val="24"/>
        </w:rPr>
        <w:t xml:space="preserve">Regulations that </w:t>
      </w:r>
      <w:r w:rsidR="00F41AAA">
        <w:rPr>
          <w:sz w:val="24"/>
          <w:szCs w:val="24"/>
        </w:rPr>
        <w:t>fishing</w:t>
      </w:r>
      <w:r w:rsidR="007C0CFC">
        <w:rPr>
          <w:sz w:val="24"/>
          <w:szCs w:val="24"/>
        </w:rPr>
        <w:t xml:space="preserve"> </w:t>
      </w:r>
      <w:r w:rsidR="00030E89">
        <w:rPr>
          <w:sz w:val="24"/>
          <w:szCs w:val="24"/>
        </w:rPr>
        <w:t>gear</w:t>
      </w:r>
      <w:r w:rsidRPr="00F76E4A">
        <w:rPr>
          <w:sz w:val="24"/>
          <w:szCs w:val="24"/>
        </w:rPr>
        <w:t xml:space="preserve"> be marked with identification information are essential to facilitate fisheries enforcement and actions concerning damage, loss, and civil proceedings. The ability to link fishing gear to the vessel owner or operator is crucial to enforcement of regulations.</w:t>
      </w:r>
      <w:r w:rsidR="001E5203">
        <w:rPr>
          <w:sz w:val="24"/>
          <w:szCs w:val="24"/>
        </w:rPr>
        <w:t xml:space="preserve"> B</w:t>
      </w:r>
      <w:r w:rsidRPr="003F5488" w:rsidR="003F5488">
        <w:rPr>
          <w:sz w:val="24"/>
          <w:szCs w:val="24"/>
        </w:rPr>
        <w:t>uoy</w:t>
      </w:r>
      <w:r w:rsidR="001E5203">
        <w:rPr>
          <w:sz w:val="24"/>
          <w:szCs w:val="24"/>
        </w:rPr>
        <w:t xml:space="preserve"> marking</w:t>
      </w:r>
      <w:r w:rsidRPr="003F5488" w:rsidR="003F5488">
        <w:rPr>
          <w:sz w:val="24"/>
          <w:szCs w:val="24"/>
        </w:rPr>
        <w:t xml:space="preserve"> reduces the costs to NMFS Office for Law Enforcement (NMFS OLE) and the United States Coast Guard (USCG) for enforcement efforts and allows </w:t>
      </w:r>
      <w:proofErr w:type="gramStart"/>
      <w:r w:rsidRPr="003F5488" w:rsidR="003F5488">
        <w:rPr>
          <w:sz w:val="24"/>
          <w:szCs w:val="24"/>
        </w:rPr>
        <w:t xml:space="preserve">for more effective enforcement of fishing gear </w:t>
      </w:r>
      <w:r w:rsidR="00B572E8">
        <w:rPr>
          <w:sz w:val="24"/>
          <w:szCs w:val="24"/>
        </w:rPr>
        <w:t>regulations</w:t>
      </w:r>
      <w:proofErr w:type="gramEnd"/>
      <w:r w:rsidRPr="003F5488" w:rsidR="003F5488">
        <w:rPr>
          <w:sz w:val="24"/>
          <w:szCs w:val="24"/>
        </w:rPr>
        <w:t>.</w:t>
      </w:r>
      <w:r w:rsidR="003F5488">
        <w:rPr>
          <w:sz w:val="24"/>
          <w:szCs w:val="24"/>
        </w:rPr>
        <w:t xml:space="preserve"> </w:t>
      </w:r>
    </w:p>
    <w:p w:rsidR="003F5488" w:rsidP="00F76E4A" w:rsidRDefault="003F5488" w14:paraId="62497F83" w14:textId="77777777">
      <w:pPr>
        <w:widowControl/>
        <w:rPr>
          <w:sz w:val="24"/>
          <w:szCs w:val="24"/>
        </w:rPr>
      </w:pPr>
    </w:p>
    <w:p w:rsidR="00280747" w:rsidP="00F76E4A" w:rsidRDefault="007C0CFC" w14:paraId="77615CD1" w14:textId="4B5C1603">
      <w:pPr>
        <w:widowControl/>
        <w:rPr>
          <w:sz w:val="24"/>
          <w:szCs w:val="24"/>
        </w:rPr>
      </w:pPr>
      <w:proofErr w:type="gramStart"/>
      <w:r>
        <w:rPr>
          <w:sz w:val="24"/>
          <w:szCs w:val="24"/>
        </w:rPr>
        <w:t>Fishermen</w:t>
      </w:r>
      <w:proofErr w:type="gramEnd"/>
      <w:r>
        <w:rPr>
          <w:sz w:val="24"/>
          <w:szCs w:val="24"/>
        </w:rPr>
        <w:t xml:space="preserve"> marking their gear correctly ultimately benefit as unauthorized and illegal fishing is deterred and more burdensome regulations are avoided.</w:t>
      </w:r>
      <w:r w:rsidRPr="00442FD6" w:rsidR="00442FD6">
        <w:rPr>
          <w:sz w:val="24"/>
          <w:szCs w:val="24"/>
        </w:rPr>
        <w:t xml:space="preserve"> </w:t>
      </w:r>
    </w:p>
    <w:p w:rsidR="00BE2443" w:rsidP="00F76E4A" w:rsidRDefault="00BE2443" w14:paraId="1C2F7EFB" w14:textId="77777777">
      <w:pPr>
        <w:widowControl/>
        <w:rPr>
          <w:i/>
          <w:sz w:val="24"/>
          <w:szCs w:val="24"/>
        </w:rPr>
      </w:pPr>
    </w:p>
    <w:p w:rsidR="00725ADA" w:rsidP="00F76E4A" w:rsidRDefault="00725ADA" w14:paraId="7D918FE4" w14:textId="6079926C">
      <w:pPr>
        <w:widowControl/>
        <w:rPr>
          <w:i/>
          <w:sz w:val="24"/>
          <w:szCs w:val="24"/>
        </w:rPr>
      </w:pPr>
      <w:r>
        <w:rPr>
          <w:i/>
          <w:sz w:val="24"/>
          <w:szCs w:val="24"/>
        </w:rPr>
        <w:t>L</w:t>
      </w:r>
      <w:r w:rsidRPr="00725ADA">
        <w:rPr>
          <w:i/>
          <w:sz w:val="24"/>
          <w:szCs w:val="24"/>
        </w:rPr>
        <w:t xml:space="preserve">ongline </w:t>
      </w:r>
      <w:r>
        <w:rPr>
          <w:i/>
          <w:sz w:val="24"/>
          <w:szCs w:val="24"/>
        </w:rPr>
        <w:t>Pot G</w:t>
      </w:r>
      <w:r w:rsidRPr="00725ADA">
        <w:rPr>
          <w:i/>
          <w:sz w:val="24"/>
          <w:szCs w:val="24"/>
        </w:rPr>
        <w:t xml:space="preserve">ear </w:t>
      </w:r>
      <w:r>
        <w:rPr>
          <w:i/>
          <w:sz w:val="24"/>
          <w:szCs w:val="24"/>
        </w:rPr>
        <w:t xml:space="preserve">used </w:t>
      </w:r>
      <w:r w:rsidRPr="00725ADA">
        <w:rPr>
          <w:i/>
          <w:sz w:val="24"/>
          <w:szCs w:val="24"/>
        </w:rPr>
        <w:t xml:space="preserve">to </w:t>
      </w:r>
      <w:r>
        <w:rPr>
          <w:i/>
          <w:sz w:val="24"/>
          <w:szCs w:val="24"/>
        </w:rPr>
        <w:t>F</w:t>
      </w:r>
      <w:r w:rsidRPr="00725ADA">
        <w:rPr>
          <w:i/>
          <w:sz w:val="24"/>
          <w:szCs w:val="24"/>
        </w:rPr>
        <w:t xml:space="preserve">ish for IFQ </w:t>
      </w:r>
      <w:r>
        <w:rPr>
          <w:i/>
          <w:sz w:val="24"/>
          <w:szCs w:val="24"/>
        </w:rPr>
        <w:t>S</w:t>
      </w:r>
      <w:r w:rsidRPr="00725ADA">
        <w:rPr>
          <w:i/>
          <w:sz w:val="24"/>
          <w:szCs w:val="24"/>
        </w:rPr>
        <w:t>ablefish in the GOA</w:t>
      </w:r>
    </w:p>
    <w:p w:rsidR="00734FA2" w:rsidP="0020448B" w:rsidRDefault="00734FA2" w14:paraId="4D76B186" w14:textId="77777777">
      <w:pPr>
        <w:rPr>
          <w:sz w:val="24"/>
          <w:szCs w:val="24"/>
        </w:rPr>
      </w:pPr>
    </w:p>
    <w:p w:rsidRPr="00424DB6" w:rsidR="004F561E" w:rsidP="00D5743F" w:rsidRDefault="00F13C4C" w14:paraId="16B2C2C4" w14:textId="08886D50">
      <w:pPr>
        <w:rPr>
          <w:sz w:val="24"/>
          <w:szCs w:val="24"/>
        </w:rPr>
      </w:pPr>
      <w:r>
        <w:rPr>
          <w:sz w:val="24"/>
          <w:szCs w:val="24"/>
        </w:rPr>
        <w:t>In 2017, NMFS implemented voluntary u</w:t>
      </w:r>
      <w:r w:rsidRPr="00424DB6" w:rsidR="008E620D">
        <w:rPr>
          <w:sz w:val="24"/>
          <w:szCs w:val="24"/>
        </w:rPr>
        <w:t>se of longline pot gear in the GOA sablefish IFQ</w:t>
      </w:r>
      <w:r w:rsidR="000574DE">
        <w:rPr>
          <w:sz w:val="24"/>
          <w:szCs w:val="24"/>
        </w:rPr>
        <w:t xml:space="preserve"> </w:t>
      </w:r>
      <w:r w:rsidRPr="000574DE" w:rsidR="000574DE">
        <w:rPr>
          <w:sz w:val="24"/>
          <w:szCs w:val="24"/>
        </w:rPr>
        <w:t>(82 FR 9501; February 7, 2017)</w:t>
      </w:r>
      <w:r w:rsidRPr="00424DB6" w:rsidR="008E620D">
        <w:rPr>
          <w:sz w:val="24"/>
          <w:szCs w:val="24"/>
        </w:rPr>
        <w:t xml:space="preserve">. </w:t>
      </w:r>
      <w:r w:rsidRPr="000574DE" w:rsidR="000574DE">
        <w:rPr>
          <w:sz w:val="24"/>
          <w:szCs w:val="24"/>
        </w:rPr>
        <w:t xml:space="preserve">This action </w:t>
      </w:r>
      <w:proofErr w:type="gramStart"/>
      <w:r w:rsidRPr="000574DE" w:rsidR="000574DE">
        <w:rPr>
          <w:sz w:val="24"/>
          <w:szCs w:val="24"/>
        </w:rPr>
        <w:t>was intended</w:t>
      </w:r>
      <w:proofErr w:type="gramEnd"/>
      <w:r w:rsidRPr="000574DE" w:rsidR="000574DE">
        <w:rPr>
          <w:sz w:val="24"/>
          <w:szCs w:val="24"/>
        </w:rPr>
        <w:t xml:space="preserve"> to improve efficiency and provide economic benefits for the sablefish IFQ fleet, and minimize potential fishery interactions with whales and seabirds</w:t>
      </w:r>
      <w:r w:rsidR="000574DE">
        <w:rPr>
          <w:sz w:val="24"/>
          <w:szCs w:val="24"/>
        </w:rPr>
        <w:t>.</w:t>
      </w:r>
      <w:r w:rsidRPr="000574DE" w:rsidR="000574DE">
        <w:rPr>
          <w:sz w:val="24"/>
          <w:szCs w:val="24"/>
        </w:rPr>
        <w:t xml:space="preserve"> </w:t>
      </w:r>
      <w:proofErr w:type="gramStart"/>
      <w:r w:rsidRPr="00424DB6" w:rsidR="004F561E">
        <w:rPr>
          <w:sz w:val="24"/>
          <w:szCs w:val="24"/>
        </w:rPr>
        <w:t>Fishermen</w:t>
      </w:r>
      <w:proofErr w:type="gramEnd"/>
      <w:r w:rsidRPr="00424DB6" w:rsidR="004F561E">
        <w:rPr>
          <w:sz w:val="24"/>
          <w:szCs w:val="24"/>
        </w:rPr>
        <w:t xml:space="preserve"> had proposed using longline pot gear to protect captured sablefish from whale depredation. Depredation negatively </w:t>
      </w:r>
      <w:proofErr w:type="gramStart"/>
      <w:r w:rsidRPr="00424DB6" w:rsidR="004F561E">
        <w:rPr>
          <w:sz w:val="24"/>
          <w:szCs w:val="24"/>
        </w:rPr>
        <w:t>impacts</w:t>
      </w:r>
      <w:proofErr w:type="gramEnd"/>
      <w:r w:rsidRPr="00424DB6" w:rsidR="004F561E">
        <w:rPr>
          <w:sz w:val="24"/>
          <w:szCs w:val="24"/>
        </w:rPr>
        <w:t xml:space="preserve"> the sablefish IFQ fleet through reduced catch rates and increased operating costs. </w:t>
      </w:r>
      <w:r w:rsidRPr="00424DB6" w:rsidR="00B5003E">
        <w:rPr>
          <w:sz w:val="24"/>
          <w:szCs w:val="24"/>
        </w:rPr>
        <w:t>Potential benefits of pot longline gear for sablefish fishing include mitigation of whale interaction with fishing gear, reduced mortality of seabirds, reduced bycatch of non-target fish species, reduced overall halibut mortality when targeting sablefish, and better accounting of total sablefish fishing mortality.</w:t>
      </w:r>
      <w:r w:rsidRPr="00F13C4C">
        <w:rPr>
          <w:sz w:val="24"/>
          <w:szCs w:val="24"/>
        </w:rPr>
        <w:t xml:space="preserve"> </w:t>
      </w:r>
      <w:proofErr w:type="gramStart"/>
      <w:r w:rsidRPr="00424DB6">
        <w:rPr>
          <w:sz w:val="24"/>
          <w:szCs w:val="24"/>
        </w:rPr>
        <w:t>Minimization of gear interaction with marine mammals and seabirds is required by the Marine Mammal Protection Act and the Endangered Species Act</w:t>
      </w:r>
      <w:proofErr w:type="gramEnd"/>
      <w:r w:rsidRPr="00424DB6">
        <w:rPr>
          <w:sz w:val="24"/>
          <w:szCs w:val="24"/>
        </w:rPr>
        <w:t>.</w:t>
      </w:r>
    </w:p>
    <w:p w:rsidRPr="00424DB6" w:rsidR="00B5003E" w:rsidP="000F1C70" w:rsidRDefault="00B5003E" w14:paraId="4A4D82B8" w14:textId="77777777">
      <w:pPr>
        <w:widowControl/>
        <w:rPr>
          <w:sz w:val="24"/>
          <w:szCs w:val="24"/>
        </w:rPr>
      </w:pPr>
    </w:p>
    <w:p w:rsidRPr="00424DB6" w:rsidR="000F1C70" w:rsidP="000F1C70" w:rsidRDefault="00734FA2" w14:paraId="33456B03" w14:textId="2998F498">
      <w:pPr>
        <w:widowControl/>
        <w:rPr>
          <w:sz w:val="24"/>
          <w:szCs w:val="24"/>
        </w:rPr>
      </w:pPr>
      <w:r w:rsidRPr="00424DB6">
        <w:rPr>
          <w:sz w:val="24"/>
          <w:szCs w:val="24"/>
        </w:rPr>
        <w:t>In addition to the instruments approved under this collection, f</w:t>
      </w:r>
      <w:r w:rsidRPr="00424DB6" w:rsidR="00C57F4B">
        <w:rPr>
          <w:sz w:val="24"/>
          <w:szCs w:val="24"/>
        </w:rPr>
        <w:t xml:space="preserve">ishermen who </w:t>
      </w:r>
      <w:r w:rsidRPr="00424DB6" w:rsidR="00E56F92">
        <w:rPr>
          <w:sz w:val="24"/>
          <w:szCs w:val="24"/>
        </w:rPr>
        <w:t>choose to</w:t>
      </w:r>
      <w:r w:rsidRPr="00424DB6" w:rsidR="00C57F4B">
        <w:rPr>
          <w:sz w:val="24"/>
          <w:szCs w:val="24"/>
        </w:rPr>
        <w:t xml:space="preserve"> use </w:t>
      </w:r>
      <w:r w:rsidRPr="00424DB6" w:rsidR="00E56F92">
        <w:rPr>
          <w:sz w:val="24"/>
          <w:szCs w:val="24"/>
        </w:rPr>
        <w:t xml:space="preserve">longline </w:t>
      </w:r>
      <w:r w:rsidRPr="00424DB6" w:rsidR="00C57F4B">
        <w:rPr>
          <w:sz w:val="24"/>
          <w:szCs w:val="24"/>
        </w:rPr>
        <w:t xml:space="preserve">pot gear </w:t>
      </w:r>
      <w:r w:rsidRPr="00424DB6">
        <w:rPr>
          <w:sz w:val="24"/>
          <w:szCs w:val="24"/>
        </w:rPr>
        <w:t>are required to use logbooks (see OMB Control No. 0648-0213)</w:t>
      </w:r>
      <w:r w:rsidR="008C7990">
        <w:rPr>
          <w:sz w:val="24"/>
          <w:szCs w:val="24"/>
        </w:rPr>
        <w:t>,</w:t>
      </w:r>
      <w:r w:rsidRPr="00424DB6">
        <w:rPr>
          <w:sz w:val="24"/>
          <w:szCs w:val="24"/>
        </w:rPr>
        <w:t xml:space="preserve"> </w:t>
      </w:r>
      <w:r w:rsidR="00E73A63">
        <w:rPr>
          <w:sz w:val="24"/>
          <w:szCs w:val="24"/>
        </w:rPr>
        <w:t xml:space="preserve">use </w:t>
      </w:r>
      <w:r w:rsidRPr="00424DB6">
        <w:rPr>
          <w:sz w:val="24"/>
          <w:szCs w:val="24"/>
        </w:rPr>
        <w:t>a Vessel Monitoring System (VMS) (see OMB Control No. 0648-0445), and must submit a Prior Notice of Landing (PNOL) (see OMB Control No. 0648-0272).</w:t>
      </w:r>
    </w:p>
    <w:p w:rsidRPr="00424DB6" w:rsidR="00D47222" w:rsidP="000F1C70" w:rsidRDefault="00D47222" w14:paraId="6EAFFCEF" w14:textId="77777777">
      <w:pPr>
        <w:widowControl/>
        <w:rPr>
          <w:sz w:val="24"/>
          <w:szCs w:val="24"/>
        </w:rPr>
      </w:pPr>
    </w:p>
    <w:p w:rsidRPr="00424DB6" w:rsidR="004C2B4D" w:rsidP="000F1C70" w:rsidRDefault="00734FA2" w14:paraId="367E7A9C" w14:textId="65B63370">
      <w:pPr>
        <w:widowControl/>
        <w:rPr>
          <w:sz w:val="24"/>
          <w:szCs w:val="24"/>
        </w:rPr>
      </w:pPr>
      <w:r w:rsidRPr="00424DB6">
        <w:rPr>
          <w:sz w:val="24"/>
          <w:szCs w:val="24"/>
        </w:rPr>
        <w:t xml:space="preserve">This information collection contains the following </w:t>
      </w:r>
      <w:r w:rsidR="00327824">
        <w:rPr>
          <w:sz w:val="24"/>
          <w:szCs w:val="24"/>
        </w:rPr>
        <w:t xml:space="preserve">gear marking </w:t>
      </w:r>
      <w:r w:rsidRPr="00424DB6">
        <w:rPr>
          <w:sz w:val="24"/>
          <w:szCs w:val="24"/>
        </w:rPr>
        <w:t xml:space="preserve">requirements for </w:t>
      </w:r>
      <w:r w:rsidRPr="00424DB6" w:rsidR="00D748AA">
        <w:rPr>
          <w:sz w:val="24"/>
          <w:szCs w:val="24"/>
        </w:rPr>
        <w:t>vessels</w:t>
      </w:r>
      <w:r w:rsidRPr="00424DB6">
        <w:rPr>
          <w:sz w:val="24"/>
          <w:szCs w:val="24"/>
        </w:rPr>
        <w:t xml:space="preserve"> using longline pot gear </w:t>
      </w:r>
      <w:r w:rsidRPr="00424DB6" w:rsidR="00D748AA">
        <w:rPr>
          <w:sz w:val="24"/>
          <w:szCs w:val="24"/>
        </w:rPr>
        <w:t>in the GOA sablefish IFQ fishery</w:t>
      </w:r>
      <w:r w:rsidRPr="00424DB6">
        <w:rPr>
          <w:sz w:val="24"/>
          <w:szCs w:val="24"/>
        </w:rPr>
        <w:t>.</w:t>
      </w:r>
    </w:p>
    <w:p w:rsidRPr="00424DB6" w:rsidR="00734FA2" w:rsidP="000F1C70" w:rsidRDefault="00734FA2" w14:paraId="0E95F744" w14:textId="77777777">
      <w:pPr>
        <w:widowControl/>
        <w:rPr>
          <w:sz w:val="24"/>
          <w:szCs w:val="24"/>
        </w:rPr>
      </w:pPr>
    </w:p>
    <w:p w:rsidR="00305820" w:rsidP="0020448B" w:rsidRDefault="00305820" w14:paraId="2FF57902" w14:textId="77777777">
      <w:pPr>
        <w:rPr>
          <w:sz w:val="24"/>
          <w:szCs w:val="24"/>
          <w:u w:val="single"/>
        </w:rPr>
      </w:pPr>
      <w:r w:rsidRPr="00424DB6">
        <w:rPr>
          <w:sz w:val="24"/>
          <w:szCs w:val="24"/>
          <w:u w:val="single"/>
        </w:rPr>
        <w:t>IFQ Sablefish Longline Pot Gear: Vessel Registration</w:t>
      </w:r>
      <w:r w:rsidRPr="00305820">
        <w:rPr>
          <w:sz w:val="24"/>
          <w:szCs w:val="24"/>
          <w:u w:val="single"/>
        </w:rPr>
        <w:t xml:space="preserve"> and Request for Pot Gear Tags</w:t>
      </w:r>
      <w:r w:rsidRPr="00305820" w:rsidDel="00734FA2">
        <w:rPr>
          <w:sz w:val="24"/>
          <w:szCs w:val="24"/>
          <w:u w:val="single"/>
        </w:rPr>
        <w:t xml:space="preserve"> </w:t>
      </w:r>
    </w:p>
    <w:p w:rsidR="00C57F4B" w:rsidP="0020448B" w:rsidRDefault="00C57F4B" w14:paraId="012DA170" w14:textId="7EFE4F3E">
      <w:pPr>
        <w:rPr>
          <w:sz w:val="24"/>
          <w:szCs w:val="24"/>
        </w:rPr>
      </w:pPr>
    </w:p>
    <w:p w:rsidRPr="00ED290D" w:rsidR="00306A39" w:rsidP="0020448B" w:rsidRDefault="00D50A66" w14:paraId="63083F2B" w14:textId="01074B98">
      <w:pPr>
        <w:rPr>
          <w:sz w:val="24"/>
          <w:szCs w:val="24"/>
        </w:rPr>
      </w:pPr>
      <w:r>
        <w:rPr>
          <w:sz w:val="24"/>
          <w:szCs w:val="24"/>
        </w:rPr>
        <w:t>Section</w:t>
      </w:r>
      <w:r w:rsidR="00C023EC">
        <w:rPr>
          <w:sz w:val="24"/>
          <w:szCs w:val="24"/>
        </w:rPr>
        <w:t xml:space="preserve"> 679.24(l) require</w:t>
      </w:r>
      <w:r>
        <w:rPr>
          <w:sz w:val="24"/>
          <w:szCs w:val="24"/>
        </w:rPr>
        <w:t>s</w:t>
      </w:r>
      <w:r w:rsidR="00C023EC">
        <w:rPr>
          <w:sz w:val="24"/>
          <w:szCs w:val="24"/>
        </w:rPr>
        <w:t xml:space="preserve"> a</w:t>
      </w:r>
      <w:r w:rsidRPr="00C023EC" w:rsidR="00C023EC">
        <w:rPr>
          <w:sz w:val="24"/>
          <w:szCs w:val="24"/>
        </w:rPr>
        <w:t xml:space="preserve"> vessel owner using longline pot gear to fish for IFQ sablefish in the GOA </w:t>
      </w:r>
      <w:r w:rsidR="00C023EC">
        <w:rPr>
          <w:sz w:val="24"/>
          <w:szCs w:val="24"/>
        </w:rPr>
        <w:t xml:space="preserve">to </w:t>
      </w:r>
      <w:r w:rsidRPr="00C023EC" w:rsidR="00C023EC">
        <w:rPr>
          <w:sz w:val="24"/>
          <w:szCs w:val="24"/>
        </w:rPr>
        <w:t xml:space="preserve">annually register their vessel with </w:t>
      </w:r>
      <w:proofErr w:type="gramStart"/>
      <w:r w:rsidRPr="00C023EC" w:rsidR="00C023EC">
        <w:rPr>
          <w:sz w:val="24"/>
          <w:szCs w:val="24"/>
        </w:rPr>
        <w:t>NMFS and be assigned</w:t>
      </w:r>
      <w:proofErr w:type="gramEnd"/>
      <w:r w:rsidRPr="00C023EC" w:rsidR="00C023EC">
        <w:rPr>
          <w:sz w:val="24"/>
          <w:szCs w:val="24"/>
        </w:rPr>
        <w:t xml:space="preserve"> </w:t>
      </w:r>
      <w:r w:rsidR="00C023EC">
        <w:rPr>
          <w:sz w:val="24"/>
          <w:szCs w:val="24"/>
        </w:rPr>
        <w:t xml:space="preserve">and use </w:t>
      </w:r>
      <w:r w:rsidRPr="00C023EC" w:rsidR="00C023EC">
        <w:rPr>
          <w:sz w:val="24"/>
          <w:szCs w:val="24"/>
        </w:rPr>
        <w:t xml:space="preserve">pot </w:t>
      </w:r>
      <w:r w:rsidRPr="003A18E3" w:rsidR="00C023EC">
        <w:rPr>
          <w:sz w:val="24"/>
          <w:szCs w:val="24"/>
        </w:rPr>
        <w:t>tags for that vessel.</w:t>
      </w:r>
      <w:r w:rsidRPr="003A18E3" w:rsidR="003255C7">
        <w:t xml:space="preserve"> </w:t>
      </w:r>
    </w:p>
    <w:p w:rsidR="00306A39" w:rsidP="0020448B" w:rsidRDefault="00306A39" w14:paraId="0C2C47CF" w14:textId="77777777">
      <w:pPr>
        <w:rPr>
          <w:sz w:val="24"/>
          <w:szCs w:val="24"/>
        </w:rPr>
      </w:pPr>
    </w:p>
    <w:p w:rsidRPr="002250CB" w:rsidR="00DE3DA0" w:rsidP="0020448B" w:rsidRDefault="003255C7" w14:paraId="00571C6D" w14:textId="261FAFA4">
      <w:pPr>
        <w:rPr>
          <w:sz w:val="24"/>
          <w:szCs w:val="24"/>
        </w:rPr>
      </w:pPr>
      <w:r>
        <w:rPr>
          <w:sz w:val="24"/>
          <w:szCs w:val="24"/>
        </w:rPr>
        <w:t>Vessel registration and t</w:t>
      </w:r>
      <w:r w:rsidRPr="003255C7">
        <w:rPr>
          <w:sz w:val="24"/>
          <w:szCs w:val="24"/>
        </w:rPr>
        <w:t xml:space="preserve">he use of pot tags </w:t>
      </w:r>
      <w:r>
        <w:rPr>
          <w:sz w:val="24"/>
          <w:szCs w:val="24"/>
        </w:rPr>
        <w:t>provide NMFS with</w:t>
      </w:r>
      <w:r w:rsidRPr="003255C7">
        <w:rPr>
          <w:sz w:val="24"/>
          <w:szCs w:val="24"/>
        </w:rPr>
        <w:t xml:space="preserve"> an additional enforcement tool to ensure that the pot limits </w:t>
      </w:r>
      <w:proofErr w:type="gramStart"/>
      <w:r w:rsidRPr="003255C7">
        <w:rPr>
          <w:sz w:val="24"/>
          <w:szCs w:val="24"/>
        </w:rPr>
        <w:t>are not exceeded</w:t>
      </w:r>
      <w:proofErr w:type="gramEnd"/>
      <w:r w:rsidRPr="003255C7">
        <w:rPr>
          <w:sz w:val="24"/>
          <w:szCs w:val="24"/>
        </w:rPr>
        <w:t>.</w:t>
      </w:r>
      <w:r w:rsidRPr="002250CB" w:rsidR="00DE3DA0">
        <w:rPr>
          <w:sz w:val="24"/>
          <w:szCs w:val="24"/>
        </w:rPr>
        <w:t xml:space="preserve">  When the number of pots deployed by a vessel </w:t>
      </w:r>
      <w:proofErr w:type="gramStart"/>
      <w:r w:rsidRPr="002250CB" w:rsidR="00DE3DA0">
        <w:rPr>
          <w:sz w:val="24"/>
          <w:szCs w:val="24"/>
        </w:rPr>
        <w:t xml:space="preserve">is </w:t>
      </w:r>
      <w:r w:rsidRPr="002250CB" w:rsidR="00DE3DA0">
        <w:rPr>
          <w:sz w:val="24"/>
          <w:szCs w:val="24"/>
        </w:rPr>
        <w:lastRenderedPageBreak/>
        <w:t>self-reported</w:t>
      </w:r>
      <w:proofErr w:type="gramEnd"/>
      <w:r w:rsidRPr="002250CB" w:rsidR="00DE3DA0">
        <w:rPr>
          <w:sz w:val="24"/>
          <w:szCs w:val="24"/>
        </w:rPr>
        <w:t xml:space="preserve"> through logbooks, the use of pot tags provides an additional enforcement tool to ensure that the pot limits are not exceeded. The use of pot tags requires a uniquely identified tag to </w:t>
      </w:r>
      <w:proofErr w:type="gramStart"/>
      <w:r w:rsidRPr="002250CB" w:rsidR="00DE3DA0">
        <w:rPr>
          <w:sz w:val="24"/>
          <w:szCs w:val="24"/>
        </w:rPr>
        <w:t>be securely affixed</w:t>
      </w:r>
      <w:proofErr w:type="gramEnd"/>
      <w:r w:rsidRPr="002250CB" w:rsidR="00DE3DA0">
        <w:rPr>
          <w:sz w:val="24"/>
          <w:szCs w:val="24"/>
        </w:rPr>
        <w:t xml:space="preserve"> to each pot</w:t>
      </w:r>
      <w:r w:rsidR="00ED290D">
        <w:rPr>
          <w:sz w:val="24"/>
          <w:szCs w:val="24"/>
        </w:rPr>
        <w:t>, which</w:t>
      </w:r>
      <w:r w:rsidRPr="002250CB" w:rsidR="00DE3DA0">
        <w:rPr>
          <w:sz w:val="24"/>
          <w:szCs w:val="24"/>
        </w:rPr>
        <w:t xml:space="preserve"> allows at-sea enforcement and post-trip verification of the number of pots fished.</w:t>
      </w:r>
    </w:p>
    <w:p w:rsidRPr="002250CB" w:rsidR="00DE3DA0" w:rsidP="0020448B" w:rsidRDefault="00DE3DA0" w14:paraId="0DFA79F8" w14:textId="77777777">
      <w:pPr>
        <w:rPr>
          <w:sz w:val="24"/>
          <w:szCs w:val="24"/>
        </w:rPr>
      </w:pPr>
    </w:p>
    <w:p w:rsidR="00D054DA" w:rsidP="00B7613F" w:rsidRDefault="00D054DA" w14:paraId="04EBCEF0" w14:textId="77777777">
      <w:pPr>
        <w:widowControl/>
        <w:rPr>
          <w:sz w:val="24"/>
          <w:szCs w:val="24"/>
          <w:u w:val="single"/>
        </w:rPr>
      </w:pPr>
      <w:r w:rsidRPr="00D054DA">
        <w:rPr>
          <w:sz w:val="24"/>
          <w:szCs w:val="24"/>
          <w:u w:val="single"/>
        </w:rPr>
        <w:t xml:space="preserve">IFQ Sablefish Request for Replacement of Longline Pot Gear Tags </w:t>
      </w:r>
    </w:p>
    <w:p w:rsidR="00D054DA" w:rsidP="00B7613F" w:rsidRDefault="00D054DA" w14:paraId="6618A9A2" w14:textId="77777777">
      <w:pPr>
        <w:widowControl/>
        <w:rPr>
          <w:sz w:val="24"/>
          <w:szCs w:val="24"/>
          <w:highlight w:val="lightGray"/>
        </w:rPr>
      </w:pPr>
    </w:p>
    <w:p w:rsidR="00982518" w:rsidP="00B7613F" w:rsidRDefault="00D50A66" w14:paraId="3A58AB59" w14:textId="3D2B2657">
      <w:pPr>
        <w:widowControl/>
        <w:rPr>
          <w:sz w:val="24"/>
          <w:szCs w:val="24"/>
        </w:rPr>
      </w:pPr>
      <w:r>
        <w:rPr>
          <w:sz w:val="24"/>
          <w:szCs w:val="24"/>
        </w:rPr>
        <w:t>Section</w:t>
      </w:r>
      <w:r w:rsidR="003E2C1C">
        <w:rPr>
          <w:sz w:val="24"/>
          <w:szCs w:val="24"/>
        </w:rPr>
        <w:t xml:space="preserve"> 679.24(l) require</w:t>
      </w:r>
      <w:r>
        <w:rPr>
          <w:sz w:val="24"/>
          <w:szCs w:val="24"/>
        </w:rPr>
        <w:t>s</w:t>
      </w:r>
      <w:r w:rsidR="003E2C1C">
        <w:rPr>
          <w:sz w:val="24"/>
          <w:szCs w:val="24"/>
        </w:rPr>
        <w:t xml:space="preserve"> a</w:t>
      </w:r>
      <w:r w:rsidR="00D054DA">
        <w:rPr>
          <w:sz w:val="24"/>
          <w:szCs w:val="24"/>
        </w:rPr>
        <w:t xml:space="preserve"> vessel owner wishing to replace lost, stolen, or mutilated pot tag</w:t>
      </w:r>
      <w:r w:rsidR="003E2C1C">
        <w:rPr>
          <w:sz w:val="24"/>
          <w:szCs w:val="24"/>
        </w:rPr>
        <w:t>s</w:t>
      </w:r>
      <w:r w:rsidR="00D054DA">
        <w:rPr>
          <w:sz w:val="24"/>
          <w:szCs w:val="24"/>
        </w:rPr>
        <w:t xml:space="preserve"> </w:t>
      </w:r>
      <w:r w:rsidR="003E2C1C">
        <w:rPr>
          <w:sz w:val="24"/>
          <w:szCs w:val="24"/>
        </w:rPr>
        <w:t>to</w:t>
      </w:r>
      <w:r w:rsidR="00D054DA">
        <w:rPr>
          <w:sz w:val="24"/>
          <w:szCs w:val="24"/>
        </w:rPr>
        <w:t xml:space="preserve"> submit a complete </w:t>
      </w:r>
      <w:r w:rsidRPr="00D054DA" w:rsidR="00D054DA">
        <w:rPr>
          <w:sz w:val="24"/>
          <w:szCs w:val="24"/>
        </w:rPr>
        <w:t>IFQ Sablefish Request for Replacement of Longline Pot Gear Tags</w:t>
      </w:r>
      <w:r w:rsidR="003E2C1C">
        <w:rPr>
          <w:sz w:val="24"/>
          <w:szCs w:val="24"/>
        </w:rPr>
        <w:t xml:space="preserve"> form to NMFS. </w:t>
      </w:r>
      <w:r w:rsidRPr="00D054DA" w:rsidR="00D054DA">
        <w:rPr>
          <w:sz w:val="24"/>
          <w:szCs w:val="24"/>
        </w:rPr>
        <w:t xml:space="preserve"> </w:t>
      </w:r>
    </w:p>
    <w:p w:rsidR="003E2C1C" w:rsidP="00B7613F" w:rsidRDefault="003E2C1C" w14:paraId="254391BF" w14:textId="77777777">
      <w:pPr>
        <w:widowControl/>
        <w:rPr>
          <w:sz w:val="24"/>
          <w:szCs w:val="24"/>
          <w:highlight w:val="lightGray"/>
        </w:rPr>
      </w:pPr>
    </w:p>
    <w:p w:rsidR="00B7613F" w:rsidP="00B7613F" w:rsidRDefault="00A25415" w14:paraId="60768E8E" w14:textId="0B936190">
      <w:pPr>
        <w:widowControl/>
        <w:rPr>
          <w:sz w:val="24"/>
          <w:szCs w:val="24"/>
        </w:rPr>
      </w:pPr>
      <w:r>
        <w:rPr>
          <w:sz w:val="24"/>
          <w:szCs w:val="24"/>
        </w:rPr>
        <w:t>Collecting t</w:t>
      </w:r>
      <w:r w:rsidR="00ED290D">
        <w:rPr>
          <w:sz w:val="24"/>
          <w:szCs w:val="24"/>
        </w:rPr>
        <w:t>his information</w:t>
      </w:r>
      <w:r w:rsidRPr="003E2C1C" w:rsidR="00ED290D">
        <w:rPr>
          <w:sz w:val="24"/>
          <w:szCs w:val="24"/>
        </w:rPr>
        <w:t xml:space="preserve"> </w:t>
      </w:r>
      <w:r w:rsidR="00D50A66">
        <w:rPr>
          <w:sz w:val="24"/>
          <w:szCs w:val="24"/>
        </w:rPr>
        <w:t xml:space="preserve">is necessary to enforce </w:t>
      </w:r>
      <w:r w:rsidRPr="003E2C1C" w:rsidR="00D50A66">
        <w:rPr>
          <w:sz w:val="24"/>
          <w:szCs w:val="24"/>
        </w:rPr>
        <w:t>pot limit</w:t>
      </w:r>
      <w:r w:rsidR="00D50A66">
        <w:rPr>
          <w:sz w:val="24"/>
          <w:szCs w:val="24"/>
        </w:rPr>
        <w:t xml:space="preserve">s and </w:t>
      </w:r>
      <w:r w:rsidR="000F5084">
        <w:rPr>
          <w:sz w:val="24"/>
          <w:szCs w:val="24"/>
        </w:rPr>
        <w:t xml:space="preserve">improve </w:t>
      </w:r>
      <w:r w:rsidRPr="003E2C1C" w:rsidR="00B7613F">
        <w:rPr>
          <w:sz w:val="24"/>
          <w:szCs w:val="24"/>
        </w:rPr>
        <w:t xml:space="preserve">tracking </w:t>
      </w:r>
      <w:r w:rsidR="00D50A66">
        <w:rPr>
          <w:sz w:val="24"/>
          <w:szCs w:val="24"/>
        </w:rPr>
        <w:t xml:space="preserve">of </w:t>
      </w:r>
      <w:r w:rsidRPr="003E2C1C" w:rsidR="00B7613F">
        <w:rPr>
          <w:sz w:val="24"/>
          <w:szCs w:val="24"/>
        </w:rPr>
        <w:t xml:space="preserve">lost fishing gear. Issuing replacement tags requires some level of trust that the tag was actually lost, but in the </w:t>
      </w:r>
      <w:proofErr w:type="gramStart"/>
      <w:r w:rsidRPr="003E2C1C" w:rsidR="00B7613F">
        <w:rPr>
          <w:sz w:val="24"/>
          <w:szCs w:val="24"/>
        </w:rPr>
        <w:t>long run</w:t>
      </w:r>
      <w:proofErr w:type="gramEnd"/>
      <w:r w:rsidRPr="003E2C1C" w:rsidR="00B7613F">
        <w:rPr>
          <w:sz w:val="24"/>
          <w:szCs w:val="24"/>
        </w:rPr>
        <w:t xml:space="preserve"> an individual who was using more tagged pots than the limit allows would be detected during a dockside inspection. ADF&amp;G managers </w:t>
      </w:r>
      <w:r w:rsidR="00DF11DC">
        <w:rPr>
          <w:sz w:val="24"/>
          <w:szCs w:val="24"/>
        </w:rPr>
        <w:t xml:space="preserve">have </w:t>
      </w:r>
      <w:r w:rsidRPr="003E2C1C" w:rsidR="00B7613F">
        <w:rPr>
          <w:sz w:val="24"/>
          <w:szCs w:val="24"/>
        </w:rPr>
        <w:t xml:space="preserve">noted that some </w:t>
      </w:r>
      <w:proofErr w:type="gramStart"/>
      <w:r w:rsidRPr="003E2C1C" w:rsidR="00B7613F">
        <w:rPr>
          <w:sz w:val="24"/>
          <w:szCs w:val="24"/>
        </w:rPr>
        <w:t>fishermen</w:t>
      </w:r>
      <w:proofErr w:type="gramEnd"/>
      <w:r w:rsidRPr="003E2C1C" w:rsidR="00B7613F">
        <w:rPr>
          <w:sz w:val="24"/>
          <w:szCs w:val="24"/>
        </w:rPr>
        <w:t xml:space="preserve"> do not bother to seek a replacement tag, instead fishing with one less pot. Issuing pot tags on a multi-year basis increase</w:t>
      </w:r>
      <w:r w:rsidR="00630622">
        <w:rPr>
          <w:sz w:val="24"/>
          <w:szCs w:val="24"/>
        </w:rPr>
        <w:t>s</w:t>
      </w:r>
      <w:r w:rsidRPr="003E2C1C" w:rsidR="00B7613F">
        <w:rPr>
          <w:sz w:val="24"/>
          <w:szCs w:val="24"/>
        </w:rPr>
        <w:t xml:space="preserve"> the disadvantage of fishing less gear, thus increasing the incentive to seek replacements</w:t>
      </w:r>
      <w:r w:rsidR="00D50A66">
        <w:rPr>
          <w:sz w:val="24"/>
          <w:szCs w:val="24"/>
        </w:rPr>
        <w:t>,</w:t>
      </w:r>
      <w:r w:rsidRPr="003E2C1C" w:rsidR="00B7613F">
        <w:rPr>
          <w:sz w:val="24"/>
          <w:szCs w:val="24"/>
        </w:rPr>
        <w:t xml:space="preserve"> </w:t>
      </w:r>
      <w:proofErr w:type="gramStart"/>
      <w:r w:rsidRPr="003E2C1C" w:rsidR="00B7613F">
        <w:rPr>
          <w:sz w:val="24"/>
          <w:szCs w:val="24"/>
        </w:rPr>
        <w:t>and also</w:t>
      </w:r>
      <w:proofErr w:type="gramEnd"/>
      <w:r w:rsidRPr="003E2C1C" w:rsidR="00B7613F">
        <w:rPr>
          <w:sz w:val="24"/>
          <w:szCs w:val="24"/>
        </w:rPr>
        <w:t xml:space="preserve"> improving </w:t>
      </w:r>
      <w:r w:rsidR="00D50A66">
        <w:rPr>
          <w:sz w:val="24"/>
          <w:szCs w:val="24"/>
        </w:rPr>
        <w:t>NMFS’</w:t>
      </w:r>
      <w:r w:rsidRPr="003E2C1C" w:rsidR="00D50A66">
        <w:rPr>
          <w:sz w:val="24"/>
          <w:szCs w:val="24"/>
        </w:rPr>
        <w:t xml:space="preserve"> </w:t>
      </w:r>
      <w:r w:rsidRPr="003E2C1C" w:rsidR="00B7613F">
        <w:rPr>
          <w:sz w:val="24"/>
          <w:szCs w:val="24"/>
        </w:rPr>
        <w:t>information about the location of lost gear.</w:t>
      </w:r>
    </w:p>
    <w:p w:rsidRPr="003E2C1C" w:rsidR="00982518" w:rsidP="00B7613F" w:rsidRDefault="00982518" w14:paraId="68D2B43F" w14:textId="77777777">
      <w:pPr>
        <w:widowControl/>
        <w:rPr>
          <w:sz w:val="24"/>
          <w:szCs w:val="24"/>
        </w:rPr>
      </w:pPr>
    </w:p>
    <w:p w:rsidRPr="00725ADA" w:rsidR="005E7AC0" w:rsidP="0020448B" w:rsidRDefault="00C57F4B" w14:paraId="3AED864E" w14:textId="0A8C6DA0">
      <w:pPr>
        <w:rPr>
          <w:sz w:val="24"/>
          <w:szCs w:val="24"/>
          <w:u w:val="single"/>
        </w:rPr>
      </w:pPr>
      <w:r w:rsidRPr="00725ADA">
        <w:rPr>
          <w:sz w:val="24"/>
          <w:szCs w:val="24"/>
          <w:u w:val="single"/>
        </w:rPr>
        <w:t>Marking of Longline Pot Gear</w:t>
      </w:r>
    </w:p>
    <w:p w:rsidR="0002376F" w:rsidP="0020448B" w:rsidRDefault="0002376F" w14:paraId="76182661" w14:textId="77777777">
      <w:pPr>
        <w:rPr>
          <w:sz w:val="24"/>
          <w:szCs w:val="24"/>
        </w:rPr>
      </w:pPr>
    </w:p>
    <w:p w:rsidR="0002376F" w:rsidP="00F5058C" w:rsidRDefault="001E5203" w14:paraId="43682BDC" w14:textId="68A00591">
      <w:pPr>
        <w:rPr>
          <w:sz w:val="24"/>
          <w:szCs w:val="24"/>
        </w:rPr>
      </w:pPr>
      <w:r>
        <w:rPr>
          <w:sz w:val="24"/>
          <w:szCs w:val="24"/>
        </w:rPr>
        <w:t>Section</w:t>
      </w:r>
      <w:r w:rsidR="008B3F8D">
        <w:rPr>
          <w:sz w:val="24"/>
          <w:szCs w:val="24"/>
        </w:rPr>
        <w:t xml:space="preserve"> 679.24(a)</w:t>
      </w:r>
      <w:r w:rsidR="00AD7616">
        <w:rPr>
          <w:sz w:val="24"/>
          <w:szCs w:val="24"/>
        </w:rPr>
        <w:t xml:space="preserve"> provides the requirements for marking </w:t>
      </w:r>
      <w:r w:rsidR="00F25A25">
        <w:rPr>
          <w:sz w:val="24"/>
          <w:szCs w:val="24"/>
        </w:rPr>
        <w:t>longline pot gear used to fish for IFQ sablefish in the GOA.</w:t>
      </w:r>
      <w:r w:rsidR="002E7B25">
        <w:rPr>
          <w:sz w:val="24"/>
          <w:szCs w:val="24"/>
        </w:rPr>
        <w:t xml:space="preserve"> </w:t>
      </w:r>
      <w:r w:rsidR="00020E8A">
        <w:rPr>
          <w:sz w:val="24"/>
          <w:szCs w:val="24"/>
        </w:rPr>
        <w:t>Vessel identification information is necessary for reasons state</w:t>
      </w:r>
      <w:r w:rsidR="00617FD3">
        <w:rPr>
          <w:sz w:val="24"/>
          <w:szCs w:val="24"/>
        </w:rPr>
        <w:t xml:space="preserve">d </w:t>
      </w:r>
      <w:r w:rsidR="009272A2">
        <w:rPr>
          <w:sz w:val="24"/>
          <w:szCs w:val="24"/>
        </w:rPr>
        <w:t xml:space="preserve">above </w:t>
      </w:r>
      <w:r w:rsidR="00617FD3">
        <w:rPr>
          <w:sz w:val="24"/>
          <w:szCs w:val="24"/>
        </w:rPr>
        <w:t>under the subheading Marker Buoys.</w:t>
      </w:r>
      <w:r w:rsidR="00020E8A">
        <w:rPr>
          <w:sz w:val="24"/>
          <w:szCs w:val="24"/>
        </w:rPr>
        <w:t xml:space="preserve"> </w:t>
      </w:r>
    </w:p>
    <w:p w:rsidRPr="00280747" w:rsidR="0002376F" w:rsidP="0020448B" w:rsidRDefault="0002376F" w14:paraId="799D51B4" w14:textId="77777777">
      <w:pPr>
        <w:rPr>
          <w:sz w:val="24"/>
          <w:szCs w:val="24"/>
        </w:rPr>
      </w:pPr>
    </w:p>
    <w:p w:rsidR="00493868" w:rsidP="00493868" w:rsidRDefault="00493868" w14:paraId="7FCD46E8" w14:textId="4EB4B8C1">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 xml:space="preserve">e the information </w:t>
      </w:r>
      <w:proofErr w:type="gramStart"/>
      <w:r w:rsidR="00F413AC">
        <w:rPr>
          <w:b/>
          <w:bCs/>
          <w:sz w:val="24"/>
          <w:szCs w:val="24"/>
        </w:rPr>
        <w:t>will be used</w:t>
      </w:r>
      <w:proofErr w:type="gramEnd"/>
      <w:r w:rsidR="00F413AC">
        <w:rPr>
          <w:b/>
          <w:bCs/>
          <w:sz w:val="24"/>
          <w:szCs w:val="24"/>
        </w:rPr>
        <w:t>.</w:t>
      </w:r>
    </w:p>
    <w:p w:rsidR="004F26E9" w:rsidP="00493868" w:rsidRDefault="00493868" w14:paraId="0126387B" w14:textId="2BDFB0BF">
      <w:pPr>
        <w:tabs>
          <w:tab w:val="left" w:pos="540"/>
        </w:tabs>
        <w:ind w:left="540" w:hanging="540"/>
        <w:rPr>
          <w:sz w:val="24"/>
          <w:szCs w:val="24"/>
        </w:rPr>
      </w:pP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 xml:space="preserve">If the information collected will be disseminated to the public or used to support information that </w:t>
      </w:r>
      <w:proofErr w:type="gramStart"/>
      <w:r w:rsidRPr="000A0540" w:rsidR="004F26E9">
        <w:rPr>
          <w:b/>
          <w:bCs/>
          <w:sz w:val="24"/>
          <w:szCs w:val="24"/>
        </w:rPr>
        <w:t>will be disseminated</w:t>
      </w:r>
      <w:proofErr w:type="gramEnd"/>
      <w:r w:rsidRPr="000A0540" w:rsidR="004F26E9">
        <w:rPr>
          <w:b/>
          <w:bCs/>
          <w:sz w:val="24"/>
          <w:szCs w:val="24"/>
        </w:rPr>
        <w:t xml:space="preserve"> to the public, then explain how the collection complies with all applicable Information Quality Guidelines.</w:t>
      </w:r>
      <w:r w:rsidR="004F26E9">
        <w:rPr>
          <w:b/>
          <w:bCs/>
          <w:sz w:val="24"/>
          <w:szCs w:val="24"/>
        </w:rPr>
        <w:t xml:space="preserve"> </w:t>
      </w:r>
    </w:p>
    <w:p w:rsidRPr="00107F34" w:rsidR="00107F34" w:rsidP="00107F34" w:rsidRDefault="00107F34" w14:paraId="7C9FB35B" w14:textId="4A8F98D2">
      <w:pPr>
        <w:spacing w:after="240"/>
        <w:rPr>
          <w:sz w:val="24"/>
          <w:szCs w:val="24"/>
        </w:rPr>
      </w:pPr>
    </w:p>
    <w:tbl>
      <w:tblPr>
        <w:tblW w:w="9456" w:type="dxa"/>
        <w:tblLayout w:type="fixed"/>
        <w:tblCellMar>
          <w:left w:w="0" w:type="dxa"/>
          <w:right w:w="0" w:type="dxa"/>
        </w:tblCellMar>
        <w:tblLook w:val="01E0" w:firstRow="1" w:lastRow="1" w:firstColumn="1" w:lastColumn="1" w:noHBand="0" w:noVBand="0"/>
      </w:tblPr>
      <w:tblGrid>
        <w:gridCol w:w="3246"/>
        <w:gridCol w:w="1980"/>
        <w:gridCol w:w="2160"/>
        <w:gridCol w:w="2070"/>
      </w:tblGrid>
      <w:tr w:rsidRPr="002C6363" w:rsidR="00107F34" w:rsidTr="00A9787A" w14:paraId="0404FB08" w14:textId="77777777">
        <w:trPr>
          <w:trHeight w:val="1029" w:hRule="exact"/>
        </w:trPr>
        <w:tc>
          <w:tcPr>
            <w:tcW w:w="3246" w:type="dxa"/>
            <w:tcBorders>
              <w:top w:val="single" w:color="000000" w:sz="5" w:space="0"/>
              <w:left w:val="single" w:color="000000" w:sz="5" w:space="0"/>
              <w:bottom w:val="single" w:color="000000" w:sz="5" w:space="0"/>
              <w:right w:val="single" w:color="000000" w:sz="5" w:space="0"/>
            </w:tcBorders>
            <w:shd w:val="clear" w:color="auto" w:fill="DBE5F1"/>
            <w:vAlign w:val="center"/>
          </w:tcPr>
          <w:p w:rsidRPr="002C6363" w:rsidR="00107F34" w:rsidP="00107F34" w:rsidRDefault="00107F34" w14:paraId="15B09DA3" w14:textId="77777777">
            <w:pPr>
              <w:autoSpaceDE/>
              <w:autoSpaceDN/>
              <w:adjustRightInd/>
              <w:jc w:val="center"/>
              <w:rPr>
                <w:rFonts w:ascii="Calibri" w:hAnsi="Calibri"/>
              </w:rPr>
            </w:pPr>
            <w:r w:rsidRPr="002C6363">
              <w:rPr>
                <w:rFonts w:ascii="Calibri" w:hAnsi="Calibri" w:eastAsia="Calibri"/>
                <w:b/>
              </w:rPr>
              <w:t>Component</w:t>
            </w:r>
          </w:p>
        </w:tc>
        <w:tc>
          <w:tcPr>
            <w:tcW w:w="1980" w:type="dxa"/>
            <w:tcBorders>
              <w:top w:val="single" w:color="000000" w:sz="5" w:space="0"/>
              <w:left w:val="single" w:color="000000" w:sz="5" w:space="0"/>
              <w:bottom w:val="single" w:color="000000" w:sz="5" w:space="0"/>
              <w:right w:val="single" w:color="000000" w:sz="5" w:space="0"/>
            </w:tcBorders>
            <w:shd w:val="clear" w:color="auto" w:fill="DBE5F1"/>
            <w:vAlign w:val="center"/>
          </w:tcPr>
          <w:p w:rsidRPr="002C6363" w:rsidR="00107F34" w:rsidP="00033F72" w:rsidRDefault="00107F34" w14:paraId="339C43EB" w14:textId="73D18225">
            <w:pPr>
              <w:autoSpaceDE/>
              <w:autoSpaceDN/>
              <w:adjustRightInd/>
              <w:ind w:left="288" w:right="288"/>
              <w:jc w:val="center"/>
              <w:rPr>
                <w:rFonts w:ascii="Calibri" w:hAnsi="Calibri" w:eastAsia="Calibri"/>
                <w:b/>
              </w:rPr>
            </w:pPr>
            <w:r>
              <w:rPr>
                <w:rFonts w:ascii="Calibri" w:hAnsi="Calibri" w:eastAsia="Calibri"/>
                <w:b/>
              </w:rPr>
              <w:t>How is the Information Submitted?</w:t>
            </w:r>
            <w:r>
              <w:rPr>
                <w:rFonts w:ascii="Calibri" w:hAnsi="Calibri" w:eastAsia="Calibri"/>
                <w:b/>
                <w:vertAlign w:val="superscript"/>
              </w:rPr>
              <w:t>1/</w:t>
            </w:r>
          </w:p>
        </w:tc>
        <w:tc>
          <w:tcPr>
            <w:tcW w:w="2160" w:type="dxa"/>
            <w:tcBorders>
              <w:top w:val="single" w:color="000000" w:sz="5" w:space="0"/>
              <w:left w:val="single" w:color="000000" w:sz="5" w:space="0"/>
              <w:bottom w:val="single" w:color="000000" w:sz="5" w:space="0"/>
              <w:right w:val="single" w:color="000000" w:sz="5" w:space="0"/>
            </w:tcBorders>
            <w:shd w:val="clear" w:color="auto" w:fill="DBE5F1"/>
            <w:vAlign w:val="center"/>
          </w:tcPr>
          <w:p w:rsidRPr="002C6363" w:rsidR="00107F34" w:rsidP="00033F72" w:rsidRDefault="00107F34" w14:paraId="0CE64FB6" w14:textId="4364E48F">
            <w:pPr>
              <w:autoSpaceDE/>
              <w:autoSpaceDN/>
              <w:adjustRightInd/>
              <w:ind w:left="288" w:right="288"/>
              <w:jc w:val="center"/>
              <w:rPr>
                <w:rFonts w:ascii="Calibri" w:hAnsi="Calibri" w:eastAsia="Calibri"/>
                <w:b/>
              </w:rPr>
            </w:pPr>
            <w:r>
              <w:rPr>
                <w:rFonts w:ascii="Calibri" w:hAnsi="Calibri" w:eastAsia="Calibri"/>
                <w:b/>
              </w:rPr>
              <w:t xml:space="preserve">Who </w:t>
            </w:r>
            <w:r w:rsidR="0030731F">
              <w:rPr>
                <w:rFonts w:ascii="Calibri" w:hAnsi="Calibri" w:eastAsia="Calibri"/>
                <w:b/>
              </w:rPr>
              <w:t>is the R</w:t>
            </w:r>
            <w:r w:rsidR="007946C1">
              <w:rPr>
                <w:rFonts w:ascii="Calibri" w:hAnsi="Calibri" w:eastAsia="Calibri"/>
                <w:b/>
              </w:rPr>
              <w:t>espondent</w:t>
            </w:r>
            <w:r>
              <w:rPr>
                <w:rFonts w:ascii="Calibri" w:hAnsi="Calibri" w:eastAsia="Calibri"/>
                <w:b/>
              </w:rPr>
              <w:t>?</w:t>
            </w:r>
          </w:p>
        </w:tc>
        <w:tc>
          <w:tcPr>
            <w:tcW w:w="2070" w:type="dxa"/>
            <w:tcBorders>
              <w:top w:val="single" w:color="000000" w:sz="5" w:space="0"/>
              <w:left w:val="single" w:color="000000" w:sz="5" w:space="0"/>
              <w:bottom w:val="single" w:color="000000" w:sz="5" w:space="0"/>
              <w:right w:val="single" w:color="000000" w:sz="5" w:space="0"/>
            </w:tcBorders>
            <w:shd w:val="clear" w:color="auto" w:fill="DBE5F1"/>
            <w:vAlign w:val="center"/>
          </w:tcPr>
          <w:p w:rsidRPr="002C6363" w:rsidR="00107F34" w:rsidP="00033F72" w:rsidRDefault="00107F34" w14:paraId="7A8CBB93" w14:textId="1B9F6DA1">
            <w:pPr>
              <w:autoSpaceDE/>
              <w:autoSpaceDN/>
              <w:adjustRightInd/>
              <w:ind w:left="288" w:right="288"/>
              <w:rPr>
                <w:rFonts w:ascii="Calibri" w:hAnsi="Calibri" w:eastAsia="Calibri"/>
                <w:b/>
              </w:rPr>
            </w:pPr>
            <w:r>
              <w:rPr>
                <w:rFonts w:ascii="Calibri" w:hAnsi="Calibri" w:eastAsia="Calibri"/>
                <w:b/>
              </w:rPr>
              <w:t>How Frequently is the Information Submitted?</w:t>
            </w:r>
          </w:p>
        </w:tc>
      </w:tr>
      <w:tr w:rsidRPr="002C6363" w:rsidR="003F5776" w:rsidTr="00033F72" w14:paraId="63FFAF42" w14:textId="77777777">
        <w:trPr>
          <w:trHeight w:val="1965" w:hRule="exact"/>
        </w:trPr>
        <w:tc>
          <w:tcPr>
            <w:tcW w:w="3246" w:type="dxa"/>
            <w:tcBorders>
              <w:top w:val="single" w:color="000000" w:sz="5" w:space="0"/>
              <w:left w:val="single" w:color="000000" w:sz="5" w:space="0"/>
              <w:bottom w:val="single" w:color="000000" w:sz="5" w:space="0"/>
              <w:right w:val="single" w:color="000000" w:sz="5" w:space="0"/>
            </w:tcBorders>
            <w:vAlign w:val="center"/>
          </w:tcPr>
          <w:p w:rsidR="003F5776" w:rsidP="00FE609C" w:rsidRDefault="003F5776" w14:paraId="213A8E97" w14:textId="77777777">
            <w:pPr>
              <w:autoSpaceDE/>
              <w:autoSpaceDN/>
              <w:adjustRightInd/>
              <w:ind w:left="288" w:right="288"/>
              <w:rPr>
                <w:rFonts w:ascii="Calibri" w:hAnsi="Calibri" w:eastAsia="Calibri"/>
              </w:rPr>
            </w:pPr>
          </w:p>
          <w:p w:rsidR="003F5776" w:rsidP="00FE609C" w:rsidRDefault="003F5776" w14:paraId="5E7CFDD0" w14:textId="77777777">
            <w:pPr>
              <w:autoSpaceDE/>
              <w:autoSpaceDN/>
              <w:adjustRightInd/>
              <w:ind w:left="288" w:right="288"/>
              <w:rPr>
                <w:rFonts w:ascii="Calibri" w:hAnsi="Calibri" w:eastAsia="Calibri"/>
              </w:rPr>
            </w:pPr>
            <w:r w:rsidRPr="00DB2597">
              <w:rPr>
                <w:rFonts w:ascii="Calibri" w:hAnsi="Calibri" w:eastAsia="Calibri"/>
              </w:rPr>
              <w:t xml:space="preserve">Groundfish Hook-and-line </w:t>
            </w:r>
            <w:r>
              <w:rPr>
                <w:rFonts w:ascii="Calibri" w:hAnsi="Calibri" w:eastAsia="Calibri"/>
              </w:rPr>
              <w:t>Marker B</w:t>
            </w:r>
            <w:r w:rsidRPr="00DB2597">
              <w:rPr>
                <w:rFonts w:ascii="Calibri" w:hAnsi="Calibri" w:eastAsia="Calibri"/>
              </w:rPr>
              <w:t>uoys</w:t>
            </w:r>
          </w:p>
          <w:p w:rsidRPr="002C6363" w:rsidR="003F5776" w:rsidP="00FE609C" w:rsidRDefault="003F5776" w14:paraId="7C21EEEC" w14:textId="77777777">
            <w:pPr>
              <w:autoSpaceDE/>
              <w:autoSpaceDN/>
              <w:adjustRightInd/>
              <w:ind w:left="288" w:right="288"/>
              <w:rPr>
                <w:rFonts w:ascii="Calibri" w:hAnsi="Calibri" w:eastAsia="Calibri"/>
              </w:rPr>
            </w:pPr>
          </w:p>
        </w:tc>
        <w:tc>
          <w:tcPr>
            <w:tcW w:w="1980" w:type="dxa"/>
            <w:tcBorders>
              <w:top w:val="single" w:color="000000" w:sz="5" w:space="0"/>
              <w:left w:val="single" w:color="000000" w:sz="5" w:space="0"/>
              <w:bottom w:val="single" w:color="000000" w:sz="5" w:space="0"/>
              <w:right w:val="single" w:color="000000" w:sz="5" w:space="0"/>
            </w:tcBorders>
            <w:vAlign w:val="center"/>
          </w:tcPr>
          <w:p w:rsidRPr="002C6363" w:rsidR="003F5776" w:rsidP="00FE609C" w:rsidRDefault="00CE1C78" w14:paraId="3CD7D62F" w14:textId="5ECB05FF">
            <w:pPr>
              <w:autoSpaceDE/>
              <w:autoSpaceDN/>
              <w:adjustRightInd/>
              <w:ind w:left="288" w:right="288"/>
              <w:rPr>
                <w:rFonts w:ascii="Calibri" w:hAnsi="Calibri" w:eastAsia="Calibri"/>
              </w:rPr>
            </w:pPr>
            <w:r>
              <w:rPr>
                <w:rFonts w:ascii="Calibri" w:hAnsi="Calibri" w:eastAsia="Calibri"/>
              </w:rPr>
              <w:t xml:space="preserve">Not submitted. </w:t>
            </w:r>
            <w:r w:rsidR="003F5776">
              <w:rPr>
                <w:rFonts w:ascii="Calibri" w:hAnsi="Calibri" w:eastAsia="Calibri"/>
              </w:rPr>
              <w:t xml:space="preserve">Buoys </w:t>
            </w:r>
            <w:proofErr w:type="gramStart"/>
            <w:r w:rsidR="003F5776">
              <w:rPr>
                <w:rFonts w:ascii="Calibri" w:hAnsi="Calibri" w:eastAsia="Calibri"/>
              </w:rPr>
              <w:t>are painted</w:t>
            </w:r>
            <w:proofErr w:type="gramEnd"/>
            <w:r w:rsidR="003F5776">
              <w:rPr>
                <w:rFonts w:ascii="Calibri" w:hAnsi="Calibri" w:eastAsia="Calibri"/>
              </w:rPr>
              <w:t xml:space="preserve"> with identification information.</w:t>
            </w:r>
          </w:p>
        </w:tc>
        <w:tc>
          <w:tcPr>
            <w:tcW w:w="2160" w:type="dxa"/>
            <w:tcBorders>
              <w:top w:val="single" w:color="000000" w:sz="5" w:space="0"/>
              <w:left w:val="single" w:color="000000" w:sz="5" w:space="0"/>
              <w:bottom w:val="single" w:color="000000" w:sz="5" w:space="0"/>
              <w:right w:val="single" w:color="000000" w:sz="5" w:space="0"/>
            </w:tcBorders>
            <w:vAlign w:val="center"/>
          </w:tcPr>
          <w:p w:rsidR="003F5776" w:rsidP="006F4C10" w:rsidRDefault="00F02A71" w14:paraId="3F40AC0E" w14:textId="1B5EFB1D">
            <w:pPr>
              <w:autoSpaceDE/>
              <w:autoSpaceDN/>
              <w:adjustRightInd/>
              <w:ind w:left="288" w:right="288"/>
              <w:rPr>
                <w:rFonts w:ascii="Calibri" w:hAnsi="Calibri" w:eastAsia="Calibri"/>
              </w:rPr>
            </w:pPr>
            <w:r>
              <w:rPr>
                <w:rFonts w:ascii="Calibri" w:hAnsi="Calibri" w:eastAsia="Calibri"/>
              </w:rPr>
              <w:t>Owner or operator of a v</w:t>
            </w:r>
            <w:r w:rsidR="007946C1">
              <w:rPr>
                <w:rFonts w:ascii="Calibri" w:hAnsi="Calibri" w:eastAsia="Calibri"/>
              </w:rPr>
              <w:t xml:space="preserve">essel </w:t>
            </w:r>
            <w:r>
              <w:rPr>
                <w:rFonts w:ascii="Calibri" w:hAnsi="Calibri" w:eastAsia="Calibri"/>
              </w:rPr>
              <w:t xml:space="preserve">regulated under 50 CFR part 679 with </w:t>
            </w:r>
            <w:r w:rsidR="007946C1">
              <w:rPr>
                <w:rFonts w:ascii="Calibri" w:hAnsi="Calibri" w:eastAsia="Calibri"/>
              </w:rPr>
              <w:t>hook-and-line</w:t>
            </w:r>
            <w:r>
              <w:rPr>
                <w:rFonts w:ascii="Calibri" w:hAnsi="Calibri" w:eastAsia="Calibri"/>
              </w:rPr>
              <w:t xml:space="preserve"> marker buoys on board</w:t>
            </w:r>
          </w:p>
        </w:tc>
        <w:tc>
          <w:tcPr>
            <w:tcW w:w="2070" w:type="dxa"/>
            <w:tcBorders>
              <w:top w:val="single" w:color="000000" w:sz="5" w:space="0"/>
              <w:left w:val="single" w:color="000000" w:sz="5" w:space="0"/>
              <w:bottom w:val="single" w:color="000000" w:sz="5" w:space="0"/>
              <w:right w:val="single" w:color="000000" w:sz="5" w:space="0"/>
            </w:tcBorders>
            <w:vAlign w:val="center"/>
          </w:tcPr>
          <w:p w:rsidR="003F5776" w:rsidP="00FE609C" w:rsidRDefault="00CE1C78" w14:paraId="2F156CE7" w14:textId="78736ADE">
            <w:pPr>
              <w:autoSpaceDE/>
              <w:autoSpaceDN/>
              <w:adjustRightInd/>
              <w:ind w:left="288" w:right="288"/>
              <w:rPr>
                <w:rFonts w:ascii="Calibri" w:hAnsi="Calibri" w:eastAsia="Calibri"/>
              </w:rPr>
            </w:pPr>
            <w:r>
              <w:rPr>
                <w:rFonts w:ascii="Calibri" w:hAnsi="Calibri" w:eastAsia="Calibri"/>
              </w:rPr>
              <w:t>Not submitted.</w:t>
            </w:r>
          </w:p>
        </w:tc>
      </w:tr>
      <w:tr w:rsidRPr="002C6363" w:rsidR="00107F34" w:rsidTr="00A9787A" w14:paraId="703B30B7" w14:textId="77777777">
        <w:trPr>
          <w:trHeight w:val="1272" w:hRule="exact"/>
        </w:trPr>
        <w:tc>
          <w:tcPr>
            <w:tcW w:w="3246" w:type="dxa"/>
            <w:tcBorders>
              <w:top w:val="single" w:color="000000" w:sz="5" w:space="0"/>
              <w:left w:val="single" w:color="000000" w:sz="5" w:space="0"/>
              <w:bottom w:val="single" w:color="000000" w:sz="5" w:space="0"/>
              <w:right w:val="single" w:color="000000" w:sz="5" w:space="0"/>
            </w:tcBorders>
            <w:shd w:val="clear" w:color="auto" w:fill="auto"/>
            <w:vAlign w:val="center"/>
          </w:tcPr>
          <w:p w:rsidRPr="002C6363" w:rsidR="00107F34" w:rsidP="003F5776" w:rsidRDefault="00A03A2D" w14:paraId="4E1F0280" w14:textId="0DB8A906">
            <w:pPr>
              <w:autoSpaceDE/>
              <w:autoSpaceDN/>
              <w:adjustRightInd/>
              <w:ind w:left="288" w:right="288"/>
              <w:rPr>
                <w:rFonts w:ascii="Calibri" w:hAnsi="Calibri" w:eastAsia="Calibri"/>
              </w:rPr>
            </w:pPr>
            <w:r w:rsidRPr="00A03A2D">
              <w:rPr>
                <w:rFonts w:ascii="Calibri" w:hAnsi="Calibri" w:eastAsia="Calibri"/>
              </w:rPr>
              <w:lastRenderedPageBreak/>
              <w:t>IFQ Sablefish Longline Pot Gear: Vessel Registration and Request for Pot Gear Tags</w:t>
            </w:r>
          </w:p>
        </w:tc>
        <w:tc>
          <w:tcPr>
            <w:tcW w:w="1980" w:type="dxa"/>
            <w:tcBorders>
              <w:top w:val="single" w:color="000000" w:sz="5" w:space="0"/>
              <w:left w:val="single" w:color="000000" w:sz="5" w:space="0"/>
              <w:bottom w:val="single" w:color="000000" w:sz="5" w:space="0"/>
              <w:right w:val="single" w:color="000000" w:sz="5" w:space="0"/>
            </w:tcBorders>
            <w:shd w:val="clear" w:color="auto" w:fill="auto"/>
            <w:vAlign w:val="center"/>
          </w:tcPr>
          <w:p w:rsidRPr="002C6363" w:rsidR="00107F34" w:rsidP="003F5776" w:rsidRDefault="00107F34" w14:paraId="16AFC2DE" w14:textId="77777777">
            <w:pPr>
              <w:autoSpaceDE/>
              <w:autoSpaceDN/>
              <w:adjustRightInd/>
              <w:ind w:left="288" w:right="288"/>
              <w:rPr>
                <w:rFonts w:ascii="Calibri" w:hAnsi="Calibri" w:eastAsia="Calibri"/>
              </w:rPr>
            </w:pPr>
            <w:r>
              <w:rPr>
                <w:rFonts w:ascii="Calibri" w:hAnsi="Calibri" w:eastAsia="Calibri"/>
              </w:rPr>
              <w:t>Mail, fax, or delivery</w:t>
            </w:r>
          </w:p>
        </w:tc>
        <w:tc>
          <w:tcPr>
            <w:tcW w:w="2160" w:type="dxa"/>
            <w:tcBorders>
              <w:top w:val="single" w:color="000000" w:sz="5" w:space="0"/>
              <w:left w:val="single" w:color="000000" w:sz="5" w:space="0"/>
              <w:bottom w:val="single" w:color="000000" w:sz="5" w:space="0"/>
              <w:right w:val="single" w:color="000000" w:sz="5" w:space="0"/>
            </w:tcBorders>
            <w:vAlign w:val="center"/>
          </w:tcPr>
          <w:p w:rsidR="00107F34" w:rsidP="003F5776" w:rsidRDefault="002B07B9" w14:paraId="6FD3745F" w14:textId="6E44ECD7">
            <w:pPr>
              <w:autoSpaceDE/>
              <w:autoSpaceDN/>
              <w:adjustRightInd/>
              <w:ind w:left="288" w:right="288"/>
              <w:rPr>
                <w:rFonts w:ascii="Calibri" w:hAnsi="Calibri" w:eastAsia="Calibri"/>
              </w:rPr>
            </w:pPr>
            <w:r w:rsidRPr="002B07B9">
              <w:rPr>
                <w:rFonts w:ascii="Calibri" w:hAnsi="Calibri" w:eastAsia="Calibri"/>
              </w:rPr>
              <w:t>vessel owner using longline pot gear to fish for IFQ sablefish in the GOA</w:t>
            </w:r>
          </w:p>
        </w:tc>
        <w:tc>
          <w:tcPr>
            <w:tcW w:w="2070" w:type="dxa"/>
            <w:tcBorders>
              <w:top w:val="single" w:color="000000" w:sz="5" w:space="0"/>
              <w:left w:val="single" w:color="000000" w:sz="5" w:space="0"/>
              <w:bottom w:val="single" w:color="000000" w:sz="5" w:space="0"/>
              <w:right w:val="single" w:color="000000" w:sz="5" w:space="0"/>
            </w:tcBorders>
            <w:vAlign w:val="center"/>
          </w:tcPr>
          <w:p w:rsidR="00107F34" w:rsidP="003F5776" w:rsidRDefault="000B0135" w14:paraId="1E24436B" w14:textId="153B40CC">
            <w:pPr>
              <w:autoSpaceDE/>
              <w:autoSpaceDN/>
              <w:adjustRightInd/>
              <w:ind w:left="288" w:right="288"/>
              <w:rPr>
                <w:rFonts w:ascii="Calibri" w:hAnsi="Calibri" w:eastAsia="Calibri"/>
              </w:rPr>
            </w:pPr>
            <w:r>
              <w:rPr>
                <w:rFonts w:ascii="Calibri" w:hAnsi="Calibri" w:eastAsia="Calibri"/>
              </w:rPr>
              <w:t>A</w:t>
            </w:r>
            <w:r w:rsidR="002B07B9">
              <w:rPr>
                <w:rFonts w:ascii="Calibri" w:hAnsi="Calibri" w:eastAsia="Calibri"/>
              </w:rPr>
              <w:t>nnually</w:t>
            </w:r>
            <w:r>
              <w:rPr>
                <w:rFonts w:ascii="Calibri" w:hAnsi="Calibri" w:eastAsia="Calibri"/>
              </w:rPr>
              <w:t xml:space="preserve"> </w:t>
            </w:r>
          </w:p>
        </w:tc>
      </w:tr>
      <w:tr w:rsidRPr="002C6363" w:rsidR="00107F34" w:rsidTr="00A9787A" w14:paraId="48EF4E21" w14:textId="77777777">
        <w:trPr>
          <w:trHeight w:val="1434" w:hRule="exact"/>
        </w:trPr>
        <w:tc>
          <w:tcPr>
            <w:tcW w:w="3246" w:type="dxa"/>
            <w:tcBorders>
              <w:top w:val="single" w:color="000000" w:sz="5" w:space="0"/>
              <w:left w:val="single" w:color="000000" w:sz="5" w:space="0"/>
              <w:bottom w:val="single" w:color="000000" w:sz="5" w:space="0"/>
              <w:right w:val="single" w:color="000000" w:sz="5" w:space="0"/>
            </w:tcBorders>
            <w:vAlign w:val="center"/>
          </w:tcPr>
          <w:p w:rsidRPr="001A26D8" w:rsidR="00107F34" w:rsidP="003E1E2A" w:rsidRDefault="00DB3EF6" w14:paraId="29C8DC4F" w14:textId="01E69931">
            <w:pPr>
              <w:autoSpaceDE/>
              <w:autoSpaceDN/>
              <w:adjustRightInd/>
              <w:ind w:left="288" w:right="288"/>
              <w:rPr>
                <w:rFonts w:eastAsia="Calibri" w:asciiTheme="minorHAnsi" w:hAnsiTheme="minorHAnsi" w:cstheme="minorHAnsi"/>
              </w:rPr>
            </w:pPr>
            <w:r w:rsidRPr="001A26D8">
              <w:rPr>
                <w:rFonts w:asciiTheme="minorHAnsi" w:hAnsiTheme="minorHAnsi" w:cstheme="minorHAnsi"/>
              </w:rPr>
              <w:t xml:space="preserve">IFQ Sablefish Request for Replacement of Longline Pot Gear Tags </w:t>
            </w:r>
          </w:p>
        </w:tc>
        <w:tc>
          <w:tcPr>
            <w:tcW w:w="1980" w:type="dxa"/>
            <w:tcBorders>
              <w:top w:val="single" w:color="000000" w:sz="5" w:space="0"/>
              <w:left w:val="single" w:color="000000" w:sz="5" w:space="0"/>
              <w:bottom w:val="single" w:color="000000" w:sz="5" w:space="0"/>
              <w:right w:val="single" w:color="000000" w:sz="5" w:space="0"/>
            </w:tcBorders>
            <w:vAlign w:val="center"/>
          </w:tcPr>
          <w:p w:rsidRPr="002C6363" w:rsidR="00107F34" w:rsidP="003F5776" w:rsidRDefault="00F6635A" w14:paraId="19B8980C" w14:textId="05EE503C">
            <w:pPr>
              <w:autoSpaceDE/>
              <w:autoSpaceDN/>
              <w:adjustRightInd/>
              <w:ind w:left="288" w:right="288"/>
              <w:rPr>
                <w:rFonts w:ascii="Calibri" w:hAnsi="Calibri" w:eastAsia="Calibri"/>
              </w:rPr>
            </w:pPr>
            <w:r w:rsidRPr="00F6635A">
              <w:rPr>
                <w:rFonts w:ascii="Calibri" w:hAnsi="Calibri" w:eastAsia="Calibri"/>
              </w:rPr>
              <w:t>Mail, fax, or delivery</w:t>
            </w:r>
          </w:p>
        </w:tc>
        <w:tc>
          <w:tcPr>
            <w:tcW w:w="2160" w:type="dxa"/>
            <w:tcBorders>
              <w:top w:val="single" w:color="000000" w:sz="5" w:space="0"/>
              <w:left w:val="single" w:color="000000" w:sz="5" w:space="0"/>
              <w:bottom w:val="single" w:color="000000" w:sz="5" w:space="0"/>
              <w:right w:val="single" w:color="000000" w:sz="5" w:space="0"/>
            </w:tcBorders>
            <w:vAlign w:val="center"/>
          </w:tcPr>
          <w:p w:rsidR="00107F34" w:rsidP="003F5776" w:rsidRDefault="00214541" w14:paraId="59ADB390" w14:textId="6CE2341E">
            <w:pPr>
              <w:autoSpaceDE/>
              <w:autoSpaceDN/>
              <w:adjustRightInd/>
              <w:ind w:left="288" w:right="288"/>
              <w:rPr>
                <w:rFonts w:ascii="Calibri" w:hAnsi="Calibri" w:eastAsia="Calibri"/>
              </w:rPr>
            </w:pPr>
            <w:r w:rsidRPr="002B07B9">
              <w:rPr>
                <w:rFonts w:ascii="Calibri" w:hAnsi="Calibri" w:eastAsia="Calibri"/>
              </w:rPr>
              <w:t>vessel owner using longline pot gear to fish for IFQ sablefish in the GOA</w:t>
            </w:r>
          </w:p>
        </w:tc>
        <w:tc>
          <w:tcPr>
            <w:tcW w:w="2070" w:type="dxa"/>
            <w:tcBorders>
              <w:top w:val="single" w:color="000000" w:sz="5" w:space="0"/>
              <w:left w:val="single" w:color="000000" w:sz="5" w:space="0"/>
              <w:bottom w:val="single" w:color="000000" w:sz="5" w:space="0"/>
              <w:right w:val="single" w:color="000000" w:sz="5" w:space="0"/>
            </w:tcBorders>
            <w:vAlign w:val="center"/>
          </w:tcPr>
          <w:p w:rsidR="00107F34" w:rsidP="003F5776" w:rsidRDefault="00F6635A" w14:paraId="77CE85C8" w14:textId="2C847136">
            <w:pPr>
              <w:autoSpaceDE/>
              <w:autoSpaceDN/>
              <w:adjustRightInd/>
              <w:ind w:left="288" w:right="288"/>
              <w:rPr>
                <w:rFonts w:ascii="Calibri" w:hAnsi="Calibri" w:eastAsia="Calibri"/>
              </w:rPr>
            </w:pPr>
            <w:r>
              <w:rPr>
                <w:rFonts w:ascii="Calibri" w:hAnsi="Calibri" w:eastAsia="Calibri"/>
              </w:rPr>
              <w:t>As needed</w:t>
            </w:r>
          </w:p>
        </w:tc>
      </w:tr>
      <w:tr w:rsidRPr="002C6363" w:rsidR="00107F34" w:rsidTr="00A9787A" w14:paraId="4B6DCB58" w14:textId="77777777">
        <w:trPr>
          <w:trHeight w:val="1812" w:hRule="exact"/>
        </w:trPr>
        <w:tc>
          <w:tcPr>
            <w:tcW w:w="3246" w:type="dxa"/>
            <w:tcBorders>
              <w:top w:val="single" w:color="000000" w:sz="5" w:space="0"/>
              <w:left w:val="single" w:color="000000" w:sz="5" w:space="0"/>
              <w:bottom w:val="single" w:color="000000" w:sz="5" w:space="0"/>
              <w:right w:val="single" w:color="000000" w:sz="5" w:space="0"/>
            </w:tcBorders>
            <w:vAlign w:val="center"/>
          </w:tcPr>
          <w:p w:rsidRPr="002C6363" w:rsidR="00107F34" w:rsidP="003F5776" w:rsidRDefault="00356932" w14:paraId="1F952739" w14:textId="34FF6D69">
            <w:pPr>
              <w:autoSpaceDE/>
              <w:autoSpaceDN/>
              <w:adjustRightInd/>
              <w:ind w:left="288" w:right="288"/>
              <w:rPr>
                <w:rFonts w:ascii="Calibri" w:hAnsi="Calibri" w:eastAsia="Calibri"/>
              </w:rPr>
            </w:pPr>
            <w:r>
              <w:rPr>
                <w:rFonts w:ascii="Calibri" w:hAnsi="Calibri" w:eastAsia="Calibri"/>
              </w:rPr>
              <w:t>Marking of L</w:t>
            </w:r>
            <w:r w:rsidRPr="00DB2597" w:rsidR="00DB2597">
              <w:rPr>
                <w:rFonts w:ascii="Calibri" w:hAnsi="Calibri" w:eastAsia="Calibri"/>
              </w:rPr>
              <w:t xml:space="preserve">ongline </w:t>
            </w:r>
            <w:r>
              <w:rPr>
                <w:rFonts w:ascii="Calibri" w:hAnsi="Calibri" w:eastAsia="Calibri"/>
              </w:rPr>
              <w:t>P</w:t>
            </w:r>
            <w:r w:rsidRPr="00DB2597" w:rsidR="00DB2597">
              <w:rPr>
                <w:rFonts w:ascii="Calibri" w:hAnsi="Calibri" w:eastAsia="Calibri"/>
              </w:rPr>
              <w:t xml:space="preserve">ot </w:t>
            </w:r>
            <w:r>
              <w:rPr>
                <w:rFonts w:ascii="Calibri" w:hAnsi="Calibri" w:eastAsia="Calibri"/>
              </w:rPr>
              <w:t>G</w:t>
            </w:r>
            <w:r w:rsidRPr="00DB2597" w:rsidR="00DB2597">
              <w:rPr>
                <w:rFonts w:ascii="Calibri" w:hAnsi="Calibri" w:eastAsia="Calibri"/>
              </w:rPr>
              <w:t>ear</w:t>
            </w:r>
          </w:p>
        </w:tc>
        <w:tc>
          <w:tcPr>
            <w:tcW w:w="1980" w:type="dxa"/>
            <w:tcBorders>
              <w:top w:val="single" w:color="000000" w:sz="5" w:space="0"/>
              <w:left w:val="single" w:color="000000" w:sz="5" w:space="0"/>
              <w:bottom w:val="single" w:color="000000" w:sz="5" w:space="0"/>
              <w:right w:val="single" w:color="000000" w:sz="5" w:space="0"/>
            </w:tcBorders>
            <w:vAlign w:val="center"/>
          </w:tcPr>
          <w:p w:rsidRPr="002C6363" w:rsidR="00107F34" w:rsidP="00F6635A" w:rsidRDefault="00CE1C78" w14:paraId="380E8A60" w14:textId="0EA6D087">
            <w:pPr>
              <w:autoSpaceDE/>
              <w:autoSpaceDN/>
              <w:adjustRightInd/>
              <w:ind w:left="288" w:right="288"/>
              <w:rPr>
                <w:rFonts w:ascii="Calibri" w:hAnsi="Calibri" w:eastAsia="Calibri"/>
              </w:rPr>
            </w:pPr>
            <w:r>
              <w:rPr>
                <w:rFonts w:ascii="Calibri" w:hAnsi="Calibri" w:eastAsia="Calibri"/>
              </w:rPr>
              <w:t xml:space="preserve">Not submitted. </w:t>
            </w:r>
            <w:r w:rsidR="00DF5F17">
              <w:rPr>
                <w:rFonts w:ascii="Calibri" w:hAnsi="Calibri" w:eastAsia="Calibri"/>
              </w:rPr>
              <w:t>Each g</w:t>
            </w:r>
            <w:r w:rsidRPr="00DF5F17" w:rsidR="00DF5F17">
              <w:rPr>
                <w:rFonts w:ascii="Calibri" w:hAnsi="Calibri" w:eastAsia="Calibri"/>
              </w:rPr>
              <w:t>ear set</w:t>
            </w:r>
            <w:r w:rsidR="00DF5F17">
              <w:rPr>
                <w:rFonts w:ascii="Calibri" w:hAnsi="Calibri" w:eastAsia="Calibri"/>
              </w:rPr>
              <w:t xml:space="preserve"> is marked at both ends with</w:t>
            </w:r>
            <w:r w:rsidR="007946C1">
              <w:rPr>
                <w:rFonts w:ascii="Calibri" w:hAnsi="Calibri" w:eastAsia="Calibri"/>
              </w:rPr>
              <w:t xml:space="preserve"> buoys painted with</w:t>
            </w:r>
            <w:r w:rsidR="00DF5F17">
              <w:rPr>
                <w:rFonts w:ascii="Calibri" w:hAnsi="Calibri" w:eastAsia="Calibri"/>
              </w:rPr>
              <w:t xml:space="preserve"> identification information</w:t>
            </w:r>
            <w:r>
              <w:rPr>
                <w:rFonts w:ascii="Calibri" w:hAnsi="Calibri" w:eastAsia="Calibri"/>
              </w:rPr>
              <w:t>.</w:t>
            </w:r>
          </w:p>
        </w:tc>
        <w:tc>
          <w:tcPr>
            <w:tcW w:w="2160" w:type="dxa"/>
            <w:tcBorders>
              <w:top w:val="single" w:color="000000" w:sz="5" w:space="0"/>
              <w:left w:val="single" w:color="000000" w:sz="5" w:space="0"/>
              <w:bottom w:val="single" w:color="000000" w:sz="5" w:space="0"/>
              <w:right w:val="single" w:color="000000" w:sz="5" w:space="0"/>
            </w:tcBorders>
            <w:vAlign w:val="center"/>
          </w:tcPr>
          <w:p w:rsidR="00107F34" w:rsidP="007D4E09" w:rsidRDefault="00F02A71" w14:paraId="20DF6875" w14:textId="185DC95C">
            <w:pPr>
              <w:autoSpaceDE/>
              <w:autoSpaceDN/>
              <w:adjustRightInd/>
              <w:ind w:left="288" w:right="288"/>
              <w:rPr>
                <w:rFonts w:ascii="Calibri" w:hAnsi="Calibri" w:eastAsia="Calibri"/>
              </w:rPr>
            </w:pPr>
            <w:r>
              <w:rPr>
                <w:rFonts w:ascii="Calibri" w:hAnsi="Calibri" w:eastAsia="Calibri"/>
              </w:rPr>
              <w:t xml:space="preserve">Owner or operator of a </w:t>
            </w:r>
            <w:r w:rsidRPr="00AA7418" w:rsidR="00AA7418">
              <w:rPr>
                <w:rFonts w:ascii="Calibri" w:hAnsi="Calibri" w:eastAsia="Calibri"/>
              </w:rPr>
              <w:t>vessel using longline pot gear to fish for IFQ sablefish in the GOA</w:t>
            </w:r>
          </w:p>
        </w:tc>
        <w:tc>
          <w:tcPr>
            <w:tcW w:w="2070" w:type="dxa"/>
            <w:tcBorders>
              <w:top w:val="single" w:color="000000" w:sz="5" w:space="0"/>
              <w:left w:val="single" w:color="000000" w:sz="5" w:space="0"/>
              <w:bottom w:val="single" w:color="000000" w:sz="5" w:space="0"/>
              <w:right w:val="single" w:color="000000" w:sz="5" w:space="0"/>
            </w:tcBorders>
            <w:vAlign w:val="center"/>
          </w:tcPr>
          <w:p w:rsidR="00107F34" w:rsidP="003F5776" w:rsidRDefault="00CE1C78" w14:paraId="35B71357" w14:textId="2539B615">
            <w:pPr>
              <w:autoSpaceDE/>
              <w:autoSpaceDN/>
              <w:adjustRightInd/>
              <w:ind w:left="288" w:right="288"/>
              <w:rPr>
                <w:rFonts w:ascii="Calibri" w:hAnsi="Calibri" w:eastAsia="Calibri"/>
              </w:rPr>
            </w:pPr>
            <w:r>
              <w:rPr>
                <w:rFonts w:ascii="Calibri" w:hAnsi="Calibri" w:eastAsia="Calibri"/>
              </w:rPr>
              <w:t>Not submitted.</w:t>
            </w:r>
          </w:p>
        </w:tc>
      </w:tr>
    </w:tbl>
    <w:p w:rsidRPr="00107F34" w:rsidR="00107F34" w:rsidP="00107F34" w:rsidRDefault="00107F34" w14:paraId="5453F893" w14:textId="77777777">
      <w:pPr>
        <w:widowControl/>
        <w:autoSpaceDE/>
        <w:autoSpaceDN/>
        <w:adjustRightInd/>
        <w:rPr>
          <w:rFonts w:eastAsia="Calibri" w:asciiTheme="minorHAnsi" w:hAnsiTheme="minorHAnsi" w:cstheme="minorHAnsi"/>
        </w:rPr>
      </w:pPr>
      <w:r w:rsidRPr="00107F34">
        <w:rPr>
          <w:rFonts w:eastAsia="Calibri" w:asciiTheme="minorHAnsi" w:hAnsiTheme="minorHAnsi" w:cstheme="minorHAnsi"/>
          <w:b/>
        </w:rPr>
        <w:t xml:space="preserve">    Mail</w:t>
      </w:r>
      <w:r w:rsidRPr="00107F34">
        <w:rPr>
          <w:rFonts w:eastAsia="Calibri" w:asciiTheme="minorHAnsi" w:hAnsiTheme="minorHAnsi" w:cstheme="minorHAnsi"/>
        </w:rPr>
        <w:t xml:space="preserve">: NMFS Alaska Region, </w:t>
      </w:r>
      <w:r w:rsidRPr="00CD5979" w:rsidR="00CD5979">
        <w:rPr>
          <w:rFonts w:eastAsia="Calibri" w:asciiTheme="minorHAnsi" w:hAnsiTheme="minorHAnsi" w:cstheme="minorHAnsi"/>
        </w:rPr>
        <w:t>Restricted Access Management (RAM)</w:t>
      </w:r>
      <w:r w:rsidR="00CD5979">
        <w:rPr>
          <w:rFonts w:eastAsia="Calibri" w:asciiTheme="minorHAnsi" w:hAnsiTheme="minorHAnsi" w:cstheme="minorHAnsi"/>
        </w:rPr>
        <w:t>,</w:t>
      </w:r>
      <w:r w:rsidRPr="00107F34">
        <w:rPr>
          <w:rFonts w:eastAsia="Calibri" w:asciiTheme="minorHAnsi" w:hAnsiTheme="minorHAnsi" w:cstheme="minorHAnsi"/>
        </w:rPr>
        <w:t xml:space="preserve"> P.O. Box 21668, Juneau, AK 99802-1668</w:t>
      </w:r>
    </w:p>
    <w:p w:rsidRPr="00107F34" w:rsidR="00107F34" w:rsidP="00107F34" w:rsidRDefault="00107F34" w14:paraId="3473FBCA" w14:textId="77777777">
      <w:pPr>
        <w:rPr>
          <w:rFonts w:asciiTheme="minorHAnsi" w:hAnsiTheme="minorHAnsi" w:cstheme="minorHAnsi"/>
        </w:rPr>
      </w:pPr>
      <w:r w:rsidRPr="00107F34">
        <w:rPr>
          <w:rFonts w:eastAsia="Calibri" w:asciiTheme="minorHAnsi" w:hAnsiTheme="minorHAnsi" w:cstheme="minorHAnsi"/>
        </w:rPr>
        <w:t xml:space="preserve">    </w:t>
      </w:r>
      <w:r w:rsidRPr="00107F34">
        <w:rPr>
          <w:rFonts w:eastAsia="Calibri" w:asciiTheme="minorHAnsi" w:hAnsiTheme="minorHAnsi" w:cstheme="minorHAnsi"/>
          <w:b/>
        </w:rPr>
        <w:t>Fax</w:t>
      </w:r>
      <w:r w:rsidR="00CD5979">
        <w:rPr>
          <w:rFonts w:eastAsia="Calibri" w:asciiTheme="minorHAnsi" w:hAnsiTheme="minorHAnsi" w:cstheme="minorHAnsi"/>
        </w:rPr>
        <w:t>: (907) 586-7354</w:t>
      </w:r>
    </w:p>
    <w:p w:rsidR="00107F34" w:rsidP="0020448B" w:rsidRDefault="00107F34" w14:paraId="608F4CCC" w14:textId="77777777">
      <w:pPr>
        <w:rPr>
          <w:sz w:val="24"/>
          <w:szCs w:val="24"/>
        </w:rPr>
      </w:pPr>
    </w:p>
    <w:p w:rsidRPr="001A02D9" w:rsidR="00107F34" w:rsidP="0020448B" w:rsidRDefault="003B14A6" w14:paraId="748214D5" w14:textId="2AD45EE4">
      <w:pPr>
        <w:rPr>
          <w:b/>
          <w:sz w:val="24"/>
          <w:szCs w:val="24"/>
        </w:rPr>
      </w:pPr>
      <w:r w:rsidRPr="003B14A6">
        <w:rPr>
          <w:b/>
          <w:sz w:val="24"/>
          <w:szCs w:val="24"/>
        </w:rPr>
        <w:t>The following addresses the purpose for whi</w:t>
      </w:r>
      <w:r w:rsidRPr="00D5743F">
        <w:rPr>
          <w:b/>
          <w:sz w:val="24"/>
          <w:szCs w:val="24"/>
        </w:rPr>
        <w:t>ch the information is collected</w:t>
      </w:r>
      <w:r w:rsidRPr="003B14A6">
        <w:rPr>
          <w:b/>
          <w:sz w:val="24"/>
          <w:szCs w:val="24"/>
        </w:rPr>
        <w:t xml:space="preserve"> and some additional information about how the information is collected. </w:t>
      </w:r>
    </w:p>
    <w:p w:rsidR="001A02D9" w:rsidP="0020448B" w:rsidRDefault="001A02D9" w14:paraId="23063D7F" w14:textId="77777777">
      <w:pPr>
        <w:rPr>
          <w:sz w:val="24"/>
          <w:szCs w:val="24"/>
        </w:rPr>
      </w:pPr>
    </w:p>
    <w:p w:rsidRPr="00A9787A" w:rsidR="00B13DCB" w:rsidP="00B13DCB" w:rsidRDefault="00B13DCB" w14:paraId="386B6E4B" w14:textId="1D70FA47">
      <w:pPr>
        <w:widowControl/>
        <w:rPr>
          <w:i/>
          <w:sz w:val="24"/>
          <w:szCs w:val="24"/>
        </w:rPr>
      </w:pPr>
      <w:r w:rsidRPr="00A9787A">
        <w:rPr>
          <w:i/>
          <w:sz w:val="24"/>
          <w:szCs w:val="24"/>
        </w:rPr>
        <w:t xml:space="preserve">Groundfish Hook-and-line Marker Buoys </w:t>
      </w:r>
    </w:p>
    <w:p w:rsidRPr="00F3152C" w:rsidR="00B13DCB" w:rsidP="00B13DCB" w:rsidRDefault="00B13DCB" w14:paraId="0C7317A7" w14:textId="77777777">
      <w:pPr>
        <w:widowControl/>
        <w:rPr>
          <w:sz w:val="24"/>
          <w:szCs w:val="24"/>
        </w:rPr>
      </w:pPr>
    </w:p>
    <w:p w:rsidR="00B13DCB" w:rsidP="00B13DCB" w:rsidRDefault="00B13DCB" w14:paraId="365F246E" w14:textId="7D6A882B">
      <w:pPr>
        <w:widowControl/>
        <w:rPr>
          <w:sz w:val="24"/>
          <w:szCs w:val="24"/>
        </w:rPr>
      </w:pPr>
      <w:r w:rsidRPr="00F3152C">
        <w:rPr>
          <w:sz w:val="24"/>
          <w:szCs w:val="24"/>
        </w:rPr>
        <w:t xml:space="preserve">Hook-and-line marker buoys must be marked with </w:t>
      </w:r>
      <w:proofErr w:type="gramStart"/>
      <w:r w:rsidRPr="00F3152C">
        <w:rPr>
          <w:sz w:val="24"/>
          <w:szCs w:val="24"/>
        </w:rPr>
        <w:t>either the vessel’s Federal fisheries permit</w:t>
      </w:r>
      <w:proofErr w:type="gramEnd"/>
      <w:r w:rsidRPr="00F3152C">
        <w:rPr>
          <w:sz w:val="24"/>
          <w:szCs w:val="24"/>
        </w:rPr>
        <w:t xml:space="preserve"> (FFP) number or the ADF&amp;G vessel registration number. </w:t>
      </w:r>
      <w:r w:rsidRPr="00F3152C" w:rsidR="003B14A6">
        <w:rPr>
          <w:sz w:val="24"/>
          <w:szCs w:val="24"/>
        </w:rPr>
        <w:t xml:space="preserve">Markings must be in characters at least 4 inches (10.16 cm) in height and 0.5 inch (1.27 cm) in width in a contrasting color visible above the water line. The </w:t>
      </w:r>
      <w:r w:rsidR="00226907">
        <w:rPr>
          <w:sz w:val="24"/>
          <w:szCs w:val="24"/>
        </w:rPr>
        <w:t>buoy</w:t>
      </w:r>
      <w:r w:rsidRPr="00F3152C" w:rsidR="003B14A6">
        <w:rPr>
          <w:sz w:val="24"/>
          <w:szCs w:val="24"/>
        </w:rPr>
        <w:t xml:space="preserve"> </w:t>
      </w:r>
      <w:proofErr w:type="gramStart"/>
      <w:r w:rsidRPr="00F3152C" w:rsidR="003B14A6">
        <w:rPr>
          <w:sz w:val="24"/>
          <w:szCs w:val="24"/>
        </w:rPr>
        <w:t>must be maintained</w:t>
      </w:r>
      <w:proofErr w:type="gramEnd"/>
      <w:r w:rsidRPr="00F3152C" w:rsidR="003B14A6">
        <w:rPr>
          <w:sz w:val="24"/>
          <w:szCs w:val="24"/>
        </w:rPr>
        <w:t xml:space="preserve"> so the markings are clearly visible.</w:t>
      </w:r>
    </w:p>
    <w:p w:rsidR="00B13DCB" w:rsidP="00B13DCB" w:rsidRDefault="00B13DCB" w14:paraId="7B0563BA" w14:textId="77777777">
      <w:pPr>
        <w:widowControl/>
        <w:rPr>
          <w:sz w:val="24"/>
          <w:szCs w:val="24"/>
        </w:rPr>
      </w:pPr>
    </w:p>
    <w:p w:rsidR="003B14A6" w:rsidP="003B14A6" w:rsidRDefault="003B14A6" w14:paraId="602EF137" w14:textId="7AEC8E47">
      <w:pPr>
        <w:widowControl/>
        <w:rPr>
          <w:sz w:val="24"/>
          <w:szCs w:val="24"/>
        </w:rPr>
      </w:pPr>
      <w:r w:rsidRPr="00F3152C">
        <w:rPr>
          <w:sz w:val="24"/>
          <w:szCs w:val="24"/>
        </w:rPr>
        <w:t xml:space="preserve">Materials needed are paint and paintbrush, or permanent ink applicator, and possibly a stencil.   </w:t>
      </w:r>
    </w:p>
    <w:p w:rsidRPr="00F3152C" w:rsidR="003B14A6" w:rsidP="003B14A6" w:rsidRDefault="003B14A6" w14:paraId="0911FDF1" w14:textId="77777777">
      <w:pPr>
        <w:widowControl/>
        <w:rPr>
          <w:sz w:val="24"/>
          <w:szCs w:val="24"/>
        </w:rPr>
      </w:pPr>
    </w:p>
    <w:p w:rsidR="00B13DCB" w:rsidP="00B13DCB" w:rsidRDefault="00B13DCB" w14:paraId="18CFD99F" w14:textId="77777777">
      <w:pPr>
        <w:widowControl/>
        <w:rPr>
          <w:sz w:val="24"/>
          <w:szCs w:val="24"/>
        </w:rPr>
      </w:pPr>
      <w:r>
        <w:rPr>
          <w:sz w:val="24"/>
          <w:szCs w:val="24"/>
        </w:rPr>
        <w:t xml:space="preserve">NMFS and the USCG use the identification information on fishing gear when issuing violations, prosecutions, and other enforcement actions. Cooperating </w:t>
      </w:r>
      <w:proofErr w:type="gramStart"/>
      <w:r>
        <w:rPr>
          <w:sz w:val="24"/>
          <w:szCs w:val="24"/>
        </w:rPr>
        <w:t>fishermen</w:t>
      </w:r>
      <w:proofErr w:type="gramEnd"/>
      <w:r>
        <w:rPr>
          <w:sz w:val="24"/>
          <w:szCs w:val="24"/>
        </w:rPr>
        <w:t xml:space="preserve"> also use the gear identification to report placement or occurrence in unauthorized areas. </w:t>
      </w:r>
    </w:p>
    <w:p w:rsidRPr="00F3152C" w:rsidR="00B13DCB" w:rsidP="00B13DCB" w:rsidRDefault="00B13DCB" w14:paraId="7DE1F81F" w14:textId="77777777">
      <w:pPr>
        <w:widowControl/>
        <w:tabs>
          <w:tab w:val="left" w:pos="360"/>
          <w:tab w:val="left" w:pos="1080"/>
        </w:tabs>
        <w:rPr>
          <w:sz w:val="24"/>
          <w:szCs w:val="24"/>
        </w:rPr>
      </w:pPr>
    </w:p>
    <w:p w:rsidRPr="00287370" w:rsidR="00B13DCB" w:rsidP="00B13DCB" w:rsidRDefault="00B13DCB" w14:paraId="60F8AA5B" w14:textId="77777777">
      <w:pPr>
        <w:widowControl/>
        <w:tabs>
          <w:tab w:val="left" w:pos="360"/>
          <w:tab w:val="left" w:pos="1080"/>
        </w:tabs>
        <w:rPr>
          <w:sz w:val="24"/>
          <w:szCs w:val="24"/>
        </w:rPr>
      </w:pPr>
      <w:r w:rsidRPr="00287370">
        <w:rPr>
          <w:sz w:val="24"/>
          <w:szCs w:val="24"/>
        </w:rPr>
        <w:t>There is no form for this item.</w:t>
      </w:r>
    </w:p>
    <w:p w:rsidR="00B13DCB" w:rsidP="00107F34" w:rsidRDefault="00B13DCB" w14:paraId="652CE279" w14:textId="2FB1B603">
      <w:pPr>
        <w:widowControl/>
        <w:rPr>
          <w:b/>
          <w:sz w:val="24"/>
          <w:szCs w:val="24"/>
        </w:rPr>
      </w:pPr>
    </w:p>
    <w:p w:rsidRPr="00A9787A" w:rsidR="00107F34" w:rsidP="00107F34" w:rsidRDefault="000B0135" w14:paraId="3D6630B5" w14:textId="5862F290">
      <w:pPr>
        <w:widowControl/>
        <w:rPr>
          <w:i/>
          <w:sz w:val="24"/>
          <w:szCs w:val="24"/>
        </w:rPr>
      </w:pPr>
      <w:r w:rsidRPr="00A9787A">
        <w:rPr>
          <w:i/>
          <w:sz w:val="24"/>
          <w:szCs w:val="24"/>
        </w:rPr>
        <w:t xml:space="preserve">IFQ Sablefish Longline Pot Gear: </w:t>
      </w:r>
      <w:r w:rsidRPr="00A9787A" w:rsidR="00107F34">
        <w:rPr>
          <w:i/>
          <w:sz w:val="24"/>
          <w:szCs w:val="24"/>
        </w:rPr>
        <w:t xml:space="preserve">Vessel Registration and Request for Pot Gear Tags   </w:t>
      </w:r>
    </w:p>
    <w:p w:rsidRPr="00D95A13" w:rsidR="00107F34" w:rsidP="002B07B9" w:rsidRDefault="00107F34" w14:paraId="14675704" w14:textId="77777777">
      <w:pPr>
        <w:pStyle w:val="CommentText"/>
      </w:pPr>
    </w:p>
    <w:p w:rsidR="0094040D" w:rsidP="00107F34" w:rsidRDefault="001710A7" w14:paraId="205866AF" w14:textId="7AA08288">
      <w:pPr>
        <w:widowControl/>
        <w:rPr>
          <w:sz w:val="24"/>
          <w:szCs w:val="24"/>
        </w:rPr>
      </w:pPr>
      <w:r w:rsidRPr="00D95A13">
        <w:rPr>
          <w:sz w:val="24"/>
          <w:szCs w:val="24"/>
        </w:rPr>
        <w:t xml:space="preserve">A vessel owner that </w:t>
      </w:r>
      <w:r w:rsidR="008F1032">
        <w:rPr>
          <w:sz w:val="24"/>
          <w:szCs w:val="24"/>
        </w:rPr>
        <w:t xml:space="preserve">chooses to </w:t>
      </w:r>
      <w:r w:rsidRPr="00D95A13">
        <w:rPr>
          <w:sz w:val="24"/>
          <w:szCs w:val="24"/>
        </w:rPr>
        <w:t xml:space="preserve">use longline pot gear to fish IFQ sablefish in the GOA </w:t>
      </w:r>
      <w:r w:rsidRPr="00D95A13" w:rsidR="00564481">
        <w:rPr>
          <w:sz w:val="24"/>
          <w:szCs w:val="24"/>
        </w:rPr>
        <w:t>must annually register their vessel with NMFS</w:t>
      </w:r>
      <w:r w:rsidR="006129FE">
        <w:rPr>
          <w:sz w:val="24"/>
          <w:szCs w:val="24"/>
        </w:rPr>
        <w:t xml:space="preserve">. Each pot used to fish for IFQ sablefish in the GOA </w:t>
      </w:r>
      <w:proofErr w:type="gramStart"/>
      <w:r w:rsidR="006129FE">
        <w:rPr>
          <w:sz w:val="24"/>
          <w:szCs w:val="24"/>
        </w:rPr>
        <w:t>must be identified</w:t>
      </w:r>
      <w:proofErr w:type="gramEnd"/>
      <w:r w:rsidR="006129FE">
        <w:rPr>
          <w:sz w:val="24"/>
          <w:szCs w:val="24"/>
        </w:rPr>
        <w:t xml:space="preserve"> with a valid pot tag </w:t>
      </w:r>
      <w:r w:rsidRPr="00D95A13">
        <w:rPr>
          <w:sz w:val="24"/>
          <w:szCs w:val="24"/>
        </w:rPr>
        <w:t xml:space="preserve">issued by NMFS. </w:t>
      </w:r>
    </w:p>
    <w:p w:rsidR="0094040D" w:rsidP="00107F34" w:rsidRDefault="0094040D" w14:paraId="083E4D08" w14:textId="77777777">
      <w:pPr>
        <w:widowControl/>
        <w:rPr>
          <w:sz w:val="24"/>
          <w:szCs w:val="24"/>
        </w:rPr>
      </w:pPr>
    </w:p>
    <w:p w:rsidRPr="00424DB6" w:rsidR="00857D57" w:rsidP="00107F34" w:rsidRDefault="00776901" w14:paraId="364B5C4E" w14:textId="2C79FE1C">
      <w:pPr>
        <w:widowControl/>
        <w:rPr>
          <w:sz w:val="24"/>
          <w:szCs w:val="24"/>
        </w:rPr>
      </w:pPr>
      <w:r>
        <w:rPr>
          <w:sz w:val="24"/>
          <w:szCs w:val="24"/>
        </w:rPr>
        <w:t xml:space="preserve">A vessel owner </w:t>
      </w:r>
      <w:r w:rsidRPr="00D95A13" w:rsidR="001710A7">
        <w:rPr>
          <w:sz w:val="24"/>
          <w:szCs w:val="24"/>
        </w:rPr>
        <w:t>use</w:t>
      </w:r>
      <w:r>
        <w:rPr>
          <w:sz w:val="24"/>
          <w:szCs w:val="24"/>
        </w:rPr>
        <w:t>s</w:t>
      </w:r>
      <w:r w:rsidRPr="00D95A13" w:rsidR="001710A7">
        <w:rPr>
          <w:sz w:val="24"/>
          <w:szCs w:val="24"/>
        </w:rPr>
        <w:t xml:space="preserve"> the IFQ Sablefish Longline Pot Gear: Vessel Registration and Request for Pot Gear Tags application form </w:t>
      </w:r>
      <w:proofErr w:type="gramStart"/>
      <w:r w:rsidRPr="00D95A13" w:rsidR="001710A7">
        <w:rPr>
          <w:sz w:val="24"/>
          <w:szCs w:val="24"/>
        </w:rPr>
        <w:t>to annually register</w:t>
      </w:r>
      <w:proofErr w:type="gramEnd"/>
      <w:r w:rsidRPr="00D95A13" w:rsidR="001710A7">
        <w:rPr>
          <w:sz w:val="24"/>
          <w:szCs w:val="24"/>
        </w:rPr>
        <w:t xml:space="preserve"> their vessel and </w:t>
      </w:r>
      <w:r w:rsidRPr="00D95A13" w:rsidR="00564481">
        <w:rPr>
          <w:sz w:val="24"/>
          <w:szCs w:val="24"/>
        </w:rPr>
        <w:t xml:space="preserve">to </w:t>
      </w:r>
      <w:r w:rsidRPr="00D95A13" w:rsidR="001710A7">
        <w:rPr>
          <w:sz w:val="24"/>
          <w:szCs w:val="24"/>
        </w:rPr>
        <w:t>request new pot tags</w:t>
      </w:r>
      <w:r>
        <w:rPr>
          <w:sz w:val="24"/>
          <w:szCs w:val="24"/>
        </w:rPr>
        <w:t xml:space="preserve"> to be issued to this vessel</w:t>
      </w:r>
      <w:r w:rsidRPr="00D95A13" w:rsidR="001710A7">
        <w:rPr>
          <w:sz w:val="24"/>
          <w:szCs w:val="24"/>
        </w:rPr>
        <w:t xml:space="preserve">. </w:t>
      </w:r>
      <w:r w:rsidRPr="00424DB6" w:rsidR="00F05D5C">
        <w:rPr>
          <w:sz w:val="24"/>
          <w:szCs w:val="24"/>
        </w:rPr>
        <w:t>NMFS uses information</w:t>
      </w:r>
      <w:r w:rsidRPr="00424DB6" w:rsidR="0007138D">
        <w:rPr>
          <w:sz w:val="24"/>
          <w:szCs w:val="24"/>
        </w:rPr>
        <w:t xml:space="preserve"> collected by this form</w:t>
      </w:r>
      <w:r w:rsidRPr="00424DB6" w:rsidR="00F05D5C">
        <w:rPr>
          <w:sz w:val="24"/>
          <w:szCs w:val="24"/>
        </w:rPr>
        <w:t xml:space="preserve"> to </w:t>
      </w:r>
      <w:r w:rsidRPr="00424DB6" w:rsidR="00CC7234">
        <w:rPr>
          <w:sz w:val="24"/>
          <w:szCs w:val="24"/>
        </w:rPr>
        <w:t xml:space="preserve">identify vessels that </w:t>
      </w:r>
      <w:r w:rsidRPr="00424DB6" w:rsidR="00CC7234">
        <w:rPr>
          <w:sz w:val="24"/>
          <w:szCs w:val="24"/>
        </w:rPr>
        <w:lastRenderedPageBreak/>
        <w:t xml:space="preserve">intend to participate in the GOA </w:t>
      </w:r>
      <w:r w:rsidRPr="00424DB6" w:rsidR="00424DB6">
        <w:rPr>
          <w:sz w:val="24"/>
          <w:szCs w:val="24"/>
        </w:rPr>
        <w:t xml:space="preserve">sablefish </w:t>
      </w:r>
      <w:r w:rsidRPr="00424DB6" w:rsidR="00CC7234">
        <w:rPr>
          <w:sz w:val="24"/>
          <w:szCs w:val="24"/>
        </w:rPr>
        <w:t>IFQ fishery using longline pot gear</w:t>
      </w:r>
      <w:r w:rsidRPr="00424DB6">
        <w:rPr>
          <w:sz w:val="24"/>
          <w:szCs w:val="24"/>
        </w:rPr>
        <w:t>,</w:t>
      </w:r>
      <w:r w:rsidRPr="00424DB6" w:rsidR="00CC7234">
        <w:rPr>
          <w:sz w:val="24"/>
          <w:szCs w:val="24"/>
        </w:rPr>
        <w:t xml:space="preserve"> </w:t>
      </w:r>
      <w:r w:rsidRPr="00424DB6" w:rsidR="00145252">
        <w:rPr>
          <w:sz w:val="24"/>
          <w:szCs w:val="24"/>
        </w:rPr>
        <w:t xml:space="preserve">and </w:t>
      </w:r>
      <w:r w:rsidRPr="00424DB6" w:rsidR="00857D57">
        <w:rPr>
          <w:sz w:val="24"/>
          <w:szCs w:val="24"/>
        </w:rPr>
        <w:t>to issue new pot tags</w:t>
      </w:r>
      <w:r w:rsidRPr="00424DB6" w:rsidR="0091440F">
        <w:rPr>
          <w:sz w:val="24"/>
          <w:szCs w:val="24"/>
        </w:rPr>
        <w:t xml:space="preserve"> to those vessels. This information </w:t>
      </w:r>
      <w:r w:rsidRPr="00424DB6" w:rsidR="00857D57">
        <w:rPr>
          <w:sz w:val="24"/>
          <w:szCs w:val="24"/>
        </w:rPr>
        <w:t xml:space="preserve">is necessary for enforcement of regulations, including ensuring that pot limits </w:t>
      </w:r>
      <w:proofErr w:type="gramStart"/>
      <w:r w:rsidRPr="00424DB6" w:rsidR="00857D57">
        <w:rPr>
          <w:sz w:val="24"/>
          <w:szCs w:val="24"/>
        </w:rPr>
        <w:t>are not exceeded</w:t>
      </w:r>
      <w:proofErr w:type="gramEnd"/>
      <w:r w:rsidRPr="00424DB6" w:rsidR="00857D57">
        <w:rPr>
          <w:sz w:val="24"/>
          <w:szCs w:val="24"/>
        </w:rPr>
        <w:t xml:space="preserve">. </w:t>
      </w:r>
    </w:p>
    <w:p w:rsidRPr="00424DB6" w:rsidR="00857D57" w:rsidP="00107F34" w:rsidRDefault="00857D57" w14:paraId="0ED976E1" w14:textId="77777777">
      <w:pPr>
        <w:widowControl/>
        <w:rPr>
          <w:sz w:val="24"/>
          <w:szCs w:val="24"/>
        </w:rPr>
      </w:pPr>
    </w:p>
    <w:p w:rsidRPr="00424DB6" w:rsidR="008C51F6" w:rsidP="00107F34" w:rsidRDefault="00107F34" w14:paraId="2F493C53" w14:textId="1192C5F6">
      <w:pPr>
        <w:widowControl/>
        <w:rPr>
          <w:sz w:val="24"/>
          <w:szCs w:val="24"/>
        </w:rPr>
      </w:pPr>
      <w:r w:rsidRPr="00424DB6">
        <w:rPr>
          <w:sz w:val="24"/>
          <w:szCs w:val="24"/>
        </w:rPr>
        <w:t>Th</w:t>
      </w:r>
      <w:r w:rsidRPr="00424DB6" w:rsidR="00776901">
        <w:rPr>
          <w:sz w:val="24"/>
          <w:szCs w:val="24"/>
        </w:rPr>
        <w:t>is application</w:t>
      </w:r>
      <w:r w:rsidRPr="00424DB6">
        <w:rPr>
          <w:sz w:val="24"/>
          <w:szCs w:val="24"/>
        </w:rPr>
        <w:t xml:space="preserve"> form </w:t>
      </w:r>
      <w:r w:rsidRPr="00424DB6" w:rsidR="00776901">
        <w:rPr>
          <w:sz w:val="24"/>
          <w:szCs w:val="24"/>
        </w:rPr>
        <w:t>collects vessel owner information and vessel identification information. T</w:t>
      </w:r>
      <w:r w:rsidRPr="00424DB6">
        <w:rPr>
          <w:sz w:val="24"/>
          <w:szCs w:val="24"/>
        </w:rPr>
        <w:t xml:space="preserve">he </w:t>
      </w:r>
      <w:r w:rsidRPr="00424DB6" w:rsidR="00B83CA2">
        <w:rPr>
          <w:sz w:val="24"/>
          <w:szCs w:val="24"/>
        </w:rPr>
        <w:t xml:space="preserve">vessel to be registered and to which the </w:t>
      </w:r>
      <w:r w:rsidRPr="00424DB6">
        <w:rPr>
          <w:sz w:val="24"/>
          <w:szCs w:val="24"/>
        </w:rPr>
        <w:t xml:space="preserve">pot tags </w:t>
      </w:r>
      <w:r w:rsidRPr="00424DB6" w:rsidR="00B83CA2">
        <w:rPr>
          <w:sz w:val="24"/>
          <w:szCs w:val="24"/>
        </w:rPr>
        <w:t>will be assigned must be</w:t>
      </w:r>
      <w:r w:rsidRPr="00424DB6">
        <w:rPr>
          <w:sz w:val="24"/>
          <w:szCs w:val="24"/>
        </w:rPr>
        <w:t xml:space="preserve"> licensed by the State of Alaska. </w:t>
      </w:r>
      <w:r w:rsidRPr="00424DB6" w:rsidR="00301EA5">
        <w:rPr>
          <w:sz w:val="24"/>
          <w:szCs w:val="24"/>
        </w:rPr>
        <w:t>The vessel owner specif</w:t>
      </w:r>
      <w:r w:rsidRPr="00424DB6" w:rsidR="00B83CA2">
        <w:rPr>
          <w:sz w:val="24"/>
          <w:szCs w:val="24"/>
        </w:rPr>
        <w:t>ies</w:t>
      </w:r>
      <w:r w:rsidRPr="00424DB6" w:rsidR="00301EA5">
        <w:rPr>
          <w:sz w:val="24"/>
          <w:szCs w:val="24"/>
        </w:rPr>
        <w:t xml:space="preserve"> if they will be using pot tags previously assigned to this vessel</w:t>
      </w:r>
      <w:r w:rsidR="002108E5">
        <w:rPr>
          <w:sz w:val="24"/>
          <w:szCs w:val="24"/>
        </w:rPr>
        <w:t xml:space="preserve">. </w:t>
      </w:r>
      <w:r w:rsidRPr="00424DB6" w:rsidR="00301EA5">
        <w:rPr>
          <w:sz w:val="24"/>
          <w:szCs w:val="24"/>
        </w:rPr>
        <w:t xml:space="preserve">Pot tags assigned in previous years remain valid as long as the tag </w:t>
      </w:r>
      <w:proofErr w:type="gramStart"/>
      <w:r w:rsidRPr="00424DB6" w:rsidR="00301EA5">
        <w:rPr>
          <w:sz w:val="24"/>
          <w:szCs w:val="24"/>
        </w:rPr>
        <w:t>can still be secured</w:t>
      </w:r>
      <w:proofErr w:type="gramEnd"/>
      <w:r w:rsidRPr="00424DB6" w:rsidR="00301EA5">
        <w:rPr>
          <w:sz w:val="24"/>
          <w:szCs w:val="24"/>
        </w:rPr>
        <w:t xml:space="preserve"> to a pot and the serial number is legible. If previously issued tags need to </w:t>
      </w:r>
      <w:proofErr w:type="gramStart"/>
      <w:r w:rsidRPr="00424DB6" w:rsidR="00301EA5">
        <w:rPr>
          <w:sz w:val="24"/>
          <w:szCs w:val="24"/>
        </w:rPr>
        <w:t>be replaced</w:t>
      </w:r>
      <w:proofErr w:type="gramEnd"/>
      <w:r w:rsidRPr="00424DB6" w:rsidR="00301EA5">
        <w:rPr>
          <w:sz w:val="24"/>
          <w:szCs w:val="24"/>
        </w:rPr>
        <w:t xml:space="preserve">, </w:t>
      </w:r>
      <w:r w:rsidRPr="00424DB6" w:rsidR="00AF22CD">
        <w:rPr>
          <w:sz w:val="24"/>
          <w:szCs w:val="24"/>
        </w:rPr>
        <w:t xml:space="preserve">vessel owners use </w:t>
      </w:r>
      <w:r w:rsidRPr="00424DB6" w:rsidR="00301EA5">
        <w:rPr>
          <w:sz w:val="24"/>
          <w:szCs w:val="24"/>
        </w:rPr>
        <w:t xml:space="preserve">the IFQ Sablefish Request for Replacement of Longline Pot Gear Tags application form (see below). </w:t>
      </w:r>
    </w:p>
    <w:p w:rsidRPr="00424DB6" w:rsidR="008C51F6" w:rsidP="00107F34" w:rsidRDefault="008C51F6" w14:paraId="7C5D0C9E" w14:textId="77777777">
      <w:pPr>
        <w:widowControl/>
        <w:rPr>
          <w:sz w:val="24"/>
          <w:szCs w:val="24"/>
        </w:rPr>
      </w:pPr>
    </w:p>
    <w:p w:rsidRPr="00424DB6" w:rsidR="008C51F6" w:rsidP="008C51F6" w:rsidRDefault="008C51F6" w14:paraId="46E0E0CF" w14:textId="06E062DA">
      <w:pPr>
        <w:widowControl/>
        <w:autoSpaceDE/>
        <w:autoSpaceDN/>
        <w:adjustRightInd/>
        <w:rPr>
          <w:sz w:val="24"/>
          <w:szCs w:val="24"/>
        </w:rPr>
      </w:pPr>
      <w:r w:rsidRPr="00424DB6">
        <w:rPr>
          <w:sz w:val="24"/>
          <w:szCs w:val="24"/>
        </w:rPr>
        <w:t>The vessel owner is required to have tags for each pot</w:t>
      </w:r>
      <w:r w:rsidR="002108E5">
        <w:rPr>
          <w:sz w:val="24"/>
          <w:szCs w:val="24"/>
        </w:rPr>
        <w:t>,</w:t>
      </w:r>
      <w:r w:rsidRPr="00424DB6">
        <w:rPr>
          <w:sz w:val="24"/>
          <w:szCs w:val="24"/>
        </w:rPr>
        <w:t xml:space="preserve"> and </w:t>
      </w:r>
      <w:r w:rsidRPr="00424DB6" w:rsidR="001F330A">
        <w:rPr>
          <w:sz w:val="24"/>
          <w:szCs w:val="24"/>
        </w:rPr>
        <w:t xml:space="preserve">on the form </w:t>
      </w:r>
      <w:r w:rsidRPr="00424DB6" w:rsidR="00200C3D">
        <w:rPr>
          <w:sz w:val="24"/>
          <w:szCs w:val="24"/>
        </w:rPr>
        <w:t>specif</w:t>
      </w:r>
      <w:r w:rsidRPr="00424DB6" w:rsidR="001F330A">
        <w:rPr>
          <w:sz w:val="24"/>
          <w:szCs w:val="24"/>
        </w:rPr>
        <w:t>ies</w:t>
      </w:r>
      <w:r w:rsidRPr="00424DB6" w:rsidR="00200C3D">
        <w:rPr>
          <w:sz w:val="24"/>
          <w:szCs w:val="24"/>
        </w:rPr>
        <w:t xml:space="preserve"> the </w:t>
      </w:r>
      <w:r w:rsidRPr="00424DB6">
        <w:rPr>
          <w:sz w:val="24"/>
          <w:szCs w:val="24"/>
        </w:rPr>
        <w:t>number of pot tags</w:t>
      </w:r>
      <w:r w:rsidRPr="00424DB6" w:rsidR="00200C3D">
        <w:rPr>
          <w:sz w:val="24"/>
          <w:szCs w:val="24"/>
        </w:rPr>
        <w:t xml:space="preserve"> </w:t>
      </w:r>
      <w:r w:rsidRPr="00424DB6" w:rsidR="00B83CA2">
        <w:rPr>
          <w:sz w:val="24"/>
          <w:szCs w:val="24"/>
        </w:rPr>
        <w:t xml:space="preserve">requested </w:t>
      </w:r>
      <w:r w:rsidRPr="00424DB6" w:rsidR="00200C3D">
        <w:rPr>
          <w:sz w:val="24"/>
          <w:szCs w:val="24"/>
        </w:rPr>
        <w:t xml:space="preserve">for each </w:t>
      </w:r>
      <w:r w:rsidRPr="00424DB6" w:rsidR="00B83CA2">
        <w:rPr>
          <w:sz w:val="24"/>
          <w:szCs w:val="24"/>
        </w:rPr>
        <w:t xml:space="preserve">GOA </w:t>
      </w:r>
      <w:r w:rsidRPr="00424DB6" w:rsidR="00200C3D">
        <w:rPr>
          <w:sz w:val="24"/>
          <w:szCs w:val="24"/>
        </w:rPr>
        <w:t>IFQ regulatory area</w:t>
      </w:r>
      <w:r w:rsidRPr="00424DB6">
        <w:rPr>
          <w:sz w:val="24"/>
          <w:szCs w:val="24"/>
        </w:rPr>
        <w:t>. The maximum number of pot</w:t>
      </w:r>
      <w:r w:rsidRPr="00424DB6" w:rsidR="000D7AF5">
        <w:rPr>
          <w:sz w:val="24"/>
          <w:szCs w:val="24"/>
        </w:rPr>
        <w:t xml:space="preserve"> tags issued to a vessel owner</w:t>
      </w:r>
      <w:r w:rsidRPr="00424DB6" w:rsidR="00BF48A6">
        <w:rPr>
          <w:sz w:val="24"/>
          <w:szCs w:val="24"/>
        </w:rPr>
        <w:t xml:space="preserve"> </w:t>
      </w:r>
      <w:r w:rsidRPr="00424DB6" w:rsidR="00D82FC7">
        <w:rPr>
          <w:sz w:val="24"/>
          <w:szCs w:val="24"/>
        </w:rPr>
        <w:t>is</w:t>
      </w:r>
      <w:r w:rsidRPr="00424DB6">
        <w:rPr>
          <w:sz w:val="24"/>
          <w:szCs w:val="24"/>
        </w:rPr>
        <w:t xml:space="preserve"> equal to the </w:t>
      </w:r>
      <w:r w:rsidRPr="00424DB6" w:rsidR="00200C3D">
        <w:rPr>
          <w:sz w:val="24"/>
          <w:szCs w:val="24"/>
        </w:rPr>
        <w:t xml:space="preserve">following </w:t>
      </w:r>
      <w:r w:rsidRPr="00424DB6">
        <w:rPr>
          <w:sz w:val="24"/>
          <w:szCs w:val="24"/>
        </w:rPr>
        <w:t>pot limit</w:t>
      </w:r>
      <w:r w:rsidRPr="00424DB6" w:rsidR="00666594">
        <w:rPr>
          <w:sz w:val="24"/>
          <w:szCs w:val="24"/>
        </w:rPr>
        <w:t>s</w:t>
      </w:r>
      <w:r w:rsidRPr="00424DB6">
        <w:rPr>
          <w:sz w:val="24"/>
          <w:szCs w:val="24"/>
        </w:rPr>
        <w:t xml:space="preserve"> </w:t>
      </w:r>
      <w:r w:rsidRPr="00424DB6" w:rsidR="00666594">
        <w:rPr>
          <w:sz w:val="24"/>
          <w:szCs w:val="24"/>
        </w:rPr>
        <w:t>at § 679.42(l</w:t>
      </w:r>
      <w:proofErr w:type="gramStart"/>
      <w:r w:rsidRPr="00424DB6" w:rsidR="00666594">
        <w:rPr>
          <w:sz w:val="24"/>
          <w:szCs w:val="24"/>
        </w:rPr>
        <w:t>)(</w:t>
      </w:r>
      <w:proofErr w:type="gramEnd"/>
      <w:r w:rsidRPr="00424DB6" w:rsidR="00666594">
        <w:rPr>
          <w:sz w:val="24"/>
          <w:szCs w:val="24"/>
        </w:rPr>
        <w:t xml:space="preserve">5)(ii) </w:t>
      </w:r>
      <w:r w:rsidRPr="00424DB6" w:rsidR="00200C3D">
        <w:rPr>
          <w:sz w:val="24"/>
          <w:szCs w:val="24"/>
        </w:rPr>
        <w:t>for each IFQ regulatory area</w:t>
      </w:r>
      <w:r w:rsidRPr="00424DB6" w:rsidR="00666594">
        <w:rPr>
          <w:sz w:val="24"/>
          <w:szCs w:val="24"/>
        </w:rPr>
        <w:t xml:space="preserve"> </w:t>
      </w:r>
      <w:r w:rsidRPr="00424DB6">
        <w:rPr>
          <w:sz w:val="24"/>
          <w:szCs w:val="24"/>
        </w:rPr>
        <w:t>for pot longline gear in the GOA</w:t>
      </w:r>
      <w:r w:rsidRPr="00424DB6" w:rsidR="00200C3D">
        <w:rPr>
          <w:sz w:val="24"/>
          <w:szCs w:val="24"/>
        </w:rPr>
        <w:t xml:space="preserve"> IFQ s</w:t>
      </w:r>
      <w:r w:rsidRPr="00424DB6" w:rsidR="00485542">
        <w:rPr>
          <w:sz w:val="24"/>
          <w:szCs w:val="24"/>
        </w:rPr>
        <w:t>ablefish</w:t>
      </w:r>
      <w:r w:rsidRPr="00424DB6" w:rsidR="00200C3D">
        <w:rPr>
          <w:sz w:val="24"/>
          <w:szCs w:val="24"/>
        </w:rPr>
        <w:t xml:space="preserve"> </w:t>
      </w:r>
      <w:r w:rsidRPr="00424DB6">
        <w:rPr>
          <w:sz w:val="24"/>
          <w:szCs w:val="24"/>
        </w:rPr>
        <w:t>fishery:</w:t>
      </w:r>
    </w:p>
    <w:p w:rsidRPr="00424DB6" w:rsidR="008C51F6" w:rsidP="00823B1B" w:rsidRDefault="00D82FC7" w14:paraId="3C1D49AE" w14:textId="2B882F89">
      <w:pPr>
        <w:pStyle w:val="ListParagraph"/>
        <w:widowControl/>
        <w:numPr>
          <w:ilvl w:val="0"/>
          <w:numId w:val="7"/>
        </w:numPr>
        <w:autoSpaceDE/>
        <w:autoSpaceDN/>
        <w:adjustRightInd/>
        <w:rPr>
          <w:sz w:val="24"/>
          <w:szCs w:val="24"/>
        </w:rPr>
      </w:pPr>
      <w:r w:rsidRPr="00424DB6">
        <w:rPr>
          <w:sz w:val="24"/>
          <w:szCs w:val="24"/>
        </w:rPr>
        <w:t>Southeast Outside District (SEO) — 120 pots</w:t>
      </w:r>
    </w:p>
    <w:p w:rsidRPr="004B34DB" w:rsidR="008C51F6" w:rsidP="00823B1B" w:rsidRDefault="008C51F6" w14:paraId="4AA061F1" w14:textId="11C9D9AB">
      <w:pPr>
        <w:pStyle w:val="ListParagraph"/>
        <w:widowControl/>
        <w:numPr>
          <w:ilvl w:val="1"/>
          <w:numId w:val="7"/>
        </w:numPr>
        <w:ind w:left="720"/>
        <w:rPr>
          <w:sz w:val="24"/>
          <w:szCs w:val="24"/>
        </w:rPr>
      </w:pPr>
      <w:r w:rsidRPr="004B34DB">
        <w:rPr>
          <w:sz w:val="24"/>
          <w:szCs w:val="24"/>
        </w:rPr>
        <w:t>W</w:t>
      </w:r>
      <w:r w:rsidRPr="004B34DB" w:rsidR="00200C3D">
        <w:rPr>
          <w:sz w:val="24"/>
          <w:szCs w:val="24"/>
        </w:rPr>
        <w:t>estern Yakutat District</w:t>
      </w:r>
      <w:r w:rsidRPr="004B34DB" w:rsidR="004B34DB">
        <w:rPr>
          <w:sz w:val="24"/>
          <w:szCs w:val="24"/>
        </w:rPr>
        <w:t xml:space="preserve"> </w:t>
      </w:r>
      <w:r w:rsidRPr="004B34DB" w:rsidR="00200C3D">
        <w:rPr>
          <w:sz w:val="24"/>
          <w:szCs w:val="24"/>
        </w:rPr>
        <w:t>(WY)</w:t>
      </w:r>
      <w:r w:rsidRPr="004B34DB">
        <w:rPr>
          <w:sz w:val="24"/>
          <w:szCs w:val="24"/>
        </w:rPr>
        <w:t xml:space="preserve"> </w:t>
      </w:r>
      <w:r w:rsidRPr="00D82FC7" w:rsidR="00D82FC7">
        <w:rPr>
          <w:sz w:val="24"/>
          <w:szCs w:val="24"/>
        </w:rPr>
        <w:t>— 120 pots</w:t>
      </w:r>
      <w:r w:rsidRPr="00D82FC7" w:rsidDel="00D82FC7" w:rsidR="00D82FC7">
        <w:rPr>
          <w:sz w:val="24"/>
          <w:szCs w:val="24"/>
        </w:rPr>
        <w:t xml:space="preserve"> </w:t>
      </w:r>
    </w:p>
    <w:p w:rsidR="00D82FC7" w:rsidP="00823B1B" w:rsidRDefault="00D82FC7" w14:paraId="3D89EEF8" w14:textId="3A8E16D2">
      <w:pPr>
        <w:pStyle w:val="ListParagraph"/>
        <w:widowControl/>
        <w:numPr>
          <w:ilvl w:val="1"/>
          <w:numId w:val="7"/>
        </w:numPr>
        <w:ind w:left="720"/>
        <w:rPr>
          <w:sz w:val="24"/>
          <w:szCs w:val="24"/>
        </w:rPr>
      </w:pPr>
      <w:r w:rsidRPr="004B34DB">
        <w:rPr>
          <w:sz w:val="24"/>
          <w:szCs w:val="24"/>
        </w:rPr>
        <w:t>Central Gulf of Alaska (CGOA</w:t>
      </w:r>
      <w:r>
        <w:rPr>
          <w:sz w:val="24"/>
          <w:szCs w:val="24"/>
        </w:rPr>
        <w:t>)</w:t>
      </w:r>
      <w:r w:rsidRPr="004B34DB" w:rsidDel="00D82FC7">
        <w:rPr>
          <w:sz w:val="24"/>
          <w:szCs w:val="24"/>
        </w:rPr>
        <w:t xml:space="preserve"> </w:t>
      </w:r>
      <w:r w:rsidRPr="00D82FC7">
        <w:rPr>
          <w:sz w:val="24"/>
          <w:szCs w:val="24"/>
        </w:rPr>
        <w:t xml:space="preserve">— </w:t>
      </w:r>
      <w:r w:rsidR="00AF7345">
        <w:rPr>
          <w:sz w:val="24"/>
          <w:szCs w:val="24"/>
        </w:rPr>
        <w:t>300</w:t>
      </w:r>
      <w:r w:rsidRPr="00D82FC7">
        <w:rPr>
          <w:sz w:val="24"/>
          <w:szCs w:val="24"/>
        </w:rPr>
        <w:t xml:space="preserve"> pots </w:t>
      </w:r>
    </w:p>
    <w:p w:rsidRPr="004B34DB" w:rsidR="008C51F6" w:rsidP="00823B1B" w:rsidRDefault="00200C3D" w14:paraId="05DA2A34" w14:textId="278C68B9">
      <w:pPr>
        <w:pStyle w:val="ListParagraph"/>
        <w:widowControl/>
        <w:numPr>
          <w:ilvl w:val="1"/>
          <w:numId w:val="7"/>
        </w:numPr>
        <w:ind w:left="720"/>
        <w:rPr>
          <w:sz w:val="24"/>
          <w:szCs w:val="24"/>
        </w:rPr>
      </w:pPr>
      <w:r w:rsidRPr="004B34DB">
        <w:rPr>
          <w:sz w:val="24"/>
          <w:szCs w:val="24"/>
        </w:rPr>
        <w:t>Western Gulf of Alaska (</w:t>
      </w:r>
      <w:r w:rsidRPr="004B34DB" w:rsidR="008C51F6">
        <w:rPr>
          <w:sz w:val="24"/>
          <w:szCs w:val="24"/>
        </w:rPr>
        <w:t>WGOA</w:t>
      </w:r>
      <w:r w:rsidRPr="004B34DB">
        <w:rPr>
          <w:sz w:val="24"/>
          <w:szCs w:val="24"/>
        </w:rPr>
        <w:t>)</w:t>
      </w:r>
      <w:r w:rsidRPr="004B34DB" w:rsidR="008C51F6">
        <w:rPr>
          <w:sz w:val="24"/>
          <w:szCs w:val="24"/>
        </w:rPr>
        <w:t xml:space="preserve"> </w:t>
      </w:r>
      <w:r w:rsidRPr="00D82FC7" w:rsidR="00D82FC7">
        <w:rPr>
          <w:sz w:val="24"/>
          <w:szCs w:val="24"/>
        </w:rPr>
        <w:t xml:space="preserve">— </w:t>
      </w:r>
      <w:r w:rsidR="00AF7345">
        <w:rPr>
          <w:sz w:val="24"/>
          <w:szCs w:val="24"/>
        </w:rPr>
        <w:t>300</w:t>
      </w:r>
      <w:r w:rsidRPr="00D82FC7" w:rsidR="00D82FC7">
        <w:rPr>
          <w:sz w:val="24"/>
          <w:szCs w:val="24"/>
        </w:rPr>
        <w:t xml:space="preserve"> pots</w:t>
      </w:r>
    </w:p>
    <w:p w:rsidRPr="00D95A13" w:rsidR="00107F34" w:rsidP="00107F34" w:rsidRDefault="00107F34" w14:paraId="7D0B5948" w14:textId="5FC1AEA6">
      <w:pPr>
        <w:widowControl/>
        <w:rPr>
          <w:strike/>
          <w:sz w:val="24"/>
          <w:szCs w:val="24"/>
        </w:rPr>
      </w:pPr>
    </w:p>
    <w:p w:rsidRPr="000D7AF5" w:rsidR="00107F34" w:rsidP="00107F34" w:rsidRDefault="00BF48A6" w14:paraId="376D0848" w14:textId="2F922CB9">
      <w:pPr>
        <w:widowControl/>
        <w:rPr>
          <w:sz w:val="24"/>
          <w:szCs w:val="24"/>
        </w:rPr>
      </w:pPr>
      <w:r w:rsidRPr="000D7AF5">
        <w:rPr>
          <w:sz w:val="24"/>
          <w:szCs w:val="24"/>
        </w:rPr>
        <w:t>NMFS send</w:t>
      </w:r>
      <w:r w:rsidR="00F4500A">
        <w:rPr>
          <w:sz w:val="24"/>
          <w:szCs w:val="24"/>
        </w:rPr>
        <w:t>s</w:t>
      </w:r>
      <w:r w:rsidRPr="000D7AF5">
        <w:rPr>
          <w:sz w:val="24"/>
          <w:szCs w:val="24"/>
        </w:rPr>
        <w:t xml:space="preserve"> the pot tags to the vessel owner at the address provided on the application form.</w:t>
      </w:r>
    </w:p>
    <w:p w:rsidR="00BF48A6" w:rsidP="00107F34" w:rsidRDefault="00BF48A6" w14:paraId="79CB5812" w14:textId="77777777">
      <w:pPr>
        <w:widowControl/>
        <w:tabs>
          <w:tab w:val="left" w:pos="360"/>
          <w:tab w:val="left" w:pos="720"/>
          <w:tab w:val="left" w:pos="1080"/>
        </w:tabs>
        <w:rPr>
          <w:sz w:val="24"/>
          <w:szCs w:val="24"/>
        </w:rPr>
      </w:pPr>
    </w:p>
    <w:p w:rsidR="00BF48A6" w:rsidP="00107F34" w:rsidRDefault="000D7AF5" w14:paraId="47E34485" w14:textId="1B02AA18">
      <w:pPr>
        <w:widowControl/>
        <w:tabs>
          <w:tab w:val="left" w:pos="360"/>
          <w:tab w:val="left" w:pos="720"/>
          <w:tab w:val="left" w:pos="1080"/>
        </w:tabs>
        <w:rPr>
          <w:sz w:val="24"/>
          <w:szCs w:val="24"/>
        </w:rPr>
      </w:pPr>
      <w:r w:rsidRPr="000D7AF5">
        <w:rPr>
          <w:sz w:val="24"/>
          <w:szCs w:val="24"/>
        </w:rPr>
        <w:t xml:space="preserve">Each pot tag issued </w:t>
      </w:r>
      <w:r w:rsidR="00F4500A">
        <w:rPr>
          <w:sz w:val="24"/>
          <w:szCs w:val="24"/>
        </w:rPr>
        <w:t>is</w:t>
      </w:r>
      <w:r w:rsidRPr="000D7AF5">
        <w:rPr>
          <w:sz w:val="24"/>
          <w:szCs w:val="24"/>
        </w:rPr>
        <w:t xml:space="preserve"> a color specific to the IFQ regulatory area in which it </w:t>
      </w:r>
      <w:proofErr w:type="gramStart"/>
      <w:r w:rsidRPr="000D7AF5">
        <w:rPr>
          <w:sz w:val="24"/>
          <w:szCs w:val="24"/>
        </w:rPr>
        <w:t>must be deployed and imprinted with a unique serial number</w:t>
      </w:r>
      <w:proofErr w:type="gramEnd"/>
      <w:r w:rsidRPr="000D7AF5">
        <w:rPr>
          <w:sz w:val="24"/>
          <w:szCs w:val="24"/>
        </w:rPr>
        <w:t xml:space="preserve">. </w:t>
      </w:r>
      <w:r w:rsidR="00BF48A6">
        <w:rPr>
          <w:sz w:val="24"/>
          <w:szCs w:val="24"/>
        </w:rPr>
        <w:t>A</w:t>
      </w:r>
      <w:r w:rsidRPr="00BF48A6" w:rsidR="00BF48A6">
        <w:rPr>
          <w:sz w:val="24"/>
          <w:szCs w:val="24"/>
        </w:rPr>
        <w:t xml:space="preserve"> </w:t>
      </w:r>
      <w:r w:rsidR="00BF48A6">
        <w:rPr>
          <w:sz w:val="24"/>
          <w:szCs w:val="24"/>
        </w:rPr>
        <w:t xml:space="preserve">valid </w:t>
      </w:r>
      <w:r w:rsidRPr="00BF48A6" w:rsidR="00BF48A6">
        <w:rPr>
          <w:sz w:val="24"/>
          <w:szCs w:val="24"/>
        </w:rPr>
        <w:t>pot</w:t>
      </w:r>
      <w:r w:rsidR="00BF48A6">
        <w:rPr>
          <w:sz w:val="24"/>
          <w:szCs w:val="24"/>
        </w:rPr>
        <w:t xml:space="preserve"> tag </w:t>
      </w:r>
      <w:proofErr w:type="gramStart"/>
      <w:r w:rsidRPr="00BF48A6" w:rsidR="00BF48A6">
        <w:rPr>
          <w:sz w:val="24"/>
          <w:szCs w:val="24"/>
        </w:rPr>
        <w:t xml:space="preserve">must be </w:t>
      </w:r>
      <w:r w:rsidR="00BF48A6">
        <w:rPr>
          <w:sz w:val="24"/>
          <w:szCs w:val="24"/>
        </w:rPr>
        <w:t>attached</w:t>
      </w:r>
      <w:proofErr w:type="gramEnd"/>
      <w:r w:rsidR="00BF48A6">
        <w:rPr>
          <w:sz w:val="24"/>
          <w:szCs w:val="24"/>
        </w:rPr>
        <w:t xml:space="preserve"> to each pot on board the vessel to which the pot tags are assigned before the vessel departs to fish. The tag </w:t>
      </w:r>
      <w:proofErr w:type="gramStart"/>
      <w:r w:rsidR="00BF48A6">
        <w:rPr>
          <w:sz w:val="24"/>
          <w:szCs w:val="24"/>
        </w:rPr>
        <w:t xml:space="preserve">must be </w:t>
      </w:r>
      <w:r w:rsidRPr="00BF48A6" w:rsidR="00BF48A6">
        <w:rPr>
          <w:sz w:val="24"/>
          <w:szCs w:val="24"/>
        </w:rPr>
        <w:t>fastened</w:t>
      </w:r>
      <w:proofErr w:type="gramEnd"/>
      <w:r w:rsidRPr="00BF48A6" w:rsidR="00BF48A6">
        <w:rPr>
          <w:sz w:val="24"/>
          <w:szCs w:val="24"/>
        </w:rPr>
        <w:t xml:space="preserve"> to the pot bridge or cross member such</w:t>
      </w:r>
      <w:r w:rsidR="00BF48A6">
        <w:rPr>
          <w:sz w:val="24"/>
          <w:szCs w:val="24"/>
        </w:rPr>
        <w:t xml:space="preserve"> that the entire tag is visible</w:t>
      </w:r>
      <w:r w:rsidRPr="00BF48A6" w:rsidR="00BF48A6">
        <w:rPr>
          <w:sz w:val="24"/>
          <w:szCs w:val="24"/>
        </w:rPr>
        <w:t>.</w:t>
      </w:r>
    </w:p>
    <w:p w:rsidR="002108E5" w:rsidP="00107F34" w:rsidRDefault="002108E5" w14:paraId="7232CF04" w14:textId="77777777">
      <w:pPr>
        <w:widowControl/>
        <w:tabs>
          <w:tab w:val="left" w:pos="360"/>
          <w:tab w:val="left" w:pos="720"/>
          <w:tab w:val="left" w:pos="1080"/>
        </w:tabs>
        <w:rPr>
          <w:sz w:val="24"/>
          <w:szCs w:val="24"/>
        </w:rPr>
      </w:pPr>
    </w:p>
    <w:p w:rsidR="00107F34" w:rsidP="00107F34" w:rsidRDefault="008F18BE" w14:paraId="79D5ADA8" w14:textId="18D65976">
      <w:pPr>
        <w:widowControl/>
        <w:tabs>
          <w:tab w:val="left" w:pos="360"/>
          <w:tab w:val="left" w:pos="720"/>
          <w:tab w:val="left" w:pos="1080"/>
        </w:tabs>
        <w:rPr>
          <w:sz w:val="24"/>
          <w:szCs w:val="24"/>
        </w:rPr>
      </w:pPr>
      <w:r w:rsidRPr="008F18BE">
        <w:rPr>
          <w:sz w:val="24"/>
          <w:szCs w:val="24"/>
        </w:rPr>
        <w:t xml:space="preserve">There is no fee to obtain </w:t>
      </w:r>
      <w:proofErr w:type="gramStart"/>
      <w:r w:rsidRPr="008F18BE">
        <w:rPr>
          <w:sz w:val="24"/>
          <w:szCs w:val="24"/>
        </w:rPr>
        <w:t>IFQ sablefish pot gear tags</w:t>
      </w:r>
      <w:proofErr w:type="gramEnd"/>
      <w:r w:rsidRPr="008F18BE">
        <w:rPr>
          <w:sz w:val="24"/>
          <w:szCs w:val="24"/>
        </w:rPr>
        <w:t xml:space="preserve"> from </w:t>
      </w:r>
      <w:r>
        <w:rPr>
          <w:sz w:val="24"/>
          <w:szCs w:val="24"/>
        </w:rPr>
        <w:t>NMFS</w:t>
      </w:r>
      <w:r w:rsidRPr="008F18BE">
        <w:rPr>
          <w:sz w:val="24"/>
          <w:szCs w:val="24"/>
        </w:rPr>
        <w:t>. The cost of these tags is included in the management, data collection and enforcement costs assessed in the IFQ cost recovery program</w:t>
      </w:r>
      <w:r w:rsidR="00193E79">
        <w:rPr>
          <w:sz w:val="24"/>
          <w:szCs w:val="24"/>
        </w:rPr>
        <w:t xml:space="preserve"> </w:t>
      </w:r>
      <w:r w:rsidRPr="00193E79" w:rsidR="00193E79">
        <w:rPr>
          <w:sz w:val="24"/>
          <w:szCs w:val="24"/>
        </w:rPr>
        <w:t>(see OMB control number 0648-0711)</w:t>
      </w:r>
      <w:r w:rsidRPr="008F18BE">
        <w:rPr>
          <w:sz w:val="24"/>
          <w:szCs w:val="24"/>
        </w:rPr>
        <w:t>.</w:t>
      </w:r>
    </w:p>
    <w:p w:rsidRPr="00DB2597" w:rsidR="00822850" w:rsidP="0020448B" w:rsidRDefault="00822850" w14:paraId="3CBF317E" w14:textId="77777777">
      <w:pPr>
        <w:rPr>
          <w:sz w:val="24"/>
          <w:szCs w:val="24"/>
          <w:highlight w:val="lightGray"/>
        </w:rPr>
      </w:pPr>
    </w:p>
    <w:p w:rsidRPr="008F2067" w:rsidR="00DB2597" w:rsidP="00DB2597" w:rsidRDefault="00401F31" w14:paraId="0BE762CE" w14:textId="30B2FE15">
      <w:pPr>
        <w:widowControl/>
        <w:rPr>
          <w:i/>
          <w:sz w:val="24"/>
          <w:szCs w:val="24"/>
        </w:rPr>
      </w:pPr>
      <w:r w:rsidRPr="008F2067">
        <w:rPr>
          <w:i/>
          <w:sz w:val="24"/>
          <w:szCs w:val="24"/>
        </w:rPr>
        <w:t>IFQ Sablefish</w:t>
      </w:r>
      <w:r w:rsidRPr="008F2067" w:rsidR="00DB2597">
        <w:rPr>
          <w:i/>
          <w:sz w:val="24"/>
          <w:szCs w:val="24"/>
        </w:rPr>
        <w:t xml:space="preserve"> Request for Replacement of </w:t>
      </w:r>
      <w:r w:rsidRPr="008F2067">
        <w:rPr>
          <w:i/>
          <w:sz w:val="24"/>
          <w:szCs w:val="24"/>
        </w:rPr>
        <w:t>Longline</w:t>
      </w:r>
      <w:r w:rsidRPr="008F2067" w:rsidR="00DB2597">
        <w:rPr>
          <w:i/>
          <w:sz w:val="24"/>
          <w:szCs w:val="24"/>
        </w:rPr>
        <w:t xml:space="preserve"> Pot Gear Tags</w:t>
      </w:r>
      <w:r w:rsidRPr="008F2067" w:rsidR="00416CE8">
        <w:rPr>
          <w:i/>
          <w:sz w:val="24"/>
          <w:szCs w:val="24"/>
        </w:rPr>
        <w:t xml:space="preserve"> </w:t>
      </w:r>
    </w:p>
    <w:p w:rsidRPr="001936F2" w:rsidR="00DB2597" w:rsidP="00DB2597" w:rsidRDefault="00DB2597" w14:paraId="46C63E98" w14:textId="77777777">
      <w:pPr>
        <w:widowControl/>
        <w:rPr>
          <w:sz w:val="24"/>
          <w:szCs w:val="24"/>
        </w:rPr>
      </w:pPr>
    </w:p>
    <w:p w:rsidR="001936F2" w:rsidP="00DB2597" w:rsidRDefault="0007138D" w14:paraId="41B2A7F9" w14:textId="76C94A08">
      <w:pPr>
        <w:widowControl/>
        <w:rPr>
          <w:sz w:val="24"/>
          <w:szCs w:val="24"/>
        </w:rPr>
      </w:pPr>
      <w:r w:rsidRPr="001936F2">
        <w:rPr>
          <w:sz w:val="24"/>
          <w:szCs w:val="24"/>
        </w:rPr>
        <w:t xml:space="preserve">A vessel owner </w:t>
      </w:r>
      <w:r w:rsidR="00495646">
        <w:rPr>
          <w:sz w:val="24"/>
          <w:szCs w:val="24"/>
        </w:rPr>
        <w:t>submits</w:t>
      </w:r>
      <w:r w:rsidRPr="001936F2">
        <w:rPr>
          <w:sz w:val="24"/>
          <w:szCs w:val="24"/>
        </w:rPr>
        <w:t xml:space="preserve"> the</w:t>
      </w:r>
      <w:r w:rsidRPr="001936F2">
        <w:t xml:space="preserve"> </w:t>
      </w:r>
      <w:r w:rsidRPr="001936F2">
        <w:rPr>
          <w:sz w:val="24"/>
          <w:szCs w:val="24"/>
        </w:rPr>
        <w:t>IFQ Sablefish Request for Replacement of Longline Pot Gear Tags application form</w:t>
      </w:r>
      <w:r w:rsidR="00B22D30">
        <w:rPr>
          <w:sz w:val="24"/>
          <w:szCs w:val="24"/>
        </w:rPr>
        <w:t xml:space="preserve"> when necessary</w:t>
      </w:r>
      <w:r w:rsidR="00495646">
        <w:rPr>
          <w:sz w:val="24"/>
          <w:szCs w:val="24"/>
        </w:rPr>
        <w:t xml:space="preserve"> </w:t>
      </w:r>
      <w:r w:rsidRPr="001936F2">
        <w:rPr>
          <w:sz w:val="24"/>
          <w:szCs w:val="24"/>
        </w:rPr>
        <w:t xml:space="preserve">to </w:t>
      </w:r>
      <w:r w:rsidRPr="001936F2" w:rsidR="00DB2597">
        <w:rPr>
          <w:sz w:val="24"/>
          <w:szCs w:val="24"/>
        </w:rPr>
        <w:t xml:space="preserve">replace a longline pot tag that </w:t>
      </w:r>
      <w:r w:rsidR="00B22D30">
        <w:rPr>
          <w:sz w:val="24"/>
          <w:szCs w:val="24"/>
        </w:rPr>
        <w:t>has been</w:t>
      </w:r>
      <w:r w:rsidRPr="001936F2" w:rsidR="00DB2597">
        <w:rPr>
          <w:sz w:val="24"/>
          <w:szCs w:val="24"/>
        </w:rPr>
        <w:t xml:space="preserve"> lost, stolen, or mutilated. </w:t>
      </w:r>
      <w:r w:rsidRPr="001936F2" w:rsidR="001936F2">
        <w:rPr>
          <w:sz w:val="24"/>
          <w:szCs w:val="24"/>
        </w:rPr>
        <w:t>Th</w:t>
      </w:r>
      <w:r w:rsidR="00BB211A">
        <w:rPr>
          <w:sz w:val="24"/>
          <w:szCs w:val="24"/>
        </w:rPr>
        <w:t>is</w:t>
      </w:r>
      <w:r w:rsidRPr="001936F2" w:rsidR="001936F2">
        <w:rPr>
          <w:sz w:val="24"/>
          <w:szCs w:val="24"/>
        </w:rPr>
        <w:t xml:space="preserve"> form is a sworn affidavit to the </w:t>
      </w:r>
      <w:r w:rsidR="00D04412">
        <w:rPr>
          <w:sz w:val="24"/>
          <w:szCs w:val="24"/>
        </w:rPr>
        <w:t xml:space="preserve">NMFS </w:t>
      </w:r>
      <w:r w:rsidRPr="001936F2" w:rsidR="001936F2">
        <w:rPr>
          <w:sz w:val="24"/>
          <w:szCs w:val="24"/>
        </w:rPr>
        <w:t xml:space="preserve">Regional Administrator indicating the reason for the request for a replacement pot tag or pot tags and the number of replacement pot tags requested </w:t>
      </w:r>
      <w:r w:rsidR="002300D6">
        <w:rPr>
          <w:sz w:val="24"/>
          <w:szCs w:val="24"/>
        </w:rPr>
        <w:t>by</w:t>
      </w:r>
      <w:r w:rsidRPr="001936F2" w:rsidR="001936F2">
        <w:rPr>
          <w:sz w:val="24"/>
          <w:szCs w:val="24"/>
        </w:rPr>
        <w:t xml:space="preserve"> IFQ regulatory area.</w:t>
      </w:r>
    </w:p>
    <w:p w:rsidR="001936F2" w:rsidP="00DB2597" w:rsidRDefault="001936F2" w14:paraId="6ACBD548" w14:textId="77777777">
      <w:pPr>
        <w:widowControl/>
        <w:rPr>
          <w:sz w:val="24"/>
          <w:szCs w:val="24"/>
        </w:rPr>
      </w:pPr>
    </w:p>
    <w:p w:rsidR="00495646" w:rsidP="00495646" w:rsidRDefault="00495646" w14:paraId="39F19A94" w14:textId="1AC5F5FD">
      <w:pPr>
        <w:widowControl/>
        <w:rPr>
          <w:sz w:val="24"/>
          <w:szCs w:val="24"/>
        </w:rPr>
      </w:pPr>
      <w:r w:rsidRPr="00B7613F">
        <w:rPr>
          <w:sz w:val="24"/>
          <w:szCs w:val="24"/>
        </w:rPr>
        <w:t xml:space="preserve">NMFS uses information collected by this form to enforce pot limits and enhance tracking of lost fishing gear. </w:t>
      </w:r>
      <w:proofErr w:type="gramStart"/>
      <w:r w:rsidRPr="00B7613F">
        <w:rPr>
          <w:sz w:val="24"/>
          <w:szCs w:val="24"/>
        </w:rPr>
        <w:t>Fishermen</w:t>
      </w:r>
      <w:proofErr w:type="gramEnd"/>
      <w:r w:rsidRPr="00B7613F">
        <w:rPr>
          <w:sz w:val="24"/>
          <w:szCs w:val="24"/>
        </w:rPr>
        <w:t xml:space="preserve"> who lose a tag while at sea must notify the enforcement agency that they will be landing a pot without a tag, thus, avoiding a citation or the seizure of an untagged pot. </w:t>
      </w:r>
    </w:p>
    <w:p w:rsidRPr="00B7613F" w:rsidR="00495646" w:rsidP="00495646" w:rsidRDefault="00495646" w14:paraId="6C09F5D0" w14:textId="77777777">
      <w:pPr>
        <w:widowControl/>
        <w:rPr>
          <w:sz w:val="24"/>
          <w:szCs w:val="24"/>
        </w:rPr>
      </w:pPr>
    </w:p>
    <w:p w:rsidR="00B622FD" w:rsidP="00DB2597" w:rsidRDefault="00B622FD" w14:paraId="35900DEB" w14:textId="60FE2A21">
      <w:pPr>
        <w:widowControl/>
        <w:rPr>
          <w:sz w:val="24"/>
          <w:szCs w:val="24"/>
        </w:rPr>
      </w:pPr>
      <w:r w:rsidRPr="00B622FD">
        <w:rPr>
          <w:sz w:val="24"/>
          <w:szCs w:val="24"/>
        </w:rPr>
        <w:lastRenderedPageBreak/>
        <w:t>This application form collects vessel owner information</w:t>
      </w:r>
      <w:r>
        <w:rPr>
          <w:sz w:val="24"/>
          <w:szCs w:val="24"/>
        </w:rPr>
        <w:t xml:space="preserve">; </w:t>
      </w:r>
      <w:r w:rsidRPr="00B622FD">
        <w:rPr>
          <w:sz w:val="24"/>
          <w:szCs w:val="24"/>
        </w:rPr>
        <w:t>identification</w:t>
      </w:r>
      <w:r>
        <w:rPr>
          <w:sz w:val="24"/>
          <w:szCs w:val="24"/>
        </w:rPr>
        <w:t xml:space="preserve"> information for the vessel to which the pot tags are registered; and the identification information, reason for the replacement, and number of tags by IFQ regulatory area for the tags </w:t>
      </w:r>
      <w:proofErr w:type="gramStart"/>
      <w:r>
        <w:rPr>
          <w:sz w:val="24"/>
          <w:szCs w:val="24"/>
        </w:rPr>
        <w:t>being replaced</w:t>
      </w:r>
      <w:proofErr w:type="gramEnd"/>
      <w:r w:rsidRPr="00B622FD">
        <w:rPr>
          <w:sz w:val="24"/>
          <w:szCs w:val="24"/>
        </w:rPr>
        <w:t>.</w:t>
      </w:r>
    </w:p>
    <w:p w:rsidR="00583BDC" w:rsidP="00583BDC" w:rsidRDefault="00583BDC" w14:paraId="1F1AD288" w14:textId="77777777">
      <w:pPr>
        <w:widowControl/>
        <w:rPr>
          <w:sz w:val="24"/>
          <w:szCs w:val="24"/>
          <w:highlight w:val="lightGray"/>
        </w:rPr>
      </w:pPr>
    </w:p>
    <w:p w:rsidRPr="00BB7CD0" w:rsidR="00583BDC" w:rsidP="00BB7CD0" w:rsidRDefault="00583BDC" w14:paraId="1789853A" w14:textId="51D9661F">
      <w:pPr>
        <w:widowControl/>
        <w:rPr>
          <w:sz w:val="24"/>
          <w:szCs w:val="24"/>
        </w:rPr>
      </w:pPr>
      <w:r w:rsidRPr="00BB7CD0">
        <w:rPr>
          <w:sz w:val="24"/>
          <w:szCs w:val="24"/>
        </w:rPr>
        <w:t>Upon approval by the Regional Administrator, NMFS</w:t>
      </w:r>
      <w:r w:rsidR="003B14A6">
        <w:rPr>
          <w:sz w:val="24"/>
          <w:szCs w:val="24"/>
        </w:rPr>
        <w:t>,</w:t>
      </w:r>
      <w:r w:rsidRPr="00BB7CD0">
        <w:rPr>
          <w:sz w:val="24"/>
          <w:szCs w:val="24"/>
        </w:rPr>
        <w:t xml:space="preserve"> issue</w:t>
      </w:r>
      <w:r w:rsidR="003B14A6">
        <w:rPr>
          <w:sz w:val="24"/>
          <w:szCs w:val="24"/>
        </w:rPr>
        <w:t>s</w:t>
      </w:r>
      <w:r w:rsidRPr="00BB7CD0">
        <w:rPr>
          <w:sz w:val="24"/>
          <w:szCs w:val="24"/>
        </w:rPr>
        <w:t xml:space="preserve"> the appropriate number of replacement pot tags, based on maximum number of pot tags that can be issued for an IFQ regulatory area and the number of pot tags issued to the vessel owner for the specified IFQ regulatory area that have not been replaced.</w:t>
      </w:r>
    </w:p>
    <w:p w:rsidR="001F586D" w:rsidP="00DB2597" w:rsidRDefault="001F586D" w14:paraId="7021705A" w14:textId="77777777">
      <w:pPr>
        <w:widowControl/>
        <w:autoSpaceDE/>
        <w:autoSpaceDN/>
        <w:adjustRightInd/>
        <w:rPr>
          <w:b/>
          <w:sz w:val="24"/>
          <w:szCs w:val="24"/>
        </w:rPr>
      </w:pPr>
    </w:p>
    <w:p w:rsidRPr="008F2067" w:rsidR="00DB2597" w:rsidP="00DB2597" w:rsidRDefault="00DB2597" w14:paraId="6437A906" w14:textId="6FEECB94">
      <w:pPr>
        <w:widowControl/>
        <w:autoSpaceDE/>
        <w:autoSpaceDN/>
        <w:adjustRightInd/>
        <w:rPr>
          <w:i/>
          <w:sz w:val="24"/>
          <w:szCs w:val="24"/>
        </w:rPr>
      </w:pPr>
      <w:r w:rsidRPr="008F2067">
        <w:rPr>
          <w:i/>
          <w:sz w:val="24"/>
          <w:szCs w:val="24"/>
        </w:rPr>
        <w:t xml:space="preserve">Marking of </w:t>
      </w:r>
      <w:r w:rsidRPr="008F2067" w:rsidR="00356932">
        <w:rPr>
          <w:i/>
          <w:sz w:val="24"/>
          <w:szCs w:val="24"/>
        </w:rPr>
        <w:t>Longline P</w:t>
      </w:r>
      <w:r w:rsidRPr="008F2067">
        <w:rPr>
          <w:i/>
          <w:sz w:val="24"/>
          <w:szCs w:val="24"/>
        </w:rPr>
        <w:t xml:space="preserve">ot </w:t>
      </w:r>
      <w:r w:rsidRPr="008F2067" w:rsidR="00356932">
        <w:rPr>
          <w:i/>
          <w:sz w:val="24"/>
          <w:szCs w:val="24"/>
        </w:rPr>
        <w:t>G</w:t>
      </w:r>
      <w:r w:rsidRPr="008F2067">
        <w:rPr>
          <w:i/>
          <w:sz w:val="24"/>
          <w:szCs w:val="24"/>
        </w:rPr>
        <w:t>ear</w:t>
      </w:r>
      <w:r w:rsidRPr="008F2067" w:rsidR="005A6032">
        <w:rPr>
          <w:i/>
          <w:sz w:val="24"/>
          <w:szCs w:val="24"/>
        </w:rPr>
        <w:t xml:space="preserve"> </w:t>
      </w:r>
    </w:p>
    <w:p w:rsidRPr="001D2915" w:rsidR="00DB2597" w:rsidP="00DB2597" w:rsidRDefault="00DB2597" w14:paraId="465C49E2" w14:textId="77777777">
      <w:pPr>
        <w:widowControl/>
        <w:autoSpaceDE/>
        <w:autoSpaceDN/>
        <w:adjustRightInd/>
        <w:rPr>
          <w:b/>
          <w:sz w:val="24"/>
          <w:szCs w:val="24"/>
        </w:rPr>
      </w:pPr>
    </w:p>
    <w:p w:rsidRPr="001D2915" w:rsidR="00DB2597" w:rsidP="002E0F5E" w:rsidRDefault="007D4E09" w14:paraId="4290D102" w14:textId="708BF4F5">
      <w:pPr>
        <w:widowControl/>
        <w:rPr>
          <w:sz w:val="24"/>
          <w:szCs w:val="24"/>
        </w:rPr>
      </w:pPr>
      <w:r>
        <w:rPr>
          <w:sz w:val="24"/>
          <w:szCs w:val="24"/>
        </w:rPr>
        <w:t>V</w:t>
      </w:r>
      <w:r w:rsidRPr="00995AA2" w:rsidR="00AA7418">
        <w:rPr>
          <w:sz w:val="24"/>
          <w:szCs w:val="24"/>
        </w:rPr>
        <w:t>essel</w:t>
      </w:r>
      <w:r>
        <w:rPr>
          <w:sz w:val="24"/>
          <w:szCs w:val="24"/>
        </w:rPr>
        <w:t>s</w:t>
      </w:r>
      <w:r w:rsidR="00541EE0">
        <w:rPr>
          <w:sz w:val="24"/>
          <w:szCs w:val="24"/>
        </w:rPr>
        <w:t xml:space="preserve"> owners that choose to </w:t>
      </w:r>
      <w:r w:rsidRPr="00995AA2" w:rsidR="00AA7418">
        <w:rPr>
          <w:sz w:val="24"/>
          <w:szCs w:val="24"/>
        </w:rPr>
        <w:t>us</w:t>
      </w:r>
      <w:r w:rsidR="00541EE0">
        <w:rPr>
          <w:sz w:val="24"/>
          <w:szCs w:val="24"/>
        </w:rPr>
        <w:t>e</w:t>
      </w:r>
      <w:r w:rsidRPr="00995AA2" w:rsidR="00AA7418">
        <w:rPr>
          <w:sz w:val="24"/>
          <w:szCs w:val="24"/>
        </w:rPr>
        <w:t xml:space="preserve"> longline pot gear to fish for IFQ sablefish in </w:t>
      </w:r>
      <w:r w:rsidR="00D97E0E">
        <w:rPr>
          <w:sz w:val="24"/>
          <w:szCs w:val="24"/>
        </w:rPr>
        <w:t xml:space="preserve">the </w:t>
      </w:r>
      <w:r w:rsidRPr="00995AA2" w:rsidR="00AA7418">
        <w:rPr>
          <w:sz w:val="24"/>
          <w:szCs w:val="24"/>
        </w:rPr>
        <w:t xml:space="preserve">GOA must </w:t>
      </w:r>
      <w:r w:rsidR="00FE609C">
        <w:rPr>
          <w:sz w:val="24"/>
          <w:szCs w:val="24"/>
        </w:rPr>
        <w:t>mark</w:t>
      </w:r>
      <w:r w:rsidRPr="00995AA2" w:rsidR="00CD78E4">
        <w:rPr>
          <w:sz w:val="24"/>
          <w:szCs w:val="24"/>
        </w:rPr>
        <w:t xml:space="preserve"> </w:t>
      </w:r>
      <w:r w:rsidRPr="007D4E09">
        <w:rPr>
          <w:sz w:val="24"/>
          <w:szCs w:val="24"/>
        </w:rPr>
        <w:t xml:space="preserve">both ends of </w:t>
      </w:r>
      <w:r w:rsidR="00D97E0E">
        <w:rPr>
          <w:sz w:val="24"/>
          <w:szCs w:val="24"/>
        </w:rPr>
        <w:t>the</w:t>
      </w:r>
      <w:r w:rsidRPr="007D4E09">
        <w:rPr>
          <w:sz w:val="24"/>
          <w:szCs w:val="24"/>
        </w:rPr>
        <w:t xml:space="preserve"> longline pot gear set </w:t>
      </w:r>
      <w:r w:rsidR="00FE609C">
        <w:rPr>
          <w:sz w:val="24"/>
          <w:szCs w:val="24"/>
        </w:rPr>
        <w:t>with buoy clusters marked with the vessel’s identification information</w:t>
      </w:r>
      <w:r>
        <w:rPr>
          <w:sz w:val="24"/>
          <w:szCs w:val="24"/>
        </w:rPr>
        <w:t xml:space="preserve">. </w:t>
      </w:r>
      <w:r w:rsidRPr="002E0F5E" w:rsidR="002E0F5E">
        <w:rPr>
          <w:sz w:val="24"/>
          <w:szCs w:val="24"/>
        </w:rPr>
        <w:t xml:space="preserve">NMFS OLE and the </w:t>
      </w:r>
      <w:r w:rsidR="00C81C91">
        <w:rPr>
          <w:sz w:val="24"/>
          <w:szCs w:val="24"/>
        </w:rPr>
        <w:t>USCG</w:t>
      </w:r>
      <w:r w:rsidRPr="002E0F5E" w:rsidR="002E0F5E">
        <w:rPr>
          <w:sz w:val="24"/>
          <w:szCs w:val="24"/>
        </w:rPr>
        <w:t xml:space="preserve"> use the identification information on fishing gear when issuing violations, prosecutions, and other enforcement actions. Cooperating </w:t>
      </w:r>
      <w:proofErr w:type="gramStart"/>
      <w:r w:rsidRPr="002E0F5E" w:rsidR="002E0F5E">
        <w:rPr>
          <w:sz w:val="24"/>
          <w:szCs w:val="24"/>
        </w:rPr>
        <w:t>fishermen</w:t>
      </w:r>
      <w:proofErr w:type="gramEnd"/>
      <w:r w:rsidRPr="002E0F5E" w:rsidR="002E0F5E">
        <w:rPr>
          <w:sz w:val="24"/>
          <w:szCs w:val="24"/>
        </w:rPr>
        <w:t xml:space="preserve"> also use the gear identification to report placement or occurrence in unauthorized areas.</w:t>
      </w:r>
      <w:r w:rsidR="002E0F5E">
        <w:rPr>
          <w:sz w:val="24"/>
          <w:szCs w:val="24"/>
        </w:rPr>
        <w:t xml:space="preserve"> </w:t>
      </w:r>
      <w:r w:rsidR="00FE609C">
        <w:rPr>
          <w:sz w:val="24"/>
          <w:szCs w:val="24"/>
        </w:rPr>
        <w:t>Marking</w:t>
      </w:r>
      <w:r w:rsidRPr="001D2915" w:rsidR="00995AA2">
        <w:rPr>
          <w:sz w:val="24"/>
          <w:szCs w:val="24"/>
        </w:rPr>
        <w:t xml:space="preserve"> both ends of a set </w:t>
      </w:r>
      <w:r w:rsidR="00617FD3">
        <w:rPr>
          <w:sz w:val="24"/>
          <w:szCs w:val="24"/>
        </w:rPr>
        <w:t xml:space="preserve">with marker buoys and other features that enhance gear visibility to humans and radar </w:t>
      </w:r>
      <w:r w:rsidR="00FE609C">
        <w:rPr>
          <w:sz w:val="24"/>
          <w:szCs w:val="24"/>
        </w:rPr>
        <w:t xml:space="preserve">also </w:t>
      </w:r>
      <w:r w:rsidRPr="001D2915" w:rsidR="00995AA2">
        <w:rPr>
          <w:sz w:val="24"/>
          <w:szCs w:val="24"/>
        </w:rPr>
        <w:t>help the fleet track the location of gear on the fishing grounds.</w:t>
      </w:r>
    </w:p>
    <w:p w:rsidRPr="001D2915" w:rsidR="00995AA2" w:rsidP="00DB2597" w:rsidRDefault="00995AA2" w14:paraId="21DF89C7" w14:textId="77777777">
      <w:pPr>
        <w:widowControl/>
        <w:rPr>
          <w:sz w:val="24"/>
          <w:szCs w:val="24"/>
        </w:rPr>
      </w:pPr>
    </w:p>
    <w:p w:rsidRPr="00995AA2" w:rsidR="00995AA2" w:rsidP="00DB2597" w:rsidRDefault="00DB2597" w14:paraId="45E9EB5A" w14:textId="601B676C">
      <w:pPr>
        <w:widowControl/>
        <w:tabs>
          <w:tab w:val="left" w:pos="360"/>
          <w:tab w:val="left" w:pos="720"/>
          <w:tab w:val="left" w:pos="1080"/>
        </w:tabs>
        <w:autoSpaceDE/>
        <w:autoSpaceDN/>
        <w:adjustRightInd/>
        <w:rPr>
          <w:sz w:val="24"/>
          <w:szCs w:val="24"/>
        </w:rPr>
      </w:pPr>
      <w:r w:rsidRPr="001D2915">
        <w:rPr>
          <w:sz w:val="24"/>
          <w:szCs w:val="24"/>
        </w:rPr>
        <w:t xml:space="preserve">NMFS requires both ends of </w:t>
      </w:r>
      <w:r w:rsidR="00FE609C">
        <w:rPr>
          <w:sz w:val="24"/>
          <w:szCs w:val="24"/>
        </w:rPr>
        <w:t>a</w:t>
      </w:r>
      <w:r w:rsidR="007D4E09">
        <w:rPr>
          <w:sz w:val="24"/>
          <w:szCs w:val="24"/>
        </w:rPr>
        <w:t xml:space="preserve"> </w:t>
      </w:r>
      <w:r w:rsidRPr="001D2915">
        <w:rPr>
          <w:sz w:val="24"/>
          <w:szCs w:val="24"/>
        </w:rPr>
        <w:t xml:space="preserve">longline pot gear set </w:t>
      </w:r>
      <w:r w:rsidRPr="00D97E0E">
        <w:rPr>
          <w:sz w:val="24"/>
          <w:szCs w:val="24"/>
        </w:rPr>
        <w:t xml:space="preserve">deployed </w:t>
      </w:r>
      <w:r w:rsidRPr="00D97E0E" w:rsidR="006A1B98">
        <w:rPr>
          <w:sz w:val="24"/>
          <w:szCs w:val="24"/>
        </w:rPr>
        <w:t xml:space="preserve">to fish IFQ sablefish </w:t>
      </w:r>
      <w:r w:rsidRPr="00D97E0E">
        <w:rPr>
          <w:sz w:val="24"/>
          <w:szCs w:val="24"/>
        </w:rPr>
        <w:t>in the GOA</w:t>
      </w:r>
      <w:r w:rsidRPr="001D2915">
        <w:rPr>
          <w:sz w:val="24"/>
          <w:szCs w:val="24"/>
        </w:rPr>
        <w:t xml:space="preserve"> to </w:t>
      </w:r>
      <w:r w:rsidRPr="001D2915" w:rsidR="00EF75AB">
        <w:rPr>
          <w:sz w:val="24"/>
          <w:szCs w:val="24"/>
        </w:rPr>
        <w:t xml:space="preserve">have attached </w:t>
      </w:r>
      <w:r w:rsidRPr="00995AA2" w:rsidR="00EF75AB">
        <w:rPr>
          <w:sz w:val="24"/>
          <w:szCs w:val="24"/>
        </w:rPr>
        <w:t xml:space="preserve">a cluster of four or more marker buoys, </w:t>
      </w:r>
      <w:r w:rsidRPr="001D2915" w:rsidR="00EF75AB">
        <w:rPr>
          <w:sz w:val="24"/>
          <w:szCs w:val="24"/>
        </w:rPr>
        <w:t>a flag mounted on a pole, and</w:t>
      </w:r>
      <w:r w:rsidRPr="001D2915" w:rsidDel="00EF75AB" w:rsidR="00EF75AB">
        <w:rPr>
          <w:sz w:val="24"/>
          <w:szCs w:val="24"/>
        </w:rPr>
        <w:t xml:space="preserve"> </w:t>
      </w:r>
      <w:r w:rsidRPr="001D2915" w:rsidR="00EF75AB">
        <w:rPr>
          <w:sz w:val="24"/>
          <w:szCs w:val="24"/>
        </w:rPr>
        <w:t>a radar reflector floating on the sea surface.</w:t>
      </w:r>
      <w:r w:rsidRPr="00995AA2" w:rsidR="00EF75AB">
        <w:rPr>
          <w:sz w:val="24"/>
          <w:szCs w:val="24"/>
        </w:rPr>
        <w:t xml:space="preserve"> </w:t>
      </w:r>
    </w:p>
    <w:p w:rsidRPr="00995AA2" w:rsidR="00995AA2" w:rsidP="00DB2597" w:rsidRDefault="00995AA2" w14:paraId="6465B498" w14:textId="77777777">
      <w:pPr>
        <w:widowControl/>
        <w:tabs>
          <w:tab w:val="left" w:pos="360"/>
          <w:tab w:val="left" w:pos="720"/>
          <w:tab w:val="left" w:pos="1080"/>
        </w:tabs>
        <w:autoSpaceDE/>
        <w:autoSpaceDN/>
        <w:adjustRightInd/>
        <w:rPr>
          <w:sz w:val="24"/>
          <w:szCs w:val="24"/>
        </w:rPr>
      </w:pPr>
    </w:p>
    <w:p w:rsidRPr="001D2915" w:rsidR="00DB2597" w:rsidP="00DB2597" w:rsidRDefault="00995AA2" w14:paraId="2B16A597" w14:textId="675BEF15">
      <w:pPr>
        <w:widowControl/>
        <w:tabs>
          <w:tab w:val="left" w:pos="360"/>
          <w:tab w:val="left" w:pos="1080"/>
        </w:tabs>
        <w:rPr>
          <w:sz w:val="24"/>
          <w:szCs w:val="24"/>
        </w:rPr>
      </w:pPr>
      <w:r w:rsidRPr="00995AA2">
        <w:rPr>
          <w:sz w:val="24"/>
          <w:szCs w:val="24"/>
        </w:rPr>
        <w:t xml:space="preserve">One hard buoy in the cluster must be </w:t>
      </w:r>
      <w:r w:rsidRPr="00995AA2" w:rsidR="00EF75AB">
        <w:rPr>
          <w:sz w:val="24"/>
          <w:szCs w:val="24"/>
        </w:rPr>
        <w:t>marked with the capital letters “LP</w:t>
      </w:r>
      <w:r w:rsidR="00FE609C">
        <w:rPr>
          <w:sz w:val="24"/>
          <w:szCs w:val="24"/>
        </w:rPr>
        <w:t>.</w:t>
      </w:r>
      <w:r w:rsidRPr="00995AA2" w:rsidR="00EF75AB">
        <w:rPr>
          <w:sz w:val="24"/>
          <w:szCs w:val="24"/>
        </w:rPr>
        <w:t>”</w:t>
      </w:r>
      <w:r w:rsidRPr="00995AA2">
        <w:rPr>
          <w:sz w:val="24"/>
          <w:szCs w:val="24"/>
        </w:rPr>
        <w:t xml:space="preserve"> </w:t>
      </w:r>
      <w:r w:rsidRPr="001D2915">
        <w:rPr>
          <w:sz w:val="24"/>
          <w:szCs w:val="24"/>
        </w:rPr>
        <w:t xml:space="preserve">All marker buoys must be marked with the </w:t>
      </w:r>
      <w:r w:rsidRPr="001D2915" w:rsidR="00DF26D9">
        <w:rPr>
          <w:sz w:val="24"/>
          <w:szCs w:val="24"/>
        </w:rPr>
        <w:t xml:space="preserve">vessel’s </w:t>
      </w:r>
      <w:r w:rsidR="00DF26D9">
        <w:rPr>
          <w:sz w:val="24"/>
          <w:szCs w:val="24"/>
        </w:rPr>
        <w:t>Federal</w:t>
      </w:r>
      <w:r w:rsidRPr="001D2915">
        <w:rPr>
          <w:sz w:val="24"/>
          <w:szCs w:val="24"/>
        </w:rPr>
        <w:t xml:space="preserve"> fisheries permit </w:t>
      </w:r>
      <w:r w:rsidR="002F6B3C">
        <w:rPr>
          <w:sz w:val="24"/>
          <w:szCs w:val="24"/>
        </w:rPr>
        <w:t xml:space="preserve">(FFP) </w:t>
      </w:r>
      <w:r w:rsidRPr="001D2915">
        <w:rPr>
          <w:sz w:val="24"/>
          <w:szCs w:val="24"/>
        </w:rPr>
        <w:t>number or ADF&amp;G vessel registration number.</w:t>
      </w:r>
      <w:r w:rsidR="00F82FB8">
        <w:rPr>
          <w:sz w:val="24"/>
          <w:szCs w:val="24"/>
        </w:rPr>
        <w:t xml:space="preserve"> </w:t>
      </w:r>
      <w:r w:rsidRPr="001D2915" w:rsidR="00DB2597">
        <w:rPr>
          <w:sz w:val="24"/>
          <w:szCs w:val="24"/>
        </w:rPr>
        <w:t xml:space="preserve">Markings </w:t>
      </w:r>
      <w:r w:rsidRPr="001D2915" w:rsidR="006A1B98">
        <w:rPr>
          <w:sz w:val="24"/>
          <w:szCs w:val="24"/>
        </w:rPr>
        <w:t xml:space="preserve">must </w:t>
      </w:r>
      <w:r w:rsidRPr="001D2915" w:rsidR="00DB2597">
        <w:rPr>
          <w:sz w:val="24"/>
          <w:szCs w:val="24"/>
        </w:rPr>
        <w:t xml:space="preserve">be in characters at least 4 inches (10.16 cm) in height and 0.5 inch (1.27 cm) in width in a contrasting color visible above the water line and </w:t>
      </w:r>
      <w:proofErr w:type="gramStart"/>
      <w:r w:rsidR="00695717">
        <w:rPr>
          <w:sz w:val="24"/>
          <w:szCs w:val="24"/>
        </w:rPr>
        <w:t>must</w:t>
      </w:r>
      <w:r w:rsidRPr="001D2915" w:rsidR="00695717">
        <w:rPr>
          <w:sz w:val="24"/>
          <w:szCs w:val="24"/>
        </w:rPr>
        <w:t xml:space="preserve"> </w:t>
      </w:r>
      <w:r w:rsidRPr="001D2915" w:rsidR="00DB2597">
        <w:rPr>
          <w:sz w:val="24"/>
          <w:szCs w:val="24"/>
        </w:rPr>
        <w:t>be maintained</w:t>
      </w:r>
      <w:proofErr w:type="gramEnd"/>
      <w:r w:rsidRPr="001D2915" w:rsidR="00DB2597">
        <w:rPr>
          <w:sz w:val="24"/>
          <w:szCs w:val="24"/>
        </w:rPr>
        <w:t xml:space="preserve"> so the markings are clearly visible.</w:t>
      </w:r>
    </w:p>
    <w:p w:rsidR="002F6B3C" w:rsidP="00DB2597" w:rsidRDefault="002F6B3C" w14:paraId="47ACA738" w14:textId="77777777">
      <w:pPr>
        <w:widowControl/>
        <w:tabs>
          <w:tab w:val="left" w:pos="360"/>
          <w:tab w:val="left" w:pos="1080"/>
        </w:tabs>
        <w:rPr>
          <w:sz w:val="24"/>
          <w:szCs w:val="24"/>
          <w:highlight w:val="lightGray"/>
        </w:rPr>
      </w:pPr>
    </w:p>
    <w:p w:rsidRPr="001D2915" w:rsidR="00AA7418" w:rsidP="00DB2597" w:rsidRDefault="002F6B3C" w14:paraId="34408F12" w14:textId="3DF1A029">
      <w:pPr>
        <w:widowControl/>
        <w:tabs>
          <w:tab w:val="left" w:pos="360"/>
          <w:tab w:val="left" w:pos="1080"/>
        </w:tabs>
        <w:rPr>
          <w:sz w:val="24"/>
          <w:szCs w:val="24"/>
        </w:rPr>
      </w:pPr>
      <w:r w:rsidRPr="002F6B3C">
        <w:rPr>
          <w:sz w:val="24"/>
          <w:szCs w:val="24"/>
        </w:rPr>
        <w:t xml:space="preserve">Materials needed are paint and paintbrush, or permanent ink applicator, and possibly a stencil.  </w:t>
      </w:r>
    </w:p>
    <w:p w:rsidR="002F6B3C" w:rsidP="00DB2597" w:rsidRDefault="002F6B3C" w14:paraId="560AB310" w14:textId="77777777">
      <w:pPr>
        <w:widowControl/>
        <w:tabs>
          <w:tab w:val="left" w:pos="360"/>
          <w:tab w:val="left" w:pos="1080"/>
        </w:tabs>
        <w:rPr>
          <w:sz w:val="24"/>
          <w:szCs w:val="24"/>
        </w:rPr>
      </w:pPr>
    </w:p>
    <w:p w:rsidRPr="001D2915" w:rsidR="00DB2597" w:rsidP="00DB2597" w:rsidRDefault="00DB2597" w14:paraId="1EDB6601" w14:textId="0FBA9B03">
      <w:pPr>
        <w:widowControl/>
        <w:tabs>
          <w:tab w:val="left" w:pos="360"/>
          <w:tab w:val="left" w:pos="1080"/>
        </w:tabs>
        <w:rPr>
          <w:sz w:val="24"/>
          <w:szCs w:val="24"/>
        </w:rPr>
      </w:pPr>
      <w:r w:rsidRPr="001D2915">
        <w:rPr>
          <w:sz w:val="24"/>
          <w:szCs w:val="24"/>
        </w:rPr>
        <w:t xml:space="preserve">There </w:t>
      </w:r>
      <w:r w:rsidR="005941B5">
        <w:rPr>
          <w:sz w:val="24"/>
          <w:szCs w:val="24"/>
        </w:rPr>
        <w:t>is</w:t>
      </w:r>
      <w:r w:rsidRPr="001D2915" w:rsidR="005941B5">
        <w:rPr>
          <w:sz w:val="24"/>
          <w:szCs w:val="24"/>
        </w:rPr>
        <w:t xml:space="preserve"> </w:t>
      </w:r>
      <w:r w:rsidRPr="001D2915">
        <w:rPr>
          <w:sz w:val="24"/>
          <w:szCs w:val="24"/>
        </w:rPr>
        <w:t>no form for this item.</w:t>
      </w:r>
    </w:p>
    <w:p w:rsidR="00CD56E7" w:rsidP="00DB2597" w:rsidRDefault="00CD56E7" w14:paraId="1904D9EE" w14:textId="78F059F8">
      <w:pPr>
        <w:widowControl/>
        <w:rPr>
          <w:b/>
          <w:sz w:val="24"/>
          <w:szCs w:val="24"/>
        </w:rPr>
      </w:pPr>
    </w:p>
    <w:p w:rsidRPr="00CD56E7" w:rsidR="00DB2597" w:rsidP="00DB2597" w:rsidRDefault="00CE1C78" w14:paraId="11784075" w14:textId="2FBA4C10">
      <w:pPr>
        <w:widowControl/>
        <w:rPr>
          <w:b/>
          <w:sz w:val="24"/>
          <w:szCs w:val="24"/>
        </w:rPr>
      </w:pPr>
      <w:r w:rsidRPr="00CD56E7">
        <w:rPr>
          <w:b/>
          <w:sz w:val="24"/>
          <w:szCs w:val="24"/>
        </w:rPr>
        <w:t xml:space="preserve">The following section addresses whether the information collected will be disseminated to the public or used to support information that </w:t>
      </w:r>
      <w:proofErr w:type="gramStart"/>
      <w:r w:rsidRPr="00CD56E7">
        <w:rPr>
          <w:b/>
          <w:sz w:val="24"/>
          <w:szCs w:val="24"/>
        </w:rPr>
        <w:t>will be disseminated</w:t>
      </w:r>
      <w:proofErr w:type="gramEnd"/>
      <w:r w:rsidRPr="00CD56E7">
        <w:rPr>
          <w:b/>
          <w:sz w:val="24"/>
          <w:szCs w:val="24"/>
        </w:rPr>
        <w:t xml:space="preserve"> to the public and how the collection complies with all applicable Information Quality Guidelines.</w:t>
      </w:r>
    </w:p>
    <w:p w:rsidR="00210758" w:rsidP="00507232" w:rsidRDefault="00210758" w14:paraId="683280F3" w14:textId="39DC83A0">
      <w:pPr>
        <w:widowControl/>
        <w:rPr>
          <w:sz w:val="24"/>
          <w:szCs w:val="24"/>
        </w:rPr>
      </w:pPr>
    </w:p>
    <w:p w:rsidRPr="00DB2597" w:rsidR="00DB2597" w:rsidP="00507232" w:rsidRDefault="00DB2597" w14:paraId="7DFF068E" w14:textId="00921370">
      <w:pPr>
        <w:widowControl/>
        <w:rPr>
          <w:sz w:val="24"/>
          <w:szCs w:val="24"/>
        </w:rPr>
      </w:pPr>
      <w:r w:rsidRPr="00CD56E7">
        <w:rPr>
          <w:sz w:val="24"/>
          <w:szCs w:val="24"/>
        </w:rPr>
        <w:t xml:space="preserve">It </w:t>
      </w:r>
      <w:proofErr w:type="gramStart"/>
      <w:r w:rsidRPr="00CD56E7">
        <w:rPr>
          <w:sz w:val="24"/>
          <w:szCs w:val="24"/>
        </w:rPr>
        <w:t>is anticipated</w:t>
      </w:r>
      <w:proofErr w:type="gramEnd"/>
      <w:r w:rsidRPr="00CD56E7">
        <w:rPr>
          <w:sz w:val="24"/>
          <w:szCs w:val="24"/>
        </w:rPr>
        <w:t xml:space="preserve"> that the information collected will be disseminated to the public or used to support publicly disseminated information. </w:t>
      </w:r>
      <w:r w:rsidRPr="00CD56E7" w:rsidR="006F4C10">
        <w:rPr>
          <w:sz w:val="24"/>
          <w:szCs w:val="24"/>
        </w:rPr>
        <w:t>NMFS</w:t>
      </w:r>
      <w:r w:rsidRPr="00CD56E7">
        <w:rPr>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CD56E7">
        <w:rPr>
          <w:sz w:val="24"/>
          <w:szCs w:val="24"/>
        </w:rPr>
        <w:t>is designed</w:t>
      </w:r>
      <w:proofErr w:type="gramEnd"/>
      <w:r w:rsidRPr="00CD56E7">
        <w:rPr>
          <w:sz w:val="24"/>
          <w:szCs w:val="24"/>
        </w:rPr>
        <w:t xml:space="preserve"> to yield data that meet all applicable information quality guidelines. Prior to dissemination, the information </w:t>
      </w:r>
      <w:proofErr w:type="gramStart"/>
      <w:r w:rsidRPr="00CD56E7">
        <w:rPr>
          <w:sz w:val="24"/>
          <w:szCs w:val="24"/>
        </w:rPr>
        <w:t>will be subjected</w:t>
      </w:r>
      <w:proofErr w:type="gramEnd"/>
      <w:r w:rsidRPr="00CD56E7">
        <w:rPr>
          <w:sz w:val="24"/>
          <w:szCs w:val="24"/>
        </w:rPr>
        <w:t xml:space="preserve"> to quality control measures and a pre-dissemination review pursuant to </w:t>
      </w:r>
      <w:hyperlink w:history="1" r:id="rId13">
        <w:r w:rsidRPr="00CD56E7">
          <w:rPr>
            <w:rFonts w:cs="Arial"/>
            <w:color w:val="336699"/>
            <w:sz w:val="24"/>
            <w:szCs w:val="24"/>
          </w:rPr>
          <w:t>Section 515 of Public Law 106-554</w:t>
        </w:r>
      </w:hyperlink>
      <w:r w:rsidRPr="00CD56E7">
        <w:rPr>
          <w:sz w:val="24"/>
          <w:szCs w:val="24"/>
        </w:rPr>
        <w:t>.</w:t>
      </w:r>
    </w:p>
    <w:p w:rsidR="00507232" w:rsidP="00507232" w:rsidRDefault="00507232" w14:paraId="70EC0429" w14:textId="77777777">
      <w:pPr>
        <w:widowControl/>
        <w:rPr>
          <w:sz w:val="24"/>
          <w:szCs w:val="24"/>
        </w:rPr>
      </w:pPr>
    </w:p>
    <w:p w:rsidR="00507232" w:rsidP="00507232" w:rsidRDefault="00507232" w14:paraId="265099BF" w14:textId="001F8499">
      <w:pPr>
        <w:widowControl/>
        <w:rPr>
          <w:sz w:val="24"/>
          <w:szCs w:val="24"/>
        </w:rPr>
      </w:pPr>
      <w:r w:rsidRPr="006F4C10">
        <w:rPr>
          <w:sz w:val="24"/>
          <w:szCs w:val="24"/>
        </w:rPr>
        <w:lastRenderedPageBreak/>
        <w:t xml:space="preserve">The identification information on the </w:t>
      </w:r>
      <w:r w:rsidR="00461DCB">
        <w:rPr>
          <w:sz w:val="24"/>
          <w:szCs w:val="24"/>
        </w:rPr>
        <w:t xml:space="preserve">fishing gear </w:t>
      </w:r>
      <w:proofErr w:type="gramStart"/>
      <w:r w:rsidRPr="006F4C10">
        <w:rPr>
          <w:sz w:val="24"/>
          <w:szCs w:val="24"/>
        </w:rPr>
        <w:t>is not disseminated</w:t>
      </w:r>
      <w:proofErr w:type="gramEnd"/>
      <w:r w:rsidRPr="006F4C10">
        <w:rPr>
          <w:sz w:val="24"/>
          <w:szCs w:val="24"/>
        </w:rPr>
        <w:t xml:space="preserve"> to the public because the information is </w:t>
      </w:r>
      <w:r w:rsidR="00461DCB">
        <w:rPr>
          <w:sz w:val="24"/>
          <w:szCs w:val="24"/>
        </w:rPr>
        <w:t>marked</w:t>
      </w:r>
      <w:r w:rsidRPr="006F4C10" w:rsidR="00461DCB">
        <w:rPr>
          <w:sz w:val="24"/>
          <w:szCs w:val="24"/>
        </w:rPr>
        <w:t xml:space="preserve"> </w:t>
      </w:r>
      <w:r w:rsidRPr="006F4C10">
        <w:rPr>
          <w:sz w:val="24"/>
          <w:szCs w:val="24"/>
        </w:rPr>
        <w:t xml:space="preserve">on </w:t>
      </w:r>
      <w:r>
        <w:rPr>
          <w:sz w:val="24"/>
          <w:szCs w:val="24"/>
        </w:rPr>
        <w:t>the</w:t>
      </w:r>
      <w:r w:rsidRPr="006F4C10">
        <w:rPr>
          <w:sz w:val="24"/>
          <w:szCs w:val="24"/>
        </w:rPr>
        <w:t xml:space="preserve"> buoy</w:t>
      </w:r>
      <w:r>
        <w:rPr>
          <w:sz w:val="24"/>
          <w:szCs w:val="24"/>
        </w:rPr>
        <w:t>s</w:t>
      </w:r>
      <w:r w:rsidRPr="006F4C10">
        <w:rPr>
          <w:sz w:val="24"/>
          <w:szCs w:val="24"/>
        </w:rPr>
        <w:t xml:space="preserve"> and is not submitted to NMFS.</w:t>
      </w:r>
    </w:p>
    <w:p w:rsidR="00210758" w:rsidP="00507232" w:rsidRDefault="00210758" w14:paraId="11DEF8B0" w14:textId="63747D10">
      <w:pPr>
        <w:rPr>
          <w:sz w:val="24"/>
          <w:szCs w:val="24"/>
        </w:rPr>
      </w:pPr>
    </w:p>
    <w:p w:rsidR="004F26E9" w:rsidP="00493868" w:rsidRDefault="00493868" w14:paraId="19230A59"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7050C26F" w14:textId="77777777">
      <w:pPr>
        <w:rPr>
          <w:sz w:val="24"/>
          <w:szCs w:val="24"/>
        </w:rPr>
      </w:pPr>
    </w:p>
    <w:p w:rsidRPr="00CD4BAC" w:rsidR="00DB2597" w:rsidP="00DB2597" w:rsidRDefault="001B0778" w14:paraId="65400ED0" w14:textId="542E8433">
      <w:pPr>
        <w:widowControl/>
        <w:tabs>
          <w:tab w:val="left" w:pos="-1180"/>
        </w:tabs>
        <w:rPr>
          <w:sz w:val="24"/>
          <w:szCs w:val="24"/>
        </w:rPr>
      </w:pPr>
      <w:r w:rsidRPr="00CD4BAC">
        <w:rPr>
          <w:sz w:val="24"/>
          <w:szCs w:val="24"/>
        </w:rPr>
        <w:t>Marking</w:t>
      </w:r>
      <w:r w:rsidRPr="00CD4BAC" w:rsidR="00DB2597">
        <w:rPr>
          <w:sz w:val="24"/>
          <w:szCs w:val="24"/>
        </w:rPr>
        <w:t xml:space="preserve"> fishing gear does not </w:t>
      </w:r>
      <w:r w:rsidRPr="00CD4BAC">
        <w:rPr>
          <w:sz w:val="24"/>
          <w:szCs w:val="24"/>
        </w:rPr>
        <w:t xml:space="preserve">involve </w:t>
      </w:r>
      <w:r w:rsidRPr="00CD4BAC" w:rsidR="00DB2597">
        <w:rPr>
          <w:sz w:val="24"/>
          <w:szCs w:val="24"/>
        </w:rPr>
        <w:t>automated, electronic, mechanical, or other technological techniques</w:t>
      </w:r>
      <w:r w:rsidRPr="00CD4BAC">
        <w:rPr>
          <w:sz w:val="24"/>
          <w:szCs w:val="24"/>
        </w:rPr>
        <w:t xml:space="preserve"> or forms of information technology</w:t>
      </w:r>
      <w:r w:rsidRPr="00CD4BAC" w:rsidR="00DB2597">
        <w:rPr>
          <w:sz w:val="24"/>
          <w:szCs w:val="24"/>
        </w:rPr>
        <w:t xml:space="preserve">.  </w:t>
      </w:r>
    </w:p>
    <w:p w:rsidRPr="00CD4BAC" w:rsidR="00DB2597" w:rsidP="00DB2597" w:rsidRDefault="00DB2597" w14:paraId="65853061" w14:textId="77777777">
      <w:pPr>
        <w:widowControl/>
        <w:tabs>
          <w:tab w:val="left" w:pos="-1180"/>
        </w:tabs>
        <w:rPr>
          <w:sz w:val="24"/>
          <w:szCs w:val="24"/>
        </w:rPr>
      </w:pPr>
    </w:p>
    <w:p w:rsidRPr="00DB2597" w:rsidR="00DB2597" w:rsidP="00DB2597" w:rsidRDefault="00DB2597" w14:paraId="419DEBE1" w14:textId="2CE4DA6D">
      <w:pPr>
        <w:widowControl/>
        <w:tabs>
          <w:tab w:val="left" w:pos="-1180"/>
        </w:tabs>
        <w:rPr>
          <w:sz w:val="24"/>
          <w:szCs w:val="24"/>
        </w:rPr>
      </w:pPr>
      <w:r w:rsidRPr="00CD4BAC">
        <w:rPr>
          <w:sz w:val="24"/>
          <w:szCs w:val="24"/>
        </w:rPr>
        <w:t xml:space="preserve">The </w:t>
      </w:r>
      <w:r w:rsidRPr="00CD4BAC" w:rsidR="001B0778">
        <w:rPr>
          <w:sz w:val="24"/>
          <w:szCs w:val="24"/>
        </w:rPr>
        <w:t xml:space="preserve">application forms </w:t>
      </w:r>
      <w:r w:rsidRPr="00CD4BAC">
        <w:rPr>
          <w:sz w:val="24"/>
          <w:szCs w:val="24"/>
        </w:rPr>
        <w:t>IFQ Sablefish</w:t>
      </w:r>
      <w:r w:rsidRPr="00CD4BAC" w:rsidR="001B0778">
        <w:rPr>
          <w:sz w:val="24"/>
          <w:szCs w:val="24"/>
        </w:rPr>
        <w:t xml:space="preserve"> Longline Pot Gear: Vessel Registration and Request for</w:t>
      </w:r>
      <w:r w:rsidRPr="00CD4BAC">
        <w:rPr>
          <w:sz w:val="24"/>
          <w:szCs w:val="24"/>
        </w:rPr>
        <w:t xml:space="preserve"> Pot Gear Tags and </w:t>
      </w:r>
      <w:r w:rsidRPr="00CD4BAC" w:rsidR="001B0778">
        <w:rPr>
          <w:sz w:val="24"/>
          <w:szCs w:val="24"/>
        </w:rPr>
        <w:t xml:space="preserve">IFQ Sablefish </w:t>
      </w:r>
      <w:r w:rsidRPr="00CD4BAC">
        <w:rPr>
          <w:sz w:val="24"/>
          <w:szCs w:val="24"/>
        </w:rPr>
        <w:t xml:space="preserve">Request for Replacement of </w:t>
      </w:r>
      <w:r w:rsidRPr="00CD4BAC" w:rsidR="001B0778">
        <w:rPr>
          <w:sz w:val="24"/>
          <w:szCs w:val="24"/>
        </w:rPr>
        <w:t xml:space="preserve">Longline </w:t>
      </w:r>
      <w:r w:rsidRPr="00CD4BAC">
        <w:rPr>
          <w:sz w:val="24"/>
          <w:szCs w:val="24"/>
        </w:rPr>
        <w:t xml:space="preserve">Pot Gear Tags are available on the </w:t>
      </w:r>
      <w:hyperlink w:history="1" r:id="rId14">
        <w:r w:rsidRPr="00CD4BAC">
          <w:rPr>
            <w:rStyle w:val="Hyperlink"/>
            <w:sz w:val="24"/>
            <w:szCs w:val="24"/>
          </w:rPr>
          <w:t>NMFS Alaska region website</w:t>
        </w:r>
      </w:hyperlink>
      <w:r w:rsidRPr="00CD4BAC">
        <w:rPr>
          <w:sz w:val="24"/>
          <w:szCs w:val="24"/>
        </w:rPr>
        <w:t>. The</w:t>
      </w:r>
      <w:r w:rsidR="00C17C14">
        <w:rPr>
          <w:sz w:val="24"/>
          <w:szCs w:val="24"/>
        </w:rPr>
        <w:t>se</w:t>
      </w:r>
      <w:r w:rsidRPr="00CD4BAC">
        <w:rPr>
          <w:sz w:val="24"/>
          <w:szCs w:val="24"/>
        </w:rPr>
        <w:t xml:space="preserve"> applications are </w:t>
      </w:r>
      <w:r w:rsidRPr="00CD4BAC" w:rsidR="00CD4BAC">
        <w:rPr>
          <w:sz w:val="24"/>
          <w:szCs w:val="24"/>
        </w:rPr>
        <w:t>available as downloadable pdfs.</w:t>
      </w:r>
      <w:r w:rsidRPr="00CD4BAC">
        <w:rPr>
          <w:sz w:val="24"/>
          <w:szCs w:val="24"/>
        </w:rPr>
        <w:t xml:space="preserve"> </w:t>
      </w:r>
    </w:p>
    <w:p w:rsidRPr="00DB2597" w:rsidR="00DB2597" w:rsidP="00DB2597" w:rsidRDefault="00DB2597" w14:paraId="626EED21" w14:textId="77777777">
      <w:pPr>
        <w:widowControl/>
        <w:tabs>
          <w:tab w:val="left" w:pos="-1180"/>
        </w:tabs>
        <w:rPr>
          <w:b/>
          <w:bCs/>
          <w:sz w:val="24"/>
          <w:szCs w:val="24"/>
        </w:rPr>
      </w:pPr>
    </w:p>
    <w:p w:rsidR="004F26E9" w:rsidP="00493868" w:rsidRDefault="00493868" w14:paraId="2B4B908E"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4F26E9" w:rsidP="0020448B" w:rsidRDefault="004F26E9" w14:paraId="0CF55854" w14:textId="77777777">
      <w:pPr>
        <w:rPr>
          <w:sz w:val="24"/>
          <w:szCs w:val="24"/>
        </w:rPr>
      </w:pPr>
    </w:p>
    <w:p w:rsidR="004F26E9" w:rsidP="00DB2597" w:rsidRDefault="00DB2597" w14:paraId="3B4A3F98" w14:textId="7EC7C7B3">
      <w:pPr>
        <w:spacing w:after="240"/>
        <w:rPr>
          <w:sz w:val="24"/>
          <w:szCs w:val="24"/>
        </w:rPr>
      </w:pPr>
      <w:r w:rsidRPr="00DB2597">
        <w:rPr>
          <w:sz w:val="24"/>
          <w:szCs w:val="24"/>
        </w:rPr>
        <w:t>NMFS has identified no duplication with other information collections.</w:t>
      </w:r>
    </w:p>
    <w:p w:rsidR="004F26E9" w:rsidP="00493868" w:rsidRDefault="00493868" w14:paraId="2A768316" w14:textId="77777777">
      <w:pPr>
        <w:tabs>
          <w:tab w:val="left" w:pos="540"/>
        </w:tabs>
        <w:ind w:left="540" w:hanging="540"/>
        <w:rPr>
          <w:sz w:val="24"/>
          <w:szCs w:val="24"/>
        </w:rPr>
      </w:pPr>
      <w:r w:rsidRPr="00CD2CAC">
        <w:rPr>
          <w:b/>
          <w:bCs/>
          <w:sz w:val="24"/>
          <w:szCs w:val="24"/>
        </w:rPr>
        <w:t>5.</w:t>
      </w:r>
      <w:r w:rsidRPr="00CD2CAC">
        <w:rPr>
          <w:b/>
          <w:bCs/>
          <w:sz w:val="24"/>
          <w:szCs w:val="24"/>
        </w:rPr>
        <w:tab/>
      </w:r>
      <w:r w:rsidRPr="00CD2CAC" w:rsidR="004F26E9">
        <w:rPr>
          <w:b/>
          <w:bCs/>
          <w:sz w:val="24"/>
          <w:szCs w:val="24"/>
        </w:rPr>
        <w:t>If the collection of information involves small businesses or other small entities,</w:t>
      </w:r>
      <w:r w:rsidRPr="000A0540" w:rsidR="004F26E9">
        <w:rPr>
          <w:b/>
          <w:bCs/>
          <w:sz w:val="24"/>
          <w:szCs w:val="24"/>
        </w:rPr>
        <w:t xml:space="preserve"> describe the methods used to minimize burden</w:t>
      </w:r>
      <w:r w:rsidR="004F26E9">
        <w:rPr>
          <w:b/>
          <w:bCs/>
          <w:sz w:val="24"/>
          <w:szCs w:val="24"/>
        </w:rPr>
        <w:t>.</w:t>
      </w:r>
      <w:r w:rsidR="004F26E9">
        <w:rPr>
          <w:sz w:val="24"/>
          <w:szCs w:val="24"/>
        </w:rPr>
        <w:t xml:space="preserve"> </w:t>
      </w:r>
    </w:p>
    <w:p w:rsidR="004F26E9" w:rsidP="0020448B" w:rsidRDefault="004F26E9" w14:paraId="1F8FA6CE" w14:textId="77777777">
      <w:pPr>
        <w:rPr>
          <w:sz w:val="24"/>
          <w:szCs w:val="24"/>
        </w:rPr>
      </w:pPr>
    </w:p>
    <w:p w:rsidR="002A4B61" w:rsidP="00DB2597" w:rsidRDefault="00AF383E" w14:paraId="106325C7" w14:textId="77777777">
      <w:pPr>
        <w:widowControl/>
        <w:tabs>
          <w:tab w:val="left" w:pos="-1180"/>
        </w:tabs>
        <w:rPr>
          <w:bCs/>
          <w:sz w:val="24"/>
          <w:szCs w:val="24"/>
        </w:rPr>
      </w:pPr>
      <w:r w:rsidRPr="00AF383E">
        <w:rPr>
          <w:bCs/>
          <w:sz w:val="24"/>
          <w:szCs w:val="24"/>
        </w:rPr>
        <w:t>NMFS attempts to minimize the burden of this collection on all respondents by collecting only information nece</w:t>
      </w:r>
      <w:r>
        <w:rPr>
          <w:bCs/>
          <w:sz w:val="24"/>
          <w:szCs w:val="24"/>
        </w:rPr>
        <w:t>ssary to facilitate enforcement of regulations and to manage</w:t>
      </w:r>
      <w:r w:rsidR="002A4B61">
        <w:rPr>
          <w:bCs/>
          <w:sz w:val="24"/>
          <w:szCs w:val="24"/>
        </w:rPr>
        <w:t xml:space="preserve"> the</w:t>
      </w:r>
      <w:r>
        <w:rPr>
          <w:bCs/>
          <w:sz w:val="24"/>
          <w:szCs w:val="24"/>
        </w:rPr>
        <w:t xml:space="preserve"> </w:t>
      </w:r>
      <w:proofErr w:type="gramStart"/>
      <w:r w:rsidRPr="00AF383E" w:rsidR="002A4B61">
        <w:rPr>
          <w:bCs/>
          <w:sz w:val="24"/>
          <w:szCs w:val="24"/>
        </w:rPr>
        <w:t xml:space="preserve">IFQ sablefish longline pot gear </w:t>
      </w:r>
      <w:r w:rsidRPr="00AF383E">
        <w:rPr>
          <w:bCs/>
          <w:sz w:val="24"/>
          <w:szCs w:val="24"/>
        </w:rPr>
        <w:t>fishery</w:t>
      </w:r>
      <w:proofErr w:type="gramEnd"/>
      <w:r w:rsidRPr="00AF383E">
        <w:rPr>
          <w:bCs/>
          <w:sz w:val="24"/>
          <w:szCs w:val="24"/>
        </w:rPr>
        <w:t xml:space="preserve"> </w:t>
      </w:r>
      <w:r w:rsidR="002A4B61">
        <w:rPr>
          <w:bCs/>
          <w:sz w:val="24"/>
          <w:szCs w:val="24"/>
        </w:rPr>
        <w:t>in the GOA</w:t>
      </w:r>
      <w:r>
        <w:rPr>
          <w:bCs/>
          <w:sz w:val="24"/>
          <w:szCs w:val="24"/>
        </w:rPr>
        <w:t>.</w:t>
      </w:r>
      <w:r w:rsidRPr="00AF383E">
        <w:rPr>
          <w:bCs/>
          <w:sz w:val="24"/>
          <w:szCs w:val="24"/>
        </w:rPr>
        <w:t xml:space="preserve"> </w:t>
      </w:r>
    </w:p>
    <w:p w:rsidR="002A4B61" w:rsidP="00DB2597" w:rsidRDefault="002A4B61" w14:paraId="76B71BE3" w14:textId="77777777">
      <w:pPr>
        <w:widowControl/>
        <w:tabs>
          <w:tab w:val="left" w:pos="-1180"/>
        </w:tabs>
        <w:rPr>
          <w:bCs/>
          <w:sz w:val="24"/>
          <w:szCs w:val="24"/>
        </w:rPr>
      </w:pPr>
    </w:p>
    <w:p w:rsidR="00AF383E" w:rsidP="00DB2597" w:rsidRDefault="00C17C14" w14:paraId="6AD239D2" w14:textId="67C1A5A3">
      <w:pPr>
        <w:widowControl/>
        <w:tabs>
          <w:tab w:val="left" w:pos="-1180"/>
        </w:tabs>
        <w:rPr>
          <w:bCs/>
          <w:sz w:val="24"/>
          <w:szCs w:val="24"/>
        </w:rPr>
      </w:pPr>
      <w:r>
        <w:rPr>
          <w:bCs/>
          <w:sz w:val="24"/>
          <w:szCs w:val="24"/>
        </w:rPr>
        <w:t>Fishing gear is</w:t>
      </w:r>
      <w:r w:rsidR="002A4B61">
        <w:rPr>
          <w:bCs/>
          <w:sz w:val="24"/>
          <w:szCs w:val="24"/>
        </w:rPr>
        <w:t xml:space="preserve"> marked with the minimum information needed to identify the vessel owner or operator</w:t>
      </w:r>
      <w:r w:rsidR="00821A34">
        <w:rPr>
          <w:bCs/>
          <w:sz w:val="24"/>
          <w:szCs w:val="24"/>
        </w:rPr>
        <w:t>, and for the GOA sablefish IFQ fishery, the type of gear</w:t>
      </w:r>
      <w:r w:rsidR="002A4B61">
        <w:rPr>
          <w:bCs/>
          <w:sz w:val="24"/>
          <w:szCs w:val="24"/>
        </w:rPr>
        <w:t xml:space="preserve">. </w:t>
      </w:r>
      <w:r w:rsidRPr="00442FD6" w:rsidR="00442FD6">
        <w:rPr>
          <w:bCs/>
          <w:sz w:val="24"/>
          <w:szCs w:val="24"/>
        </w:rPr>
        <w:t xml:space="preserve">Most </w:t>
      </w:r>
      <w:proofErr w:type="gramStart"/>
      <w:r w:rsidRPr="00442FD6" w:rsidR="00442FD6">
        <w:rPr>
          <w:bCs/>
          <w:sz w:val="24"/>
          <w:szCs w:val="24"/>
        </w:rPr>
        <w:t>fishermen</w:t>
      </w:r>
      <w:proofErr w:type="gramEnd"/>
      <w:r w:rsidRPr="00442FD6" w:rsidR="00442FD6">
        <w:rPr>
          <w:bCs/>
          <w:sz w:val="24"/>
          <w:szCs w:val="24"/>
        </w:rPr>
        <w:t xml:space="preserve"> properly identify marker buoys and are not adversely affected by this requirement.</w:t>
      </w:r>
    </w:p>
    <w:p w:rsidRPr="00AF383E" w:rsidR="002A4B61" w:rsidP="00DB2597" w:rsidRDefault="002A4B61" w14:paraId="49F2F4F6" w14:textId="77777777">
      <w:pPr>
        <w:widowControl/>
        <w:tabs>
          <w:tab w:val="left" w:pos="-1180"/>
        </w:tabs>
        <w:rPr>
          <w:bCs/>
          <w:sz w:val="24"/>
          <w:szCs w:val="24"/>
        </w:rPr>
      </w:pPr>
    </w:p>
    <w:p w:rsidR="004F26E9" w:rsidP="00DB2597" w:rsidRDefault="00DB2597" w14:paraId="156D3826" w14:textId="70911E4A">
      <w:pPr>
        <w:widowControl/>
        <w:tabs>
          <w:tab w:val="left" w:pos="-1180"/>
        </w:tabs>
        <w:rPr>
          <w:sz w:val="24"/>
          <w:szCs w:val="24"/>
        </w:rPr>
      </w:pPr>
      <w:r w:rsidRPr="00AC6F72">
        <w:rPr>
          <w:bCs/>
          <w:sz w:val="24"/>
          <w:szCs w:val="24"/>
        </w:rPr>
        <w:t xml:space="preserve">Small entities who voluntarily adopt the use of pot longline gear face some additional recordkeeping and reporting requirements. Any adverse impact resulting from these additional requirements, in the result of extra time spent fulfilling requirements, is small relative to total gross fishing revenue. Any additional burden from meeting requirements </w:t>
      </w:r>
      <w:proofErr w:type="gramStart"/>
      <w:r w:rsidRPr="00AC6F72">
        <w:rPr>
          <w:bCs/>
          <w:sz w:val="24"/>
          <w:szCs w:val="24"/>
        </w:rPr>
        <w:t>will be outweighed</w:t>
      </w:r>
      <w:proofErr w:type="gramEnd"/>
      <w:r w:rsidRPr="00AC6F72">
        <w:rPr>
          <w:bCs/>
          <w:sz w:val="24"/>
          <w:szCs w:val="24"/>
        </w:rPr>
        <w:t xml:space="preserve"> by the positive impact of reducing whale depredation and seabird entanglement. </w:t>
      </w:r>
      <w:proofErr w:type="gramStart"/>
      <w:r w:rsidR="001E66F9">
        <w:rPr>
          <w:bCs/>
          <w:sz w:val="24"/>
          <w:szCs w:val="24"/>
        </w:rPr>
        <w:t>F</w:t>
      </w:r>
      <w:r w:rsidRPr="00AC6F72">
        <w:rPr>
          <w:bCs/>
          <w:sz w:val="24"/>
          <w:szCs w:val="24"/>
        </w:rPr>
        <w:t>ishermen</w:t>
      </w:r>
      <w:proofErr w:type="gramEnd"/>
      <w:r w:rsidRPr="00AC6F72">
        <w:rPr>
          <w:bCs/>
          <w:sz w:val="24"/>
          <w:szCs w:val="24"/>
        </w:rPr>
        <w:t xml:space="preserve"> who judge the recordkeeping and reporting impact to be excessive </w:t>
      </w:r>
      <w:r w:rsidR="001E66F9">
        <w:rPr>
          <w:bCs/>
          <w:sz w:val="24"/>
          <w:szCs w:val="24"/>
        </w:rPr>
        <w:t xml:space="preserve">can avoid these impacts </w:t>
      </w:r>
      <w:r w:rsidRPr="00AC6F72">
        <w:rPr>
          <w:bCs/>
          <w:sz w:val="24"/>
          <w:szCs w:val="24"/>
        </w:rPr>
        <w:t>by choosing not to switch to pot longline gear.</w:t>
      </w:r>
    </w:p>
    <w:p w:rsidR="004F26E9" w:rsidP="0020448B" w:rsidRDefault="004F26E9" w14:paraId="1A0FD51C" w14:textId="77777777">
      <w:pPr>
        <w:rPr>
          <w:sz w:val="24"/>
          <w:szCs w:val="24"/>
        </w:rPr>
      </w:pPr>
    </w:p>
    <w:p w:rsidR="004F26E9" w:rsidP="00493868" w:rsidRDefault="00493868" w14:paraId="6C6F5BB3"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 xml:space="preserve">Describe the consequences to the Federal program or policy activities if the collection </w:t>
      </w:r>
      <w:proofErr w:type="gramStart"/>
      <w:r w:rsidRPr="000A0540" w:rsidR="004F26E9">
        <w:rPr>
          <w:b/>
          <w:bCs/>
          <w:sz w:val="24"/>
          <w:szCs w:val="24"/>
        </w:rPr>
        <w:t>is not conducted</w:t>
      </w:r>
      <w:proofErr w:type="gramEnd"/>
      <w:r w:rsidRPr="000A0540" w:rsidR="004F26E9">
        <w:rPr>
          <w:b/>
          <w:bCs/>
          <w:sz w:val="24"/>
          <w:szCs w:val="24"/>
        </w:rPr>
        <w:t xml:space="preserve"> or is conducted less frequently</w:t>
      </w:r>
      <w:r w:rsidR="004F26E9">
        <w:rPr>
          <w:b/>
          <w:bCs/>
          <w:sz w:val="24"/>
          <w:szCs w:val="24"/>
        </w:rPr>
        <w:t>.</w:t>
      </w:r>
      <w:r w:rsidR="004F26E9">
        <w:rPr>
          <w:sz w:val="24"/>
          <w:szCs w:val="24"/>
        </w:rPr>
        <w:t xml:space="preserve"> </w:t>
      </w:r>
    </w:p>
    <w:p w:rsidR="004F26E9" w:rsidP="0020448B" w:rsidRDefault="004F26E9" w14:paraId="071DDBA4" w14:textId="77777777">
      <w:pPr>
        <w:rPr>
          <w:sz w:val="24"/>
          <w:szCs w:val="24"/>
        </w:rPr>
      </w:pPr>
    </w:p>
    <w:p w:rsidRPr="009058A8" w:rsidR="009058A8" w:rsidP="009058A8" w:rsidRDefault="00D47222" w14:paraId="5D4A2886" w14:textId="42C1FFD5">
      <w:pPr>
        <w:widowControl/>
        <w:tabs>
          <w:tab w:val="left" w:pos="-1180"/>
        </w:tabs>
        <w:rPr>
          <w:sz w:val="24"/>
          <w:szCs w:val="24"/>
        </w:rPr>
      </w:pPr>
      <w:r w:rsidRPr="00D47222">
        <w:rPr>
          <w:sz w:val="24"/>
          <w:szCs w:val="24"/>
        </w:rPr>
        <w:t xml:space="preserve">If </w:t>
      </w:r>
      <w:r>
        <w:rPr>
          <w:sz w:val="24"/>
          <w:szCs w:val="24"/>
        </w:rPr>
        <w:t>this</w:t>
      </w:r>
      <w:r w:rsidRPr="00D47222">
        <w:rPr>
          <w:sz w:val="24"/>
          <w:szCs w:val="24"/>
        </w:rPr>
        <w:t xml:space="preserve"> collection </w:t>
      </w:r>
      <w:proofErr w:type="gramStart"/>
      <w:r w:rsidR="0022650B">
        <w:rPr>
          <w:sz w:val="24"/>
          <w:szCs w:val="24"/>
        </w:rPr>
        <w:t>is</w:t>
      </w:r>
      <w:r w:rsidRPr="00D47222" w:rsidR="0022650B">
        <w:rPr>
          <w:sz w:val="24"/>
          <w:szCs w:val="24"/>
        </w:rPr>
        <w:t xml:space="preserve"> </w:t>
      </w:r>
      <w:r w:rsidRPr="00D47222">
        <w:rPr>
          <w:sz w:val="24"/>
          <w:szCs w:val="24"/>
        </w:rPr>
        <w:t>not conducted</w:t>
      </w:r>
      <w:proofErr w:type="gramEnd"/>
      <w:r w:rsidRPr="00D47222">
        <w:rPr>
          <w:sz w:val="24"/>
          <w:szCs w:val="24"/>
        </w:rPr>
        <w:t xml:space="preserve"> or </w:t>
      </w:r>
      <w:r w:rsidR="0022650B">
        <w:rPr>
          <w:sz w:val="24"/>
          <w:szCs w:val="24"/>
        </w:rPr>
        <w:t>is</w:t>
      </w:r>
      <w:r w:rsidRPr="00D47222" w:rsidR="0022650B">
        <w:rPr>
          <w:sz w:val="24"/>
          <w:szCs w:val="24"/>
        </w:rPr>
        <w:t xml:space="preserve"> </w:t>
      </w:r>
      <w:r w:rsidRPr="00D47222">
        <w:rPr>
          <w:sz w:val="24"/>
          <w:szCs w:val="24"/>
        </w:rPr>
        <w:t xml:space="preserve">conducted less frequently, </w:t>
      </w:r>
      <w:r w:rsidR="00ED290D">
        <w:rPr>
          <w:sz w:val="24"/>
          <w:szCs w:val="24"/>
        </w:rPr>
        <w:t xml:space="preserve">the ability of </w:t>
      </w:r>
      <w:r w:rsidRPr="00D47222">
        <w:rPr>
          <w:sz w:val="24"/>
          <w:szCs w:val="24"/>
        </w:rPr>
        <w:t>NMFS and</w:t>
      </w:r>
      <w:r w:rsidR="00ED290D">
        <w:rPr>
          <w:sz w:val="24"/>
          <w:szCs w:val="24"/>
        </w:rPr>
        <w:t xml:space="preserve"> the</w:t>
      </w:r>
      <w:r w:rsidRPr="00D47222">
        <w:rPr>
          <w:sz w:val="24"/>
          <w:szCs w:val="24"/>
        </w:rPr>
        <w:t xml:space="preserve"> USCG </w:t>
      </w:r>
      <w:r w:rsidR="00ED290D">
        <w:rPr>
          <w:sz w:val="24"/>
          <w:szCs w:val="24"/>
        </w:rPr>
        <w:t xml:space="preserve">to </w:t>
      </w:r>
      <w:r w:rsidRPr="00D47222">
        <w:rPr>
          <w:sz w:val="24"/>
          <w:szCs w:val="24"/>
        </w:rPr>
        <w:t>enforce the fishery management measures</w:t>
      </w:r>
      <w:r w:rsidR="00ED290D">
        <w:rPr>
          <w:sz w:val="24"/>
          <w:szCs w:val="24"/>
        </w:rPr>
        <w:t xml:space="preserve"> </w:t>
      </w:r>
      <w:r w:rsidR="0022650B">
        <w:rPr>
          <w:sz w:val="24"/>
          <w:szCs w:val="24"/>
        </w:rPr>
        <w:t xml:space="preserve">will </w:t>
      </w:r>
      <w:r w:rsidR="00ED290D">
        <w:rPr>
          <w:sz w:val="24"/>
          <w:szCs w:val="24"/>
        </w:rPr>
        <w:t>be significantly impaired</w:t>
      </w:r>
      <w:r w:rsidRPr="00D47222">
        <w:rPr>
          <w:sz w:val="24"/>
          <w:szCs w:val="24"/>
        </w:rPr>
        <w:t>, and the fisheries could be endangered.</w:t>
      </w:r>
    </w:p>
    <w:p w:rsidR="009058A8" w:rsidP="009058A8" w:rsidRDefault="009058A8" w14:paraId="79F558AF" w14:textId="77777777">
      <w:pPr>
        <w:widowControl/>
        <w:tabs>
          <w:tab w:val="left" w:pos="-1180"/>
        </w:tabs>
        <w:rPr>
          <w:sz w:val="24"/>
          <w:szCs w:val="24"/>
        </w:rPr>
      </w:pPr>
    </w:p>
    <w:p w:rsidR="004F26E9" w:rsidP="00493868" w:rsidRDefault="00493868" w14:paraId="1EA20599"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 xml:space="preserve">Explain any special circumstances that require the collection to </w:t>
      </w:r>
      <w:proofErr w:type="gramStart"/>
      <w:r w:rsidRPr="000A0540" w:rsidR="004F26E9">
        <w:rPr>
          <w:b/>
          <w:bCs/>
          <w:sz w:val="24"/>
          <w:szCs w:val="24"/>
        </w:rPr>
        <w:t>be conducted</w:t>
      </w:r>
      <w:proofErr w:type="gramEnd"/>
      <w:r w:rsidRPr="000A0540" w:rsidR="004F26E9">
        <w:rPr>
          <w:b/>
          <w:bCs/>
          <w:sz w:val="24"/>
          <w:szCs w:val="24"/>
        </w:rPr>
        <w:t xml:space="preserve"> in a manner inconsistent with OMB guidelines.</w:t>
      </w:r>
      <w:r w:rsidR="004F26E9">
        <w:rPr>
          <w:b/>
          <w:bCs/>
          <w:sz w:val="24"/>
          <w:szCs w:val="24"/>
        </w:rPr>
        <w:t xml:space="preserve"> </w:t>
      </w:r>
    </w:p>
    <w:p w:rsidR="004F26E9" w:rsidP="00CD5390" w:rsidRDefault="004F26E9" w14:paraId="48BD913A" w14:textId="77777777">
      <w:pPr>
        <w:rPr>
          <w:sz w:val="24"/>
          <w:szCs w:val="24"/>
        </w:rPr>
      </w:pPr>
    </w:p>
    <w:p w:rsidRPr="0095230E" w:rsidR="0095230E" w:rsidP="0095230E" w:rsidRDefault="0095230E" w14:paraId="2452C5B7" w14:textId="77777777">
      <w:pPr>
        <w:tabs>
          <w:tab w:val="left" w:pos="-1180"/>
          <w:tab w:val="left" w:pos="-720"/>
          <w:tab w:val="left" w:pos="0"/>
          <w:tab w:val="left" w:pos="360"/>
          <w:tab w:val="left" w:pos="720"/>
          <w:tab w:val="left" w:pos="1080"/>
        </w:tabs>
        <w:spacing w:after="240"/>
        <w:rPr>
          <w:sz w:val="24"/>
          <w:szCs w:val="24"/>
        </w:rPr>
      </w:pPr>
      <w:r w:rsidRPr="0095230E">
        <w:rPr>
          <w:sz w:val="24"/>
          <w:szCs w:val="24"/>
        </w:rPr>
        <w:lastRenderedPageBreak/>
        <w:t xml:space="preserve">There are no special circumstances that require the collection to </w:t>
      </w:r>
      <w:proofErr w:type="gramStart"/>
      <w:r w:rsidRPr="0095230E">
        <w:rPr>
          <w:sz w:val="24"/>
          <w:szCs w:val="24"/>
        </w:rPr>
        <w:t>be conducted</w:t>
      </w:r>
      <w:proofErr w:type="gramEnd"/>
      <w:r w:rsidRPr="0095230E">
        <w:rPr>
          <w:sz w:val="24"/>
          <w:szCs w:val="24"/>
        </w:rPr>
        <w:t xml:space="preserve"> in a manner inconsistent with OMB guidelines.</w:t>
      </w:r>
    </w:p>
    <w:p w:rsidR="004F26E9" w:rsidP="008F2067" w:rsidRDefault="00493868" w14:paraId="149893C2" w14:textId="54DC8200">
      <w:pPr>
        <w:tabs>
          <w:tab w:val="left" w:pos="540"/>
        </w:tabs>
        <w:ind w:left="540" w:hanging="540"/>
        <w:rPr>
          <w:sz w:val="24"/>
          <w:szCs w:val="24"/>
        </w:rPr>
      </w:pPr>
      <w:r>
        <w:rPr>
          <w:b/>
          <w:bCs/>
          <w:sz w:val="24"/>
          <w:szCs w:val="24"/>
        </w:rPr>
        <w:t>8.</w:t>
      </w:r>
      <w:r>
        <w:rPr>
          <w:b/>
          <w:bCs/>
          <w:sz w:val="24"/>
          <w:szCs w:val="24"/>
        </w:rPr>
        <w:tab/>
      </w:r>
      <w:r w:rsidRPr="008F2067" w:rsidR="008F2067">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067" w:rsidP="00CD5390" w:rsidRDefault="008F2067" w14:paraId="7FBBCBCC" w14:textId="77777777">
      <w:pPr>
        <w:rPr>
          <w:sz w:val="24"/>
          <w:szCs w:val="24"/>
        </w:rPr>
      </w:pPr>
    </w:p>
    <w:p w:rsidR="00493868" w:rsidP="00CD5390" w:rsidRDefault="001E6F72" w14:paraId="3C6933C5" w14:textId="291758F1">
      <w:pPr>
        <w:rPr>
          <w:sz w:val="24"/>
          <w:szCs w:val="24"/>
        </w:rPr>
      </w:pPr>
      <w:r>
        <w:rPr>
          <w:sz w:val="24"/>
          <w:szCs w:val="24"/>
        </w:rPr>
        <w:t xml:space="preserve">A </w:t>
      </w:r>
      <w:r w:rsidRPr="00DD37BE">
        <w:rPr>
          <w:i/>
          <w:sz w:val="24"/>
          <w:szCs w:val="24"/>
        </w:rPr>
        <w:t>Federal Register</w:t>
      </w:r>
      <w:r>
        <w:rPr>
          <w:sz w:val="24"/>
          <w:szCs w:val="24"/>
        </w:rPr>
        <w:t xml:space="preserve"> Notice published on</w:t>
      </w:r>
      <w:r w:rsidR="00581C79">
        <w:rPr>
          <w:sz w:val="24"/>
          <w:szCs w:val="24"/>
        </w:rPr>
        <w:t xml:space="preserve"> </w:t>
      </w:r>
      <w:r w:rsidR="00DD37BE">
        <w:rPr>
          <w:sz w:val="24"/>
          <w:szCs w:val="24"/>
        </w:rPr>
        <w:t>November 13, 2019</w:t>
      </w:r>
      <w:r>
        <w:rPr>
          <w:sz w:val="24"/>
          <w:szCs w:val="24"/>
        </w:rPr>
        <w:t xml:space="preserve"> (</w:t>
      </w:r>
      <w:r w:rsidR="00DD37BE">
        <w:rPr>
          <w:sz w:val="24"/>
          <w:szCs w:val="24"/>
        </w:rPr>
        <w:t>84</w:t>
      </w:r>
      <w:r>
        <w:rPr>
          <w:sz w:val="24"/>
          <w:szCs w:val="24"/>
        </w:rPr>
        <w:t xml:space="preserve"> FR </w:t>
      </w:r>
      <w:r w:rsidR="00DD37BE">
        <w:rPr>
          <w:sz w:val="24"/>
          <w:szCs w:val="24"/>
        </w:rPr>
        <w:t>61598</w:t>
      </w:r>
      <w:r>
        <w:rPr>
          <w:sz w:val="24"/>
          <w:szCs w:val="24"/>
        </w:rPr>
        <w:t>)</w:t>
      </w:r>
      <w:r w:rsidR="00DD37BE">
        <w:rPr>
          <w:sz w:val="24"/>
          <w:szCs w:val="24"/>
        </w:rPr>
        <w:t>,</w:t>
      </w:r>
      <w:r>
        <w:rPr>
          <w:sz w:val="24"/>
          <w:szCs w:val="24"/>
        </w:rPr>
        <w:t xml:space="preserve"> solicited public comments. No comments </w:t>
      </w:r>
      <w:proofErr w:type="gramStart"/>
      <w:r>
        <w:rPr>
          <w:sz w:val="24"/>
          <w:szCs w:val="24"/>
        </w:rPr>
        <w:t>were received</w:t>
      </w:r>
      <w:proofErr w:type="gramEnd"/>
      <w:r>
        <w:rPr>
          <w:sz w:val="24"/>
          <w:szCs w:val="24"/>
        </w:rPr>
        <w:t>.</w:t>
      </w:r>
      <w:r w:rsidR="00581C79">
        <w:rPr>
          <w:sz w:val="24"/>
          <w:szCs w:val="24"/>
        </w:rPr>
        <w:t xml:space="preserve"> </w:t>
      </w:r>
    </w:p>
    <w:p w:rsidR="00493868" w:rsidP="00CD5390" w:rsidRDefault="00493868" w14:paraId="2AF3F28C" w14:textId="77777777">
      <w:pPr>
        <w:rPr>
          <w:sz w:val="24"/>
          <w:szCs w:val="24"/>
        </w:rPr>
      </w:pPr>
    </w:p>
    <w:p w:rsidR="004F26E9" w:rsidP="00493868" w:rsidRDefault="00493868" w14:paraId="6BACA080"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58963ED1" w14:textId="77777777">
      <w:pPr>
        <w:rPr>
          <w:sz w:val="24"/>
          <w:szCs w:val="24"/>
        </w:rPr>
      </w:pPr>
    </w:p>
    <w:p w:rsidR="004F26E9" w:rsidP="00CD5390" w:rsidRDefault="00682F0E" w14:paraId="45F26B41" w14:textId="1BD2C014">
      <w:pPr>
        <w:rPr>
          <w:sz w:val="24"/>
          <w:szCs w:val="24"/>
        </w:rPr>
      </w:pPr>
      <w:r w:rsidRPr="00682F0E">
        <w:rPr>
          <w:sz w:val="24"/>
          <w:szCs w:val="24"/>
        </w:rPr>
        <w:t>NMFS does not provide any payment or gift to respondents.</w:t>
      </w:r>
    </w:p>
    <w:p w:rsidR="004F26E9" w:rsidP="00CD5390" w:rsidRDefault="004F26E9" w14:paraId="00096406" w14:textId="77777777">
      <w:pPr>
        <w:rPr>
          <w:sz w:val="24"/>
          <w:szCs w:val="24"/>
        </w:rPr>
      </w:pPr>
    </w:p>
    <w:p w:rsidR="004F26E9" w:rsidP="00493868" w:rsidRDefault="00493868" w14:paraId="034EF1A1"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069870DB" w14:textId="77777777">
      <w:pPr>
        <w:rPr>
          <w:sz w:val="24"/>
          <w:szCs w:val="24"/>
        </w:rPr>
      </w:pPr>
    </w:p>
    <w:p w:rsidRPr="002D2898" w:rsidR="002D2898" w:rsidP="002D2898" w:rsidRDefault="00682F0E" w14:paraId="0D6B69DA" w14:textId="1E5CDE0B">
      <w:pPr>
        <w:autoSpaceDE/>
        <w:autoSpaceDN/>
        <w:adjustRightInd/>
        <w:rPr>
          <w:sz w:val="24"/>
          <w:szCs w:val="24"/>
        </w:rPr>
      </w:pPr>
      <w:r w:rsidRPr="002D2898">
        <w:rPr>
          <w:sz w:val="24"/>
          <w:szCs w:val="24"/>
        </w:rPr>
        <w:t>The identification of gear tags assigned to each vessel is confidential under section 402(b) of the Magnuson-Stevens Act as amended in 2006</w:t>
      </w:r>
      <w:r w:rsidRPr="002D2898" w:rsidR="002D2898">
        <w:rPr>
          <w:sz w:val="24"/>
          <w:szCs w:val="24"/>
        </w:rPr>
        <w:t xml:space="preserve"> (16 U.S.C. 1801, </w:t>
      </w:r>
      <w:r w:rsidRPr="002D2898" w:rsidR="002D2898">
        <w:rPr>
          <w:i/>
          <w:sz w:val="24"/>
          <w:szCs w:val="24"/>
        </w:rPr>
        <w:t>et seq</w:t>
      </w:r>
      <w:r w:rsidRPr="002D2898" w:rsidR="002D2898">
        <w:rPr>
          <w:sz w:val="24"/>
          <w:szCs w:val="24"/>
        </w:rPr>
        <w:t>.) and</w:t>
      </w:r>
      <w:r w:rsidRPr="002D2898">
        <w:rPr>
          <w:sz w:val="24"/>
          <w:szCs w:val="24"/>
        </w:rPr>
        <w:t xml:space="preserve"> under NOAA </w:t>
      </w:r>
      <w:hyperlink w:history="1" r:id="rId15">
        <w:r w:rsidRPr="002D2898">
          <w:rPr>
            <w:color w:val="336699"/>
            <w:sz w:val="24"/>
            <w:szCs w:val="24"/>
          </w:rPr>
          <w:t>Administrative Order 216-100</w:t>
        </w:r>
      </w:hyperlink>
      <w:r w:rsidRPr="002D2898">
        <w:rPr>
          <w:sz w:val="24"/>
          <w:szCs w:val="24"/>
        </w:rPr>
        <w:t xml:space="preserve">, which sets forth procedures to protect confidentiality of fishery statistics. </w:t>
      </w:r>
      <w:r w:rsidRPr="002D2898" w:rsidR="002D2898">
        <w:rPr>
          <w:sz w:val="24"/>
          <w:szCs w:val="24"/>
        </w:rPr>
        <w:t xml:space="preserve">The System of Records Notice that covers this information collection is </w:t>
      </w:r>
      <w:hyperlink w:history="1" r:id="rId16">
        <w:r w:rsidRPr="002D2898" w:rsidR="002D2898">
          <w:rPr>
            <w:color w:val="0000FF"/>
            <w:sz w:val="24"/>
            <w:szCs w:val="24"/>
            <w:u w:val="single"/>
          </w:rPr>
          <w:t>COMMERCE/NOAA-19, Permits and Registrations for United States Federally Regulated Fisheries</w:t>
        </w:r>
      </w:hyperlink>
      <w:r w:rsidRPr="002D2898" w:rsidR="002D2898">
        <w:rPr>
          <w:sz w:val="24"/>
          <w:szCs w:val="24"/>
        </w:rPr>
        <w:t xml:space="preserve">. An amended Privacy Act system of records notice was published in the </w:t>
      </w:r>
      <w:r w:rsidRPr="002D2898" w:rsidR="002D2898">
        <w:rPr>
          <w:i/>
          <w:sz w:val="24"/>
          <w:szCs w:val="24"/>
        </w:rPr>
        <w:t>Federal Register</w:t>
      </w:r>
      <w:r w:rsidRPr="002D2898" w:rsidR="002D2898">
        <w:rPr>
          <w:sz w:val="24"/>
          <w:szCs w:val="24"/>
        </w:rPr>
        <w:t xml:space="preserve"> on August 7, 2015 (80 FR 47457), and became effective September 15, 2015 (80 FR 55327).</w:t>
      </w:r>
    </w:p>
    <w:p w:rsidRPr="00682F0E" w:rsidR="002D2898" w:rsidP="00682F0E" w:rsidRDefault="002D2898" w14:paraId="2319A503" w14:textId="77777777">
      <w:pPr>
        <w:widowControl/>
        <w:tabs>
          <w:tab w:val="left" w:pos="-1180"/>
        </w:tabs>
        <w:rPr>
          <w:sz w:val="24"/>
          <w:szCs w:val="24"/>
          <w:highlight w:val="lightGray"/>
        </w:rPr>
      </w:pPr>
    </w:p>
    <w:p w:rsidR="004F26E9" w:rsidP="00682F0E" w:rsidRDefault="00682F0E" w14:paraId="02B39B10" w14:textId="34E20D20">
      <w:pPr>
        <w:widowControl/>
        <w:tabs>
          <w:tab w:val="left" w:pos="-1180"/>
        </w:tabs>
        <w:rPr>
          <w:sz w:val="24"/>
          <w:szCs w:val="24"/>
        </w:rPr>
      </w:pPr>
      <w:r w:rsidRPr="002D2898">
        <w:rPr>
          <w:sz w:val="24"/>
          <w:szCs w:val="24"/>
        </w:rPr>
        <w:t>The marking of fishing gear is not confidential. There is no assurance of confidentiality provided, as marking of gear occurs on an individual basis.</w:t>
      </w:r>
    </w:p>
    <w:p w:rsidR="004F26E9" w:rsidP="00CD5390" w:rsidRDefault="004F26E9" w14:paraId="3F5065F7" w14:textId="77777777">
      <w:pPr>
        <w:rPr>
          <w:sz w:val="24"/>
          <w:szCs w:val="24"/>
        </w:rPr>
      </w:pPr>
    </w:p>
    <w:p w:rsidR="004F26E9" w:rsidP="00493868" w:rsidRDefault="00493868" w14:paraId="0A649492"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 xml:space="preserve">Provide additional justification for any questions of a sensitive nature, such as sexual behavior and attitudes, religious beliefs, and other matters that </w:t>
      </w:r>
      <w:proofErr w:type="gramStart"/>
      <w:r w:rsidRPr="000A0540" w:rsidR="004F26E9">
        <w:rPr>
          <w:b/>
          <w:bCs/>
          <w:sz w:val="24"/>
          <w:szCs w:val="24"/>
        </w:rPr>
        <w:t>are commonly considered</w:t>
      </w:r>
      <w:proofErr w:type="gramEnd"/>
      <w:r w:rsidRPr="000A0540" w:rsidR="004F26E9">
        <w:rPr>
          <w:b/>
          <w:bCs/>
          <w:sz w:val="24"/>
          <w:szCs w:val="24"/>
        </w:rPr>
        <w:t xml:space="preserve"> private</w:t>
      </w:r>
      <w:r w:rsidR="004F26E9">
        <w:rPr>
          <w:b/>
          <w:bCs/>
          <w:sz w:val="24"/>
          <w:szCs w:val="24"/>
        </w:rPr>
        <w:t>.</w:t>
      </w:r>
    </w:p>
    <w:p w:rsidR="004F26E9" w:rsidP="00CD5390" w:rsidRDefault="004F26E9" w14:paraId="4FA4555E" w14:textId="77777777">
      <w:pPr>
        <w:rPr>
          <w:sz w:val="24"/>
          <w:szCs w:val="24"/>
        </w:rPr>
      </w:pPr>
    </w:p>
    <w:p w:rsidRPr="00B940C3" w:rsidR="00B940C3" w:rsidP="00B940C3" w:rsidRDefault="00B940C3" w14:paraId="0CFC2281" w14:textId="77777777">
      <w:pPr>
        <w:widowControl/>
        <w:tabs>
          <w:tab w:val="left" w:pos="-1180"/>
        </w:tabs>
        <w:rPr>
          <w:sz w:val="24"/>
          <w:szCs w:val="24"/>
        </w:rPr>
      </w:pPr>
      <w:r w:rsidRPr="00B940C3">
        <w:rPr>
          <w:sz w:val="24"/>
          <w:szCs w:val="24"/>
        </w:rPr>
        <w:t>This information collection does not involve information of a sensitive nature.</w:t>
      </w:r>
    </w:p>
    <w:p w:rsidR="004F26E9" w:rsidP="00CD5390" w:rsidRDefault="004F26E9" w14:paraId="3A26211B" w14:textId="77777777">
      <w:pPr>
        <w:rPr>
          <w:sz w:val="24"/>
          <w:szCs w:val="24"/>
        </w:rPr>
      </w:pPr>
    </w:p>
    <w:p w:rsidR="00CA2B37" w:rsidP="00CD5390" w:rsidRDefault="00CA2B37" w14:paraId="63D0EDBC"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4F26E9" w:rsidP="00493868" w:rsidRDefault="00493868" w14:paraId="613D38D6" w14:textId="77777777">
      <w:pPr>
        <w:tabs>
          <w:tab w:val="left" w:pos="540"/>
        </w:tabs>
        <w:ind w:left="540" w:hanging="540"/>
        <w:rPr>
          <w:b/>
          <w:bCs/>
          <w:sz w:val="24"/>
          <w:szCs w:val="24"/>
        </w:rPr>
      </w:pPr>
      <w:r>
        <w:rPr>
          <w:b/>
          <w:bCs/>
          <w:sz w:val="24"/>
          <w:szCs w:val="24"/>
        </w:rPr>
        <w:lastRenderedPageBreak/>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roofErr w:type="gramStart"/>
      <w:r w:rsidR="00557696">
        <w:rPr>
          <w:b/>
          <w:bCs/>
          <w:sz w:val="24"/>
          <w:szCs w:val="24"/>
        </w:rPr>
        <w:t>add</w:t>
      </w:r>
      <w:proofErr w:type="gramEnd"/>
      <w:r w:rsidR="00557696">
        <w:rPr>
          <w:b/>
          <w:bCs/>
          <w:sz w:val="24"/>
          <w:szCs w:val="24"/>
        </w:rPr>
        <w:t xml:space="preserve"> rows as necessary)</w:t>
      </w:r>
    </w:p>
    <w:p w:rsidR="00580714" w:rsidP="00580714" w:rsidRDefault="00D9308B" w14:paraId="04BA4708" w14:textId="77777777">
      <w:pPr>
        <w:rPr>
          <w:sz w:val="24"/>
          <w:szCs w:val="24"/>
        </w:rPr>
      </w:pPr>
      <w:r>
        <w:rPr>
          <w:b/>
          <w:bCs/>
          <w:sz w:val="24"/>
          <w:szCs w:val="24"/>
        </w:rPr>
        <w:t>For wage costs:  u</w:t>
      </w:r>
      <w:r w:rsidR="00580714">
        <w:rPr>
          <w:b/>
          <w:bCs/>
          <w:sz w:val="24"/>
          <w:szCs w:val="24"/>
        </w:rPr>
        <w:t xml:space="preserve">se </w:t>
      </w:r>
      <w:hyperlink w:history="1" r:id="rId17">
        <w:r w:rsidRPr="00EA7B5B" w:rsidR="00580714">
          <w:rPr>
            <w:rStyle w:val="Hyperlink"/>
            <w:b/>
            <w:bCs/>
            <w:sz w:val="24"/>
            <w:szCs w:val="24"/>
          </w:rPr>
          <w:t>www.bls.gov/oes</w:t>
        </w:r>
      </w:hyperlink>
      <w:r w:rsidR="00580714">
        <w:rPr>
          <w:b/>
          <w:bCs/>
          <w:sz w:val="24"/>
          <w:szCs w:val="24"/>
        </w:rPr>
        <w:t xml:space="preserve"> , then click on OES Data in the left-hand column, then National to find Occupational Employment Wage Rates for the current year.  Find the appropriate Occupational Title of the Respondent completing the Information Collection</w:t>
      </w:r>
      <w:r>
        <w:rPr>
          <w:b/>
          <w:bCs/>
          <w:sz w:val="24"/>
          <w:szCs w:val="24"/>
        </w:rPr>
        <w:t xml:space="preserve"> and use the Mean hourly wage.</w:t>
      </w:r>
      <w:r w:rsidR="00580714">
        <w:rPr>
          <w:b/>
          <w:bCs/>
          <w:sz w:val="24"/>
          <w:szCs w:val="24"/>
        </w:rPr>
        <w:t xml:space="preserve">  </w:t>
      </w:r>
    </w:p>
    <w:p w:rsidR="004F26E9" w:rsidP="00CA2B37" w:rsidRDefault="004F26E9" w14:paraId="7943B6D9" w14:textId="77777777">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7E8C03A9"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35CAA4D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3A225EE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53A0013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3C5A618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25C891A"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RDefault="00F160E2" w14:paraId="63049D75" w14:textId="1865C06B">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r w:rsidRPr="00D5743F" w:rsidR="00F236D8">
              <w:rPr>
                <w:rFonts w:ascii="Calibri" w:hAnsi="Calibri" w:cs="Calibri"/>
                <w:b/>
                <w:bCs/>
                <w:color w:val="000000"/>
                <w:sz w:val="18"/>
                <w:szCs w:val="18"/>
                <w:vertAlign w:val="superscript"/>
              </w:rPr>
              <w:t>/1</w:t>
            </w:r>
            <w:r w:rsidRPr="00E248DB" w:rsidR="00E248DB">
              <w:rPr>
                <w:rFonts w:ascii="Calibri" w:hAnsi="Calibri" w:cs="Calibri"/>
                <w:b/>
                <w:bCs/>
                <w:color w:val="000000"/>
                <w:sz w:val="18"/>
                <w:szCs w:val="18"/>
                <w:vertAlign w:val="superscript"/>
              </w:rPr>
              <w:t>,</w:t>
            </w:r>
            <w:r w:rsidR="00F236D8">
              <w:rPr>
                <w:rFonts w:ascii="Calibri" w:hAnsi="Calibri" w:cs="Calibri"/>
                <w:b/>
                <w:bCs/>
                <w:color w:val="000000"/>
                <w:sz w:val="18"/>
                <w:szCs w:val="18"/>
                <w:vertAlign w:val="superscript"/>
              </w:rPr>
              <w:t xml:space="preserve"> /2</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43198AD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45EF2A5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0337870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0444A97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5926B08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3C4ED12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36BB60F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4D84F293" w14:textId="129385F1">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r w:rsidRPr="00D5743F" w:rsidR="00F236D8">
              <w:rPr>
                <w:rFonts w:ascii="Calibri" w:hAnsi="Calibri" w:cs="Calibri"/>
                <w:b/>
                <w:bCs/>
                <w:color w:val="000000"/>
                <w:sz w:val="18"/>
                <w:szCs w:val="18"/>
                <w:vertAlign w:val="superscript"/>
              </w:rPr>
              <w:t>/3</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005AC66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3579039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796A25" w:rsidR="00CD2CAC" w:rsidTr="004F561E" w14:paraId="7821DE99" w14:textId="77777777">
        <w:trPr>
          <w:trHeight w:val="278"/>
        </w:trPr>
        <w:tc>
          <w:tcPr>
            <w:tcW w:w="3680" w:type="dxa"/>
            <w:tcBorders>
              <w:top w:val="nil"/>
              <w:left w:val="single" w:color="auto" w:sz="8" w:space="0"/>
              <w:bottom w:val="single" w:color="auto" w:sz="4" w:space="0"/>
              <w:right w:val="single" w:color="auto" w:sz="4" w:space="0"/>
            </w:tcBorders>
            <w:shd w:val="clear" w:color="auto" w:fill="auto"/>
            <w:vAlign w:val="center"/>
          </w:tcPr>
          <w:p w:rsidRPr="00796A25" w:rsidR="00CD2CAC" w:rsidP="00DD72FD" w:rsidRDefault="00CD2CAC" w14:paraId="71ED03D8" w14:textId="77777777">
            <w:pPr>
              <w:widowControl/>
              <w:autoSpaceDE/>
              <w:autoSpaceDN/>
              <w:adjustRightInd/>
              <w:rPr>
                <w:rFonts w:ascii="Calibri" w:hAnsi="Calibri" w:cs="Calibri"/>
                <w:color w:val="000000"/>
                <w:sz w:val="16"/>
                <w:szCs w:val="16"/>
              </w:rPr>
            </w:pPr>
            <w:r w:rsidRPr="00796A25">
              <w:rPr>
                <w:rFonts w:ascii="Calibri" w:hAnsi="Calibri" w:cs="Calibri"/>
                <w:color w:val="000000"/>
                <w:sz w:val="16"/>
                <w:szCs w:val="16"/>
              </w:rPr>
              <w:t>Groundfish Hook-and-line Marker Buoys</w:t>
            </w:r>
          </w:p>
        </w:tc>
        <w:tc>
          <w:tcPr>
            <w:tcW w:w="1710" w:type="dxa"/>
            <w:tcBorders>
              <w:top w:val="nil"/>
              <w:left w:val="nil"/>
              <w:bottom w:val="single" w:color="auto" w:sz="4" w:space="0"/>
              <w:right w:val="single" w:color="auto" w:sz="4" w:space="0"/>
            </w:tcBorders>
            <w:shd w:val="clear" w:color="auto" w:fill="auto"/>
            <w:vAlign w:val="center"/>
          </w:tcPr>
          <w:p w:rsidRPr="00796A25" w:rsidR="00CD2CAC" w:rsidP="004F561E" w:rsidRDefault="007427C5" w14:paraId="2CB959E0" w14:textId="40862373">
            <w:pPr>
              <w:widowControl/>
              <w:autoSpaceDE/>
              <w:autoSpaceDN/>
              <w:adjustRightInd/>
              <w:jc w:val="center"/>
              <w:rPr>
                <w:rFonts w:ascii="Calibri" w:hAnsi="Calibri" w:cs="Calibri"/>
                <w:color w:val="000000"/>
                <w:sz w:val="16"/>
                <w:szCs w:val="16"/>
              </w:rPr>
            </w:pPr>
            <w:r w:rsidRPr="007427C5">
              <w:rPr>
                <w:rFonts w:ascii="Calibri" w:hAnsi="Calibri" w:cs="Calibri"/>
                <w:color w:val="000000"/>
                <w:sz w:val="16"/>
                <w:szCs w:val="16"/>
              </w:rPr>
              <w:t>Vessel owner</w:t>
            </w:r>
            <w:r>
              <w:rPr>
                <w:rFonts w:ascii="Calibri" w:hAnsi="Calibri" w:cs="Calibri"/>
                <w:color w:val="000000"/>
                <w:sz w:val="16"/>
                <w:szCs w:val="16"/>
              </w:rPr>
              <w:t xml:space="preserve"> or operator</w:t>
            </w:r>
          </w:p>
        </w:tc>
        <w:tc>
          <w:tcPr>
            <w:tcW w:w="1188" w:type="dxa"/>
            <w:tcBorders>
              <w:top w:val="nil"/>
              <w:left w:val="nil"/>
              <w:bottom w:val="single" w:color="auto" w:sz="4" w:space="0"/>
              <w:right w:val="single" w:color="auto" w:sz="4" w:space="0"/>
            </w:tcBorders>
            <w:shd w:val="clear" w:color="auto" w:fill="auto"/>
            <w:vAlign w:val="center"/>
          </w:tcPr>
          <w:p w:rsidRPr="00796A25" w:rsidR="00CD2CAC" w:rsidRDefault="00360F48" w14:paraId="5DB9A922" w14:textId="750AD5C1">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799</w:t>
            </w:r>
            <w:r w:rsidR="00F236D8">
              <w:rPr>
                <w:rFonts w:ascii="Calibri" w:hAnsi="Calibri" w:cs="Calibri"/>
                <w:color w:val="000000"/>
                <w:sz w:val="16"/>
                <w:szCs w:val="16"/>
                <w:vertAlign w:val="superscript"/>
              </w:rPr>
              <w:t>/4</w:t>
            </w:r>
          </w:p>
        </w:tc>
        <w:tc>
          <w:tcPr>
            <w:tcW w:w="1152" w:type="dxa"/>
            <w:tcBorders>
              <w:top w:val="nil"/>
              <w:left w:val="nil"/>
              <w:bottom w:val="single" w:color="auto" w:sz="4" w:space="0"/>
              <w:right w:val="single" w:color="auto" w:sz="4" w:space="0"/>
            </w:tcBorders>
            <w:shd w:val="clear" w:color="auto" w:fill="auto"/>
            <w:vAlign w:val="center"/>
          </w:tcPr>
          <w:p w:rsidR="00CD2CAC" w:rsidP="004F561E" w:rsidRDefault="00ED7B28" w14:paraId="47D7930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599: 6 buoys</w:t>
            </w:r>
          </w:p>
          <w:p w:rsidRPr="00796A25" w:rsidR="00ED7B28" w:rsidP="004F561E" w:rsidRDefault="00ED7B28" w14:paraId="369A777C" w14:textId="4CC21A3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200: 12 buoys</w:t>
            </w:r>
          </w:p>
        </w:tc>
        <w:tc>
          <w:tcPr>
            <w:tcW w:w="1260" w:type="dxa"/>
            <w:tcBorders>
              <w:top w:val="nil"/>
              <w:left w:val="nil"/>
              <w:bottom w:val="single" w:color="auto" w:sz="4" w:space="0"/>
              <w:right w:val="single" w:color="auto" w:sz="4" w:space="0"/>
            </w:tcBorders>
            <w:shd w:val="clear" w:color="auto" w:fill="auto"/>
            <w:vAlign w:val="center"/>
          </w:tcPr>
          <w:p w:rsidRPr="00796A25" w:rsidR="00CD2CAC" w:rsidP="004F561E" w:rsidRDefault="00ED7B28" w14:paraId="5EE6ACBB" w14:textId="56B5DB4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5,994</w:t>
            </w:r>
          </w:p>
        </w:tc>
        <w:tc>
          <w:tcPr>
            <w:tcW w:w="1206" w:type="dxa"/>
            <w:tcBorders>
              <w:top w:val="nil"/>
              <w:left w:val="nil"/>
              <w:bottom w:val="single" w:color="auto" w:sz="4" w:space="0"/>
              <w:right w:val="single" w:color="auto" w:sz="4" w:space="0"/>
            </w:tcBorders>
            <w:shd w:val="clear" w:color="auto" w:fill="auto"/>
            <w:vAlign w:val="center"/>
          </w:tcPr>
          <w:p w:rsidRPr="00796A25" w:rsidR="00CD2CAC" w:rsidP="004F561E" w:rsidRDefault="00CD2CAC" w14:paraId="527D7639" w14:textId="77777777">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auto"/>
            <w:vAlign w:val="center"/>
          </w:tcPr>
          <w:p w:rsidRPr="00796A25" w:rsidR="00CD2CAC" w:rsidP="004F561E" w:rsidRDefault="00F20759" w14:paraId="322D3EF3" w14:textId="5F363B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1,499</w:t>
            </w:r>
            <w:r w:rsidRPr="00D5743F" w:rsidR="00F236D8">
              <w:rPr>
                <w:rFonts w:ascii="Calibri" w:hAnsi="Calibri" w:cs="Calibri"/>
                <w:color w:val="000000"/>
                <w:sz w:val="16"/>
                <w:szCs w:val="16"/>
                <w:vertAlign w:val="superscript"/>
              </w:rPr>
              <w:t>/5</w:t>
            </w:r>
          </w:p>
        </w:tc>
        <w:tc>
          <w:tcPr>
            <w:tcW w:w="1350" w:type="dxa"/>
            <w:tcBorders>
              <w:top w:val="nil"/>
              <w:left w:val="nil"/>
              <w:bottom w:val="single" w:color="auto" w:sz="4" w:space="0"/>
              <w:right w:val="single" w:color="auto" w:sz="4" w:space="0"/>
            </w:tcBorders>
            <w:shd w:val="clear" w:color="auto" w:fill="auto"/>
            <w:noWrap/>
            <w:vAlign w:val="center"/>
          </w:tcPr>
          <w:p w:rsidRPr="00796A25" w:rsidR="00CD2CAC" w:rsidP="004F561E" w:rsidRDefault="00BD16B1" w14:paraId="0CD4CCBE" w14:textId="4F0BCF7E">
            <w:pPr>
              <w:widowControl/>
              <w:autoSpaceDE/>
              <w:autoSpaceDN/>
              <w:adjustRightInd/>
              <w:jc w:val="center"/>
              <w:rPr>
                <w:rFonts w:ascii="Calibri" w:hAnsi="Calibri" w:cs="Calibri"/>
                <w:color w:val="000000"/>
                <w:sz w:val="16"/>
                <w:szCs w:val="16"/>
              </w:rPr>
            </w:pPr>
            <w:r w:rsidRPr="00BD16B1">
              <w:rPr>
                <w:rFonts w:ascii="Calibri" w:hAnsi="Calibri" w:cs="Calibri"/>
                <w:color w:val="000000"/>
                <w:sz w:val="16"/>
                <w:szCs w:val="16"/>
              </w:rPr>
              <w:t>$23.84</w:t>
            </w:r>
          </w:p>
        </w:tc>
        <w:tc>
          <w:tcPr>
            <w:tcW w:w="1350" w:type="dxa"/>
            <w:tcBorders>
              <w:top w:val="nil"/>
              <w:left w:val="nil"/>
              <w:bottom w:val="single" w:color="auto" w:sz="4" w:space="0"/>
              <w:right w:val="single" w:color="auto" w:sz="8" w:space="0"/>
            </w:tcBorders>
            <w:shd w:val="clear" w:color="auto" w:fill="auto"/>
            <w:noWrap/>
            <w:vAlign w:val="center"/>
          </w:tcPr>
          <w:p w:rsidRPr="00796A25" w:rsidR="00CD2CAC" w:rsidP="004F561E" w:rsidRDefault="00F20759" w14:paraId="5ABF4E0B" w14:textId="0CE4EE5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$35,736</w:t>
            </w:r>
          </w:p>
        </w:tc>
      </w:tr>
      <w:tr w:rsidRPr="00796A25" w:rsidR="00391ADD" w:rsidTr="00762A22" w14:paraId="04CFE0D4"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center"/>
            <w:hideMark/>
          </w:tcPr>
          <w:p w:rsidRPr="00796A25" w:rsidR="00391ADD" w:rsidP="00DD72FD" w:rsidRDefault="00A94CC4" w14:paraId="70EB004C" w14:textId="3430BCA7">
            <w:pPr>
              <w:widowControl/>
              <w:autoSpaceDE/>
              <w:autoSpaceDN/>
              <w:adjustRightInd/>
              <w:rPr>
                <w:rFonts w:ascii="Calibri" w:hAnsi="Calibri" w:cs="Calibri"/>
                <w:color w:val="000000"/>
                <w:sz w:val="16"/>
                <w:szCs w:val="16"/>
              </w:rPr>
            </w:pPr>
            <w:r w:rsidRPr="00796A25">
              <w:rPr>
                <w:rFonts w:ascii="Calibri" w:hAnsi="Calibri" w:eastAsia="Calibri"/>
                <w:sz w:val="16"/>
                <w:szCs w:val="16"/>
              </w:rPr>
              <w:t>IFQ Sablefish Longline Pot Gear: Vessel Registration and Request for Pot Gear Tags</w:t>
            </w:r>
          </w:p>
        </w:tc>
        <w:tc>
          <w:tcPr>
            <w:tcW w:w="1710"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A94CC4" w14:paraId="02775C66" w14:textId="1A46CE49">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Vessel owner</w:t>
            </w:r>
          </w:p>
        </w:tc>
        <w:tc>
          <w:tcPr>
            <w:tcW w:w="1188"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A171D2" w14:paraId="3820610A" w14:textId="6FE27EE5">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28</w:t>
            </w:r>
          </w:p>
        </w:tc>
        <w:tc>
          <w:tcPr>
            <w:tcW w:w="1152"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A94CC4" w14:paraId="4D378803" w14:textId="29F39AB0">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796A25" w:rsidR="00391ADD" w:rsidP="00A94CC4" w:rsidRDefault="00796A25" w14:paraId="6669C197" w14:textId="71A5AE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28</w:t>
            </w:r>
          </w:p>
        </w:tc>
        <w:tc>
          <w:tcPr>
            <w:tcW w:w="1206"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A171D2" w14:paraId="0234AA48" w14:textId="5F2B008A">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Pr="00796A25" w:rsidR="00391ADD" w:rsidP="00A94CC4" w:rsidRDefault="00796A25" w14:paraId="39753944" w14:textId="3DDF9AD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28</w:t>
            </w:r>
          </w:p>
        </w:tc>
        <w:tc>
          <w:tcPr>
            <w:tcW w:w="1350" w:type="dxa"/>
            <w:tcBorders>
              <w:top w:val="nil"/>
              <w:left w:val="nil"/>
              <w:bottom w:val="single" w:color="auto" w:sz="4" w:space="0"/>
              <w:right w:val="single" w:color="auto" w:sz="4" w:space="0"/>
            </w:tcBorders>
            <w:shd w:val="clear" w:color="auto" w:fill="auto"/>
            <w:noWrap/>
            <w:vAlign w:val="center"/>
            <w:hideMark/>
          </w:tcPr>
          <w:p w:rsidRPr="00796A25" w:rsidR="00391ADD" w:rsidP="00A94CC4" w:rsidRDefault="00BD16B1" w14:paraId="6122A684" w14:textId="52351BDB">
            <w:pPr>
              <w:widowControl/>
              <w:autoSpaceDE/>
              <w:autoSpaceDN/>
              <w:adjustRightInd/>
              <w:jc w:val="center"/>
              <w:rPr>
                <w:rFonts w:ascii="Calibri" w:hAnsi="Calibri" w:cs="Calibri"/>
                <w:color w:val="000000"/>
                <w:sz w:val="16"/>
                <w:szCs w:val="16"/>
              </w:rPr>
            </w:pPr>
            <w:r w:rsidRPr="00BD16B1">
              <w:rPr>
                <w:rFonts w:ascii="Calibri" w:hAnsi="Calibri" w:cs="Calibri"/>
                <w:color w:val="000000"/>
                <w:sz w:val="16"/>
                <w:szCs w:val="16"/>
              </w:rPr>
              <w:t>$23.84</w:t>
            </w:r>
          </w:p>
        </w:tc>
        <w:tc>
          <w:tcPr>
            <w:tcW w:w="1350" w:type="dxa"/>
            <w:tcBorders>
              <w:top w:val="nil"/>
              <w:left w:val="nil"/>
              <w:bottom w:val="single" w:color="auto" w:sz="4" w:space="0"/>
              <w:right w:val="single" w:color="auto" w:sz="8" w:space="0"/>
            </w:tcBorders>
            <w:shd w:val="clear" w:color="auto" w:fill="auto"/>
            <w:noWrap/>
            <w:vAlign w:val="center"/>
            <w:hideMark/>
          </w:tcPr>
          <w:p w:rsidRPr="00796A25" w:rsidR="00391ADD" w:rsidP="00A94CC4" w:rsidRDefault="00AE59DA" w14:paraId="095B0B5F" w14:textId="106B288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$668</w:t>
            </w:r>
          </w:p>
        </w:tc>
      </w:tr>
      <w:tr w:rsidRPr="00796A25" w:rsidR="00391ADD" w:rsidTr="00762A22" w14:paraId="012A819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center"/>
          </w:tcPr>
          <w:p w:rsidRPr="00796A25" w:rsidR="00391ADD" w:rsidP="00DD72FD" w:rsidRDefault="00DB3EF6" w14:paraId="35F0EA07" w14:textId="1E3B1E81">
            <w:pPr>
              <w:widowControl/>
              <w:autoSpaceDE/>
              <w:autoSpaceDN/>
              <w:adjustRightInd/>
              <w:rPr>
                <w:rFonts w:ascii="Calibri" w:hAnsi="Calibri" w:cs="Calibri"/>
                <w:color w:val="000000"/>
                <w:sz w:val="16"/>
                <w:szCs w:val="16"/>
              </w:rPr>
            </w:pPr>
            <w:r w:rsidRPr="00796A25">
              <w:rPr>
                <w:rFonts w:asciiTheme="minorHAnsi" w:hAnsiTheme="minorHAnsi" w:cstheme="minorHAnsi"/>
                <w:sz w:val="16"/>
                <w:szCs w:val="16"/>
              </w:rPr>
              <w:t>IFQ Sablefish Request for Replacement of Longline Pot Gear Tags</w:t>
            </w:r>
          </w:p>
        </w:tc>
        <w:tc>
          <w:tcPr>
            <w:tcW w:w="1710"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356932" w14:paraId="764ECD2E" w14:textId="06E4C5BF">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Vessel owner</w:t>
            </w:r>
          </w:p>
        </w:tc>
        <w:tc>
          <w:tcPr>
            <w:tcW w:w="1188"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A171D2" w14:paraId="48225838" w14:textId="0FC096F6">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3</w:t>
            </w:r>
          </w:p>
        </w:tc>
        <w:tc>
          <w:tcPr>
            <w:tcW w:w="1152"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7C099B" w14:paraId="689F3595" w14:textId="44D0F0F0">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796A25" w:rsidR="00391ADD" w:rsidP="00A94CC4" w:rsidRDefault="00796A25" w14:paraId="3ED77BC8" w14:textId="671BF50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auto"/>
            <w:vAlign w:val="center"/>
            <w:hideMark/>
          </w:tcPr>
          <w:p w:rsidRPr="00796A25" w:rsidR="00391ADD" w:rsidP="00A94CC4" w:rsidRDefault="00A171D2" w14:paraId="6BB47BA6" w14:textId="6A6C1343">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tcPr>
          <w:p w:rsidRPr="00796A25" w:rsidR="00391ADD" w:rsidP="00A94CC4" w:rsidRDefault="00796A25" w14:paraId="05F880E6" w14:textId="6CF29F0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350" w:type="dxa"/>
            <w:tcBorders>
              <w:top w:val="nil"/>
              <w:left w:val="nil"/>
              <w:bottom w:val="single" w:color="auto" w:sz="4" w:space="0"/>
              <w:right w:val="single" w:color="auto" w:sz="4" w:space="0"/>
            </w:tcBorders>
            <w:shd w:val="clear" w:color="auto" w:fill="auto"/>
            <w:noWrap/>
            <w:vAlign w:val="center"/>
            <w:hideMark/>
          </w:tcPr>
          <w:p w:rsidRPr="00796A25" w:rsidR="00391ADD" w:rsidP="00A94CC4" w:rsidRDefault="00BD16B1" w14:paraId="2975B91E" w14:textId="3D5F0A66">
            <w:pPr>
              <w:widowControl/>
              <w:autoSpaceDE/>
              <w:autoSpaceDN/>
              <w:adjustRightInd/>
              <w:jc w:val="center"/>
              <w:rPr>
                <w:rFonts w:ascii="Calibri" w:hAnsi="Calibri" w:cs="Calibri"/>
                <w:color w:val="000000"/>
                <w:sz w:val="16"/>
                <w:szCs w:val="16"/>
              </w:rPr>
            </w:pPr>
            <w:r w:rsidRPr="00BD16B1">
              <w:rPr>
                <w:rFonts w:ascii="Calibri" w:hAnsi="Calibri" w:cs="Calibri"/>
                <w:color w:val="000000"/>
                <w:sz w:val="16"/>
                <w:szCs w:val="16"/>
              </w:rPr>
              <w:t>$23.84</w:t>
            </w:r>
          </w:p>
        </w:tc>
        <w:tc>
          <w:tcPr>
            <w:tcW w:w="1350" w:type="dxa"/>
            <w:tcBorders>
              <w:top w:val="nil"/>
              <w:left w:val="nil"/>
              <w:bottom w:val="single" w:color="auto" w:sz="4" w:space="0"/>
              <w:right w:val="single" w:color="auto" w:sz="8" w:space="0"/>
            </w:tcBorders>
            <w:shd w:val="clear" w:color="auto" w:fill="auto"/>
            <w:noWrap/>
            <w:vAlign w:val="center"/>
            <w:hideMark/>
          </w:tcPr>
          <w:p w:rsidRPr="00796A25" w:rsidR="00391ADD" w:rsidP="00A94CC4" w:rsidRDefault="00AE59DA" w14:paraId="244B8B44" w14:textId="79FDABF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$72</w:t>
            </w:r>
          </w:p>
        </w:tc>
      </w:tr>
      <w:tr w:rsidRPr="00CA2B37" w:rsidR="00391ADD" w:rsidTr="00A94CC4" w14:paraId="66EBDBA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center"/>
          </w:tcPr>
          <w:p w:rsidRPr="00796A25" w:rsidR="00391ADD" w:rsidP="00DD72FD" w:rsidRDefault="00356932" w14:paraId="56BAB8E0" w14:textId="54BC2A8A">
            <w:pPr>
              <w:widowControl/>
              <w:autoSpaceDE/>
              <w:autoSpaceDN/>
              <w:adjustRightInd/>
              <w:rPr>
                <w:rFonts w:ascii="Calibri" w:hAnsi="Calibri" w:cs="Calibri"/>
                <w:color w:val="000000"/>
                <w:sz w:val="16"/>
                <w:szCs w:val="16"/>
              </w:rPr>
            </w:pPr>
            <w:r w:rsidRPr="00796A25">
              <w:rPr>
                <w:rFonts w:ascii="Calibri" w:hAnsi="Calibri" w:cs="Calibri"/>
                <w:color w:val="000000"/>
                <w:sz w:val="16"/>
                <w:szCs w:val="16"/>
              </w:rPr>
              <w:t>Marking of Longline Pot Gear</w:t>
            </w:r>
          </w:p>
        </w:tc>
        <w:tc>
          <w:tcPr>
            <w:tcW w:w="1710" w:type="dxa"/>
            <w:tcBorders>
              <w:top w:val="nil"/>
              <w:left w:val="nil"/>
              <w:bottom w:val="single" w:color="auto" w:sz="4" w:space="0"/>
              <w:right w:val="single" w:color="auto" w:sz="4" w:space="0"/>
            </w:tcBorders>
            <w:shd w:val="clear" w:color="auto" w:fill="auto"/>
            <w:vAlign w:val="center"/>
          </w:tcPr>
          <w:p w:rsidRPr="00796A25" w:rsidR="00391ADD" w:rsidP="00A94CC4" w:rsidRDefault="007427C5" w14:paraId="5453519A" w14:textId="3BB74B4B">
            <w:pPr>
              <w:widowControl/>
              <w:autoSpaceDE/>
              <w:autoSpaceDN/>
              <w:adjustRightInd/>
              <w:jc w:val="center"/>
              <w:rPr>
                <w:rFonts w:ascii="Calibri" w:hAnsi="Calibri" w:cs="Calibri"/>
                <w:color w:val="000000"/>
                <w:sz w:val="16"/>
                <w:szCs w:val="16"/>
              </w:rPr>
            </w:pPr>
            <w:r w:rsidRPr="007427C5">
              <w:rPr>
                <w:rFonts w:ascii="Calibri" w:hAnsi="Calibri" w:cs="Calibri"/>
                <w:color w:val="000000"/>
                <w:sz w:val="16"/>
                <w:szCs w:val="16"/>
              </w:rPr>
              <w:t>Vessel owner or operator</w:t>
            </w:r>
          </w:p>
        </w:tc>
        <w:tc>
          <w:tcPr>
            <w:tcW w:w="1188" w:type="dxa"/>
            <w:tcBorders>
              <w:top w:val="nil"/>
              <w:left w:val="nil"/>
              <w:bottom w:val="single" w:color="auto" w:sz="4" w:space="0"/>
              <w:right w:val="single" w:color="auto" w:sz="4" w:space="0"/>
            </w:tcBorders>
            <w:shd w:val="clear" w:color="auto" w:fill="auto"/>
            <w:vAlign w:val="center"/>
          </w:tcPr>
          <w:p w:rsidRPr="00796A25" w:rsidR="00391ADD" w:rsidP="00A94CC4" w:rsidRDefault="00A171D2" w14:paraId="1B6E594A" w14:textId="4F2BDE82">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28</w:t>
            </w:r>
          </w:p>
        </w:tc>
        <w:tc>
          <w:tcPr>
            <w:tcW w:w="1152" w:type="dxa"/>
            <w:tcBorders>
              <w:top w:val="nil"/>
              <w:left w:val="nil"/>
              <w:bottom w:val="single" w:color="auto" w:sz="4" w:space="0"/>
              <w:right w:val="single" w:color="auto" w:sz="4" w:space="0"/>
            </w:tcBorders>
            <w:shd w:val="clear" w:color="auto" w:fill="auto"/>
            <w:vAlign w:val="center"/>
          </w:tcPr>
          <w:p w:rsidRPr="00796A25" w:rsidR="00391ADD" w:rsidP="00A94CC4" w:rsidRDefault="00E248DB" w14:paraId="73642546" w14:textId="64D568E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260" w:type="dxa"/>
            <w:tcBorders>
              <w:top w:val="nil"/>
              <w:left w:val="nil"/>
              <w:bottom w:val="single" w:color="auto" w:sz="4" w:space="0"/>
              <w:right w:val="single" w:color="auto" w:sz="4" w:space="0"/>
            </w:tcBorders>
            <w:shd w:val="clear" w:color="auto" w:fill="auto"/>
            <w:vAlign w:val="center"/>
          </w:tcPr>
          <w:p w:rsidRPr="00796A25" w:rsidR="00391ADD" w:rsidP="00A94CC4" w:rsidRDefault="009379C1" w14:paraId="63F6F3E0" w14:textId="34AB604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224</w:t>
            </w:r>
          </w:p>
        </w:tc>
        <w:tc>
          <w:tcPr>
            <w:tcW w:w="1206" w:type="dxa"/>
            <w:tcBorders>
              <w:top w:val="nil"/>
              <w:left w:val="nil"/>
              <w:bottom w:val="single" w:color="auto" w:sz="4" w:space="0"/>
              <w:right w:val="single" w:color="auto" w:sz="4" w:space="0"/>
            </w:tcBorders>
            <w:shd w:val="clear" w:color="auto" w:fill="auto"/>
            <w:vAlign w:val="center"/>
          </w:tcPr>
          <w:p w:rsidRPr="00796A25" w:rsidR="00391ADD" w:rsidP="00A94CC4" w:rsidRDefault="008B773E" w14:paraId="13F6C58C" w14:textId="1B41D289">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0</w:t>
            </w:r>
            <w:r w:rsidRPr="00796A25" w:rsidR="00296AF5">
              <w:rPr>
                <w:rFonts w:ascii="Calibri" w:hAnsi="Calibri" w:cs="Calibri"/>
                <w:color w:val="000000"/>
                <w:sz w:val="16"/>
                <w:szCs w:val="16"/>
              </w:rPr>
              <w:t>.25</w:t>
            </w:r>
          </w:p>
        </w:tc>
        <w:tc>
          <w:tcPr>
            <w:tcW w:w="1170" w:type="dxa"/>
            <w:tcBorders>
              <w:top w:val="nil"/>
              <w:left w:val="nil"/>
              <w:bottom w:val="single" w:color="auto" w:sz="4" w:space="0"/>
              <w:right w:val="single" w:color="auto" w:sz="4" w:space="0"/>
            </w:tcBorders>
            <w:shd w:val="clear" w:color="auto" w:fill="auto"/>
            <w:vAlign w:val="center"/>
          </w:tcPr>
          <w:p w:rsidRPr="00796A25" w:rsidR="00391ADD" w:rsidP="009379C1" w:rsidRDefault="009379C1" w14:paraId="7D055848" w14:textId="07BBA3E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56</w:t>
            </w:r>
            <w:r w:rsidRPr="00D5743F" w:rsidR="00F236D8">
              <w:rPr>
                <w:rFonts w:ascii="Calibri" w:hAnsi="Calibri" w:cs="Calibri"/>
                <w:color w:val="000000"/>
                <w:sz w:val="16"/>
                <w:szCs w:val="16"/>
                <w:vertAlign w:val="superscript"/>
              </w:rPr>
              <w:t>/5</w:t>
            </w:r>
          </w:p>
        </w:tc>
        <w:tc>
          <w:tcPr>
            <w:tcW w:w="1350" w:type="dxa"/>
            <w:tcBorders>
              <w:top w:val="nil"/>
              <w:left w:val="nil"/>
              <w:bottom w:val="single" w:color="auto" w:sz="4" w:space="0"/>
              <w:right w:val="single" w:color="auto" w:sz="4" w:space="0"/>
            </w:tcBorders>
            <w:shd w:val="clear" w:color="auto" w:fill="auto"/>
            <w:noWrap/>
            <w:vAlign w:val="center"/>
          </w:tcPr>
          <w:p w:rsidRPr="00356932" w:rsidR="00391ADD" w:rsidP="00A94CC4" w:rsidRDefault="00BD16B1" w14:paraId="5118CCD9" w14:textId="2F73D1B8">
            <w:pPr>
              <w:widowControl/>
              <w:autoSpaceDE/>
              <w:autoSpaceDN/>
              <w:adjustRightInd/>
              <w:jc w:val="center"/>
              <w:rPr>
                <w:rFonts w:ascii="Calibri" w:hAnsi="Calibri" w:cs="Calibri"/>
                <w:color w:val="000000"/>
                <w:sz w:val="16"/>
                <w:szCs w:val="16"/>
              </w:rPr>
            </w:pPr>
            <w:r w:rsidRPr="00BD16B1">
              <w:rPr>
                <w:rFonts w:ascii="Calibri" w:hAnsi="Calibri" w:cs="Calibri"/>
                <w:color w:val="000000"/>
                <w:sz w:val="16"/>
                <w:szCs w:val="16"/>
              </w:rPr>
              <w:t>$23.84</w:t>
            </w:r>
          </w:p>
        </w:tc>
        <w:tc>
          <w:tcPr>
            <w:tcW w:w="1350" w:type="dxa"/>
            <w:tcBorders>
              <w:top w:val="nil"/>
              <w:left w:val="nil"/>
              <w:bottom w:val="single" w:color="auto" w:sz="4" w:space="0"/>
              <w:right w:val="single" w:color="auto" w:sz="8" w:space="0"/>
            </w:tcBorders>
            <w:shd w:val="clear" w:color="auto" w:fill="auto"/>
            <w:noWrap/>
            <w:vAlign w:val="center"/>
          </w:tcPr>
          <w:p w:rsidRPr="00356932" w:rsidR="00AE59DA" w:rsidP="00AE59DA" w:rsidRDefault="002B42F6" w14:paraId="3F778310" w14:textId="26041E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$1,335</w:t>
            </w:r>
          </w:p>
        </w:tc>
      </w:tr>
      <w:tr w:rsidRPr="00CA2B37" w:rsidR="00391ADD" w:rsidTr="00A94CC4" w14:paraId="001144F7"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center"/>
            <w:hideMark/>
          </w:tcPr>
          <w:p w:rsidRPr="00CA2B37" w:rsidR="00391ADD" w:rsidP="00A94CC4" w:rsidRDefault="00391ADD" w14:paraId="07A28936" w14:textId="28E2BDEA">
            <w:pPr>
              <w:widowControl/>
              <w:autoSpaceDE/>
              <w:autoSpaceDN/>
              <w:adjustRightInd/>
              <w:jc w:val="center"/>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center"/>
            <w:hideMark/>
          </w:tcPr>
          <w:p w:rsidRPr="00CA2B37" w:rsidR="00391ADD" w:rsidP="00A94CC4" w:rsidRDefault="00391ADD" w14:paraId="017689A7" w14:textId="2C9DE069">
            <w:pPr>
              <w:widowControl/>
              <w:autoSpaceDE/>
              <w:autoSpaceDN/>
              <w:adjustRightInd/>
              <w:jc w:val="center"/>
              <w:rPr>
                <w:rFonts w:ascii="Calibri" w:hAnsi="Calibri" w:cs="Calibri"/>
                <w:b/>
                <w:bCs/>
                <w:color w:val="000000"/>
                <w:sz w:val="22"/>
                <w:szCs w:val="22"/>
              </w:rPr>
            </w:pPr>
          </w:p>
        </w:tc>
        <w:tc>
          <w:tcPr>
            <w:tcW w:w="1188" w:type="dxa"/>
            <w:tcBorders>
              <w:top w:val="nil"/>
              <w:left w:val="nil"/>
              <w:bottom w:val="single" w:color="auto" w:sz="8" w:space="0"/>
              <w:right w:val="single" w:color="auto" w:sz="8" w:space="0"/>
            </w:tcBorders>
            <w:shd w:val="clear" w:color="000000" w:fill="000000"/>
            <w:noWrap/>
            <w:vAlign w:val="center"/>
            <w:hideMark/>
          </w:tcPr>
          <w:p w:rsidRPr="00CA2B37" w:rsidR="00391ADD" w:rsidP="00A94CC4" w:rsidRDefault="00391ADD" w14:paraId="3B8B8583" w14:textId="3FB6E7E6">
            <w:pPr>
              <w:widowControl/>
              <w:autoSpaceDE/>
              <w:autoSpaceDN/>
              <w:adjustRightInd/>
              <w:jc w:val="center"/>
              <w:rPr>
                <w:rFonts w:ascii="Calibri" w:hAnsi="Calibri" w:cs="Calibri"/>
                <w:b/>
                <w:bCs/>
                <w:color w:val="000000"/>
                <w:sz w:val="22"/>
                <w:szCs w:val="22"/>
              </w:rPr>
            </w:pPr>
          </w:p>
        </w:tc>
        <w:tc>
          <w:tcPr>
            <w:tcW w:w="1152" w:type="dxa"/>
            <w:tcBorders>
              <w:top w:val="nil"/>
              <w:left w:val="nil"/>
              <w:bottom w:val="single" w:color="auto" w:sz="8" w:space="0"/>
              <w:right w:val="single" w:color="auto" w:sz="8" w:space="0"/>
            </w:tcBorders>
            <w:shd w:val="clear" w:color="000000" w:fill="000000"/>
            <w:noWrap/>
            <w:vAlign w:val="center"/>
            <w:hideMark/>
          </w:tcPr>
          <w:p w:rsidRPr="00CA2B37" w:rsidR="00391ADD" w:rsidP="00A94CC4" w:rsidRDefault="00391ADD" w14:paraId="728DD51E" w14:textId="66EB2E88">
            <w:pPr>
              <w:widowControl/>
              <w:autoSpaceDE/>
              <w:autoSpaceDN/>
              <w:adjustRightInd/>
              <w:jc w:val="center"/>
              <w:rPr>
                <w:rFonts w:ascii="Calibri" w:hAnsi="Calibri" w:cs="Calibri"/>
                <w:b/>
                <w:bCs/>
                <w:color w:val="000000"/>
                <w:sz w:val="22"/>
                <w:szCs w:val="22"/>
              </w:rPr>
            </w:pPr>
          </w:p>
        </w:tc>
        <w:tc>
          <w:tcPr>
            <w:tcW w:w="1260" w:type="dxa"/>
            <w:tcBorders>
              <w:top w:val="nil"/>
              <w:left w:val="nil"/>
              <w:bottom w:val="single" w:color="auto" w:sz="8" w:space="0"/>
              <w:right w:val="single" w:color="auto" w:sz="8" w:space="0"/>
            </w:tcBorders>
            <w:shd w:val="clear" w:color="000000" w:fill="BDD7EE"/>
            <w:noWrap/>
            <w:vAlign w:val="center"/>
            <w:hideMark/>
          </w:tcPr>
          <w:p w:rsidRPr="00CA2B37" w:rsidR="00391ADD" w:rsidP="00A94CC4" w:rsidRDefault="002B42F6" w14:paraId="4635E618" w14:textId="1F52A03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6,249</w:t>
            </w:r>
          </w:p>
        </w:tc>
        <w:tc>
          <w:tcPr>
            <w:tcW w:w="1206" w:type="dxa"/>
            <w:tcBorders>
              <w:top w:val="nil"/>
              <w:left w:val="nil"/>
              <w:bottom w:val="single" w:color="auto" w:sz="8" w:space="0"/>
              <w:right w:val="single" w:color="auto" w:sz="8" w:space="0"/>
            </w:tcBorders>
            <w:shd w:val="clear" w:color="000000" w:fill="000000"/>
            <w:noWrap/>
            <w:vAlign w:val="center"/>
            <w:hideMark/>
          </w:tcPr>
          <w:p w:rsidRPr="00CA2B37" w:rsidR="00391ADD" w:rsidP="00A94CC4" w:rsidRDefault="00391ADD" w14:paraId="1CC90CD9" w14:textId="27960367">
            <w:pPr>
              <w:widowControl/>
              <w:autoSpaceDE/>
              <w:autoSpaceDN/>
              <w:adjustRightInd/>
              <w:jc w:val="center"/>
              <w:rPr>
                <w:rFonts w:ascii="Calibri" w:hAnsi="Calibri" w:cs="Calibri"/>
                <w:b/>
                <w:bCs/>
                <w:color w:val="000000"/>
                <w:sz w:val="22"/>
                <w:szCs w:val="22"/>
              </w:rPr>
            </w:pPr>
          </w:p>
        </w:tc>
        <w:tc>
          <w:tcPr>
            <w:tcW w:w="1170" w:type="dxa"/>
            <w:tcBorders>
              <w:top w:val="nil"/>
              <w:left w:val="nil"/>
              <w:bottom w:val="single" w:color="auto" w:sz="8" w:space="0"/>
              <w:right w:val="single" w:color="auto" w:sz="8" w:space="0"/>
            </w:tcBorders>
            <w:shd w:val="clear" w:color="000000" w:fill="BDD7EE"/>
            <w:noWrap/>
            <w:vAlign w:val="center"/>
            <w:hideMark/>
          </w:tcPr>
          <w:p w:rsidRPr="00CA2B37" w:rsidR="00391ADD" w:rsidP="00A94CC4" w:rsidRDefault="002B42F6" w14:paraId="67FEAA69" w14:textId="3FD9999A">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1,586</w:t>
            </w:r>
          </w:p>
        </w:tc>
        <w:tc>
          <w:tcPr>
            <w:tcW w:w="1350" w:type="dxa"/>
            <w:tcBorders>
              <w:top w:val="nil"/>
              <w:left w:val="nil"/>
              <w:bottom w:val="single" w:color="auto" w:sz="8" w:space="0"/>
              <w:right w:val="single" w:color="auto" w:sz="8" w:space="0"/>
            </w:tcBorders>
            <w:shd w:val="clear" w:color="000000" w:fill="000000"/>
            <w:noWrap/>
            <w:vAlign w:val="center"/>
            <w:hideMark/>
          </w:tcPr>
          <w:p w:rsidRPr="00CA2B37" w:rsidR="00391ADD" w:rsidP="00A94CC4" w:rsidRDefault="00391ADD" w14:paraId="2FDC6639" w14:textId="38919CE4">
            <w:pPr>
              <w:widowControl/>
              <w:autoSpaceDE/>
              <w:autoSpaceDN/>
              <w:adjustRightInd/>
              <w:jc w:val="center"/>
              <w:rPr>
                <w:rFonts w:ascii="Calibri" w:hAnsi="Calibri" w:cs="Calibri"/>
                <w:b/>
                <w:bCs/>
                <w:color w:val="000000"/>
                <w:sz w:val="22"/>
                <w:szCs w:val="22"/>
              </w:rPr>
            </w:pPr>
          </w:p>
        </w:tc>
        <w:tc>
          <w:tcPr>
            <w:tcW w:w="1350" w:type="dxa"/>
            <w:tcBorders>
              <w:top w:val="nil"/>
              <w:left w:val="nil"/>
              <w:bottom w:val="single" w:color="auto" w:sz="8" w:space="0"/>
              <w:right w:val="single" w:color="auto" w:sz="8" w:space="0"/>
            </w:tcBorders>
            <w:shd w:val="clear" w:color="000000" w:fill="BDD7EE"/>
            <w:noWrap/>
            <w:vAlign w:val="center"/>
            <w:hideMark/>
          </w:tcPr>
          <w:p w:rsidRPr="00CA2B37" w:rsidR="00391ADD" w:rsidP="00A94CC4" w:rsidRDefault="002B42F6" w14:paraId="354A57A6" w14:textId="3A373613">
            <w:pPr>
              <w:widowControl/>
              <w:autoSpaceDE/>
              <w:autoSpaceDN/>
              <w:adjustRightInd/>
              <w:jc w:val="center"/>
              <w:rPr>
                <w:rFonts w:ascii="Calibri" w:hAnsi="Calibri" w:cs="Calibri"/>
                <w:b/>
                <w:bCs/>
                <w:color w:val="000000"/>
                <w:sz w:val="22"/>
                <w:szCs w:val="22"/>
              </w:rPr>
            </w:pPr>
            <w:r>
              <w:rPr>
                <w:rFonts w:ascii="Calibri" w:hAnsi="Calibri" w:cs="Calibri"/>
                <w:b/>
                <w:bCs/>
                <w:color w:val="000000"/>
                <w:sz w:val="22"/>
                <w:szCs w:val="22"/>
              </w:rPr>
              <w:t>$37,811</w:t>
            </w:r>
          </w:p>
        </w:tc>
      </w:tr>
    </w:tbl>
    <w:p w:rsidR="00CE0E23" w:rsidP="00CE0E23" w:rsidRDefault="00F236D8" w14:paraId="2AF0A92F" w14:textId="69E11D6B">
      <w:pPr>
        <w:rPr>
          <w:rFonts w:asciiTheme="minorHAnsi" w:hAnsiTheme="minorHAnsi" w:cstheme="minorHAnsi"/>
          <w:sz w:val="18"/>
          <w:szCs w:val="18"/>
        </w:rPr>
      </w:pPr>
      <w:r>
        <w:rPr>
          <w:rFonts w:asciiTheme="minorHAnsi" w:hAnsiTheme="minorHAnsi" w:cstheme="minorHAnsi"/>
          <w:sz w:val="18"/>
          <w:szCs w:val="18"/>
          <w:vertAlign w:val="superscript"/>
        </w:rPr>
        <w:t>/1</w:t>
      </w:r>
      <w:r w:rsidR="00CE0E23">
        <w:rPr>
          <w:rFonts w:asciiTheme="minorHAnsi" w:hAnsiTheme="minorHAnsi" w:cstheme="minorHAnsi"/>
          <w:sz w:val="18"/>
          <w:szCs w:val="18"/>
        </w:rPr>
        <w:t xml:space="preserve"> Counts of the number</w:t>
      </w:r>
      <w:r w:rsidRPr="00ED7B28" w:rsidR="00CE0E23">
        <w:rPr>
          <w:rFonts w:asciiTheme="minorHAnsi" w:hAnsiTheme="minorHAnsi" w:cstheme="minorHAnsi"/>
          <w:sz w:val="18"/>
          <w:szCs w:val="18"/>
        </w:rPr>
        <w:t xml:space="preserve"> of groundfish buoys are not available and</w:t>
      </w:r>
      <w:r w:rsidR="00CE0E23">
        <w:rPr>
          <w:rFonts w:asciiTheme="minorHAnsi" w:hAnsiTheme="minorHAnsi" w:cstheme="minorHAnsi"/>
          <w:sz w:val="18"/>
          <w:szCs w:val="18"/>
        </w:rPr>
        <w:t xml:space="preserve"> </w:t>
      </w:r>
      <w:r w:rsidRPr="00ED7B28" w:rsidR="00CE0E23">
        <w:rPr>
          <w:rFonts w:asciiTheme="minorHAnsi" w:hAnsiTheme="minorHAnsi" w:cstheme="minorHAnsi"/>
          <w:sz w:val="18"/>
          <w:szCs w:val="18"/>
        </w:rPr>
        <w:t>would be expensive to prepare. For purposes of th</w:t>
      </w:r>
      <w:r w:rsidR="00CE0E23">
        <w:rPr>
          <w:rFonts w:asciiTheme="minorHAnsi" w:hAnsiTheme="minorHAnsi" w:cstheme="minorHAnsi"/>
          <w:sz w:val="18"/>
          <w:szCs w:val="18"/>
        </w:rPr>
        <w:t xml:space="preserve">is analysis, the assumption is </w:t>
      </w:r>
      <w:r w:rsidRPr="00ED7B28" w:rsidR="00CE0E23">
        <w:rPr>
          <w:rFonts w:asciiTheme="minorHAnsi" w:hAnsiTheme="minorHAnsi" w:cstheme="minorHAnsi"/>
          <w:sz w:val="18"/>
          <w:szCs w:val="18"/>
        </w:rPr>
        <w:t xml:space="preserve">that 75 percent of the </w:t>
      </w:r>
      <w:r w:rsidR="00CE0E23">
        <w:rPr>
          <w:rFonts w:asciiTheme="minorHAnsi" w:hAnsiTheme="minorHAnsi" w:cstheme="minorHAnsi"/>
          <w:sz w:val="18"/>
          <w:szCs w:val="18"/>
        </w:rPr>
        <w:t xml:space="preserve">vessels use 6 buoys and </w:t>
      </w:r>
      <w:r w:rsidRPr="00ED7B28" w:rsidR="00CE0E23">
        <w:rPr>
          <w:rFonts w:asciiTheme="minorHAnsi" w:hAnsiTheme="minorHAnsi" w:cstheme="minorHAnsi"/>
          <w:sz w:val="18"/>
          <w:szCs w:val="18"/>
        </w:rPr>
        <w:t>that 25 percent use 12</w:t>
      </w:r>
      <w:r w:rsidR="00CE0E23">
        <w:rPr>
          <w:rFonts w:asciiTheme="minorHAnsi" w:hAnsiTheme="minorHAnsi" w:cstheme="minorHAnsi"/>
          <w:sz w:val="18"/>
          <w:szCs w:val="18"/>
        </w:rPr>
        <w:t xml:space="preserve"> buoys. </w:t>
      </w:r>
    </w:p>
    <w:p w:rsidR="00CE0E23" w:rsidP="00CE0E23" w:rsidRDefault="00F236D8" w14:paraId="4A784183" w14:textId="75E768C6">
      <w:pPr>
        <w:rPr>
          <w:rFonts w:asciiTheme="minorHAnsi" w:hAnsiTheme="minorHAnsi" w:cstheme="minorHAnsi"/>
          <w:sz w:val="18"/>
          <w:szCs w:val="18"/>
        </w:rPr>
      </w:pPr>
      <w:r>
        <w:rPr>
          <w:rFonts w:asciiTheme="minorHAnsi" w:hAnsiTheme="minorHAnsi" w:cstheme="minorHAnsi"/>
          <w:sz w:val="18"/>
          <w:szCs w:val="18"/>
          <w:vertAlign w:val="superscript"/>
        </w:rPr>
        <w:t>/2</w:t>
      </w:r>
      <w:r w:rsidR="00CE0E23">
        <w:rPr>
          <w:rFonts w:asciiTheme="minorHAnsi" w:hAnsiTheme="minorHAnsi" w:cstheme="minorHAnsi"/>
          <w:sz w:val="18"/>
          <w:szCs w:val="18"/>
        </w:rPr>
        <w:t xml:space="preserve"> </w:t>
      </w:r>
      <w:r w:rsidRPr="00711F99" w:rsidR="00CE0E23">
        <w:rPr>
          <w:rFonts w:asciiTheme="minorHAnsi" w:hAnsiTheme="minorHAnsi" w:cstheme="minorHAnsi"/>
          <w:sz w:val="18"/>
          <w:szCs w:val="18"/>
        </w:rPr>
        <w:t>Vessel size influences the amount of pot longline strings a vessel can</w:t>
      </w:r>
      <w:r w:rsidR="00CE0E23">
        <w:rPr>
          <w:rFonts w:asciiTheme="minorHAnsi" w:hAnsiTheme="minorHAnsi" w:cstheme="minorHAnsi"/>
          <w:sz w:val="18"/>
          <w:szCs w:val="18"/>
        </w:rPr>
        <w:t xml:space="preserve"> </w:t>
      </w:r>
      <w:r w:rsidRPr="00711F99" w:rsidR="00CE0E23">
        <w:rPr>
          <w:rFonts w:asciiTheme="minorHAnsi" w:hAnsiTheme="minorHAnsi" w:cstheme="minorHAnsi"/>
          <w:sz w:val="18"/>
          <w:szCs w:val="18"/>
        </w:rPr>
        <w:t xml:space="preserve">set on the </w:t>
      </w:r>
      <w:r w:rsidR="00CE0E23">
        <w:rPr>
          <w:rFonts w:asciiTheme="minorHAnsi" w:hAnsiTheme="minorHAnsi" w:cstheme="minorHAnsi"/>
          <w:sz w:val="18"/>
          <w:szCs w:val="18"/>
        </w:rPr>
        <w:t xml:space="preserve">fishing </w:t>
      </w:r>
      <w:r w:rsidRPr="00711F99" w:rsidR="00CE0E23">
        <w:rPr>
          <w:rFonts w:asciiTheme="minorHAnsi" w:hAnsiTheme="minorHAnsi" w:cstheme="minorHAnsi"/>
          <w:sz w:val="18"/>
          <w:szCs w:val="18"/>
        </w:rPr>
        <w:t>grounds</w:t>
      </w:r>
      <w:r w:rsidR="00CE0E23">
        <w:rPr>
          <w:rFonts w:asciiTheme="minorHAnsi" w:hAnsiTheme="minorHAnsi" w:cstheme="minorHAnsi"/>
          <w:sz w:val="18"/>
          <w:szCs w:val="18"/>
        </w:rPr>
        <w:t xml:space="preserve">. For purposes of this analysis, one string with </w:t>
      </w:r>
      <w:proofErr w:type="gramStart"/>
      <w:r w:rsidR="00CE0E23">
        <w:rPr>
          <w:rFonts w:asciiTheme="minorHAnsi" w:hAnsiTheme="minorHAnsi" w:cstheme="minorHAnsi"/>
          <w:sz w:val="18"/>
          <w:szCs w:val="18"/>
        </w:rPr>
        <w:t>8</w:t>
      </w:r>
      <w:proofErr w:type="gramEnd"/>
      <w:r w:rsidR="00CE0E23">
        <w:rPr>
          <w:rFonts w:asciiTheme="minorHAnsi" w:hAnsiTheme="minorHAnsi" w:cstheme="minorHAnsi"/>
          <w:sz w:val="18"/>
          <w:szCs w:val="18"/>
        </w:rPr>
        <w:t xml:space="preserve"> buoys is used. </w:t>
      </w:r>
    </w:p>
    <w:p w:rsidR="00CE0E23" w:rsidP="00A171D2" w:rsidRDefault="00F236D8" w14:paraId="1418120C" w14:textId="4DE71850">
      <w:pPr>
        <w:rPr>
          <w:rFonts w:asciiTheme="minorHAnsi" w:hAnsiTheme="minorHAnsi" w:cstheme="minorHAnsi"/>
          <w:sz w:val="18"/>
          <w:szCs w:val="18"/>
        </w:rPr>
      </w:pPr>
      <w:r w:rsidRPr="00D5743F">
        <w:rPr>
          <w:rFonts w:asciiTheme="minorHAnsi" w:hAnsiTheme="minorHAnsi" w:cstheme="minorHAnsi"/>
          <w:sz w:val="18"/>
          <w:szCs w:val="18"/>
          <w:vertAlign w:val="superscript"/>
        </w:rPr>
        <w:t>/3</w:t>
      </w:r>
      <w:r w:rsidR="00CE0E23">
        <w:rPr>
          <w:rFonts w:asciiTheme="minorHAnsi" w:hAnsiTheme="minorHAnsi" w:cstheme="minorHAnsi"/>
          <w:sz w:val="18"/>
          <w:szCs w:val="18"/>
        </w:rPr>
        <w:t xml:space="preserve"> </w:t>
      </w:r>
      <w:r w:rsidRPr="00BD16B1" w:rsidR="00CE0E23">
        <w:rPr>
          <w:rFonts w:ascii="Calibri" w:hAnsi="Calibri" w:cs="Calibri"/>
          <w:sz w:val="18"/>
          <w:szCs w:val="18"/>
        </w:rPr>
        <w:t xml:space="preserve">Occupation Code 45-0000 (Farming, Fishing, and Forestry Occupations), Sector 11 (Agriculture, Forestry, Fishing and Hunting). </w:t>
      </w:r>
      <w:hyperlink w:history="1" r:id="rId18">
        <w:r w:rsidRPr="00BD16B1" w:rsidR="00CE0E23">
          <w:rPr>
            <w:rFonts w:ascii="Calibri" w:hAnsi="Calibri" w:cs="Calibri"/>
            <w:color w:val="0000FF"/>
            <w:sz w:val="18"/>
            <w:szCs w:val="18"/>
            <w:u w:val="single"/>
          </w:rPr>
          <w:t>May 2018 Occupational Employment Statistics Research Estimates, Alaska</w:t>
        </w:r>
      </w:hyperlink>
      <w:r w:rsidR="00CE0E23">
        <w:rPr>
          <w:rFonts w:ascii="Calibri" w:hAnsi="Calibri" w:cs="Calibri"/>
          <w:color w:val="0000FF"/>
          <w:sz w:val="18"/>
          <w:szCs w:val="18"/>
          <w:u w:val="single"/>
        </w:rPr>
        <w:t>.</w:t>
      </w:r>
    </w:p>
    <w:p w:rsidR="00A171D2" w:rsidP="00A171D2" w:rsidRDefault="00F236D8" w14:paraId="2C1F17B6" w14:textId="52CC9DF5">
      <w:pPr>
        <w:rPr>
          <w:rFonts w:asciiTheme="minorHAnsi" w:hAnsiTheme="minorHAnsi" w:cstheme="minorHAnsi"/>
          <w:sz w:val="18"/>
          <w:szCs w:val="18"/>
        </w:rPr>
      </w:pPr>
      <w:r w:rsidRPr="00D5743F">
        <w:rPr>
          <w:rFonts w:asciiTheme="minorHAnsi" w:hAnsiTheme="minorHAnsi" w:cstheme="minorHAnsi"/>
          <w:sz w:val="18"/>
          <w:szCs w:val="18"/>
          <w:vertAlign w:val="superscript"/>
        </w:rPr>
        <w:t>/4</w:t>
      </w:r>
      <w:r w:rsidR="008A7FE1">
        <w:rPr>
          <w:rFonts w:asciiTheme="minorHAnsi" w:hAnsiTheme="minorHAnsi" w:cstheme="minorHAnsi"/>
          <w:sz w:val="18"/>
          <w:szCs w:val="18"/>
        </w:rPr>
        <w:t xml:space="preserve"> </w:t>
      </w:r>
      <w:r w:rsidRPr="00A171D2" w:rsidR="00A171D2">
        <w:rPr>
          <w:rFonts w:asciiTheme="minorHAnsi" w:hAnsiTheme="minorHAnsi" w:cstheme="minorHAnsi"/>
          <w:sz w:val="18"/>
          <w:szCs w:val="18"/>
        </w:rPr>
        <w:t>Active FFPs with a hook-and-line endorsement</w:t>
      </w:r>
    </w:p>
    <w:p w:rsidRPr="00CE0E23" w:rsidR="005A10A2" w:rsidP="00A171D2" w:rsidRDefault="00F236D8" w14:paraId="5D385785" w14:textId="04E17EB7">
      <w:pPr>
        <w:rPr>
          <w:rFonts w:asciiTheme="minorHAnsi" w:hAnsiTheme="minorHAnsi" w:cstheme="minorHAnsi"/>
          <w:sz w:val="18"/>
          <w:szCs w:val="18"/>
        </w:rPr>
      </w:pPr>
      <w:r w:rsidRPr="00D5743F">
        <w:rPr>
          <w:rFonts w:asciiTheme="minorHAnsi" w:hAnsiTheme="minorHAnsi" w:cstheme="minorHAnsi"/>
          <w:sz w:val="18"/>
          <w:szCs w:val="18"/>
          <w:vertAlign w:val="superscript"/>
        </w:rPr>
        <w:t>/5</w:t>
      </w:r>
      <w:r>
        <w:rPr>
          <w:rFonts w:asciiTheme="minorHAnsi" w:hAnsiTheme="minorHAnsi" w:cstheme="minorHAnsi"/>
          <w:sz w:val="18"/>
          <w:szCs w:val="18"/>
        </w:rPr>
        <w:t xml:space="preserve"> </w:t>
      </w:r>
      <w:r w:rsidRPr="00D5743F" w:rsidR="00CE0E23">
        <w:rPr>
          <w:rFonts w:asciiTheme="minorHAnsi" w:hAnsiTheme="minorHAnsi" w:cstheme="minorHAnsi"/>
          <w:sz w:val="18"/>
          <w:szCs w:val="18"/>
        </w:rPr>
        <w:t xml:space="preserve">For </w:t>
      </w:r>
      <w:r w:rsidR="00CE0E23">
        <w:rPr>
          <w:rFonts w:asciiTheme="minorHAnsi" w:hAnsiTheme="minorHAnsi" w:cstheme="minorHAnsi"/>
          <w:sz w:val="18"/>
          <w:szCs w:val="18"/>
        </w:rPr>
        <w:t xml:space="preserve">purposes of this analysis, </w:t>
      </w:r>
      <w:r w:rsidR="002C1ED4">
        <w:rPr>
          <w:rFonts w:asciiTheme="minorHAnsi" w:hAnsiTheme="minorHAnsi" w:cstheme="minorHAnsi"/>
          <w:sz w:val="18"/>
          <w:szCs w:val="18"/>
        </w:rPr>
        <w:t xml:space="preserve">it </w:t>
      </w:r>
      <w:proofErr w:type="gramStart"/>
      <w:r w:rsidR="002C1ED4">
        <w:rPr>
          <w:rFonts w:asciiTheme="minorHAnsi" w:hAnsiTheme="minorHAnsi" w:cstheme="minorHAnsi"/>
          <w:sz w:val="18"/>
          <w:szCs w:val="18"/>
        </w:rPr>
        <w:t>is assumed</w:t>
      </w:r>
      <w:proofErr w:type="gramEnd"/>
      <w:r w:rsidR="002C1ED4">
        <w:rPr>
          <w:rFonts w:asciiTheme="minorHAnsi" w:hAnsiTheme="minorHAnsi" w:cstheme="minorHAnsi"/>
          <w:sz w:val="18"/>
          <w:szCs w:val="18"/>
        </w:rPr>
        <w:t xml:space="preserve"> that </w:t>
      </w:r>
      <w:r>
        <w:rPr>
          <w:rFonts w:asciiTheme="minorHAnsi" w:hAnsiTheme="minorHAnsi" w:cstheme="minorHAnsi"/>
          <w:sz w:val="18"/>
          <w:szCs w:val="18"/>
        </w:rPr>
        <w:t xml:space="preserve">each </w:t>
      </w:r>
      <w:r w:rsidR="002C1ED4">
        <w:rPr>
          <w:rFonts w:asciiTheme="minorHAnsi" w:hAnsiTheme="minorHAnsi" w:cstheme="minorHAnsi"/>
          <w:sz w:val="18"/>
          <w:szCs w:val="18"/>
        </w:rPr>
        <w:t>buoy</w:t>
      </w:r>
      <w:r w:rsidR="00CE0E23">
        <w:rPr>
          <w:rFonts w:asciiTheme="minorHAnsi" w:hAnsiTheme="minorHAnsi" w:cstheme="minorHAnsi"/>
          <w:sz w:val="18"/>
          <w:szCs w:val="18"/>
        </w:rPr>
        <w:t xml:space="preserve"> </w:t>
      </w:r>
      <w:r>
        <w:rPr>
          <w:rFonts w:asciiTheme="minorHAnsi" w:hAnsiTheme="minorHAnsi" w:cstheme="minorHAnsi"/>
          <w:sz w:val="18"/>
          <w:szCs w:val="18"/>
        </w:rPr>
        <w:t xml:space="preserve">is </w:t>
      </w:r>
      <w:r w:rsidR="00CE0E23">
        <w:rPr>
          <w:rFonts w:asciiTheme="minorHAnsi" w:hAnsiTheme="minorHAnsi" w:cstheme="minorHAnsi"/>
          <w:sz w:val="18"/>
          <w:szCs w:val="18"/>
        </w:rPr>
        <w:t>repainted every year and approximately 15 minutes is needed to paint each buoy.</w:t>
      </w:r>
    </w:p>
    <w:p w:rsidRPr="00A171D2" w:rsidR="005A10A2" w:rsidP="00A171D2" w:rsidRDefault="005A10A2" w14:paraId="21066079" w14:textId="543E6384">
      <w:pPr>
        <w:rPr>
          <w:rFonts w:asciiTheme="minorHAnsi" w:hAnsiTheme="minorHAnsi" w:cstheme="minorHAnsi"/>
          <w:sz w:val="18"/>
          <w:szCs w:val="18"/>
        </w:rPr>
        <w:sectPr w:rsidRPr="00A171D2" w:rsidR="005A10A2"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413225AA" w14:textId="77777777">
      <w:pPr>
        <w:tabs>
          <w:tab w:val="left" w:pos="540"/>
        </w:tabs>
        <w:ind w:left="540"/>
        <w:rPr>
          <w:sz w:val="24"/>
          <w:szCs w:val="24"/>
        </w:rPr>
      </w:pPr>
    </w:p>
    <w:p w:rsidR="004F26E9" w:rsidP="00493868" w:rsidRDefault="00493868" w14:paraId="3BDBC892" w14:textId="77777777">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r w:rsidR="00F37052">
        <w:rPr>
          <w:b/>
          <w:bCs/>
          <w:sz w:val="24"/>
          <w:szCs w:val="24"/>
        </w:rPr>
        <w:t xml:space="preserve"> (</w:t>
      </w:r>
      <w:proofErr w:type="gramStart"/>
      <w:r w:rsidR="00F37052">
        <w:rPr>
          <w:b/>
          <w:bCs/>
          <w:sz w:val="24"/>
          <w:szCs w:val="24"/>
        </w:rPr>
        <w:t>add</w:t>
      </w:r>
      <w:proofErr w:type="gramEnd"/>
      <w:r w:rsidR="00F37052">
        <w:rPr>
          <w:b/>
          <w:bCs/>
          <w:sz w:val="24"/>
          <w:szCs w:val="24"/>
        </w:rPr>
        <w:t xml:space="preserve"> rows as necessary)</w:t>
      </w:r>
    </w:p>
    <w:p w:rsidR="004F26E9" w:rsidP="00493868" w:rsidRDefault="004F26E9" w14:paraId="79AA6366"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350"/>
        <w:gridCol w:w="1260"/>
      </w:tblGrid>
      <w:tr w:rsidRPr="000D49BA" w:rsidR="00185785" w:rsidTr="005E6D68" w14:paraId="7B7CBFE8"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18B4428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566831D8"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764D034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383DCDE"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74BCDFE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CE7788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2708204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DCAE49C" w14:textId="20A5595C">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F02BB6">
              <w:rPr>
                <w:rFonts w:ascii="Calibri" w:hAnsi="Calibri" w:cs="Calibri"/>
                <w:b/>
                <w:bCs/>
                <w:color w:val="000000"/>
                <w:sz w:val="18"/>
                <w:szCs w:val="18"/>
              </w:rPr>
              <w:t>se</w:t>
            </w:r>
          </w:p>
          <w:p w:rsidRPr="00185785" w:rsidR="00D37919" w:rsidP="00185785" w:rsidRDefault="00D37919" w14:paraId="6BB123F0" w14:textId="37DC9AD3">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r w:rsidR="008239A9">
              <w:rPr>
                <w:rFonts w:ascii="Calibri" w:hAnsi="Calibri" w:cs="Calibri"/>
                <w:b/>
                <w:bCs/>
                <w:color w:val="000000"/>
                <w:sz w:val="18"/>
                <w:szCs w:val="18"/>
              </w:rPr>
              <w:t>*</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5BCA45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30F9D56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913F84" w:rsidTr="005E6D68" w14:paraId="6126745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913F84" w:rsidP="00492655" w:rsidRDefault="00913F84" w14:paraId="437DBFEE" w14:textId="77777777">
            <w:pPr>
              <w:widowControl/>
              <w:autoSpaceDE/>
              <w:autoSpaceDN/>
              <w:adjustRightInd/>
              <w:rPr>
                <w:rFonts w:ascii="Calibri" w:hAnsi="Calibri" w:cs="Calibri"/>
                <w:color w:val="000000"/>
                <w:sz w:val="16"/>
                <w:szCs w:val="16"/>
              </w:rPr>
            </w:pPr>
            <w:r w:rsidRPr="00356932">
              <w:rPr>
                <w:rFonts w:ascii="Calibri" w:hAnsi="Calibri" w:cs="Calibri"/>
                <w:color w:val="000000"/>
                <w:sz w:val="16"/>
                <w:szCs w:val="16"/>
              </w:rPr>
              <w:t>Groundfish Hook-and-line Marker Buoys</w:t>
            </w:r>
          </w:p>
        </w:tc>
        <w:tc>
          <w:tcPr>
            <w:tcW w:w="126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4A38F34A" w14:textId="6BE93EA2">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799</w:t>
            </w:r>
          </w:p>
        </w:tc>
        <w:tc>
          <w:tcPr>
            <w:tcW w:w="1530" w:type="dxa"/>
            <w:tcBorders>
              <w:top w:val="nil"/>
              <w:left w:val="nil"/>
              <w:bottom w:val="single" w:color="auto" w:sz="4" w:space="0"/>
              <w:right w:val="single" w:color="auto" w:sz="4" w:space="0"/>
            </w:tcBorders>
            <w:shd w:val="clear" w:color="auto" w:fill="auto"/>
            <w:vAlign w:val="center"/>
          </w:tcPr>
          <w:p w:rsidR="00913F84" w:rsidP="008C7990" w:rsidRDefault="00913F84" w14:paraId="503EC24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599: 6 buoys</w:t>
            </w:r>
          </w:p>
          <w:p w:rsidRPr="00185785" w:rsidR="00913F84" w:rsidP="00492655" w:rsidRDefault="00913F84" w14:paraId="05DA31F5" w14:textId="12AF4EF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200: 12 buoys</w:t>
            </w:r>
          </w:p>
        </w:tc>
        <w:tc>
          <w:tcPr>
            <w:tcW w:w="135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1EBB2FD7" w14:textId="0453A41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5,994</w:t>
            </w:r>
          </w:p>
        </w:tc>
        <w:tc>
          <w:tcPr>
            <w:tcW w:w="1350" w:type="dxa"/>
            <w:tcBorders>
              <w:top w:val="nil"/>
              <w:left w:val="nil"/>
              <w:bottom w:val="single" w:color="auto" w:sz="4" w:space="0"/>
              <w:right w:val="single" w:color="auto" w:sz="4" w:space="0"/>
            </w:tcBorders>
            <w:shd w:val="clear" w:color="000000" w:fill="FFFFFF"/>
            <w:vAlign w:val="center"/>
          </w:tcPr>
          <w:p w:rsidRPr="00185785" w:rsidR="00913F84" w:rsidP="00F02BB6" w:rsidRDefault="00913F84" w14:paraId="0E27088D" w14:textId="5567B6B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Miscellaneous supplies: $1</w:t>
            </w:r>
            <w:r w:rsidR="00F02BB6">
              <w:rPr>
                <w:rFonts w:ascii="Calibri" w:hAnsi="Calibri" w:cs="Calibri"/>
                <w:color w:val="000000"/>
                <w:sz w:val="16"/>
                <w:szCs w:val="16"/>
              </w:rPr>
              <w:t>.99</w:t>
            </w:r>
          </w:p>
        </w:tc>
        <w:tc>
          <w:tcPr>
            <w:tcW w:w="1260" w:type="dxa"/>
            <w:tcBorders>
              <w:top w:val="nil"/>
              <w:left w:val="nil"/>
              <w:bottom w:val="single" w:color="auto" w:sz="4" w:space="0"/>
              <w:right w:val="single" w:color="auto" w:sz="8" w:space="0"/>
            </w:tcBorders>
            <w:shd w:val="clear" w:color="000000" w:fill="FFFFFF"/>
            <w:vAlign w:val="center"/>
          </w:tcPr>
          <w:p w:rsidRPr="00185785" w:rsidR="00913F84" w:rsidP="00492655" w:rsidRDefault="005C5033" w14:paraId="0A7FBA9B" w14:textId="7B38ECB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11,985</w:t>
            </w:r>
          </w:p>
        </w:tc>
      </w:tr>
      <w:tr w:rsidRPr="00185785" w:rsidR="00913F84" w:rsidTr="005E6D68" w14:paraId="304186A0"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913F84" w:rsidP="00492655" w:rsidRDefault="00913F84" w14:paraId="3A65F691" w14:textId="49B32A9E">
            <w:pPr>
              <w:widowControl/>
              <w:autoSpaceDE/>
              <w:autoSpaceDN/>
              <w:adjustRightInd/>
              <w:rPr>
                <w:rFonts w:ascii="Calibri" w:hAnsi="Calibri" w:cs="Calibri"/>
                <w:color w:val="000000"/>
                <w:sz w:val="16"/>
                <w:szCs w:val="16"/>
              </w:rPr>
            </w:pPr>
            <w:r w:rsidRPr="00A94CC4">
              <w:rPr>
                <w:rFonts w:ascii="Calibri" w:hAnsi="Calibri" w:cs="Calibri"/>
                <w:color w:val="000000"/>
                <w:sz w:val="16"/>
                <w:szCs w:val="16"/>
              </w:rPr>
              <w:t>IFQ Sablefish Longline Pot Gear: Vessel Registration and Request for Pot Gear Tags</w:t>
            </w:r>
          </w:p>
        </w:tc>
        <w:tc>
          <w:tcPr>
            <w:tcW w:w="126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74B0E95F" w14:textId="0E5E9E04">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28</w:t>
            </w:r>
          </w:p>
        </w:tc>
        <w:tc>
          <w:tcPr>
            <w:tcW w:w="153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41F5D367" w14:textId="32897D30">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0EBBF3DB" w14:textId="5816E8B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28</w:t>
            </w:r>
          </w:p>
        </w:tc>
        <w:tc>
          <w:tcPr>
            <w:tcW w:w="1350" w:type="dxa"/>
            <w:tcBorders>
              <w:top w:val="nil"/>
              <w:left w:val="nil"/>
              <w:bottom w:val="single" w:color="auto" w:sz="4" w:space="0"/>
              <w:right w:val="single" w:color="auto" w:sz="4" w:space="0"/>
            </w:tcBorders>
            <w:shd w:val="clear" w:color="000000" w:fill="FFFFFF"/>
            <w:vAlign w:val="center"/>
          </w:tcPr>
          <w:p w:rsidRPr="00185785" w:rsidR="00913F84" w:rsidP="00B311B5" w:rsidRDefault="00913F84" w14:paraId="5B86DF70" w14:textId="76555AC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Postage: 0.55</w:t>
            </w:r>
          </w:p>
        </w:tc>
        <w:tc>
          <w:tcPr>
            <w:tcW w:w="1260" w:type="dxa"/>
            <w:tcBorders>
              <w:top w:val="nil"/>
              <w:left w:val="nil"/>
              <w:bottom w:val="single" w:color="auto" w:sz="4" w:space="0"/>
              <w:right w:val="single" w:color="auto" w:sz="8" w:space="0"/>
            </w:tcBorders>
            <w:shd w:val="clear" w:color="000000" w:fill="FFFFFF"/>
            <w:vAlign w:val="center"/>
          </w:tcPr>
          <w:p w:rsidRPr="00185785" w:rsidR="00913F84" w:rsidP="00492655" w:rsidRDefault="005C5033" w14:paraId="6036C572" w14:textId="51DF327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w:t>
            </w:r>
          </w:p>
        </w:tc>
      </w:tr>
      <w:tr w:rsidRPr="00185785" w:rsidR="00913F84" w:rsidTr="005E6D68" w14:paraId="7B982C3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DB3EF6" w:rsidR="00913F84" w:rsidP="00492655" w:rsidRDefault="00913F84" w14:paraId="5CD6644A" w14:textId="3059ADA1">
            <w:pPr>
              <w:widowControl/>
              <w:autoSpaceDE/>
              <w:autoSpaceDN/>
              <w:adjustRightInd/>
              <w:rPr>
                <w:rFonts w:ascii="Calibri" w:hAnsi="Calibri" w:cs="Calibri"/>
                <w:color w:val="000000"/>
                <w:sz w:val="16"/>
                <w:szCs w:val="16"/>
              </w:rPr>
            </w:pPr>
            <w:r w:rsidRPr="00356932">
              <w:rPr>
                <w:rFonts w:asciiTheme="minorHAnsi" w:hAnsiTheme="minorHAnsi" w:cstheme="minorHAnsi"/>
                <w:sz w:val="16"/>
                <w:szCs w:val="16"/>
              </w:rPr>
              <w:t>IFQ Sablefish Request for Replacement of Longline Pot Gear Tags</w:t>
            </w:r>
          </w:p>
        </w:tc>
        <w:tc>
          <w:tcPr>
            <w:tcW w:w="126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27D2659E" w14:textId="5EE0BFF7">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3</w:t>
            </w:r>
          </w:p>
        </w:tc>
        <w:tc>
          <w:tcPr>
            <w:tcW w:w="153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4D91261B" w14:textId="5B99EC58">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546FAD21" w14:textId="4256D35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p>
        </w:tc>
        <w:tc>
          <w:tcPr>
            <w:tcW w:w="1350" w:type="dxa"/>
            <w:tcBorders>
              <w:top w:val="nil"/>
              <w:left w:val="nil"/>
              <w:bottom w:val="single" w:color="auto" w:sz="4" w:space="0"/>
              <w:right w:val="single" w:color="auto" w:sz="4" w:space="0"/>
            </w:tcBorders>
            <w:shd w:val="clear" w:color="000000" w:fill="FFFFFF"/>
            <w:vAlign w:val="center"/>
          </w:tcPr>
          <w:p w:rsidRPr="00185785" w:rsidR="00913F84" w:rsidP="00492655" w:rsidRDefault="00913F84" w14:paraId="5B51A43A" w14:textId="6168A3B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Postage: 0.55</w:t>
            </w:r>
          </w:p>
        </w:tc>
        <w:tc>
          <w:tcPr>
            <w:tcW w:w="1260" w:type="dxa"/>
            <w:tcBorders>
              <w:top w:val="nil"/>
              <w:left w:val="nil"/>
              <w:bottom w:val="single" w:color="auto" w:sz="4" w:space="0"/>
              <w:right w:val="single" w:color="auto" w:sz="8" w:space="0"/>
            </w:tcBorders>
            <w:shd w:val="clear" w:color="000000" w:fill="FFFFFF"/>
            <w:vAlign w:val="center"/>
          </w:tcPr>
          <w:p w:rsidRPr="00185785" w:rsidR="00913F84" w:rsidP="00492655" w:rsidRDefault="005C5033" w14:paraId="66162BB8" w14:textId="7A9F688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r>
      <w:tr w:rsidRPr="00185785" w:rsidR="00913F84" w:rsidTr="005E6D68" w14:paraId="765DB64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913F84" w:rsidP="00492655" w:rsidRDefault="00913F84" w14:paraId="17E4921F" w14:textId="38BFA3E8">
            <w:pPr>
              <w:widowControl/>
              <w:autoSpaceDE/>
              <w:autoSpaceDN/>
              <w:adjustRightInd/>
              <w:rPr>
                <w:rFonts w:ascii="Calibri" w:hAnsi="Calibri" w:cs="Calibri"/>
                <w:color w:val="000000"/>
                <w:sz w:val="16"/>
                <w:szCs w:val="16"/>
              </w:rPr>
            </w:pPr>
            <w:r>
              <w:rPr>
                <w:rFonts w:ascii="Calibri" w:hAnsi="Calibri" w:cs="Calibri"/>
                <w:color w:val="000000"/>
                <w:sz w:val="16"/>
                <w:szCs w:val="16"/>
              </w:rPr>
              <w:t>Marking of Longline Pot Gear</w:t>
            </w:r>
          </w:p>
        </w:tc>
        <w:tc>
          <w:tcPr>
            <w:tcW w:w="126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36C670D3" w14:textId="6F315B21">
            <w:pPr>
              <w:widowControl/>
              <w:autoSpaceDE/>
              <w:autoSpaceDN/>
              <w:adjustRightInd/>
              <w:jc w:val="center"/>
              <w:rPr>
                <w:rFonts w:ascii="Calibri" w:hAnsi="Calibri" w:cs="Calibri"/>
                <w:color w:val="000000"/>
                <w:sz w:val="16"/>
                <w:szCs w:val="16"/>
              </w:rPr>
            </w:pPr>
            <w:r w:rsidRPr="00796A25">
              <w:rPr>
                <w:rFonts w:ascii="Calibri" w:hAnsi="Calibri" w:cs="Calibri"/>
                <w:color w:val="000000"/>
                <w:sz w:val="16"/>
                <w:szCs w:val="16"/>
              </w:rPr>
              <w:t>28</w:t>
            </w:r>
          </w:p>
        </w:tc>
        <w:tc>
          <w:tcPr>
            <w:tcW w:w="1530" w:type="dxa"/>
            <w:tcBorders>
              <w:top w:val="nil"/>
              <w:left w:val="nil"/>
              <w:bottom w:val="single" w:color="auto" w:sz="4" w:space="0"/>
              <w:right w:val="single" w:color="auto" w:sz="4" w:space="0"/>
            </w:tcBorders>
            <w:shd w:val="clear" w:color="auto" w:fill="auto"/>
            <w:vAlign w:val="center"/>
          </w:tcPr>
          <w:p w:rsidRPr="00185785" w:rsidR="00913F84" w:rsidP="00492655" w:rsidRDefault="00913F84" w14:paraId="75E32604" w14:textId="3B0CDF9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vAlign w:val="center"/>
          </w:tcPr>
          <w:p w:rsidRPr="00185785" w:rsidR="00913F84" w:rsidP="00913F84" w:rsidRDefault="00913F84" w14:paraId="26365FB7" w14:textId="17F74B2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224</w:t>
            </w:r>
          </w:p>
        </w:tc>
        <w:tc>
          <w:tcPr>
            <w:tcW w:w="1350" w:type="dxa"/>
            <w:tcBorders>
              <w:top w:val="nil"/>
              <w:left w:val="nil"/>
              <w:bottom w:val="single" w:color="auto" w:sz="4" w:space="0"/>
              <w:right w:val="single" w:color="auto" w:sz="4" w:space="0"/>
            </w:tcBorders>
            <w:shd w:val="clear" w:color="000000" w:fill="FFFFFF"/>
            <w:vAlign w:val="center"/>
          </w:tcPr>
          <w:p w:rsidRPr="00185785" w:rsidR="00913F84" w:rsidP="005E6D68" w:rsidRDefault="00913F84" w14:paraId="0F02B77D" w14:textId="4F8D115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Miscellaneous supplies: $</w:t>
            </w:r>
            <w:r w:rsidR="005E6D68">
              <w:rPr>
                <w:rFonts w:ascii="Calibri" w:hAnsi="Calibri" w:cs="Calibri"/>
                <w:color w:val="000000"/>
                <w:sz w:val="16"/>
                <w:szCs w:val="16"/>
              </w:rPr>
              <w:t>1.875</w:t>
            </w:r>
          </w:p>
        </w:tc>
        <w:tc>
          <w:tcPr>
            <w:tcW w:w="1260" w:type="dxa"/>
            <w:tcBorders>
              <w:top w:val="nil"/>
              <w:left w:val="nil"/>
              <w:bottom w:val="single" w:color="auto" w:sz="4" w:space="0"/>
              <w:right w:val="single" w:color="auto" w:sz="8" w:space="0"/>
            </w:tcBorders>
            <w:shd w:val="clear" w:color="000000" w:fill="FFFFFF"/>
            <w:vAlign w:val="center"/>
          </w:tcPr>
          <w:p w:rsidRPr="00185785" w:rsidR="00913F84" w:rsidP="00492655" w:rsidRDefault="005C5033" w14:paraId="7645FF3D" w14:textId="5079DB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420</w:t>
            </w:r>
          </w:p>
        </w:tc>
      </w:tr>
      <w:tr w:rsidRPr="00185785" w:rsidR="00913F84" w:rsidTr="005E6D68" w14:paraId="3FDD358C"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913F84" w:rsidP="00391ADD" w:rsidRDefault="00913F84" w14:paraId="38FCD63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913F84" w:rsidP="00391ADD" w:rsidRDefault="00913F84" w14:paraId="56B310F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913F84" w:rsidP="00391ADD" w:rsidRDefault="00913F84" w14:paraId="2E9DA4E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913F84" w:rsidP="00303FB1" w:rsidRDefault="00913F84" w14:paraId="70CCD47D" w14:textId="1E8DC1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22"/>
                <w:szCs w:val="22"/>
              </w:rPr>
              <w:t>6,249</w:t>
            </w:r>
          </w:p>
        </w:tc>
        <w:tc>
          <w:tcPr>
            <w:tcW w:w="135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913F84" w:rsidP="00391ADD" w:rsidRDefault="00913F84" w14:paraId="7D00A8AE"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5C5033" w:rsidR="00913F84" w:rsidP="005C5033" w:rsidRDefault="005C5033" w14:paraId="1D54235C" w14:textId="6DE4FE3A">
            <w:pPr>
              <w:widowControl/>
              <w:autoSpaceDE/>
              <w:autoSpaceDN/>
              <w:adjustRightInd/>
              <w:jc w:val="center"/>
              <w:rPr>
                <w:rFonts w:ascii="Calibri" w:hAnsi="Calibri" w:cs="Calibri"/>
                <w:b/>
                <w:bCs/>
                <w:color w:val="000000"/>
                <w:sz w:val="22"/>
                <w:szCs w:val="22"/>
              </w:rPr>
            </w:pPr>
            <w:r w:rsidRPr="005C5033">
              <w:rPr>
                <w:rFonts w:ascii="Calibri" w:hAnsi="Calibri" w:cs="Calibri"/>
                <w:b/>
                <w:bCs/>
                <w:color w:val="000000"/>
                <w:sz w:val="22"/>
                <w:szCs w:val="22"/>
              </w:rPr>
              <w:t>12,422</w:t>
            </w:r>
          </w:p>
        </w:tc>
      </w:tr>
    </w:tbl>
    <w:p w:rsidRPr="008239A9" w:rsidR="004F26E9" w:rsidP="008239A9" w:rsidRDefault="008239A9" w14:paraId="245C0D62" w14:textId="0AF2E9D6">
      <w:pPr>
        <w:tabs>
          <w:tab w:val="left" w:pos="540"/>
        </w:tabs>
        <w:rPr>
          <w:rFonts w:asciiTheme="minorHAnsi" w:hAnsiTheme="minorHAnsi" w:cstheme="minorHAnsi"/>
          <w:sz w:val="18"/>
          <w:szCs w:val="18"/>
        </w:rPr>
      </w:pPr>
      <w:r w:rsidRPr="008239A9">
        <w:rPr>
          <w:rFonts w:asciiTheme="minorHAnsi" w:hAnsiTheme="minorHAnsi" w:cstheme="minorHAnsi"/>
          <w:sz w:val="18"/>
          <w:szCs w:val="18"/>
        </w:rPr>
        <w:t xml:space="preserve">* </w:t>
      </w:r>
      <w:r w:rsidR="00FF688B">
        <w:rPr>
          <w:rFonts w:asciiTheme="minorHAnsi" w:hAnsiTheme="minorHAnsi" w:cstheme="minorHAnsi"/>
          <w:sz w:val="18"/>
          <w:szCs w:val="18"/>
        </w:rPr>
        <w:t>Miscellaneous s</w:t>
      </w:r>
      <w:r w:rsidRPr="008239A9">
        <w:rPr>
          <w:rFonts w:asciiTheme="minorHAnsi" w:hAnsiTheme="minorHAnsi" w:cstheme="minorHAnsi"/>
          <w:sz w:val="18"/>
          <w:szCs w:val="18"/>
        </w:rPr>
        <w:t xml:space="preserve">upplies = </w:t>
      </w:r>
      <w:r>
        <w:rPr>
          <w:rFonts w:asciiTheme="minorHAnsi" w:hAnsiTheme="minorHAnsi" w:cstheme="minorHAnsi"/>
          <w:sz w:val="18"/>
          <w:szCs w:val="18"/>
        </w:rPr>
        <w:t>paint and paintbrush,</w:t>
      </w:r>
      <w:r w:rsidRPr="008239A9">
        <w:rPr>
          <w:rFonts w:asciiTheme="minorHAnsi" w:hAnsiTheme="minorHAnsi" w:cstheme="minorHAnsi"/>
          <w:sz w:val="18"/>
          <w:szCs w:val="18"/>
        </w:rPr>
        <w:t xml:space="preserve"> or permanen</w:t>
      </w:r>
      <w:r w:rsidR="00FF688B">
        <w:rPr>
          <w:rFonts w:asciiTheme="minorHAnsi" w:hAnsiTheme="minorHAnsi" w:cstheme="minorHAnsi"/>
          <w:sz w:val="18"/>
          <w:szCs w:val="18"/>
        </w:rPr>
        <w:t>t ink applicator, and possibly a</w:t>
      </w:r>
      <w:r w:rsidRPr="008239A9">
        <w:rPr>
          <w:rFonts w:asciiTheme="minorHAnsi" w:hAnsiTheme="minorHAnsi" w:cstheme="minorHAnsi"/>
          <w:sz w:val="18"/>
          <w:szCs w:val="18"/>
        </w:rPr>
        <w:t xml:space="preserve"> stencil</w:t>
      </w:r>
      <w:r>
        <w:rPr>
          <w:rFonts w:asciiTheme="minorHAnsi" w:hAnsiTheme="minorHAnsi" w:cstheme="minorHAnsi"/>
          <w:sz w:val="18"/>
          <w:szCs w:val="18"/>
        </w:rPr>
        <w:t xml:space="preserve">; Operating costs </w:t>
      </w:r>
      <w:r w:rsidR="00B311B5">
        <w:rPr>
          <w:rFonts w:asciiTheme="minorHAnsi" w:hAnsiTheme="minorHAnsi" w:cstheme="minorHAnsi"/>
          <w:sz w:val="18"/>
          <w:szCs w:val="18"/>
        </w:rPr>
        <w:t>include</w:t>
      </w:r>
      <w:r>
        <w:rPr>
          <w:rFonts w:asciiTheme="minorHAnsi" w:hAnsiTheme="minorHAnsi" w:cstheme="minorHAnsi"/>
          <w:sz w:val="18"/>
          <w:szCs w:val="18"/>
        </w:rPr>
        <w:t xml:space="preserve"> </w:t>
      </w:r>
      <w:r w:rsidR="00B311B5">
        <w:rPr>
          <w:rFonts w:asciiTheme="minorHAnsi" w:hAnsiTheme="minorHAnsi" w:cstheme="minorHAnsi"/>
          <w:sz w:val="18"/>
          <w:szCs w:val="18"/>
        </w:rPr>
        <w:t>postage, fax, and photocopies</w:t>
      </w:r>
    </w:p>
    <w:p w:rsidR="004F26E9" w:rsidP="00493868" w:rsidRDefault="004F26E9" w14:paraId="7A7A340D" w14:textId="77777777">
      <w:pPr>
        <w:tabs>
          <w:tab w:val="left" w:pos="540"/>
        </w:tabs>
        <w:ind w:left="540"/>
        <w:rPr>
          <w:sz w:val="24"/>
          <w:szCs w:val="24"/>
        </w:rPr>
      </w:pPr>
    </w:p>
    <w:p w:rsidR="00933D6A" w:rsidP="00493868" w:rsidRDefault="00933D6A" w14:paraId="4AA236C3" w14:textId="77777777">
      <w:pPr>
        <w:tabs>
          <w:tab w:val="left" w:pos="540"/>
        </w:tabs>
        <w:ind w:left="540" w:hanging="540"/>
        <w:rPr>
          <w:b/>
          <w:bCs/>
          <w:sz w:val="24"/>
          <w:szCs w:val="24"/>
        </w:rPr>
      </w:pPr>
    </w:p>
    <w:p w:rsidR="004F26E9" w:rsidP="00493868" w:rsidRDefault="00493868" w14:paraId="3D2BD38E" w14:textId="0A67C94D">
      <w:pPr>
        <w:tabs>
          <w:tab w:val="left" w:pos="540"/>
        </w:tabs>
        <w:ind w:left="540" w:hanging="540"/>
        <w:rPr>
          <w:b/>
          <w:bCs/>
          <w:sz w:val="24"/>
          <w:szCs w:val="24"/>
        </w:rPr>
      </w:pPr>
      <w:r>
        <w:rPr>
          <w:b/>
          <w:bCs/>
          <w:sz w:val="24"/>
          <w:szCs w:val="24"/>
        </w:rPr>
        <w:t>14.</w:t>
      </w:r>
      <w:r>
        <w:rPr>
          <w:b/>
          <w:bCs/>
          <w:sz w:val="24"/>
          <w:szCs w:val="24"/>
        </w:rPr>
        <w:tab/>
      </w:r>
      <w:r w:rsidRPr="000A0540" w:rsidR="004F26E9">
        <w:rPr>
          <w:b/>
          <w:bCs/>
          <w:sz w:val="24"/>
          <w:szCs w:val="24"/>
        </w:rPr>
        <w:t>Provide estimates of annualized cost to the Federal government.</w:t>
      </w:r>
      <w:r w:rsidR="003666C0">
        <w:rPr>
          <w:b/>
          <w:bCs/>
          <w:sz w:val="24"/>
          <w:szCs w:val="24"/>
        </w:rPr>
        <w:t xml:space="preserve"> </w:t>
      </w:r>
    </w:p>
    <w:p w:rsidR="009B71BC" w:rsidP="00493868" w:rsidRDefault="009B71BC" w14:paraId="116C6696" w14:textId="4B7B1498">
      <w:pPr>
        <w:tabs>
          <w:tab w:val="left" w:pos="540"/>
        </w:tabs>
        <w:ind w:left="540" w:hanging="540"/>
        <w:rPr>
          <w:b/>
          <w:bCs/>
          <w:sz w:val="24"/>
          <w:szCs w:val="24"/>
        </w:rPr>
      </w:pPr>
    </w:p>
    <w:p w:rsidRPr="00F021EB" w:rsidR="00F021EB" w:rsidP="00F021EB" w:rsidRDefault="00F021EB" w14:paraId="6EB34896" w14:textId="750EA172">
      <w:pPr>
        <w:rPr>
          <w:sz w:val="24"/>
          <w:szCs w:val="24"/>
        </w:rPr>
      </w:pPr>
      <w:r w:rsidRPr="00F021EB">
        <w:rPr>
          <w:sz w:val="24"/>
          <w:szCs w:val="24"/>
        </w:rPr>
        <w:t>A cost recovery program is in effect for the IFQ</w:t>
      </w:r>
      <w:r>
        <w:rPr>
          <w:sz w:val="24"/>
          <w:szCs w:val="24"/>
        </w:rPr>
        <w:t xml:space="preserve"> Program</w:t>
      </w:r>
      <w:r w:rsidRPr="00F021EB">
        <w:rPr>
          <w:sz w:val="24"/>
          <w:szCs w:val="24"/>
        </w:rPr>
        <w:t xml:space="preserve"> </w:t>
      </w:r>
      <w:r>
        <w:rPr>
          <w:sz w:val="24"/>
          <w:szCs w:val="24"/>
        </w:rPr>
        <w:t xml:space="preserve">(see OMB control number 0648-0711).  NMFS levies their costs for the longline pot fishery through IFQ cost recovery fees on all landings of IFQ sablefish and IFQ halibut. </w:t>
      </w:r>
      <w:r w:rsidRPr="00F021EB">
        <w:rPr>
          <w:sz w:val="24"/>
          <w:szCs w:val="24"/>
        </w:rPr>
        <w:t xml:space="preserve">Under </w:t>
      </w:r>
      <w:r>
        <w:rPr>
          <w:sz w:val="24"/>
          <w:szCs w:val="24"/>
        </w:rPr>
        <w:t>the IFQ</w:t>
      </w:r>
      <w:r w:rsidRPr="00F021EB">
        <w:rPr>
          <w:sz w:val="24"/>
          <w:szCs w:val="24"/>
        </w:rPr>
        <w:t xml:space="preserve"> cost recovery program, NMFS </w:t>
      </w:r>
      <w:proofErr w:type="gramStart"/>
      <w:r w:rsidRPr="00F021EB">
        <w:rPr>
          <w:sz w:val="24"/>
          <w:szCs w:val="24"/>
        </w:rPr>
        <w:t>is authorized</w:t>
      </w:r>
      <w:proofErr w:type="gramEnd"/>
      <w:r w:rsidRPr="00F021EB">
        <w:rPr>
          <w:sz w:val="24"/>
          <w:szCs w:val="24"/>
        </w:rPr>
        <w:t xml:space="preserve"> to collect direct program costs from the permit holders. Therefore, the information collection requirements of the IFQ Program do not impose a cost on the Federal Government. Direct program costs are the costs NMFS incurs to manage, collect data from, and enforce the IFQ Program. </w:t>
      </w:r>
    </w:p>
    <w:p w:rsidR="00F021EB" w:rsidP="009B71BC" w:rsidRDefault="00F021EB" w14:paraId="21F8FF83" w14:textId="47995DEE">
      <w:pPr>
        <w:tabs>
          <w:tab w:val="left" w:pos="540"/>
        </w:tabs>
        <w:rPr>
          <w:sz w:val="24"/>
          <w:szCs w:val="24"/>
        </w:rPr>
      </w:pPr>
    </w:p>
    <w:p w:rsidR="000D7831" w:rsidP="009B71BC" w:rsidRDefault="00B92F63" w14:paraId="38392A05" w14:textId="496C72FA">
      <w:pPr>
        <w:tabs>
          <w:tab w:val="left" w:pos="540"/>
        </w:tabs>
        <w:rPr>
          <w:sz w:val="24"/>
          <w:szCs w:val="24"/>
        </w:rPr>
      </w:pPr>
      <w:r>
        <w:rPr>
          <w:sz w:val="24"/>
          <w:szCs w:val="24"/>
        </w:rPr>
        <w:t>N</w:t>
      </w:r>
      <w:r w:rsidR="00BD28C7">
        <w:rPr>
          <w:sz w:val="24"/>
          <w:szCs w:val="24"/>
        </w:rPr>
        <w:t>o costs to the F</w:t>
      </w:r>
      <w:r w:rsidRPr="00BD28C7" w:rsidR="00BD28C7">
        <w:rPr>
          <w:sz w:val="24"/>
          <w:szCs w:val="24"/>
        </w:rPr>
        <w:t xml:space="preserve">ederal </w:t>
      </w:r>
      <w:r w:rsidR="00BD28C7">
        <w:rPr>
          <w:sz w:val="24"/>
          <w:szCs w:val="24"/>
        </w:rPr>
        <w:t>G</w:t>
      </w:r>
      <w:r w:rsidRPr="00BD28C7" w:rsidR="00BD28C7">
        <w:rPr>
          <w:sz w:val="24"/>
          <w:szCs w:val="24"/>
        </w:rPr>
        <w:t xml:space="preserve">overnment </w:t>
      </w:r>
      <w:r>
        <w:rPr>
          <w:sz w:val="24"/>
          <w:szCs w:val="24"/>
        </w:rPr>
        <w:t xml:space="preserve">are </w:t>
      </w:r>
      <w:r w:rsidRPr="00BD28C7" w:rsidR="00BD28C7">
        <w:rPr>
          <w:sz w:val="24"/>
          <w:szCs w:val="24"/>
        </w:rPr>
        <w:t>associated with t</w:t>
      </w:r>
      <w:r>
        <w:rPr>
          <w:sz w:val="24"/>
          <w:szCs w:val="24"/>
        </w:rPr>
        <w:t>he requirement to identify gear</w:t>
      </w:r>
      <w:r w:rsidR="00BD28C7">
        <w:rPr>
          <w:sz w:val="24"/>
          <w:szCs w:val="24"/>
        </w:rPr>
        <w:t xml:space="preserve"> </w:t>
      </w:r>
      <w:r w:rsidR="000D7831">
        <w:rPr>
          <w:sz w:val="24"/>
          <w:szCs w:val="24"/>
        </w:rPr>
        <w:t xml:space="preserve">because this involves marking gear by respondents </w:t>
      </w:r>
      <w:r w:rsidR="00BD28C7">
        <w:rPr>
          <w:sz w:val="24"/>
          <w:szCs w:val="24"/>
        </w:rPr>
        <w:t>from whom</w:t>
      </w:r>
      <w:r w:rsidR="000D7831">
        <w:rPr>
          <w:sz w:val="24"/>
          <w:szCs w:val="24"/>
        </w:rPr>
        <w:t xml:space="preserve"> no information </w:t>
      </w:r>
      <w:proofErr w:type="gramStart"/>
      <w:r w:rsidR="000D7831">
        <w:rPr>
          <w:sz w:val="24"/>
          <w:szCs w:val="24"/>
        </w:rPr>
        <w:t>is received</w:t>
      </w:r>
      <w:proofErr w:type="gramEnd"/>
      <w:r w:rsidR="000D7831">
        <w:rPr>
          <w:sz w:val="24"/>
          <w:szCs w:val="24"/>
        </w:rPr>
        <w:t xml:space="preserve"> to process.</w:t>
      </w:r>
    </w:p>
    <w:p w:rsidR="00F021EB" w:rsidP="009B71BC" w:rsidRDefault="00F021EB" w14:paraId="39F3D21E" w14:textId="77777777">
      <w:pPr>
        <w:tabs>
          <w:tab w:val="left" w:pos="540"/>
        </w:tabs>
        <w:rPr>
          <w:sz w:val="24"/>
          <w:szCs w:val="24"/>
        </w:rPr>
      </w:pPr>
    </w:p>
    <w:p w:rsidR="004F26E9" w:rsidP="00493868" w:rsidRDefault="004F26E9" w14:paraId="27039C6D" w14:textId="77777777">
      <w:pPr>
        <w:tabs>
          <w:tab w:val="left" w:pos="540"/>
        </w:tabs>
        <w:ind w:left="540"/>
        <w:rPr>
          <w:sz w:val="24"/>
          <w:szCs w:val="24"/>
        </w:rPr>
      </w:pPr>
    </w:p>
    <w:p w:rsidR="004F26E9" w:rsidP="00493868" w:rsidRDefault="004F26E9" w14:paraId="5094BC6A" w14:textId="77777777">
      <w:pPr>
        <w:tabs>
          <w:tab w:val="left" w:pos="540"/>
        </w:tabs>
        <w:ind w:left="540"/>
        <w:rPr>
          <w:sz w:val="24"/>
          <w:szCs w:val="24"/>
        </w:rPr>
      </w:pPr>
    </w:p>
    <w:p w:rsidR="00732713" w:rsidP="00493868" w:rsidRDefault="00732713" w14:paraId="750D1EE6"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13674914" w14:textId="77777777">
      <w:pPr>
        <w:tabs>
          <w:tab w:val="left" w:pos="540"/>
        </w:tabs>
        <w:ind w:left="540"/>
        <w:rPr>
          <w:sz w:val="24"/>
          <w:szCs w:val="24"/>
        </w:rPr>
      </w:pPr>
    </w:p>
    <w:p w:rsidR="004F26E9" w:rsidP="00493868" w:rsidRDefault="00493868" w14:paraId="7C6B50EA"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3C0C1A3E" w14:textId="77777777">
      <w:pPr>
        <w:rPr>
          <w:sz w:val="24"/>
          <w:szCs w:val="24"/>
        </w:rPr>
      </w:pPr>
    </w:p>
    <w:p w:rsidRPr="00732713" w:rsidR="00732713" w:rsidP="00732713" w:rsidRDefault="00732713" w14:paraId="37579278"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359AC62F"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14:paraId="2E1D7FED" w14:textId="77777777">
        <w:tc>
          <w:tcPr>
            <w:tcW w:w="2478" w:type="dxa"/>
            <w:vMerge w:val="restart"/>
            <w:shd w:val="clear" w:color="auto" w:fill="5B9BD5" w:themeFill="accent1"/>
            <w:vAlign w:val="center"/>
          </w:tcPr>
          <w:p w:rsidRPr="00A110F0" w:rsidR="00732713" w:rsidP="00FD3D2A" w:rsidRDefault="00A110F0" w14:paraId="0DB1C29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778288D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65C9BC6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074EDE0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14:paraId="77A91F2A"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14:paraId="6880E602" w14:textId="77777777">
        <w:tc>
          <w:tcPr>
            <w:tcW w:w="2478" w:type="dxa"/>
            <w:vMerge/>
            <w:shd w:val="clear" w:color="auto" w:fill="5B9BD5" w:themeFill="accent1"/>
            <w:vAlign w:val="center"/>
          </w:tcPr>
          <w:p w:rsidRPr="00A110F0" w:rsidR="00732713" w:rsidP="00FD3D2A" w:rsidRDefault="00732713" w14:paraId="3CC16FB4"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63E7269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35C0D67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41F031A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36ADA3C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3E7076B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7B86FC2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14:paraId="048474C9" w14:textId="77777777">
            <w:pPr>
              <w:keepNext/>
              <w:rPr>
                <w:rFonts w:eastAsia="Calibri" w:asciiTheme="minorHAnsi" w:hAnsiTheme="minorHAnsi"/>
                <w:sz w:val="16"/>
                <w:szCs w:val="16"/>
              </w:rPr>
            </w:pPr>
          </w:p>
        </w:tc>
      </w:tr>
      <w:tr w:rsidRPr="00A110F0" w:rsidR="00981561" w:rsidTr="007C4980" w14:paraId="69731573" w14:textId="77777777">
        <w:trPr>
          <w:trHeight w:val="593"/>
        </w:trPr>
        <w:tc>
          <w:tcPr>
            <w:tcW w:w="2478" w:type="dxa"/>
            <w:shd w:val="clear" w:color="auto" w:fill="auto"/>
            <w:vAlign w:val="center"/>
          </w:tcPr>
          <w:p w:rsidRPr="00A110F0" w:rsidR="00981561" w:rsidP="00303FB1" w:rsidRDefault="00981561" w14:paraId="7014E8B3" w14:textId="77777777">
            <w:pPr>
              <w:rPr>
                <w:rFonts w:asciiTheme="minorHAnsi" w:hAnsiTheme="minorHAnsi"/>
                <w:sz w:val="16"/>
                <w:szCs w:val="16"/>
              </w:rPr>
            </w:pPr>
            <w:r w:rsidRPr="00676A3C">
              <w:rPr>
                <w:rFonts w:asciiTheme="minorHAnsi" w:hAnsiTheme="minorHAnsi"/>
                <w:sz w:val="16"/>
                <w:szCs w:val="16"/>
              </w:rPr>
              <w:t>Groundfish Hook-and-line Marker Buoys</w:t>
            </w:r>
          </w:p>
        </w:tc>
        <w:tc>
          <w:tcPr>
            <w:tcW w:w="1071"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6D3000A1" w14:textId="09E36BDB">
            <w:pPr>
              <w:jc w:val="center"/>
              <w:rPr>
                <w:rFonts w:eastAsia="Calibri" w:asciiTheme="minorHAnsi" w:hAnsiTheme="minorHAnsi"/>
                <w:sz w:val="16"/>
                <w:szCs w:val="16"/>
              </w:rPr>
            </w:pPr>
            <w:r w:rsidRPr="00796A25">
              <w:rPr>
                <w:rFonts w:ascii="Calibri" w:hAnsi="Calibri" w:cs="Calibri"/>
                <w:color w:val="000000"/>
                <w:sz w:val="16"/>
                <w:szCs w:val="16"/>
              </w:rPr>
              <w:t>799</w:t>
            </w:r>
          </w:p>
        </w:tc>
        <w:tc>
          <w:tcPr>
            <w:tcW w:w="1062" w:type="dxa"/>
            <w:tcBorders>
              <w:left w:val="dashed" w:color="auto" w:sz="4" w:space="0"/>
              <w:bottom w:val="dotted" w:color="auto" w:sz="4" w:space="0"/>
            </w:tcBorders>
            <w:shd w:val="clear" w:color="auto" w:fill="auto"/>
            <w:vAlign w:val="center"/>
          </w:tcPr>
          <w:p w:rsidRPr="00A110F0" w:rsidR="00981561" w:rsidP="00303FB1" w:rsidRDefault="00981561" w14:paraId="65950604" w14:textId="77777777">
            <w:pPr>
              <w:keepNext/>
              <w:jc w:val="center"/>
              <w:rPr>
                <w:rFonts w:eastAsia="Calibri" w:asciiTheme="minorHAnsi" w:hAnsiTheme="minorHAnsi"/>
                <w:sz w:val="16"/>
                <w:szCs w:val="16"/>
              </w:rPr>
            </w:pPr>
            <w:r>
              <w:rPr>
                <w:rFonts w:eastAsia="Calibri" w:asciiTheme="minorHAnsi" w:hAnsiTheme="minorHAnsi"/>
                <w:sz w:val="16"/>
                <w:szCs w:val="16"/>
              </w:rPr>
              <w:t>980</w:t>
            </w:r>
          </w:p>
        </w:tc>
        <w:tc>
          <w:tcPr>
            <w:tcW w:w="1003"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2114A617" w14:textId="1C799A7F">
            <w:pPr>
              <w:jc w:val="center"/>
              <w:rPr>
                <w:rFonts w:asciiTheme="minorHAnsi" w:hAnsiTheme="minorHAnsi"/>
                <w:sz w:val="16"/>
                <w:szCs w:val="16"/>
              </w:rPr>
            </w:pPr>
            <w:r>
              <w:rPr>
                <w:rFonts w:ascii="Calibri" w:hAnsi="Calibri" w:cs="Calibri"/>
                <w:color w:val="000000"/>
                <w:sz w:val="16"/>
                <w:szCs w:val="16"/>
              </w:rPr>
              <w:t>5,994</w:t>
            </w:r>
          </w:p>
        </w:tc>
        <w:tc>
          <w:tcPr>
            <w:tcW w:w="1129" w:type="dxa"/>
            <w:tcBorders>
              <w:left w:val="dashed" w:color="auto" w:sz="4" w:space="0"/>
              <w:bottom w:val="dotted" w:color="auto" w:sz="4" w:space="0"/>
            </w:tcBorders>
            <w:shd w:val="clear" w:color="auto" w:fill="auto"/>
            <w:vAlign w:val="center"/>
          </w:tcPr>
          <w:p w:rsidRPr="00A110F0" w:rsidR="00981561" w:rsidP="00303FB1" w:rsidRDefault="00981561" w14:paraId="303483A4" w14:textId="77777777">
            <w:pPr>
              <w:keepNext/>
              <w:jc w:val="center"/>
              <w:rPr>
                <w:rFonts w:eastAsia="Calibri" w:asciiTheme="minorHAnsi" w:hAnsiTheme="minorHAnsi"/>
                <w:sz w:val="16"/>
                <w:szCs w:val="16"/>
              </w:rPr>
            </w:pPr>
            <w:r>
              <w:rPr>
                <w:rFonts w:eastAsia="Calibri" w:asciiTheme="minorHAnsi" w:hAnsiTheme="minorHAnsi"/>
                <w:sz w:val="16"/>
                <w:szCs w:val="16"/>
              </w:rPr>
              <w:t>7,350</w:t>
            </w:r>
          </w:p>
        </w:tc>
        <w:tc>
          <w:tcPr>
            <w:tcW w:w="1129" w:type="dxa"/>
            <w:tcBorders>
              <w:bottom w:val="dotted" w:color="auto" w:sz="4" w:space="0"/>
              <w:right w:val="dashed" w:color="auto" w:sz="4" w:space="0"/>
            </w:tcBorders>
            <w:shd w:val="clear" w:color="auto" w:fill="auto"/>
            <w:vAlign w:val="center"/>
          </w:tcPr>
          <w:p w:rsidRPr="00A110F0" w:rsidR="00981561" w:rsidP="00303FB1" w:rsidRDefault="00981561" w14:paraId="69AB08C3" w14:textId="3D66903C">
            <w:pPr>
              <w:jc w:val="center"/>
              <w:rPr>
                <w:rFonts w:eastAsia="Calibri" w:asciiTheme="minorHAnsi" w:hAnsiTheme="minorHAnsi"/>
                <w:sz w:val="16"/>
                <w:szCs w:val="16"/>
              </w:rPr>
            </w:pPr>
            <w:r>
              <w:rPr>
                <w:rFonts w:ascii="Calibri" w:hAnsi="Calibri" w:cs="Calibri"/>
                <w:color w:val="000000"/>
                <w:sz w:val="16"/>
                <w:szCs w:val="16"/>
              </w:rPr>
              <w:t>1,499</w:t>
            </w:r>
          </w:p>
        </w:tc>
        <w:tc>
          <w:tcPr>
            <w:tcW w:w="1130" w:type="dxa"/>
            <w:tcBorders>
              <w:left w:val="dashed" w:color="auto" w:sz="4" w:space="0"/>
              <w:bottom w:val="dotted" w:color="auto" w:sz="4" w:space="0"/>
            </w:tcBorders>
            <w:shd w:val="clear" w:color="auto" w:fill="auto"/>
            <w:vAlign w:val="center"/>
          </w:tcPr>
          <w:p w:rsidRPr="00A110F0" w:rsidR="00981561" w:rsidP="00303FB1" w:rsidRDefault="00981561" w14:paraId="617C070A" w14:textId="77777777">
            <w:pPr>
              <w:keepNext/>
              <w:jc w:val="center"/>
              <w:rPr>
                <w:rFonts w:eastAsia="Calibri" w:asciiTheme="minorHAnsi" w:hAnsiTheme="minorHAnsi"/>
                <w:sz w:val="16"/>
                <w:szCs w:val="16"/>
              </w:rPr>
            </w:pPr>
            <w:r>
              <w:rPr>
                <w:rFonts w:eastAsia="Calibri" w:asciiTheme="minorHAnsi" w:hAnsiTheme="minorHAnsi"/>
                <w:sz w:val="16"/>
                <w:szCs w:val="16"/>
              </w:rPr>
              <w:t>1,838</w:t>
            </w:r>
          </w:p>
        </w:tc>
        <w:tc>
          <w:tcPr>
            <w:tcW w:w="4390" w:type="dxa"/>
            <w:tcBorders>
              <w:left w:val="dotted" w:color="auto" w:sz="4" w:space="0"/>
              <w:bottom w:val="dotted" w:color="auto" w:sz="4" w:space="0"/>
            </w:tcBorders>
            <w:shd w:val="clear" w:color="auto" w:fill="auto"/>
            <w:vAlign w:val="center"/>
          </w:tcPr>
          <w:p w:rsidRPr="00A110F0" w:rsidR="00981561" w:rsidP="00303FB1" w:rsidRDefault="00981561" w14:paraId="6E27018B" w14:textId="24327EAB">
            <w:pPr>
              <w:keepNext/>
              <w:rPr>
                <w:rFonts w:eastAsia="Calibri" w:asciiTheme="minorHAnsi" w:hAnsiTheme="minorHAnsi"/>
                <w:sz w:val="16"/>
                <w:szCs w:val="16"/>
              </w:rPr>
            </w:pPr>
            <w:r w:rsidRPr="00962BF2">
              <w:rPr>
                <w:rFonts w:eastAsia="Calibri" w:asciiTheme="minorHAnsi" w:hAnsiTheme="minorHAnsi"/>
                <w:sz w:val="16"/>
                <w:szCs w:val="16"/>
              </w:rPr>
              <w:t>Updated the number of respondents and respon</w:t>
            </w:r>
            <w:r w:rsidR="00A30761">
              <w:rPr>
                <w:rFonts w:eastAsia="Calibri" w:asciiTheme="minorHAnsi" w:hAnsiTheme="minorHAnsi"/>
                <w:sz w:val="16"/>
                <w:szCs w:val="16"/>
              </w:rPr>
              <w:t>ses</w:t>
            </w:r>
            <w:r w:rsidR="00881E5A">
              <w:rPr>
                <w:rFonts w:eastAsia="Calibri" w:asciiTheme="minorHAnsi" w:hAnsiTheme="minorHAnsi"/>
                <w:sz w:val="16"/>
                <w:szCs w:val="16"/>
              </w:rPr>
              <w:t xml:space="preserve"> </w:t>
            </w:r>
          </w:p>
        </w:tc>
      </w:tr>
      <w:tr w:rsidRPr="00A110F0" w:rsidR="00981561" w:rsidTr="007C4980" w14:paraId="34436019" w14:textId="77777777">
        <w:tc>
          <w:tcPr>
            <w:tcW w:w="2478" w:type="dxa"/>
            <w:shd w:val="clear" w:color="auto" w:fill="auto"/>
            <w:vAlign w:val="center"/>
          </w:tcPr>
          <w:p w:rsidRPr="00A110F0" w:rsidR="00981561" w:rsidP="00303FB1" w:rsidRDefault="00981561" w14:paraId="3404D443" w14:textId="5ADA855A">
            <w:pPr>
              <w:rPr>
                <w:rFonts w:asciiTheme="minorHAnsi" w:hAnsiTheme="minorHAnsi"/>
                <w:sz w:val="16"/>
                <w:szCs w:val="16"/>
              </w:rPr>
            </w:pPr>
            <w:r w:rsidRPr="00652B6E">
              <w:rPr>
                <w:rFonts w:asciiTheme="minorHAnsi" w:hAnsiTheme="minorHAnsi"/>
                <w:sz w:val="16"/>
                <w:szCs w:val="16"/>
              </w:rPr>
              <w:t>IFQ Sablefish Longline Pot Gear: Vessel Registration and Request for Pot Gear Tags</w:t>
            </w:r>
          </w:p>
        </w:tc>
        <w:tc>
          <w:tcPr>
            <w:tcW w:w="1071"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384FD9A5" w14:textId="74AD63BB">
            <w:pPr>
              <w:jc w:val="center"/>
              <w:rPr>
                <w:rFonts w:eastAsia="Calibri" w:asciiTheme="minorHAnsi" w:hAnsiTheme="minorHAnsi"/>
                <w:sz w:val="16"/>
                <w:szCs w:val="16"/>
              </w:rPr>
            </w:pPr>
            <w:r w:rsidRPr="00796A25">
              <w:rPr>
                <w:rFonts w:ascii="Calibri" w:hAnsi="Calibri" w:cs="Calibri"/>
                <w:color w:val="000000"/>
                <w:sz w:val="16"/>
                <w:szCs w:val="16"/>
              </w:rPr>
              <w:t>28</w:t>
            </w:r>
          </w:p>
        </w:tc>
        <w:tc>
          <w:tcPr>
            <w:tcW w:w="1062" w:type="dxa"/>
            <w:tcBorders>
              <w:left w:val="dashed" w:color="auto" w:sz="4" w:space="0"/>
              <w:bottom w:val="dotted" w:color="auto" w:sz="4" w:space="0"/>
            </w:tcBorders>
            <w:shd w:val="clear" w:color="auto" w:fill="auto"/>
            <w:vAlign w:val="center"/>
          </w:tcPr>
          <w:p w:rsidRPr="00A110F0" w:rsidR="00981561" w:rsidP="00303FB1" w:rsidRDefault="00981561" w14:paraId="6A5D5778" w14:textId="6C21DA7B">
            <w:pPr>
              <w:keepNext/>
              <w:jc w:val="center"/>
              <w:rPr>
                <w:rFonts w:eastAsia="Calibri" w:asciiTheme="minorHAnsi" w:hAnsiTheme="minorHAnsi"/>
                <w:sz w:val="16"/>
                <w:szCs w:val="16"/>
              </w:rPr>
            </w:pPr>
            <w:r>
              <w:rPr>
                <w:rFonts w:eastAsia="Calibri" w:asciiTheme="minorHAnsi" w:hAnsiTheme="minorHAnsi"/>
                <w:sz w:val="16"/>
                <w:szCs w:val="16"/>
              </w:rPr>
              <w:t>4</w:t>
            </w:r>
          </w:p>
        </w:tc>
        <w:tc>
          <w:tcPr>
            <w:tcW w:w="1003"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19F19034" w14:textId="3698AF2E">
            <w:pPr>
              <w:jc w:val="center"/>
              <w:rPr>
                <w:rFonts w:eastAsia="Calibri" w:asciiTheme="minorHAnsi" w:hAnsiTheme="minorHAnsi"/>
                <w:sz w:val="16"/>
                <w:szCs w:val="16"/>
              </w:rPr>
            </w:pPr>
            <w:r>
              <w:rPr>
                <w:rFonts w:ascii="Calibri" w:hAnsi="Calibri" w:cs="Calibri"/>
                <w:color w:val="000000"/>
                <w:sz w:val="16"/>
                <w:szCs w:val="16"/>
              </w:rPr>
              <w:t>28</w:t>
            </w:r>
          </w:p>
        </w:tc>
        <w:tc>
          <w:tcPr>
            <w:tcW w:w="1129" w:type="dxa"/>
            <w:tcBorders>
              <w:left w:val="dashed" w:color="auto" w:sz="4" w:space="0"/>
              <w:bottom w:val="dotted" w:color="auto" w:sz="4" w:space="0"/>
            </w:tcBorders>
            <w:shd w:val="clear" w:color="auto" w:fill="auto"/>
            <w:vAlign w:val="center"/>
          </w:tcPr>
          <w:p w:rsidRPr="00A110F0" w:rsidR="00981561" w:rsidP="00303FB1" w:rsidRDefault="00981561" w14:paraId="6335ED29" w14:textId="6A3EB2EB">
            <w:pPr>
              <w:keepNext/>
              <w:jc w:val="center"/>
              <w:rPr>
                <w:rFonts w:eastAsia="Calibri" w:asciiTheme="minorHAnsi" w:hAnsiTheme="minorHAnsi"/>
                <w:sz w:val="16"/>
                <w:szCs w:val="16"/>
              </w:rPr>
            </w:pPr>
            <w:r>
              <w:rPr>
                <w:rFonts w:eastAsia="Calibri" w:asciiTheme="minorHAnsi" w:hAnsiTheme="minorHAnsi"/>
                <w:sz w:val="16"/>
                <w:szCs w:val="16"/>
              </w:rPr>
              <w:t>4</w:t>
            </w:r>
          </w:p>
        </w:tc>
        <w:tc>
          <w:tcPr>
            <w:tcW w:w="1129" w:type="dxa"/>
            <w:tcBorders>
              <w:bottom w:val="dotted" w:color="auto" w:sz="4" w:space="0"/>
              <w:right w:val="dashed" w:color="auto" w:sz="4" w:space="0"/>
            </w:tcBorders>
            <w:shd w:val="clear" w:color="auto" w:fill="auto"/>
            <w:vAlign w:val="center"/>
          </w:tcPr>
          <w:p w:rsidRPr="00A110F0" w:rsidR="00981561" w:rsidP="00303FB1" w:rsidRDefault="00981561" w14:paraId="26D828AB" w14:textId="0E0EE74E">
            <w:pPr>
              <w:jc w:val="center"/>
              <w:rPr>
                <w:rFonts w:eastAsia="Calibri" w:asciiTheme="minorHAnsi" w:hAnsiTheme="minorHAnsi"/>
                <w:sz w:val="16"/>
                <w:szCs w:val="16"/>
              </w:rPr>
            </w:pPr>
            <w:r>
              <w:rPr>
                <w:rFonts w:ascii="Calibri" w:hAnsi="Calibri" w:cs="Calibri"/>
                <w:color w:val="000000"/>
                <w:sz w:val="16"/>
                <w:szCs w:val="16"/>
              </w:rPr>
              <w:t>28</w:t>
            </w:r>
          </w:p>
        </w:tc>
        <w:tc>
          <w:tcPr>
            <w:tcW w:w="1130" w:type="dxa"/>
            <w:tcBorders>
              <w:left w:val="dashed" w:color="auto" w:sz="4" w:space="0"/>
              <w:bottom w:val="dotted" w:color="auto" w:sz="4" w:space="0"/>
            </w:tcBorders>
            <w:shd w:val="clear" w:color="auto" w:fill="auto"/>
            <w:vAlign w:val="center"/>
          </w:tcPr>
          <w:p w:rsidRPr="00A110F0" w:rsidR="00981561" w:rsidP="00303FB1" w:rsidRDefault="00981561" w14:paraId="4D9CFBBE" w14:textId="0DCDAF55">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bottom w:val="dotted" w:color="auto" w:sz="4" w:space="0"/>
            </w:tcBorders>
            <w:shd w:val="clear" w:color="auto" w:fill="auto"/>
            <w:vAlign w:val="center"/>
          </w:tcPr>
          <w:p w:rsidRPr="00A110F0" w:rsidR="00981561" w:rsidP="00A30761" w:rsidRDefault="00981561" w14:paraId="1A7276C7" w14:textId="7B9AF98E">
            <w:pPr>
              <w:rPr>
                <w:rFonts w:eastAsia="Calibri" w:asciiTheme="minorHAnsi" w:hAnsiTheme="minorHAnsi"/>
                <w:sz w:val="16"/>
                <w:szCs w:val="16"/>
              </w:rPr>
            </w:pPr>
            <w:r>
              <w:rPr>
                <w:rFonts w:eastAsia="Calibri" w:asciiTheme="minorHAnsi" w:hAnsiTheme="minorHAnsi"/>
                <w:sz w:val="16"/>
                <w:szCs w:val="16"/>
              </w:rPr>
              <w:t xml:space="preserve">Updated the number of respondents and </w:t>
            </w:r>
            <w:r w:rsidR="00A30761">
              <w:rPr>
                <w:rFonts w:eastAsia="Calibri" w:asciiTheme="minorHAnsi" w:hAnsiTheme="minorHAnsi"/>
                <w:sz w:val="16"/>
                <w:szCs w:val="16"/>
              </w:rPr>
              <w:t>responses</w:t>
            </w:r>
            <w:r>
              <w:rPr>
                <w:rFonts w:eastAsia="Calibri" w:asciiTheme="minorHAnsi" w:hAnsiTheme="minorHAnsi"/>
                <w:sz w:val="16"/>
                <w:szCs w:val="16"/>
              </w:rPr>
              <w:t>, and corrected the time to complete the application from 15 minutes to 1 hour.</w:t>
            </w:r>
          </w:p>
        </w:tc>
      </w:tr>
      <w:tr w:rsidRPr="00A110F0" w:rsidR="00981561" w:rsidTr="007C4980" w14:paraId="4A83CD29" w14:textId="77777777">
        <w:tc>
          <w:tcPr>
            <w:tcW w:w="2478" w:type="dxa"/>
            <w:shd w:val="clear" w:color="auto" w:fill="auto"/>
            <w:vAlign w:val="center"/>
          </w:tcPr>
          <w:p w:rsidRPr="00A110F0" w:rsidR="00981561" w:rsidP="00303FB1" w:rsidRDefault="00981561" w14:paraId="012D226B" w14:textId="3019EDF8">
            <w:pPr>
              <w:rPr>
                <w:rFonts w:asciiTheme="minorHAnsi" w:hAnsiTheme="minorHAnsi"/>
                <w:sz w:val="16"/>
                <w:szCs w:val="16"/>
              </w:rPr>
            </w:pPr>
            <w:r w:rsidRPr="00356932">
              <w:rPr>
                <w:rFonts w:asciiTheme="minorHAnsi" w:hAnsiTheme="minorHAnsi" w:cstheme="minorHAnsi"/>
                <w:sz w:val="16"/>
                <w:szCs w:val="16"/>
              </w:rPr>
              <w:t xml:space="preserve">IFQ Sablefish Request for Replacement of Longline Pot Gear </w:t>
            </w:r>
            <w:r w:rsidRPr="00335B61">
              <w:rPr>
                <w:rFonts w:asciiTheme="minorHAnsi" w:hAnsiTheme="minorHAnsi" w:cstheme="minorHAnsi"/>
                <w:sz w:val="16"/>
                <w:szCs w:val="16"/>
              </w:rPr>
              <w:t xml:space="preserve">Tags </w:t>
            </w:r>
          </w:p>
        </w:tc>
        <w:tc>
          <w:tcPr>
            <w:tcW w:w="1071"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3B8E10BA" w14:textId="3AD7FF76">
            <w:pPr>
              <w:jc w:val="center"/>
              <w:rPr>
                <w:rFonts w:eastAsia="Calibri" w:asciiTheme="minorHAnsi" w:hAnsiTheme="minorHAnsi"/>
                <w:sz w:val="16"/>
                <w:szCs w:val="16"/>
              </w:rPr>
            </w:pPr>
            <w:r w:rsidRPr="00796A25">
              <w:rPr>
                <w:rFonts w:ascii="Calibri" w:hAnsi="Calibri" w:cs="Calibri"/>
                <w:color w:val="000000"/>
                <w:sz w:val="16"/>
                <w:szCs w:val="16"/>
              </w:rPr>
              <w:t>3</w:t>
            </w:r>
          </w:p>
        </w:tc>
        <w:tc>
          <w:tcPr>
            <w:tcW w:w="1062" w:type="dxa"/>
            <w:tcBorders>
              <w:left w:val="dashed" w:color="auto" w:sz="4" w:space="0"/>
              <w:bottom w:val="dotted" w:color="auto" w:sz="4" w:space="0"/>
            </w:tcBorders>
            <w:shd w:val="clear" w:color="auto" w:fill="auto"/>
            <w:vAlign w:val="center"/>
          </w:tcPr>
          <w:p w:rsidRPr="00A110F0" w:rsidR="00981561" w:rsidP="00303FB1" w:rsidRDefault="00981561" w14:paraId="54248FB4" w14:textId="46D5C40F">
            <w:pPr>
              <w:keepNext/>
              <w:jc w:val="center"/>
              <w:rPr>
                <w:rFonts w:eastAsia="Calibri" w:asciiTheme="minorHAnsi" w:hAnsiTheme="minorHAnsi"/>
                <w:sz w:val="16"/>
                <w:szCs w:val="16"/>
              </w:rPr>
            </w:pPr>
            <w:r>
              <w:rPr>
                <w:rFonts w:eastAsia="Calibri" w:asciiTheme="minorHAnsi" w:hAnsiTheme="minorHAnsi"/>
                <w:sz w:val="16"/>
                <w:szCs w:val="16"/>
              </w:rPr>
              <w:t>2</w:t>
            </w:r>
          </w:p>
        </w:tc>
        <w:tc>
          <w:tcPr>
            <w:tcW w:w="1003"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19A9D36B" w14:textId="0399FC32">
            <w:pPr>
              <w:jc w:val="center"/>
              <w:rPr>
                <w:rFonts w:asciiTheme="minorHAnsi" w:hAnsiTheme="minorHAnsi"/>
                <w:sz w:val="16"/>
                <w:szCs w:val="16"/>
              </w:rPr>
            </w:pPr>
            <w:r>
              <w:rPr>
                <w:rFonts w:ascii="Calibri" w:hAnsi="Calibri" w:cs="Calibri"/>
                <w:color w:val="000000"/>
                <w:sz w:val="16"/>
                <w:szCs w:val="16"/>
              </w:rPr>
              <w:t>3</w:t>
            </w:r>
          </w:p>
        </w:tc>
        <w:tc>
          <w:tcPr>
            <w:tcW w:w="1129" w:type="dxa"/>
            <w:tcBorders>
              <w:left w:val="dashed" w:color="auto" w:sz="4" w:space="0"/>
              <w:bottom w:val="dotted" w:color="auto" w:sz="4" w:space="0"/>
            </w:tcBorders>
            <w:shd w:val="clear" w:color="auto" w:fill="auto"/>
            <w:vAlign w:val="center"/>
          </w:tcPr>
          <w:p w:rsidRPr="00A110F0" w:rsidR="00981561" w:rsidP="00303FB1" w:rsidRDefault="00981561" w14:paraId="23208059" w14:textId="3EF07386">
            <w:pPr>
              <w:keepNext/>
              <w:jc w:val="center"/>
              <w:rPr>
                <w:rFonts w:eastAsia="Calibri" w:asciiTheme="minorHAnsi" w:hAnsiTheme="minorHAnsi"/>
                <w:sz w:val="16"/>
                <w:szCs w:val="16"/>
              </w:rPr>
            </w:pPr>
            <w:r>
              <w:rPr>
                <w:rFonts w:eastAsia="Calibri" w:asciiTheme="minorHAnsi" w:hAnsiTheme="minorHAnsi"/>
                <w:sz w:val="16"/>
                <w:szCs w:val="16"/>
              </w:rPr>
              <w:t>2</w:t>
            </w:r>
          </w:p>
        </w:tc>
        <w:tc>
          <w:tcPr>
            <w:tcW w:w="1129" w:type="dxa"/>
            <w:tcBorders>
              <w:bottom w:val="dotted" w:color="auto" w:sz="4" w:space="0"/>
              <w:right w:val="dashed" w:color="auto" w:sz="4" w:space="0"/>
            </w:tcBorders>
            <w:shd w:val="clear" w:color="auto" w:fill="auto"/>
            <w:vAlign w:val="center"/>
          </w:tcPr>
          <w:p w:rsidRPr="00A110F0" w:rsidR="00981561" w:rsidP="00303FB1" w:rsidRDefault="00981561" w14:paraId="30E88CF5" w14:textId="740C9DD6">
            <w:pPr>
              <w:jc w:val="center"/>
              <w:rPr>
                <w:rFonts w:eastAsia="Calibri" w:asciiTheme="minorHAnsi" w:hAnsiTheme="minorHAnsi"/>
                <w:sz w:val="16"/>
                <w:szCs w:val="16"/>
              </w:rPr>
            </w:pPr>
            <w:r>
              <w:rPr>
                <w:rFonts w:ascii="Calibri" w:hAnsi="Calibri" w:cs="Calibri"/>
                <w:color w:val="000000"/>
                <w:sz w:val="16"/>
                <w:szCs w:val="16"/>
              </w:rPr>
              <w:t>3</w:t>
            </w:r>
          </w:p>
        </w:tc>
        <w:tc>
          <w:tcPr>
            <w:tcW w:w="1130" w:type="dxa"/>
            <w:tcBorders>
              <w:left w:val="dashed" w:color="auto" w:sz="4" w:space="0"/>
              <w:bottom w:val="dotted" w:color="auto" w:sz="4" w:space="0"/>
            </w:tcBorders>
            <w:shd w:val="clear" w:color="auto" w:fill="auto"/>
            <w:vAlign w:val="center"/>
          </w:tcPr>
          <w:p w:rsidRPr="00A110F0" w:rsidR="00981561" w:rsidP="00303FB1" w:rsidRDefault="00981561" w14:paraId="64745670" w14:textId="51DD25AE">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bottom w:val="dotted" w:color="auto" w:sz="4" w:space="0"/>
            </w:tcBorders>
            <w:shd w:val="clear" w:color="auto" w:fill="auto"/>
            <w:vAlign w:val="center"/>
          </w:tcPr>
          <w:p w:rsidRPr="00A110F0" w:rsidR="00981561" w:rsidP="00A30761" w:rsidRDefault="00981561" w14:paraId="5E24F2CF" w14:textId="4D711486">
            <w:pPr>
              <w:keepNext/>
              <w:rPr>
                <w:rFonts w:eastAsia="Calibri" w:asciiTheme="minorHAnsi" w:hAnsiTheme="minorHAnsi"/>
                <w:sz w:val="16"/>
                <w:szCs w:val="16"/>
              </w:rPr>
            </w:pPr>
            <w:r w:rsidRPr="00962BF2">
              <w:rPr>
                <w:rFonts w:eastAsia="Calibri" w:asciiTheme="minorHAnsi" w:hAnsiTheme="minorHAnsi"/>
                <w:sz w:val="16"/>
                <w:szCs w:val="16"/>
              </w:rPr>
              <w:t xml:space="preserve">Updated the number of respondents and </w:t>
            </w:r>
            <w:r w:rsidR="00A30761">
              <w:rPr>
                <w:rFonts w:eastAsia="Calibri" w:asciiTheme="minorHAnsi" w:hAnsiTheme="minorHAnsi"/>
                <w:sz w:val="16"/>
                <w:szCs w:val="16"/>
              </w:rPr>
              <w:t>responses</w:t>
            </w:r>
            <w:r w:rsidRPr="00962BF2">
              <w:rPr>
                <w:rFonts w:eastAsia="Calibri" w:asciiTheme="minorHAnsi" w:hAnsiTheme="minorHAnsi"/>
                <w:sz w:val="16"/>
                <w:szCs w:val="16"/>
              </w:rPr>
              <w:t>, and corrected the time to complete the application from 15 minutes to 1 hour.</w:t>
            </w:r>
          </w:p>
        </w:tc>
      </w:tr>
      <w:tr w:rsidRPr="00A110F0" w:rsidR="00981561" w:rsidTr="007C4980" w14:paraId="56B430C6" w14:textId="77777777">
        <w:tc>
          <w:tcPr>
            <w:tcW w:w="2478" w:type="dxa"/>
            <w:shd w:val="clear" w:color="auto" w:fill="auto"/>
            <w:vAlign w:val="center"/>
          </w:tcPr>
          <w:p w:rsidRPr="00A110F0" w:rsidR="00981561" w:rsidP="00303FB1" w:rsidRDefault="00981561" w14:paraId="17CA7494" w14:textId="7F30F5DA">
            <w:pPr>
              <w:rPr>
                <w:rFonts w:asciiTheme="minorHAnsi" w:hAnsiTheme="minorHAnsi"/>
                <w:sz w:val="16"/>
                <w:szCs w:val="16"/>
              </w:rPr>
            </w:pPr>
            <w:r w:rsidRPr="00676A3C">
              <w:rPr>
                <w:rFonts w:asciiTheme="minorHAnsi" w:hAnsiTheme="minorHAnsi"/>
                <w:sz w:val="16"/>
                <w:szCs w:val="16"/>
              </w:rPr>
              <w:t>Marking of Longline Pot Gear</w:t>
            </w:r>
          </w:p>
        </w:tc>
        <w:tc>
          <w:tcPr>
            <w:tcW w:w="1071"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4CE70EE8" w14:textId="0B701588">
            <w:pPr>
              <w:jc w:val="center"/>
              <w:rPr>
                <w:rFonts w:eastAsia="Calibri" w:asciiTheme="minorHAnsi" w:hAnsiTheme="minorHAnsi"/>
                <w:sz w:val="16"/>
                <w:szCs w:val="16"/>
              </w:rPr>
            </w:pPr>
            <w:r w:rsidRPr="00796A25">
              <w:rPr>
                <w:rFonts w:ascii="Calibri" w:hAnsi="Calibri" w:cs="Calibri"/>
                <w:color w:val="000000"/>
                <w:sz w:val="16"/>
                <w:szCs w:val="16"/>
              </w:rPr>
              <w:t>28</w:t>
            </w:r>
          </w:p>
        </w:tc>
        <w:tc>
          <w:tcPr>
            <w:tcW w:w="1062" w:type="dxa"/>
            <w:tcBorders>
              <w:left w:val="dashed" w:color="auto" w:sz="4" w:space="0"/>
              <w:bottom w:val="dotted" w:color="auto" w:sz="4" w:space="0"/>
            </w:tcBorders>
            <w:shd w:val="clear" w:color="auto" w:fill="auto"/>
            <w:vAlign w:val="center"/>
          </w:tcPr>
          <w:p w:rsidRPr="00A110F0" w:rsidR="00981561" w:rsidP="00303FB1" w:rsidRDefault="00981561" w14:paraId="5733BC83" w14:textId="5DE7D699">
            <w:pPr>
              <w:keepNext/>
              <w:jc w:val="center"/>
              <w:rPr>
                <w:rFonts w:eastAsia="Calibri" w:asciiTheme="minorHAnsi" w:hAnsiTheme="minorHAnsi"/>
                <w:sz w:val="16"/>
                <w:szCs w:val="16"/>
              </w:rPr>
            </w:pPr>
            <w:r>
              <w:rPr>
                <w:rFonts w:eastAsia="Calibri" w:asciiTheme="minorHAnsi" w:hAnsiTheme="minorHAnsi"/>
                <w:sz w:val="16"/>
                <w:szCs w:val="16"/>
              </w:rPr>
              <w:t>4</w:t>
            </w:r>
          </w:p>
        </w:tc>
        <w:tc>
          <w:tcPr>
            <w:tcW w:w="1003" w:type="dxa"/>
            <w:tcBorders>
              <w:top w:val="nil"/>
              <w:left w:val="nil"/>
              <w:bottom w:val="single" w:color="auto" w:sz="4" w:space="0"/>
              <w:right w:val="single" w:color="auto" w:sz="4" w:space="0"/>
            </w:tcBorders>
            <w:shd w:val="clear" w:color="auto" w:fill="auto"/>
            <w:vAlign w:val="center"/>
          </w:tcPr>
          <w:p w:rsidRPr="00A110F0" w:rsidR="00981561" w:rsidP="00303FB1" w:rsidRDefault="00981561" w14:paraId="76D3CC72" w14:textId="456CBD91">
            <w:pPr>
              <w:jc w:val="center"/>
              <w:rPr>
                <w:rFonts w:asciiTheme="minorHAnsi" w:hAnsiTheme="minorHAnsi"/>
                <w:sz w:val="16"/>
                <w:szCs w:val="16"/>
              </w:rPr>
            </w:pPr>
            <w:r>
              <w:rPr>
                <w:rFonts w:ascii="Calibri" w:hAnsi="Calibri" w:cs="Calibri"/>
                <w:color w:val="000000"/>
                <w:sz w:val="16"/>
                <w:szCs w:val="16"/>
              </w:rPr>
              <w:t>224</w:t>
            </w:r>
          </w:p>
        </w:tc>
        <w:tc>
          <w:tcPr>
            <w:tcW w:w="1129" w:type="dxa"/>
            <w:tcBorders>
              <w:left w:val="dashed" w:color="auto" w:sz="4" w:space="0"/>
              <w:bottom w:val="dotted" w:color="auto" w:sz="4" w:space="0"/>
            </w:tcBorders>
            <w:shd w:val="clear" w:color="auto" w:fill="auto"/>
            <w:vAlign w:val="center"/>
          </w:tcPr>
          <w:p w:rsidRPr="00A110F0" w:rsidR="00981561" w:rsidP="00303FB1" w:rsidRDefault="00981561" w14:paraId="36572FF8" w14:textId="6DAADF5B">
            <w:pPr>
              <w:keepNext/>
              <w:jc w:val="center"/>
              <w:rPr>
                <w:rFonts w:eastAsia="Calibri" w:asciiTheme="minorHAnsi" w:hAnsiTheme="minorHAnsi"/>
                <w:sz w:val="16"/>
                <w:szCs w:val="16"/>
              </w:rPr>
            </w:pPr>
            <w:r>
              <w:rPr>
                <w:rFonts w:eastAsia="Calibri" w:asciiTheme="minorHAnsi" w:hAnsiTheme="minorHAnsi"/>
                <w:sz w:val="16"/>
                <w:szCs w:val="16"/>
              </w:rPr>
              <w:t>4</w:t>
            </w:r>
          </w:p>
        </w:tc>
        <w:tc>
          <w:tcPr>
            <w:tcW w:w="1129" w:type="dxa"/>
            <w:tcBorders>
              <w:bottom w:val="dotted" w:color="auto" w:sz="4" w:space="0"/>
              <w:right w:val="dashed" w:color="auto" w:sz="4" w:space="0"/>
            </w:tcBorders>
            <w:shd w:val="clear" w:color="auto" w:fill="auto"/>
            <w:vAlign w:val="center"/>
          </w:tcPr>
          <w:p w:rsidRPr="00A110F0" w:rsidR="00981561" w:rsidP="00981561" w:rsidRDefault="00981561" w14:paraId="49D80EFD" w14:textId="3ABB951D">
            <w:pPr>
              <w:jc w:val="center"/>
              <w:rPr>
                <w:rFonts w:eastAsia="Calibri" w:asciiTheme="minorHAnsi" w:hAnsiTheme="minorHAnsi"/>
                <w:sz w:val="16"/>
                <w:szCs w:val="16"/>
              </w:rPr>
            </w:pPr>
            <w:r>
              <w:rPr>
                <w:rFonts w:ascii="Calibri" w:hAnsi="Calibri" w:cs="Calibri"/>
                <w:color w:val="000000"/>
                <w:sz w:val="16"/>
                <w:szCs w:val="16"/>
              </w:rPr>
              <w:t>56</w:t>
            </w:r>
          </w:p>
        </w:tc>
        <w:tc>
          <w:tcPr>
            <w:tcW w:w="1130" w:type="dxa"/>
            <w:tcBorders>
              <w:left w:val="dashed" w:color="auto" w:sz="4" w:space="0"/>
              <w:bottom w:val="dotted" w:color="auto" w:sz="4" w:space="0"/>
            </w:tcBorders>
            <w:shd w:val="clear" w:color="auto" w:fill="auto"/>
            <w:vAlign w:val="center"/>
          </w:tcPr>
          <w:p w:rsidRPr="00A110F0" w:rsidR="00981561" w:rsidP="00303FB1" w:rsidRDefault="00981561" w14:paraId="00C3EE35" w14:textId="7D944582">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bottom w:val="dotted" w:color="auto" w:sz="4" w:space="0"/>
            </w:tcBorders>
            <w:shd w:val="clear" w:color="auto" w:fill="auto"/>
            <w:vAlign w:val="center"/>
          </w:tcPr>
          <w:p w:rsidRPr="00A110F0" w:rsidR="00981561" w:rsidP="00A30761" w:rsidRDefault="00981561" w14:paraId="7796291D" w14:textId="5F6E38D6">
            <w:pPr>
              <w:keepNext/>
              <w:rPr>
                <w:rFonts w:eastAsia="Calibri" w:asciiTheme="minorHAnsi" w:hAnsiTheme="minorHAnsi"/>
                <w:sz w:val="16"/>
                <w:szCs w:val="16"/>
              </w:rPr>
            </w:pPr>
            <w:r w:rsidRPr="00962BF2">
              <w:rPr>
                <w:rFonts w:eastAsia="Calibri" w:asciiTheme="minorHAnsi" w:hAnsiTheme="minorHAnsi"/>
                <w:sz w:val="16"/>
                <w:szCs w:val="16"/>
              </w:rPr>
              <w:t xml:space="preserve">Updated the number of respondents and </w:t>
            </w:r>
            <w:r w:rsidR="00A30761">
              <w:rPr>
                <w:rFonts w:eastAsia="Calibri" w:asciiTheme="minorHAnsi" w:hAnsiTheme="minorHAnsi"/>
                <w:sz w:val="16"/>
                <w:szCs w:val="16"/>
              </w:rPr>
              <w:t>r</w:t>
            </w:r>
            <w:r w:rsidR="00881E5A">
              <w:rPr>
                <w:rFonts w:eastAsia="Calibri" w:asciiTheme="minorHAnsi" w:hAnsiTheme="minorHAnsi"/>
                <w:sz w:val="16"/>
                <w:szCs w:val="16"/>
              </w:rPr>
              <w:t>esponses, and corrected the way annual responses is calculated</w:t>
            </w:r>
          </w:p>
        </w:tc>
      </w:tr>
      <w:tr w:rsidRPr="006507A7" w:rsidR="00981561" w:rsidTr="005E6D68" w14:paraId="6AB8D82A" w14:textId="77777777">
        <w:tc>
          <w:tcPr>
            <w:tcW w:w="2478" w:type="dxa"/>
            <w:shd w:val="clear" w:color="auto" w:fill="BDD6EE" w:themeFill="accent1" w:themeFillTint="66"/>
            <w:vAlign w:val="center"/>
          </w:tcPr>
          <w:p w:rsidRPr="006507A7" w:rsidR="00981561" w:rsidP="00391ADD" w:rsidRDefault="00981561" w14:paraId="239D22AF" w14:textId="77777777">
            <w:pPr>
              <w:keepNext/>
              <w:jc w:val="center"/>
              <w:rPr>
                <w:rFonts w:eastAsia="Calibri" w:asciiTheme="minorHAnsi" w:hAnsiTheme="minorHAnsi"/>
                <w:b/>
                <w:sz w:val="16"/>
                <w:szCs w:val="16"/>
              </w:rPr>
            </w:pPr>
            <w:r w:rsidRPr="006507A7">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6507A7" w:rsidR="00981561" w:rsidP="00391ADD" w:rsidRDefault="006C01E6" w14:paraId="5E484B3F" w14:textId="32996583">
            <w:pPr>
              <w:keepNext/>
              <w:jc w:val="center"/>
              <w:rPr>
                <w:rFonts w:eastAsia="Calibri" w:asciiTheme="minorHAnsi" w:hAnsiTheme="minorHAnsi"/>
                <w:b/>
                <w:sz w:val="16"/>
                <w:szCs w:val="16"/>
              </w:rPr>
            </w:pPr>
            <w:r>
              <w:rPr>
                <w:rFonts w:eastAsia="Calibri" w:asciiTheme="minorHAnsi" w:hAnsiTheme="minorHAnsi"/>
                <w:b/>
                <w:sz w:val="16"/>
                <w:szCs w:val="16"/>
              </w:rPr>
              <w:t>8</w:t>
            </w:r>
            <w:r w:rsidR="00C66BE3">
              <w:rPr>
                <w:rFonts w:eastAsia="Calibri" w:asciiTheme="minorHAnsi" w:hAnsiTheme="minorHAnsi"/>
                <w:b/>
                <w:sz w:val="16"/>
                <w:szCs w:val="16"/>
              </w:rPr>
              <w:t>58</w:t>
            </w:r>
          </w:p>
        </w:tc>
        <w:tc>
          <w:tcPr>
            <w:tcW w:w="1062" w:type="dxa"/>
            <w:tcBorders>
              <w:left w:val="dashed" w:color="auto" w:sz="4" w:space="0"/>
            </w:tcBorders>
            <w:shd w:val="clear" w:color="auto" w:fill="BDD6EE" w:themeFill="accent1" w:themeFillTint="66"/>
            <w:vAlign w:val="center"/>
          </w:tcPr>
          <w:p w:rsidRPr="006507A7" w:rsidR="00981561" w:rsidP="00391ADD" w:rsidRDefault="00C66BE3" w14:paraId="167B8828" w14:textId="108ED520">
            <w:pPr>
              <w:keepNext/>
              <w:jc w:val="center"/>
              <w:rPr>
                <w:rFonts w:eastAsia="Calibri" w:asciiTheme="minorHAnsi" w:hAnsiTheme="minorHAnsi"/>
                <w:b/>
                <w:sz w:val="16"/>
                <w:szCs w:val="16"/>
              </w:rPr>
            </w:pPr>
            <w:r>
              <w:rPr>
                <w:rFonts w:eastAsia="Calibri" w:asciiTheme="minorHAnsi" w:hAnsiTheme="minorHAnsi"/>
                <w:b/>
                <w:sz w:val="16"/>
                <w:szCs w:val="16"/>
              </w:rPr>
              <w:t>990</w:t>
            </w:r>
          </w:p>
        </w:tc>
        <w:tc>
          <w:tcPr>
            <w:tcW w:w="1003" w:type="dxa"/>
            <w:tcBorders>
              <w:right w:val="dashed" w:color="auto" w:sz="4" w:space="0"/>
            </w:tcBorders>
            <w:shd w:val="clear" w:color="auto" w:fill="BDD6EE" w:themeFill="accent1" w:themeFillTint="66"/>
            <w:vAlign w:val="center"/>
          </w:tcPr>
          <w:p w:rsidRPr="006507A7" w:rsidR="00981561" w:rsidP="00391ADD" w:rsidRDefault="00981561" w14:paraId="1C2318F6" w14:textId="77B12E60">
            <w:pPr>
              <w:keepNext/>
              <w:jc w:val="center"/>
              <w:rPr>
                <w:rFonts w:eastAsia="Calibri" w:asciiTheme="minorHAnsi" w:hAnsiTheme="minorHAnsi"/>
                <w:b/>
                <w:sz w:val="16"/>
                <w:szCs w:val="16"/>
              </w:rPr>
            </w:pPr>
            <w:r w:rsidRPr="006507A7">
              <w:rPr>
                <w:rFonts w:ascii="Calibri" w:hAnsi="Calibri" w:cs="Calibri"/>
                <w:b/>
                <w:bCs/>
                <w:color w:val="000000"/>
                <w:sz w:val="16"/>
                <w:szCs w:val="16"/>
              </w:rPr>
              <w:t>6,249</w:t>
            </w:r>
          </w:p>
        </w:tc>
        <w:tc>
          <w:tcPr>
            <w:tcW w:w="1129" w:type="dxa"/>
            <w:tcBorders>
              <w:left w:val="dashed" w:color="auto" w:sz="4" w:space="0"/>
            </w:tcBorders>
            <w:shd w:val="clear" w:color="auto" w:fill="BDD6EE" w:themeFill="accent1" w:themeFillTint="66"/>
            <w:vAlign w:val="center"/>
          </w:tcPr>
          <w:p w:rsidRPr="006507A7" w:rsidR="00981561" w:rsidP="00391ADD" w:rsidRDefault="00981561" w14:paraId="09815236" w14:textId="7F7D0813">
            <w:pPr>
              <w:keepNext/>
              <w:jc w:val="center"/>
              <w:rPr>
                <w:rFonts w:eastAsia="Calibri" w:asciiTheme="minorHAnsi" w:hAnsiTheme="minorHAnsi"/>
                <w:b/>
                <w:sz w:val="16"/>
                <w:szCs w:val="16"/>
              </w:rPr>
            </w:pPr>
            <w:r w:rsidRPr="006507A7">
              <w:rPr>
                <w:rFonts w:eastAsia="Calibri" w:asciiTheme="minorHAnsi" w:hAnsiTheme="minorHAnsi"/>
                <w:b/>
                <w:sz w:val="16"/>
                <w:szCs w:val="16"/>
              </w:rPr>
              <w:t>7,360</w:t>
            </w:r>
          </w:p>
        </w:tc>
        <w:tc>
          <w:tcPr>
            <w:tcW w:w="1129" w:type="dxa"/>
            <w:tcBorders>
              <w:right w:val="dashed" w:color="auto" w:sz="4" w:space="0"/>
            </w:tcBorders>
            <w:shd w:val="clear" w:color="auto" w:fill="BDD6EE" w:themeFill="accent1" w:themeFillTint="66"/>
            <w:vAlign w:val="center"/>
          </w:tcPr>
          <w:p w:rsidRPr="006507A7" w:rsidR="00981561" w:rsidP="00391ADD" w:rsidRDefault="00981561" w14:paraId="413BA7FA" w14:textId="49543A20">
            <w:pPr>
              <w:keepNext/>
              <w:jc w:val="center"/>
              <w:rPr>
                <w:rFonts w:eastAsia="Calibri" w:asciiTheme="minorHAnsi" w:hAnsiTheme="minorHAnsi"/>
                <w:b/>
                <w:sz w:val="16"/>
                <w:szCs w:val="16"/>
              </w:rPr>
            </w:pPr>
            <w:r w:rsidRPr="006507A7">
              <w:rPr>
                <w:rFonts w:ascii="Calibri" w:hAnsi="Calibri" w:cs="Calibri"/>
                <w:b/>
                <w:bCs/>
                <w:color w:val="000000"/>
                <w:sz w:val="16"/>
                <w:szCs w:val="16"/>
              </w:rPr>
              <w:t>1,586</w:t>
            </w:r>
          </w:p>
        </w:tc>
        <w:tc>
          <w:tcPr>
            <w:tcW w:w="1130" w:type="dxa"/>
            <w:tcBorders>
              <w:left w:val="dashed" w:color="auto" w:sz="4" w:space="0"/>
            </w:tcBorders>
            <w:shd w:val="clear" w:color="auto" w:fill="BDD6EE" w:themeFill="accent1" w:themeFillTint="66"/>
            <w:vAlign w:val="center"/>
          </w:tcPr>
          <w:p w:rsidRPr="006507A7" w:rsidR="00981561" w:rsidP="00391ADD" w:rsidRDefault="00981561" w14:paraId="28A7EACD" w14:textId="42326B23">
            <w:pPr>
              <w:keepNext/>
              <w:jc w:val="center"/>
              <w:rPr>
                <w:rFonts w:eastAsia="Calibri" w:asciiTheme="minorHAnsi" w:hAnsiTheme="minorHAnsi"/>
                <w:b/>
                <w:sz w:val="16"/>
                <w:szCs w:val="16"/>
              </w:rPr>
            </w:pPr>
            <w:r w:rsidRPr="006507A7">
              <w:rPr>
                <w:rFonts w:eastAsia="Calibri" w:asciiTheme="minorHAnsi" w:hAnsiTheme="minorHAnsi"/>
                <w:b/>
                <w:sz w:val="16"/>
                <w:szCs w:val="16"/>
              </w:rPr>
              <w:t>1,841</w:t>
            </w:r>
          </w:p>
        </w:tc>
        <w:tc>
          <w:tcPr>
            <w:tcW w:w="4390" w:type="dxa"/>
            <w:tcBorders>
              <w:left w:val="dotted" w:color="auto" w:sz="4" w:space="0"/>
            </w:tcBorders>
            <w:shd w:val="clear" w:color="auto" w:fill="000000" w:themeFill="text1"/>
            <w:vAlign w:val="center"/>
          </w:tcPr>
          <w:p w:rsidRPr="006507A7" w:rsidR="00981561" w:rsidP="00391ADD" w:rsidRDefault="00981561" w14:paraId="4CE7912A" w14:textId="77777777">
            <w:pPr>
              <w:keepNext/>
              <w:jc w:val="center"/>
              <w:rPr>
                <w:rFonts w:eastAsia="Calibri" w:asciiTheme="minorHAnsi" w:hAnsiTheme="minorHAnsi"/>
                <w:b/>
                <w:sz w:val="16"/>
                <w:szCs w:val="16"/>
              </w:rPr>
            </w:pPr>
          </w:p>
        </w:tc>
      </w:tr>
      <w:tr w:rsidRPr="006507A7" w:rsidR="005E6D68" w:rsidTr="00BE538D" w14:paraId="4BB59B17" w14:textId="77777777">
        <w:tc>
          <w:tcPr>
            <w:tcW w:w="2478" w:type="dxa"/>
            <w:shd w:val="clear" w:color="auto" w:fill="FBE4D5" w:themeFill="accent2" w:themeFillTint="33"/>
            <w:vAlign w:val="center"/>
          </w:tcPr>
          <w:p w:rsidRPr="006507A7" w:rsidR="005E6D68" w:rsidP="00391ADD" w:rsidRDefault="005E6D68" w14:paraId="36FD64ED" w14:textId="19214003">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5E6D68" w:rsidP="00391ADD" w:rsidRDefault="005E6D68" w14:paraId="04A01E24" w14:textId="1EA75F1D">
            <w:pPr>
              <w:keepNext/>
              <w:jc w:val="center"/>
              <w:rPr>
                <w:rFonts w:eastAsia="Calibri" w:asciiTheme="minorHAnsi" w:hAnsiTheme="minorHAnsi"/>
                <w:b/>
                <w:sz w:val="16"/>
                <w:szCs w:val="16"/>
              </w:rPr>
            </w:pPr>
            <w:r>
              <w:rPr>
                <w:rFonts w:eastAsia="Calibri" w:asciiTheme="minorHAnsi" w:hAnsiTheme="minorHAnsi"/>
                <w:b/>
                <w:sz w:val="16"/>
                <w:szCs w:val="16"/>
              </w:rPr>
              <w:t>-132</w:t>
            </w:r>
          </w:p>
        </w:tc>
        <w:tc>
          <w:tcPr>
            <w:tcW w:w="2132" w:type="dxa"/>
            <w:gridSpan w:val="2"/>
            <w:tcBorders>
              <w:bottom w:val="single" w:color="auto" w:sz="4" w:space="0"/>
            </w:tcBorders>
            <w:shd w:val="clear" w:color="auto" w:fill="FBE4D5" w:themeFill="accent2" w:themeFillTint="33"/>
            <w:vAlign w:val="center"/>
          </w:tcPr>
          <w:p w:rsidRPr="006507A7" w:rsidR="005E6D68" w:rsidP="00391ADD" w:rsidRDefault="005E6D68" w14:paraId="5959284F" w14:textId="03FC1D53">
            <w:pPr>
              <w:keepNext/>
              <w:jc w:val="center"/>
              <w:rPr>
                <w:rFonts w:eastAsia="Calibri" w:asciiTheme="minorHAnsi" w:hAnsiTheme="minorHAnsi"/>
                <w:b/>
                <w:sz w:val="16"/>
                <w:szCs w:val="16"/>
              </w:rPr>
            </w:pPr>
            <w:r>
              <w:rPr>
                <w:rFonts w:eastAsia="Calibri" w:asciiTheme="minorHAnsi" w:hAnsiTheme="minorHAnsi"/>
                <w:b/>
                <w:sz w:val="16"/>
                <w:szCs w:val="16"/>
              </w:rPr>
              <w:t>-1,111</w:t>
            </w:r>
          </w:p>
        </w:tc>
        <w:tc>
          <w:tcPr>
            <w:tcW w:w="2259" w:type="dxa"/>
            <w:gridSpan w:val="2"/>
            <w:shd w:val="clear" w:color="auto" w:fill="FBE4D5" w:themeFill="accent2" w:themeFillTint="33"/>
            <w:vAlign w:val="center"/>
          </w:tcPr>
          <w:p w:rsidRPr="006507A7" w:rsidR="005E6D68" w:rsidP="00391ADD" w:rsidRDefault="005E6D68" w14:paraId="71AD362D" w14:textId="16D2B21A">
            <w:pPr>
              <w:keepNext/>
              <w:jc w:val="center"/>
              <w:rPr>
                <w:rFonts w:eastAsia="Calibri" w:asciiTheme="minorHAnsi" w:hAnsiTheme="minorHAnsi"/>
                <w:b/>
                <w:sz w:val="16"/>
                <w:szCs w:val="16"/>
              </w:rPr>
            </w:pPr>
            <w:r>
              <w:rPr>
                <w:rFonts w:eastAsia="Calibri" w:asciiTheme="minorHAnsi" w:hAnsiTheme="minorHAnsi"/>
                <w:b/>
                <w:sz w:val="16"/>
                <w:szCs w:val="16"/>
              </w:rPr>
              <w:t>-255</w:t>
            </w:r>
          </w:p>
        </w:tc>
        <w:tc>
          <w:tcPr>
            <w:tcW w:w="4390" w:type="dxa"/>
            <w:tcBorders>
              <w:left w:val="dotted" w:color="auto" w:sz="4" w:space="0"/>
            </w:tcBorders>
            <w:shd w:val="clear" w:color="auto" w:fill="000000" w:themeFill="text1"/>
            <w:vAlign w:val="center"/>
          </w:tcPr>
          <w:p w:rsidRPr="006507A7" w:rsidR="005E6D68" w:rsidP="00391ADD" w:rsidRDefault="005E6D68" w14:paraId="1D045ECD" w14:textId="77777777">
            <w:pPr>
              <w:keepNext/>
              <w:jc w:val="center"/>
              <w:rPr>
                <w:rFonts w:eastAsia="Calibri" w:asciiTheme="minorHAnsi" w:hAnsiTheme="minorHAnsi"/>
                <w:b/>
                <w:sz w:val="16"/>
                <w:szCs w:val="16"/>
              </w:rPr>
            </w:pPr>
          </w:p>
        </w:tc>
      </w:tr>
    </w:tbl>
    <w:p w:rsidRPr="006507A7" w:rsidR="00732713" w:rsidP="00784D9F" w:rsidRDefault="00732713" w14:paraId="5049B047" w14:textId="77777777">
      <w:pPr>
        <w:tabs>
          <w:tab w:val="left" w:pos="540"/>
        </w:tabs>
        <w:ind w:left="540"/>
        <w:rPr>
          <w:rFonts w:asciiTheme="minorHAnsi" w:hAnsiTheme="minorHAnsi"/>
          <w:sz w:val="16"/>
          <w:szCs w:val="16"/>
        </w:rPr>
      </w:pPr>
    </w:p>
    <w:tbl>
      <w:tblPr>
        <w:tblW w:w="13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A110F0" w:rsidR="00A110F0" w:rsidTr="00881E5A" w14:paraId="4721A933" w14:textId="77777777">
        <w:trPr>
          <w:jc w:val="center"/>
        </w:trPr>
        <w:tc>
          <w:tcPr>
            <w:tcW w:w="2478" w:type="dxa"/>
            <w:vMerge w:val="restart"/>
            <w:shd w:val="clear" w:color="auto" w:fill="5B9BD5" w:themeFill="accent1"/>
            <w:vAlign w:val="center"/>
          </w:tcPr>
          <w:p w:rsidRPr="00A110F0" w:rsidR="00A110F0" w:rsidP="00A110F0" w:rsidRDefault="00A110F0" w14:paraId="35FC78A6"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31AD3E8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5E4408FF"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6177" w:type="dxa"/>
            <w:vMerge w:val="restart"/>
            <w:tcBorders>
              <w:right w:val="single" w:color="auto" w:sz="4" w:space="0"/>
            </w:tcBorders>
            <w:shd w:val="clear" w:color="auto" w:fill="5B9BD5" w:themeFill="accent1"/>
            <w:vAlign w:val="center"/>
          </w:tcPr>
          <w:p w:rsidRPr="00A110F0" w:rsidR="00A110F0" w:rsidP="00A110F0" w:rsidRDefault="00A110F0" w14:paraId="7319FD91"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881E5A" w14:paraId="5F893273" w14:textId="77777777">
        <w:trPr>
          <w:jc w:val="center"/>
        </w:trPr>
        <w:tc>
          <w:tcPr>
            <w:tcW w:w="2478" w:type="dxa"/>
            <w:vMerge/>
            <w:shd w:val="clear" w:color="auto" w:fill="5B9BD5" w:themeFill="accent1"/>
            <w:vAlign w:val="center"/>
          </w:tcPr>
          <w:p w:rsidRPr="00A110F0" w:rsidR="00A110F0" w:rsidP="00FD3D2A" w:rsidRDefault="00A110F0" w14:paraId="7164D760"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44A7738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67074952"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1D94BBB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6DF2F92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6177" w:type="dxa"/>
            <w:vMerge/>
            <w:tcBorders>
              <w:right w:val="single" w:color="auto" w:sz="4" w:space="0"/>
            </w:tcBorders>
            <w:shd w:val="clear" w:color="auto" w:fill="FBE4D5"/>
            <w:vAlign w:val="center"/>
          </w:tcPr>
          <w:p w:rsidRPr="00A110F0" w:rsidR="00A110F0" w:rsidP="00FD3D2A" w:rsidRDefault="00A110F0" w14:paraId="1D4E4A68" w14:textId="77777777">
            <w:pPr>
              <w:keepNext/>
              <w:rPr>
                <w:rFonts w:eastAsia="Calibri" w:asciiTheme="minorHAnsi" w:hAnsiTheme="minorHAnsi"/>
                <w:sz w:val="16"/>
                <w:szCs w:val="16"/>
              </w:rPr>
            </w:pPr>
          </w:p>
        </w:tc>
      </w:tr>
      <w:tr w:rsidRPr="00A110F0" w:rsidR="001403DC" w:rsidTr="00881E5A" w14:paraId="1D65CC0A" w14:textId="77777777">
        <w:trPr>
          <w:jc w:val="center"/>
        </w:trPr>
        <w:tc>
          <w:tcPr>
            <w:tcW w:w="2478" w:type="dxa"/>
            <w:shd w:val="clear" w:color="auto" w:fill="auto"/>
            <w:vAlign w:val="center"/>
          </w:tcPr>
          <w:p w:rsidRPr="00A110F0" w:rsidR="001403DC" w:rsidP="004F561E" w:rsidRDefault="001403DC" w14:paraId="4F3801F5" w14:textId="77777777">
            <w:pPr>
              <w:keepNext/>
              <w:rPr>
                <w:rFonts w:eastAsia="Calibri" w:asciiTheme="minorHAnsi" w:hAnsiTheme="minorHAnsi"/>
                <w:sz w:val="16"/>
                <w:szCs w:val="16"/>
              </w:rPr>
            </w:pPr>
            <w:r w:rsidRPr="00676A3C">
              <w:rPr>
                <w:rFonts w:eastAsia="Calibri" w:asciiTheme="minorHAnsi" w:hAnsiTheme="minorHAnsi"/>
                <w:sz w:val="16"/>
                <w:szCs w:val="16"/>
              </w:rPr>
              <w:t>Groundfish Hook-and-line Marker Buoys</w:t>
            </w:r>
          </w:p>
        </w:tc>
        <w:tc>
          <w:tcPr>
            <w:tcW w:w="1251" w:type="dxa"/>
            <w:tcBorders>
              <w:bottom w:val="dotted" w:color="auto" w:sz="4" w:space="0"/>
              <w:right w:val="dashSmallGap" w:color="auto" w:sz="4" w:space="0"/>
            </w:tcBorders>
            <w:shd w:val="clear" w:color="auto" w:fill="auto"/>
            <w:vAlign w:val="center"/>
          </w:tcPr>
          <w:p w:rsidRPr="00A110F0" w:rsidR="001403DC" w:rsidP="004F561E" w:rsidRDefault="001403DC" w14:paraId="32AFE347" w14:textId="43F01B10">
            <w:pPr>
              <w:jc w:val="center"/>
              <w:rPr>
                <w:rFonts w:asciiTheme="minorHAnsi" w:hAnsiTheme="minorHAnsi"/>
                <w:color w:val="000000"/>
                <w:sz w:val="16"/>
                <w:szCs w:val="16"/>
              </w:rPr>
            </w:pPr>
            <w:r>
              <w:rPr>
                <w:rFonts w:ascii="Calibri" w:hAnsi="Calibri" w:cs="Calibri"/>
                <w:color w:val="000000"/>
                <w:sz w:val="16"/>
                <w:szCs w:val="16"/>
              </w:rPr>
              <w:t>35,736</w:t>
            </w:r>
          </w:p>
        </w:tc>
        <w:tc>
          <w:tcPr>
            <w:tcW w:w="1155" w:type="dxa"/>
            <w:tcBorders>
              <w:left w:val="dashSmallGap" w:color="auto" w:sz="4" w:space="0"/>
              <w:bottom w:val="dotted" w:color="auto" w:sz="4" w:space="0"/>
            </w:tcBorders>
            <w:shd w:val="clear" w:color="auto" w:fill="auto"/>
            <w:vAlign w:val="center"/>
          </w:tcPr>
          <w:p w:rsidRPr="00A110F0" w:rsidR="001403DC" w:rsidP="004F561E" w:rsidRDefault="001403DC" w14:paraId="20AEFB61" w14:textId="77777777">
            <w:pPr>
              <w:keepNext/>
              <w:jc w:val="center"/>
              <w:rPr>
                <w:rFonts w:eastAsia="Calibri" w:asciiTheme="minorHAnsi" w:hAnsiTheme="minorHAnsi"/>
                <w:sz w:val="16"/>
                <w:szCs w:val="16"/>
              </w:rPr>
            </w:pPr>
            <w:r>
              <w:rPr>
                <w:rFonts w:eastAsia="Calibri" w:asciiTheme="minorHAnsi" w:hAnsiTheme="minorHAnsi"/>
                <w:sz w:val="16"/>
                <w:szCs w:val="16"/>
              </w:rPr>
              <w:t>27,570</w:t>
            </w:r>
          </w:p>
        </w:tc>
        <w:tc>
          <w:tcPr>
            <w:tcW w:w="1058" w:type="dxa"/>
            <w:tcBorders>
              <w:left w:val="dotted" w:color="auto" w:sz="4" w:space="0"/>
              <w:bottom w:val="dotted" w:color="auto" w:sz="4" w:space="0"/>
              <w:right w:val="dashSmallGap" w:color="auto" w:sz="4" w:space="0"/>
            </w:tcBorders>
            <w:vAlign w:val="center"/>
          </w:tcPr>
          <w:p w:rsidRPr="00A110F0" w:rsidR="001403DC" w:rsidP="004F561E" w:rsidRDefault="001403DC" w14:paraId="73EE70E2" w14:textId="42C26983">
            <w:pPr>
              <w:keepNext/>
              <w:jc w:val="center"/>
              <w:rPr>
                <w:rFonts w:eastAsia="Calibri" w:asciiTheme="minorHAnsi" w:hAnsiTheme="minorHAnsi"/>
                <w:sz w:val="16"/>
                <w:szCs w:val="16"/>
                <w:highlight w:val="cyan"/>
              </w:rPr>
            </w:pPr>
            <w:r>
              <w:rPr>
                <w:rFonts w:ascii="Calibri" w:hAnsi="Calibri" w:cs="Calibri"/>
                <w:color w:val="000000"/>
                <w:sz w:val="16"/>
                <w:szCs w:val="16"/>
              </w:rPr>
              <w:t>11,985</w:t>
            </w:r>
          </w:p>
        </w:tc>
        <w:tc>
          <w:tcPr>
            <w:tcW w:w="1252" w:type="dxa"/>
            <w:tcBorders>
              <w:left w:val="dashSmallGap" w:color="auto" w:sz="4" w:space="0"/>
              <w:bottom w:val="dotted" w:color="auto" w:sz="4" w:space="0"/>
              <w:right w:val="single" w:color="auto" w:sz="4" w:space="0"/>
            </w:tcBorders>
            <w:vAlign w:val="center"/>
          </w:tcPr>
          <w:p w:rsidRPr="00A110F0" w:rsidR="001403DC" w:rsidP="004F561E" w:rsidRDefault="001403DC" w14:paraId="1D6D743B" w14:textId="77777777">
            <w:pPr>
              <w:keepNext/>
              <w:jc w:val="center"/>
              <w:rPr>
                <w:rFonts w:eastAsia="Calibri" w:asciiTheme="minorHAnsi" w:hAnsiTheme="minorHAnsi"/>
                <w:sz w:val="16"/>
                <w:szCs w:val="16"/>
              </w:rPr>
            </w:pPr>
            <w:r>
              <w:rPr>
                <w:rFonts w:eastAsia="Calibri" w:asciiTheme="minorHAnsi" w:hAnsiTheme="minorHAnsi"/>
                <w:sz w:val="16"/>
                <w:szCs w:val="16"/>
              </w:rPr>
              <w:t>9,800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1403DC" w:rsidRDefault="001403DC" w14:paraId="0B10C517" w14:textId="5DE2B79E">
            <w:pPr>
              <w:keepNext/>
              <w:rPr>
                <w:rFonts w:eastAsia="Calibri" w:asciiTheme="minorHAnsi" w:hAnsiTheme="minorHAnsi"/>
                <w:sz w:val="16"/>
                <w:szCs w:val="16"/>
              </w:rPr>
            </w:pPr>
            <w:r>
              <w:rPr>
                <w:rFonts w:eastAsia="Calibri" w:asciiTheme="minorHAnsi" w:hAnsiTheme="minorHAnsi"/>
                <w:sz w:val="16"/>
                <w:szCs w:val="16"/>
              </w:rPr>
              <w:t>Updated the labor and cost of supplies and postage</w:t>
            </w:r>
          </w:p>
        </w:tc>
      </w:tr>
      <w:tr w:rsidRPr="00A110F0" w:rsidR="001403DC" w:rsidTr="00881E5A" w14:paraId="5D6AF070" w14:textId="77777777">
        <w:trPr>
          <w:jc w:val="center"/>
        </w:trPr>
        <w:tc>
          <w:tcPr>
            <w:tcW w:w="2478" w:type="dxa"/>
            <w:shd w:val="clear" w:color="auto" w:fill="auto"/>
            <w:vAlign w:val="center"/>
          </w:tcPr>
          <w:p w:rsidRPr="00A110F0" w:rsidR="001403DC" w:rsidP="00391ADD" w:rsidRDefault="001403DC" w14:paraId="2D61483C" w14:textId="17FDCD4B">
            <w:pPr>
              <w:keepNext/>
              <w:rPr>
                <w:rFonts w:eastAsia="Calibri" w:asciiTheme="minorHAnsi" w:hAnsiTheme="minorHAnsi"/>
                <w:sz w:val="16"/>
                <w:szCs w:val="16"/>
              </w:rPr>
            </w:pPr>
            <w:r w:rsidRPr="00652B6E">
              <w:rPr>
                <w:rFonts w:eastAsia="Calibri" w:asciiTheme="minorHAnsi" w:hAnsiTheme="minorHAnsi"/>
                <w:sz w:val="16"/>
                <w:szCs w:val="16"/>
              </w:rPr>
              <w:t>IFQ Sablefish Longline Pot Gear: Vessel Registration and Request for Pot Gear Tags</w:t>
            </w:r>
          </w:p>
        </w:tc>
        <w:tc>
          <w:tcPr>
            <w:tcW w:w="1251" w:type="dxa"/>
            <w:tcBorders>
              <w:bottom w:val="dotted" w:color="auto" w:sz="4" w:space="0"/>
              <w:right w:val="dashSmallGap" w:color="auto" w:sz="4" w:space="0"/>
            </w:tcBorders>
            <w:shd w:val="clear" w:color="auto" w:fill="auto"/>
            <w:vAlign w:val="center"/>
          </w:tcPr>
          <w:p w:rsidRPr="00A110F0" w:rsidR="001403DC" w:rsidP="00391ADD" w:rsidRDefault="001403DC" w14:paraId="081CF334" w14:textId="6D4B1CCF">
            <w:pPr>
              <w:jc w:val="center"/>
              <w:rPr>
                <w:rFonts w:eastAsia="Calibri" w:asciiTheme="minorHAnsi" w:hAnsiTheme="minorHAnsi"/>
                <w:sz w:val="16"/>
                <w:szCs w:val="16"/>
              </w:rPr>
            </w:pPr>
            <w:r>
              <w:rPr>
                <w:rFonts w:ascii="Calibri" w:hAnsi="Calibri" w:cs="Calibri"/>
                <w:color w:val="000000"/>
                <w:sz w:val="16"/>
                <w:szCs w:val="16"/>
              </w:rPr>
              <w:t>668</w:t>
            </w:r>
          </w:p>
        </w:tc>
        <w:tc>
          <w:tcPr>
            <w:tcW w:w="1155" w:type="dxa"/>
            <w:tcBorders>
              <w:left w:val="dashSmallGap" w:color="auto" w:sz="4" w:space="0"/>
              <w:bottom w:val="dotted" w:color="auto" w:sz="4" w:space="0"/>
            </w:tcBorders>
            <w:shd w:val="clear" w:color="auto" w:fill="auto"/>
            <w:vAlign w:val="center"/>
          </w:tcPr>
          <w:p w:rsidRPr="00A110F0" w:rsidR="001403DC" w:rsidP="00391ADD" w:rsidRDefault="001403DC" w14:paraId="59AAB75B" w14:textId="70014C30">
            <w:pPr>
              <w:keepNext/>
              <w:jc w:val="center"/>
              <w:rPr>
                <w:rFonts w:eastAsia="Calibri" w:asciiTheme="minorHAnsi" w:hAnsiTheme="minorHAnsi"/>
                <w:sz w:val="16"/>
                <w:szCs w:val="16"/>
              </w:rPr>
            </w:pPr>
            <w:r>
              <w:rPr>
                <w:rFonts w:eastAsia="Calibri" w:asciiTheme="minorHAnsi" w:hAnsiTheme="minorHAnsi"/>
                <w:sz w:val="16"/>
                <w:szCs w:val="16"/>
              </w:rPr>
              <w:t>37</w:t>
            </w:r>
          </w:p>
        </w:tc>
        <w:tc>
          <w:tcPr>
            <w:tcW w:w="1058" w:type="dxa"/>
            <w:tcBorders>
              <w:left w:val="dotted" w:color="auto" w:sz="4" w:space="0"/>
              <w:bottom w:val="dotted" w:color="auto" w:sz="4" w:space="0"/>
              <w:right w:val="dashSmallGap" w:color="auto" w:sz="4" w:space="0"/>
            </w:tcBorders>
            <w:vAlign w:val="center"/>
          </w:tcPr>
          <w:p w:rsidRPr="00A110F0" w:rsidR="001403DC" w:rsidP="00391ADD" w:rsidRDefault="001403DC" w14:paraId="0548F102" w14:textId="37569A49">
            <w:pPr>
              <w:keepNext/>
              <w:jc w:val="center"/>
              <w:rPr>
                <w:rFonts w:eastAsia="Calibri" w:asciiTheme="minorHAnsi" w:hAnsiTheme="minorHAnsi"/>
                <w:sz w:val="16"/>
                <w:szCs w:val="16"/>
              </w:rPr>
            </w:pPr>
            <w:r>
              <w:rPr>
                <w:rFonts w:ascii="Calibri" w:hAnsi="Calibri" w:cs="Calibri"/>
                <w:color w:val="000000"/>
                <w:sz w:val="16"/>
                <w:szCs w:val="16"/>
              </w:rPr>
              <w:t>15</w:t>
            </w:r>
          </w:p>
        </w:tc>
        <w:tc>
          <w:tcPr>
            <w:tcW w:w="1252" w:type="dxa"/>
            <w:tcBorders>
              <w:left w:val="dashSmallGap" w:color="auto" w:sz="4" w:space="0"/>
              <w:bottom w:val="dotted" w:color="auto" w:sz="4" w:space="0"/>
              <w:right w:val="single" w:color="auto" w:sz="4" w:space="0"/>
            </w:tcBorders>
            <w:vAlign w:val="center"/>
          </w:tcPr>
          <w:p w:rsidRPr="00A110F0" w:rsidR="001403DC" w:rsidP="00391ADD" w:rsidRDefault="001403DC" w14:paraId="5A529020" w14:textId="5B3A111A">
            <w:pPr>
              <w:keepNext/>
              <w:jc w:val="center"/>
              <w:rPr>
                <w:rFonts w:eastAsia="Calibri" w:asciiTheme="minorHAnsi" w:hAnsiTheme="minorHAnsi"/>
                <w:sz w:val="16"/>
                <w:szCs w:val="16"/>
              </w:rPr>
            </w:pPr>
            <w:r>
              <w:rPr>
                <w:rFonts w:eastAsia="Calibri" w:asciiTheme="minorHAnsi" w:hAnsiTheme="minorHAnsi"/>
                <w:sz w:val="16"/>
                <w:szCs w:val="16"/>
              </w:rPr>
              <w:t>1,470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1403DC" w:rsidRDefault="001403DC" w14:paraId="2C6FF085" w14:textId="5DAB0B3A">
            <w:pPr>
              <w:keepNext/>
              <w:rPr>
                <w:rFonts w:eastAsia="Calibri" w:asciiTheme="minorHAnsi" w:hAnsiTheme="minorHAnsi"/>
                <w:sz w:val="16"/>
                <w:szCs w:val="16"/>
              </w:rPr>
            </w:pPr>
            <w:r w:rsidRPr="00FE1726">
              <w:rPr>
                <w:rFonts w:eastAsia="Calibri" w:asciiTheme="minorHAnsi" w:hAnsiTheme="minorHAnsi"/>
                <w:sz w:val="16"/>
                <w:szCs w:val="16"/>
              </w:rPr>
              <w:t>Updated the labor and cost of supplies and postage</w:t>
            </w:r>
          </w:p>
        </w:tc>
      </w:tr>
      <w:tr w:rsidRPr="00A110F0" w:rsidR="001403DC" w:rsidTr="00881E5A" w14:paraId="32F40C35" w14:textId="77777777">
        <w:trPr>
          <w:jc w:val="center"/>
        </w:trPr>
        <w:tc>
          <w:tcPr>
            <w:tcW w:w="2478" w:type="dxa"/>
            <w:shd w:val="clear" w:color="auto" w:fill="auto"/>
            <w:vAlign w:val="center"/>
          </w:tcPr>
          <w:p w:rsidRPr="00A110F0" w:rsidR="001403DC" w:rsidP="00335B61" w:rsidRDefault="001403DC" w14:paraId="0D2231F4" w14:textId="6DCB0BD9">
            <w:pPr>
              <w:keepNext/>
              <w:rPr>
                <w:rFonts w:eastAsia="Calibri" w:asciiTheme="minorHAnsi" w:hAnsiTheme="minorHAnsi"/>
                <w:sz w:val="16"/>
                <w:szCs w:val="16"/>
              </w:rPr>
            </w:pPr>
            <w:r w:rsidRPr="00356932">
              <w:rPr>
                <w:rFonts w:asciiTheme="minorHAnsi" w:hAnsiTheme="minorHAnsi" w:cstheme="minorHAnsi"/>
                <w:sz w:val="16"/>
                <w:szCs w:val="16"/>
              </w:rPr>
              <w:t xml:space="preserve">IFQ Sablefish Request for Replacement of Longline Pot Gear </w:t>
            </w:r>
            <w:r w:rsidRPr="00335B61">
              <w:rPr>
                <w:rFonts w:asciiTheme="minorHAnsi" w:hAnsiTheme="minorHAnsi" w:cstheme="minorHAnsi"/>
                <w:sz w:val="16"/>
                <w:szCs w:val="16"/>
              </w:rPr>
              <w:t>Tags</w:t>
            </w:r>
          </w:p>
        </w:tc>
        <w:tc>
          <w:tcPr>
            <w:tcW w:w="1251" w:type="dxa"/>
            <w:tcBorders>
              <w:bottom w:val="dotted" w:color="auto" w:sz="4" w:space="0"/>
              <w:right w:val="dashSmallGap" w:color="auto" w:sz="4" w:space="0"/>
            </w:tcBorders>
            <w:shd w:val="clear" w:color="auto" w:fill="auto"/>
            <w:vAlign w:val="center"/>
          </w:tcPr>
          <w:p w:rsidRPr="00A110F0" w:rsidR="001403DC" w:rsidP="00391ADD" w:rsidRDefault="001403DC" w14:paraId="73E32678" w14:textId="759D35E5">
            <w:pPr>
              <w:jc w:val="center"/>
              <w:rPr>
                <w:rFonts w:eastAsia="Calibri" w:asciiTheme="minorHAnsi" w:hAnsiTheme="minorHAnsi"/>
                <w:sz w:val="16"/>
                <w:szCs w:val="16"/>
              </w:rPr>
            </w:pPr>
            <w:r>
              <w:rPr>
                <w:rFonts w:ascii="Calibri" w:hAnsi="Calibri" w:cs="Calibri"/>
                <w:color w:val="000000"/>
                <w:sz w:val="16"/>
                <w:szCs w:val="16"/>
              </w:rPr>
              <w:t>72</w:t>
            </w:r>
          </w:p>
        </w:tc>
        <w:tc>
          <w:tcPr>
            <w:tcW w:w="1155" w:type="dxa"/>
            <w:tcBorders>
              <w:left w:val="dashSmallGap" w:color="auto" w:sz="4" w:space="0"/>
              <w:bottom w:val="dotted" w:color="auto" w:sz="4" w:space="0"/>
            </w:tcBorders>
            <w:shd w:val="clear" w:color="auto" w:fill="auto"/>
            <w:vAlign w:val="center"/>
          </w:tcPr>
          <w:p w:rsidRPr="00A110F0" w:rsidR="001403DC" w:rsidP="00391ADD" w:rsidRDefault="001403DC" w14:paraId="6C47B8B6" w14:textId="44AE2571">
            <w:pPr>
              <w:keepNext/>
              <w:jc w:val="center"/>
              <w:rPr>
                <w:rFonts w:eastAsia="Calibri" w:asciiTheme="minorHAnsi" w:hAnsiTheme="minorHAnsi"/>
                <w:sz w:val="16"/>
                <w:szCs w:val="16"/>
              </w:rPr>
            </w:pPr>
            <w:r>
              <w:rPr>
                <w:rFonts w:eastAsia="Calibri" w:asciiTheme="minorHAnsi" w:hAnsiTheme="minorHAnsi"/>
                <w:sz w:val="16"/>
                <w:szCs w:val="16"/>
              </w:rPr>
              <w:t>37</w:t>
            </w:r>
          </w:p>
        </w:tc>
        <w:tc>
          <w:tcPr>
            <w:tcW w:w="1058" w:type="dxa"/>
            <w:tcBorders>
              <w:left w:val="dotted" w:color="auto" w:sz="4" w:space="0"/>
              <w:bottom w:val="dotted" w:color="auto" w:sz="4" w:space="0"/>
              <w:right w:val="dashSmallGap" w:color="auto" w:sz="4" w:space="0"/>
            </w:tcBorders>
            <w:vAlign w:val="center"/>
          </w:tcPr>
          <w:p w:rsidRPr="00A110F0" w:rsidR="001403DC" w:rsidP="00391ADD" w:rsidRDefault="001403DC" w14:paraId="16860658" w14:textId="1069B83E">
            <w:pPr>
              <w:keepNext/>
              <w:jc w:val="center"/>
              <w:rPr>
                <w:rFonts w:eastAsia="Calibri" w:asciiTheme="minorHAnsi" w:hAnsiTheme="minorHAnsi"/>
                <w:sz w:val="16"/>
                <w:szCs w:val="16"/>
              </w:rPr>
            </w:pPr>
            <w:r>
              <w:rPr>
                <w:rFonts w:ascii="Calibri" w:hAnsi="Calibri" w:cs="Calibri"/>
                <w:color w:val="000000"/>
                <w:sz w:val="16"/>
                <w:szCs w:val="16"/>
              </w:rPr>
              <w:t>2</w:t>
            </w:r>
          </w:p>
        </w:tc>
        <w:tc>
          <w:tcPr>
            <w:tcW w:w="1252" w:type="dxa"/>
            <w:tcBorders>
              <w:left w:val="dashSmallGap" w:color="auto" w:sz="4" w:space="0"/>
              <w:bottom w:val="dotted" w:color="auto" w:sz="4" w:space="0"/>
              <w:right w:val="single" w:color="auto" w:sz="4" w:space="0"/>
            </w:tcBorders>
            <w:vAlign w:val="center"/>
          </w:tcPr>
          <w:p w:rsidRPr="00A110F0" w:rsidR="001403DC" w:rsidP="00391ADD" w:rsidRDefault="001403DC" w14:paraId="2EAE2AEC" w14:textId="50082607">
            <w:pPr>
              <w:keepNext/>
              <w:jc w:val="center"/>
              <w:rPr>
                <w:rFonts w:eastAsia="Calibri" w:asciiTheme="minorHAnsi" w:hAnsiTheme="minorHAnsi"/>
                <w:sz w:val="16"/>
                <w:szCs w:val="16"/>
              </w:rPr>
            </w:pPr>
            <w:r>
              <w:rPr>
                <w:rFonts w:eastAsia="Calibri" w:asciiTheme="minorHAnsi" w:hAnsiTheme="minorHAnsi"/>
                <w:sz w:val="16"/>
                <w:szCs w:val="16"/>
              </w:rPr>
              <w:t>0</w:t>
            </w:r>
          </w:p>
        </w:tc>
        <w:tc>
          <w:tcPr>
            <w:tcW w:w="6177" w:type="dxa"/>
            <w:tcBorders>
              <w:left w:val="single" w:color="auto" w:sz="4" w:space="0"/>
              <w:bottom w:val="dotted" w:color="auto" w:sz="4" w:space="0"/>
              <w:right w:val="single" w:color="auto" w:sz="4" w:space="0"/>
            </w:tcBorders>
            <w:shd w:val="clear" w:color="auto" w:fill="auto"/>
            <w:vAlign w:val="center"/>
          </w:tcPr>
          <w:p w:rsidRPr="00FE1726" w:rsidR="001403DC" w:rsidRDefault="001403DC" w14:paraId="6AB1681D" w14:textId="05DAA051">
            <w:pPr>
              <w:keepNext/>
              <w:rPr>
                <w:rFonts w:eastAsia="Calibri" w:asciiTheme="minorHAnsi" w:hAnsiTheme="minorHAnsi" w:cstheme="minorHAnsi"/>
                <w:sz w:val="16"/>
                <w:szCs w:val="16"/>
              </w:rPr>
            </w:pPr>
            <w:r w:rsidRPr="00FE1726">
              <w:rPr>
                <w:rFonts w:asciiTheme="minorHAnsi" w:hAnsiTheme="minorHAnsi" w:cstheme="minorHAnsi"/>
                <w:sz w:val="16"/>
                <w:szCs w:val="16"/>
              </w:rPr>
              <w:t>Updated the labor and cost of supplies and postage</w:t>
            </w:r>
          </w:p>
        </w:tc>
      </w:tr>
      <w:tr w:rsidRPr="00A110F0" w:rsidR="001403DC" w:rsidTr="00881E5A" w14:paraId="4EFC4D9B" w14:textId="77777777">
        <w:trPr>
          <w:jc w:val="center"/>
        </w:trPr>
        <w:tc>
          <w:tcPr>
            <w:tcW w:w="2478" w:type="dxa"/>
            <w:shd w:val="clear" w:color="auto" w:fill="auto"/>
            <w:vAlign w:val="center"/>
          </w:tcPr>
          <w:p w:rsidRPr="00A110F0" w:rsidR="001403DC" w:rsidP="00391ADD" w:rsidRDefault="001403DC" w14:paraId="6A96D585" w14:textId="77FF97DB">
            <w:pPr>
              <w:keepNext/>
              <w:rPr>
                <w:rFonts w:eastAsia="Calibri" w:asciiTheme="minorHAnsi" w:hAnsiTheme="minorHAnsi"/>
                <w:sz w:val="16"/>
                <w:szCs w:val="16"/>
              </w:rPr>
            </w:pPr>
            <w:r w:rsidRPr="00676A3C">
              <w:rPr>
                <w:rFonts w:eastAsia="Calibri" w:asciiTheme="minorHAnsi" w:hAnsiTheme="minorHAnsi"/>
                <w:sz w:val="16"/>
                <w:szCs w:val="16"/>
              </w:rPr>
              <w:t>Marking of Longline Pot Gear</w:t>
            </w:r>
          </w:p>
        </w:tc>
        <w:tc>
          <w:tcPr>
            <w:tcW w:w="1251" w:type="dxa"/>
            <w:tcBorders>
              <w:bottom w:val="dotted" w:color="auto" w:sz="4" w:space="0"/>
              <w:right w:val="dashSmallGap" w:color="auto" w:sz="4" w:space="0"/>
            </w:tcBorders>
            <w:shd w:val="clear" w:color="auto" w:fill="auto"/>
            <w:vAlign w:val="center"/>
          </w:tcPr>
          <w:p w:rsidRPr="00A110F0" w:rsidR="001403DC" w:rsidP="00391ADD" w:rsidRDefault="001403DC" w14:paraId="378A518B" w14:textId="2B298668">
            <w:pPr>
              <w:jc w:val="center"/>
              <w:rPr>
                <w:rFonts w:eastAsia="Calibri" w:asciiTheme="minorHAnsi" w:hAnsiTheme="minorHAnsi"/>
                <w:sz w:val="16"/>
                <w:szCs w:val="16"/>
              </w:rPr>
            </w:pPr>
            <w:r>
              <w:rPr>
                <w:rFonts w:ascii="Calibri" w:hAnsi="Calibri" w:cs="Calibri"/>
                <w:color w:val="000000"/>
                <w:sz w:val="16"/>
                <w:szCs w:val="16"/>
              </w:rPr>
              <w:t>1,335</w:t>
            </w:r>
          </w:p>
        </w:tc>
        <w:tc>
          <w:tcPr>
            <w:tcW w:w="1155" w:type="dxa"/>
            <w:tcBorders>
              <w:left w:val="dashSmallGap" w:color="auto" w:sz="4" w:space="0"/>
              <w:bottom w:val="dotted" w:color="auto" w:sz="4" w:space="0"/>
            </w:tcBorders>
            <w:shd w:val="clear" w:color="auto" w:fill="auto"/>
            <w:vAlign w:val="center"/>
          </w:tcPr>
          <w:p w:rsidRPr="00A110F0" w:rsidR="001403DC" w:rsidP="00391ADD" w:rsidRDefault="001403DC" w14:paraId="50670F7F" w14:textId="10587522">
            <w:pPr>
              <w:keepNext/>
              <w:jc w:val="center"/>
              <w:rPr>
                <w:rFonts w:eastAsia="Calibri" w:asciiTheme="minorHAnsi" w:hAnsiTheme="minorHAnsi"/>
                <w:sz w:val="16"/>
                <w:szCs w:val="16"/>
              </w:rPr>
            </w:pPr>
            <w:r>
              <w:rPr>
                <w:rFonts w:eastAsia="Calibri" w:asciiTheme="minorHAnsi" w:hAnsiTheme="minorHAnsi"/>
                <w:sz w:val="16"/>
                <w:szCs w:val="16"/>
              </w:rPr>
              <w:t>37</w:t>
            </w:r>
          </w:p>
        </w:tc>
        <w:tc>
          <w:tcPr>
            <w:tcW w:w="1058" w:type="dxa"/>
            <w:tcBorders>
              <w:left w:val="dotted" w:color="auto" w:sz="4" w:space="0"/>
              <w:bottom w:val="dotted" w:color="auto" w:sz="4" w:space="0"/>
              <w:right w:val="dashSmallGap" w:color="auto" w:sz="4" w:space="0"/>
            </w:tcBorders>
            <w:vAlign w:val="center"/>
          </w:tcPr>
          <w:p w:rsidRPr="00A110F0" w:rsidR="001403DC" w:rsidP="00391ADD" w:rsidRDefault="001403DC" w14:paraId="1CCA585A" w14:textId="42CDCE35">
            <w:pPr>
              <w:keepNext/>
              <w:jc w:val="center"/>
              <w:rPr>
                <w:rFonts w:eastAsia="Calibri" w:asciiTheme="minorHAnsi" w:hAnsiTheme="minorHAnsi"/>
                <w:sz w:val="16"/>
                <w:szCs w:val="16"/>
              </w:rPr>
            </w:pPr>
            <w:r>
              <w:rPr>
                <w:rFonts w:ascii="Calibri" w:hAnsi="Calibri" w:cs="Calibri"/>
                <w:color w:val="000000"/>
                <w:sz w:val="16"/>
                <w:szCs w:val="16"/>
              </w:rPr>
              <w:t>420</w:t>
            </w:r>
          </w:p>
        </w:tc>
        <w:tc>
          <w:tcPr>
            <w:tcW w:w="1252" w:type="dxa"/>
            <w:tcBorders>
              <w:left w:val="dashSmallGap" w:color="auto" w:sz="4" w:space="0"/>
              <w:bottom w:val="dotted" w:color="auto" w:sz="4" w:space="0"/>
              <w:right w:val="single" w:color="auto" w:sz="4" w:space="0"/>
            </w:tcBorders>
            <w:vAlign w:val="center"/>
          </w:tcPr>
          <w:p w:rsidRPr="00A110F0" w:rsidR="001403DC" w:rsidP="00391ADD" w:rsidRDefault="001403DC" w14:paraId="19AC26AD" w14:textId="281A5E65">
            <w:pPr>
              <w:keepNext/>
              <w:jc w:val="center"/>
              <w:rPr>
                <w:rFonts w:eastAsia="Calibri" w:asciiTheme="minorHAnsi" w:hAnsiTheme="minorHAnsi"/>
                <w:sz w:val="16"/>
                <w:szCs w:val="16"/>
              </w:rPr>
            </w:pPr>
            <w:r>
              <w:rPr>
                <w:rFonts w:eastAsia="Calibri" w:asciiTheme="minorHAnsi" w:hAnsiTheme="minorHAnsi"/>
                <w:sz w:val="16"/>
                <w:szCs w:val="16"/>
              </w:rPr>
              <w:t>40</w:t>
            </w:r>
          </w:p>
        </w:tc>
        <w:tc>
          <w:tcPr>
            <w:tcW w:w="6177" w:type="dxa"/>
            <w:tcBorders>
              <w:left w:val="single" w:color="auto" w:sz="4" w:space="0"/>
              <w:bottom w:val="dotted" w:color="auto" w:sz="4" w:space="0"/>
              <w:right w:val="single" w:color="auto" w:sz="4" w:space="0"/>
            </w:tcBorders>
            <w:shd w:val="clear" w:color="auto" w:fill="auto"/>
          </w:tcPr>
          <w:p w:rsidRPr="00FE1726" w:rsidR="001403DC" w:rsidRDefault="001403DC" w14:paraId="7C54743D" w14:textId="2F44FAA6">
            <w:pPr>
              <w:keepNext/>
              <w:rPr>
                <w:rFonts w:eastAsia="Calibri" w:asciiTheme="minorHAnsi" w:hAnsiTheme="minorHAnsi" w:cstheme="minorHAnsi"/>
                <w:sz w:val="16"/>
                <w:szCs w:val="16"/>
              </w:rPr>
            </w:pPr>
            <w:r w:rsidRPr="00FE1726">
              <w:rPr>
                <w:rFonts w:asciiTheme="minorHAnsi" w:hAnsiTheme="minorHAnsi" w:cstheme="minorHAnsi"/>
                <w:sz w:val="16"/>
                <w:szCs w:val="16"/>
              </w:rPr>
              <w:t>Updated the labor and cost of supplies and postage</w:t>
            </w:r>
          </w:p>
        </w:tc>
      </w:tr>
      <w:tr w:rsidRPr="00A110F0" w:rsidR="001403DC" w:rsidTr="005E6D68" w14:paraId="2FA33D6B" w14:textId="77777777">
        <w:trPr>
          <w:jc w:val="center"/>
        </w:trPr>
        <w:tc>
          <w:tcPr>
            <w:tcW w:w="2478" w:type="dxa"/>
            <w:shd w:val="clear" w:color="auto" w:fill="BDD6EE" w:themeFill="accent1" w:themeFillTint="66"/>
            <w:vAlign w:val="center"/>
          </w:tcPr>
          <w:p w:rsidRPr="00A110F0" w:rsidR="001403DC" w:rsidP="00391ADD" w:rsidRDefault="001403DC" w14:paraId="136CBBC7"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6507A7" w:rsidR="001403DC" w:rsidP="00391ADD" w:rsidRDefault="001403DC" w14:paraId="4D6C8D92" w14:textId="0DB716BD">
            <w:pPr>
              <w:keepNext/>
              <w:jc w:val="center"/>
              <w:rPr>
                <w:rFonts w:eastAsia="Calibri" w:asciiTheme="minorHAnsi" w:hAnsiTheme="minorHAnsi"/>
                <w:b/>
                <w:sz w:val="16"/>
                <w:szCs w:val="16"/>
              </w:rPr>
            </w:pPr>
            <w:r w:rsidRPr="006507A7">
              <w:rPr>
                <w:rFonts w:ascii="Calibri" w:hAnsi="Calibri" w:cs="Calibri"/>
                <w:b/>
                <w:bCs/>
                <w:color w:val="000000"/>
                <w:sz w:val="16"/>
                <w:szCs w:val="16"/>
              </w:rPr>
              <w:t>$37,811</w:t>
            </w:r>
          </w:p>
        </w:tc>
        <w:tc>
          <w:tcPr>
            <w:tcW w:w="1155" w:type="dxa"/>
            <w:tcBorders>
              <w:left w:val="dashSmallGap" w:color="auto" w:sz="4" w:space="0"/>
            </w:tcBorders>
            <w:shd w:val="clear" w:color="auto" w:fill="BDD6EE" w:themeFill="accent1" w:themeFillTint="66"/>
            <w:vAlign w:val="center"/>
          </w:tcPr>
          <w:p w:rsidRPr="00A110F0" w:rsidR="001403DC" w:rsidP="00391ADD" w:rsidRDefault="001403DC" w14:paraId="587FF06E" w14:textId="36F0A18A">
            <w:pPr>
              <w:jc w:val="center"/>
              <w:rPr>
                <w:rFonts w:eastAsia="Calibri" w:asciiTheme="minorHAnsi" w:hAnsiTheme="minorHAnsi"/>
                <w:b/>
                <w:bCs/>
                <w:sz w:val="16"/>
                <w:szCs w:val="16"/>
              </w:rPr>
            </w:pPr>
            <w:r>
              <w:rPr>
                <w:rFonts w:eastAsia="Calibri" w:asciiTheme="minorHAnsi" w:hAnsiTheme="minorHAnsi"/>
                <w:b/>
                <w:bCs/>
                <w:sz w:val="16"/>
                <w:szCs w:val="16"/>
              </w:rPr>
              <w:t>$27,681</w:t>
            </w:r>
          </w:p>
        </w:tc>
        <w:tc>
          <w:tcPr>
            <w:tcW w:w="1058" w:type="dxa"/>
            <w:tcBorders>
              <w:left w:val="dotted" w:color="auto" w:sz="4" w:space="0"/>
              <w:right w:val="dashSmallGap" w:color="auto" w:sz="4" w:space="0"/>
            </w:tcBorders>
            <w:shd w:val="clear" w:color="auto" w:fill="BDD6EE" w:themeFill="accent1" w:themeFillTint="66"/>
            <w:vAlign w:val="center"/>
          </w:tcPr>
          <w:p w:rsidRPr="001403DC" w:rsidR="001403DC" w:rsidP="00391ADD" w:rsidRDefault="001403DC" w14:paraId="3F37965C" w14:textId="0A256632">
            <w:pPr>
              <w:keepNext/>
              <w:jc w:val="center"/>
              <w:rPr>
                <w:rFonts w:eastAsia="Calibri" w:asciiTheme="minorHAnsi" w:hAnsiTheme="minorHAnsi"/>
                <w:b/>
                <w:sz w:val="16"/>
                <w:szCs w:val="16"/>
              </w:rPr>
            </w:pPr>
            <w:r>
              <w:rPr>
                <w:rFonts w:ascii="Calibri" w:hAnsi="Calibri" w:cs="Calibri"/>
                <w:b/>
                <w:bCs/>
                <w:color w:val="000000"/>
                <w:sz w:val="16"/>
                <w:szCs w:val="16"/>
              </w:rPr>
              <w:t>$</w:t>
            </w:r>
            <w:r w:rsidRPr="001403DC">
              <w:rPr>
                <w:rFonts w:ascii="Calibri" w:hAnsi="Calibri" w:cs="Calibri"/>
                <w:b/>
                <w:bCs/>
                <w:color w:val="000000"/>
                <w:sz w:val="16"/>
                <w:szCs w:val="16"/>
              </w:rPr>
              <w:t>12,422</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1403DC" w:rsidP="00391ADD" w:rsidRDefault="001403DC" w14:paraId="52901E90" w14:textId="48720E1D">
            <w:pPr>
              <w:keepNext/>
              <w:jc w:val="center"/>
              <w:rPr>
                <w:rFonts w:eastAsia="Calibri" w:asciiTheme="minorHAnsi" w:hAnsiTheme="minorHAnsi"/>
                <w:b/>
                <w:sz w:val="16"/>
                <w:szCs w:val="16"/>
              </w:rPr>
            </w:pPr>
            <w:r>
              <w:rPr>
                <w:rFonts w:eastAsia="Calibri" w:asciiTheme="minorHAnsi" w:hAnsiTheme="minorHAnsi"/>
                <w:b/>
                <w:sz w:val="16"/>
                <w:szCs w:val="16"/>
              </w:rPr>
              <w:t>$11,310</w:t>
            </w:r>
          </w:p>
        </w:tc>
        <w:tc>
          <w:tcPr>
            <w:tcW w:w="6177" w:type="dxa"/>
            <w:tcBorders>
              <w:left w:val="single" w:color="auto" w:sz="4" w:space="0"/>
              <w:right w:val="single" w:color="auto" w:sz="4" w:space="0"/>
            </w:tcBorders>
            <w:shd w:val="clear" w:color="auto" w:fill="000000" w:themeFill="text1"/>
            <w:vAlign w:val="center"/>
          </w:tcPr>
          <w:p w:rsidRPr="00A110F0" w:rsidR="001403DC" w:rsidP="00391ADD" w:rsidRDefault="001403DC" w14:paraId="7DF15DAA" w14:textId="77777777">
            <w:pPr>
              <w:keepNext/>
              <w:jc w:val="center"/>
              <w:rPr>
                <w:rFonts w:eastAsia="Calibri" w:asciiTheme="minorHAnsi" w:hAnsiTheme="minorHAnsi"/>
                <w:b/>
                <w:sz w:val="16"/>
                <w:szCs w:val="16"/>
              </w:rPr>
            </w:pPr>
          </w:p>
        </w:tc>
      </w:tr>
      <w:tr w:rsidRPr="00A110F0" w:rsidR="005E6D68" w:rsidTr="007817BB" w14:paraId="0673C5B9" w14:textId="77777777">
        <w:trPr>
          <w:jc w:val="center"/>
        </w:trPr>
        <w:tc>
          <w:tcPr>
            <w:tcW w:w="2478" w:type="dxa"/>
            <w:shd w:val="clear" w:color="auto" w:fill="FBE4D5" w:themeFill="accent2" w:themeFillTint="33"/>
            <w:vAlign w:val="center"/>
          </w:tcPr>
          <w:p w:rsidRPr="00A110F0" w:rsidR="005E6D68" w:rsidP="00391ADD" w:rsidRDefault="005E6D68" w14:paraId="3775DCB5" w14:textId="3ACB9AFC">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5E6D68" w:rsidP="00391ADD" w:rsidRDefault="005E6D68" w14:paraId="1A38CE08" w14:textId="71CE923C">
            <w:pPr>
              <w:jc w:val="center"/>
              <w:rPr>
                <w:rFonts w:eastAsia="Calibri" w:asciiTheme="minorHAnsi" w:hAnsiTheme="minorHAnsi"/>
                <w:b/>
                <w:bCs/>
                <w:sz w:val="16"/>
                <w:szCs w:val="16"/>
              </w:rPr>
            </w:pPr>
            <w:r>
              <w:rPr>
                <w:rFonts w:eastAsia="Calibri" w:asciiTheme="minorHAnsi" w:hAnsiTheme="minorHAnsi"/>
                <w:b/>
                <w:bCs/>
                <w:sz w:val="16"/>
                <w:szCs w:val="16"/>
              </w:rPr>
              <w:t>$10,130</w:t>
            </w:r>
          </w:p>
        </w:tc>
        <w:tc>
          <w:tcPr>
            <w:tcW w:w="2310" w:type="dxa"/>
            <w:gridSpan w:val="2"/>
            <w:tcBorders>
              <w:left w:val="dotted" w:color="auto" w:sz="4" w:space="0"/>
              <w:right w:val="single" w:color="auto" w:sz="4" w:space="0"/>
            </w:tcBorders>
            <w:shd w:val="clear" w:color="auto" w:fill="FBE4D5" w:themeFill="accent2" w:themeFillTint="33"/>
            <w:vAlign w:val="center"/>
          </w:tcPr>
          <w:p w:rsidR="005E6D68" w:rsidP="00391ADD" w:rsidRDefault="005E6D68" w14:paraId="3A6E7115" w14:textId="177DA36E">
            <w:pPr>
              <w:keepNext/>
              <w:jc w:val="center"/>
              <w:rPr>
                <w:rFonts w:eastAsia="Calibri" w:asciiTheme="minorHAnsi" w:hAnsiTheme="minorHAnsi"/>
                <w:b/>
                <w:sz w:val="16"/>
                <w:szCs w:val="16"/>
              </w:rPr>
            </w:pPr>
            <w:r>
              <w:rPr>
                <w:rFonts w:eastAsia="Calibri" w:asciiTheme="minorHAnsi" w:hAnsiTheme="minorHAnsi"/>
                <w:b/>
                <w:sz w:val="16"/>
                <w:szCs w:val="16"/>
              </w:rPr>
              <w:t>$1,112</w:t>
            </w:r>
            <w:bookmarkStart w:name="_GoBack" w:id="0"/>
            <w:bookmarkEnd w:id="0"/>
          </w:p>
        </w:tc>
        <w:tc>
          <w:tcPr>
            <w:tcW w:w="6177" w:type="dxa"/>
            <w:tcBorders>
              <w:left w:val="single" w:color="auto" w:sz="4" w:space="0"/>
              <w:bottom w:val="single" w:color="auto" w:sz="4" w:space="0"/>
              <w:right w:val="single" w:color="auto" w:sz="4" w:space="0"/>
            </w:tcBorders>
            <w:shd w:val="clear" w:color="auto" w:fill="000000" w:themeFill="text1"/>
            <w:vAlign w:val="center"/>
          </w:tcPr>
          <w:p w:rsidRPr="00A110F0" w:rsidR="005E6D68" w:rsidP="00391ADD" w:rsidRDefault="005E6D68" w14:paraId="39F4FBFC" w14:textId="77777777">
            <w:pPr>
              <w:keepNext/>
              <w:jc w:val="center"/>
              <w:rPr>
                <w:rFonts w:eastAsia="Calibri" w:asciiTheme="minorHAnsi" w:hAnsiTheme="minorHAnsi"/>
                <w:b/>
                <w:sz w:val="16"/>
                <w:szCs w:val="16"/>
              </w:rPr>
            </w:pPr>
          </w:p>
        </w:tc>
      </w:tr>
    </w:tbl>
    <w:p w:rsidR="004F26E9" w:rsidP="00493868" w:rsidRDefault="004F26E9" w14:paraId="2477F2B0" w14:textId="77777777">
      <w:pPr>
        <w:tabs>
          <w:tab w:val="left" w:pos="540"/>
        </w:tabs>
        <w:ind w:left="540"/>
        <w:rPr>
          <w:sz w:val="24"/>
          <w:szCs w:val="24"/>
        </w:rPr>
      </w:pPr>
    </w:p>
    <w:p w:rsidR="00493868" w:rsidP="00493868" w:rsidRDefault="00493868" w14:paraId="28A601FC" w14:textId="77777777">
      <w:pPr>
        <w:tabs>
          <w:tab w:val="left" w:pos="540"/>
        </w:tabs>
        <w:ind w:left="540"/>
        <w:rPr>
          <w:sz w:val="24"/>
          <w:szCs w:val="24"/>
        </w:rPr>
      </w:pPr>
    </w:p>
    <w:p w:rsidR="00732713" w:rsidP="00493868" w:rsidRDefault="00732713" w14:paraId="03A6F54B" w14:textId="77777777">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371D026F" w14:textId="77777777">
      <w:pPr>
        <w:rPr>
          <w:sz w:val="24"/>
          <w:szCs w:val="24"/>
        </w:rPr>
      </w:pPr>
    </w:p>
    <w:p w:rsidR="004F26E9" w:rsidP="00493868" w:rsidRDefault="00493868" w14:paraId="6EF31B09" w14:textId="77777777">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 xml:space="preserve">For collections whose results </w:t>
      </w:r>
      <w:proofErr w:type="gramStart"/>
      <w:r w:rsidRPr="000A0540" w:rsidR="004F26E9">
        <w:rPr>
          <w:b/>
          <w:bCs/>
          <w:sz w:val="24"/>
          <w:szCs w:val="24"/>
        </w:rPr>
        <w:t>will be published</w:t>
      </w:r>
      <w:proofErr w:type="gramEnd"/>
      <w:r w:rsidRPr="000A0540" w:rsidR="004F26E9">
        <w:rPr>
          <w:b/>
          <w:bCs/>
          <w:sz w:val="24"/>
          <w:szCs w:val="24"/>
        </w:rPr>
        <w:t>, outline the plans for tabulation and publication.</w:t>
      </w:r>
    </w:p>
    <w:p w:rsidR="00D21F5E" w:rsidP="00D21F5E" w:rsidRDefault="00D21F5E" w14:paraId="7105135B" w14:textId="77777777">
      <w:pPr>
        <w:widowControl/>
        <w:tabs>
          <w:tab w:val="left" w:pos="-1180"/>
        </w:tabs>
        <w:rPr>
          <w:sz w:val="24"/>
          <w:szCs w:val="24"/>
        </w:rPr>
      </w:pPr>
    </w:p>
    <w:p w:rsidR="00897F73" w:rsidP="00D21F5E" w:rsidRDefault="00D21F5E" w14:paraId="38762F5F" w14:textId="47330C06">
      <w:pPr>
        <w:widowControl/>
        <w:tabs>
          <w:tab w:val="left" w:pos="-1180"/>
        </w:tabs>
        <w:rPr>
          <w:sz w:val="24"/>
          <w:szCs w:val="24"/>
        </w:rPr>
      </w:pPr>
      <w:r w:rsidRPr="00D21F5E">
        <w:rPr>
          <w:sz w:val="24"/>
          <w:szCs w:val="24"/>
        </w:rPr>
        <w:t xml:space="preserve">NMFS publishes </w:t>
      </w:r>
      <w:r>
        <w:rPr>
          <w:sz w:val="24"/>
          <w:szCs w:val="24"/>
        </w:rPr>
        <w:t xml:space="preserve">the annual list of </w:t>
      </w:r>
      <w:proofErr w:type="gramStart"/>
      <w:r>
        <w:rPr>
          <w:sz w:val="24"/>
          <w:szCs w:val="24"/>
        </w:rPr>
        <w:t>IFQ sablefish pot tag registrations</w:t>
      </w:r>
      <w:proofErr w:type="gramEnd"/>
      <w:r>
        <w:rPr>
          <w:sz w:val="24"/>
          <w:szCs w:val="24"/>
        </w:rPr>
        <w:t xml:space="preserve"> </w:t>
      </w:r>
      <w:r w:rsidRPr="00D21F5E">
        <w:rPr>
          <w:sz w:val="24"/>
          <w:szCs w:val="24"/>
        </w:rPr>
        <w:t>on</w:t>
      </w:r>
      <w:r w:rsidR="00897F73">
        <w:rPr>
          <w:sz w:val="24"/>
          <w:szCs w:val="24"/>
        </w:rPr>
        <w:t xml:space="preserve"> the </w:t>
      </w:r>
      <w:hyperlink w:history="1" r:id="rId19">
        <w:r w:rsidRPr="00897F73" w:rsidR="00897F73">
          <w:rPr>
            <w:rStyle w:val="Hyperlink"/>
            <w:sz w:val="24"/>
            <w:szCs w:val="24"/>
          </w:rPr>
          <w:t>NMFS Alaska Region website</w:t>
        </w:r>
      </w:hyperlink>
      <w:r w:rsidR="00897F73">
        <w:rPr>
          <w:sz w:val="24"/>
          <w:szCs w:val="24"/>
        </w:rPr>
        <w:t>. This list includes the vessel name; the ADF&amp;G, USCG, and NMFS Person ID numbers; vessel owner name; and tag type and numbers.</w:t>
      </w:r>
    </w:p>
    <w:p w:rsidR="00897F73" w:rsidP="00D21F5E" w:rsidRDefault="00897F73" w14:paraId="2142C165" w14:textId="77777777">
      <w:pPr>
        <w:widowControl/>
        <w:tabs>
          <w:tab w:val="left" w:pos="-1180"/>
        </w:tabs>
        <w:rPr>
          <w:sz w:val="24"/>
          <w:szCs w:val="24"/>
        </w:rPr>
      </w:pPr>
    </w:p>
    <w:p w:rsidR="004F26E9" w:rsidP="00493868" w:rsidRDefault="00493868" w14:paraId="3883BFCC"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 xml:space="preserve">If seeking approval </w:t>
      </w:r>
      <w:proofErr w:type="gramStart"/>
      <w:r w:rsidRPr="000A0540" w:rsidR="004F26E9">
        <w:rPr>
          <w:b/>
          <w:bCs/>
          <w:sz w:val="24"/>
          <w:szCs w:val="24"/>
        </w:rPr>
        <w:t>to not display</w:t>
      </w:r>
      <w:proofErr w:type="gramEnd"/>
      <w:r w:rsidRPr="000A0540" w:rsidR="004F26E9">
        <w:rPr>
          <w:b/>
          <w:bCs/>
          <w:sz w:val="24"/>
          <w:szCs w:val="24"/>
        </w:rPr>
        <w:t xml:space="preserve"> the expiration date for OMB approval of the information collection, explain the reasons why display would be inappropriate.</w:t>
      </w:r>
    </w:p>
    <w:p w:rsidR="004F26E9" w:rsidP="00CD5390" w:rsidRDefault="004F26E9" w14:paraId="3161CA74" w14:textId="77777777">
      <w:pPr>
        <w:rPr>
          <w:sz w:val="24"/>
          <w:szCs w:val="24"/>
        </w:rPr>
      </w:pPr>
    </w:p>
    <w:p w:rsidRPr="00DE50EA" w:rsidR="00DE50EA" w:rsidP="00DE50EA" w:rsidRDefault="00DE50EA" w14:paraId="6C2C2401" w14:textId="5A1E21F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40"/>
        <w:rPr>
          <w:sz w:val="24"/>
          <w:szCs w:val="24"/>
        </w:rPr>
      </w:pPr>
      <w:r w:rsidRPr="00DE50EA">
        <w:rPr>
          <w:sz w:val="24"/>
          <w:szCs w:val="24"/>
        </w:rPr>
        <w:t xml:space="preserve">The expiration date </w:t>
      </w:r>
      <w:proofErr w:type="gramStart"/>
      <w:r w:rsidRPr="00DE50EA">
        <w:rPr>
          <w:sz w:val="24"/>
          <w:szCs w:val="24"/>
        </w:rPr>
        <w:t>will be displayed</w:t>
      </w:r>
      <w:proofErr w:type="gramEnd"/>
      <w:r w:rsidRPr="00DE50EA">
        <w:rPr>
          <w:sz w:val="24"/>
          <w:szCs w:val="24"/>
        </w:rPr>
        <w:t xml:space="preserve"> for this information collection.</w:t>
      </w:r>
    </w:p>
    <w:p w:rsidRPr="00A52249" w:rsidR="004F26E9" w:rsidP="00493868" w:rsidRDefault="00493868" w14:paraId="5D9F8DF1"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14:paraId="4D155195" w14:textId="77777777">
      <w:pPr>
        <w:rPr>
          <w:sz w:val="24"/>
          <w:szCs w:val="24"/>
        </w:rPr>
      </w:pPr>
    </w:p>
    <w:p w:rsidR="004F26E9" w:rsidP="00CD5390" w:rsidRDefault="005643CC" w14:paraId="45E7A4B5" w14:textId="77777777">
      <w:pPr>
        <w:rPr>
          <w:sz w:val="24"/>
          <w:szCs w:val="24"/>
        </w:rPr>
      </w:pPr>
      <w:r w:rsidRPr="005643CC">
        <w:rPr>
          <w:sz w:val="24"/>
          <w:szCs w:val="24"/>
        </w:rPr>
        <w:t>There are no exceptions for compliance with provisions in the certification statement.</w:t>
      </w:r>
    </w:p>
    <w:p w:rsidR="00FD3D2A" w:rsidP="00CD5390" w:rsidRDefault="00FD3D2A" w14:paraId="62A69CF4" w14:textId="77777777">
      <w:pPr>
        <w:rPr>
          <w:sz w:val="24"/>
          <w:szCs w:val="24"/>
        </w:rPr>
      </w:pPr>
    </w:p>
    <w:p w:rsidR="00FD3D2A" w:rsidP="00CD5390" w:rsidRDefault="00FD3D2A" w14:paraId="2CE01761" w14:textId="77777777">
      <w:pPr>
        <w:rPr>
          <w:sz w:val="24"/>
          <w:szCs w:val="24"/>
        </w:rPr>
      </w:pPr>
    </w:p>
    <w:p w:rsidRPr="003C67EB" w:rsidR="00946AB0" w:rsidP="003C67EB" w:rsidRDefault="003C67EB" w14:paraId="3F22F0D4" w14:textId="408F60E3">
      <w:pPr>
        <w:rPr>
          <w:b/>
          <w:sz w:val="24"/>
          <w:szCs w:val="24"/>
        </w:rPr>
      </w:pPr>
      <w:r w:rsidRPr="003C67EB">
        <w:rPr>
          <w:b/>
          <w:sz w:val="24"/>
          <w:szCs w:val="24"/>
        </w:rPr>
        <w:t>Part B</w:t>
      </w:r>
    </w:p>
    <w:p w:rsidR="003C67EB" w:rsidP="003C67EB" w:rsidRDefault="003C67EB" w14:paraId="5784B47D" w14:textId="7E24E617">
      <w:pPr>
        <w:rPr>
          <w:sz w:val="24"/>
          <w:szCs w:val="24"/>
        </w:rPr>
      </w:pPr>
      <w:r>
        <w:rPr>
          <w:sz w:val="24"/>
          <w:szCs w:val="24"/>
        </w:rPr>
        <w:t>There is no statistical analysis employed with this collection.</w:t>
      </w:r>
    </w:p>
    <w:sectPr w:rsidR="003C67EB" w:rsidSect="003C67EB">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E2B8B" w14:textId="77777777" w:rsidR="005B16B7" w:rsidRDefault="005B16B7">
      <w:r>
        <w:separator/>
      </w:r>
    </w:p>
  </w:endnote>
  <w:endnote w:type="continuationSeparator" w:id="0">
    <w:p w14:paraId="52552627" w14:textId="77777777" w:rsidR="005B16B7" w:rsidRDefault="005B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693713"/>
      <w:docPartObj>
        <w:docPartGallery w:val="Page Numbers (Bottom of Page)"/>
        <w:docPartUnique/>
      </w:docPartObj>
    </w:sdtPr>
    <w:sdtEndPr>
      <w:rPr>
        <w:rFonts w:asciiTheme="minorHAnsi" w:hAnsiTheme="minorHAnsi" w:cstheme="minorHAnsi"/>
        <w:noProof/>
      </w:rPr>
    </w:sdtEndPr>
    <w:sdtContent>
      <w:p w14:paraId="00C76F3B" w14:textId="435A48EB" w:rsidR="008C7990" w:rsidRPr="00CC2441" w:rsidRDefault="008C7990">
        <w:pPr>
          <w:pStyle w:val="Footer"/>
          <w:jc w:val="center"/>
          <w:rPr>
            <w:rFonts w:asciiTheme="minorHAnsi" w:hAnsiTheme="minorHAnsi" w:cstheme="minorHAnsi"/>
          </w:rPr>
        </w:pPr>
        <w:r w:rsidRPr="00CC2441">
          <w:rPr>
            <w:rFonts w:asciiTheme="minorHAnsi" w:hAnsiTheme="minorHAnsi" w:cstheme="minorHAnsi"/>
          </w:rPr>
          <w:fldChar w:fldCharType="begin"/>
        </w:r>
        <w:r w:rsidRPr="00CC2441">
          <w:rPr>
            <w:rFonts w:asciiTheme="minorHAnsi" w:hAnsiTheme="minorHAnsi" w:cstheme="minorHAnsi"/>
          </w:rPr>
          <w:instrText xml:space="preserve"> PAGE   \* MERGEFORMAT </w:instrText>
        </w:r>
        <w:r w:rsidRPr="00CC2441">
          <w:rPr>
            <w:rFonts w:asciiTheme="minorHAnsi" w:hAnsiTheme="minorHAnsi" w:cstheme="minorHAnsi"/>
          </w:rPr>
          <w:fldChar w:fldCharType="separate"/>
        </w:r>
        <w:r w:rsidR="005E6D68">
          <w:rPr>
            <w:rFonts w:asciiTheme="minorHAnsi" w:hAnsiTheme="minorHAnsi" w:cstheme="minorHAnsi"/>
            <w:noProof/>
          </w:rPr>
          <w:t>12</w:t>
        </w:r>
        <w:r w:rsidRPr="00CC2441">
          <w:rPr>
            <w:rFonts w:asciiTheme="minorHAnsi" w:hAnsiTheme="minorHAnsi" w:cstheme="minorHAnsi"/>
            <w:noProof/>
          </w:rPr>
          <w:fldChar w:fldCharType="end"/>
        </w:r>
      </w:p>
    </w:sdtContent>
  </w:sdt>
  <w:p w14:paraId="7F9523E0" w14:textId="77777777" w:rsidR="008C7990" w:rsidRDefault="008C7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7B3B3" w14:textId="77777777" w:rsidR="005B16B7" w:rsidRDefault="005B16B7">
      <w:r>
        <w:separator/>
      </w:r>
    </w:p>
  </w:footnote>
  <w:footnote w:type="continuationSeparator" w:id="0">
    <w:p w14:paraId="0D1B7120" w14:textId="77777777" w:rsidR="005B16B7" w:rsidRDefault="005B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1DC"/>
    <w:multiLevelType w:val="hybridMultilevel"/>
    <w:tmpl w:val="719605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02F55"/>
    <w:multiLevelType w:val="hybridMultilevel"/>
    <w:tmpl w:val="1506C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63E96"/>
    <w:multiLevelType w:val="hybridMultilevel"/>
    <w:tmpl w:val="C7C2E914"/>
    <w:lvl w:ilvl="0" w:tplc="BF349E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B76A4"/>
    <w:multiLevelType w:val="hybridMultilevel"/>
    <w:tmpl w:val="A97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16061"/>
    <w:multiLevelType w:val="hybridMultilevel"/>
    <w:tmpl w:val="5EF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4724"/>
    <w:rsid w:val="000124AB"/>
    <w:rsid w:val="000137F6"/>
    <w:rsid w:val="0001386E"/>
    <w:rsid w:val="00020E8A"/>
    <w:rsid w:val="0002376F"/>
    <w:rsid w:val="00030E89"/>
    <w:rsid w:val="00033F72"/>
    <w:rsid w:val="000411FE"/>
    <w:rsid w:val="00052FC3"/>
    <w:rsid w:val="000574DE"/>
    <w:rsid w:val="00061A05"/>
    <w:rsid w:val="0006560F"/>
    <w:rsid w:val="00066544"/>
    <w:rsid w:val="00066FFF"/>
    <w:rsid w:val="0007138D"/>
    <w:rsid w:val="00072602"/>
    <w:rsid w:val="000741CA"/>
    <w:rsid w:val="000A0540"/>
    <w:rsid w:val="000B0135"/>
    <w:rsid w:val="000B02BB"/>
    <w:rsid w:val="000C4484"/>
    <w:rsid w:val="000D28D2"/>
    <w:rsid w:val="000D49BA"/>
    <w:rsid w:val="000D7831"/>
    <w:rsid w:val="000D7AF5"/>
    <w:rsid w:val="000E357F"/>
    <w:rsid w:val="000F1C70"/>
    <w:rsid w:val="000F5084"/>
    <w:rsid w:val="00107F34"/>
    <w:rsid w:val="00107F5D"/>
    <w:rsid w:val="001249E9"/>
    <w:rsid w:val="001403DC"/>
    <w:rsid w:val="00145252"/>
    <w:rsid w:val="00146501"/>
    <w:rsid w:val="001710A7"/>
    <w:rsid w:val="001823F0"/>
    <w:rsid w:val="00185785"/>
    <w:rsid w:val="001936F2"/>
    <w:rsid w:val="00193E79"/>
    <w:rsid w:val="00193F97"/>
    <w:rsid w:val="001A02D9"/>
    <w:rsid w:val="001A04CB"/>
    <w:rsid w:val="001A26D8"/>
    <w:rsid w:val="001A46F7"/>
    <w:rsid w:val="001A68BE"/>
    <w:rsid w:val="001B0778"/>
    <w:rsid w:val="001B67F8"/>
    <w:rsid w:val="001B6A0C"/>
    <w:rsid w:val="001C3AF7"/>
    <w:rsid w:val="001D2915"/>
    <w:rsid w:val="001E1133"/>
    <w:rsid w:val="001E5203"/>
    <w:rsid w:val="001E66F9"/>
    <w:rsid w:val="001E6CA2"/>
    <w:rsid w:val="001E6F72"/>
    <w:rsid w:val="001E7F2F"/>
    <w:rsid w:val="001F330A"/>
    <w:rsid w:val="001F4465"/>
    <w:rsid w:val="001F553D"/>
    <w:rsid w:val="001F586D"/>
    <w:rsid w:val="00200C3D"/>
    <w:rsid w:val="0020448B"/>
    <w:rsid w:val="00204AF0"/>
    <w:rsid w:val="002070DC"/>
    <w:rsid w:val="00210758"/>
    <w:rsid w:val="002108E5"/>
    <w:rsid w:val="00214541"/>
    <w:rsid w:val="002250CB"/>
    <w:rsid w:val="0022650B"/>
    <w:rsid w:val="00226907"/>
    <w:rsid w:val="002300D6"/>
    <w:rsid w:val="002325D1"/>
    <w:rsid w:val="002344D7"/>
    <w:rsid w:val="00250927"/>
    <w:rsid w:val="00250FB8"/>
    <w:rsid w:val="00252844"/>
    <w:rsid w:val="00253178"/>
    <w:rsid w:val="0025493A"/>
    <w:rsid w:val="00271955"/>
    <w:rsid w:val="0027317B"/>
    <w:rsid w:val="00280747"/>
    <w:rsid w:val="00287370"/>
    <w:rsid w:val="00292A50"/>
    <w:rsid w:val="00296AF5"/>
    <w:rsid w:val="002A4B61"/>
    <w:rsid w:val="002A522E"/>
    <w:rsid w:val="002B07B9"/>
    <w:rsid w:val="002B42F6"/>
    <w:rsid w:val="002B63D1"/>
    <w:rsid w:val="002B7142"/>
    <w:rsid w:val="002C02DB"/>
    <w:rsid w:val="002C148E"/>
    <w:rsid w:val="002C1ED4"/>
    <w:rsid w:val="002D2898"/>
    <w:rsid w:val="002E00C7"/>
    <w:rsid w:val="002E0F5E"/>
    <w:rsid w:val="002E296C"/>
    <w:rsid w:val="002E2DAA"/>
    <w:rsid w:val="002E7B25"/>
    <w:rsid w:val="002F06B3"/>
    <w:rsid w:val="002F6B3C"/>
    <w:rsid w:val="00301EA5"/>
    <w:rsid w:val="00301FB9"/>
    <w:rsid w:val="00303FB1"/>
    <w:rsid w:val="00304772"/>
    <w:rsid w:val="00305820"/>
    <w:rsid w:val="00306A39"/>
    <w:rsid w:val="0030731F"/>
    <w:rsid w:val="00312A67"/>
    <w:rsid w:val="00312B6F"/>
    <w:rsid w:val="003255C7"/>
    <w:rsid w:val="00327824"/>
    <w:rsid w:val="003340D8"/>
    <w:rsid w:val="00335B61"/>
    <w:rsid w:val="00356932"/>
    <w:rsid w:val="00360F48"/>
    <w:rsid w:val="0036521B"/>
    <w:rsid w:val="003666C0"/>
    <w:rsid w:val="00376118"/>
    <w:rsid w:val="00382FB9"/>
    <w:rsid w:val="0039074B"/>
    <w:rsid w:val="00391ADD"/>
    <w:rsid w:val="003A18E3"/>
    <w:rsid w:val="003A27C2"/>
    <w:rsid w:val="003A38BD"/>
    <w:rsid w:val="003A5EE0"/>
    <w:rsid w:val="003B14A6"/>
    <w:rsid w:val="003C67EB"/>
    <w:rsid w:val="003E1E2A"/>
    <w:rsid w:val="003E269B"/>
    <w:rsid w:val="003E2C1C"/>
    <w:rsid w:val="003E41F5"/>
    <w:rsid w:val="003F2E12"/>
    <w:rsid w:val="003F33A3"/>
    <w:rsid w:val="003F5488"/>
    <w:rsid w:val="003F5776"/>
    <w:rsid w:val="00401F31"/>
    <w:rsid w:val="00416CE8"/>
    <w:rsid w:val="00424DB6"/>
    <w:rsid w:val="0042746B"/>
    <w:rsid w:val="00437418"/>
    <w:rsid w:val="00441DF2"/>
    <w:rsid w:val="00442FD6"/>
    <w:rsid w:val="00461DCB"/>
    <w:rsid w:val="004656CF"/>
    <w:rsid w:val="00471F2D"/>
    <w:rsid w:val="00483345"/>
    <w:rsid w:val="00485542"/>
    <w:rsid w:val="00492655"/>
    <w:rsid w:val="00493868"/>
    <w:rsid w:val="00495646"/>
    <w:rsid w:val="004966C3"/>
    <w:rsid w:val="004A76F5"/>
    <w:rsid w:val="004B0680"/>
    <w:rsid w:val="004B34DB"/>
    <w:rsid w:val="004C2B4D"/>
    <w:rsid w:val="004D3F58"/>
    <w:rsid w:val="004E47AD"/>
    <w:rsid w:val="004E7A6A"/>
    <w:rsid w:val="004F26E9"/>
    <w:rsid w:val="004F2E52"/>
    <w:rsid w:val="004F561E"/>
    <w:rsid w:val="00507232"/>
    <w:rsid w:val="00532DD5"/>
    <w:rsid w:val="005355AB"/>
    <w:rsid w:val="00536757"/>
    <w:rsid w:val="00541EE0"/>
    <w:rsid w:val="005423F6"/>
    <w:rsid w:val="005468EF"/>
    <w:rsid w:val="005479B5"/>
    <w:rsid w:val="00554617"/>
    <w:rsid w:val="00557696"/>
    <w:rsid w:val="005643CC"/>
    <w:rsid w:val="00564481"/>
    <w:rsid w:val="005662DD"/>
    <w:rsid w:val="00571DEA"/>
    <w:rsid w:val="00580714"/>
    <w:rsid w:val="00581C79"/>
    <w:rsid w:val="00583BDC"/>
    <w:rsid w:val="005941B5"/>
    <w:rsid w:val="005955B6"/>
    <w:rsid w:val="005A08EC"/>
    <w:rsid w:val="005A10A2"/>
    <w:rsid w:val="005A6032"/>
    <w:rsid w:val="005B16B7"/>
    <w:rsid w:val="005B2158"/>
    <w:rsid w:val="005B4C31"/>
    <w:rsid w:val="005B6AB5"/>
    <w:rsid w:val="005C1D5E"/>
    <w:rsid w:val="005C3236"/>
    <w:rsid w:val="005C5033"/>
    <w:rsid w:val="005C6849"/>
    <w:rsid w:val="005D0A84"/>
    <w:rsid w:val="005E34B4"/>
    <w:rsid w:val="005E6D68"/>
    <w:rsid w:val="005E7A1E"/>
    <w:rsid w:val="005E7AC0"/>
    <w:rsid w:val="00606793"/>
    <w:rsid w:val="006129FE"/>
    <w:rsid w:val="00617FD3"/>
    <w:rsid w:val="00630622"/>
    <w:rsid w:val="00640B76"/>
    <w:rsid w:val="0064117E"/>
    <w:rsid w:val="00641D5D"/>
    <w:rsid w:val="006507A7"/>
    <w:rsid w:val="00652B6E"/>
    <w:rsid w:val="006533E8"/>
    <w:rsid w:val="00663F3D"/>
    <w:rsid w:val="00666594"/>
    <w:rsid w:val="00674A53"/>
    <w:rsid w:val="00676A3C"/>
    <w:rsid w:val="00682F0E"/>
    <w:rsid w:val="00683265"/>
    <w:rsid w:val="00692989"/>
    <w:rsid w:val="00693927"/>
    <w:rsid w:val="00695717"/>
    <w:rsid w:val="006A1B98"/>
    <w:rsid w:val="006C01E6"/>
    <w:rsid w:val="006C41FE"/>
    <w:rsid w:val="006C44EC"/>
    <w:rsid w:val="006D623A"/>
    <w:rsid w:val="006D76FE"/>
    <w:rsid w:val="006F4A17"/>
    <w:rsid w:val="006F4C10"/>
    <w:rsid w:val="00703C97"/>
    <w:rsid w:val="00711F99"/>
    <w:rsid w:val="00725ADA"/>
    <w:rsid w:val="00725C5C"/>
    <w:rsid w:val="007322D5"/>
    <w:rsid w:val="00732713"/>
    <w:rsid w:val="00734FA2"/>
    <w:rsid w:val="0074272F"/>
    <w:rsid w:val="007427C5"/>
    <w:rsid w:val="00762A22"/>
    <w:rsid w:val="007635B7"/>
    <w:rsid w:val="0076475C"/>
    <w:rsid w:val="00772FFC"/>
    <w:rsid w:val="00776901"/>
    <w:rsid w:val="00781AFE"/>
    <w:rsid w:val="00784D9F"/>
    <w:rsid w:val="00786E20"/>
    <w:rsid w:val="007871A8"/>
    <w:rsid w:val="007946C1"/>
    <w:rsid w:val="00796A25"/>
    <w:rsid w:val="007A05CA"/>
    <w:rsid w:val="007B442E"/>
    <w:rsid w:val="007B70E1"/>
    <w:rsid w:val="007C01D3"/>
    <w:rsid w:val="007C099B"/>
    <w:rsid w:val="007C0CFC"/>
    <w:rsid w:val="007C11EE"/>
    <w:rsid w:val="007C4980"/>
    <w:rsid w:val="007C6898"/>
    <w:rsid w:val="007D1B4A"/>
    <w:rsid w:val="007D4934"/>
    <w:rsid w:val="007D4E09"/>
    <w:rsid w:val="007D6FA4"/>
    <w:rsid w:val="007E5AC5"/>
    <w:rsid w:val="007F4230"/>
    <w:rsid w:val="00812852"/>
    <w:rsid w:val="008138D3"/>
    <w:rsid w:val="00821A34"/>
    <w:rsid w:val="00822850"/>
    <w:rsid w:val="008239A9"/>
    <w:rsid w:val="00823B1B"/>
    <w:rsid w:val="00833B1B"/>
    <w:rsid w:val="00846C18"/>
    <w:rsid w:val="00855631"/>
    <w:rsid w:val="00857D57"/>
    <w:rsid w:val="00861AD0"/>
    <w:rsid w:val="008635EF"/>
    <w:rsid w:val="00866873"/>
    <w:rsid w:val="00874D8C"/>
    <w:rsid w:val="00881E5A"/>
    <w:rsid w:val="00891A7F"/>
    <w:rsid w:val="00897F73"/>
    <w:rsid w:val="008A16A4"/>
    <w:rsid w:val="008A7E12"/>
    <w:rsid w:val="008A7FE1"/>
    <w:rsid w:val="008B3F8D"/>
    <w:rsid w:val="008B773E"/>
    <w:rsid w:val="008C3D4D"/>
    <w:rsid w:val="008C51F6"/>
    <w:rsid w:val="008C7990"/>
    <w:rsid w:val="008E620D"/>
    <w:rsid w:val="008F1032"/>
    <w:rsid w:val="008F18BE"/>
    <w:rsid w:val="008F2067"/>
    <w:rsid w:val="008F6AEC"/>
    <w:rsid w:val="0090431D"/>
    <w:rsid w:val="009058A8"/>
    <w:rsid w:val="00913F84"/>
    <w:rsid w:val="0091440F"/>
    <w:rsid w:val="009272A2"/>
    <w:rsid w:val="0093007A"/>
    <w:rsid w:val="00933D6A"/>
    <w:rsid w:val="00933DC8"/>
    <w:rsid w:val="00935D9F"/>
    <w:rsid w:val="009379C1"/>
    <w:rsid w:val="009401F3"/>
    <w:rsid w:val="0094040D"/>
    <w:rsid w:val="00946AB0"/>
    <w:rsid w:val="0095230E"/>
    <w:rsid w:val="009555D5"/>
    <w:rsid w:val="00962BF2"/>
    <w:rsid w:val="00981536"/>
    <w:rsid w:val="00981561"/>
    <w:rsid w:val="00981B88"/>
    <w:rsid w:val="00982518"/>
    <w:rsid w:val="00984CDB"/>
    <w:rsid w:val="00987307"/>
    <w:rsid w:val="00995AA2"/>
    <w:rsid w:val="009A0E0F"/>
    <w:rsid w:val="009A1B11"/>
    <w:rsid w:val="009A29FF"/>
    <w:rsid w:val="009B69A0"/>
    <w:rsid w:val="009B71BC"/>
    <w:rsid w:val="009F2BBA"/>
    <w:rsid w:val="009F499F"/>
    <w:rsid w:val="009F4E8B"/>
    <w:rsid w:val="00A010B3"/>
    <w:rsid w:val="00A03A2D"/>
    <w:rsid w:val="00A110F0"/>
    <w:rsid w:val="00A12C8E"/>
    <w:rsid w:val="00A171D2"/>
    <w:rsid w:val="00A25415"/>
    <w:rsid w:val="00A30761"/>
    <w:rsid w:val="00A4374B"/>
    <w:rsid w:val="00A465AF"/>
    <w:rsid w:val="00A52249"/>
    <w:rsid w:val="00A65556"/>
    <w:rsid w:val="00A75FB5"/>
    <w:rsid w:val="00A82FDF"/>
    <w:rsid w:val="00A94CC4"/>
    <w:rsid w:val="00A9787A"/>
    <w:rsid w:val="00AA5221"/>
    <w:rsid w:val="00AA7418"/>
    <w:rsid w:val="00AB643A"/>
    <w:rsid w:val="00AC6F72"/>
    <w:rsid w:val="00AD3F53"/>
    <w:rsid w:val="00AD7616"/>
    <w:rsid w:val="00AE59DA"/>
    <w:rsid w:val="00AE7E8A"/>
    <w:rsid w:val="00AF22CD"/>
    <w:rsid w:val="00AF383E"/>
    <w:rsid w:val="00AF4B65"/>
    <w:rsid w:val="00AF7345"/>
    <w:rsid w:val="00B03707"/>
    <w:rsid w:val="00B10BA6"/>
    <w:rsid w:val="00B13DCB"/>
    <w:rsid w:val="00B22D30"/>
    <w:rsid w:val="00B254D7"/>
    <w:rsid w:val="00B311B5"/>
    <w:rsid w:val="00B447A7"/>
    <w:rsid w:val="00B47CC3"/>
    <w:rsid w:val="00B5003E"/>
    <w:rsid w:val="00B572E8"/>
    <w:rsid w:val="00B622FD"/>
    <w:rsid w:val="00B63EF7"/>
    <w:rsid w:val="00B64AE6"/>
    <w:rsid w:val="00B7613F"/>
    <w:rsid w:val="00B83CA2"/>
    <w:rsid w:val="00B85C6D"/>
    <w:rsid w:val="00B92F63"/>
    <w:rsid w:val="00B940C3"/>
    <w:rsid w:val="00BA5F58"/>
    <w:rsid w:val="00BA7926"/>
    <w:rsid w:val="00BB0F70"/>
    <w:rsid w:val="00BB211A"/>
    <w:rsid w:val="00BB2413"/>
    <w:rsid w:val="00BB743A"/>
    <w:rsid w:val="00BB7CD0"/>
    <w:rsid w:val="00BB7E74"/>
    <w:rsid w:val="00BC17DE"/>
    <w:rsid w:val="00BC4164"/>
    <w:rsid w:val="00BD16B1"/>
    <w:rsid w:val="00BD28C7"/>
    <w:rsid w:val="00BD34A6"/>
    <w:rsid w:val="00BE2443"/>
    <w:rsid w:val="00BE3772"/>
    <w:rsid w:val="00BF2EF7"/>
    <w:rsid w:val="00BF48A6"/>
    <w:rsid w:val="00BF67D0"/>
    <w:rsid w:val="00BF7975"/>
    <w:rsid w:val="00C023EC"/>
    <w:rsid w:val="00C17C14"/>
    <w:rsid w:val="00C20BE4"/>
    <w:rsid w:val="00C21183"/>
    <w:rsid w:val="00C250F5"/>
    <w:rsid w:val="00C27C0E"/>
    <w:rsid w:val="00C33577"/>
    <w:rsid w:val="00C3688F"/>
    <w:rsid w:val="00C36BF8"/>
    <w:rsid w:val="00C55128"/>
    <w:rsid w:val="00C57F4B"/>
    <w:rsid w:val="00C66BE3"/>
    <w:rsid w:val="00C67C8A"/>
    <w:rsid w:val="00C722BE"/>
    <w:rsid w:val="00C81C91"/>
    <w:rsid w:val="00CA105C"/>
    <w:rsid w:val="00CA2B37"/>
    <w:rsid w:val="00CB5726"/>
    <w:rsid w:val="00CC2441"/>
    <w:rsid w:val="00CC5F17"/>
    <w:rsid w:val="00CC7234"/>
    <w:rsid w:val="00CD1BA0"/>
    <w:rsid w:val="00CD2CAC"/>
    <w:rsid w:val="00CD45C7"/>
    <w:rsid w:val="00CD4BAC"/>
    <w:rsid w:val="00CD5390"/>
    <w:rsid w:val="00CD56E7"/>
    <w:rsid w:val="00CD5979"/>
    <w:rsid w:val="00CD78E4"/>
    <w:rsid w:val="00CE0E23"/>
    <w:rsid w:val="00CE1C78"/>
    <w:rsid w:val="00CE1E61"/>
    <w:rsid w:val="00CF3B66"/>
    <w:rsid w:val="00CF533D"/>
    <w:rsid w:val="00D03AF6"/>
    <w:rsid w:val="00D04412"/>
    <w:rsid w:val="00D054DA"/>
    <w:rsid w:val="00D15963"/>
    <w:rsid w:val="00D16DA7"/>
    <w:rsid w:val="00D177FF"/>
    <w:rsid w:val="00D20BBD"/>
    <w:rsid w:val="00D20EEF"/>
    <w:rsid w:val="00D21F5E"/>
    <w:rsid w:val="00D37919"/>
    <w:rsid w:val="00D4404B"/>
    <w:rsid w:val="00D47222"/>
    <w:rsid w:val="00D50A66"/>
    <w:rsid w:val="00D5743F"/>
    <w:rsid w:val="00D748AA"/>
    <w:rsid w:val="00D810B4"/>
    <w:rsid w:val="00D82FC7"/>
    <w:rsid w:val="00D859D6"/>
    <w:rsid w:val="00D8734C"/>
    <w:rsid w:val="00D878A4"/>
    <w:rsid w:val="00D9308B"/>
    <w:rsid w:val="00D95A13"/>
    <w:rsid w:val="00D97E0E"/>
    <w:rsid w:val="00DA6E03"/>
    <w:rsid w:val="00DB2597"/>
    <w:rsid w:val="00DB3EF6"/>
    <w:rsid w:val="00DC4EC1"/>
    <w:rsid w:val="00DD37BE"/>
    <w:rsid w:val="00DD72FD"/>
    <w:rsid w:val="00DE35FE"/>
    <w:rsid w:val="00DE3DA0"/>
    <w:rsid w:val="00DE50EA"/>
    <w:rsid w:val="00DF11DC"/>
    <w:rsid w:val="00DF26D9"/>
    <w:rsid w:val="00DF5F17"/>
    <w:rsid w:val="00DF7297"/>
    <w:rsid w:val="00DF7B97"/>
    <w:rsid w:val="00E035D2"/>
    <w:rsid w:val="00E1161A"/>
    <w:rsid w:val="00E15995"/>
    <w:rsid w:val="00E166E6"/>
    <w:rsid w:val="00E248DB"/>
    <w:rsid w:val="00E44115"/>
    <w:rsid w:val="00E5648E"/>
    <w:rsid w:val="00E56617"/>
    <w:rsid w:val="00E56F92"/>
    <w:rsid w:val="00E6174B"/>
    <w:rsid w:val="00E706CA"/>
    <w:rsid w:val="00E71B63"/>
    <w:rsid w:val="00E73A63"/>
    <w:rsid w:val="00E814E9"/>
    <w:rsid w:val="00ED2419"/>
    <w:rsid w:val="00ED290D"/>
    <w:rsid w:val="00ED7B28"/>
    <w:rsid w:val="00EF75AB"/>
    <w:rsid w:val="00EF7F11"/>
    <w:rsid w:val="00F021EB"/>
    <w:rsid w:val="00F02A71"/>
    <w:rsid w:val="00F02BB6"/>
    <w:rsid w:val="00F05D5C"/>
    <w:rsid w:val="00F06F78"/>
    <w:rsid w:val="00F130D3"/>
    <w:rsid w:val="00F13C4C"/>
    <w:rsid w:val="00F1566C"/>
    <w:rsid w:val="00F160E2"/>
    <w:rsid w:val="00F16BFA"/>
    <w:rsid w:val="00F20759"/>
    <w:rsid w:val="00F236D8"/>
    <w:rsid w:val="00F25A25"/>
    <w:rsid w:val="00F3152C"/>
    <w:rsid w:val="00F3258A"/>
    <w:rsid w:val="00F3539E"/>
    <w:rsid w:val="00F360A4"/>
    <w:rsid w:val="00F37052"/>
    <w:rsid w:val="00F413AC"/>
    <w:rsid w:val="00F41AAA"/>
    <w:rsid w:val="00F41D04"/>
    <w:rsid w:val="00F4500A"/>
    <w:rsid w:val="00F5058C"/>
    <w:rsid w:val="00F51812"/>
    <w:rsid w:val="00F6635A"/>
    <w:rsid w:val="00F66496"/>
    <w:rsid w:val="00F76E4A"/>
    <w:rsid w:val="00F82E20"/>
    <w:rsid w:val="00F82FB8"/>
    <w:rsid w:val="00F90FE6"/>
    <w:rsid w:val="00F91B04"/>
    <w:rsid w:val="00F92894"/>
    <w:rsid w:val="00FB1E56"/>
    <w:rsid w:val="00FB29FD"/>
    <w:rsid w:val="00FB5C55"/>
    <w:rsid w:val="00FD3D2A"/>
    <w:rsid w:val="00FD4D07"/>
    <w:rsid w:val="00FD5217"/>
    <w:rsid w:val="00FD7378"/>
    <w:rsid w:val="00FE1726"/>
    <w:rsid w:val="00FE609C"/>
    <w:rsid w:val="00FF1B95"/>
    <w:rsid w:val="00FF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9B0267"/>
  <w15:docId w15:val="{D9C871BB-FB84-4E99-AC6E-4FF10BF7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7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DB2597"/>
    <w:rPr>
      <w:sz w:val="16"/>
      <w:szCs w:val="16"/>
    </w:rPr>
  </w:style>
  <w:style w:type="paragraph" w:styleId="CommentText">
    <w:name w:val="annotation text"/>
    <w:basedOn w:val="Normal"/>
    <w:link w:val="CommentTextChar"/>
    <w:rsid w:val="002B07B9"/>
    <w:rPr>
      <w:rFonts w:asciiTheme="minorHAnsi" w:hAnsiTheme="minorHAnsi"/>
      <w:sz w:val="22"/>
    </w:rPr>
  </w:style>
  <w:style w:type="character" w:customStyle="1" w:styleId="CommentTextChar">
    <w:name w:val="Comment Text Char"/>
    <w:basedOn w:val="DefaultParagraphFont"/>
    <w:link w:val="CommentText"/>
    <w:rsid w:val="002B07B9"/>
    <w:rPr>
      <w:rFonts w:asciiTheme="minorHAnsi" w:hAnsiTheme="minorHAnsi"/>
      <w:sz w:val="22"/>
    </w:rPr>
  </w:style>
  <w:style w:type="paragraph" w:styleId="BalloonText">
    <w:name w:val="Balloon Text"/>
    <w:basedOn w:val="Normal"/>
    <w:link w:val="BalloonTextChar"/>
    <w:rsid w:val="00DB2597"/>
    <w:rPr>
      <w:rFonts w:ascii="Segoe UI" w:hAnsi="Segoe UI" w:cs="Segoe UI"/>
      <w:sz w:val="18"/>
      <w:szCs w:val="18"/>
    </w:rPr>
  </w:style>
  <w:style w:type="character" w:customStyle="1" w:styleId="BalloonTextChar">
    <w:name w:val="Balloon Text Char"/>
    <w:basedOn w:val="DefaultParagraphFont"/>
    <w:link w:val="BalloonText"/>
    <w:rsid w:val="00DB2597"/>
    <w:rPr>
      <w:rFonts w:ascii="Segoe UI" w:hAnsi="Segoe UI" w:cs="Segoe UI"/>
      <w:sz w:val="18"/>
      <w:szCs w:val="18"/>
    </w:rPr>
  </w:style>
  <w:style w:type="paragraph" w:styleId="CommentSubject">
    <w:name w:val="annotation subject"/>
    <w:basedOn w:val="CommentText"/>
    <w:next w:val="CommentText"/>
    <w:link w:val="CommentSubjectChar"/>
    <w:rsid w:val="00DE50EA"/>
    <w:rPr>
      <w:rFonts w:ascii="Times New Roman" w:hAnsi="Times New Roman"/>
      <w:b/>
      <w:bCs/>
    </w:rPr>
  </w:style>
  <w:style w:type="character" w:customStyle="1" w:styleId="CommentSubjectChar">
    <w:name w:val="Comment Subject Char"/>
    <w:basedOn w:val="CommentTextChar"/>
    <w:link w:val="CommentSubject"/>
    <w:rsid w:val="00DE50EA"/>
    <w:rPr>
      <w:rFonts w:ascii="Courier" w:hAnsi="Courier"/>
      <w:b/>
      <w:bCs/>
      <w:sz w:val="22"/>
    </w:rPr>
  </w:style>
  <w:style w:type="paragraph" w:styleId="Revision">
    <w:name w:val="Revision"/>
    <w:hidden/>
    <w:uiPriority w:val="99"/>
    <w:semiHidden/>
    <w:rsid w:val="00A94CC4"/>
  </w:style>
  <w:style w:type="character" w:styleId="FollowedHyperlink">
    <w:name w:val="FollowedHyperlink"/>
    <w:basedOn w:val="DefaultParagraphFont"/>
    <w:semiHidden/>
    <w:unhideWhenUsed/>
    <w:rsid w:val="00D21F5E"/>
    <w:rPr>
      <w:color w:val="954F72" w:themeColor="followedHyperlink"/>
      <w:u w:val="single"/>
    </w:rPr>
  </w:style>
  <w:style w:type="character" w:customStyle="1" w:styleId="FooterChar">
    <w:name w:val="Footer Char"/>
    <w:basedOn w:val="DefaultParagraphFont"/>
    <w:link w:val="Footer"/>
    <w:uiPriority w:val="99"/>
    <w:rsid w:val="00CC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b929301a8f136cc80acaa4832e9e7cda&amp;tpl=/ecfrbrowse/Title50/50cfr679_main_02.tpl" TargetMode="External"/><Relationship Id="rId13" Type="http://schemas.openxmlformats.org/officeDocument/2006/relationships/hyperlink" Target="http://www.fws.gov/informationquality/section515.html" TargetMode="External"/><Relationship Id="rId18" Type="http://schemas.openxmlformats.org/officeDocument/2006/relationships/hyperlink" Target="https://www.bls.gov/oes/current/oes_research_estimates.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fr.gov/cgi-bin/text-idx?c=ecfr&amp;SID=b929301a8f136cc80acaa4832e9e7cda&amp;rgn=div8&amp;view=text&amp;node=50:11.0.2.11.1.5.21.3&amp;idno=50" TargetMode="External"/><Relationship Id="rId17" Type="http://schemas.openxmlformats.org/officeDocument/2006/relationships/hyperlink" Target="http://www.bls.gov/oes" TargetMode="External"/><Relationship Id="rId2" Type="http://schemas.openxmlformats.org/officeDocument/2006/relationships/numbering" Target="numbering.xml"/><Relationship Id="rId16" Type="http://schemas.openxmlformats.org/officeDocument/2006/relationships/hyperlink" Target="http://www.osec.doc.gov/opog/PrivacyAct/SORNs/noaa-1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fisheries.noaa.gov/sfa/laws_policies/msa/documents/msa_amended_2007.pdf" TargetMode="External"/><Relationship Id="rId19" Type="http://schemas.openxmlformats.org/officeDocument/2006/relationships/hyperlink" Target="https://www.fisheries.noaa.gov/alaska/commercial-fishing/permits-and-licenses-issued-alaska" TargetMode="External"/><Relationship Id="rId4" Type="http://schemas.openxmlformats.org/officeDocument/2006/relationships/settings" Target="settings.xml"/><Relationship Id="rId9" Type="http://schemas.openxmlformats.org/officeDocument/2006/relationships/hyperlink" Target="https://www.law.cornell.edu/uscode/text/16/chapter-10/subchapter-IV" TargetMode="External"/><Relationship Id="rId14" Type="http://schemas.openxmlformats.org/officeDocument/2006/relationships/hyperlink" Target="https://www.fisheries.noaa.gov/permit/alaska-ifq-halibut-sablefish-and-cdq-halibut-program-fishery-applications-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80A35-C245-4CC0-94C4-4825FDBF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4297</Words>
  <Characters>24270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 Thomas</cp:lastModifiedBy>
  <cp:revision>5</cp:revision>
  <cp:lastPrinted>2020-01-31T16:19:00Z</cp:lastPrinted>
  <dcterms:created xsi:type="dcterms:W3CDTF">2020-02-15T21:14:00Z</dcterms:created>
  <dcterms:modified xsi:type="dcterms:W3CDTF">2020-02-15T22:07:00Z</dcterms:modified>
</cp:coreProperties>
</file>