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EA6C04" w:rsidRDefault="00EA6C04" w14:paraId="2EBCC784"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Pr="00B65901" w:rsidR="007D3A48" w:rsidP="00B65901" w:rsidRDefault="007D3A48" w14:paraId="1B3EE59A" w14:textId="77777777">
      <w:pPr>
        <w:spacing w:line="240" w:lineRule="auto"/>
        <w:jc w:val="center"/>
        <w:rPr>
          <w:rFonts w:asciiTheme="majorHAnsi" w:hAnsiTheme="majorHAnsi"/>
          <w:sz w:val="24"/>
        </w:rPr>
      </w:pPr>
      <w:r w:rsidRPr="00B65901">
        <w:rPr>
          <w:rFonts w:asciiTheme="majorHAnsi" w:hAnsiTheme="majorHAnsi"/>
          <w:sz w:val="24"/>
        </w:rPr>
        <w:t>Joint Civilian Orientation Conference Program (JCOC)</w:t>
      </w:r>
    </w:p>
    <w:p w:rsidR="00EA6C04" w:rsidP="00B65901" w:rsidRDefault="007D3A48" w14:paraId="56FB05D5" w14:textId="77777777">
      <w:pPr>
        <w:spacing w:line="240" w:lineRule="auto"/>
        <w:jc w:val="center"/>
        <w:rPr>
          <w:rFonts w:asciiTheme="majorHAnsi" w:hAnsiTheme="majorHAnsi"/>
          <w:sz w:val="24"/>
        </w:rPr>
      </w:pPr>
      <w:r w:rsidRPr="00B65901">
        <w:rPr>
          <w:rFonts w:asciiTheme="majorHAnsi" w:hAnsiTheme="majorHAnsi"/>
          <w:sz w:val="24"/>
        </w:rPr>
        <w:t>Eligibility of Nominators and Candidates</w:t>
      </w:r>
      <w:r w:rsidRPr="00B65901" w:rsidR="00EA6C04">
        <w:rPr>
          <w:rFonts w:asciiTheme="majorHAnsi" w:hAnsiTheme="majorHAnsi"/>
          <w:sz w:val="24"/>
        </w:rPr>
        <w:t xml:space="preserve"> – </w:t>
      </w:r>
      <w:r w:rsidRPr="00B65901">
        <w:rPr>
          <w:rFonts w:asciiTheme="majorHAnsi" w:hAnsiTheme="majorHAnsi"/>
          <w:sz w:val="24"/>
        </w:rPr>
        <w:t>0704-0562</w:t>
      </w:r>
    </w:p>
    <w:p w:rsidR="00340D9B" w:rsidP="006E563D" w:rsidRDefault="00340D9B" w14:paraId="771BA1C1" w14:textId="77777777">
      <w:pPr>
        <w:spacing w:after="0" w:line="240" w:lineRule="auto"/>
        <w:rPr>
          <w:rFonts w:asciiTheme="majorHAnsi" w:hAnsiTheme="majorHAnsi"/>
          <w:sz w:val="24"/>
        </w:rPr>
      </w:pPr>
    </w:p>
    <w:p w:rsidRPr="0085688C" w:rsidR="005C7428" w:rsidP="006E563D" w:rsidRDefault="0027743E" w14:paraId="451CD24E" w14:textId="77777777">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Pr="007D3A48" w:rsidR="007D3A48" w:rsidP="007D3A48" w:rsidRDefault="007D3A48" w14:paraId="7DBCD0E0" w14:textId="77777777">
      <w:pPr>
        <w:spacing w:after="0" w:line="240" w:lineRule="auto"/>
        <w:rPr>
          <w:rFonts w:asciiTheme="majorHAnsi" w:hAnsiTheme="majorHAnsi"/>
          <w:iCs/>
          <w:sz w:val="24"/>
        </w:rPr>
      </w:pPr>
      <w:r w:rsidRPr="007D3A48">
        <w:rPr>
          <w:rFonts w:asciiTheme="majorHAnsi" w:hAnsiTheme="majorHAnsi"/>
          <w:iCs/>
          <w:sz w:val="24"/>
        </w:rPr>
        <w:t>The information collection requirement is necessary to administer the JCOC Program; to verify the eligibility of nominators and candidates; and to select those nominated individuals for participation in JCOC.</w:t>
      </w:r>
    </w:p>
    <w:p w:rsidRPr="007D3A48" w:rsidR="007D3A48" w:rsidP="007D3A48" w:rsidRDefault="007D3A48" w14:paraId="4FA619B6" w14:textId="77777777">
      <w:pPr>
        <w:spacing w:after="0" w:line="240" w:lineRule="auto"/>
        <w:rPr>
          <w:rFonts w:asciiTheme="majorHAnsi" w:hAnsiTheme="majorHAnsi"/>
          <w:iCs/>
          <w:sz w:val="24"/>
        </w:rPr>
      </w:pPr>
    </w:p>
    <w:p w:rsidRPr="007D3A48" w:rsidR="007D3A48" w:rsidP="007D3A48" w:rsidRDefault="007D3A48" w14:paraId="32352A2B" w14:textId="77777777">
      <w:pPr>
        <w:spacing w:after="0" w:line="240" w:lineRule="auto"/>
        <w:rPr>
          <w:rFonts w:asciiTheme="majorHAnsi" w:hAnsiTheme="majorHAnsi"/>
          <w:iCs/>
          <w:sz w:val="24"/>
        </w:rPr>
      </w:pPr>
      <w:r w:rsidRPr="007D3A48">
        <w:rPr>
          <w:rFonts w:asciiTheme="majorHAnsi" w:hAnsiTheme="majorHAnsi"/>
          <w:iCs/>
          <w:sz w:val="24"/>
        </w:rPr>
        <w:t xml:space="preserve">The authority for maintenance of the system is 10 U.S. Code § 113, Secretary of Defense; DoD Directive 5122.5, Assistant </w:t>
      </w:r>
      <w:r>
        <w:rPr>
          <w:rFonts w:asciiTheme="majorHAnsi" w:hAnsiTheme="majorHAnsi"/>
          <w:iCs/>
          <w:sz w:val="24"/>
        </w:rPr>
        <w:t xml:space="preserve">To the </w:t>
      </w:r>
      <w:r w:rsidRPr="007D3A48">
        <w:rPr>
          <w:rFonts w:asciiTheme="majorHAnsi" w:hAnsiTheme="majorHAnsi"/>
          <w:iCs/>
          <w:sz w:val="24"/>
        </w:rPr>
        <w:t>Secretary of Defense for Public Affairs (A</w:t>
      </w:r>
      <w:r>
        <w:rPr>
          <w:rFonts w:asciiTheme="majorHAnsi" w:hAnsiTheme="majorHAnsi"/>
          <w:iCs/>
          <w:sz w:val="24"/>
        </w:rPr>
        <w:t>T</w:t>
      </w:r>
      <w:r w:rsidRPr="007D3A48">
        <w:rPr>
          <w:rFonts w:asciiTheme="majorHAnsi" w:hAnsiTheme="majorHAnsi"/>
          <w:iCs/>
          <w:sz w:val="24"/>
        </w:rPr>
        <w:t>SD(PA)); and DoD Directive 5410.18, Public Affairs Community Relations Policy (TAB A).</w:t>
      </w:r>
    </w:p>
    <w:p w:rsidRPr="007D3A48" w:rsidR="007D3A48" w:rsidP="007D3A48" w:rsidRDefault="007D3A48" w14:paraId="3C9F7F4D" w14:textId="77777777">
      <w:pPr>
        <w:spacing w:after="0" w:line="240" w:lineRule="auto"/>
        <w:rPr>
          <w:rFonts w:asciiTheme="majorHAnsi" w:hAnsiTheme="majorHAnsi"/>
          <w:iCs/>
          <w:sz w:val="24"/>
        </w:rPr>
      </w:pPr>
    </w:p>
    <w:p w:rsidRPr="007D3A48" w:rsidR="00510F0C" w:rsidP="007D3A48" w:rsidRDefault="007D3A48" w14:paraId="4DE371FB" w14:textId="77777777">
      <w:pPr>
        <w:spacing w:after="0" w:line="240" w:lineRule="auto"/>
        <w:rPr>
          <w:rFonts w:asciiTheme="majorHAnsi" w:hAnsiTheme="majorHAnsi"/>
          <w:iCs/>
          <w:sz w:val="24"/>
        </w:rPr>
      </w:pPr>
      <w:r w:rsidRPr="007D3A48">
        <w:rPr>
          <w:rFonts w:asciiTheme="majorHAnsi" w:hAnsiTheme="majorHAnsi"/>
          <w:iCs/>
          <w:sz w:val="24"/>
        </w:rPr>
        <w:t xml:space="preserve">10 U.S. Code § 113 establishes that there is a Secretary of Defense, who has authority direction, and control over the Department of Defense. Under the authority vested in the Secretary of Defense, DoD Directive 5122.5 establishes the position of Assistant Secretary </w:t>
      </w:r>
      <w:r>
        <w:rPr>
          <w:rFonts w:asciiTheme="majorHAnsi" w:hAnsiTheme="majorHAnsi"/>
          <w:iCs/>
          <w:sz w:val="24"/>
        </w:rPr>
        <w:t xml:space="preserve">To the Secretary </w:t>
      </w:r>
      <w:r w:rsidRPr="007D3A48">
        <w:rPr>
          <w:rFonts w:asciiTheme="majorHAnsi" w:hAnsiTheme="majorHAnsi"/>
          <w:iCs/>
          <w:sz w:val="24"/>
        </w:rPr>
        <w:t>of Defense for Public Affairs (A</w:t>
      </w:r>
      <w:r>
        <w:rPr>
          <w:rFonts w:asciiTheme="majorHAnsi" w:hAnsiTheme="majorHAnsi"/>
          <w:iCs/>
          <w:sz w:val="24"/>
        </w:rPr>
        <w:t>T</w:t>
      </w:r>
      <w:r w:rsidRPr="007D3A48">
        <w:rPr>
          <w:rFonts w:asciiTheme="majorHAnsi" w:hAnsiTheme="majorHAnsi"/>
          <w:iCs/>
          <w:sz w:val="24"/>
        </w:rPr>
        <w:t>SD(PA)), with responsibilities, functions, and authorities that include the conduct of public affairs community relations activities and programs, as authorized by DoD Directive 5410.18, Public Affairs Community Relations Policy, which includes administration and execution of the JCOC Program.</w:t>
      </w:r>
    </w:p>
    <w:p w:rsidR="007D3A48" w:rsidP="007D3A48" w:rsidRDefault="007D3A48" w14:paraId="29988F30" w14:textId="77777777">
      <w:pPr>
        <w:spacing w:after="0" w:line="240" w:lineRule="auto"/>
        <w:rPr>
          <w:rFonts w:asciiTheme="majorHAnsi" w:hAnsiTheme="majorHAnsi"/>
          <w:sz w:val="24"/>
        </w:rPr>
      </w:pPr>
    </w:p>
    <w:p w:rsidRPr="0085688C" w:rsidR="005C7428" w:rsidP="006E563D" w:rsidRDefault="00510F0C" w14:paraId="5CB9F895" w14:textId="77777777">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 xml:space="preserve">Use of the </w:t>
      </w:r>
      <w:r w:rsidRPr="005C7428" w:rsidR="0085688C">
        <w:rPr>
          <w:rFonts w:asciiTheme="majorHAnsi" w:hAnsiTheme="majorHAnsi"/>
          <w:sz w:val="24"/>
          <w:u w:val="single"/>
        </w:rPr>
        <w:t>Information</w:t>
      </w:r>
    </w:p>
    <w:p w:rsidR="002E5AE5" w:rsidP="007D3A48" w:rsidRDefault="007D3A48" w14:paraId="7AFDD176" w14:textId="77777777">
      <w:pPr>
        <w:spacing w:after="0" w:line="240" w:lineRule="auto"/>
        <w:rPr>
          <w:rFonts w:asciiTheme="majorHAnsi" w:hAnsiTheme="majorHAnsi"/>
          <w:iCs/>
          <w:sz w:val="24"/>
        </w:rPr>
      </w:pPr>
      <w:r w:rsidRPr="007D3A48">
        <w:rPr>
          <w:rFonts w:asciiTheme="majorHAnsi" w:hAnsiTheme="majorHAnsi"/>
          <w:iCs/>
          <w:sz w:val="24"/>
        </w:rPr>
        <w:t xml:space="preserve">The information collection is initiated by the JCOC Program Coordinator who distributes an annual call for nominations via email to all individuals authorized to nominate candidates for participation in JCOC. </w:t>
      </w:r>
      <w:r w:rsidR="002E5AE5">
        <w:rPr>
          <w:rFonts w:asciiTheme="majorHAnsi" w:hAnsiTheme="majorHAnsi"/>
          <w:iCs/>
          <w:sz w:val="24"/>
        </w:rPr>
        <w:t xml:space="preserve"> A sample of the email is provided under supplementary documentation.</w:t>
      </w:r>
    </w:p>
    <w:p w:rsidR="002E5AE5" w:rsidP="007D3A48" w:rsidRDefault="002E5AE5" w14:paraId="64106F87" w14:textId="77777777">
      <w:pPr>
        <w:spacing w:after="0" w:line="240" w:lineRule="auto"/>
        <w:rPr>
          <w:rFonts w:asciiTheme="majorHAnsi" w:hAnsiTheme="majorHAnsi"/>
          <w:iCs/>
          <w:sz w:val="24"/>
        </w:rPr>
      </w:pPr>
    </w:p>
    <w:p w:rsidRPr="007D3A48" w:rsidR="007D3A48" w:rsidP="007D3A48" w:rsidRDefault="002E5AE5" w14:paraId="6582454B" w14:textId="5A4A2459">
      <w:pPr>
        <w:spacing w:after="0" w:line="240" w:lineRule="auto"/>
        <w:rPr>
          <w:rFonts w:asciiTheme="majorHAnsi" w:hAnsiTheme="majorHAnsi"/>
          <w:iCs/>
          <w:sz w:val="24"/>
        </w:rPr>
      </w:pPr>
      <w:r>
        <w:rPr>
          <w:rFonts w:asciiTheme="majorHAnsi" w:hAnsiTheme="majorHAnsi"/>
          <w:iCs/>
          <w:sz w:val="24"/>
        </w:rPr>
        <w:t xml:space="preserve">Nominating officials complete the (current year) </w:t>
      </w:r>
      <w:r w:rsidR="006328AE">
        <w:rPr>
          <w:rFonts w:asciiTheme="majorHAnsi" w:hAnsiTheme="majorHAnsi"/>
          <w:iCs/>
          <w:sz w:val="24"/>
        </w:rPr>
        <w:t>“JCOC N</w:t>
      </w:r>
      <w:r w:rsidRPr="007D3A48" w:rsidR="007D3A48">
        <w:rPr>
          <w:rFonts w:asciiTheme="majorHAnsi" w:hAnsiTheme="majorHAnsi"/>
          <w:iCs/>
          <w:sz w:val="24"/>
        </w:rPr>
        <w:t>omination</w:t>
      </w:r>
      <w:r w:rsidR="00D11E81">
        <w:rPr>
          <w:rFonts w:asciiTheme="majorHAnsi" w:hAnsiTheme="majorHAnsi"/>
          <w:iCs/>
          <w:sz w:val="24"/>
        </w:rPr>
        <w:t xml:space="preserve"> </w:t>
      </w:r>
      <w:r>
        <w:rPr>
          <w:rFonts w:asciiTheme="majorHAnsi" w:hAnsiTheme="majorHAnsi"/>
          <w:iCs/>
          <w:sz w:val="24"/>
        </w:rPr>
        <w:t>Form</w:t>
      </w:r>
      <w:r w:rsidR="006328AE">
        <w:rPr>
          <w:rFonts w:asciiTheme="majorHAnsi" w:hAnsiTheme="majorHAnsi"/>
          <w:iCs/>
          <w:sz w:val="24"/>
        </w:rPr>
        <w:t>”</w:t>
      </w:r>
      <w:r w:rsidRPr="007D3A48" w:rsidR="007D3A48">
        <w:rPr>
          <w:rFonts w:asciiTheme="majorHAnsi" w:hAnsiTheme="majorHAnsi"/>
          <w:iCs/>
          <w:sz w:val="24"/>
        </w:rPr>
        <w:t xml:space="preserve"> and return it via email to the JCOC Program Coordinator. </w:t>
      </w:r>
      <w:r>
        <w:rPr>
          <w:rFonts w:asciiTheme="majorHAnsi" w:hAnsiTheme="majorHAnsi"/>
          <w:iCs/>
          <w:sz w:val="24"/>
        </w:rPr>
        <w:t xml:space="preserve"> </w:t>
      </w:r>
      <w:r w:rsidR="00387966">
        <w:rPr>
          <w:rFonts w:asciiTheme="majorHAnsi" w:hAnsiTheme="majorHAnsi"/>
          <w:iCs/>
          <w:sz w:val="24"/>
        </w:rPr>
        <w:t>Nominees</w:t>
      </w:r>
      <w:r w:rsidRPr="007D3A48" w:rsidR="007D3A48">
        <w:rPr>
          <w:rFonts w:asciiTheme="majorHAnsi" w:hAnsiTheme="majorHAnsi"/>
          <w:iCs/>
          <w:sz w:val="24"/>
        </w:rPr>
        <w:t xml:space="preserve"> who accept the invitation to participate in JCOC complete the electronic </w:t>
      </w:r>
      <w:r w:rsidR="00D11E81">
        <w:rPr>
          <w:rFonts w:asciiTheme="majorHAnsi" w:hAnsiTheme="majorHAnsi"/>
          <w:iCs/>
          <w:sz w:val="24"/>
        </w:rPr>
        <w:t>“</w:t>
      </w:r>
      <w:r w:rsidR="00387966">
        <w:rPr>
          <w:rFonts w:asciiTheme="majorHAnsi" w:hAnsiTheme="majorHAnsi"/>
          <w:iCs/>
          <w:sz w:val="24"/>
        </w:rPr>
        <w:t xml:space="preserve">JCOC </w:t>
      </w:r>
      <w:r w:rsidR="00D11E81">
        <w:rPr>
          <w:rFonts w:asciiTheme="majorHAnsi" w:hAnsiTheme="majorHAnsi"/>
          <w:iCs/>
          <w:sz w:val="24"/>
        </w:rPr>
        <w:t xml:space="preserve">Registration </w:t>
      </w:r>
      <w:r w:rsidR="00387966">
        <w:rPr>
          <w:rFonts w:asciiTheme="majorHAnsi" w:hAnsiTheme="majorHAnsi"/>
          <w:iCs/>
          <w:sz w:val="24"/>
        </w:rPr>
        <w:t>Form</w:t>
      </w:r>
      <w:r w:rsidR="00D11E81">
        <w:rPr>
          <w:rFonts w:asciiTheme="majorHAnsi" w:hAnsiTheme="majorHAnsi"/>
          <w:iCs/>
          <w:sz w:val="24"/>
        </w:rPr>
        <w:t>”</w:t>
      </w:r>
      <w:r w:rsidR="00387966">
        <w:rPr>
          <w:rFonts w:asciiTheme="majorHAnsi" w:hAnsiTheme="majorHAnsi"/>
          <w:iCs/>
          <w:sz w:val="24"/>
        </w:rPr>
        <w:t xml:space="preserve"> and </w:t>
      </w:r>
      <w:r w:rsidRPr="007D3A48" w:rsidR="007D3A48">
        <w:rPr>
          <w:rFonts w:asciiTheme="majorHAnsi" w:hAnsiTheme="majorHAnsi"/>
          <w:iCs/>
          <w:sz w:val="24"/>
        </w:rPr>
        <w:t xml:space="preserve">their physician signs the </w:t>
      </w:r>
      <w:r w:rsidR="00D11E81">
        <w:rPr>
          <w:rFonts w:asciiTheme="majorHAnsi" w:hAnsiTheme="majorHAnsi"/>
          <w:iCs/>
          <w:sz w:val="24"/>
        </w:rPr>
        <w:t>“</w:t>
      </w:r>
      <w:r w:rsidR="00387966">
        <w:rPr>
          <w:rFonts w:asciiTheme="majorHAnsi" w:hAnsiTheme="majorHAnsi"/>
          <w:iCs/>
          <w:sz w:val="24"/>
        </w:rPr>
        <w:t xml:space="preserve">JCOC </w:t>
      </w:r>
      <w:r w:rsidR="00D11E81">
        <w:rPr>
          <w:rFonts w:asciiTheme="majorHAnsi" w:hAnsiTheme="majorHAnsi"/>
          <w:iCs/>
          <w:sz w:val="24"/>
        </w:rPr>
        <w:t>M</w:t>
      </w:r>
      <w:r w:rsidRPr="007D3A48" w:rsidR="007D3A48">
        <w:rPr>
          <w:rFonts w:asciiTheme="majorHAnsi" w:hAnsiTheme="majorHAnsi"/>
          <w:iCs/>
          <w:sz w:val="24"/>
        </w:rPr>
        <w:t xml:space="preserve">edical </w:t>
      </w:r>
      <w:r w:rsidR="00387966">
        <w:rPr>
          <w:rFonts w:asciiTheme="majorHAnsi" w:hAnsiTheme="majorHAnsi"/>
          <w:iCs/>
          <w:sz w:val="24"/>
        </w:rPr>
        <w:t>Form</w:t>
      </w:r>
      <w:r w:rsidR="00D11E81">
        <w:rPr>
          <w:rFonts w:asciiTheme="majorHAnsi" w:hAnsiTheme="majorHAnsi"/>
          <w:iCs/>
          <w:sz w:val="24"/>
        </w:rPr>
        <w:t>”</w:t>
      </w:r>
      <w:r w:rsidR="00387966">
        <w:rPr>
          <w:rFonts w:asciiTheme="majorHAnsi" w:hAnsiTheme="majorHAnsi"/>
          <w:iCs/>
          <w:sz w:val="24"/>
        </w:rPr>
        <w:t>.  The nominee</w:t>
      </w:r>
      <w:r w:rsidRPr="007D3A48" w:rsidR="007D3A48">
        <w:rPr>
          <w:rFonts w:asciiTheme="majorHAnsi" w:hAnsiTheme="majorHAnsi"/>
          <w:iCs/>
          <w:sz w:val="24"/>
        </w:rPr>
        <w:t xml:space="preserve"> returns both form</w:t>
      </w:r>
      <w:r w:rsidR="004F58EB">
        <w:rPr>
          <w:rFonts w:asciiTheme="majorHAnsi" w:hAnsiTheme="majorHAnsi"/>
          <w:iCs/>
          <w:sz w:val="24"/>
        </w:rPr>
        <w:t>s</w:t>
      </w:r>
      <w:r w:rsidRPr="007D3A48" w:rsidR="007D3A48">
        <w:rPr>
          <w:rFonts w:asciiTheme="majorHAnsi" w:hAnsiTheme="majorHAnsi"/>
          <w:iCs/>
          <w:sz w:val="24"/>
        </w:rPr>
        <w:t xml:space="preserve"> to the JCOC Program Coordinator via email.</w:t>
      </w:r>
    </w:p>
    <w:p w:rsidRPr="007D3A48" w:rsidR="007D3A48" w:rsidP="007D3A48" w:rsidRDefault="007D3A48" w14:paraId="51A92DEE" w14:textId="77777777">
      <w:pPr>
        <w:spacing w:after="0" w:line="240" w:lineRule="auto"/>
        <w:rPr>
          <w:rFonts w:asciiTheme="majorHAnsi" w:hAnsiTheme="majorHAnsi"/>
          <w:iCs/>
          <w:sz w:val="24"/>
        </w:rPr>
      </w:pPr>
      <w:bookmarkStart w:name="_GoBack" w:id="0"/>
      <w:bookmarkEnd w:id="0"/>
    </w:p>
    <w:p w:rsidRPr="007D3A48" w:rsidR="007D3A48" w:rsidP="007D3A48" w:rsidRDefault="007D3A48" w14:paraId="6253DB93" w14:textId="77777777">
      <w:pPr>
        <w:spacing w:after="0" w:line="240" w:lineRule="auto"/>
        <w:rPr>
          <w:rFonts w:asciiTheme="majorHAnsi" w:hAnsiTheme="majorHAnsi"/>
          <w:iCs/>
          <w:sz w:val="24"/>
        </w:rPr>
      </w:pPr>
      <w:r w:rsidRPr="007D3A48">
        <w:rPr>
          <w:rFonts w:asciiTheme="majorHAnsi" w:hAnsiTheme="majorHAnsi"/>
          <w:iCs/>
          <w:sz w:val="24"/>
        </w:rPr>
        <w:lastRenderedPageBreak/>
        <w:t xml:space="preserve">Respondents are individuals or households – specifically, JCOC alumni and DoD personnel authorized to nominate candidates for participation in JCOC, and candidates nominated for and selected to participate in JCOC. </w:t>
      </w:r>
    </w:p>
    <w:p w:rsidRPr="007D3A48" w:rsidR="007D3A48" w:rsidP="007D3A48" w:rsidRDefault="007D3A48" w14:paraId="461B879E" w14:textId="77777777">
      <w:pPr>
        <w:spacing w:after="0" w:line="240" w:lineRule="auto"/>
        <w:rPr>
          <w:rFonts w:asciiTheme="majorHAnsi" w:hAnsiTheme="majorHAnsi"/>
          <w:iCs/>
          <w:sz w:val="24"/>
        </w:rPr>
      </w:pPr>
    </w:p>
    <w:p w:rsidR="007D3A48" w:rsidDel="00167075" w:rsidP="007D3A48" w:rsidRDefault="007D3A48" w14:paraId="292EA3D9" w14:textId="77777777">
      <w:pPr>
        <w:spacing w:after="0" w:line="240" w:lineRule="auto"/>
        <w:rPr>
          <w:rFonts w:asciiTheme="majorHAnsi" w:hAnsiTheme="majorHAnsi"/>
          <w:iCs/>
          <w:sz w:val="24"/>
        </w:rPr>
      </w:pPr>
      <w:r w:rsidRPr="007D3A48">
        <w:rPr>
          <w:rFonts w:asciiTheme="majorHAnsi" w:hAnsiTheme="majorHAnsi"/>
          <w:iCs/>
          <w:sz w:val="24"/>
        </w:rPr>
        <w:t>Responding to the information collection is the only means for authorized individuals to nominate candidates for participation in JCOC and also the only means for selected candidates to accept the invitation to participate in JCOC.</w:t>
      </w:r>
    </w:p>
    <w:p w:rsidRPr="007D3A48" w:rsidR="007D3A48" w:rsidDel="00167075" w:rsidP="007D3A48" w:rsidRDefault="007D3A48" w14:paraId="7D508170" w14:textId="17359569">
      <w:pPr>
        <w:spacing w:after="0" w:line="240" w:lineRule="auto"/>
        <w:rPr>
          <w:rFonts w:asciiTheme="majorHAnsi" w:hAnsiTheme="majorHAnsi"/>
          <w:iCs/>
          <w:sz w:val="24"/>
        </w:rPr>
      </w:pPr>
    </w:p>
    <w:p w:rsidR="007D3A48" w:rsidP="007D3A48" w:rsidRDefault="007D3A48" w14:paraId="14829C14" w14:textId="696150D5">
      <w:pPr>
        <w:spacing w:after="0" w:line="240" w:lineRule="auto"/>
        <w:rPr>
          <w:rFonts w:asciiTheme="majorHAnsi" w:hAnsiTheme="majorHAnsi"/>
          <w:iCs/>
          <w:sz w:val="24"/>
        </w:rPr>
      </w:pPr>
    </w:p>
    <w:p w:rsidRPr="007D3A48" w:rsidR="00387966" w:rsidDel="00167075" w:rsidP="007D3A48" w:rsidRDefault="00387966" w14:paraId="5566E7CD" w14:textId="77777777">
      <w:pPr>
        <w:spacing w:after="0" w:line="240" w:lineRule="auto"/>
        <w:rPr>
          <w:rFonts w:asciiTheme="majorHAnsi" w:hAnsiTheme="majorHAnsi"/>
          <w:iCs/>
          <w:sz w:val="24"/>
        </w:rPr>
      </w:pPr>
    </w:p>
    <w:p w:rsidRPr="0085688C" w:rsidR="005C7428" w:rsidP="006E563D" w:rsidRDefault="005C7428" w14:paraId="6C2172F8" w14:textId="77777777">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Pr="007D3A48" w:rsidR="007D3A48" w:rsidP="007D3A48" w:rsidRDefault="007D3A48" w14:paraId="5A449485" w14:textId="77777777">
      <w:pPr>
        <w:spacing w:after="0" w:line="240" w:lineRule="auto"/>
        <w:rPr>
          <w:rFonts w:asciiTheme="majorHAnsi" w:hAnsiTheme="majorHAnsi"/>
          <w:iCs/>
          <w:sz w:val="24"/>
        </w:rPr>
      </w:pPr>
      <w:r w:rsidRPr="007D3A48">
        <w:rPr>
          <w:rFonts w:asciiTheme="majorHAnsi" w:hAnsiTheme="majorHAnsi"/>
          <w:iCs/>
          <w:sz w:val="24"/>
        </w:rPr>
        <w:t>100% of responses are collected electronically. It is the most efficient, cost-effective, and secure way to collect responses for administration of the JCOC program.</w:t>
      </w:r>
    </w:p>
    <w:p w:rsidRPr="007D3A48" w:rsidR="007D3A48" w:rsidP="007D3A48" w:rsidRDefault="007D3A48" w14:paraId="1402990C" w14:textId="77777777">
      <w:pPr>
        <w:spacing w:after="0" w:line="240" w:lineRule="auto"/>
        <w:rPr>
          <w:rFonts w:asciiTheme="majorHAnsi" w:hAnsiTheme="majorHAnsi"/>
          <w:iCs/>
          <w:sz w:val="24"/>
        </w:rPr>
      </w:pPr>
    </w:p>
    <w:p w:rsidRPr="007D3A48" w:rsidR="00B55E9F" w:rsidP="007D3A48" w:rsidRDefault="007D3A48" w14:paraId="42B615F6" w14:textId="77777777">
      <w:pPr>
        <w:spacing w:after="0" w:line="240" w:lineRule="auto"/>
        <w:rPr>
          <w:rFonts w:asciiTheme="majorHAnsi" w:hAnsiTheme="majorHAnsi"/>
          <w:iCs/>
          <w:sz w:val="24"/>
        </w:rPr>
      </w:pPr>
      <w:r w:rsidRPr="007D3A48">
        <w:rPr>
          <w:rFonts w:asciiTheme="majorHAnsi" w:hAnsiTheme="majorHAnsi"/>
          <w:iCs/>
          <w:sz w:val="24"/>
        </w:rPr>
        <w:t>No steps have been taken or planned to increase the use of information technology because 100% of responses are already being collected electronically.</w:t>
      </w:r>
    </w:p>
    <w:p w:rsidR="008635C4" w:rsidP="006E563D" w:rsidRDefault="008635C4" w14:paraId="5E754579" w14:textId="77777777">
      <w:pPr>
        <w:spacing w:after="0" w:line="240" w:lineRule="auto"/>
        <w:rPr>
          <w:rFonts w:asciiTheme="majorHAnsi" w:hAnsiTheme="majorHAnsi"/>
          <w:i/>
          <w:sz w:val="24"/>
        </w:rPr>
      </w:pPr>
    </w:p>
    <w:p w:rsidRPr="00A92880" w:rsidR="007D3A48" w:rsidP="006E563D" w:rsidRDefault="008635C4" w14:paraId="53F71B42" w14:textId="77777777">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CA15B1" w:rsidP="006E563D" w:rsidRDefault="008635C4" w14:paraId="49DD86D2" w14:textId="77777777">
      <w:pPr>
        <w:spacing w:after="0" w:line="240" w:lineRule="auto"/>
        <w:rPr>
          <w:rFonts w:asciiTheme="majorHAnsi" w:hAnsiTheme="majorHAnsi"/>
          <w:i/>
          <w:sz w:val="24"/>
        </w:rPr>
      </w:pPr>
      <w:r w:rsidRPr="007D3A48">
        <w:rPr>
          <w:rFonts w:asciiTheme="majorHAnsi" w:hAnsiTheme="majorHAnsi"/>
          <w:sz w:val="24"/>
        </w:rPr>
        <w:t xml:space="preserve">The information obtained through this collection is unique and </w:t>
      </w:r>
      <w:r w:rsidRPr="007D3A48" w:rsidR="00CA15B1">
        <w:rPr>
          <w:rFonts w:asciiTheme="majorHAnsi" w:hAnsiTheme="majorHAnsi"/>
          <w:sz w:val="24"/>
        </w:rPr>
        <w:t xml:space="preserve">is </w:t>
      </w:r>
      <w:r w:rsidRPr="007D3A48">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6E563D" w:rsidRDefault="00CA15B1" w14:paraId="528A09F1" w14:textId="77777777">
      <w:pPr>
        <w:spacing w:after="0" w:line="240" w:lineRule="auto"/>
        <w:rPr>
          <w:rFonts w:asciiTheme="majorHAnsi" w:hAnsiTheme="majorHAnsi"/>
          <w:i/>
          <w:sz w:val="24"/>
        </w:rPr>
      </w:pPr>
    </w:p>
    <w:p w:rsidRPr="00A92880" w:rsidR="00C12A31" w:rsidP="006E563D" w:rsidRDefault="00CA15B1" w14:paraId="14AC52B9" w14:textId="77777777">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sidR="007D3A48">
        <w:rPr>
          <w:rFonts w:asciiTheme="majorHAnsi" w:hAnsiTheme="majorHAnsi"/>
          <w:sz w:val="24"/>
          <w:u w:val="single"/>
        </w:rPr>
        <w:t xml:space="preserve"> </w:t>
      </w:r>
    </w:p>
    <w:p w:rsidR="002567F9" w:rsidP="006E563D" w:rsidRDefault="002567F9" w14:paraId="31EE3376" w14:textId="77777777">
      <w:pPr>
        <w:spacing w:after="0" w:line="240" w:lineRule="auto"/>
        <w:rPr>
          <w:rFonts w:asciiTheme="majorHAnsi" w:hAnsiTheme="majorHAnsi"/>
          <w:i/>
          <w:sz w:val="24"/>
        </w:rPr>
      </w:pPr>
      <w:r w:rsidRPr="007D3A48">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14:paraId="1A390ECF" w14:textId="77777777">
      <w:pPr>
        <w:spacing w:after="0" w:line="240" w:lineRule="auto"/>
        <w:rPr>
          <w:rFonts w:asciiTheme="majorHAnsi" w:hAnsiTheme="majorHAnsi"/>
          <w:i/>
          <w:sz w:val="24"/>
        </w:rPr>
      </w:pPr>
    </w:p>
    <w:p w:rsidRPr="00A92880" w:rsidR="0077012D" w:rsidP="00A92880" w:rsidRDefault="002567F9" w14:paraId="19F9E5FB" w14:textId="77777777">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Pr="005631EC" w:rsidR="0077012D" w:rsidP="0077012D" w:rsidRDefault="0077012D" w14:paraId="22F88C4D" w14:textId="77777777">
      <w:pPr>
        <w:pStyle w:val="NormalWeb"/>
        <w:spacing w:before="0" w:beforeAutospacing="0" w:after="0" w:afterAutospacing="0"/>
        <w:rPr>
          <w:rFonts w:asciiTheme="majorHAnsi" w:hAnsiTheme="majorHAnsi"/>
        </w:rPr>
      </w:pPr>
      <w:r w:rsidRPr="005631EC">
        <w:rPr>
          <w:rFonts w:asciiTheme="majorHAnsi" w:hAnsiTheme="majorHAnsi"/>
        </w:rPr>
        <w:t>Conducting the collection less frequently would result in the JCOC program being conducted less frequently; they are directly correlated.</w:t>
      </w:r>
    </w:p>
    <w:p w:rsidRPr="005631EC" w:rsidR="00F86C35" w:rsidP="006E563D" w:rsidRDefault="00F86C35" w14:paraId="342B2FB4" w14:textId="77777777">
      <w:pPr>
        <w:spacing w:after="0" w:line="240" w:lineRule="auto"/>
        <w:rPr>
          <w:rFonts w:asciiTheme="majorHAnsi" w:hAnsiTheme="majorHAnsi"/>
          <w:i/>
          <w:sz w:val="24"/>
        </w:rPr>
      </w:pPr>
    </w:p>
    <w:p w:rsidR="00F86C35" w:rsidP="006E563D" w:rsidRDefault="00F86C35" w14:paraId="77D1DC09" w14:textId="77777777">
      <w:pPr>
        <w:spacing w:after="0" w:line="240" w:lineRule="auto"/>
        <w:rPr>
          <w:rFonts w:asciiTheme="majorHAnsi" w:hAnsiTheme="majorHAnsi"/>
          <w:i/>
          <w:sz w:val="24"/>
        </w:rPr>
      </w:pPr>
    </w:p>
    <w:p w:rsidR="00A92880" w:rsidP="00A92880" w:rsidRDefault="00F86C35" w14:paraId="48F348B2" w14:textId="77777777">
      <w:pPr>
        <w:spacing w:after="0" w:line="240" w:lineRule="auto"/>
        <w:rPr>
          <w:rFonts w:asciiTheme="majorHAnsi" w:hAnsiTheme="majorHAnsi"/>
          <w:sz w:val="24"/>
          <w:u w:val="single"/>
        </w:rPr>
      </w:pPr>
      <w:r w:rsidRPr="00A92880">
        <w:rPr>
          <w:rFonts w:asciiTheme="majorHAnsi" w:hAnsiTheme="majorHAnsi"/>
          <w:sz w:val="24"/>
        </w:rPr>
        <w:t>7.</w:t>
      </w:r>
      <w:r>
        <w:rPr>
          <w:rFonts w:asciiTheme="majorHAnsi" w:hAnsiTheme="majorHAnsi"/>
          <w:i/>
          <w:sz w:val="24"/>
        </w:rPr>
        <w:t xml:space="preserve">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Pr="00A92880" w:rsidR="00200261" w:rsidP="00A92880" w:rsidRDefault="00200261" w14:paraId="38389F38" w14:textId="77777777">
      <w:pPr>
        <w:spacing w:after="0" w:line="240" w:lineRule="auto"/>
        <w:rPr>
          <w:rFonts w:asciiTheme="majorHAnsi" w:hAnsiTheme="majorHAnsi"/>
          <w:sz w:val="24"/>
          <w:szCs w:val="24"/>
          <w:u w:val="single"/>
        </w:rPr>
      </w:pPr>
      <w:r w:rsidRPr="00A92880">
        <w:rPr>
          <w:rFonts w:asciiTheme="majorHAnsi" w:hAnsiTheme="majorHAnsi"/>
          <w:sz w:val="24"/>
          <w:szCs w:val="24"/>
        </w:rPr>
        <w:t>This collection of information does not require collection to be conducted in a manner inconsistent with the guidelines delineated in 5 CFR 1320.5(d)(2).</w:t>
      </w:r>
    </w:p>
    <w:p w:rsidRPr="00A552FD" w:rsidR="00200261" w:rsidP="00200261" w:rsidRDefault="00200261" w14:paraId="6F40F6EA" w14:textId="77777777">
      <w:pPr>
        <w:pStyle w:val="NormalWeb"/>
        <w:spacing w:line="288" w:lineRule="atLeast"/>
        <w:rPr>
          <w:rFonts w:asciiTheme="majorHAnsi" w:hAnsiTheme="majorHAnsi" w:eastAsiaTheme="minorHAnsi" w:cstheme="minorBidi"/>
          <w:szCs w:val="22"/>
          <w:u w:val="single"/>
        </w:rPr>
      </w:pPr>
      <w:r w:rsidRPr="00A552FD">
        <w:rPr>
          <w:rFonts w:asciiTheme="majorHAnsi" w:hAnsiTheme="majorHAnsi" w:eastAsiaTheme="minorHAnsi" w:cstheme="minorBidi"/>
          <w:szCs w:val="22"/>
        </w:rPr>
        <w:lastRenderedPageBreak/>
        <w:t xml:space="preserve">8. </w:t>
      </w:r>
      <w:r w:rsidRPr="00A552FD">
        <w:rPr>
          <w:rFonts w:asciiTheme="majorHAnsi" w:hAnsiTheme="majorHAnsi" w:eastAsiaTheme="minorHAnsi" w:cstheme="minorBidi"/>
          <w:szCs w:val="22"/>
        </w:rPr>
        <w:tab/>
      </w:r>
      <w:r w:rsidRPr="00A552FD">
        <w:rPr>
          <w:rFonts w:asciiTheme="majorHAnsi" w:hAnsiTheme="majorHAnsi" w:eastAsiaTheme="minorHAnsi" w:cstheme="minorBidi"/>
          <w:szCs w:val="22"/>
          <w:u w:val="single"/>
        </w:rPr>
        <w:t>Consultation and Public Comments</w:t>
      </w:r>
    </w:p>
    <w:p w:rsidRPr="00A552FD" w:rsidR="00200261" w:rsidP="00200261" w:rsidRDefault="00200261" w14:paraId="2A4D6B77" w14:textId="77777777">
      <w:pPr>
        <w:pStyle w:val="NormalWeb"/>
        <w:spacing w:line="288" w:lineRule="atLeast"/>
        <w:rPr>
          <w:rFonts w:asciiTheme="majorHAnsi" w:hAnsiTheme="majorHAnsi" w:eastAsiaTheme="minorHAnsi" w:cstheme="minorBidi"/>
          <w:szCs w:val="22"/>
        </w:rPr>
      </w:pPr>
      <w:r w:rsidRPr="00A552FD">
        <w:rPr>
          <w:rFonts w:asciiTheme="majorHAnsi" w:hAnsiTheme="majorHAnsi" w:eastAsiaTheme="minorHAnsi" w:cstheme="minorBidi"/>
          <w:szCs w:val="22"/>
        </w:rPr>
        <w:t>Part A: PUBLIC NOTICE</w:t>
      </w:r>
    </w:p>
    <w:p w:rsidRPr="00A552FD" w:rsidR="00200261" w:rsidP="00200261" w:rsidRDefault="00200261" w14:paraId="772082D4" w14:textId="77777777">
      <w:pPr>
        <w:pStyle w:val="NormalWeb"/>
        <w:spacing w:line="288" w:lineRule="atLeast"/>
        <w:rPr>
          <w:rFonts w:asciiTheme="majorHAnsi" w:hAnsiTheme="majorHAnsi" w:eastAsiaTheme="minorHAnsi" w:cstheme="minorBidi"/>
          <w:szCs w:val="22"/>
        </w:rPr>
      </w:pPr>
      <w:r w:rsidRPr="00A552FD">
        <w:rPr>
          <w:rFonts w:asciiTheme="majorHAnsi" w:hAnsiTheme="majorHAnsi" w:eastAsiaTheme="minorHAnsi" w:cstheme="minorBidi"/>
          <w:szCs w:val="22"/>
        </w:rPr>
        <w:t xml:space="preserve">A 60-Day Federal Register Notice </w:t>
      </w:r>
      <w:r w:rsidRPr="00A552FD" w:rsidR="00502FF3">
        <w:rPr>
          <w:rFonts w:asciiTheme="majorHAnsi" w:hAnsiTheme="majorHAnsi" w:eastAsiaTheme="minorHAnsi" w:cstheme="minorBidi"/>
          <w:szCs w:val="22"/>
        </w:rPr>
        <w:t xml:space="preserve">(FRN) </w:t>
      </w:r>
      <w:r w:rsidRPr="00A552FD" w:rsidR="00A552FD">
        <w:rPr>
          <w:rFonts w:asciiTheme="majorHAnsi" w:hAnsiTheme="majorHAnsi" w:eastAsiaTheme="minorHAnsi" w:cstheme="minorBidi"/>
          <w:szCs w:val="22"/>
        </w:rPr>
        <w:t>for the collection published on Tuesday, November 12, 2019.  The 60-Day FRN citation is 84 FRN 61044</w:t>
      </w:r>
      <w:r w:rsidRPr="00A552FD">
        <w:rPr>
          <w:rFonts w:asciiTheme="majorHAnsi" w:hAnsiTheme="majorHAnsi" w:eastAsiaTheme="minorHAnsi" w:cstheme="minorBidi"/>
          <w:szCs w:val="22"/>
        </w:rPr>
        <w:t xml:space="preserve">. </w:t>
      </w:r>
    </w:p>
    <w:p w:rsidRPr="00A552FD" w:rsidR="00200261" w:rsidP="00200261" w:rsidRDefault="00200261" w14:paraId="3547ED9C" w14:textId="77777777">
      <w:pPr>
        <w:pStyle w:val="NormalWeb"/>
        <w:spacing w:line="288" w:lineRule="atLeast"/>
        <w:rPr>
          <w:rFonts w:asciiTheme="majorHAnsi" w:hAnsiTheme="majorHAnsi" w:eastAsiaTheme="minorHAnsi" w:cstheme="minorBidi"/>
          <w:szCs w:val="22"/>
        </w:rPr>
      </w:pPr>
      <w:r w:rsidRPr="00A552FD">
        <w:rPr>
          <w:rFonts w:asciiTheme="majorHAnsi" w:hAnsiTheme="majorHAnsi" w:eastAsiaTheme="minorHAnsi" w:cstheme="minorBidi"/>
          <w:szCs w:val="22"/>
        </w:rPr>
        <w:t xml:space="preserve">No comments were received during the 60-Day Comment Period. </w:t>
      </w:r>
    </w:p>
    <w:p w:rsidR="00502FF3" w:rsidP="00200261" w:rsidRDefault="00502FF3" w14:paraId="23735769" w14:textId="77777777">
      <w:pPr>
        <w:pStyle w:val="NormalWeb"/>
        <w:spacing w:line="288" w:lineRule="atLeast"/>
        <w:rPr>
          <w:rFonts w:asciiTheme="majorHAnsi" w:hAnsiTheme="majorHAnsi" w:eastAsiaTheme="minorHAnsi" w:cstheme="minorBidi"/>
          <w:szCs w:val="22"/>
        </w:rPr>
      </w:pPr>
      <w:r w:rsidRPr="00A552FD">
        <w:rPr>
          <w:rFonts w:asciiTheme="majorHAnsi" w:hAnsiTheme="majorHAnsi" w:eastAsiaTheme="minorHAnsi" w:cstheme="minorBidi"/>
          <w:szCs w:val="22"/>
        </w:rPr>
        <w:t xml:space="preserve">A 30-Day Federal Register Notice for the collection published on </w:t>
      </w:r>
      <w:r w:rsidRPr="00A552FD" w:rsidR="00A552FD">
        <w:rPr>
          <w:rFonts w:asciiTheme="majorHAnsi" w:hAnsiTheme="majorHAnsi" w:eastAsiaTheme="minorHAnsi" w:cstheme="minorBidi"/>
          <w:szCs w:val="22"/>
        </w:rPr>
        <w:t>Tuesday</w:t>
      </w:r>
      <w:r w:rsidRPr="00A552FD">
        <w:rPr>
          <w:rFonts w:asciiTheme="majorHAnsi" w:hAnsiTheme="majorHAnsi" w:eastAsiaTheme="minorHAnsi" w:cstheme="minorBidi"/>
          <w:szCs w:val="22"/>
        </w:rPr>
        <w:t xml:space="preserve">, </w:t>
      </w:r>
      <w:r w:rsidRPr="00A552FD" w:rsidR="00A552FD">
        <w:rPr>
          <w:rFonts w:asciiTheme="majorHAnsi" w:hAnsiTheme="majorHAnsi" w:eastAsiaTheme="minorHAnsi" w:cstheme="minorBidi"/>
          <w:szCs w:val="22"/>
        </w:rPr>
        <w:t>January 28, 2019.  The 30-Day FRN citation is 85 FRN 4952</w:t>
      </w:r>
      <w:r w:rsidRPr="00A552FD">
        <w:rPr>
          <w:rFonts w:asciiTheme="majorHAnsi" w:hAnsiTheme="majorHAnsi" w:eastAsiaTheme="minorHAnsi" w:cstheme="minorBidi"/>
          <w:szCs w:val="22"/>
        </w:rPr>
        <w:t>.</w:t>
      </w:r>
    </w:p>
    <w:p w:rsidR="00200261" w:rsidP="00200261" w:rsidRDefault="00200261" w14:paraId="1AED138A"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p>
    <w:p w:rsidR="0077012D" w:rsidP="006E563D" w:rsidRDefault="0077012D" w14:paraId="1413580C" w14:textId="77777777">
      <w:pPr>
        <w:spacing w:after="0" w:line="240" w:lineRule="auto"/>
        <w:rPr>
          <w:rFonts w:asciiTheme="majorHAnsi" w:hAnsiTheme="majorHAnsi"/>
          <w:sz w:val="24"/>
        </w:rPr>
      </w:pPr>
      <w:r w:rsidRPr="0077012D">
        <w:rPr>
          <w:rFonts w:asciiTheme="majorHAnsi" w:hAnsiTheme="majorHAnsi"/>
          <w:sz w:val="24"/>
        </w:rPr>
        <w:t>The JCOC Program Coordinator consults with respondents during each collection cycle. Respondent feedback continues to confirm the viability of the collection elements and procedures; therefore, no changes to the information collection have been made.</w:t>
      </w:r>
    </w:p>
    <w:p w:rsidR="0077012D" w:rsidP="006E563D" w:rsidRDefault="0077012D" w14:paraId="45257FB4" w14:textId="77777777">
      <w:pPr>
        <w:spacing w:after="0" w:line="240" w:lineRule="auto"/>
        <w:rPr>
          <w:rFonts w:asciiTheme="majorHAnsi" w:hAnsiTheme="majorHAnsi"/>
          <w:sz w:val="24"/>
        </w:rPr>
      </w:pPr>
    </w:p>
    <w:p w:rsidRPr="0085688C" w:rsidR="00571698" w:rsidP="006E563D" w:rsidRDefault="006A13FA" w14:paraId="4AA0F0D6" w14:textId="77777777">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r w:rsidR="0085688C">
        <w:rPr>
          <w:rFonts w:asciiTheme="majorHAnsi" w:hAnsiTheme="majorHAnsi"/>
          <w:sz w:val="24"/>
        </w:rPr>
        <w:t>(1-3 sentences)</w:t>
      </w:r>
    </w:p>
    <w:p w:rsidR="006A13FA" w:rsidP="006A13FA" w:rsidRDefault="006A13FA" w14:paraId="1B44106B" w14:textId="77777777">
      <w:pPr>
        <w:spacing w:after="0" w:line="240" w:lineRule="auto"/>
        <w:rPr>
          <w:rFonts w:asciiTheme="majorHAnsi" w:hAnsiTheme="majorHAnsi"/>
          <w:i/>
          <w:sz w:val="24"/>
        </w:rPr>
      </w:pPr>
      <w:r w:rsidRPr="00C12A31">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F97482" w:rsidP="006A13FA" w:rsidRDefault="00F97482" w14:paraId="54DA9427" w14:textId="6481D534">
      <w:pPr>
        <w:spacing w:after="0" w:line="240" w:lineRule="auto"/>
        <w:rPr>
          <w:rFonts w:asciiTheme="majorHAnsi" w:hAnsiTheme="majorHAnsi"/>
          <w:sz w:val="24"/>
          <w:u w:val="single"/>
        </w:rPr>
      </w:pPr>
      <w:r w:rsidRPr="009F29E9">
        <w:rPr>
          <w:rFonts w:asciiTheme="majorHAnsi" w:hAnsiTheme="majorHAnsi"/>
          <w:sz w:val="24"/>
        </w:rPr>
        <w:t xml:space="preserve">10. </w:t>
      </w:r>
      <w:r w:rsidRPr="009F29E9">
        <w:rPr>
          <w:rFonts w:asciiTheme="majorHAnsi" w:hAnsiTheme="majorHAnsi"/>
          <w:sz w:val="24"/>
        </w:rPr>
        <w:tab/>
      </w:r>
      <w:r w:rsidRPr="009F29E9">
        <w:rPr>
          <w:rFonts w:asciiTheme="majorHAnsi" w:hAnsiTheme="majorHAnsi"/>
          <w:sz w:val="24"/>
          <w:u w:val="single"/>
        </w:rPr>
        <w:t>Confidentiality</w:t>
      </w:r>
      <w:r w:rsidRPr="009F29E9" w:rsidR="0085688C">
        <w:rPr>
          <w:rFonts w:asciiTheme="majorHAnsi" w:hAnsiTheme="majorHAnsi"/>
          <w:sz w:val="24"/>
          <w:u w:val="single"/>
        </w:rPr>
        <w:t xml:space="preserve"> </w:t>
      </w:r>
    </w:p>
    <w:p w:rsidRPr="002E5AE5" w:rsidR="00931EAB" w:rsidP="006A13FA" w:rsidRDefault="00931EAB" w14:paraId="63DD0D85" w14:textId="02029ABE">
      <w:pPr>
        <w:spacing w:after="0" w:line="240" w:lineRule="auto"/>
        <w:rPr>
          <w:rFonts w:asciiTheme="majorHAnsi" w:hAnsiTheme="majorHAnsi"/>
          <w:sz w:val="24"/>
        </w:rPr>
      </w:pPr>
      <w:r>
        <w:rPr>
          <w:rFonts w:asciiTheme="majorHAnsi" w:hAnsiTheme="majorHAnsi"/>
          <w:sz w:val="24"/>
        </w:rPr>
        <w:t>A</w:t>
      </w:r>
      <w:r w:rsidR="005F43FF">
        <w:rPr>
          <w:rFonts w:asciiTheme="majorHAnsi" w:hAnsiTheme="majorHAnsi"/>
          <w:sz w:val="24"/>
        </w:rPr>
        <w:t xml:space="preserve"> Privacy Act Statement </w:t>
      </w:r>
      <w:r w:rsidR="00387966">
        <w:rPr>
          <w:rFonts w:asciiTheme="majorHAnsi" w:hAnsiTheme="majorHAnsi"/>
          <w:sz w:val="24"/>
        </w:rPr>
        <w:t>is provided on each collection instrument.</w:t>
      </w:r>
    </w:p>
    <w:p w:rsidR="00931EAB" w:rsidP="00C12A31" w:rsidRDefault="00931EAB" w14:paraId="3D2249AC" w14:textId="7C6C5EE8">
      <w:pPr>
        <w:spacing w:after="0" w:line="240" w:lineRule="auto"/>
        <w:rPr>
          <w:rFonts w:asciiTheme="majorHAnsi" w:hAnsiTheme="majorHAnsi"/>
          <w:sz w:val="24"/>
        </w:rPr>
      </w:pPr>
    </w:p>
    <w:p w:rsidR="00490797" w:rsidP="00C12A31" w:rsidRDefault="00490797" w14:paraId="60727F4C" w14:textId="76307C6D">
      <w:pPr>
        <w:spacing w:after="0" w:line="240" w:lineRule="auto"/>
        <w:rPr>
          <w:rFonts w:asciiTheme="majorHAnsi" w:hAnsiTheme="majorHAnsi"/>
          <w:sz w:val="24"/>
        </w:rPr>
      </w:pPr>
      <w:r w:rsidRPr="009F29E9">
        <w:rPr>
          <w:rFonts w:asciiTheme="majorHAnsi" w:hAnsiTheme="majorHAnsi"/>
          <w:sz w:val="24"/>
        </w:rPr>
        <w:t>A copy of the SORN has been provided with this package for OMB’s review.</w:t>
      </w:r>
      <w:r>
        <w:rPr>
          <w:rFonts w:asciiTheme="majorHAnsi" w:hAnsiTheme="majorHAnsi"/>
          <w:sz w:val="24"/>
        </w:rPr>
        <w:t xml:space="preserve"> </w:t>
      </w:r>
    </w:p>
    <w:p w:rsidR="005D5C81" w:rsidP="00490797" w:rsidRDefault="005D5C81" w14:paraId="238A6C5D" w14:textId="77777777">
      <w:pPr>
        <w:spacing w:after="0" w:line="240" w:lineRule="auto"/>
        <w:rPr>
          <w:rFonts w:asciiTheme="majorHAnsi" w:hAnsiTheme="majorHAnsi"/>
          <w:sz w:val="24"/>
        </w:rPr>
      </w:pPr>
    </w:p>
    <w:p w:rsidR="005D5C81" w:rsidP="00C12A31" w:rsidRDefault="005D5C81" w14:paraId="106BF8E4" w14:textId="5C17CC36">
      <w:pPr>
        <w:spacing w:after="0" w:line="240" w:lineRule="auto"/>
        <w:rPr>
          <w:rFonts w:asciiTheme="majorHAnsi" w:hAnsiTheme="majorHAnsi"/>
          <w:sz w:val="24"/>
        </w:rPr>
      </w:pPr>
      <w:r w:rsidRPr="009F29E9">
        <w:rPr>
          <w:rFonts w:asciiTheme="majorHAnsi" w:hAnsiTheme="majorHAnsi"/>
          <w:sz w:val="24"/>
        </w:rPr>
        <w:t>A copy of the PIA</w:t>
      </w:r>
      <w:r w:rsidR="00387966">
        <w:rPr>
          <w:rFonts w:asciiTheme="majorHAnsi" w:hAnsiTheme="majorHAnsi"/>
          <w:sz w:val="24"/>
        </w:rPr>
        <w:t xml:space="preserve"> </w:t>
      </w:r>
      <w:r w:rsidRPr="009F29E9" w:rsidR="00D07ED3">
        <w:rPr>
          <w:rFonts w:asciiTheme="majorHAnsi" w:hAnsiTheme="majorHAnsi"/>
          <w:sz w:val="24"/>
        </w:rPr>
        <w:t xml:space="preserve"> </w:t>
      </w:r>
      <w:r w:rsidRPr="009F29E9">
        <w:rPr>
          <w:rFonts w:asciiTheme="majorHAnsi" w:hAnsiTheme="majorHAnsi"/>
          <w:sz w:val="24"/>
        </w:rPr>
        <w:t>has been provided with this package for OMB’s review.</w:t>
      </w:r>
      <w:r>
        <w:rPr>
          <w:rFonts w:asciiTheme="majorHAnsi" w:hAnsiTheme="majorHAnsi"/>
          <w:sz w:val="24"/>
        </w:rPr>
        <w:t xml:space="preserve"> </w:t>
      </w:r>
    </w:p>
    <w:p w:rsidRPr="00996894" w:rsidR="00996894" w:rsidP="00996894" w:rsidRDefault="00996894" w14:paraId="1937F2C9" w14:textId="77777777">
      <w:pPr>
        <w:spacing w:after="0" w:line="240" w:lineRule="auto"/>
        <w:rPr>
          <w:rFonts w:asciiTheme="majorHAnsi" w:hAnsiTheme="majorHAnsi"/>
          <w:i/>
          <w:sz w:val="24"/>
        </w:rPr>
      </w:pPr>
    </w:p>
    <w:p w:rsidRPr="00C12A31" w:rsidR="00B52F4E" w:rsidP="00C12A31" w:rsidRDefault="00C12A31" w14:paraId="1269C617" w14:textId="77777777">
      <w:pPr>
        <w:pStyle w:val="NormalWeb"/>
        <w:spacing w:before="0" w:beforeAutospacing="0" w:after="0" w:afterAutospacing="0"/>
      </w:pPr>
      <w:r w:rsidRPr="00D201AD">
        <w:t>Records Retention and Disposition Schedule</w:t>
      </w:r>
      <w:r>
        <w:t xml:space="preserve">: </w:t>
      </w:r>
      <w:r w:rsidRPr="00B3795F">
        <w:t>Destroy nomination a</w:t>
      </w:r>
      <w:r>
        <w:t xml:space="preserve">nd participant records 10 years </w:t>
      </w:r>
      <w:r w:rsidRPr="00B3795F">
        <w:t>after conclusion of associated JCOC program.</w:t>
      </w:r>
      <w:r w:rsidRPr="00996894" w:rsidR="00996894">
        <w:rPr>
          <w:rFonts w:asciiTheme="majorHAnsi" w:hAnsiTheme="majorHAnsi"/>
          <w:i/>
        </w:rPr>
        <w:t xml:space="preserve"> </w:t>
      </w:r>
    </w:p>
    <w:p w:rsidR="00996894" w:rsidP="00996894" w:rsidRDefault="00996894" w14:paraId="7EE11540" w14:textId="77777777">
      <w:pPr>
        <w:spacing w:after="0" w:line="240" w:lineRule="auto"/>
        <w:rPr>
          <w:rFonts w:asciiTheme="majorHAnsi" w:hAnsiTheme="majorHAnsi"/>
          <w:i/>
          <w:sz w:val="24"/>
        </w:rPr>
      </w:pPr>
    </w:p>
    <w:p w:rsidR="00C12A31" w:rsidP="00337EF1" w:rsidRDefault="00337EF1" w14:paraId="1BF94199" w14:textId="77777777">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Pr="009F29E9" w:rsidR="009A6246" w:rsidP="00337EF1" w:rsidRDefault="009A6246" w14:paraId="44563C1C" w14:textId="77777777">
      <w:pPr>
        <w:spacing w:after="0" w:line="240" w:lineRule="auto"/>
        <w:rPr>
          <w:rFonts w:asciiTheme="majorHAnsi" w:hAnsiTheme="majorHAnsi"/>
          <w:sz w:val="24"/>
        </w:rPr>
      </w:pPr>
      <w:r w:rsidRPr="009F29E9">
        <w:rPr>
          <w:rFonts w:asciiTheme="majorHAnsi" w:hAnsiTheme="majorHAnsi"/>
          <w:sz w:val="24"/>
        </w:rPr>
        <w:t xml:space="preserve">No questions considered sensitive are being asked in this collection. </w:t>
      </w:r>
    </w:p>
    <w:p w:rsidRPr="009F29E9" w:rsidR="00D21AA6" w:rsidP="00337EF1" w:rsidRDefault="00D21AA6" w14:paraId="3B4CDA7C" w14:textId="77777777">
      <w:pPr>
        <w:spacing w:after="0" w:line="240" w:lineRule="auto"/>
        <w:rPr>
          <w:rFonts w:asciiTheme="majorHAnsi" w:hAnsiTheme="majorHAnsi"/>
          <w:sz w:val="24"/>
        </w:rPr>
      </w:pPr>
    </w:p>
    <w:p w:rsidRPr="009F29E9" w:rsidR="00D21AA6" w:rsidP="00337EF1" w:rsidRDefault="00D21AA6" w14:paraId="0E66987F" w14:textId="77777777">
      <w:pPr>
        <w:spacing w:after="0" w:line="240" w:lineRule="auto"/>
        <w:rPr>
          <w:rFonts w:asciiTheme="majorHAnsi" w:hAnsiTheme="majorHAnsi"/>
          <w:sz w:val="24"/>
        </w:rPr>
      </w:pPr>
      <w:r w:rsidRPr="009F29E9">
        <w:rPr>
          <w:rFonts w:asciiTheme="majorHAnsi" w:hAnsiTheme="majorHAnsi"/>
          <w:sz w:val="24"/>
        </w:rPr>
        <w:t xml:space="preserve">12. </w:t>
      </w:r>
      <w:r w:rsidRPr="009F29E9" w:rsidR="00A76F7E">
        <w:rPr>
          <w:rFonts w:asciiTheme="majorHAnsi" w:hAnsiTheme="majorHAnsi"/>
          <w:sz w:val="24"/>
        </w:rPr>
        <w:tab/>
      </w:r>
      <w:r w:rsidRPr="009F29E9" w:rsidR="00A76F7E">
        <w:rPr>
          <w:rFonts w:asciiTheme="majorHAnsi" w:hAnsiTheme="majorHAnsi"/>
          <w:sz w:val="24"/>
          <w:u w:val="single"/>
        </w:rPr>
        <w:t>Respondent Burden and its Labor Costs</w:t>
      </w:r>
    </w:p>
    <w:p w:rsidR="00B55E9F" w:rsidP="00B55E9F" w:rsidRDefault="00235D71" w14:paraId="10F504A0" w14:textId="77777777">
      <w:pPr>
        <w:pStyle w:val="NormalWeb"/>
        <w:spacing w:after="0" w:afterAutospacing="0" w:line="288" w:lineRule="atLeast"/>
        <w:rPr>
          <w:rFonts w:asciiTheme="majorHAnsi" w:hAnsiTheme="majorHAnsi" w:eastAsiaTheme="minorHAnsi" w:cstheme="minorBidi"/>
          <w:szCs w:val="22"/>
        </w:rPr>
      </w:pPr>
      <w:r w:rsidRPr="009F29E9">
        <w:rPr>
          <w:rFonts w:asciiTheme="majorHAnsi" w:hAnsiTheme="majorHAnsi" w:eastAsiaTheme="minorHAnsi" w:cstheme="minorBidi"/>
          <w:szCs w:val="22"/>
        </w:rPr>
        <w:t>Part A: ESTIMATION OF RESPONDENT BURDEN</w:t>
      </w:r>
    </w:p>
    <w:p w:rsidRPr="00235D71" w:rsidR="00B55E9F" w:rsidP="00235D71" w:rsidRDefault="00B55E9F" w14:paraId="22BF225A" w14:textId="77777777">
      <w:pPr>
        <w:spacing w:after="0" w:line="240" w:lineRule="auto"/>
        <w:rPr>
          <w:rFonts w:asciiTheme="majorHAnsi" w:hAnsiTheme="majorHAnsi"/>
          <w:i/>
          <w:sz w:val="24"/>
        </w:rPr>
      </w:pPr>
    </w:p>
    <w:p w:rsidR="00C97105" w:rsidP="00C97105" w:rsidRDefault="00235D71" w14:paraId="1995A154"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C97105" w:rsidP="00C97105" w:rsidRDefault="00C97105" w14:paraId="1C5AC3B2" w14:textId="77777777">
      <w:pPr>
        <w:spacing w:after="0" w:line="240" w:lineRule="auto"/>
        <w:rPr>
          <w:rFonts w:asciiTheme="majorHAnsi" w:hAnsiTheme="majorHAnsi"/>
          <w:sz w:val="24"/>
        </w:rPr>
      </w:pPr>
    </w:p>
    <w:tbl>
      <w:tblPr>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87"/>
        <w:gridCol w:w="1530"/>
        <w:gridCol w:w="1620"/>
        <w:gridCol w:w="1620"/>
        <w:gridCol w:w="1530"/>
        <w:gridCol w:w="1643"/>
      </w:tblGrid>
      <w:tr w:rsidRPr="00C97105" w:rsidR="00C97105" w:rsidTr="00387966" w14:paraId="176C1D1E" w14:textId="77777777">
        <w:tc>
          <w:tcPr>
            <w:tcW w:w="9630" w:type="dxa"/>
            <w:gridSpan w:val="6"/>
            <w:shd w:val="clear" w:color="auto" w:fill="auto"/>
          </w:tcPr>
          <w:p w:rsidRPr="00C97105" w:rsidR="00C97105" w:rsidP="00C97105" w:rsidRDefault="00C97105" w14:paraId="611255A2" w14:textId="77777777">
            <w:pPr>
              <w:spacing w:after="0" w:line="240" w:lineRule="auto"/>
              <w:jc w:val="center"/>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Estimation of Respondent Burden Hours</w:t>
            </w:r>
          </w:p>
        </w:tc>
      </w:tr>
      <w:tr w:rsidRPr="00C97105" w:rsidR="00C97105" w:rsidTr="00387966" w14:paraId="1C3B29DC" w14:textId="77777777">
        <w:trPr>
          <w:trHeight w:val="1196"/>
        </w:trPr>
        <w:tc>
          <w:tcPr>
            <w:tcW w:w="1687" w:type="dxa"/>
            <w:shd w:val="clear" w:color="auto" w:fill="auto"/>
          </w:tcPr>
          <w:p w:rsidRPr="00C97105" w:rsidR="00C97105" w:rsidP="00C97105" w:rsidRDefault="00C97105" w14:paraId="29A5C5A4" w14:textId="77777777">
            <w:pPr>
              <w:spacing w:after="0" w:line="240" w:lineRule="auto"/>
              <w:rPr>
                <w:rFonts w:ascii="Times New Roman" w:hAnsi="Times New Roman" w:eastAsia="Times New Roman" w:cs="Times New Roman"/>
                <w:sz w:val="24"/>
                <w:szCs w:val="24"/>
              </w:rPr>
            </w:pPr>
          </w:p>
        </w:tc>
        <w:tc>
          <w:tcPr>
            <w:tcW w:w="1530" w:type="dxa"/>
            <w:shd w:val="clear" w:color="auto" w:fill="auto"/>
          </w:tcPr>
          <w:p w:rsidRPr="00C97105" w:rsidR="00C97105" w:rsidP="00C97105" w:rsidRDefault="00C97105" w14:paraId="579BF1D4" w14:textId="77777777">
            <w:pPr>
              <w:spacing w:after="0" w:line="240" w:lineRule="auto"/>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Number of Respondents</w:t>
            </w:r>
          </w:p>
        </w:tc>
        <w:tc>
          <w:tcPr>
            <w:tcW w:w="1620" w:type="dxa"/>
            <w:shd w:val="clear" w:color="auto" w:fill="auto"/>
          </w:tcPr>
          <w:p w:rsidRPr="00C97105" w:rsidR="00C97105" w:rsidP="00C97105" w:rsidRDefault="00C97105" w14:paraId="14993646" w14:textId="77777777">
            <w:pPr>
              <w:spacing w:after="0" w:line="240" w:lineRule="auto"/>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Number of Responses per Respondent</w:t>
            </w:r>
          </w:p>
        </w:tc>
        <w:tc>
          <w:tcPr>
            <w:tcW w:w="1620" w:type="dxa"/>
            <w:shd w:val="clear" w:color="auto" w:fill="auto"/>
          </w:tcPr>
          <w:p w:rsidRPr="00C97105" w:rsidR="00C97105" w:rsidP="00C97105" w:rsidRDefault="00C97105" w14:paraId="54C3D041" w14:textId="77777777">
            <w:pPr>
              <w:spacing w:after="0" w:line="240" w:lineRule="auto"/>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Number of Total Annual Responses</w:t>
            </w:r>
          </w:p>
        </w:tc>
        <w:tc>
          <w:tcPr>
            <w:tcW w:w="1530" w:type="dxa"/>
            <w:shd w:val="clear" w:color="auto" w:fill="auto"/>
          </w:tcPr>
          <w:p w:rsidRPr="00C97105" w:rsidR="00C97105" w:rsidP="00387966" w:rsidRDefault="00C97105" w14:paraId="7719299F" w14:textId="059892E3">
            <w:pPr>
              <w:spacing w:after="0" w:line="240" w:lineRule="auto"/>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 xml:space="preserve">Response Time </w:t>
            </w:r>
          </w:p>
        </w:tc>
        <w:tc>
          <w:tcPr>
            <w:tcW w:w="1643" w:type="dxa"/>
            <w:shd w:val="clear" w:color="auto" w:fill="auto"/>
          </w:tcPr>
          <w:p w:rsidRPr="00C97105" w:rsidR="00C97105" w:rsidP="00387966" w:rsidRDefault="00C97105" w14:paraId="1B5EBB11" w14:textId="37C7C335">
            <w:pPr>
              <w:spacing w:after="0" w:line="240" w:lineRule="auto"/>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 xml:space="preserve">Respondent Burden Hours </w:t>
            </w:r>
          </w:p>
        </w:tc>
      </w:tr>
      <w:tr w:rsidRPr="00C97105" w:rsidR="00C97105" w:rsidTr="00387966" w14:paraId="78787042" w14:textId="77777777">
        <w:tc>
          <w:tcPr>
            <w:tcW w:w="1687" w:type="dxa"/>
            <w:shd w:val="clear" w:color="auto" w:fill="auto"/>
          </w:tcPr>
          <w:p w:rsidRPr="00C97105" w:rsidR="00C97105" w:rsidP="00C97105" w:rsidRDefault="00C97105" w14:paraId="24C1969E" w14:textId="77777777">
            <w:pPr>
              <w:spacing w:after="0" w:line="240" w:lineRule="auto"/>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Collection Instrument #1: Nomination</w:t>
            </w:r>
          </w:p>
        </w:tc>
        <w:tc>
          <w:tcPr>
            <w:tcW w:w="1530" w:type="dxa"/>
            <w:shd w:val="clear" w:color="auto" w:fill="auto"/>
          </w:tcPr>
          <w:p w:rsidRPr="00C97105" w:rsidR="00C97105" w:rsidP="00C97105" w:rsidRDefault="00C97105" w14:paraId="31BBFFFE" w14:textId="77777777">
            <w:pPr>
              <w:spacing w:after="0" w:line="240" w:lineRule="auto"/>
              <w:jc w:val="center"/>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100</w:t>
            </w:r>
          </w:p>
        </w:tc>
        <w:tc>
          <w:tcPr>
            <w:tcW w:w="1620" w:type="dxa"/>
            <w:shd w:val="clear" w:color="auto" w:fill="auto"/>
          </w:tcPr>
          <w:p w:rsidRPr="00C97105" w:rsidR="00C97105" w:rsidP="00C97105" w:rsidRDefault="00C97105" w14:paraId="14588FE3" w14:textId="77777777">
            <w:pPr>
              <w:spacing w:after="0" w:line="240" w:lineRule="auto"/>
              <w:jc w:val="center"/>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1</w:t>
            </w:r>
          </w:p>
        </w:tc>
        <w:tc>
          <w:tcPr>
            <w:tcW w:w="1620" w:type="dxa"/>
            <w:shd w:val="clear" w:color="auto" w:fill="auto"/>
          </w:tcPr>
          <w:p w:rsidRPr="00C97105" w:rsidR="00C97105" w:rsidP="00C97105" w:rsidRDefault="00C97105" w14:paraId="2494BE6D" w14:textId="77777777">
            <w:pPr>
              <w:spacing w:after="0" w:line="240" w:lineRule="auto"/>
              <w:jc w:val="center"/>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100</w:t>
            </w:r>
          </w:p>
        </w:tc>
        <w:tc>
          <w:tcPr>
            <w:tcW w:w="1530" w:type="dxa"/>
            <w:shd w:val="clear" w:color="auto" w:fill="auto"/>
          </w:tcPr>
          <w:p w:rsidRPr="00C97105" w:rsidR="00C97105" w:rsidP="00C97105" w:rsidRDefault="00C97105" w14:paraId="795A0F98" w14:textId="77777777">
            <w:pPr>
              <w:spacing w:after="0" w:line="240" w:lineRule="auto"/>
              <w:jc w:val="center"/>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15 minutes</w:t>
            </w:r>
          </w:p>
          <w:p w:rsidRPr="00C97105" w:rsidR="00C97105" w:rsidP="00C97105" w:rsidRDefault="00C97105" w14:paraId="0F153CAC" w14:textId="77777777">
            <w:pPr>
              <w:spacing w:after="0" w:line="240" w:lineRule="auto"/>
              <w:jc w:val="center"/>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(0.25 hour)</w:t>
            </w:r>
          </w:p>
        </w:tc>
        <w:tc>
          <w:tcPr>
            <w:tcW w:w="1643" w:type="dxa"/>
            <w:shd w:val="clear" w:color="auto" w:fill="auto"/>
          </w:tcPr>
          <w:p w:rsidRPr="00C97105" w:rsidR="00C97105" w:rsidP="00C97105" w:rsidRDefault="00C97105" w14:paraId="3CC54F1A" w14:textId="77777777">
            <w:pPr>
              <w:spacing w:after="0" w:line="240" w:lineRule="auto"/>
              <w:jc w:val="center"/>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25 hours</w:t>
            </w:r>
          </w:p>
        </w:tc>
      </w:tr>
      <w:tr w:rsidRPr="00C97105" w:rsidR="00C97105" w:rsidTr="00387966" w14:paraId="4DE49FD1" w14:textId="77777777">
        <w:tc>
          <w:tcPr>
            <w:tcW w:w="1687" w:type="dxa"/>
            <w:tcBorders>
              <w:bottom w:val="single" w:color="auto" w:sz="4" w:space="0"/>
            </w:tcBorders>
            <w:shd w:val="clear" w:color="auto" w:fill="auto"/>
          </w:tcPr>
          <w:p w:rsidRPr="00C97105" w:rsidR="00C97105" w:rsidP="00C97105" w:rsidRDefault="00C97105" w14:paraId="3F778FAF" w14:textId="77777777">
            <w:pPr>
              <w:spacing w:after="0" w:line="240" w:lineRule="auto"/>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 xml:space="preserve">Collection Instrument #2: Registration </w:t>
            </w:r>
          </w:p>
        </w:tc>
        <w:tc>
          <w:tcPr>
            <w:tcW w:w="1530" w:type="dxa"/>
            <w:tcBorders>
              <w:bottom w:val="single" w:color="auto" w:sz="4" w:space="0"/>
            </w:tcBorders>
            <w:shd w:val="clear" w:color="auto" w:fill="auto"/>
          </w:tcPr>
          <w:p w:rsidRPr="00C97105" w:rsidR="00C97105" w:rsidP="00C97105" w:rsidRDefault="00C97105" w14:paraId="68D00237" w14:textId="77777777">
            <w:pPr>
              <w:spacing w:after="0" w:line="240" w:lineRule="auto"/>
              <w:jc w:val="center"/>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40</w:t>
            </w:r>
          </w:p>
        </w:tc>
        <w:tc>
          <w:tcPr>
            <w:tcW w:w="1620" w:type="dxa"/>
            <w:tcBorders>
              <w:bottom w:val="single" w:color="auto" w:sz="4" w:space="0"/>
            </w:tcBorders>
            <w:shd w:val="clear" w:color="auto" w:fill="auto"/>
          </w:tcPr>
          <w:p w:rsidRPr="00C97105" w:rsidR="00C97105" w:rsidP="00C97105" w:rsidRDefault="00C97105" w14:paraId="0EF1E96D" w14:textId="77777777">
            <w:pPr>
              <w:spacing w:after="0" w:line="240" w:lineRule="auto"/>
              <w:jc w:val="center"/>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1</w:t>
            </w:r>
          </w:p>
        </w:tc>
        <w:tc>
          <w:tcPr>
            <w:tcW w:w="1620" w:type="dxa"/>
            <w:tcBorders>
              <w:bottom w:val="single" w:color="auto" w:sz="4" w:space="0"/>
            </w:tcBorders>
            <w:shd w:val="clear" w:color="auto" w:fill="auto"/>
          </w:tcPr>
          <w:p w:rsidRPr="00C97105" w:rsidR="00C97105" w:rsidP="00C97105" w:rsidRDefault="00C97105" w14:paraId="7194AE38" w14:textId="77777777">
            <w:pPr>
              <w:spacing w:after="0" w:line="240" w:lineRule="auto"/>
              <w:jc w:val="center"/>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40</w:t>
            </w:r>
          </w:p>
        </w:tc>
        <w:tc>
          <w:tcPr>
            <w:tcW w:w="1530" w:type="dxa"/>
            <w:tcBorders>
              <w:bottom w:val="single" w:color="auto" w:sz="4" w:space="0"/>
            </w:tcBorders>
            <w:shd w:val="clear" w:color="auto" w:fill="auto"/>
          </w:tcPr>
          <w:p w:rsidRPr="00C97105" w:rsidR="00C97105" w:rsidP="00C97105" w:rsidRDefault="00C97105" w14:paraId="6FECA050" w14:textId="77777777">
            <w:pPr>
              <w:spacing w:after="0" w:line="240" w:lineRule="auto"/>
              <w:jc w:val="center"/>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6 minutes</w:t>
            </w:r>
          </w:p>
          <w:p w:rsidRPr="00C97105" w:rsidR="00C97105" w:rsidP="00C97105" w:rsidRDefault="00C97105" w14:paraId="63CF1492" w14:textId="77777777">
            <w:pPr>
              <w:spacing w:after="0" w:line="240" w:lineRule="auto"/>
              <w:jc w:val="center"/>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(0.10 hour)</w:t>
            </w:r>
          </w:p>
        </w:tc>
        <w:tc>
          <w:tcPr>
            <w:tcW w:w="1643" w:type="dxa"/>
            <w:tcBorders>
              <w:bottom w:val="single" w:color="auto" w:sz="4" w:space="0"/>
            </w:tcBorders>
            <w:shd w:val="clear" w:color="auto" w:fill="auto"/>
          </w:tcPr>
          <w:p w:rsidRPr="00C97105" w:rsidR="00C97105" w:rsidP="00C97105" w:rsidRDefault="00C97105" w14:paraId="1A551A74" w14:textId="77777777">
            <w:pPr>
              <w:spacing w:after="0" w:line="240" w:lineRule="auto"/>
              <w:jc w:val="center"/>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4 hours</w:t>
            </w:r>
          </w:p>
        </w:tc>
      </w:tr>
      <w:tr w:rsidRPr="00C97105" w:rsidR="00C97105" w:rsidTr="00387966" w14:paraId="42554F7E" w14:textId="77777777">
        <w:tc>
          <w:tcPr>
            <w:tcW w:w="1687" w:type="dxa"/>
            <w:shd w:val="clear" w:color="auto" w:fill="auto"/>
          </w:tcPr>
          <w:p w:rsidRPr="00C97105" w:rsidR="00C97105" w:rsidP="00C97105" w:rsidRDefault="00C97105" w14:paraId="56D4004C" w14:textId="77777777">
            <w:pPr>
              <w:spacing w:after="0" w:line="240" w:lineRule="auto"/>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 xml:space="preserve">Collection Instrument #3: Medical </w:t>
            </w:r>
          </w:p>
        </w:tc>
        <w:tc>
          <w:tcPr>
            <w:tcW w:w="1530" w:type="dxa"/>
            <w:shd w:val="clear" w:color="auto" w:fill="auto"/>
          </w:tcPr>
          <w:p w:rsidRPr="00C97105" w:rsidR="00C97105" w:rsidP="00C97105" w:rsidRDefault="00C97105" w14:paraId="1E1C489D" w14:textId="77777777">
            <w:pPr>
              <w:spacing w:after="0" w:line="240" w:lineRule="auto"/>
              <w:jc w:val="center"/>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40</w:t>
            </w:r>
          </w:p>
        </w:tc>
        <w:tc>
          <w:tcPr>
            <w:tcW w:w="1620" w:type="dxa"/>
            <w:shd w:val="clear" w:color="auto" w:fill="auto"/>
          </w:tcPr>
          <w:p w:rsidRPr="00C97105" w:rsidR="00C97105" w:rsidP="00C97105" w:rsidRDefault="00C97105" w14:paraId="3E1A832E" w14:textId="77777777">
            <w:pPr>
              <w:spacing w:after="0" w:line="240" w:lineRule="auto"/>
              <w:jc w:val="center"/>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1</w:t>
            </w:r>
          </w:p>
        </w:tc>
        <w:tc>
          <w:tcPr>
            <w:tcW w:w="1620" w:type="dxa"/>
            <w:shd w:val="clear" w:color="auto" w:fill="auto"/>
          </w:tcPr>
          <w:p w:rsidRPr="00C97105" w:rsidR="00C97105" w:rsidP="00C97105" w:rsidRDefault="00C97105" w14:paraId="1A2754E1" w14:textId="77777777">
            <w:pPr>
              <w:spacing w:after="0" w:line="240" w:lineRule="auto"/>
              <w:jc w:val="center"/>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40</w:t>
            </w:r>
          </w:p>
        </w:tc>
        <w:tc>
          <w:tcPr>
            <w:tcW w:w="1530" w:type="dxa"/>
            <w:shd w:val="clear" w:color="auto" w:fill="auto"/>
          </w:tcPr>
          <w:p w:rsidRPr="00C97105" w:rsidR="00C97105" w:rsidP="00C97105" w:rsidRDefault="00C97105" w14:paraId="71EFF50E" w14:textId="77777777">
            <w:pPr>
              <w:spacing w:after="0" w:line="240" w:lineRule="auto"/>
              <w:jc w:val="center"/>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6 minutes</w:t>
            </w:r>
          </w:p>
          <w:p w:rsidRPr="00C97105" w:rsidR="00C97105" w:rsidP="00C97105" w:rsidRDefault="00C97105" w14:paraId="1D991891" w14:textId="77777777">
            <w:pPr>
              <w:spacing w:after="0" w:line="240" w:lineRule="auto"/>
              <w:jc w:val="center"/>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(0.10 hour)</w:t>
            </w:r>
          </w:p>
        </w:tc>
        <w:tc>
          <w:tcPr>
            <w:tcW w:w="1643" w:type="dxa"/>
            <w:shd w:val="clear" w:color="auto" w:fill="auto"/>
          </w:tcPr>
          <w:p w:rsidRPr="00C97105" w:rsidR="00C97105" w:rsidP="00C97105" w:rsidRDefault="00C97105" w14:paraId="15503D88" w14:textId="77777777">
            <w:pPr>
              <w:spacing w:after="0" w:line="240" w:lineRule="auto"/>
              <w:jc w:val="center"/>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4 hours</w:t>
            </w:r>
          </w:p>
        </w:tc>
      </w:tr>
      <w:tr w:rsidRPr="00C97105" w:rsidR="00C97105" w:rsidTr="00387966" w14:paraId="50B6520C" w14:textId="77777777">
        <w:tc>
          <w:tcPr>
            <w:tcW w:w="1687" w:type="dxa"/>
            <w:shd w:val="clear" w:color="auto" w:fill="auto"/>
          </w:tcPr>
          <w:p w:rsidRPr="00C97105" w:rsidR="00C97105" w:rsidP="00C97105" w:rsidRDefault="00C97105" w14:paraId="5DD75A61" w14:textId="77777777">
            <w:pPr>
              <w:spacing w:after="0" w:line="240" w:lineRule="auto"/>
              <w:rPr>
                <w:rFonts w:ascii="Times New Roman" w:hAnsi="Times New Roman" w:eastAsia="Times New Roman" w:cs="Times New Roman"/>
                <w:b/>
                <w:bCs/>
                <w:sz w:val="24"/>
                <w:szCs w:val="24"/>
              </w:rPr>
            </w:pPr>
            <w:r w:rsidRPr="00C97105">
              <w:rPr>
                <w:rFonts w:ascii="Times New Roman" w:hAnsi="Times New Roman" w:eastAsia="Times New Roman" w:cs="Times New Roman"/>
                <w:b/>
                <w:bCs/>
                <w:sz w:val="24"/>
                <w:szCs w:val="24"/>
              </w:rPr>
              <w:t xml:space="preserve">Total </w:t>
            </w:r>
          </w:p>
        </w:tc>
        <w:tc>
          <w:tcPr>
            <w:tcW w:w="1530" w:type="dxa"/>
            <w:shd w:val="clear" w:color="auto" w:fill="auto"/>
          </w:tcPr>
          <w:p w:rsidRPr="00C97105" w:rsidR="00C97105" w:rsidP="00C97105" w:rsidRDefault="00C97105" w14:paraId="29B331A0" w14:textId="77777777">
            <w:pPr>
              <w:spacing w:after="0" w:line="240" w:lineRule="auto"/>
              <w:jc w:val="center"/>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180</w:t>
            </w:r>
          </w:p>
        </w:tc>
        <w:tc>
          <w:tcPr>
            <w:tcW w:w="1620" w:type="dxa"/>
            <w:shd w:val="clear" w:color="auto" w:fill="auto"/>
          </w:tcPr>
          <w:p w:rsidRPr="00C97105" w:rsidR="00C97105" w:rsidP="00C97105" w:rsidRDefault="00C97105" w14:paraId="5A83A0AA" w14:textId="77777777">
            <w:pPr>
              <w:spacing w:after="0" w:line="240" w:lineRule="auto"/>
              <w:jc w:val="center"/>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1</w:t>
            </w:r>
          </w:p>
        </w:tc>
        <w:tc>
          <w:tcPr>
            <w:tcW w:w="1620" w:type="dxa"/>
            <w:shd w:val="clear" w:color="auto" w:fill="auto"/>
          </w:tcPr>
          <w:p w:rsidRPr="00C97105" w:rsidR="00C97105" w:rsidP="00C97105" w:rsidRDefault="00C97105" w14:paraId="06B775EC" w14:textId="77777777">
            <w:pPr>
              <w:spacing w:after="0" w:line="240" w:lineRule="auto"/>
              <w:jc w:val="center"/>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180</w:t>
            </w:r>
          </w:p>
        </w:tc>
        <w:tc>
          <w:tcPr>
            <w:tcW w:w="1530" w:type="dxa"/>
            <w:shd w:val="clear" w:color="auto" w:fill="auto"/>
          </w:tcPr>
          <w:p w:rsidRPr="00C97105" w:rsidR="00C97105" w:rsidP="00C97105" w:rsidRDefault="00C97105" w14:paraId="4733A23F" w14:textId="77777777">
            <w:pPr>
              <w:spacing w:after="0" w:line="240" w:lineRule="auto"/>
              <w:jc w:val="center"/>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11 minutes</w:t>
            </w:r>
          </w:p>
          <w:p w:rsidRPr="00C97105" w:rsidR="00C97105" w:rsidP="00C97105" w:rsidRDefault="00C97105" w14:paraId="22E4179E" w14:textId="77777777">
            <w:pPr>
              <w:spacing w:after="0" w:line="240" w:lineRule="auto"/>
              <w:jc w:val="center"/>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(0.1833 hour)</w:t>
            </w:r>
          </w:p>
        </w:tc>
        <w:tc>
          <w:tcPr>
            <w:tcW w:w="1643" w:type="dxa"/>
            <w:shd w:val="clear" w:color="auto" w:fill="auto"/>
          </w:tcPr>
          <w:p w:rsidRPr="00C97105" w:rsidR="00C97105" w:rsidP="00C97105" w:rsidRDefault="00C97105" w14:paraId="236ABBE0" w14:textId="77777777">
            <w:pPr>
              <w:spacing w:after="0" w:line="240" w:lineRule="auto"/>
              <w:jc w:val="center"/>
              <w:rPr>
                <w:rFonts w:ascii="Times New Roman" w:hAnsi="Times New Roman" w:eastAsia="Times New Roman" w:cs="Times New Roman"/>
                <w:sz w:val="24"/>
                <w:szCs w:val="24"/>
              </w:rPr>
            </w:pPr>
            <w:r w:rsidRPr="00C97105">
              <w:rPr>
                <w:rFonts w:ascii="Times New Roman" w:hAnsi="Times New Roman" w:eastAsia="Times New Roman" w:cs="Times New Roman"/>
                <w:sz w:val="24"/>
                <w:szCs w:val="24"/>
              </w:rPr>
              <w:t>33 hours</w:t>
            </w:r>
          </w:p>
        </w:tc>
      </w:tr>
    </w:tbl>
    <w:p w:rsidRPr="002412EF" w:rsidR="00A76F7E" w:rsidP="002412EF" w:rsidRDefault="00A77157" w14:paraId="7D766FBF" w14:textId="77777777">
      <w:pPr>
        <w:spacing w:after="0" w:line="240" w:lineRule="auto"/>
        <w:rPr>
          <w:rFonts w:asciiTheme="majorHAnsi" w:hAnsiTheme="majorHAnsi"/>
          <w:sz w:val="24"/>
        </w:rPr>
      </w:pPr>
      <w:r w:rsidRPr="002412EF">
        <w:rPr>
          <w:rFonts w:asciiTheme="majorHAnsi" w:hAnsiTheme="majorHAnsi"/>
          <w:sz w:val="24"/>
        </w:rPr>
        <w:t xml:space="preserve"> </w:t>
      </w:r>
    </w:p>
    <w:p w:rsidR="00B55E9F" w:rsidP="00B55E9F" w:rsidRDefault="00B55E9F" w14:paraId="43A9E6FA" w14:textId="77777777">
      <w:pPr>
        <w:pStyle w:val="ListParagraph"/>
        <w:spacing w:after="0" w:line="240" w:lineRule="auto"/>
        <w:ind w:left="1440"/>
        <w:rPr>
          <w:rFonts w:asciiTheme="majorHAnsi" w:hAnsiTheme="majorHAnsi"/>
          <w:sz w:val="24"/>
        </w:rPr>
      </w:pPr>
    </w:p>
    <w:p w:rsidR="00235D71" w:rsidP="00235D71" w:rsidRDefault="00235D71" w14:paraId="680ED092"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r w:rsidRPr="00105F45">
        <w:rPr>
          <w:rFonts w:asciiTheme="majorHAnsi" w:hAnsiTheme="majorHAnsi"/>
          <w:sz w:val="24"/>
        </w:rPr>
        <w:t>(Summation or average based on collection)</w:t>
      </w:r>
    </w:p>
    <w:p w:rsidR="00235D71" w:rsidP="00235D71" w:rsidRDefault="00235D71" w14:paraId="1B646362" w14:textId="77777777">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002412EF">
        <w:rPr>
          <w:rFonts w:asciiTheme="majorHAnsi" w:hAnsiTheme="majorHAnsi"/>
          <w:sz w:val="24"/>
        </w:rPr>
        <w:t>: 180</w:t>
      </w:r>
    </w:p>
    <w:p w:rsidR="00235D71" w:rsidP="00235D71" w:rsidRDefault="00235D71" w14:paraId="7545611E" w14:textId="77777777">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Annual Responses</w:t>
      </w:r>
      <w:r w:rsidR="002412EF">
        <w:rPr>
          <w:rFonts w:asciiTheme="majorHAnsi" w:hAnsiTheme="majorHAnsi"/>
          <w:i/>
          <w:sz w:val="24"/>
        </w:rPr>
        <w:t>:</w:t>
      </w:r>
      <w:r>
        <w:rPr>
          <w:rFonts w:asciiTheme="majorHAnsi" w:hAnsiTheme="majorHAnsi"/>
          <w:sz w:val="24"/>
        </w:rPr>
        <w:t xml:space="preserve"> </w:t>
      </w:r>
      <w:r w:rsidR="002412EF">
        <w:rPr>
          <w:rFonts w:asciiTheme="majorHAnsi" w:hAnsiTheme="majorHAnsi"/>
          <w:sz w:val="24"/>
        </w:rPr>
        <w:t>180</w:t>
      </w:r>
    </w:p>
    <w:p w:rsidR="00A77157" w:rsidP="00337EF1" w:rsidRDefault="00235D71" w14:paraId="01ABB6C9" w14:textId="61156005">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Hours: </w:t>
      </w:r>
      <w:r w:rsidR="002412EF">
        <w:rPr>
          <w:rFonts w:asciiTheme="majorHAnsi" w:hAnsiTheme="majorHAnsi"/>
          <w:sz w:val="24"/>
        </w:rPr>
        <w:t>33</w:t>
      </w:r>
      <w:r>
        <w:rPr>
          <w:rFonts w:asciiTheme="majorHAnsi" w:hAnsiTheme="majorHAnsi"/>
          <w:sz w:val="24"/>
        </w:rPr>
        <w:t xml:space="preserve"> hours</w:t>
      </w:r>
    </w:p>
    <w:p w:rsidR="00387966" w:rsidP="00387966" w:rsidRDefault="00387966" w14:paraId="0C119B27" w14:textId="09E3EEB3">
      <w:pPr>
        <w:spacing w:after="0" w:line="240" w:lineRule="auto"/>
        <w:rPr>
          <w:rFonts w:asciiTheme="majorHAnsi" w:hAnsiTheme="majorHAnsi"/>
          <w:sz w:val="24"/>
        </w:rPr>
      </w:pPr>
    </w:p>
    <w:p w:rsidRPr="00387966" w:rsidR="00387966" w:rsidP="00387966" w:rsidRDefault="00387966" w14:paraId="0848F0D1" w14:textId="77777777">
      <w:pPr>
        <w:spacing w:after="0" w:line="240" w:lineRule="auto"/>
        <w:rPr>
          <w:rFonts w:asciiTheme="majorHAnsi" w:hAnsiTheme="majorHAnsi"/>
          <w:sz w:val="24"/>
        </w:rPr>
      </w:pPr>
    </w:p>
    <w:p w:rsidR="00520B36" w:rsidP="00337EF1" w:rsidRDefault="00520B36" w14:paraId="338FEC4D" w14:textId="77777777">
      <w:pPr>
        <w:spacing w:after="0" w:line="240" w:lineRule="auto"/>
        <w:rPr>
          <w:rFonts w:asciiTheme="majorHAnsi" w:hAnsiTheme="majorHAnsi"/>
          <w:sz w:val="24"/>
        </w:rPr>
      </w:pPr>
    </w:p>
    <w:p w:rsidR="00105F45" w:rsidP="00337EF1" w:rsidRDefault="00235D71" w14:paraId="3369110E"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rsidRDefault="00235D71" w14:paraId="60C010B6" w14:textId="77777777">
      <w:pPr>
        <w:pStyle w:val="ListParagraph"/>
        <w:spacing w:after="0" w:line="240" w:lineRule="auto"/>
        <w:rPr>
          <w:rFonts w:asciiTheme="majorHAnsi" w:hAnsiTheme="majorHAnsi"/>
          <w:sz w:val="24"/>
        </w:rPr>
      </w:pPr>
    </w:p>
    <w:p w:rsidR="00235D71" w:rsidP="00235D71" w:rsidRDefault="00235D71" w14:paraId="434E1306"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412EF" w:rsidP="002412EF" w:rsidRDefault="002412EF" w14:paraId="253C9F27" w14:textId="77777777">
      <w:pPr>
        <w:spacing w:after="0" w:line="240" w:lineRule="auto"/>
        <w:rPr>
          <w:rFonts w:asciiTheme="majorHAnsi" w:hAnsiTheme="majorHAnsi"/>
          <w:sz w:val="24"/>
        </w:rPr>
      </w:pPr>
    </w:p>
    <w:tbl>
      <w:tblPr>
        <w:tblW w:w="963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57"/>
        <w:gridCol w:w="1350"/>
        <w:gridCol w:w="1620"/>
        <w:gridCol w:w="1440"/>
        <w:gridCol w:w="1710"/>
        <w:gridCol w:w="1553"/>
      </w:tblGrid>
      <w:tr w:rsidRPr="002412EF" w:rsidR="002412EF" w:rsidTr="00827C6C" w14:paraId="549BF247" w14:textId="77777777">
        <w:tc>
          <w:tcPr>
            <w:tcW w:w="9630" w:type="dxa"/>
            <w:gridSpan w:val="6"/>
            <w:shd w:val="clear" w:color="auto" w:fill="auto"/>
          </w:tcPr>
          <w:p w:rsidRPr="002412EF" w:rsidR="002412EF" w:rsidP="002412EF" w:rsidRDefault="002412EF" w14:paraId="21B26A12"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Labor Cost of Respondent Burden</w:t>
            </w:r>
          </w:p>
        </w:tc>
      </w:tr>
      <w:tr w:rsidRPr="002412EF" w:rsidR="002412EF" w:rsidTr="00387966" w14:paraId="22857EB9" w14:textId="77777777">
        <w:tc>
          <w:tcPr>
            <w:tcW w:w="1957" w:type="dxa"/>
            <w:shd w:val="clear" w:color="auto" w:fill="auto"/>
          </w:tcPr>
          <w:p w:rsidRPr="002412EF" w:rsidR="002412EF" w:rsidP="002412EF" w:rsidRDefault="002412EF" w14:paraId="7DAA8167" w14:textId="77777777">
            <w:pPr>
              <w:spacing w:after="0" w:line="240" w:lineRule="auto"/>
              <w:rPr>
                <w:rFonts w:ascii="Times New Roman" w:hAnsi="Times New Roman" w:eastAsia="Times New Roman" w:cs="Times New Roman"/>
                <w:sz w:val="24"/>
                <w:szCs w:val="24"/>
              </w:rPr>
            </w:pPr>
          </w:p>
        </w:tc>
        <w:tc>
          <w:tcPr>
            <w:tcW w:w="1350" w:type="dxa"/>
            <w:shd w:val="clear" w:color="auto" w:fill="auto"/>
          </w:tcPr>
          <w:p w:rsidRPr="002412EF" w:rsidR="002412EF" w:rsidP="002412EF" w:rsidRDefault="002412EF" w14:paraId="1133570A"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Number of Responses</w:t>
            </w:r>
          </w:p>
        </w:tc>
        <w:tc>
          <w:tcPr>
            <w:tcW w:w="1620" w:type="dxa"/>
            <w:shd w:val="clear" w:color="auto" w:fill="auto"/>
          </w:tcPr>
          <w:p w:rsidRPr="002412EF" w:rsidR="002412EF" w:rsidP="002412EF" w:rsidRDefault="002412EF" w14:paraId="799ECF9B"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Response Time per Response</w:t>
            </w:r>
          </w:p>
        </w:tc>
        <w:tc>
          <w:tcPr>
            <w:tcW w:w="1440" w:type="dxa"/>
            <w:shd w:val="clear" w:color="auto" w:fill="auto"/>
          </w:tcPr>
          <w:p w:rsidRPr="002412EF" w:rsidR="002412EF" w:rsidP="002412EF" w:rsidRDefault="002412EF" w14:paraId="5C8F5741"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Respondent Hourly Wage</w:t>
            </w:r>
          </w:p>
        </w:tc>
        <w:tc>
          <w:tcPr>
            <w:tcW w:w="1710" w:type="dxa"/>
            <w:shd w:val="clear" w:color="auto" w:fill="auto"/>
          </w:tcPr>
          <w:p w:rsidRPr="002412EF" w:rsidR="002412EF" w:rsidP="00387966" w:rsidRDefault="002412EF" w14:paraId="021352D3" w14:textId="714B46B5">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 xml:space="preserve">Labor Burden per Response </w:t>
            </w:r>
          </w:p>
        </w:tc>
        <w:tc>
          <w:tcPr>
            <w:tcW w:w="1553" w:type="dxa"/>
            <w:shd w:val="clear" w:color="auto" w:fill="auto"/>
          </w:tcPr>
          <w:p w:rsidRPr="002412EF" w:rsidR="002412EF" w:rsidP="00387966" w:rsidRDefault="002412EF" w14:paraId="3A5D25F2" w14:textId="6FE4843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 xml:space="preserve">Total Labor Burden </w:t>
            </w:r>
          </w:p>
        </w:tc>
      </w:tr>
      <w:tr w:rsidRPr="002412EF" w:rsidR="002412EF" w:rsidTr="00387966" w14:paraId="0B86305A" w14:textId="77777777">
        <w:trPr>
          <w:trHeight w:val="1430"/>
        </w:trPr>
        <w:tc>
          <w:tcPr>
            <w:tcW w:w="1957" w:type="dxa"/>
            <w:shd w:val="clear" w:color="auto" w:fill="auto"/>
          </w:tcPr>
          <w:p w:rsidRPr="002412EF" w:rsidR="002412EF" w:rsidP="002412EF" w:rsidRDefault="002412EF" w14:paraId="765B4676" w14:textId="77777777">
            <w:pPr>
              <w:spacing w:after="0" w:line="240" w:lineRule="auto"/>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Collection Instrument #1: Nomination Form</w:t>
            </w:r>
          </w:p>
        </w:tc>
        <w:tc>
          <w:tcPr>
            <w:tcW w:w="1350" w:type="dxa"/>
            <w:shd w:val="clear" w:color="auto" w:fill="auto"/>
          </w:tcPr>
          <w:p w:rsidRPr="002412EF" w:rsidR="002412EF" w:rsidP="002412EF" w:rsidRDefault="002412EF" w14:paraId="26AB131B"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100</w:t>
            </w:r>
          </w:p>
        </w:tc>
        <w:tc>
          <w:tcPr>
            <w:tcW w:w="1620" w:type="dxa"/>
            <w:shd w:val="clear" w:color="auto" w:fill="auto"/>
          </w:tcPr>
          <w:p w:rsidRPr="002412EF" w:rsidR="002412EF" w:rsidP="002412EF" w:rsidRDefault="002412EF" w14:paraId="0C08BE91"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15 minutes</w:t>
            </w:r>
          </w:p>
          <w:p w:rsidRPr="002412EF" w:rsidR="002412EF" w:rsidP="002412EF" w:rsidRDefault="002412EF" w14:paraId="4683664A"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(0.25 hour)</w:t>
            </w:r>
          </w:p>
        </w:tc>
        <w:tc>
          <w:tcPr>
            <w:tcW w:w="1440" w:type="dxa"/>
            <w:shd w:val="clear" w:color="auto" w:fill="auto"/>
          </w:tcPr>
          <w:p w:rsidRPr="002412EF" w:rsidR="002412EF" w:rsidP="002412EF" w:rsidRDefault="002412EF" w14:paraId="39F805C4"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$60/hour</w:t>
            </w:r>
          </w:p>
        </w:tc>
        <w:tc>
          <w:tcPr>
            <w:tcW w:w="1710" w:type="dxa"/>
            <w:shd w:val="clear" w:color="auto" w:fill="auto"/>
          </w:tcPr>
          <w:p w:rsidRPr="002412EF" w:rsidR="002412EF" w:rsidP="002412EF" w:rsidRDefault="002412EF" w14:paraId="7B0204B8"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$15/response</w:t>
            </w:r>
          </w:p>
        </w:tc>
        <w:tc>
          <w:tcPr>
            <w:tcW w:w="1553" w:type="dxa"/>
            <w:shd w:val="clear" w:color="auto" w:fill="auto"/>
          </w:tcPr>
          <w:p w:rsidRPr="002412EF" w:rsidR="002412EF" w:rsidP="002412EF" w:rsidRDefault="002412EF" w14:paraId="177C02DA"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$1500</w:t>
            </w:r>
          </w:p>
        </w:tc>
      </w:tr>
      <w:tr w:rsidRPr="002412EF" w:rsidR="002412EF" w:rsidTr="00387966" w14:paraId="4CA910B6" w14:textId="77777777">
        <w:tc>
          <w:tcPr>
            <w:tcW w:w="1957" w:type="dxa"/>
            <w:shd w:val="clear" w:color="auto" w:fill="auto"/>
          </w:tcPr>
          <w:p w:rsidRPr="002412EF" w:rsidR="002412EF" w:rsidP="002412EF" w:rsidRDefault="002412EF" w14:paraId="35F9A74A" w14:textId="77777777">
            <w:pPr>
              <w:spacing w:after="0" w:line="240" w:lineRule="auto"/>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 xml:space="preserve">Collection Instrument #2: Registration Form </w:t>
            </w:r>
          </w:p>
        </w:tc>
        <w:tc>
          <w:tcPr>
            <w:tcW w:w="1350" w:type="dxa"/>
            <w:shd w:val="clear" w:color="auto" w:fill="auto"/>
          </w:tcPr>
          <w:p w:rsidRPr="002412EF" w:rsidR="002412EF" w:rsidP="002412EF" w:rsidRDefault="002412EF" w14:paraId="45939D5F"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40</w:t>
            </w:r>
          </w:p>
        </w:tc>
        <w:tc>
          <w:tcPr>
            <w:tcW w:w="1620" w:type="dxa"/>
            <w:shd w:val="clear" w:color="auto" w:fill="auto"/>
          </w:tcPr>
          <w:p w:rsidRPr="002412EF" w:rsidR="002412EF" w:rsidP="002412EF" w:rsidRDefault="002412EF" w14:paraId="4B091709"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6 minutes</w:t>
            </w:r>
          </w:p>
          <w:p w:rsidRPr="002412EF" w:rsidR="002412EF" w:rsidP="002412EF" w:rsidRDefault="002412EF" w14:paraId="36C57FB9"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(0.10 hour)</w:t>
            </w:r>
          </w:p>
        </w:tc>
        <w:tc>
          <w:tcPr>
            <w:tcW w:w="1440" w:type="dxa"/>
            <w:shd w:val="clear" w:color="auto" w:fill="auto"/>
          </w:tcPr>
          <w:p w:rsidRPr="002412EF" w:rsidR="002412EF" w:rsidP="002412EF" w:rsidRDefault="002412EF" w14:paraId="51C1B2AC"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$60/hour</w:t>
            </w:r>
          </w:p>
        </w:tc>
        <w:tc>
          <w:tcPr>
            <w:tcW w:w="1710" w:type="dxa"/>
            <w:shd w:val="clear" w:color="auto" w:fill="auto"/>
          </w:tcPr>
          <w:p w:rsidRPr="002412EF" w:rsidR="002412EF" w:rsidP="002412EF" w:rsidRDefault="002412EF" w14:paraId="0EF061DB"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$6/response</w:t>
            </w:r>
          </w:p>
        </w:tc>
        <w:tc>
          <w:tcPr>
            <w:tcW w:w="1553" w:type="dxa"/>
            <w:shd w:val="clear" w:color="auto" w:fill="auto"/>
          </w:tcPr>
          <w:p w:rsidRPr="002412EF" w:rsidR="002412EF" w:rsidP="002412EF" w:rsidRDefault="002412EF" w14:paraId="36E6BB37"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$240</w:t>
            </w:r>
          </w:p>
        </w:tc>
      </w:tr>
      <w:tr w:rsidRPr="002412EF" w:rsidR="002412EF" w:rsidTr="00387966" w14:paraId="1F01BBCF" w14:textId="77777777">
        <w:tc>
          <w:tcPr>
            <w:tcW w:w="1957" w:type="dxa"/>
            <w:shd w:val="clear" w:color="auto" w:fill="auto"/>
          </w:tcPr>
          <w:p w:rsidRPr="002412EF" w:rsidR="002412EF" w:rsidP="002412EF" w:rsidRDefault="002412EF" w14:paraId="0CF2E6E5" w14:textId="77777777">
            <w:pPr>
              <w:spacing w:after="0" w:line="240" w:lineRule="auto"/>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 xml:space="preserve">Collection Instrument #3: Medical Form </w:t>
            </w:r>
          </w:p>
        </w:tc>
        <w:tc>
          <w:tcPr>
            <w:tcW w:w="1350" w:type="dxa"/>
            <w:shd w:val="clear" w:color="auto" w:fill="auto"/>
          </w:tcPr>
          <w:p w:rsidRPr="002412EF" w:rsidR="002412EF" w:rsidP="002412EF" w:rsidRDefault="002412EF" w14:paraId="5D908B53"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40</w:t>
            </w:r>
          </w:p>
        </w:tc>
        <w:tc>
          <w:tcPr>
            <w:tcW w:w="1620" w:type="dxa"/>
            <w:shd w:val="clear" w:color="auto" w:fill="auto"/>
          </w:tcPr>
          <w:p w:rsidRPr="002412EF" w:rsidR="002412EF" w:rsidP="002412EF" w:rsidRDefault="002412EF" w14:paraId="0D3DC878"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6 minutes</w:t>
            </w:r>
          </w:p>
          <w:p w:rsidRPr="002412EF" w:rsidR="002412EF" w:rsidP="002412EF" w:rsidRDefault="002412EF" w14:paraId="16406ADA"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(0.10 hour)</w:t>
            </w:r>
          </w:p>
        </w:tc>
        <w:tc>
          <w:tcPr>
            <w:tcW w:w="1440" w:type="dxa"/>
            <w:shd w:val="clear" w:color="auto" w:fill="auto"/>
          </w:tcPr>
          <w:p w:rsidRPr="002412EF" w:rsidR="002412EF" w:rsidP="002412EF" w:rsidRDefault="002412EF" w14:paraId="404FFD12"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$60/hour</w:t>
            </w:r>
          </w:p>
        </w:tc>
        <w:tc>
          <w:tcPr>
            <w:tcW w:w="1710" w:type="dxa"/>
            <w:shd w:val="clear" w:color="auto" w:fill="auto"/>
          </w:tcPr>
          <w:p w:rsidRPr="002412EF" w:rsidR="002412EF" w:rsidP="002412EF" w:rsidRDefault="002412EF" w14:paraId="57AC6724"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$6/response</w:t>
            </w:r>
          </w:p>
        </w:tc>
        <w:tc>
          <w:tcPr>
            <w:tcW w:w="1553" w:type="dxa"/>
            <w:shd w:val="clear" w:color="auto" w:fill="auto"/>
          </w:tcPr>
          <w:p w:rsidRPr="002412EF" w:rsidR="002412EF" w:rsidP="002412EF" w:rsidRDefault="002412EF" w14:paraId="0BFDB47C"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$240</w:t>
            </w:r>
          </w:p>
        </w:tc>
      </w:tr>
      <w:tr w:rsidRPr="002412EF" w:rsidR="002412EF" w:rsidTr="00387966" w14:paraId="76467374" w14:textId="77777777">
        <w:tc>
          <w:tcPr>
            <w:tcW w:w="1957" w:type="dxa"/>
            <w:shd w:val="clear" w:color="auto" w:fill="auto"/>
          </w:tcPr>
          <w:p w:rsidRPr="002412EF" w:rsidR="002412EF" w:rsidP="002412EF" w:rsidRDefault="002412EF" w14:paraId="208EC7F9" w14:textId="77777777">
            <w:pPr>
              <w:spacing w:after="0" w:line="240" w:lineRule="auto"/>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 xml:space="preserve">Total </w:t>
            </w:r>
          </w:p>
        </w:tc>
        <w:tc>
          <w:tcPr>
            <w:tcW w:w="1350" w:type="dxa"/>
            <w:shd w:val="clear" w:color="auto" w:fill="auto"/>
          </w:tcPr>
          <w:p w:rsidRPr="002412EF" w:rsidR="002412EF" w:rsidP="002412EF" w:rsidRDefault="002412EF" w14:paraId="209A51C8"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180</w:t>
            </w:r>
          </w:p>
        </w:tc>
        <w:tc>
          <w:tcPr>
            <w:tcW w:w="1620" w:type="dxa"/>
            <w:shd w:val="clear" w:color="auto" w:fill="auto"/>
          </w:tcPr>
          <w:p w:rsidRPr="002412EF" w:rsidR="002412EF" w:rsidP="002412EF" w:rsidRDefault="002412EF" w14:paraId="5B403395"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11 minutes</w:t>
            </w:r>
          </w:p>
          <w:p w:rsidRPr="002412EF" w:rsidR="002412EF" w:rsidP="002412EF" w:rsidRDefault="002412EF" w14:paraId="4907B15F"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(0.1833 hour)</w:t>
            </w:r>
          </w:p>
        </w:tc>
        <w:tc>
          <w:tcPr>
            <w:tcW w:w="1440" w:type="dxa"/>
            <w:shd w:val="clear" w:color="auto" w:fill="auto"/>
          </w:tcPr>
          <w:p w:rsidRPr="002412EF" w:rsidR="002412EF" w:rsidP="002412EF" w:rsidRDefault="002412EF" w14:paraId="472C65F9"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$60/hour</w:t>
            </w:r>
          </w:p>
        </w:tc>
        <w:tc>
          <w:tcPr>
            <w:tcW w:w="1710" w:type="dxa"/>
            <w:shd w:val="clear" w:color="auto" w:fill="auto"/>
          </w:tcPr>
          <w:p w:rsidRPr="002412EF" w:rsidR="002412EF" w:rsidP="002412EF" w:rsidRDefault="002412EF" w14:paraId="0D50E0D8"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$11/response</w:t>
            </w:r>
          </w:p>
        </w:tc>
        <w:tc>
          <w:tcPr>
            <w:tcW w:w="1553" w:type="dxa"/>
            <w:shd w:val="clear" w:color="auto" w:fill="auto"/>
          </w:tcPr>
          <w:p w:rsidRPr="002412EF" w:rsidR="002412EF" w:rsidP="002412EF" w:rsidRDefault="002412EF" w14:paraId="72CE7AB5" w14:textId="77777777">
            <w:pPr>
              <w:spacing w:after="0" w:line="240" w:lineRule="auto"/>
              <w:jc w:val="center"/>
              <w:rPr>
                <w:rFonts w:ascii="Times New Roman" w:hAnsi="Times New Roman" w:eastAsia="Times New Roman" w:cs="Times New Roman"/>
                <w:sz w:val="24"/>
                <w:szCs w:val="24"/>
              </w:rPr>
            </w:pPr>
            <w:r w:rsidRPr="002412EF">
              <w:rPr>
                <w:rFonts w:ascii="Times New Roman" w:hAnsi="Times New Roman" w:eastAsia="Times New Roman" w:cs="Times New Roman"/>
                <w:sz w:val="24"/>
                <w:szCs w:val="24"/>
              </w:rPr>
              <w:t>$1980</w:t>
            </w:r>
          </w:p>
        </w:tc>
      </w:tr>
    </w:tbl>
    <w:p w:rsidRPr="002412EF" w:rsidR="002412EF" w:rsidP="002412EF" w:rsidRDefault="002412EF" w14:paraId="07C8132B" w14:textId="77777777">
      <w:pPr>
        <w:spacing w:after="0" w:line="240" w:lineRule="auto"/>
        <w:rPr>
          <w:rFonts w:asciiTheme="majorHAnsi" w:hAnsiTheme="majorHAnsi"/>
          <w:sz w:val="24"/>
        </w:rPr>
      </w:pPr>
    </w:p>
    <w:p w:rsidR="00235D71" w:rsidP="00235D71" w:rsidRDefault="00235D71" w14:paraId="21940D00"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00235D71" w:rsidP="00235D71" w:rsidRDefault="00235D71" w14:paraId="47C36B34" w14:textId="77777777">
      <w:pPr>
        <w:pStyle w:val="ListParagraph"/>
        <w:numPr>
          <w:ilvl w:val="1"/>
          <w:numId w:val="16"/>
        </w:numPr>
        <w:spacing w:after="0" w:line="240" w:lineRule="auto"/>
        <w:rPr>
          <w:rFonts w:asciiTheme="majorHAnsi" w:hAnsiTheme="majorHAnsi"/>
          <w:sz w:val="24"/>
        </w:rPr>
      </w:pPr>
      <w:r>
        <w:rPr>
          <w:rFonts w:asciiTheme="majorHAnsi" w:hAnsiTheme="majorHAnsi"/>
          <w:sz w:val="24"/>
        </w:rPr>
        <w:t>Total Number of Annual Responses</w:t>
      </w:r>
      <w:r w:rsidR="00984017">
        <w:rPr>
          <w:rFonts w:asciiTheme="majorHAnsi" w:hAnsiTheme="majorHAnsi"/>
          <w:i/>
          <w:sz w:val="24"/>
        </w:rPr>
        <w:t>:</w:t>
      </w:r>
      <w:r w:rsidRPr="00254DCF">
        <w:rPr>
          <w:rFonts w:asciiTheme="majorHAnsi" w:hAnsiTheme="majorHAnsi"/>
          <w:sz w:val="24"/>
        </w:rPr>
        <w:t xml:space="preserve"> </w:t>
      </w:r>
      <w:r w:rsidR="00984017">
        <w:rPr>
          <w:rFonts w:asciiTheme="majorHAnsi" w:hAnsiTheme="majorHAnsi"/>
          <w:sz w:val="24"/>
        </w:rPr>
        <w:t>180</w:t>
      </w:r>
    </w:p>
    <w:p w:rsidR="00235D71" w:rsidP="00235D71" w:rsidRDefault="00235D71" w14:paraId="2EF47831" w14:textId="77777777">
      <w:pPr>
        <w:pStyle w:val="ListParagraph"/>
        <w:numPr>
          <w:ilvl w:val="1"/>
          <w:numId w:val="16"/>
        </w:numPr>
        <w:spacing w:after="0" w:line="240" w:lineRule="auto"/>
        <w:rPr>
          <w:rFonts w:asciiTheme="majorHAnsi" w:hAnsiTheme="majorHAnsi"/>
          <w:sz w:val="24"/>
        </w:rPr>
      </w:pPr>
      <w:r>
        <w:rPr>
          <w:rFonts w:asciiTheme="majorHAnsi" w:hAnsiTheme="majorHAnsi"/>
          <w:sz w:val="24"/>
        </w:rPr>
        <w:t xml:space="preserve">Total Labor Burden: </w:t>
      </w:r>
      <w:r w:rsidR="00984017">
        <w:rPr>
          <w:rFonts w:asciiTheme="majorHAnsi" w:hAnsiTheme="majorHAnsi"/>
          <w:sz w:val="24"/>
        </w:rPr>
        <w:t>$1980</w:t>
      </w:r>
    </w:p>
    <w:p w:rsidR="00520B36" w:rsidP="006F2DF8" w:rsidRDefault="00520B36" w14:paraId="73B3C285" w14:textId="77777777">
      <w:pPr>
        <w:spacing w:after="0" w:line="240" w:lineRule="auto"/>
        <w:rPr>
          <w:rFonts w:asciiTheme="majorHAnsi" w:hAnsiTheme="majorHAnsi"/>
          <w:sz w:val="24"/>
        </w:rPr>
      </w:pPr>
    </w:p>
    <w:p w:rsidRPr="0019309D" w:rsidR="00520B36" w:rsidP="0019309D" w:rsidRDefault="0019309D" w14:paraId="523A5689" w14:textId="77777777">
      <w:pPr>
        <w:spacing w:after="0" w:line="240" w:lineRule="auto"/>
        <w:rPr>
          <w:rFonts w:asciiTheme="majorHAnsi" w:hAnsiTheme="majorHAnsi"/>
          <w:sz w:val="24"/>
        </w:rPr>
      </w:pPr>
      <w:r w:rsidRPr="009F29E9">
        <w:rPr>
          <w:rFonts w:asciiTheme="majorHAnsi" w:hAnsiTheme="majorHAnsi"/>
          <w:sz w:val="24"/>
        </w:rPr>
        <w:t xml:space="preserve">The Respondent hourly wage was determined by using the </w:t>
      </w:r>
      <w:r w:rsidRPr="009F29E9" w:rsidR="008A06EF">
        <w:rPr>
          <w:rFonts w:asciiTheme="majorHAnsi" w:hAnsiTheme="majorHAnsi"/>
          <w:sz w:val="24"/>
        </w:rPr>
        <w:t>[</w:t>
      </w:r>
      <w:r w:rsidRPr="009F29E9">
        <w:rPr>
          <w:rFonts w:asciiTheme="majorHAnsi" w:hAnsiTheme="majorHAnsi"/>
          <w:sz w:val="24"/>
        </w:rPr>
        <w:t>Department of Labor Wage Website</w:t>
      </w:r>
      <w:r w:rsidRPr="009F29E9" w:rsidR="008A06EF">
        <w:rPr>
          <w:rFonts w:asciiTheme="majorHAnsi" w:hAnsiTheme="majorHAnsi"/>
          <w:sz w:val="24"/>
        </w:rPr>
        <w:t>]</w:t>
      </w:r>
      <w:r w:rsidRPr="009F29E9">
        <w:rPr>
          <w:rFonts w:asciiTheme="majorHAnsi" w:hAnsiTheme="majorHAnsi"/>
          <w:sz w:val="24"/>
        </w:rPr>
        <w:t xml:space="preserve"> (</w:t>
      </w:r>
      <w:r w:rsidRPr="009F29E9" w:rsidR="008A06EF">
        <w:rPr>
          <w:rFonts w:asciiTheme="majorHAnsi" w:hAnsiTheme="majorHAnsi"/>
          <w:sz w:val="24"/>
        </w:rPr>
        <w:t>[</w:t>
      </w:r>
      <w:hyperlink w:history="1" r:id="rId8">
        <w:r w:rsidRPr="009F29E9">
          <w:rPr>
            <w:rStyle w:val="Hyperlink"/>
            <w:rFonts w:asciiTheme="majorHAnsi" w:hAnsiTheme="majorHAnsi"/>
            <w:sz w:val="24"/>
          </w:rPr>
          <w:t>http://www.dol.gov/dol/topic/wages/index.htm</w:t>
        </w:r>
      </w:hyperlink>
      <w:r w:rsidRPr="009F29E9" w:rsidR="008A06EF">
        <w:rPr>
          <w:rFonts w:asciiTheme="majorHAnsi" w:hAnsiTheme="majorHAnsi"/>
          <w:sz w:val="24"/>
        </w:rPr>
        <w:t>])</w:t>
      </w:r>
    </w:p>
    <w:p w:rsidR="006F2DF8" w:rsidP="00337EF1" w:rsidRDefault="006F2DF8" w14:paraId="2316A71A" w14:textId="77777777">
      <w:pPr>
        <w:spacing w:after="0" w:line="240" w:lineRule="auto"/>
        <w:rPr>
          <w:rFonts w:asciiTheme="majorHAnsi" w:hAnsiTheme="majorHAnsi"/>
          <w:sz w:val="24"/>
        </w:rPr>
      </w:pPr>
    </w:p>
    <w:p w:rsidRPr="00A92880" w:rsidR="00C12A31" w:rsidP="0019309D" w:rsidRDefault="0019309D" w14:paraId="37156869" w14:textId="77777777">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19309D" w:rsidP="0019309D" w:rsidRDefault="0019309D" w14:paraId="4B53676D" w14:textId="77777777">
      <w:pPr>
        <w:spacing w:after="0" w:line="240" w:lineRule="auto"/>
        <w:rPr>
          <w:rFonts w:asciiTheme="majorHAnsi" w:hAnsiTheme="majorHAnsi"/>
          <w:sz w:val="24"/>
        </w:rPr>
      </w:pPr>
      <w:r w:rsidRPr="00C12A31">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rsidRDefault="0019309D" w14:paraId="59B38DEC" w14:textId="77777777">
      <w:pPr>
        <w:spacing w:after="0" w:line="240" w:lineRule="auto"/>
        <w:rPr>
          <w:rFonts w:asciiTheme="majorHAnsi" w:hAnsiTheme="majorHAnsi"/>
          <w:sz w:val="24"/>
        </w:rPr>
      </w:pPr>
    </w:p>
    <w:p w:rsidR="00F25499" w:rsidP="0019309D" w:rsidRDefault="00F25499" w14:paraId="585881F5" w14:textId="77777777">
      <w:pPr>
        <w:spacing w:after="0" w:line="240" w:lineRule="auto"/>
        <w:rPr>
          <w:rFonts w:asciiTheme="majorHAnsi" w:hAnsiTheme="majorHAnsi"/>
          <w:sz w:val="24"/>
        </w:rPr>
      </w:pPr>
      <w:r w:rsidRPr="00E000A6">
        <w:rPr>
          <w:rFonts w:asciiTheme="majorHAnsi" w:hAnsiTheme="majorHAnsi"/>
          <w:sz w:val="24"/>
        </w:rPr>
        <w:t xml:space="preserve">14. </w:t>
      </w:r>
      <w:r w:rsidRPr="00E000A6">
        <w:rPr>
          <w:rFonts w:asciiTheme="majorHAnsi" w:hAnsiTheme="majorHAnsi"/>
          <w:sz w:val="24"/>
        </w:rPr>
        <w:tab/>
      </w:r>
      <w:r w:rsidRPr="00E000A6">
        <w:rPr>
          <w:rFonts w:asciiTheme="majorHAnsi" w:hAnsiTheme="majorHAnsi"/>
          <w:sz w:val="24"/>
          <w:u w:val="single"/>
        </w:rPr>
        <w:t>Cost to the Federal Government</w:t>
      </w:r>
    </w:p>
    <w:p w:rsidR="00235D71" w:rsidP="0019309D" w:rsidRDefault="00235D71" w14:paraId="567E6B12" w14:textId="77777777">
      <w:pPr>
        <w:spacing w:after="0" w:line="240" w:lineRule="auto"/>
        <w:rPr>
          <w:rFonts w:asciiTheme="majorHAnsi" w:hAnsiTheme="majorHAnsi"/>
          <w:sz w:val="24"/>
        </w:rPr>
      </w:pPr>
    </w:p>
    <w:p w:rsidRPr="00235D71" w:rsidR="00722FDB" w:rsidP="00722FDB" w:rsidRDefault="00235D71" w14:paraId="4ADE6DED"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rsidRDefault="00235D71" w14:paraId="522BF583" w14:textId="77777777">
      <w:pPr>
        <w:pStyle w:val="ListParagraph"/>
        <w:spacing w:after="0" w:line="240" w:lineRule="auto"/>
        <w:rPr>
          <w:rFonts w:asciiTheme="majorHAnsi" w:hAnsiTheme="majorHAnsi"/>
          <w:sz w:val="24"/>
        </w:rPr>
      </w:pPr>
    </w:p>
    <w:p w:rsidR="00235D71" w:rsidP="00235D71" w:rsidRDefault="00235D71" w14:paraId="7B768950" w14:textId="6B9C8F3D">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387966" w:rsidP="00387966" w:rsidRDefault="00387966" w14:paraId="703019E8" w14:textId="4F69EADC">
      <w:pPr>
        <w:spacing w:after="0" w:line="240" w:lineRule="auto"/>
        <w:rPr>
          <w:rFonts w:asciiTheme="majorHAnsi" w:hAnsiTheme="majorHAnsi"/>
          <w:sz w:val="24"/>
        </w:rPr>
      </w:pPr>
    </w:p>
    <w:p w:rsidR="00387966" w:rsidP="00387966" w:rsidRDefault="00387966" w14:paraId="2D63EC6A" w14:textId="6D7166F6">
      <w:pPr>
        <w:spacing w:after="0" w:line="240" w:lineRule="auto"/>
        <w:rPr>
          <w:rFonts w:asciiTheme="majorHAnsi" w:hAnsiTheme="majorHAnsi"/>
          <w:sz w:val="24"/>
        </w:rPr>
      </w:pPr>
    </w:p>
    <w:p w:rsidR="00387966" w:rsidP="00387966" w:rsidRDefault="00387966" w14:paraId="3287DE02" w14:textId="215CC945">
      <w:pPr>
        <w:spacing w:after="0" w:line="240" w:lineRule="auto"/>
        <w:rPr>
          <w:rFonts w:asciiTheme="majorHAnsi" w:hAnsiTheme="majorHAnsi"/>
          <w:sz w:val="24"/>
        </w:rPr>
      </w:pPr>
    </w:p>
    <w:p w:rsidR="00387966" w:rsidP="00387966" w:rsidRDefault="00387966" w14:paraId="7FA22E09" w14:textId="0BCD0489">
      <w:pPr>
        <w:spacing w:after="0" w:line="240" w:lineRule="auto"/>
        <w:rPr>
          <w:rFonts w:asciiTheme="majorHAnsi" w:hAnsiTheme="majorHAnsi"/>
          <w:sz w:val="24"/>
        </w:rPr>
      </w:pPr>
    </w:p>
    <w:p w:rsidRPr="00387966" w:rsidR="00387966" w:rsidP="00387966" w:rsidRDefault="00387966" w14:paraId="3EC0BD40" w14:textId="03291BD2">
      <w:pPr>
        <w:spacing w:after="0" w:line="240" w:lineRule="auto"/>
        <w:rPr>
          <w:rFonts w:asciiTheme="majorHAnsi" w:hAnsiTheme="majorHAnsi"/>
          <w:sz w:val="24"/>
        </w:rPr>
      </w:pPr>
    </w:p>
    <w:p w:rsidR="00E000A6" w:rsidP="00E000A6" w:rsidRDefault="00E000A6" w14:paraId="0D7EC364" w14:textId="77777777">
      <w:pPr>
        <w:spacing w:after="0" w:line="240" w:lineRule="auto"/>
        <w:rPr>
          <w:rFonts w:asciiTheme="majorHAnsi" w:hAnsiTheme="majorHAnsi"/>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65"/>
        <w:gridCol w:w="1598"/>
        <w:gridCol w:w="1598"/>
        <w:gridCol w:w="1598"/>
        <w:gridCol w:w="1591"/>
      </w:tblGrid>
      <w:tr w:rsidR="00E000A6" w:rsidTr="00827C6C" w14:paraId="3EA93C5E" w14:textId="77777777">
        <w:tc>
          <w:tcPr>
            <w:tcW w:w="9576" w:type="dxa"/>
            <w:gridSpan w:val="5"/>
            <w:shd w:val="clear" w:color="auto" w:fill="auto"/>
          </w:tcPr>
          <w:p w:rsidR="00E000A6" w:rsidP="00827C6C" w:rsidRDefault="00E000A6" w14:paraId="531A9A96" w14:textId="77777777">
            <w:pPr>
              <w:pStyle w:val="NormalWeb"/>
              <w:spacing w:before="0" w:beforeAutospacing="0" w:after="0" w:afterAutospacing="0"/>
              <w:jc w:val="center"/>
            </w:pPr>
            <w:r>
              <w:t>Labor Cost to the Federal Government</w:t>
            </w:r>
          </w:p>
        </w:tc>
      </w:tr>
      <w:tr w:rsidR="00E000A6" w:rsidTr="00827C6C" w14:paraId="27E12201" w14:textId="77777777">
        <w:tc>
          <w:tcPr>
            <w:tcW w:w="3078" w:type="dxa"/>
            <w:shd w:val="clear" w:color="auto" w:fill="auto"/>
          </w:tcPr>
          <w:p w:rsidR="00E000A6" w:rsidP="00827C6C" w:rsidRDefault="00E000A6" w14:paraId="7D7DADBF" w14:textId="77777777">
            <w:pPr>
              <w:pStyle w:val="NormalWeb"/>
              <w:spacing w:before="0" w:beforeAutospacing="0" w:after="0" w:afterAutospacing="0"/>
            </w:pPr>
          </w:p>
        </w:tc>
        <w:tc>
          <w:tcPr>
            <w:tcW w:w="1620" w:type="dxa"/>
            <w:shd w:val="clear" w:color="auto" w:fill="auto"/>
          </w:tcPr>
          <w:p w:rsidR="00E000A6" w:rsidP="00827C6C" w:rsidRDefault="00E000A6" w14:paraId="597F8327" w14:textId="77777777">
            <w:pPr>
              <w:pStyle w:val="NormalWeb"/>
              <w:spacing w:before="0" w:beforeAutospacing="0" w:after="0" w:afterAutospacing="0"/>
              <w:jc w:val="center"/>
            </w:pPr>
            <w:r>
              <w:t>Collection Instrument #1</w:t>
            </w:r>
          </w:p>
        </w:tc>
        <w:tc>
          <w:tcPr>
            <w:tcW w:w="1620" w:type="dxa"/>
            <w:shd w:val="clear" w:color="auto" w:fill="auto"/>
          </w:tcPr>
          <w:p w:rsidR="00E000A6" w:rsidP="00827C6C" w:rsidRDefault="00E000A6" w14:paraId="0BD7584C" w14:textId="77777777">
            <w:pPr>
              <w:pStyle w:val="NormalWeb"/>
              <w:spacing w:before="0" w:beforeAutospacing="0" w:after="0" w:afterAutospacing="0"/>
              <w:jc w:val="center"/>
            </w:pPr>
            <w:r>
              <w:t>Collection Instrument #2</w:t>
            </w:r>
          </w:p>
        </w:tc>
        <w:tc>
          <w:tcPr>
            <w:tcW w:w="1620" w:type="dxa"/>
            <w:shd w:val="clear" w:color="auto" w:fill="auto"/>
          </w:tcPr>
          <w:p w:rsidR="00E000A6" w:rsidP="00827C6C" w:rsidRDefault="00E000A6" w14:paraId="5F630904" w14:textId="77777777">
            <w:pPr>
              <w:pStyle w:val="NormalWeb"/>
              <w:spacing w:before="0" w:beforeAutospacing="0" w:after="0" w:afterAutospacing="0"/>
              <w:jc w:val="center"/>
            </w:pPr>
            <w:r>
              <w:t>Collection Instrument #3</w:t>
            </w:r>
          </w:p>
        </w:tc>
        <w:tc>
          <w:tcPr>
            <w:tcW w:w="1638" w:type="dxa"/>
            <w:shd w:val="clear" w:color="auto" w:fill="auto"/>
          </w:tcPr>
          <w:p w:rsidRPr="00E000A6" w:rsidR="00E000A6" w:rsidP="00827C6C" w:rsidRDefault="00E000A6" w14:paraId="755DBB23" w14:textId="77777777">
            <w:pPr>
              <w:pStyle w:val="NormalWeb"/>
              <w:spacing w:before="0" w:beforeAutospacing="0" w:after="0" w:afterAutospacing="0"/>
              <w:jc w:val="center"/>
              <w:rPr>
                <w:b/>
                <w:bCs/>
              </w:rPr>
            </w:pPr>
            <w:r w:rsidRPr="00E000A6">
              <w:rPr>
                <w:b/>
                <w:bCs/>
              </w:rPr>
              <w:t>Total</w:t>
            </w:r>
          </w:p>
        </w:tc>
      </w:tr>
      <w:tr w:rsidR="00E000A6" w:rsidTr="00827C6C" w14:paraId="71C41811" w14:textId="77777777">
        <w:tc>
          <w:tcPr>
            <w:tcW w:w="3078" w:type="dxa"/>
            <w:shd w:val="clear" w:color="auto" w:fill="auto"/>
          </w:tcPr>
          <w:p w:rsidR="00E000A6" w:rsidP="00387966" w:rsidRDefault="00E000A6" w14:paraId="02E2569C" w14:textId="77777777">
            <w:pPr>
              <w:pStyle w:val="NormalWeb"/>
              <w:spacing w:before="0" w:beforeAutospacing="0" w:after="0" w:afterAutospacing="0"/>
            </w:pPr>
            <w:r>
              <w:t>Number of Responses</w:t>
            </w:r>
          </w:p>
        </w:tc>
        <w:tc>
          <w:tcPr>
            <w:tcW w:w="1620" w:type="dxa"/>
            <w:shd w:val="clear" w:color="auto" w:fill="auto"/>
          </w:tcPr>
          <w:p w:rsidR="00E000A6" w:rsidP="00827C6C" w:rsidRDefault="00E000A6" w14:paraId="402154C5" w14:textId="77777777">
            <w:pPr>
              <w:pStyle w:val="NormalWeb"/>
              <w:spacing w:before="0" w:beforeAutospacing="0" w:after="0" w:afterAutospacing="0"/>
              <w:jc w:val="center"/>
            </w:pPr>
            <w:r>
              <w:t>100</w:t>
            </w:r>
          </w:p>
        </w:tc>
        <w:tc>
          <w:tcPr>
            <w:tcW w:w="1620" w:type="dxa"/>
            <w:shd w:val="clear" w:color="auto" w:fill="auto"/>
          </w:tcPr>
          <w:p w:rsidR="00E000A6" w:rsidP="00827C6C" w:rsidRDefault="00E000A6" w14:paraId="59BDE8F4" w14:textId="77777777">
            <w:pPr>
              <w:pStyle w:val="NormalWeb"/>
              <w:spacing w:before="0" w:beforeAutospacing="0" w:after="0" w:afterAutospacing="0"/>
              <w:jc w:val="center"/>
            </w:pPr>
            <w:r>
              <w:t>40</w:t>
            </w:r>
          </w:p>
        </w:tc>
        <w:tc>
          <w:tcPr>
            <w:tcW w:w="1620" w:type="dxa"/>
            <w:shd w:val="clear" w:color="auto" w:fill="auto"/>
          </w:tcPr>
          <w:p w:rsidR="00E000A6" w:rsidP="00827C6C" w:rsidRDefault="00E000A6" w14:paraId="659EABE2" w14:textId="77777777">
            <w:pPr>
              <w:pStyle w:val="NormalWeb"/>
              <w:spacing w:before="0" w:beforeAutospacing="0" w:after="0" w:afterAutospacing="0"/>
              <w:jc w:val="center"/>
            </w:pPr>
            <w:r>
              <w:t>40</w:t>
            </w:r>
          </w:p>
        </w:tc>
        <w:tc>
          <w:tcPr>
            <w:tcW w:w="1638" w:type="dxa"/>
            <w:shd w:val="clear" w:color="auto" w:fill="auto"/>
          </w:tcPr>
          <w:p w:rsidR="00E000A6" w:rsidP="00827C6C" w:rsidRDefault="00E000A6" w14:paraId="1334F5BD" w14:textId="77777777">
            <w:pPr>
              <w:pStyle w:val="NormalWeb"/>
              <w:spacing w:before="0" w:beforeAutospacing="0" w:after="0" w:afterAutospacing="0"/>
              <w:jc w:val="center"/>
            </w:pPr>
            <w:r>
              <w:t>180</w:t>
            </w:r>
          </w:p>
        </w:tc>
      </w:tr>
      <w:tr w:rsidR="00E000A6" w:rsidTr="00827C6C" w14:paraId="4F44CD92" w14:textId="77777777">
        <w:tc>
          <w:tcPr>
            <w:tcW w:w="3078" w:type="dxa"/>
            <w:shd w:val="clear" w:color="auto" w:fill="auto"/>
          </w:tcPr>
          <w:p w:rsidR="00E000A6" w:rsidP="00387966" w:rsidRDefault="00E000A6" w14:paraId="0ADC3E2A" w14:textId="77777777">
            <w:pPr>
              <w:pStyle w:val="NormalWeb"/>
              <w:spacing w:before="0" w:beforeAutospacing="0" w:after="0" w:afterAutospacing="0"/>
            </w:pPr>
            <w:r>
              <w:t>Processing Time Per Response (in hours)</w:t>
            </w:r>
          </w:p>
        </w:tc>
        <w:tc>
          <w:tcPr>
            <w:tcW w:w="1620" w:type="dxa"/>
            <w:shd w:val="clear" w:color="auto" w:fill="auto"/>
          </w:tcPr>
          <w:p w:rsidR="00E000A6" w:rsidP="00827C6C" w:rsidRDefault="00E000A6" w14:paraId="3E4979A5" w14:textId="77777777">
            <w:pPr>
              <w:pStyle w:val="NormalWeb"/>
              <w:spacing w:before="0" w:beforeAutospacing="0" w:after="0" w:afterAutospacing="0"/>
              <w:jc w:val="center"/>
            </w:pPr>
            <w:r>
              <w:t>0.25 hour</w:t>
            </w:r>
          </w:p>
        </w:tc>
        <w:tc>
          <w:tcPr>
            <w:tcW w:w="1620" w:type="dxa"/>
            <w:shd w:val="clear" w:color="auto" w:fill="auto"/>
          </w:tcPr>
          <w:p w:rsidR="00E000A6" w:rsidP="00827C6C" w:rsidRDefault="00E000A6" w14:paraId="23CC851C" w14:textId="77777777">
            <w:pPr>
              <w:pStyle w:val="NormalWeb"/>
              <w:spacing w:before="0" w:beforeAutospacing="0" w:after="0" w:afterAutospacing="0"/>
              <w:jc w:val="center"/>
            </w:pPr>
            <w:r>
              <w:t>0.10 hour</w:t>
            </w:r>
          </w:p>
        </w:tc>
        <w:tc>
          <w:tcPr>
            <w:tcW w:w="1620" w:type="dxa"/>
            <w:shd w:val="clear" w:color="auto" w:fill="auto"/>
          </w:tcPr>
          <w:p w:rsidR="00E000A6" w:rsidP="00827C6C" w:rsidRDefault="00E000A6" w14:paraId="781B58A9" w14:textId="77777777">
            <w:pPr>
              <w:pStyle w:val="NormalWeb"/>
              <w:spacing w:before="0" w:beforeAutospacing="0" w:after="0" w:afterAutospacing="0"/>
              <w:jc w:val="center"/>
            </w:pPr>
            <w:r>
              <w:t>0.10 hour</w:t>
            </w:r>
          </w:p>
        </w:tc>
        <w:tc>
          <w:tcPr>
            <w:tcW w:w="1638" w:type="dxa"/>
            <w:shd w:val="clear" w:color="auto" w:fill="auto"/>
          </w:tcPr>
          <w:p w:rsidR="00E000A6" w:rsidP="00827C6C" w:rsidRDefault="00E000A6" w14:paraId="4C255543" w14:textId="77777777">
            <w:pPr>
              <w:pStyle w:val="NormalWeb"/>
              <w:spacing w:before="0" w:beforeAutospacing="0" w:after="0" w:afterAutospacing="0"/>
              <w:jc w:val="center"/>
            </w:pPr>
            <w:r>
              <w:t>0.1833 hour</w:t>
            </w:r>
          </w:p>
        </w:tc>
      </w:tr>
      <w:tr w:rsidR="00E000A6" w:rsidTr="00827C6C" w14:paraId="3BB9BB30" w14:textId="77777777">
        <w:tc>
          <w:tcPr>
            <w:tcW w:w="3078" w:type="dxa"/>
            <w:shd w:val="clear" w:color="auto" w:fill="auto"/>
          </w:tcPr>
          <w:p w:rsidR="00E000A6" w:rsidP="00387966" w:rsidRDefault="00E000A6" w14:paraId="1D8F38E7" w14:textId="77777777">
            <w:pPr>
              <w:pStyle w:val="NormalWeb"/>
              <w:spacing w:before="0" w:beforeAutospacing="0" w:after="0" w:afterAutospacing="0"/>
            </w:pPr>
            <w:r>
              <w:t>Hourly Wage of Worker(s) Processing Responses</w:t>
            </w:r>
          </w:p>
        </w:tc>
        <w:tc>
          <w:tcPr>
            <w:tcW w:w="1620" w:type="dxa"/>
            <w:shd w:val="clear" w:color="auto" w:fill="auto"/>
          </w:tcPr>
          <w:p w:rsidR="00E000A6" w:rsidP="00827C6C" w:rsidRDefault="00E000A6" w14:paraId="1A86A7BF" w14:textId="77777777">
            <w:pPr>
              <w:pStyle w:val="NormalWeb"/>
              <w:spacing w:before="0" w:beforeAutospacing="0" w:after="0" w:afterAutospacing="0"/>
              <w:jc w:val="center"/>
            </w:pPr>
            <w:r>
              <w:t>$60</w:t>
            </w:r>
          </w:p>
        </w:tc>
        <w:tc>
          <w:tcPr>
            <w:tcW w:w="1620" w:type="dxa"/>
            <w:shd w:val="clear" w:color="auto" w:fill="auto"/>
          </w:tcPr>
          <w:p w:rsidR="00E000A6" w:rsidP="00827C6C" w:rsidRDefault="00E000A6" w14:paraId="3ADE1C36" w14:textId="77777777">
            <w:pPr>
              <w:pStyle w:val="NormalWeb"/>
              <w:spacing w:before="0" w:beforeAutospacing="0" w:after="0" w:afterAutospacing="0"/>
              <w:jc w:val="center"/>
            </w:pPr>
            <w:r>
              <w:t>$60</w:t>
            </w:r>
          </w:p>
        </w:tc>
        <w:tc>
          <w:tcPr>
            <w:tcW w:w="1620" w:type="dxa"/>
            <w:shd w:val="clear" w:color="auto" w:fill="auto"/>
          </w:tcPr>
          <w:p w:rsidR="00E000A6" w:rsidP="00827C6C" w:rsidRDefault="00E000A6" w14:paraId="75ED0494" w14:textId="77777777">
            <w:pPr>
              <w:pStyle w:val="NormalWeb"/>
              <w:spacing w:before="0" w:beforeAutospacing="0" w:after="0" w:afterAutospacing="0"/>
              <w:jc w:val="center"/>
            </w:pPr>
            <w:r>
              <w:t>$60</w:t>
            </w:r>
          </w:p>
        </w:tc>
        <w:tc>
          <w:tcPr>
            <w:tcW w:w="1638" w:type="dxa"/>
            <w:shd w:val="clear" w:color="auto" w:fill="auto"/>
          </w:tcPr>
          <w:p w:rsidR="00E000A6" w:rsidP="00827C6C" w:rsidRDefault="00E000A6" w14:paraId="20D58E1D" w14:textId="77777777">
            <w:pPr>
              <w:pStyle w:val="NormalWeb"/>
              <w:spacing w:before="0" w:beforeAutospacing="0" w:after="0" w:afterAutospacing="0"/>
              <w:jc w:val="center"/>
            </w:pPr>
            <w:r>
              <w:t>$60</w:t>
            </w:r>
          </w:p>
        </w:tc>
      </w:tr>
      <w:tr w:rsidR="00E000A6" w:rsidTr="00827C6C" w14:paraId="6F617E6F" w14:textId="77777777">
        <w:tc>
          <w:tcPr>
            <w:tcW w:w="3078" w:type="dxa"/>
            <w:shd w:val="clear" w:color="auto" w:fill="auto"/>
          </w:tcPr>
          <w:p w:rsidR="00E000A6" w:rsidP="00387966" w:rsidRDefault="00E000A6" w14:paraId="5F4EF34E" w14:textId="5B1CEA0E">
            <w:pPr>
              <w:pStyle w:val="NormalWeb"/>
              <w:spacing w:before="0" w:beforeAutospacing="0" w:after="0" w:afterAutospacing="0"/>
            </w:pPr>
            <w:r>
              <w:t xml:space="preserve">Cost to Process Each Response </w:t>
            </w:r>
          </w:p>
        </w:tc>
        <w:tc>
          <w:tcPr>
            <w:tcW w:w="1620" w:type="dxa"/>
            <w:shd w:val="clear" w:color="auto" w:fill="auto"/>
          </w:tcPr>
          <w:p w:rsidR="00E000A6" w:rsidP="00827C6C" w:rsidRDefault="00E000A6" w14:paraId="72D8F37D" w14:textId="77777777">
            <w:pPr>
              <w:pStyle w:val="NormalWeb"/>
              <w:spacing w:before="0" w:beforeAutospacing="0" w:after="0" w:afterAutospacing="0"/>
              <w:jc w:val="center"/>
            </w:pPr>
            <w:r>
              <w:t>$15</w:t>
            </w:r>
          </w:p>
        </w:tc>
        <w:tc>
          <w:tcPr>
            <w:tcW w:w="1620" w:type="dxa"/>
            <w:shd w:val="clear" w:color="auto" w:fill="auto"/>
          </w:tcPr>
          <w:p w:rsidR="00E000A6" w:rsidP="00827C6C" w:rsidRDefault="00E000A6" w14:paraId="080201CB" w14:textId="77777777">
            <w:pPr>
              <w:pStyle w:val="NormalWeb"/>
              <w:spacing w:before="0" w:beforeAutospacing="0" w:after="0" w:afterAutospacing="0"/>
              <w:jc w:val="center"/>
            </w:pPr>
            <w:r>
              <w:t>$6</w:t>
            </w:r>
          </w:p>
        </w:tc>
        <w:tc>
          <w:tcPr>
            <w:tcW w:w="1620" w:type="dxa"/>
            <w:shd w:val="clear" w:color="auto" w:fill="auto"/>
          </w:tcPr>
          <w:p w:rsidR="00E000A6" w:rsidP="00827C6C" w:rsidRDefault="00E000A6" w14:paraId="500B7421" w14:textId="77777777">
            <w:pPr>
              <w:pStyle w:val="NormalWeb"/>
              <w:spacing w:before="0" w:beforeAutospacing="0" w:after="0" w:afterAutospacing="0"/>
              <w:jc w:val="center"/>
            </w:pPr>
            <w:r>
              <w:t>$6</w:t>
            </w:r>
          </w:p>
        </w:tc>
        <w:tc>
          <w:tcPr>
            <w:tcW w:w="1638" w:type="dxa"/>
            <w:shd w:val="clear" w:color="auto" w:fill="auto"/>
          </w:tcPr>
          <w:p w:rsidR="00E000A6" w:rsidP="00827C6C" w:rsidRDefault="00E000A6" w14:paraId="6272F658" w14:textId="77777777">
            <w:pPr>
              <w:pStyle w:val="NormalWeb"/>
              <w:spacing w:before="0" w:beforeAutospacing="0" w:after="0" w:afterAutospacing="0"/>
              <w:jc w:val="center"/>
            </w:pPr>
            <w:r>
              <w:t>$11</w:t>
            </w:r>
          </w:p>
        </w:tc>
      </w:tr>
      <w:tr w:rsidR="00E000A6" w:rsidTr="00827C6C" w14:paraId="45B40A1B" w14:textId="77777777">
        <w:tc>
          <w:tcPr>
            <w:tcW w:w="3078" w:type="dxa"/>
            <w:shd w:val="clear" w:color="auto" w:fill="auto"/>
          </w:tcPr>
          <w:p w:rsidR="00E000A6" w:rsidP="00387966" w:rsidRDefault="00E000A6" w14:paraId="0A3C5AD1" w14:textId="7F4BFFB7">
            <w:pPr>
              <w:pStyle w:val="NormalWeb"/>
              <w:spacing w:before="0" w:beforeAutospacing="0" w:after="0" w:afterAutospacing="0"/>
            </w:pPr>
            <w:r>
              <w:t xml:space="preserve">Total Cost to Process Responses </w:t>
            </w:r>
          </w:p>
        </w:tc>
        <w:tc>
          <w:tcPr>
            <w:tcW w:w="1620" w:type="dxa"/>
            <w:shd w:val="clear" w:color="auto" w:fill="auto"/>
          </w:tcPr>
          <w:p w:rsidR="00E000A6" w:rsidP="00827C6C" w:rsidRDefault="00E000A6" w14:paraId="4874CC62" w14:textId="77777777">
            <w:pPr>
              <w:pStyle w:val="NormalWeb"/>
              <w:spacing w:before="0" w:beforeAutospacing="0" w:after="0" w:afterAutospacing="0"/>
              <w:jc w:val="center"/>
            </w:pPr>
            <w:r>
              <w:t>$1500</w:t>
            </w:r>
          </w:p>
        </w:tc>
        <w:tc>
          <w:tcPr>
            <w:tcW w:w="1620" w:type="dxa"/>
            <w:shd w:val="clear" w:color="auto" w:fill="auto"/>
          </w:tcPr>
          <w:p w:rsidR="00E000A6" w:rsidP="00827C6C" w:rsidRDefault="00E000A6" w14:paraId="43D197E1" w14:textId="77777777">
            <w:pPr>
              <w:pStyle w:val="NormalWeb"/>
              <w:spacing w:before="0" w:beforeAutospacing="0" w:after="0" w:afterAutospacing="0"/>
              <w:jc w:val="center"/>
            </w:pPr>
            <w:r>
              <w:t>$240</w:t>
            </w:r>
          </w:p>
        </w:tc>
        <w:tc>
          <w:tcPr>
            <w:tcW w:w="1620" w:type="dxa"/>
            <w:shd w:val="clear" w:color="auto" w:fill="auto"/>
          </w:tcPr>
          <w:p w:rsidR="00E000A6" w:rsidP="00827C6C" w:rsidRDefault="00E000A6" w14:paraId="5ABC6921" w14:textId="77777777">
            <w:pPr>
              <w:pStyle w:val="NormalWeb"/>
              <w:spacing w:before="0" w:beforeAutospacing="0" w:after="0" w:afterAutospacing="0"/>
              <w:jc w:val="center"/>
            </w:pPr>
            <w:r>
              <w:t>$240</w:t>
            </w:r>
          </w:p>
        </w:tc>
        <w:tc>
          <w:tcPr>
            <w:tcW w:w="1638" w:type="dxa"/>
            <w:shd w:val="clear" w:color="auto" w:fill="auto"/>
          </w:tcPr>
          <w:p w:rsidR="00E000A6" w:rsidP="00827C6C" w:rsidRDefault="00E000A6" w14:paraId="091A0164" w14:textId="77777777">
            <w:pPr>
              <w:pStyle w:val="NormalWeb"/>
              <w:spacing w:before="0" w:beforeAutospacing="0" w:after="0" w:afterAutospacing="0"/>
              <w:jc w:val="center"/>
            </w:pPr>
            <w:r>
              <w:t>$1980</w:t>
            </w:r>
          </w:p>
        </w:tc>
      </w:tr>
    </w:tbl>
    <w:p w:rsidRPr="00E000A6" w:rsidR="00B55E9F" w:rsidP="00E000A6" w:rsidRDefault="00B55E9F" w14:paraId="26F4912A" w14:textId="77777777">
      <w:pPr>
        <w:spacing w:after="0" w:line="240" w:lineRule="auto"/>
        <w:rPr>
          <w:rFonts w:asciiTheme="majorHAnsi" w:hAnsiTheme="majorHAnsi"/>
          <w:sz w:val="24"/>
        </w:rPr>
      </w:pPr>
    </w:p>
    <w:p w:rsidR="00235D71" w:rsidP="00235D71" w:rsidRDefault="00235D71" w14:paraId="0F71CC8E"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rsidR="00235D71" w:rsidP="00235D71" w:rsidRDefault="00235D71" w14:paraId="1BC12454" w14:textId="77777777">
      <w:pPr>
        <w:pStyle w:val="ListParagraph"/>
        <w:numPr>
          <w:ilvl w:val="1"/>
          <w:numId w:val="18"/>
        </w:numPr>
        <w:spacing w:after="0" w:line="240" w:lineRule="auto"/>
        <w:rPr>
          <w:rFonts w:asciiTheme="majorHAnsi" w:hAnsiTheme="majorHAnsi"/>
          <w:sz w:val="24"/>
        </w:rPr>
      </w:pPr>
      <w:r>
        <w:rPr>
          <w:rFonts w:asciiTheme="majorHAnsi" w:hAnsiTheme="majorHAnsi"/>
          <w:sz w:val="24"/>
        </w:rPr>
        <w:t>Total Number of Annual Responses</w:t>
      </w:r>
      <w:r w:rsidR="00E000A6">
        <w:rPr>
          <w:rFonts w:asciiTheme="majorHAnsi" w:hAnsiTheme="majorHAnsi"/>
          <w:sz w:val="24"/>
        </w:rPr>
        <w:t>: 180</w:t>
      </w:r>
    </w:p>
    <w:p w:rsidR="00B55E9F" w:rsidP="00722FDB" w:rsidRDefault="00235D71" w14:paraId="5B9B5B98" w14:textId="77777777">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Pr>
          <w:rFonts w:asciiTheme="majorHAnsi" w:hAnsiTheme="majorHAnsi"/>
          <w:i/>
          <w:sz w:val="24"/>
        </w:rPr>
        <w:t xml:space="preserve">: </w:t>
      </w:r>
      <w:r w:rsidRPr="00E000A6">
        <w:rPr>
          <w:rFonts w:asciiTheme="majorHAnsi" w:hAnsiTheme="majorHAnsi"/>
          <w:sz w:val="24"/>
        </w:rPr>
        <w:t>$</w:t>
      </w:r>
      <w:r w:rsidR="00E000A6">
        <w:rPr>
          <w:rFonts w:asciiTheme="majorHAnsi" w:hAnsiTheme="majorHAnsi"/>
          <w:sz w:val="24"/>
        </w:rPr>
        <w:t>1980</w:t>
      </w:r>
    </w:p>
    <w:p w:rsidR="00B55E9F" w:rsidP="00B55E9F" w:rsidRDefault="00B55E9F" w14:paraId="7215AF15" w14:textId="77777777">
      <w:pPr>
        <w:spacing w:after="0" w:line="240" w:lineRule="auto"/>
        <w:rPr>
          <w:rFonts w:asciiTheme="majorHAnsi" w:hAnsiTheme="majorHAnsi"/>
          <w:sz w:val="24"/>
        </w:rPr>
      </w:pPr>
    </w:p>
    <w:p w:rsidRPr="00B55E9F" w:rsidR="00722FDB" w:rsidP="00B55E9F" w:rsidRDefault="00235D71" w14:paraId="44EAA2CD"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Pr="00235D71" w:rsidR="00235D71" w:rsidP="00722FDB" w:rsidRDefault="00235D71" w14:paraId="78747B25" w14:textId="77777777">
      <w:pPr>
        <w:spacing w:after="0" w:line="240" w:lineRule="auto"/>
        <w:rPr>
          <w:rFonts w:asciiTheme="majorHAnsi" w:hAnsiTheme="majorHAnsi"/>
          <w:sz w:val="24"/>
        </w:rPr>
      </w:pPr>
    </w:p>
    <w:p w:rsidRPr="00235D71" w:rsidR="00235D71" w:rsidP="00235D71" w:rsidRDefault="00235D71" w14:paraId="27A53121"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235D71" w:rsidR="00235D71" w:rsidP="00235D71" w:rsidRDefault="00235D71" w14:paraId="075A8E0B"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C12A31">
        <w:rPr>
          <w:rFonts w:asciiTheme="majorHAnsi" w:hAnsiTheme="majorHAnsi"/>
          <w:sz w:val="24"/>
        </w:rPr>
        <w:t>0</w:t>
      </w:r>
    </w:p>
    <w:p w:rsidRPr="00235D71" w:rsidR="00235D71" w:rsidP="00235D71" w:rsidRDefault="00235D71" w14:paraId="3807E150"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C12A31">
        <w:rPr>
          <w:rFonts w:asciiTheme="majorHAnsi" w:hAnsiTheme="majorHAnsi"/>
          <w:sz w:val="24"/>
        </w:rPr>
        <w:t>0</w:t>
      </w:r>
    </w:p>
    <w:p w:rsidRPr="00235D71" w:rsidR="00235D71" w:rsidP="00235D71" w:rsidRDefault="00235D71" w14:paraId="215B7F13"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C12A31">
        <w:rPr>
          <w:rFonts w:asciiTheme="majorHAnsi" w:hAnsiTheme="majorHAnsi"/>
          <w:sz w:val="24"/>
        </w:rPr>
        <w:t>0</w:t>
      </w:r>
    </w:p>
    <w:p w:rsidRPr="00235D71" w:rsidR="00235D71" w:rsidP="00235D71" w:rsidRDefault="00235D71" w14:paraId="4E26BA8B"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C12A31">
        <w:rPr>
          <w:rFonts w:asciiTheme="majorHAnsi" w:hAnsiTheme="majorHAnsi"/>
          <w:sz w:val="24"/>
        </w:rPr>
        <w:t>0</w:t>
      </w:r>
    </w:p>
    <w:p w:rsidRPr="00235D71" w:rsidR="00235D71" w:rsidP="00235D71" w:rsidRDefault="00235D71" w14:paraId="3ECF3AA4"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C12A31">
        <w:rPr>
          <w:rFonts w:asciiTheme="majorHAnsi" w:hAnsiTheme="majorHAnsi"/>
          <w:sz w:val="24"/>
        </w:rPr>
        <w:t>0</w:t>
      </w:r>
    </w:p>
    <w:p w:rsidRPr="00B55E9F" w:rsidR="00235D71" w:rsidP="00235D71" w:rsidRDefault="00235D71" w14:paraId="2F097EBF"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C12A31">
        <w:rPr>
          <w:rFonts w:asciiTheme="majorHAnsi" w:hAnsiTheme="majorHAnsi"/>
          <w:sz w:val="24"/>
        </w:rPr>
        <w:t>0</w:t>
      </w:r>
    </w:p>
    <w:p w:rsidRPr="00235D71" w:rsidR="00B55E9F" w:rsidP="00B55E9F" w:rsidRDefault="00B55E9F" w14:paraId="1A501EB6" w14:textId="77777777">
      <w:pPr>
        <w:pStyle w:val="ListParagraph"/>
        <w:spacing w:after="0" w:line="240" w:lineRule="auto"/>
        <w:ind w:left="1440"/>
        <w:rPr>
          <w:rFonts w:asciiTheme="majorHAnsi" w:hAnsiTheme="majorHAnsi"/>
          <w:i/>
          <w:sz w:val="24"/>
        </w:rPr>
      </w:pPr>
    </w:p>
    <w:p w:rsidRPr="00B55E9F" w:rsidR="00235D71" w:rsidP="00B55E9F" w:rsidRDefault="00B55E9F" w14:paraId="0EB6DDDF"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w:t>
      </w:r>
      <w:r w:rsidR="009F29E9">
        <w:rPr>
          <w:rFonts w:asciiTheme="majorHAnsi" w:hAnsiTheme="majorHAnsi"/>
          <w:sz w:val="24"/>
        </w:rPr>
        <w:t xml:space="preserve"> </w:t>
      </w:r>
      <w:r>
        <w:rPr>
          <w:rFonts w:asciiTheme="majorHAnsi" w:hAnsiTheme="majorHAnsi"/>
          <w:sz w:val="24"/>
        </w:rPr>
        <w:t>$</w:t>
      </w:r>
      <w:r w:rsidR="00C12A31">
        <w:rPr>
          <w:rFonts w:asciiTheme="majorHAnsi" w:hAnsiTheme="majorHAnsi"/>
          <w:sz w:val="24"/>
        </w:rPr>
        <w:t>0</w:t>
      </w:r>
    </w:p>
    <w:p w:rsidR="00B55E9F" w:rsidP="00B55E9F" w:rsidRDefault="00B55E9F" w14:paraId="186A7EDE" w14:textId="77777777">
      <w:pPr>
        <w:spacing w:after="0" w:line="240" w:lineRule="auto"/>
        <w:rPr>
          <w:rFonts w:asciiTheme="majorHAnsi" w:hAnsiTheme="majorHAnsi"/>
          <w:i/>
          <w:sz w:val="24"/>
        </w:rPr>
      </w:pPr>
    </w:p>
    <w:p w:rsidR="00B55E9F" w:rsidP="00B55E9F" w:rsidRDefault="00B55E9F" w14:paraId="4891CFBB" w14:textId="425A5F19">
      <w:pPr>
        <w:spacing w:after="0" w:line="240" w:lineRule="auto"/>
        <w:rPr>
          <w:rFonts w:asciiTheme="majorHAnsi" w:hAnsiTheme="majorHAnsi"/>
          <w:sz w:val="24"/>
        </w:rPr>
      </w:pPr>
      <w:r>
        <w:rPr>
          <w:rFonts w:asciiTheme="majorHAnsi" w:hAnsiTheme="majorHAnsi"/>
          <w:sz w:val="24"/>
        </w:rPr>
        <w:t>Part C: TOTAL COST TO THE FEDERAL GOVERNMENT</w:t>
      </w:r>
      <w:r w:rsidR="00387966">
        <w:rPr>
          <w:rFonts w:asciiTheme="majorHAnsi" w:hAnsiTheme="majorHAnsi"/>
          <w:sz w:val="24"/>
        </w:rPr>
        <w:t>: $1980</w:t>
      </w:r>
    </w:p>
    <w:p w:rsidRPr="00B55E9F" w:rsidR="00B55E9F" w:rsidP="00B55E9F" w:rsidRDefault="00B55E9F" w14:paraId="1CDB24E8" w14:textId="77777777">
      <w:pPr>
        <w:spacing w:after="0" w:line="240" w:lineRule="auto"/>
        <w:rPr>
          <w:rFonts w:asciiTheme="majorHAnsi" w:hAnsiTheme="majorHAnsi"/>
          <w:sz w:val="24"/>
        </w:rPr>
      </w:pPr>
    </w:p>
    <w:p w:rsidRPr="00A92880" w:rsidR="007177A8" w:rsidP="007177A8" w:rsidRDefault="00DA2B37" w14:paraId="4ECBB2EE" w14:textId="7777777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DA2B37" w:rsidP="007177A8" w:rsidRDefault="00DA2B37" w14:paraId="779C2E39" w14:textId="77777777">
      <w:pPr>
        <w:spacing w:after="0" w:line="240" w:lineRule="auto"/>
        <w:rPr>
          <w:rFonts w:asciiTheme="majorHAnsi" w:hAnsiTheme="majorHAnsi"/>
          <w:sz w:val="24"/>
        </w:rPr>
      </w:pPr>
      <w:r w:rsidRPr="007177A8">
        <w:rPr>
          <w:rFonts w:asciiTheme="majorHAnsi" w:hAnsiTheme="majorHAnsi"/>
          <w:sz w:val="24"/>
        </w:rPr>
        <w:t>There has been no change in burden since the last approval.</w:t>
      </w:r>
      <w:r>
        <w:rPr>
          <w:rFonts w:asciiTheme="majorHAnsi" w:hAnsiTheme="majorHAnsi"/>
          <w:sz w:val="24"/>
        </w:rPr>
        <w:t xml:space="preserve"> </w:t>
      </w:r>
    </w:p>
    <w:p w:rsidR="00DA2B37" w:rsidP="00486235" w:rsidRDefault="00DA2B37" w14:paraId="3DA631C6" w14:textId="77777777">
      <w:pPr>
        <w:spacing w:after="0" w:line="240" w:lineRule="auto"/>
        <w:rPr>
          <w:rFonts w:asciiTheme="majorHAnsi" w:hAnsiTheme="majorHAnsi"/>
          <w:sz w:val="24"/>
        </w:rPr>
      </w:pPr>
    </w:p>
    <w:p w:rsidRPr="00A92880" w:rsidR="007177A8" w:rsidP="00486235" w:rsidRDefault="005C3A95" w14:paraId="2BD05684" w14:textId="77777777">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p>
    <w:p w:rsidR="00DA2B37" w:rsidP="00486235" w:rsidRDefault="005C3A95" w14:paraId="7293DAC5" w14:textId="77777777">
      <w:pPr>
        <w:spacing w:after="0" w:line="240" w:lineRule="auto"/>
        <w:rPr>
          <w:rFonts w:asciiTheme="majorHAnsi" w:hAnsiTheme="majorHAnsi"/>
          <w:sz w:val="24"/>
        </w:rPr>
      </w:pPr>
      <w:r w:rsidRPr="007177A8">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rsidRDefault="005C3A95" w14:paraId="2D3CA916" w14:textId="77777777">
      <w:pPr>
        <w:spacing w:after="0" w:line="240" w:lineRule="auto"/>
        <w:rPr>
          <w:rFonts w:asciiTheme="majorHAnsi" w:hAnsiTheme="majorHAnsi"/>
          <w:sz w:val="24"/>
        </w:rPr>
      </w:pPr>
    </w:p>
    <w:p w:rsidRPr="00A92880" w:rsidR="007177A8" w:rsidP="00486235" w:rsidRDefault="005C3A95" w14:paraId="0B2F6BAA" w14:textId="77777777">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p>
    <w:p w:rsidR="00C62D17" w:rsidP="00486235" w:rsidRDefault="00C62D17" w14:paraId="354214DA" w14:textId="77777777">
      <w:pPr>
        <w:spacing w:after="0" w:line="240" w:lineRule="auto"/>
        <w:rPr>
          <w:rFonts w:asciiTheme="majorHAnsi" w:hAnsiTheme="majorHAnsi"/>
          <w:sz w:val="24"/>
        </w:rPr>
      </w:pPr>
      <w:r w:rsidRPr="007177A8">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rsidRDefault="00C62D17" w14:paraId="4326BC99" w14:textId="77777777">
      <w:pPr>
        <w:spacing w:after="0" w:line="240" w:lineRule="auto"/>
        <w:rPr>
          <w:rFonts w:asciiTheme="majorHAnsi" w:hAnsiTheme="majorHAnsi"/>
          <w:sz w:val="24"/>
        </w:rPr>
      </w:pPr>
    </w:p>
    <w:p w:rsidR="007177A8" w:rsidP="00B55E9F" w:rsidRDefault="00C62D17" w14:paraId="401E0569" w14:textId="77777777">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Pr="00C62D17" w:rsidR="00A50A0F" w:rsidP="00B55E9F" w:rsidRDefault="00A50A0F" w14:paraId="5AC26017" w14:textId="77777777">
      <w:pPr>
        <w:spacing w:after="0" w:line="240" w:lineRule="auto"/>
        <w:rPr>
          <w:rFonts w:asciiTheme="majorHAnsi" w:hAnsiTheme="majorHAnsi"/>
          <w:i/>
          <w:sz w:val="24"/>
        </w:rPr>
      </w:pPr>
      <w:r w:rsidRPr="007177A8">
        <w:rPr>
          <w:rFonts w:asciiTheme="majorHAnsi" w:hAnsiTheme="majorHAnsi"/>
          <w:sz w:val="24"/>
        </w:rPr>
        <w:t>We are not requesting an</w:t>
      </w:r>
      <w:r w:rsidRPr="007177A8" w:rsidR="00420AE9">
        <w:rPr>
          <w:rFonts w:asciiTheme="majorHAnsi" w:hAnsiTheme="majorHAnsi"/>
          <w:sz w:val="24"/>
        </w:rPr>
        <w:t>y</w:t>
      </w:r>
      <w:r w:rsidRPr="007177A8">
        <w:rPr>
          <w:rFonts w:asciiTheme="majorHAnsi" w:hAnsiTheme="majorHAnsi"/>
          <w:sz w:val="24"/>
        </w:rPr>
        <w:t xml:space="preserve"> exemption</w:t>
      </w:r>
      <w:r w:rsidRPr="007177A8" w:rsidR="00420AE9">
        <w:rPr>
          <w:rFonts w:asciiTheme="majorHAnsi" w:hAnsiTheme="majorHAnsi"/>
          <w:sz w:val="24"/>
        </w:rPr>
        <w:t>s</w:t>
      </w:r>
      <w:r w:rsidRPr="007177A8">
        <w:rPr>
          <w:rFonts w:asciiTheme="majorHAnsi" w:hAnsiTheme="majorHAnsi"/>
          <w:sz w:val="24"/>
        </w:rPr>
        <w:t xml:space="preserve"> to the provisions </w:t>
      </w:r>
      <w:r w:rsidRPr="007177A8" w:rsidR="00420AE9">
        <w:rPr>
          <w:rFonts w:asciiTheme="majorHAnsi" w:hAnsiTheme="majorHAnsi"/>
          <w:sz w:val="24"/>
        </w:rPr>
        <w:t xml:space="preserve">stated in 5 CFR 1320.9. </w:t>
      </w:r>
    </w:p>
    <w:sectPr w:rsidRPr="00C62D17"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CB9CF" w14:textId="77777777" w:rsidR="00DD39A1" w:rsidRDefault="00DD39A1" w:rsidP="00FB569C">
      <w:pPr>
        <w:spacing w:after="0" w:line="240" w:lineRule="auto"/>
      </w:pPr>
      <w:r>
        <w:separator/>
      </w:r>
    </w:p>
  </w:endnote>
  <w:endnote w:type="continuationSeparator" w:id="0">
    <w:p w14:paraId="0EA783ED" w14:textId="77777777" w:rsidR="00DD39A1" w:rsidRDefault="00DD39A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5E98C" w14:textId="77777777" w:rsidR="00DD39A1" w:rsidRDefault="00DD39A1" w:rsidP="00FB569C">
      <w:pPr>
        <w:spacing w:after="0" w:line="240" w:lineRule="auto"/>
      </w:pPr>
      <w:r>
        <w:separator/>
      </w:r>
    </w:p>
  </w:footnote>
  <w:footnote w:type="continuationSeparator" w:id="0">
    <w:p w14:paraId="6DFCEA82" w14:textId="77777777" w:rsidR="00DD39A1" w:rsidRDefault="00DD39A1"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10"/>
  </w:num>
  <w:num w:numId="5">
    <w:abstractNumId w:val="18"/>
  </w:num>
  <w:num w:numId="6">
    <w:abstractNumId w:val="1"/>
  </w:num>
  <w:num w:numId="7">
    <w:abstractNumId w:val="19"/>
  </w:num>
  <w:num w:numId="8">
    <w:abstractNumId w:val="16"/>
  </w:num>
  <w:num w:numId="9">
    <w:abstractNumId w:val="20"/>
  </w:num>
  <w:num w:numId="10">
    <w:abstractNumId w:val="3"/>
  </w:num>
  <w:num w:numId="11">
    <w:abstractNumId w:val="15"/>
  </w:num>
  <w:num w:numId="12">
    <w:abstractNumId w:val="17"/>
  </w:num>
  <w:num w:numId="13">
    <w:abstractNumId w:val="22"/>
  </w:num>
  <w:num w:numId="14">
    <w:abstractNumId w:val="23"/>
  </w:num>
  <w:num w:numId="15">
    <w:abstractNumId w:val="9"/>
  </w:num>
  <w:num w:numId="16">
    <w:abstractNumId w:val="8"/>
  </w:num>
  <w:num w:numId="17">
    <w:abstractNumId w:val="12"/>
  </w:num>
  <w:num w:numId="18">
    <w:abstractNumId w:val="7"/>
  </w:num>
  <w:num w:numId="19">
    <w:abstractNumId w:val="6"/>
  </w:num>
  <w:num w:numId="20">
    <w:abstractNumId w:val="5"/>
  </w:num>
  <w:num w:numId="21">
    <w:abstractNumId w:val="13"/>
  </w:num>
  <w:num w:numId="22">
    <w:abstractNumId w:val="2"/>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5174A"/>
    <w:rsid w:val="000639D1"/>
    <w:rsid w:val="000B0E70"/>
    <w:rsid w:val="00105F45"/>
    <w:rsid w:val="00127B46"/>
    <w:rsid w:val="00167075"/>
    <w:rsid w:val="0019309D"/>
    <w:rsid w:val="001F526C"/>
    <w:rsid w:val="00200261"/>
    <w:rsid w:val="00203BC2"/>
    <w:rsid w:val="00211832"/>
    <w:rsid w:val="00222D1B"/>
    <w:rsid w:val="00235D71"/>
    <w:rsid w:val="002412EF"/>
    <w:rsid w:val="0024335E"/>
    <w:rsid w:val="00254DCF"/>
    <w:rsid w:val="002567F9"/>
    <w:rsid w:val="0027743E"/>
    <w:rsid w:val="00294E92"/>
    <w:rsid w:val="002D7713"/>
    <w:rsid w:val="002E5AE5"/>
    <w:rsid w:val="003132E7"/>
    <w:rsid w:val="00331D7E"/>
    <w:rsid w:val="00337EF1"/>
    <w:rsid w:val="00340D9B"/>
    <w:rsid w:val="00387966"/>
    <w:rsid w:val="00394A8A"/>
    <w:rsid w:val="003B7AC1"/>
    <w:rsid w:val="003C0540"/>
    <w:rsid w:val="00420AE9"/>
    <w:rsid w:val="00480AFF"/>
    <w:rsid w:val="00486235"/>
    <w:rsid w:val="00490797"/>
    <w:rsid w:val="00495162"/>
    <w:rsid w:val="004A083B"/>
    <w:rsid w:val="004C74D6"/>
    <w:rsid w:val="004F4F5D"/>
    <w:rsid w:val="004F58EB"/>
    <w:rsid w:val="00502FF3"/>
    <w:rsid w:val="00510F0C"/>
    <w:rsid w:val="00520B36"/>
    <w:rsid w:val="00533A36"/>
    <w:rsid w:val="005631EC"/>
    <w:rsid w:val="00571698"/>
    <w:rsid w:val="00576EDB"/>
    <w:rsid w:val="00594B6B"/>
    <w:rsid w:val="00596BBA"/>
    <w:rsid w:val="005C3A95"/>
    <w:rsid w:val="005C7428"/>
    <w:rsid w:val="005D5C81"/>
    <w:rsid w:val="005F43FF"/>
    <w:rsid w:val="006328AE"/>
    <w:rsid w:val="00642741"/>
    <w:rsid w:val="0065530D"/>
    <w:rsid w:val="006A13FA"/>
    <w:rsid w:val="006E563D"/>
    <w:rsid w:val="006F2DF8"/>
    <w:rsid w:val="007177A8"/>
    <w:rsid w:val="00722FDB"/>
    <w:rsid w:val="0077012D"/>
    <w:rsid w:val="0077261C"/>
    <w:rsid w:val="007D3A48"/>
    <w:rsid w:val="0085688C"/>
    <w:rsid w:val="008635C4"/>
    <w:rsid w:val="008A06EF"/>
    <w:rsid w:val="008D1294"/>
    <w:rsid w:val="008E3029"/>
    <w:rsid w:val="00931EAB"/>
    <w:rsid w:val="00984017"/>
    <w:rsid w:val="0098628F"/>
    <w:rsid w:val="00994F2B"/>
    <w:rsid w:val="00996894"/>
    <w:rsid w:val="009A6246"/>
    <w:rsid w:val="009F2544"/>
    <w:rsid w:val="009F29E9"/>
    <w:rsid w:val="00A40CC2"/>
    <w:rsid w:val="00A50A0F"/>
    <w:rsid w:val="00A552FD"/>
    <w:rsid w:val="00A76F7E"/>
    <w:rsid w:val="00A77157"/>
    <w:rsid w:val="00A92880"/>
    <w:rsid w:val="00AB2D91"/>
    <w:rsid w:val="00B52F4E"/>
    <w:rsid w:val="00B55E9F"/>
    <w:rsid w:val="00B65901"/>
    <w:rsid w:val="00B933B0"/>
    <w:rsid w:val="00BD7755"/>
    <w:rsid w:val="00C12A31"/>
    <w:rsid w:val="00C33684"/>
    <w:rsid w:val="00C62D17"/>
    <w:rsid w:val="00C808F4"/>
    <w:rsid w:val="00C97105"/>
    <w:rsid w:val="00CA15B1"/>
    <w:rsid w:val="00CC24D5"/>
    <w:rsid w:val="00CC2835"/>
    <w:rsid w:val="00D07ED3"/>
    <w:rsid w:val="00D11E81"/>
    <w:rsid w:val="00D21AA6"/>
    <w:rsid w:val="00D462F7"/>
    <w:rsid w:val="00D734A2"/>
    <w:rsid w:val="00DA2B37"/>
    <w:rsid w:val="00DD39A1"/>
    <w:rsid w:val="00E000A6"/>
    <w:rsid w:val="00E5409A"/>
    <w:rsid w:val="00E84A8D"/>
    <w:rsid w:val="00E95FFB"/>
    <w:rsid w:val="00EA6C04"/>
    <w:rsid w:val="00F25499"/>
    <w:rsid w:val="00F86C35"/>
    <w:rsid w:val="00F97482"/>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F520"/>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58EB"/>
    <w:rPr>
      <w:sz w:val="16"/>
      <w:szCs w:val="16"/>
    </w:rPr>
  </w:style>
  <w:style w:type="paragraph" w:styleId="CommentText">
    <w:name w:val="annotation text"/>
    <w:basedOn w:val="Normal"/>
    <w:link w:val="CommentTextChar"/>
    <w:uiPriority w:val="99"/>
    <w:semiHidden/>
    <w:unhideWhenUsed/>
    <w:rsid w:val="004F58EB"/>
    <w:pPr>
      <w:spacing w:line="240" w:lineRule="auto"/>
    </w:pPr>
    <w:rPr>
      <w:sz w:val="20"/>
      <w:szCs w:val="20"/>
    </w:rPr>
  </w:style>
  <w:style w:type="character" w:customStyle="1" w:styleId="CommentTextChar">
    <w:name w:val="Comment Text Char"/>
    <w:basedOn w:val="DefaultParagraphFont"/>
    <w:link w:val="CommentText"/>
    <w:uiPriority w:val="99"/>
    <w:semiHidden/>
    <w:rsid w:val="004F58EB"/>
    <w:rPr>
      <w:sz w:val="20"/>
      <w:szCs w:val="20"/>
    </w:rPr>
  </w:style>
  <w:style w:type="paragraph" w:styleId="CommentSubject">
    <w:name w:val="annotation subject"/>
    <w:basedOn w:val="CommentText"/>
    <w:next w:val="CommentText"/>
    <w:link w:val="CommentSubjectChar"/>
    <w:uiPriority w:val="99"/>
    <w:semiHidden/>
    <w:unhideWhenUsed/>
    <w:rsid w:val="004F58EB"/>
    <w:rPr>
      <w:b/>
      <w:bCs/>
    </w:rPr>
  </w:style>
  <w:style w:type="character" w:customStyle="1" w:styleId="CommentSubjectChar">
    <w:name w:val="Comment Subject Char"/>
    <w:basedOn w:val="CommentTextChar"/>
    <w:link w:val="CommentSubject"/>
    <w:uiPriority w:val="99"/>
    <w:semiHidden/>
    <w:rsid w:val="004F58EB"/>
    <w:rPr>
      <w:b/>
      <w:bCs/>
      <w:sz w:val="20"/>
      <w:szCs w:val="20"/>
    </w:rPr>
  </w:style>
  <w:style w:type="paragraph" w:styleId="Revision">
    <w:name w:val="Revision"/>
    <w:hidden/>
    <w:uiPriority w:val="99"/>
    <w:semiHidden/>
    <w:rsid w:val="004F58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gov/dol/topic/wages/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5E2AE-F824-4CD6-B4C2-789F3AA8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James, Angela N CIV WHS ESD (US)</cp:lastModifiedBy>
  <cp:revision>2</cp:revision>
  <cp:lastPrinted>2016-09-20T19:55:00Z</cp:lastPrinted>
  <dcterms:created xsi:type="dcterms:W3CDTF">2020-02-12T16:43:00Z</dcterms:created>
  <dcterms:modified xsi:type="dcterms:W3CDTF">2020-02-12T16:43:00Z</dcterms:modified>
</cp:coreProperties>
</file>