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1674" w:rsidR="00EB7538" w:rsidP="00075DE8" w:rsidRDefault="003356C4">
      <w:pPr>
        <w:jc w:val="center"/>
      </w:pPr>
      <w:bookmarkStart w:name="_GoBack" w:id="0"/>
      <w:bookmarkEnd w:id="0"/>
      <w:r w:rsidRPr="006572A3">
        <w:t>Accreditation Scheme for Conformity Assessment</w:t>
      </w:r>
      <w:r>
        <w:t xml:space="preserve"> Pilot Program</w:t>
      </w:r>
    </w:p>
    <w:p w:rsidRPr="009A1674" w:rsidR="00B23769" w:rsidP="00B23769" w:rsidRDefault="00B23769">
      <w:pPr>
        <w:jc w:val="center"/>
      </w:pPr>
    </w:p>
    <w:p w:rsidRPr="009A1674" w:rsidR="00EB7538" w:rsidP="00B23769" w:rsidRDefault="00EB7538">
      <w:pPr>
        <w:jc w:val="center"/>
      </w:pPr>
      <w:r w:rsidRPr="009A1674">
        <w:t>0910-NEW</w:t>
      </w:r>
      <w:r w:rsidRPr="009A1674" w:rsidR="00A35D42">
        <w:br/>
      </w:r>
    </w:p>
    <w:p w:rsidRPr="009A1674" w:rsidR="00EB7538" w:rsidP="00B23769" w:rsidRDefault="00EB7538">
      <w:pPr>
        <w:jc w:val="center"/>
      </w:pPr>
      <w:r w:rsidRPr="009A1674">
        <w:t>SUPPORTING STATEMENT</w:t>
      </w:r>
    </w:p>
    <w:p w:rsidR="00810FF1" w:rsidP="00B23769" w:rsidRDefault="00810FF1">
      <w:pPr>
        <w:jc w:val="center"/>
        <w:rPr>
          <w:b/>
        </w:rPr>
      </w:pPr>
    </w:p>
    <w:p w:rsidRPr="00810FF1" w:rsidR="00810FF1" w:rsidP="00810FF1" w:rsidRDefault="00810FF1">
      <w:r>
        <w:rPr>
          <w:b/>
        </w:rPr>
        <w:t xml:space="preserve">Terms of Clearance: </w:t>
      </w:r>
      <w:r w:rsidR="003356C4">
        <w:t>N</w:t>
      </w:r>
      <w:r w:rsidR="00357040">
        <w:t>/A</w:t>
      </w:r>
      <w:r w:rsidR="003356C4">
        <w:t>.</w:t>
      </w:r>
    </w:p>
    <w:p w:rsidR="00EB7538" w:rsidP="00EB7538" w:rsidRDefault="00EB7538">
      <w:pPr>
        <w:pStyle w:val="NormalWeb"/>
      </w:pPr>
      <w:r>
        <w:rPr>
          <w:b/>
          <w:bCs/>
        </w:rPr>
        <w:t>A. Justification</w:t>
      </w:r>
    </w:p>
    <w:p w:rsidR="008B30AB" w:rsidP="008B30AB" w:rsidRDefault="00EB7538">
      <w:pPr>
        <w:numPr>
          <w:ilvl w:val="0"/>
          <w:numId w:val="1"/>
        </w:numPr>
        <w:spacing w:before="100" w:beforeAutospacing="1" w:after="100" w:afterAutospacing="1"/>
        <w:rPr>
          <w:u w:val="single"/>
        </w:rPr>
      </w:pPr>
      <w:r w:rsidRPr="002746DB">
        <w:rPr>
          <w:u w:val="single"/>
        </w:rPr>
        <w:t>Circumstances Making the Collection of Information Necessary</w:t>
      </w:r>
    </w:p>
    <w:p w:rsidRPr="00E95869" w:rsidR="00606CBA" w:rsidP="003E3FE2" w:rsidRDefault="00606CBA">
      <w:pPr>
        <w:ind w:left="720"/>
      </w:pPr>
      <w:r w:rsidRPr="00E95869">
        <w:t xml:space="preserve">The FDA Reauthorization Act of 2017 </w:t>
      </w:r>
      <w:r>
        <w:t>(</w:t>
      </w:r>
      <w:r w:rsidRPr="00E95869">
        <w:t>FDARA</w:t>
      </w:r>
      <w:r>
        <w:t>) (</w:t>
      </w:r>
      <w:r w:rsidRPr="00AA5FC6">
        <w:t>Pub. L. 115-52</w:t>
      </w:r>
      <w:r>
        <w:t>)</w:t>
      </w:r>
      <w:r w:rsidRPr="00E95869">
        <w:t xml:space="preserve"> amended section 514 of the FD&amp;C Act</w:t>
      </w:r>
      <w:r>
        <w:t xml:space="preserve"> (21 U.S.C. 360d(d))</w:t>
      </w:r>
      <w:r w:rsidRPr="00E95869">
        <w:t xml:space="preserve"> by adding a new subsection (d) titled “Pilot Accreditation Scheme for Conformity Assessment.”</w:t>
      </w:r>
      <w:r>
        <w:rPr>
          <w:rStyle w:val="FootnoteReference"/>
        </w:rPr>
        <w:footnoteReference w:id="2"/>
      </w:r>
      <w:r w:rsidRPr="00E95869">
        <w:t xml:space="preserve">  </w:t>
      </w:r>
      <w:bookmarkStart w:name="_Hlk39156783" w:id="1"/>
      <w:r w:rsidRPr="00E95869">
        <w:t xml:space="preserve">Subsection 514(d) </w:t>
      </w:r>
      <w:bookmarkEnd w:id="1"/>
      <w:r w:rsidRPr="00E95869">
        <w:t>requires FDA to establish a pilot program under which testing laboratories may be accredited by accreditation bodies meeting criteria specified by FDA to assess the conformance of a device within certain FDA-recognized standards. Determinations by</w:t>
      </w:r>
      <w:r w:rsidR="00FF2518">
        <w:t xml:space="preserve"> accredited</w:t>
      </w:r>
      <w:r w:rsidRPr="00E95869">
        <w:t xml:space="preserve"> testing laboratories that a device conforms with an eligible standard included as part of the pilot program shall be accepted by FDA for the purposes of demonstrating such conformity unless FDA finds that a </w:t>
      </w:r>
      <w:proofErr w:type="gramStart"/>
      <w:r w:rsidRPr="00E95869">
        <w:t>particular such</w:t>
      </w:r>
      <w:proofErr w:type="gramEnd"/>
      <w:r w:rsidRPr="00E95869">
        <w:t xml:space="preserve"> determination shall not be so accepted.</w:t>
      </w:r>
      <w:r>
        <w:rPr>
          <w:rStyle w:val="FootnoteReference"/>
        </w:rPr>
        <w:footnoteReference w:id="3"/>
      </w:r>
      <w:r w:rsidRPr="00E95869">
        <w:t xml:space="preserve">  </w:t>
      </w:r>
    </w:p>
    <w:p w:rsidR="003E3FE2" w:rsidP="003E3FE2" w:rsidRDefault="003E3FE2">
      <w:pPr>
        <w:ind w:left="720"/>
      </w:pPr>
    </w:p>
    <w:p w:rsidR="00606CBA" w:rsidP="003E3FE2" w:rsidRDefault="00606CBA">
      <w:pPr>
        <w:ind w:left="720"/>
      </w:pPr>
      <w:r w:rsidRPr="00E95869">
        <w:t>The statute provides that FDA may review determinations by accredited testing laboratories, including by conducting periodic audits of such determinations or processes of accreditation bodies or testing laboratories.</w:t>
      </w:r>
      <w:r>
        <w:rPr>
          <w:rStyle w:val="FootnoteReference"/>
        </w:rPr>
        <w:footnoteReference w:id="4"/>
      </w:r>
      <w:r w:rsidRPr="00E95869">
        <w:t xml:space="preserve">  Following such a review, or if FDA becomes aware of information materially bearing on safety or effectiveness of a device </w:t>
      </w:r>
      <w:r w:rsidR="00FF2518">
        <w:t>tested</w:t>
      </w:r>
      <w:r w:rsidRPr="00E95869" w:rsidR="00FF2518">
        <w:t xml:space="preserve"> </w:t>
      </w:r>
      <w:r w:rsidRPr="00E95869">
        <w:t xml:space="preserve">by an accredited testing laboratory, FDA may take additional measures as determined appropriate, including suspension or withdrawal of </w:t>
      </w:r>
      <w:r w:rsidRPr="00D441FB" w:rsidR="000D5DBB">
        <w:rPr>
          <w:i/>
        </w:rPr>
        <w:t>ASCA A</w:t>
      </w:r>
      <w:r w:rsidRPr="00D441FB">
        <w:rPr>
          <w:i/>
        </w:rPr>
        <w:t>ccreditation</w:t>
      </w:r>
      <w:r w:rsidRPr="00E95869">
        <w:t xml:space="preserve"> of a testing laboratory</w:t>
      </w:r>
      <w:r w:rsidR="00270AAD">
        <w:t>, withdrawal of</w:t>
      </w:r>
      <w:r w:rsidR="00FF2518">
        <w:t xml:space="preserve"> </w:t>
      </w:r>
      <w:r w:rsidR="00FF2518">
        <w:rPr>
          <w:i/>
        </w:rPr>
        <w:t>ASCA Recognition</w:t>
      </w:r>
      <w:r w:rsidR="00270AAD">
        <w:t xml:space="preserve"> of an accreditation body,</w:t>
      </w:r>
      <w:r w:rsidRPr="00E95869">
        <w:t xml:space="preserve"> or a request for additional information regarding a specific device.</w:t>
      </w:r>
      <w:r>
        <w:rPr>
          <w:rStyle w:val="FootnoteReference"/>
        </w:rPr>
        <w:footnoteReference w:id="5"/>
      </w:r>
      <w:r w:rsidRPr="00E95869">
        <w:t xml:space="preserve"> </w:t>
      </w:r>
    </w:p>
    <w:p w:rsidR="003E3FE2" w:rsidP="003E3FE2" w:rsidRDefault="003E3FE2">
      <w:pPr>
        <w:ind w:left="720"/>
      </w:pPr>
    </w:p>
    <w:p w:rsidR="00606CBA" w:rsidP="003E3FE2" w:rsidRDefault="00F0193C">
      <w:pPr>
        <w:ind w:left="720"/>
      </w:pPr>
      <w:r>
        <w:t xml:space="preserve">Also, </w:t>
      </w:r>
      <w:r w:rsidRPr="00EC3966" w:rsidR="00606CBA">
        <w:t xml:space="preserve">FDA </w:t>
      </w:r>
      <w:r w:rsidR="00606CBA">
        <w:t>issue</w:t>
      </w:r>
      <w:r>
        <w:t>d a draft</w:t>
      </w:r>
      <w:r w:rsidR="00606CBA">
        <w:t xml:space="preserve"> guidance</w:t>
      </w:r>
      <w:r>
        <w:t xml:space="preserve"> en</w:t>
      </w:r>
      <w:r w:rsidRPr="00884F3D">
        <w:t>titled “The</w:t>
      </w:r>
      <w:r>
        <w:t xml:space="preserve"> </w:t>
      </w:r>
      <w:r w:rsidRPr="00884F3D">
        <w:t>Accreditation</w:t>
      </w:r>
      <w:r>
        <w:t xml:space="preserve"> </w:t>
      </w:r>
      <w:r w:rsidRPr="00884F3D">
        <w:t>Scheme for Conformity Assessment</w:t>
      </w:r>
      <w:r>
        <w:t xml:space="preserve"> </w:t>
      </w:r>
      <w:r w:rsidRPr="00884F3D">
        <w:t>(ASCA) Pilot Program” (see 84 FR 49741, September 23, 2019)</w:t>
      </w:r>
      <w:r w:rsidRPr="00EC3966" w:rsidR="00606CBA">
        <w:t xml:space="preserve"> </w:t>
      </w:r>
      <w:r w:rsidR="00606CBA">
        <w:t>regarding</w:t>
      </w:r>
      <w:r w:rsidRPr="00EC3966" w:rsidR="00606CBA">
        <w:t xml:space="preserve"> the goals and implementation of the voluntary Accreditation Scheme for Conformity Assessment (ASCA) Pilot Program (hereafter referred to as the ASCA Pilot) </w:t>
      </w:r>
      <w:r w:rsidR="00606CBA">
        <w:t>in accordance with amendments made to</w:t>
      </w:r>
      <w:r w:rsidRPr="00EC3966" w:rsidR="00606CBA">
        <w:t xml:space="preserve"> section 514</w:t>
      </w:r>
      <w:r w:rsidRPr="003E3FE2" w:rsidR="00606CBA">
        <w:rPr>
          <w:vertAlign w:val="superscript"/>
        </w:rPr>
        <w:footnoteReference w:id="6"/>
      </w:r>
      <w:r w:rsidR="00606CBA">
        <w:t xml:space="preserve"> by FDARA, and as part of the enactment of the Medical Device User Fee Amendments of 2017 (MDUFA IV)</w:t>
      </w:r>
      <w:r w:rsidRPr="00EC3966" w:rsidR="00606CBA">
        <w:t>.</w:t>
      </w:r>
      <w:r w:rsidRPr="003E3FE2" w:rsidR="00606CBA">
        <w:rPr>
          <w:vertAlign w:val="superscript"/>
        </w:rPr>
        <w:footnoteReference w:id="7"/>
      </w:r>
      <w:r w:rsidRPr="00EC3966" w:rsidR="00606CBA">
        <w:t xml:space="preserve"> </w:t>
      </w:r>
    </w:p>
    <w:p w:rsidR="00606CBA" w:rsidP="00606CBA" w:rsidRDefault="009F07AA">
      <w:pPr>
        <w:ind w:left="720"/>
      </w:pPr>
      <w:r w:rsidRPr="003F7568">
        <w:t xml:space="preserve">The establishment of the goals, scope, procedures, and a suitable framework for the voluntary ASCA Pilot supports the Agency's continued efforts to use its scientific </w:t>
      </w:r>
      <w:r w:rsidRPr="003F7568">
        <w:lastRenderedPageBreak/>
        <w:t>resources effectively and efficiently to protect and promote public health. FDA believes the voluntary ASCA Pilot may further encourage international harmonization of medical device regulation because it incorporates elements, where appropriate, from a well-established set of international conformity assessment practices and standards (e.g., ISO/IEC 17000 series). The voluntary ASCA Pilot does not supplant or alter any other existing statutory or regulatory requirements governing the decision</w:t>
      </w:r>
      <w:r w:rsidR="00270AAD">
        <w:t>-</w:t>
      </w:r>
      <w:r w:rsidRPr="003F7568">
        <w:t>making process for premarket submissions.</w:t>
      </w:r>
    </w:p>
    <w:p w:rsidRPr="002746DB" w:rsidR="008B30AB" w:rsidP="008B30AB" w:rsidRDefault="00EB7538">
      <w:pPr>
        <w:numPr>
          <w:ilvl w:val="0"/>
          <w:numId w:val="1"/>
        </w:numPr>
        <w:spacing w:before="100" w:beforeAutospacing="1" w:after="100" w:afterAutospacing="1"/>
        <w:rPr>
          <w:u w:val="single"/>
        </w:rPr>
      </w:pPr>
      <w:r w:rsidRPr="002746DB">
        <w:rPr>
          <w:u w:val="single"/>
        </w:rPr>
        <w:t xml:space="preserve">Purpose and Use of the Information Collection </w:t>
      </w:r>
    </w:p>
    <w:p w:rsidR="00F4004F" w:rsidP="00F207A4" w:rsidRDefault="00F4004F">
      <w:pPr>
        <w:ind w:left="720"/>
      </w:pPr>
      <w:r>
        <w:t>To support its mission of protecting and promoting U.S. public health, FDA aims to minimize unnecessary regulatory burden and efficiently use its scientific resources while ensuring medical devices are safe and effective.  The ASCA Pilot contributes to this effort by providing increased confidence in testing results from ASCA-accredited testing laboratories, potentially decreasing the burden of individual premarket submissions</w:t>
      </w:r>
      <w:r w:rsidR="00D8084B">
        <w:t xml:space="preserve"> when manufacturers rely on testing completed by an ASCA-accredited testing laboratory</w:t>
      </w:r>
      <w:r>
        <w:t>.</w:t>
      </w:r>
    </w:p>
    <w:p w:rsidR="00564FB9" w:rsidP="00F207A4" w:rsidRDefault="00564FB9">
      <w:pPr>
        <w:ind w:left="720"/>
      </w:pPr>
    </w:p>
    <w:p w:rsidR="00AB4CEB" w:rsidP="00564FB9" w:rsidRDefault="00AB4CEB">
      <w:pPr>
        <w:ind w:left="720"/>
      </w:pPr>
      <w:r>
        <w:t xml:space="preserve">Evidence of </w:t>
      </w:r>
      <w:r w:rsidRPr="00C606B0">
        <w:t xml:space="preserve">conformity to </w:t>
      </w:r>
      <w:r>
        <w:t xml:space="preserve">one or more </w:t>
      </w:r>
      <w:r w:rsidRPr="00C606B0">
        <w:t>FDA-recognized</w:t>
      </w:r>
      <w:r>
        <w:t xml:space="preserve"> consensus</w:t>
      </w:r>
      <w:r w:rsidRPr="00C606B0">
        <w:t xml:space="preserve"> standards is often a thorough and efficient way </w:t>
      </w:r>
      <w:r>
        <w:t xml:space="preserve">for a manufacturer </w:t>
      </w:r>
      <w:r w:rsidRPr="00C606B0">
        <w:t>to address certain questions of safety and</w:t>
      </w:r>
      <w:r>
        <w:t>/or</w:t>
      </w:r>
      <w:r w:rsidRPr="00C606B0">
        <w:t xml:space="preserve"> effectiveness. For manufacturers and FDA to benefit from the efficiency, however, FDA must have confidence in the </w:t>
      </w:r>
      <w:r>
        <w:t>declaration of conformity.</w:t>
      </w:r>
      <w:r>
        <w:rPr>
          <w:rStyle w:val="FootnoteReference"/>
        </w:rPr>
        <w:footnoteRef/>
      </w:r>
      <w:r>
        <w:t xml:space="preserve"> Declarations of conformity are discussed in</w:t>
      </w:r>
      <w:r w:rsidRPr="00564FB9" w:rsidR="00564FB9">
        <w:t xml:space="preserve"> section 514(c)</w:t>
      </w:r>
      <w:r>
        <w:t xml:space="preserve">(1)(B) </w:t>
      </w:r>
      <w:r w:rsidRPr="00564FB9" w:rsidR="00564FB9">
        <w:t>of the FD&amp;C Act</w:t>
      </w:r>
      <w:r>
        <w:t xml:space="preserve"> and FDA’s guidance </w:t>
      </w:r>
      <w:hyperlink w:history="1" r:id="rId13">
        <w:r w:rsidRPr="00C606B0">
          <w:rPr>
            <w:rStyle w:val="Hyperlink"/>
          </w:rPr>
          <w:t>Appropriate Use of Voluntary Consensus Standards in Premarket Submissions for Medical Devices</w:t>
        </w:r>
      </w:hyperlink>
      <w:r w:rsidRPr="00701F3E">
        <w:rPr>
          <w:rStyle w:val="Hyperlink"/>
        </w:rPr>
        <w:t>.</w:t>
      </w:r>
      <w:r w:rsidR="00D110DD">
        <w:rPr>
          <w:rStyle w:val="FootnoteReference"/>
          <w:color w:val="0000FF"/>
          <w:u w:val="single"/>
        </w:rPr>
        <w:footnoteReference w:id="8"/>
      </w:r>
      <w:r w:rsidRPr="00701F3E">
        <w:t xml:space="preserve"> </w:t>
      </w:r>
      <w:r w:rsidRPr="00564FB9">
        <w:t xml:space="preserve"> </w:t>
      </w:r>
      <w:r>
        <w:t>These resources indicate that a</w:t>
      </w:r>
      <w:r w:rsidRPr="00C606B0">
        <w:t xml:space="preserve"> </w:t>
      </w:r>
      <w:r>
        <w:t xml:space="preserve">device </w:t>
      </w:r>
      <w:r w:rsidRPr="00C606B0">
        <w:t xml:space="preserve">manufacturer </w:t>
      </w:r>
      <w:r>
        <w:t xml:space="preserve">may </w:t>
      </w:r>
      <w:r w:rsidRPr="00C606B0">
        <w:t xml:space="preserve">provide a </w:t>
      </w:r>
      <w:r>
        <w:t xml:space="preserve">declaration of conformity </w:t>
      </w:r>
      <w:r w:rsidRPr="00C606B0">
        <w:t xml:space="preserve">to </w:t>
      </w:r>
      <w:r>
        <w:t>one or more</w:t>
      </w:r>
      <w:r w:rsidRPr="00C606B0">
        <w:t xml:space="preserve"> FDA-recognized</w:t>
      </w:r>
      <w:r>
        <w:t xml:space="preserve"> consensus</w:t>
      </w:r>
      <w:r w:rsidRPr="00C606B0">
        <w:t xml:space="preserve"> standard</w:t>
      </w:r>
      <w:r>
        <w:t>s</w:t>
      </w:r>
      <w:r w:rsidRPr="00C606B0">
        <w:t xml:space="preserve"> in </w:t>
      </w:r>
      <w:r>
        <w:t>a</w:t>
      </w:r>
      <w:r w:rsidRPr="00C606B0">
        <w:t xml:space="preserve"> premarket submission </w:t>
      </w:r>
      <w:r>
        <w:t>to be reviewed by</w:t>
      </w:r>
      <w:r w:rsidRPr="00C606B0">
        <w:t xml:space="preserve"> FDA.</w:t>
      </w:r>
      <w:r>
        <w:t xml:space="preserve"> </w:t>
      </w:r>
    </w:p>
    <w:p w:rsidR="00AB4CEB" w:rsidP="00564FB9" w:rsidRDefault="00AB4CEB">
      <w:pPr>
        <w:ind w:left="720"/>
      </w:pPr>
    </w:p>
    <w:p w:rsidRPr="00564FB9" w:rsidR="00564FB9" w:rsidP="00564FB9" w:rsidRDefault="00AB4CEB">
      <w:pPr>
        <w:ind w:left="720"/>
      </w:pPr>
      <w:r>
        <w:t xml:space="preserve">A device manufacturer may declare </w:t>
      </w:r>
      <w:r w:rsidRPr="00564FB9" w:rsidR="00564FB9">
        <w:t>conformity to a</w:t>
      </w:r>
      <w:r w:rsidR="00C56711">
        <w:t>n</w:t>
      </w:r>
      <w:r w:rsidRPr="00564FB9" w:rsidR="00564FB9">
        <w:t xml:space="preserve"> FDA-recognized consensus standard</w:t>
      </w:r>
      <w:r>
        <w:t xml:space="preserve"> based on test results; however, there may be variability in how this testing is conducted. Given this variability, and because </w:t>
      </w:r>
      <w:r w:rsidRPr="00564FB9" w:rsidR="00564FB9">
        <w:t>medical devices are increasingly complex and can involve high risks to patients, declaration</w:t>
      </w:r>
      <w:r>
        <w:t>s</w:t>
      </w:r>
      <w:r w:rsidRPr="00564FB9" w:rsidR="00564FB9">
        <w:t xml:space="preserve"> of conformity </w:t>
      </w:r>
      <w:r>
        <w:t>are</w:t>
      </w:r>
      <w:r w:rsidRPr="00564FB9" w:rsidR="00564FB9">
        <w:t xml:space="preserve"> not always </w:t>
      </w:r>
      <w:proofErr w:type="gramStart"/>
      <w:r w:rsidRPr="00564FB9" w:rsidR="00564FB9">
        <w:t>sufficient</w:t>
      </w:r>
      <w:proofErr w:type="gramEnd"/>
      <w:r w:rsidRPr="00564FB9" w:rsidR="00564FB9">
        <w:t xml:space="preserve"> to </w:t>
      </w:r>
      <w:r>
        <w:t>fully address FDA’s questions regarding</w:t>
      </w:r>
      <w:r w:rsidRPr="00564FB9">
        <w:t xml:space="preserve"> </w:t>
      </w:r>
      <w:r w:rsidRPr="00564FB9" w:rsidR="00564FB9">
        <w:t xml:space="preserve">safety and </w:t>
      </w:r>
      <w:r>
        <w:t>effectiveness for premarket submissions.</w:t>
      </w:r>
      <w:r w:rsidRPr="00564FB9" w:rsidR="00564FB9">
        <w:t xml:space="preserve"> As a result, FDA reviewers may need to request additional information and review </w:t>
      </w:r>
      <w:r>
        <w:t xml:space="preserve">supplemental documentation </w:t>
      </w:r>
      <w:r>
        <w:rPr>
          <w:rStyle w:val="CommentReference"/>
        </w:rPr>
        <w:t/>
      </w:r>
      <w:r w:rsidRPr="00705875">
        <w:t xml:space="preserve">as described in </w:t>
      </w:r>
      <w:r>
        <w:t>FDA’s guidance</w:t>
      </w:r>
      <w:r w:rsidRPr="00C606B0">
        <w:t xml:space="preserve">, </w:t>
      </w:r>
      <w:hyperlink w:history="1" r:id="rId14">
        <w:r w:rsidRPr="00C606B0">
          <w:rPr>
            <w:rStyle w:val="Hyperlink"/>
          </w:rPr>
          <w:t>Appropriate Use of Voluntary Consensus Standards in Premarket Submissions for Medical Devices</w:t>
        </w:r>
      </w:hyperlink>
      <w:r w:rsidRPr="00564FB9" w:rsidR="00564FB9">
        <w:t>. In some instances,</w:t>
      </w:r>
      <w:r w:rsidR="004214D3">
        <w:t xml:space="preserve"> a device manufacturer may decide to</w:t>
      </w:r>
      <w:r w:rsidRPr="00564FB9" w:rsidR="00564FB9">
        <w:t xml:space="preserve"> </w:t>
      </w:r>
      <w:proofErr w:type="gramStart"/>
      <w:r w:rsidRPr="00564FB9" w:rsidR="00564FB9">
        <w:t>repeat</w:t>
      </w:r>
      <w:proofErr w:type="gramEnd"/>
      <w:r w:rsidRPr="00564FB9" w:rsidR="00564FB9">
        <w:t xml:space="preserve"> or revise</w:t>
      </w:r>
      <w:r w:rsidR="004214D3">
        <w:t xml:space="preserve"> testing</w:t>
      </w:r>
      <w:r w:rsidRPr="00564FB9" w:rsidR="00564FB9">
        <w:t xml:space="preserve"> based on FDA input. </w:t>
      </w:r>
      <w:r w:rsidRPr="00AB4CEB">
        <w:t xml:space="preserve"> </w:t>
      </w:r>
      <w:r w:rsidRPr="00705875">
        <w:t xml:space="preserve">These interactions and requests for modifications in test methodology can result in delays and additional </w:t>
      </w:r>
      <w:proofErr w:type="gramStart"/>
      <w:r w:rsidRPr="00705875">
        <w:t>costs</w:t>
      </w:r>
      <w:r>
        <w:t>, but</w:t>
      </w:r>
      <w:proofErr w:type="gramEnd"/>
      <w:r>
        <w:t xml:space="preserve"> are needed</w:t>
      </w:r>
      <w:r w:rsidRPr="00705875">
        <w:t xml:space="preserve"> to provide FDA with the necessary confidence in a declaration of conformity for its intended purpose.</w:t>
      </w:r>
    </w:p>
    <w:p w:rsidR="00564FB9" w:rsidP="00564FB9" w:rsidRDefault="00564FB9">
      <w:pPr>
        <w:ind w:left="720"/>
      </w:pPr>
    </w:p>
    <w:p w:rsidR="00564FB9" w:rsidP="00564FB9" w:rsidRDefault="00BF753A">
      <w:pPr>
        <w:ind w:left="720"/>
      </w:pPr>
      <w:r>
        <w:t xml:space="preserve">Under </w:t>
      </w:r>
      <w:r w:rsidRPr="00564FB9" w:rsidR="00564FB9">
        <w:t>the ASCA Pilot</w:t>
      </w:r>
      <w:r>
        <w:t>’s conformity assessment scheme</w:t>
      </w:r>
      <w:r w:rsidRPr="00564FB9" w:rsidR="00564FB9">
        <w:t xml:space="preserve">, </w:t>
      </w:r>
      <w:r w:rsidR="00AB4CEB">
        <w:t>ASCA-</w:t>
      </w:r>
      <w:r w:rsidR="00C56711">
        <w:t xml:space="preserve">recognized </w:t>
      </w:r>
      <w:r w:rsidR="00270AAD">
        <w:t>accreditation bodies</w:t>
      </w:r>
      <w:r w:rsidRPr="00564FB9" w:rsidR="00270AAD">
        <w:t xml:space="preserve"> </w:t>
      </w:r>
      <w:r w:rsidRPr="00564FB9" w:rsidR="00564FB9">
        <w:t xml:space="preserve">accredit </w:t>
      </w:r>
      <w:r w:rsidR="00270AAD">
        <w:t>testing laboratories</w:t>
      </w:r>
      <w:r w:rsidRPr="00564FB9" w:rsidR="00270AAD">
        <w:t xml:space="preserve"> </w:t>
      </w:r>
      <w:r w:rsidRPr="00564FB9" w:rsidR="00564FB9">
        <w:t xml:space="preserve">using </w:t>
      </w:r>
      <w:r w:rsidRPr="00C606B0">
        <w:t xml:space="preserve">ISO/IEC 17025:2017: </w:t>
      </w:r>
      <w:r w:rsidRPr="00F23476">
        <w:rPr>
          <w:i/>
        </w:rPr>
        <w:t>General requirements for the competence of testing and calibration laboratories</w:t>
      </w:r>
      <w:r>
        <w:rPr>
          <w:i/>
        </w:rPr>
        <w:t xml:space="preserve"> </w:t>
      </w:r>
      <w:r>
        <w:t xml:space="preserve">and the </w:t>
      </w:r>
      <w:r w:rsidRPr="003834BA">
        <w:t xml:space="preserve">ASCA program </w:t>
      </w:r>
      <w:r w:rsidRPr="003834BA">
        <w:lastRenderedPageBreak/>
        <w:t>specifications</w:t>
      </w:r>
      <w:r w:rsidRPr="00C606B0">
        <w:t xml:space="preserve"> </w:t>
      </w:r>
      <w:r>
        <w:t>associated with each FDA-recognized consensus standard and test method included in the ASCA Pilot</w:t>
      </w:r>
      <w:r w:rsidRPr="00564FB9" w:rsidR="00564FB9">
        <w:t xml:space="preserve">.  </w:t>
      </w:r>
      <w:r>
        <w:t>Device m</w:t>
      </w:r>
      <w:r w:rsidRPr="00564FB9" w:rsidR="00564FB9">
        <w:t xml:space="preserve">anufacturers may then choose to </w:t>
      </w:r>
      <w:proofErr w:type="gramStart"/>
      <w:r>
        <w:t xml:space="preserve">use </w:t>
      </w:r>
      <w:r w:rsidR="003A2B93">
        <w:t xml:space="preserve"> an</w:t>
      </w:r>
      <w:proofErr w:type="gramEnd"/>
      <w:r w:rsidR="003A2B93">
        <w:t xml:space="preserve"> ASCA-accredited </w:t>
      </w:r>
      <w:r w:rsidR="00270AAD">
        <w:t>testing laboratory</w:t>
      </w:r>
      <w:r w:rsidRPr="00564FB9" w:rsidR="00270AAD">
        <w:t xml:space="preserve"> </w:t>
      </w:r>
      <w:r>
        <w:t xml:space="preserve">to conduct testing for </w:t>
      </w:r>
      <w:r w:rsidRPr="00564FB9" w:rsidR="00564FB9">
        <w:t>premarket submissions</w:t>
      </w:r>
      <w:r>
        <w:t xml:space="preserve"> to FDA</w:t>
      </w:r>
      <w:r w:rsidRPr="00564FB9" w:rsidR="00564FB9">
        <w:t xml:space="preserve">.  </w:t>
      </w:r>
      <w:r>
        <w:t>During the ASCA Pilot,</w:t>
      </w:r>
      <w:r w:rsidRPr="003A2B93" w:rsidR="003A2B93">
        <w:t xml:space="preserve"> FDA generally will accept determinations </w:t>
      </w:r>
      <w:r>
        <w:t xml:space="preserve">from ASCA-accredited testing laboratories (i.e., test results) when the standard and test methods are within the testing laboratory’s scope of </w:t>
      </w:r>
      <w:r>
        <w:rPr>
          <w:i/>
        </w:rPr>
        <w:t>ASCA Accreditation</w:t>
      </w:r>
      <w:r>
        <w:t xml:space="preserve"> at the time of testing. </w:t>
      </w:r>
      <w:r w:rsidRPr="003A2B93" w:rsidR="003A2B93">
        <w:t>We believe this general approach can help minimize unnecessary regulatory burden and help FDA efficiently use our scientific resources while ensuring there is reasonable assurance of the safety and effectiveness of medical devices intended for human use.</w:t>
      </w:r>
    </w:p>
    <w:p w:rsidRPr="004C6979" w:rsidR="002746DB" w:rsidP="00EB7538" w:rsidRDefault="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6D5D57" w:rsidP="006D5D57" w:rsidRDefault="006D5D57">
      <w:pPr>
        <w:ind w:left="720"/>
      </w:pPr>
      <w:r w:rsidRPr="002A1210">
        <w:t xml:space="preserve">FDA estimates that </w:t>
      </w:r>
      <w:r w:rsidR="00345670">
        <w:t>100</w:t>
      </w:r>
      <w:r w:rsidRPr="002A1210">
        <w:t>% of the respondents will use electronic means to fulfill the agency’s</w:t>
      </w:r>
      <w:r>
        <w:t xml:space="preserve"> requ</w:t>
      </w:r>
      <w:r w:rsidR="0080041B">
        <w:t>est.</w:t>
      </w:r>
    </w:p>
    <w:p w:rsidRPr="002746DB" w:rsidR="002746DB" w:rsidP="00EB7538" w:rsidRDefault="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410627" w:rsidP="00357040" w:rsidRDefault="00410627">
      <w:pPr>
        <w:ind w:left="720"/>
      </w:pPr>
      <w:r>
        <w:t>We are unaware of duplicative information collection.</w:t>
      </w:r>
      <w:r w:rsidR="009F7CE4">
        <w:t xml:space="preserve"> </w:t>
      </w:r>
    </w:p>
    <w:p w:rsidRPr="004C6979" w:rsidR="002746DB" w:rsidP="00EB7538" w:rsidRDefault="00EB7538">
      <w:pPr>
        <w:numPr>
          <w:ilvl w:val="0"/>
          <w:numId w:val="1"/>
        </w:numPr>
        <w:spacing w:before="100" w:beforeAutospacing="1" w:after="100" w:afterAutospacing="1"/>
        <w:rPr>
          <w:u w:val="single"/>
        </w:rPr>
      </w:pPr>
      <w:r w:rsidRPr="004C6979">
        <w:rPr>
          <w:u w:val="single"/>
        </w:rPr>
        <w:t>Impact on Small Businesses or Other Small Entities</w:t>
      </w:r>
    </w:p>
    <w:p w:rsidR="00410627" w:rsidP="00F207A4" w:rsidRDefault="000D3785">
      <w:pPr>
        <w:ind w:left="720"/>
      </w:pPr>
      <w:r>
        <w:t>Based on</w:t>
      </w:r>
      <w:r w:rsidR="00410627">
        <w:t xml:space="preserve"> the guidelines set by the Small Business Administration (SBD) on what constitutes a small business </w:t>
      </w:r>
      <w:r>
        <w:t>(f</w:t>
      </w:r>
      <w:r w:rsidR="00410627">
        <w:t>or manufacturing, a small business cannot exceed 500 employees</w:t>
      </w:r>
      <w:r>
        <w:t>), we estimate that</w:t>
      </w:r>
      <w:r w:rsidR="00410627">
        <w:t> </w:t>
      </w:r>
      <w:r>
        <w:t>a</w:t>
      </w:r>
      <w:r w:rsidR="00410627">
        <w:t xml:space="preserve">pproximately </w:t>
      </w:r>
      <w:r w:rsidRPr="00A91B85" w:rsidR="00410627">
        <w:t>95%</w:t>
      </w:r>
      <w:r w:rsidR="00410627">
        <w:t xml:space="preserve"> of U.S. medical device manufacturing establishments </w:t>
      </w:r>
      <w:r w:rsidR="003E3FE2">
        <w:t>may be</w:t>
      </w:r>
      <w:r w:rsidR="00410627">
        <w:t xml:space="preserve"> </w:t>
      </w:r>
      <w:r>
        <w:t>small businesses</w:t>
      </w:r>
      <w:r w:rsidR="00410627">
        <w:t>.</w:t>
      </w:r>
    </w:p>
    <w:p w:rsidR="00410627" w:rsidP="00F207A4" w:rsidRDefault="00410627">
      <w:pPr>
        <w:ind w:left="720"/>
      </w:pPr>
    </w:p>
    <w:p w:rsidRPr="00A251AE" w:rsidR="008B0EFA" w:rsidP="00F207A4" w:rsidRDefault="009B2703">
      <w:pPr>
        <w:ind w:left="720"/>
      </w:pPr>
      <w:r>
        <w:t>We estimate that at least 50</w:t>
      </w:r>
      <w:r w:rsidRPr="00A251AE" w:rsidR="0080041B">
        <w:t xml:space="preserve"> </w:t>
      </w:r>
      <w:r w:rsidR="00357040">
        <w:t>%</w:t>
      </w:r>
      <w:r w:rsidRPr="00A251AE" w:rsidR="00544138">
        <w:t xml:space="preserve"> of </w:t>
      </w:r>
      <w:r w:rsidR="00410627">
        <w:t>the</w:t>
      </w:r>
      <w:r>
        <w:t xml:space="preserve"> testing laboratories and most, if not all, of the accreditation bodies</w:t>
      </w:r>
      <w:r w:rsidRPr="00A251AE" w:rsidR="00544138">
        <w:t xml:space="preserve"> are </w:t>
      </w:r>
      <w:r w:rsidRPr="00A251AE" w:rsidR="00A96221">
        <w:t xml:space="preserve">small </w:t>
      </w:r>
      <w:r w:rsidRPr="00A251AE" w:rsidR="00E77B48">
        <w:t>businesses</w:t>
      </w:r>
      <w:r w:rsidRPr="00A251AE" w:rsidR="00544138">
        <w:t>.</w:t>
      </w:r>
    </w:p>
    <w:p w:rsidR="008B0EFA" w:rsidP="00F207A4" w:rsidRDefault="008B0EFA">
      <w:pPr>
        <w:ind w:left="720"/>
      </w:pPr>
    </w:p>
    <w:p w:rsidR="009B2703" w:rsidP="009B2703" w:rsidRDefault="009B2703">
      <w:pPr>
        <w:pStyle w:val="BodyText2"/>
        <w:ind w:left="720"/>
      </w:pPr>
      <w:r>
        <w:t xml:space="preserve">This is a voluntary </w:t>
      </w:r>
      <w:r w:rsidR="00357040">
        <w:t>program;</w:t>
      </w:r>
      <w:r>
        <w:t xml:space="preserve"> therefore, ABs are not required to participate </w:t>
      </w:r>
      <w:r w:rsidR="00E11060">
        <w:t>in order to accredit TLs outside of the ASCA Pilot and TLs are not require</w:t>
      </w:r>
      <w:r w:rsidR="002851AB">
        <w:t>d</w:t>
      </w:r>
      <w:r w:rsidR="00E11060">
        <w:t xml:space="preserve"> to participate in order to have their testing included in a device manufacturer’s </w:t>
      </w:r>
      <w:r>
        <w:t xml:space="preserve">premarket submissions to FDA. We are utilizing e-mail for accepting submissions, information requests, etc. </w:t>
      </w:r>
    </w:p>
    <w:p w:rsidR="00410627" w:rsidP="00D441FB" w:rsidRDefault="00410627">
      <w:pPr>
        <w:pStyle w:val="BodyText2"/>
      </w:pPr>
    </w:p>
    <w:p w:rsidR="00357040" w:rsidP="00410627" w:rsidRDefault="00410627">
      <w:pPr>
        <w:pStyle w:val="BodyText2"/>
        <w:ind w:left="720"/>
      </w:pPr>
      <w:r>
        <w:t xml:space="preserve">FDA aids small businesses in dealing with the regulations by providing guidance and information through CDRH’s Division of International and Consumer Education (DICE). DICE provides technical and non-financial assistance to firms through a comprehensive program including seminars, educational conferences, printed and electronic information materials, and via e-mail and a toll-free telephone number.  Other CDRH staff members are also available to respond to questions.  Alternatively, the FDA may </w:t>
      </w:r>
      <w:proofErr w:type="gramStart"/>
      <w:r>
        <w:t>provide assistance</w:t>
      </w:r>
      <w:proofErr w:type="gramEnd"/>
      <w:r>
        <w:t xml:space="preserve"> </w:t>
      </w:r>
      <w:r w:rsidRPr="000A6800">
        <w:t xml:space="preserve">through </w:t>
      </w:r>
      <w:r>
        <w:t xml:space="preserve">its </w:t>
      </w:r>
      <w:r w:rsidRPr="001577A7">
        <w:t>Regional Small Business Representatives</w:t>
      </w:r>
      <w:r w:rsidRPr="000A6800">
        <w:t xml:space="preserve">.  FDA has provided a Small Business Guide on the agency’s website at </w:t>
      </w:r>
      <w:hyperlink w:history="1" r:id="rId15">
        <w:r w:rsidRPr="000A6800">
          <w:rPr>
            <w:rStyle w:val="Hyperlink"/>
          </w:rPr>
          <w:t>http://www.fd</w:t>
        </w:r>
        <w:r w:rsidRPr="000A6800">
          <w:rPr>
            <w:rStyle w:val="Hyperlink"/>
          </w:rPr>
          <w:t>a</w:t>
        </w:r>
        <w:r w:rsidRPr="000A6800">
          <w:rPr>
            <w:rStyle w:val="Hyperlink"/>
          </w:rPr>
          <w:t>.gov/o</w:t>
        </w:r>
        <w:r w:rsidRPr="000A6800">
          <w:rPr>
            <w:rStyle w:val="Hyperlink"/>
          </w:rPr>
          <w:t>c</w:t>
        </w:r>
        <w:r w:rsidRPr="000A6800">
          <w:rPr>
            <w:rStyle w:val="Hyperlink"/>
          </w:rPr>
          <w:t>/industry/</w:t>
        </w:r>
      </w:hyperlink>
      <w:r w:rsidRPr="000A6800">
        <w:t>.</w:t>
      </w:r>
    </w:p>
    <w:p w:rsidR="00410627" w:rsidP="00410627" w:rsidRDefault="00357040">
      <w:pPr>
        <w:pStyle w:val="BodyText2"/>
        <w:ind w:left="720"/>
      </w:pPr>
      <w:r>
        <w:br w:type="page"/>
      </w:r>
    </w:p>
    <w:p w:rsidRPr="004C6979" w:rsidR="00CD77C3" w:rsidP="00EB7538" w:rsidRDefault="00EB7538">
      <w:pPr>
        <w:numPr>
          <w:ilvl w:val="0"/>
          <w:numId w:val="1"/>
        </w:numPr>
        <w:spacing w:before="100" w:beforeAutospacing="1" w:after="100" w:afterAutospacing="1"/>
        <w:rPr>
          <w:u w:val="single"/>
        </w:rPr>
      </w:pPr>
      <w:r w:rsidRPr="004C6979">
        <w:rPr>
          <w:u w:val="single"/>
        </w:rPr>
        <w:t>Consequences of Collecting the Information Less Frequently</w:t>
      </w:r>
    </w:p>
    <w:p w:rsidR="003B6384" w:rsidP="00F207A4" w:rsidRDefault="00A251AE">
      <w:pPr>
        <w:ind w:left="720"/>
      </w:pPr>
      <w:r w:rsidRPr="00A251AE">
        <w:t>R</w:t>
      </w:r>
      <w:r w:rsidRPr="00A251AE" w:rsidR="003B6384">
        <w:t xml:space="preserve">espondents will respond to the </w:t>
      </w:r>
      <w:r w:rsidRPr="00A251AE" w:rsidR="00A96221">
        <w:t>information</w:t>
      </w:r>
      <w:r w:rsidRPr="00A251AE" w:rsidR="003B6384">
        <w:t xml:space="preserve"> collection</w:t>
      </w:r>
      <w:r w:rsidRPr="00A251AE">
        <w:t xml:space="preserve"> once when they initially apply for the program</w:t>
      </w:r>
      <w:r w:rsidR="00F2425B">
        <w:t xml:space="preserve"> and</w:t>
      </w:r>
      <w:r w:rsidRPr="00A251AE">
        <w:t xml:space="preserve"> they will request changes </w:t>
      </w:r>
      <w:r w:rsidR="00367B29">
        <w:t>regarding</w:t>
      </w:r>
      <w:r w:rsidRPr="00A251AE">
        <w:t xml:space="preserve"> their participation on an occasional basis. </w:t>
      </w:r>
      <w:r w:rsidR="000D3785">
        <w:t>Additionally, respondents will submit annual status reports.</w:t>
      </w:r>
    </w:p>
    <w:p w:rsidR="001A4167" w:rsidP="00F207A4" w:rsidRDefault="001A4167">
      <w:pPr>
        <w:ind w:left="720"/>
      </w:pPr>
    </w:p>
    <w:p w:rsidRPr="00A251AE" w:rsidR="001A4167" w:rsidP="00F207A4" w:rsidRDefault="001A4167">
      <w:pPr>
        <w:ind w:left="720"/>
      </w:pPr>
      <w:r w:rsidRPr="0081593F">
        <w:t>We are utilizing existing infrastructure set in place by ISO/IEC 17025</w:t>
      </w:r>
      <w:r w:rsidR="003A2B93">
        <w:t>:</w:t>
      </w:r>
      <w:r w:rsidRPr="003A2B93" w:rsidR="003A2B93">
        <w:rPr>
          <w:i/>
        </w:rPr>
        <w:t xml:space="preserve"> </w:t>
      </w:r>
      <w:r w:rsidRPr="00F23476" w:rsidR="003A2B93">
        <w:rPr>
          <w:i/>
        </w:rPr>
        <w:t>General requirements for the competence of testing and calibration laboratories</w:t>
      </w:r>
      <w:r w:rsidRPr="0081593F">
        <w:t xml:space="preserve"> that </w:t>
      </w:r>
      <w:r w:rsidR="00270AAD">
        <w:t>testing laboratories</w:t>
      </w:r>
      <w:r w:rsidRPr="0081593F" w:rsidR="00270AAD">
        <w:t xml:space="preserve"> </w:t>
      </w:r>
      <w:r w:rsidRPr="0081593F">
        <w:t>already use and ISO/IEC 17011</w:t>
      </w:r>
      <w:r w:rsidR="003A2B93">
        <w:t xml:space="preserve">: </w:t>
      </w:r>
      <w:r w:rsidRPr="00C606B0" w:rsidR="003A2B93">
        <w:rPr>
          <w:i/>
        </w:rPr>
        <w:t>Conformity assessment – Requirements for accreditation bodies accrediting conformity assessment bodies</w:t>
      </w:r>
      <w:r w:rsidR="003A2B93">
        <w:t xml:space="preserve"> that accreditation bodies already use</w:t>
      </w:r>
      <w:r w:rsidRPr="0081593F">
        <w:t>. These standards require annual audits, disclosures, updates, etc. Additionally,</w:t>
      </w:r>
      <w:r w:rsidR="008A28BD">
        <w:t xml:space="preserve"> section 514(d)(3)(D) of</w:t>
      </w:r>
      <w:r w:rsidRPr="0081593F">
        <w:t xml:space="preserve"> FDARA states that FDA must submit an annual report. Collecting annual status reports from the respondents enables us to provide the annual report on the progress of the pilot as required by FDARA.</w:t>
      </w:r>
    </w:p>
    <w:p w:rsidR="002444BB" w:rsidP="0081593F" w:rsidRDefault="002444BB"/>
    <w:p w:rsidR="00CD77C3" w:rsidP="00A251AE" w:rsidRDefault="00242ED1">
      <w:pPr>
        <w:ind w:left="720"/>
      </w:pPr>
      <w:r w:rsidRPr="00E4357B">
        <w:t>There are no legal obstacles to reduce the burden.</w:t>
      </w:r>
    </w:p>
    <w:p w:rsidRPr="004C6979" w:rsidR="00CD77C3" w:rsidP="00B33158" w:rsidRDefault="00EB7538">
      <w:pPr>
        <w:keepNext/>
        <w:numPr>
          <w:ilvl w:val="0"/>
          <w:numId w:val="1"/>
        </w:numPr>
        <w:spacing w:before="100" w:beforeAutospacing="1" w:after="100" w:afterAutospacing="1"/>
        <w:rPr>
          <w:u w:val="single"/>
        </w:rPr>
      </w:pPr>
      <w:r w:rsidRPr="004C6979">
        <w:rPr>
          <w:u w:val="single"/>
        </w:rPr>
        <w:t>Special Circumstances Relating to the Guidelines of 5 CFR 1320.5</w:t>
      </w:r>
    </w:p>
    <w:p w:rsidR="007B0303" w:rsidP="000E065F" w:rsidRDefault="000E065F">
      <w:pPr>
        <w:ind w:left="720"/>
      </w:pPr>
      <w:r>
        <w:t>As part of the ASCA Pilot</w:t>
      </w:r>
      <w:r w:rsidR="007550F8">
        <w:t xml:space="preserve">, </w:t>
      </w:r>
      <w:r w:rsidR="00E11060">
        <w:t>ASCA-</w:t>
      </w:r>
      <w:r w:rsidR="007550F8">
        <w:t xml:space="preserve">recognized accreditation bodies and ASCA-accredited testing </w:t>
      </w:r>
      <w:proofErr w:type="gramStart"/>
      <w:r w:rsidR="007550F8">
        <w:t xml:space="preserve">laboratories </w:t>
      </w:r>
      <w:r>
        <w:t xml:space="preserve"> agree</w:t>
      </w:r>
      <w:proofErr w:type="gramEnd"/>
      <w:r>
        <w:t xml:space="preserve"> to </w:t>
      </w:r>
      <w:r w:rsidR="007B0303">
        <w:t>notif</w:t>
      </w:r>
      <w:r>
        <w:t>y</w:t>
      </w:r>
      <w:r w:rsidR="007B0303">
        <w:t xml:space="preserve"> FDA within 5 business days of any changes that may impact </w:t>
      </w:r>
      <w:r w:rsidR="007550F8">
        <w:t>their</w:t>
      </w:r>
      <w:r w:rsidR="007B0303">
        <w:t xml:space="preserve"> participation in the program.</w:t>
      </w:r>
      <w:r>
        <w:t xml:space="preserve">  </w:t>
      </w:r>
      <w:r w:rsidR="007B0303">
        <w:t xml:space="preserve">It is important for FDA to be notified of any changes that will impact an accreditation body or testing laboratory’s participation in the ASCA Pilot. Timely notification will allow FDA to </w:t>
      </w:r>
      <w:r w:rsidR="007550F8">
        <w:t>update</w:t>
      </w:r>
      <w:r w:rsidR="007B0303">
        <w:t xml:space="preserve"> our public website. Manufacturers will use the public website to choose a</w:t>
      </w:r>
      <w:r w:rsidR="007550F8">
        <w:t>n ASCA-accredited</w:t>
      </w:r>
      <w:r w:rsidR="007B0303">
        <w:t xml:space="preserve"> testing laboratory to work with should they choose to participate in the ASCA Pilot</w:t>
      </w:r>
      <w:r>
        <w:t>,</w:t>
      </w:r>
      <w:r w:rsidR="007B0303">
        <w:t xml:space="preserve"> and testing laboratories will use the public website to choose a</w:t>
      </w:r>
      <w:r w:rsidR="00E11060">
        <w:t>n</w:t>
      </w:r>
      <w:r w:rsidR="007550F8">
        <w:t xml:space="preserve"> </w:t>
      </w:r>
      <w:r w:rsidR="00E11060">
        <w:t>ASCA-</w:t>
      </w:r>
      <w:r w:rsidR="007550F8">
        <w:t>recognized</w:t>
      </w:r>
      <w:r w:rsidR="007B0303">
        <w:t xml:space="preserve"> accreditation body to work with to obtain </w:t>
      </w:r>
      <w:r w:rsidRPr="00D441FB" w:rsidR="007B0303">
        <w:rPr>
          <w:i/>
        </w:rPr>
        <w:t xml:space="preserve">ASCA </w:t>
      </w:r>
      <w:r w:rsidR="007550F8">
        <w:rPr>
          <w:i/>
        </w:rPr>
        <w:t>A</w:t>
      </w:r>
      <w:r w:rsidRPr="00D441FB" w:rsidR="007B0303">
        <w:rPr>
          <w:i/>
        </w:rPr>
        <w:t>ccreditation</w:t>
      </w:r>
      <w:r w:rsidR="007B0303">
        <w:t xml:space="preserve">. The faster we receive notification that an AB or TL’s ability to participate </w:t>
      </w:r>
      <w:r w:rsidR="00E11060">
        <w:t xml:space="preserve">in the ASCA Pilot </w:t>
      </w:r>
      <w:r w:rsidR="007B0303">
        <w:t xml:space="preserve">may be impacted, the faster we can get this information out to the public so that manufacturers and testing laboratories </w:t>
      </w:r>
      <w:r>
        <w:t>may use their</w:t>
      </w:r>
      <w:r w:rsidR="007B0303">
        <w:t xml:space="preserve"> resources </w:t>
      </w:r>
      <w:r w:rsidR="007550F8">
        <w:t>appropriately</w:t>
      </w:r>
      <w:r w:rsidR="007B0303">
        <w:t>.</w:t>
      </w:r>
    </w:p>
    <w:p w:rsidR="007B0303" w:rsidP="008108FA" w:rsidRDefault="007B0303">
      <w:pPr>
        <w:ind w:left="720"/>
      </w:pPr>
    </w:p>
    <w:p w:rsidR="008108FA" w:rsidP="008108FA" w:rsidRDefault="008108FA">
      <w:pPr>
        <w:ind w:left="720"/>
      </w:pPr>
      <w:r>
        <w:t>There are no</w:t>
      </w:r>
      <w:r w:rsidR="007B0303">
        <w:t xml:space="preserve"> other</w:t>
      </w:r>
      <w:r>
        <w:t xml:space="preserve"> special circumstances for </w:t>
      </w:r>
      <w:r w:rsidR="00944C5C">
        <w:t>this collection of information.</w:t>
      </w:r>
    </w:p>
    <w:p w:rsidR="00CD77C3" w:rsidP="00EB7538" w:rsidRDefault="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0D5DBB" w:rsidP="000D5DBB" w:rsidRDefault="00705086">
      <w:pPr>
        <w:ind w:left="720"/>
      </w:pPr>
      <w:r w:rsidRPr="002C2FE8">
        <w:t xml:space="preserve">In accordance with 5 CFR 1320.8(d), FDA published a </w:t>
      </w:r>
      <w:proofErr w:type="gramStart"/>
      <w:r w:rsidRPr="002C2FE8">
        <w:t>60 day</w:t>
      </w:r>
      <w:proofErr w:type="gramEnd"/>
      <w:r w:rsidRPr="002C2FE8">
        <w:t xml:space="preserve"> notice for public comment in the FEDERAL REGISTER of </w:t>
      </w:r>
      <w:r w:rsidR="000526D5">
        <w:t>September 5, 2019 (</w:t>
      </w:r>
      <w:r w:rsidRPr="003F7568" w:rsidR="000526D5">
        <w:t>84 FR 46737</w:t>
      </w:r>
      <w:r w:rsidR="000526D5">
        <w:t>). We received one comment on the 60-day notice, but it was not related to the information collection or the ASCA Pilot Program.</w:t>
      </w:r>
      <w:r w:rsidR="000D5DBB">
        <w:t xml:space="preserve"> </w:t>
      </w:r>
      <w:r w:rsidRPr="00884F3D" w:rsidR="000D5DBB">
        <w:t>We also considered comments received on the draft guidance, titled “The</w:t>
      </w:r>
      <w:r w:rsidR="000D5DBB">
        <w:t xml:space="preserve"> </w:t>
      </w:r>
      <w:r w:rsidRPr="00884F3D" w:rsidR="000D5DBB">
        <w:t>Accreditation</w:t>
      </w:r>
      <w:r w:rsidR="000D5DBB">
        <w:t xml:space="preserve"> </w:t>
      </w:r>
      <w:r w:rsidRPr="00884F3D" w:rsidR="000D5DBB">
        <w:t>Scheme for Conformity Assessment</w:t>
      </w:r>
      <w:r w:rsidR="000D5DBB">
        <w:t xml:space="preserve"> </w:t>
      </w:r>
      <w:r w:rsidRPr="00884F3D" w:rsidR="000D5DBB">
        <w:t>(ASCA) Pilot Program” (see 84 FR 49741, September 23, 2019). We have made no changes to the burden estimate as a result of the comments.</w:t>
      </w:r>
      <w:r w:rsidR="000D5DBB">
        <w:t xml:space="preserve"> However, as a result of comments on the draft </w:t>
      </w:r>
      <w:r w:rsidR="000D5DBB">
        <w:lastRenderedPageBreak/>
        <w:t>guidance and for clarity, we have updated certain terminology used to describe the ASCA Pilot.</w:t>
      </w:r>
    </w:p>
    <w:p w:rsidR="000D5DBB" w:rsidP="00F207A4" w:rsidRDefault="000D5DBB">
      <w:pPr>
        <w:ind w:left="720"/>
      </w:pPr>
    </w:p>
    <w:p w:rsidR="00376D3A" w:rsidP="00376D3A" w:rsidRDefault="00376D3A">
      <w:pPr>
        <w:ind w:left="720"/>
      </w:pPr>
      <w:r>
        <w:t xml:space="preserve">FDA </w:t>
      </w:r>
      <w:r w:rsidR="00A2137E">
        <w:t xml:space="preserve">has </w:t>
      </w:r>
      <w:r>
        <w:t xml:space="preserve">developed the </w:t>
      </w:r>
      <w:r w:rsidR="00A2137E">
        <w:t xml:space="preserve">framework of the </w:t>
      </w:r>
      <w:r>
        <w:t xml:space="preserve">ASCA Pilot with the support and participation of </w:t>
      </w:r>
      <w:r w:rsidR="00A2137E">
        <w:t xml:space="preserve">stakeholders from </w:t>
      </w:r>
      <w:r>
        <w:t>industry, the conformity assessment community</w:t>
      </w:r>
      <w:r w:rsidR="00A2137E">
        <w:t>, and the National Institute of Standards and Technology (NIST)</w:t>
      </w:r>
      <w:r>
        <w:t>. The following NIST documents provide an overview of conformity assessment, which FDA considered for the design, development, and implementation of the ASCA Pilot:  NIST SP 2000-01 ABCs of Conformity Assessment (2018) and NIST SP 2000-02 Conformity Assessment Considerations for Federal Agencies (2018).</w:t>
      </w:r>
    </w:p>
    <w:p w:rsidR="00376D3A" w:rsidP="00376D3A" w:rsidRDefault="00376D3A">
      <w:pPr>
        <w:ind w:left="720"/>
      </w:pPr>
    </w:p>
    <w:p w:rsidR="00376D3A" w:rsidP="00376D3A" w:rsidRDefault="00376D3A">
      <w:pPr>
        <w:ind w:left="720"/>
      </w:pPr>
      <w:r>
        <w:t xml:space="preserve">In addition, FDA received and reviewed comments in response to its notice in the Federal Register of May 16, 2017 (82 FR 22548, </w:t>
      </w:r>
      <w:hyperlink w:history="1" r:id="rId16">
        <w:r w:rsidRPr="00C85AF7">
          <w:rPr>
            <w:rStyle w:val="Hyperlink"/>
          </w:rPr>
          <w:t>https://www.federalregister.gov/documents/2017/05/16/2017-09850/request-for-comments-on-food-and-drug-administration-accreditation-scheme-for-conformity-assessment</w:t>
        </w:r>
      </w:hyperlink>
      <w:r>
        <w:t xml:space="preserve">).  </w:t>
      </w:r>
    </w:p>
    <w:p w:rsidR="00376D3A" w:rsidP="00376D3A" w:rsidRDefault="00376D3A">
      <w:pPr>
        <w:ind w:left="720"/>
      </w:pPr>
    </w:p>
    <w:p w:rsidRPr="008F5B94" w:rsidR="002D0D12" w:rsidP="00B9120D" w:rsidRDefault="00CF3401">
      <w:pPr>
        <w:ind w:left="720"/>
        <w:rPr>
          <w:sz w:val="22"/>
          <w:szCs w:val="22"/>
        </w:rPr>
      </w:pPr>
      <w:r>
        <w:t>As required by FDARA</w:t>
      </w:r>
      <w:r w:rsidR="00376D3A">
        <w:t>,</w:t>
      </w:r>
      <w:r>
        <w:rPr>
          <w:rStyle w:val="FootnoteReference"/>
        </w:rPr>
        <w:footnoteReference w:id="9"/>
      </w:r>
      <w:r w:rsidR="00376D3A">
        <w:t xml:space="preserve"> FDA held a public workshop titled “Accreditation Scheme for Conformity Assessment of Medical Devices to Food and Drug Administration-Recognized Standards” on May 22-23, 2018 (see 83 FR 2165, January 16, 2018, </w:t>
      </w:r>
      <w:hyperlink w:history="1" r:id="rId17">
        <w:r w:rsidRPr="00C85AF7" w:rsidR="00376D3A">
          <w:rPr>
            <w:rStyle w:val="Hyperlink"/>
          </w:rPr>
          <w:t>https://www.federalregister.gov/documents/2018/01/16/2018-00551/accreditation-scheme-for-conformity-assessment-of-medical-devices-to-food-and-drug</w:t>
        </w:r>
      </w:hyperlink>
      <w:r w:rsidR="00376D3A">
        <w:t xml:space="preserve">), to discuss and obtain input and recommendations from stakeholders about the ASCA Pilot, including its goals and scope as well as a suitable framework and procedures to facilitate implementation. </w:t>
      </w:r>
      <w:r>
        <w:t>T</w:t>
      </w:r>
      <w:r w:rsidRPr="00C606B0">
        <w:t xml:space="preserve">he workshop </w:t>
      </w:r>
      <w:r>
        <w:t>is</w:t>
      </w:r>
      <w:r w:rsidRPr="00C606B0">
        <w:t xml:space="preserve"> discussed </w:t>
      </w:r>
      <w:r>
        <w:t xml:space="preserve">on </w:t>
      </w:r>
      <w:hyperlink w:history="1" r:id="rId18">
        <w:r w:rsidRPr="00A07BED">
          <w:rPr>
            <w:rStyle w:val="Hyperlink"/>
          </w:rPr>
          <w:t>FDA’s “Workshop and Conferences” website</w:t>
        </w:r>
      </w:hyperlink>
      <w:r>
        <w:t>.</w:t>
      </w:r>
      <w:r>
        <w:rPr>
          <w:rStyle w:val="FootnoteReference"/>
        </w:rPr>
        <w:footnoteReference w:id="10"/>
      </w:r>
    </w:p>
    <w:p w:rsidR="00376D3A" w:rsidP="00376D3A" w:rsidRDefault="00376D3A">
      <w:pPr>
        <w:ind w:left="720"/>
      </w:pPr>
    </w:p>
    <w:p w:rsidRPr="00376D3A" w:rsidR="00376D3A" w:rsidP="00376D3A" w:rsidRDefault="00376D3A">
      <w:pPr>
        <w:ind w:left="720"/>
      </w:pPr>
      <w:r>
        <w:t>Input from these resources guided the design of the conformity assessment scheme and selection of the standards included in the ASCA Pilot.</w:t>
      </w:r>
    </w:p>
    <w:p w:rsidRPr="004C6979" w:rsidR="00CD77C3" w:rsidP="00E00EA0" w:rsidRDefault="00EB7538">
      <w:pPr>
        <w:numPr>
          <w:ilvl w:val="0"/>
          <w:numId w:val="1"/>
        </w:numPr>
        <w:spacing w:before="100" w:beforeAutospacing="1" w:after="100" w:afterAutospacing="1"/>
        <w:rPr>
          <w:u w:val="single"/>
        </w:rPr>
      </w:pPr>
      <w:r w:rsidRPr="004C6979">
        <w:rPr>
          <w:u w:val="single"/>
        </w:rPr>
        <w:t>Explanation of Any Payment or Gift to Respondents</w:t>
      </w:r>
    </w:p>
    <w:p w:rsidR="00CD77C3" w:rsidP="00DD09F5" w:rsidRDefault="00BE035F">
      <w:pPr>
        <w:ind w:left="720"/>
      </w:pPr>
      <w:r w:rsidRPr="007C2598">
        <w:t xml:space="preserve">No payment or gift is </w:t>
      </w:r>
      <w:r>
        <w:t>provided</w:t>
      </w:r>
      <w:r w:rsidRPr="007C2598">
        <w:t xml:space="preserve"> to respondents.</w:t>
      </w:r>
    </w:p>
    <w:p w:rsidRPr="004C6979" w:rsidR="00CD77C3" w:rsidP="00F2425B" w:rsidRDefault="00EB7538">
      <w:pPr>
        <w:keepNext/>
        <w:numPr>
          <w:ilvl w:val="0"/>
          <w:numId w:val="1"/>
        </w:numPr>
        <w:spacing w:before="100" w:beforeAutospacing="1" w:after="100" w:afterAutospacing="1"/>
        <w:rPr>
          <w:u w:val="single"/>
        </w:rPr>
      </w:pPr>
      <w:r w:rsidRPr="004C6979">
        <w:rPr>
          <w:u w:val="single"/>
        </w:rPr>
        <w:t>Assurance of Confidentiality Provided to Respondents</w:t>
      </w:r>
    </w:p>
    <w:p w:rsidRPr="00483914" w:rsidR="00483914" w:rsidP="00483914" w:rsidRDefault="00483914">
      <w:pPr>
        <w:ind w:left="720"/>
      </w:pPr>
      <w:r w:rsidRPr="00483914">
        <w:t xml:space="preserve">This ICR collects personally identifiable information (PII) or information of a personal nature.  PII is collected in the context of the subject individuals’ professional capacity and the FDA-related work they perform for their employer (e.g., point of contact at a regulated entity).  The PII collected includes name, address, telephone number and email address.  </w:t>
      </w:r>
    </w:p>
    <w:p w:rsidRPr="00483914" w:rsidR="00483914" w:rsidP="00483914" w:rsidRDefault="00483914">
      <w:pPr>
        <w:ind w:left="720"/>
      </w:pPr>
    </w:p>
    <w:p w:rsidR="00483914" w:rsidP="00483914" w:rsidRDefault="00483914">
      <w:pPr>
        <w:ind w:left="720"/>
      </w:pPr>
      <w:r w:rsidRPr="00483914">
        <w:lastRenderedPageBreak/>
        <w:t xml:space="preserve">FDA further determined this collection is not subject to the Privacy Act of 1974 and the </w:t>
      </w:r>
      <w:proofErr w:type="gramStart"/>
      <w:r w:rsidRPr="00483914">
        <w:t>particular notice</w:t>
      </w:r>
      <w:proofErr w:type="gramEnd"/>
      <w:r w:rsidRPr="00483914">
        <w:t xml:space="preserve"> and other requirements of the Act do not apply.  Specifically, FDA does not use name or any other personal identifier to routinely retrieve records from the information collected. </w:t>
      </w:r>
    </w:p>
    <w:p w:rsidR="00483914" w:rsidP="00483914" w:rsidRDefault="00483914">
      <w:pPr>
        <w:ind w:left="720"/>
      </w:pPr>
    </w:p>
    <w:p w:rsidRPr="007A7D37" w:rsidR="002E53A5" w:rsidP="00483914" w:rsidRDefault="00483914">
      <w:pPr>
        <w:ind w:left="720"/>
      </w:pPr>
      <w:r w:rsidRPr="00483914">
        <w:t>In preparing this Supporting Statement, FDA staff consulted with the FDA Privacy Office to ensure appropriate handling of information collected.  FDA minimized the PII to be collected to protect the privacy of the individuals.</w:t>
      </w:r>
    </w:p>
    <w:p w:rsidR="00C16929" w:rsidP="00C16929" w:rsidRDefault="00C16929">
      <w:pPr>
        <w:ind w:left="1080"/>
      </w:pPr>
    </w:p>
    <w:p w:rsidR="00107885" w:rsidP="00DD09F5" w:rsidRDefault="002C2FE8">
      <w:pPr>
        <w:ind w:left="720"/>
      </w:pPr>
      <w:r>
        <w:t>T</w:t>
      </w:r>
      <w:r w:rsidR="00107885">
        <w:t xml:space="preserve">he project does not require </w:t>
      </w:r>
      <w:r>
        <w:t xml:space="preserve">an </w:t>
      </w:r>
      <w:r w:rsidR="00107885">
        <w:t>IRB.</w:t>
      </w:r>
    </w:p>
    <w:p w:rsidRPr="004C6979" w:rsidR="004C6979" w:rsidP="00EB7538" w:rsidRDefault="00EB7538">
      <w:pPr>
        <w:numPr>
          <w:ilvl w:val="0"/>
          <w:numId w:val="1"/>
        </w:numPr>
        <w:spacing w:before="100" w:beforeAutospacing="1" w:after="100" w:afterAutospacing="1"/>
        <w:rPr>
          <w:u w:val="single"/>
        </w:rPr>
      </w:pPr>
      <w:r w:rsidRPr="004C6979">
        <w:rPr>
          <w:u w:val="single"/>
        </w:rPr>
        <w:t>Justification for Sensitive Questions</w:t>
      </w:r>
    </w:p>
    <w:p w:rsidR="002C2FE8" w:rsidP="002C2FE8" w:rsidRDefault="002C2FE8">
      <w:pPr>
        <w:ind w:left="720"/>
      </w:pPr>
      <w:r>
        <w:t>The information collection does not include</w:t>
      </w:r>
      <w:r w:rsidR="004C6979">
        <w:t xml:space="preserve"> questions that are of a sensitive nature, such as, sexual behavior and attitudes, religious beliefs, and other matters that are commonly considered private.</w:t>
      </w:r>
    </w:p>
    <w:p w:rsidRPr="004C6979" w:rsidR="004C6979" w:rsidP="00EB7538" w:rsidRDefault="00EB7538">
      <w:pPr>
        <w:numPr>
          <w:ilvl w:val="0"/>
          <w:numId w:val="1"/>
        </w:numPr>
        <w:spacing w:before="100" w:beforeAutospacing="1" w:after="100" w:afterAutospacing="1"/>
        <w:rPr>
          <w:u w:val="single"/>
        </w:rPr>
      </w:pPr>
      <w:r w:rsidRPr="004C6979">
        <w:rPr>
          <w:u w:val="single"/>
        </w:rPr>
        <w:t>Estimates of Annualized Burden Hours and Costs</w:t>
      </w:r>
    </w:p>
    <w:p w:rsidR="004C6979" w:rsidP="00AC6A99" w:rsidRDefault="008B0E29">
      <w:pPr>
        <w:ind w:left="720"/>
      </w:pPr>
      <w:r>
        <w:rPr>
          <w:u w:val="single"/>
        </w:rPr>
        <w:t xml:space="preserve">12a. </w:t>
      </w:r>
      <w:r w:rsidR="00411D11">
        <w:rPr>
          <w:u w:val="single"/>
        </w:rPr>
        <w:t xml:space="preserve">Annualized </w:t>
      </w:r>
      <w:r w:rsidR="004C6979">
        <w:rPr>
          <w:u w:val="single"/>
        </w:rPr>
        <w:t>Hour Burden Estimate</w:t>
      </w:r>
    </w:p>
    <w:p w:rsidR="004C6979" w:rsidP="004C6979" w:rsidRDefault="004C6979"/>
    <w:p w:rsidRPr="00012389" w:rsidR="003E3FE2" w:rsidP="003E3FE2" w:rsidRDefault="003E3FE2">
      <w:pPr>
        <w:ind w:left="720"/>
        <w:contextualSpacing/>
      </w:pPr>
      <w:bookmarkStart w:name="_Hlk529455491" w:id="2"/>
      <w:r w:rsidRPr="00012389">
        <w:t xml:space="preserve">Under the ASCA Pilot’s conformity assessment scheme, </w:t>
      </w:r>
      <w:r w:rsidR="002D0D12">
        <w:t>ASCA-</w:t>
      </w:r>
      <w:r w:rsidRPr="00012389">
        <w:t xml:space="preserve">recognized accreditation bodies </w:t>
      </w:r>
      <w:r w:rsidR="001128A6">
        <w:t>accredit</w:t>
      </w:r>
      <w:r w:rsidRPr="00012389">
        <w:t xml:space="preserve"> testing laboratories </w:t>
      </w:r>
      <w:r w:rsidR="002D0D12">
        <w:t xml:space="preserve">using </w:t>
      </w:r>
      <w:r w:rsidRPr="00012389">
        <w:t xml:space="preserve">ISO/IEC 17025:2017: </w:t>
      </w:r>
      <w:r w:rsidRPr="00012389">
        <w:rPr>
          <w:i/>
        </w:rPr>
        <w:t>General requirements for the competence of testing and calibration laboratories</w:t>
      </w:r>
      <w:r w:rsidRPr="002D0D12" w:rsidR="002D0D12">
        <w:t xml:space="preserve"> </w:t>
      </w:r>
      <w:r w:rsidR="002D0D12">
        <w:t>and the</w:t>
      </w:r>
      <w:r w:rsidRPr="00012389" w:rsidR="002D0D12">
        <w:t xml:space="preserve"> ASCA program specifications associated with each </w:t>
      </w:r>
      <w:r w:rsidR="002D0D12">
        <w:t>FDA-recognized consensus standard and test method included in the ASCA Pilot</w:t>
      </w:r>
      <w:r w:rsidRPr="00012389">
        <w:t xml:space="preserve">. </w:t>
      </w:r>
      <w:bookmarkStart w:name="_Hlk4358295" w:id="3"/>
      <w:r w:rsidRPr="00012389">
        <w:t>ASCA-accredited t</w:t>
      </w:r>
      <w:bookmarkEnd w:id="2"/>
      <w:r w:rsidRPr="00012389">
        <w:t>esting laboratories may</w:t>
      </w:r>
      <w:r>
        <w:t xml:space="preserve"> </w:t>
      </w:r>
      <w:r w:rsidRPr="00012389">
        <w:t>conduct testing to</w:t>
      </w:r>
      <w:r w:rsidR="002D0D12">
        <w:t xml:space="preserve"> provide data used to</w:t>
      </w:r>
      <w:r w:rsidRPr="00012389">
        <w:t xml:space="preserve"> determine conformance of a device with one </w:t>
      </w:r>
      <w:r w:rsidR="002D0D12">
        <w:t xml:space="preserve">or more </w:t>
      </w:r>
      <w:r w:rsidRPr="00012389">
        <w:t xml:space="preserve">of the </w:t>
      </w:r>
      <w:r w:rsidR="002D0D12">
        <w:t xml:space="preserve">FDA-recognized consensus </w:t>
      </w:r>
      <w:r w:rsidRPr="00012389">
        <w:t>standards</w:t>
      </w:r>
      <w:r w:rsidR="00D57F60">
        <w:t xml:space="preserve"> and test methods</w:t>
      </w:r>
      <w:r w:rsidRPr="00012389">
        <w:t xml:space="preserve"> eligible for inclusion in the ASCA Pilot.</w:t>
      </w:r>
      <w:r w:rsidR="001701C6">
        <w:t xml:space="preserve"> When an ASCA-accredited testing laboratory conducts testing</w:t>
      </w:r>
      <w:r w:rsidR="000D5DBB">
        <w:t xml:space="preserve"> under the ASCA Pilot</w:t>
      </w:r>
      <w:r w:rsidR="001701C6">
        <w:t>, it provide</w:t>
      </w:r>
      <w:r w:rsidR="000D5DBB">
        <w:t xml:space="preserve">s </w:t>
      </w:r>
      <w:r w:rsidR="001701C6">
        <w:t>to the device manufacturer</w:t>
      </w:r>
      <w:r w:rsidR="00D57F60">
        <w:t xml:space="preserve"> all information listed in the relevant ASCA program specifications, which includes an ASCA summary test report</w:t>
      </w:r>
      <w:r w:rsidR="001701C6">
        <w:t>.</w:t>
      </w:r>
      <w:r w:rsidR="00F770E4">
        <w:t xml:space="preserve">  Device manufacturers may choose to use a</w:t>
      </w:r>
      <w:r w:rsidR="00D57F60">
        <w:t>n ASCA-accredited</w:t>
      </w:r>
      <w:r w:rsidR="00F770E4">
        <w:t xml:space="preserve"> testing laboratory to conduct testing for premarket submissions to FDA.</w:t>
      </w:r>
      <w:r w:rsidRPr="00012389">
        <w:t xml:space="preserve"> A device manufacturer </w:t>
      </w:r>
      <w:r w:rsidR="00D57F60">
        <w:t>that</w:t>
      </w:r>
      <w:r w:rsidRPr="00012389">
        <w:t xml:space="preserve"> </w:t>
      </w:r>
      <w:r w:rsidR="00F770E4">
        <w:t>uses</w:t>
      </w:r>
      <w:r w:rsidRPr="00012389" w:rsidR="00F770E4">
        <w:t xml:space="preserve"> </w:t>
      </w:r>
      <w:r w:rsidRPr="00012389">
        <w:t xml:space="preserve">an ASCA-accredited testing laboratory </w:t>
      </w:r>
      <w:r w:rsidR="009272D5">
        <w:t xml:space="preserve">to perform testing in accordance with the provisions of the ASCA Pilot </w:t>
      </w:r>
      <w:r w:rsidRPr="00012389">
        <w:t>then include</w:t>
      </w:r>
      <w:r w:rsidR="00F770E4">
        <w:t>s</w:t>
      </w:r>
      <w:r w:rsidR="009272D5">
        <w:t xml:space="preserve"> a declaration of conformity</w:t>
      </w:r>
      <w:r w:rsidR="00F770E4">
        <w:t xml:space="preserve"> (DOC)</w:t>
      </w:r>
      <w:r w:rsidR="009272D5">
        <w:t xml:space="preserve"> with </w:t>
      </w:r>
      <w:r w:rsidR="00D57F60">
        <w:t xml:space="preserve">any necessary </w:t>
      </w:r>
      <w:r w:rsidR="009272D5">
        <w:t>supplemental documentation (</w:t>
      </w:r>
      <w:r w:rsidR="00F770E4">
        <w:t>e.g.,</w:t>
      </w:r>
      <w:r w:rsidRPr="00012389">
        <w:t xml:space="preserve"> </w:t>
      </w:r>
      <w:r w:rsidR="00D57F60">
        <w:t xml:space="preserve">ASCA </w:t>
      </w:r>
      <w:r w:rsidRPr="00012389">
        <w:t>summary test report</w:t>
      </w:r>
      <w:r w:rsidR="009272D5">
        <w:t>) as part of</w:t>
      </w:r>
      <w:r w:rsidRPr="00012389">
        <w:t xml:space="preserve"> a premarket submission </w:t>
      </w:r>
      <w:r w:rsidR="009272D5">
        <w:t>to</w:t>
      </w:r>
      <w:r w:rsidRPr="00012389" w:rsidR="009272D5">
        <w:t xml:space="preserve"> </w:t>
      </w:r>
      <w:r w:rsidRPr="00012389">
        <w:t>FDA.</w:t>
      </w:r>
      <w:r w:rsidR="002851AB">
        <w:rPr>
          <w:rStyle w:val="FootnoteReference"/>
        </w:rPr>
        <w:footnoteReference w:id="11"/>
      </w:r>
      <w:r w:rsidR="009272D5">
        <w:t xml:space="preserve"> Testing performed by an ASCA-accredited testing laboratory can be used to support a premarket submission for any device if the testing was conducted using a</w:t>
      </w:r>
      <w:r w:rsidR="00D57F60">
        <w:t>n FDA-recognized consensus</w:t>
      </w:r>
      <w:r w:rsidR="009272D5">
        <w:t xml:space="preserve"> standard</w:t>
      </w:r>
      <w:r w:rsidR="00D57F60">
        <w:t xml:space="preserve"> and test method</w:t>
      </w:r>
      <w:r w:rsidR="009272D5">
        <w:t xml:space="preserve"> eligible for inclusion in the ASCA Pilot and in accordance with the ASCA Pilot specifications for that standard.</w:t>
      </w:r>
      <w:r w:rsidRPr="00012389">
        <w:t xml:space="preserve">  </w:t>
      </w:r>
    </w:p>
    <w:bookmarkEnd w:id="3"/>
    <w:p w:rsidR="003E3FE2" w:rsidP="003E3FE2" w:rsidRDefault="003E3FE2">
      <w:pPr>
        <w:ind w:left="720"/>
        <w:contextualSpacing/>
      </w:pPr>
    </w:p>
    <w:p w:rsidRPr="00012389" w:rsidR="003E3FE2" w:rsidP="003E3FE2" w:rsidRDefault="003E3FE2">
      <w:pPr>
        <w:ind w:left="720"/>
        <w:contextualSpacing/>
      </w:pPr>
      <w:r w:rsidRPr="00012389">
        <w:lastRenderedPageBreak/>
        <w:t>To participate in the ASCA Pilot, accreditation bodies apply to FDA</w:t>
      </w:r>
      <w:r w:rsidR="00F770E4">
        <w:t xml:space="preserve"> for </w:t>
      </w:r>
      <w:r w:rsidR="00D57F60">
        <w:rPr>
          <w:i/>
        </w:rPr>
        <w:t>ASCA Recognition</w:t>
      </w:r>
      <w:r w:rsidR="00F770E4">
        <w:t>. An application includes</w:t>
      </w:r>
      <w:r w:rsidRPr="00012389">
        <w:t xml:space="preserve"> demonstrat</w:t>
      </w:r>
      <w:r w:rsidR="00F770E4">
        <w:t>ion</w:t>
      </w:r>
      <w:r w:rsidRPr="00012389">
        <w:t xml:space="preserve"> that they have the qualifications for </w:t>
      </w:r>
      <w:r w:rsidR="00D57F60">
        <w:rPr>
          <w:i/>
        </w:rPr>
        <w:t>ASCA Recognition</w:t>
      </w:r>
      <w:r w:rsidR="00C02EFC">
        <w:t xml:space="preserve"> and</w:t>
      </w:r>
      <w:r w:rsidRPr="00012389">
        <w:t xml:space="preserve"> agreement to terms of participation. For example, a</w:t>
      </w:r>
      <w:r w:rsidR="00D57F60">
        <w:t>n</w:t>
      </w:r>
      <w:r w:rsidRPr="00012389">
        <w:t xml:space="preserve"> </w:t>
      </w:r>
      <w:r w:rsidR="00D57F60">
        <w:t>ASCA-</w:t>
      </w:r>
      <w:r w:rsidR="00C02EFC">
        <w:t>recognized</w:t>
      </w:r>
      <w:r w:rsidRPr="00012389" w:rsidR="00C02EFC">
        <w:t xml:space="preserve"> </w:t>
      </w:r>
      <w:r w:rsidRPr="00012389">
        <w:t xml:space="preserve">accreditation body agrees to attend training, regularly communicate with FDA, and support periodic FDA audits. </w:t>
      </w:r>
      <w:bookmarkStart w:name="_Hlk532457935" w:id="4"/>
      <w:r w:rsidR="00C02EFC">
        <w:t xml:space="preserve">When FDA grants </w:t>
      </w:r>
      <w:r w:rsidRPr="00C7753F" w:rsidR="00C666A5">
        <w:rPr>
          <w:i/>
        </w:rPr>
        <w:t>ASCA R</w:t>
      </w:r>
      <w:r w:rsidRPr="00C7753F" w:rsidR="00C02EFC">
        <w:rPr>
          <w:i/>
        </w:rPr>
        <w:t>ecognition</w:t>
      </w:r>
      <w:r w:rsidR="00C02EFC">
        <w:t>, we</w:t>
      </w:r>
      <w:r w:rsidR="009272D5">
        <w:t xml:space="preserve"> will identify</w:t>
      </w:r>
      <w:r w:rsidRPr="00012389">
        <w:t xml:space="preserve"> the </w:t>
      </w:r>
      <w:r w:rsidRPr="00F93D63">
        <w:t>scope</w:t>
      </w:r>
      <w:r w:rsidRPr="00012389">
        <w:t xml:space="preserve"> of specific standards and test methods to which </w:t>
      </w:r>
      <w:r w:rsidR="00C02EFC">
        <w:t>the accreditation body</w:t>
      </w:r>
      <w:r w:rsidRPr="00012389">
        <w:t xml:space="preserve"> may accredit test</w:t>
      </w:r>
      <w:r w:rsidR="00C02EFC">
        <w:t>ing laboratories</w:t>
      </w:r>
      <w:r w:rsidRPr="00012389">
        <w:t xml:space="preserve"> </w:t>
      </w:r>
      <w:r w:rsidR="009272D5">
        <w:t>as part of</w:t>
      </w:r>
      <w:r w:rsidRPr="00012389" w:rsidR="009272D5">
        <w:t xml:space="preserve"> </w:t>
      </w:r>
      <w:r w:rsidRPr="00012389">
        <w:t>the ASCA Pilot</w:t>
      </w:r>
      <w:bookmarkEnd w:id="4"/>
      <w:r w:rsidRPr="00012389">
        <w:t>.</w:t>
      </w:r>
    </w:p>
    <w:p w:rsidR="003E3FE2" w:rsidP="003E3FE2" w:rsidRDefault="003E3FE2">
      <w:pPr>
        <w:ind w:left="720"/>
        <w:contextualSpacing/>
      </w:pPr>
    </w:p>
    <w:p w:rsidR="00C02EFC" w:rsidP="003E3FE2" w:rsidRDefault="00C02EFC">
      <w:pPr>
        <w:ind w:left="720"/>
        <w:contextualSpacing/>
      </w:pPr>
      <w:r w:rsidRPr="00C02EFC">
        <w:t xml:space="preserve">To participate in the ASCA Pilot, testing laboratories apply to FDA for </w:t>
      </w:r>
      <w:r w:rsidRPr="00D441FB">
        <w:rPr>
          <w:i/>
        </w:rPr>
        <w:t>ASCA Accreditation</w:t>
      </w:r>
      <w:r w:rsidRPr="00C02EFC">
        <w:t xml:space="preserve">. An application includes demonstration that they have the qualifications for </w:t>
      </w:r>
      <w:r w:rsidRPr="00D441FB">
        <w:rPr>
          <w:i/>
        </w:rPr>
        <w:t>ASCA Accreditation</w:t>
      </w:r>
      <w:r w:rsidRPr="00C02EFC">
        <w:t xml:space="preserve"> and agreement to terms of participation. For example, an ASCA-accredited testing laboratory agrees to attend training, regularly communicate with FDA, and support periodic FDA audits. When FDA grants </w:t>
      </w:r>
      <w:r w:rsidRPr="00D441FB">
        <w:rPr>
          <w:i/>
        </w:rPr>
        <w:t>ASCA Accreditation</w:t>
      </w:r>
      <w:r w:rsidRPr="00C02EFC">
        <w:t xml:space="preserve">, we will identify the scope of </w:t>
      </w:r>
      <w:r w:rsidRPr="00D441FB">
        <w:rPr>
          <w:i/>
        </w:rPr>
        <w:t>ASCA Accreditation</w:t>
      </w:r>
      <w:r w:rsidRPr="00C02EFC">
        <w:t xml:space="preserve"> of specific standard and test methods to which the testing laboratory may conduct testing as part of the ASCA Pilot.</w:t>
      </w:r>
    </w:p>
    <w:p w:rsidR="00C02EFC" w:rsidP="003E3FE2" w:rsidRDefault="00C02EFC">
      <w:pPr>
        <w:ind w:left="720"/>
        <w:contextualSpacing/>
      </w:pPr>
    </w:p>
    <w:p w:rsidRPr="00012389" w:rsidR="003E3FE2" w:rsidP="003E3FE2" w:rsidRDefault="00AD3702">
      <w:pPr>
        <w:ind w:left="720"/>
        <w:contextualSpacing/>
      </w:pPr>
      <w:r>
        <w:t>During the ASCA Pilot</w:t>
      </w:r>
      <w:r w:rsidRPr="00C606B0">
        <w:t>, FDA</w:t>
      </w:r>
      <w:r>
        <w:t xml:space="preserve"> generally</w:t>
      </w:r>
      <w:r w:rsidRPr="00C606B0">
        <w:t xml:space="preserve"> intends to rely on the results from ASCA-accredited testing laboratories for the purpose of premarket review without the need for additional information related to conformance with a standard. In addition, FDA does not intend to question the validity of </w:t>
      </w:r>
      <w:r>
        <w:t xml:space="preserve">test methods within a </w:t>
      </w:r>
      <w:r w:rsidRPr="00C606B0">
        <w:t>testing laborator</w:t>
      </w:r>
      <w:r>
        <w:t xml:space="preserve">y’s scope of </w:t>
      </w:r>
      <w:r>
        <w:rPr>
          <w:i/>
        </w:rPr>
        <w:t xml:space="preserve">ASCA Accreditation </w:t>
      </w:r>
      <w:r w:rsidRPr="00C606B0">
        <w:t>except</w:t>
      </w:r>
      <w:r>
        <w:t xml:space="preserve"> in certain circumstances</w:t>
      </w:r>
    </w:p>
    <w:p w:rsidR="003E3FE2" w:rsidP="003E3FE2" w:rsidRDefault="003E3FE2">
      <w:pPr>
        <w:ind w:left="720"/>
        <w:contextualSpacing/>
      </w:pPr>
    </w:p>
    <w:p w:rsidR="003E3FE2" w:rsidP="003E3FE2" w:rsidRDefault="003E3FE2">
      <w:pPr>
        <w:ind w:left="720"/>
        <w:contextualSpacing/>
      </w:pPr>
      <w:r w:rsidRPr="004D0878">
        <w:t xml:space="preserve">Note that </w:t>
      </w:r>
      <w:r w:rsidRPr="00D441FB">
        <w:rPr>
          <w:i/>
        </w:rPr>
        <w:t>ASCA Accreditation</w:t>
      </w:r>
      <w:r w:rsidRPr="004D0878">
        <w:t xml:space="preserve"> is separate from any accreditation that an accreditation body may provide to a testing laboratory for purposes other than the ASCA Pilot. </w:t>
      </w:r>
    </w:p>
    <w:p w:rsidRPr="004D0878" w:rsidR="000526D5" w:rsidP="003E3FE2" w:rsidRDefault="000526D5">
      <w:pPr>
        <w:ind w:left="720"/>
        <w:contextualSpacing/>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1"/>
        <w:gridCol w:w="1672"/>
        <w:gridCol w:w="1565"/>
        <w:gridCol w:w="1423"/>
        <w:gridCol w:w="1549"/>
        <w:gridCol w:w="1396"/>
      </w:tblGrid>
      <w:tr w:rsidRPr="00F93D63" w:rsidR="00F93D63" w:rsidTr="00CB4F6E">
        <w:trPr>
          <w:cantSplit/>
          <w:trHeight w:val="20"/>
          <w:jc w:val="center"/>
        </w:trPr>
        <w:tc>
          <w:tcPr>
            <w:tcW w:w="5000" w:type="pct"/>
            <w:gridSpan w:val="6"/>
            <w:tcBorders>
              <w:top w:val="nil"/>
              <w:left w:val="nil"/>
              <w:right w:val="nil"/>
            </w:tcBorders>
            <w:shd w:val="clear" w:color="auto" w:fill="auto"/>
          </w:tcPr>
          <w:p w:rsidRPr="00F93D63" w:rsidR="00F93D63" w:rsidP="00F93D63" w:rsidRDefault="00F93D63">
            <w:pPr>
              <w:keepNext/>
              <w:jc w:val="center"/>
              <w:rPr>
                <w:sz w:val="20"/>
                <w:szCs w:val="20"/>
              </w:rPr>
            </w:pPr>
            <w:r w:rsidRPr="00F93D63">
              <w:rPr>
                <w:sz w:val="20"/>
                <w:szCs w:val="20"/>
              </w:rPr>
              <w:lastRenderedPageBreak/>
              <w:t xml:space="preserve">Table </w:t>
            </w:r>
            <w:proofErr w:type="gramStart"/>
            <w:r w:rsidRPr="00F93D63">
              <w:rPr>
                <w:sz w:val="20"/>
                <w:szCs w:val="20"/>
              </w:rPr>
              <w:t>1.--</w:t>
            </w:r>
            <w:proofErr w:type="gramEnd"/>
            <w:r w:rsidRPr="00F93D63">
              <w:rPr>
                <w:sz w:val="20"/>
                <w:szCs w:val="20"/>
              </w:rPr>
              <w:t>Estimated Annual Reporting Burden</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jc w:val="center"/>
              <w:rPr>
                <w:sz w:val="20"/>
                <w:szCs w:val="20"/>
              </w:rPr>
            </w:pPr>
            <w:r w:rsidRPr="00F93D63">
              <w:rPr>
                <w:sz w:val="20"/>
                <w:szCs w:val="20"/>
              </w:rPr>
              <w:t>Activity</w:t>
            </w:r>
          </w:p>
        </w:tc>
        <w:tc>
          <w:tcPr>
            <w:tcW w:w="873" w:type="pct"/>
            <w:shd w:val="clear" w:color="auto" w:fill="auto"/>
          </w:tcPr>
          <w:p w:rsidRPr="00F93D63" w:rsidR="00F93D63" w:rsidP="00F93D63" w:rsidRDefault="00F93D63">
            <w:pPr>
              <w:keepNext/>
              <w:jc w:val="center"/>
              <w:rPr>
                <w:sz w:val="20"/>
                <w:szCs w:val="20"/>
              </w:rPr>
            </w:pPr>
            <w:r w:rsidRPr="00F93D63">
              <w:rPr>
                <w:sz w:val="20"/>
                <w:szCs w:val="20"/>
              </w:rPr>
              <w:t>No. of Respondents</w:t>
            </w:r>
          </w:p>
        </w:tc>
        <w:tc>
          <w:tcPr>
            <w:tcW w:w="817" w:type="pct"/>
            <w:shd w:val="clear" w:color="auto" w:fill="auto"/>
          </w:tcPr>
          <w:p w:rsidRPr="00F93D63" w:rsidR="00F93D63" w:rsidP="00F93D63" w:rsidRDefault="00F93D63">
            <w:pPr>
              <w:keepNext/>
              <w:jc w:val="center"/>
              <w:rPr>
                <w:sz w:val="20"/>
                <w:szCs w:val="20"/>
              </w:rPr>
            </w:pPr>
            <w:r w:rsidRPr="00F93D63">
              <w:rPr>
                <w:bCs/>
                <w:sz w:val="20"/>
                <w:szCs w:val="20"/>
              </w:rPr>
              <w:t>No. of Responses per Respondent</w:t>
            </w:r>
          </w:p>
        </w:tc>
        <w:tc>
          <w:tcPr>
            <w:tcW w:w="743" w:type="pct"/>
            <w:shd w:val="clear" w:color="auto" w:fill="auto"/>
          </w:tcPr>
          <w:p w:rsidRPr="00F93D63" w:rsidR="00F93D63" w:rsidP="00F93D63" w:rsidRDefault="00F93D63">
            <w:pPr>
              <w:keepNext/>
              <w:jc w:val="center"/>
              <w:rPr>
                <w:sz w:val="20"/>
                <w:szCs w:val="20"/>
              </w:rPr>
            </w:pPr>
            <w:r w:rsidRPr="00F93D63">
              <w:rPr>
                <w:sz w:val="20"/>
                <w:szCs w:val="20"/>
              </w:rPr>
              <w:t>Total Annual Responses</w:t>
            </w:r>
          </w:p>
        </w:tc>
        <w:tc>
          <w:tcPr>
            <w:tcW w:w="809" w:type="pct"/>
            <w:shd w:val="clear" w:color="auto" w:fill="auto"/>
          </w:tcPr>
          <w:p w:rsidRPr="00F93D63" w:rsidR="00F93D63" w:rsidP="00F93D63" w:rsidRDefault="00F93D63">
            <w:pPr>
              <w:keepNext/>
              <w:jc w:val="center"/>
              <w:rPr>
                <w:sz w:val="20"/>
                <w:szCs w:val="20"/>
              </w:rPr>
            </w:pPr>
            <w:r w:rsidRPr="00F93D63">
              <w:rPr>
                <w:bCs/>
                <w:sz w:val="20"/>
                <w:szCs w:val="20"/>
              </w:rPr>
              <w:t>Average Burden per Response</w:t>
            </w:r>
          </w:p>
        </w:tc>
        <w:tc>
          <w:tcPr>
            <w:tcW w:w="729" w:type="pct"/>
            <w:shd w:val="clear" w:color="auto" w:fill="auto"/>
          </w:tcPr>
          <w:p w:rsidRPr="00F93D63" w:rsidR="00F93D63" w:rsidP="00F93D63" w:rsidRDefault="00F93D63">
            <w:pPr>
              <w:keepNext/>
              <w:jc w:val="center"/>
              <w:rPr>
                <w:sz w:val="20"/>
                <w:szCs w:val="20"/>
              </w:rPr>
            </w:pPr>
            <w:r w:rsidRPr="00F93D63">
              <w:rPr>
                <w:sz w:val="20"/>
                <w:szCs w:val="20"/>
              </w:rPr>
              <w:t>Total Hours</w:t>
            </w:r>
            <w:r w:rsidRPr="00DC5E47" w:rsidR="00DC5E47">
              <w:rPr>
                <w:sz w:val="20"/>
                <w:szCs w:val="20"/>
                <w:vertAlign w:val="superscript"/>
              </w:rPr>
              <w:t>1</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bookmarkStart w:name="_Hlk533692454" w:id="5"/>
            <w:r w:rsidRPr="00F93D63">
              <w:rPr>
                <w:sz w:val="20"/>
                <w:szCs w:val="20"/>
              </w:rPr>
              <w:t xml:space="preserve">Application by AB for </w:t>
            </w:r>
            <w:r w:rsidRPr="00F0193C">
              <w:rPr>
                <w:i/>
                <w:sz w:val="20"/>
                <w:szCs w:val="20"/>
              </w:rPr>
              <w:t xml:space="preserve">ASCA </w:t>
            </w:r>
            <w:r w:rsidR="006D5CCE">
              <w:rPr>
                <w:i/>
                <w:sz w:val="20"/>
                <w:szCs w:val="20"/>
              </w:rPr>
              <w:t>R</w:t>
            </w:r>
            <w:r w:rsidRPr="00F0193C">
              <w:rPr>
                <w:i/>
                <w:sz w:val="20"/>
                <w:szCs w:val="20"/>
              </w:rPr>
              <w:t>ecognition</w:t>
            </w:r>
            <w:bookmarkEnd w:id="5"/>
          </w:p>
        </w:tc>
        <w:tc>
          <w:tcPr>
            <w:tcW w:w="873" w:type="pct"/>
            <w:shd w:val="clear" w:color="auto" w:fill="auto"/>
          </w:tcPr>
          <w:p w:rsidRPr="00F93D63" w:rsidR="00F93D63" w:rsidP="00F93D63" w:rsidRDefault="00CA35D8">
            <w:pPr>
              <w:keepNext/>
              <w:jc w:val="right"/>
              <w:rPr>
                <w:sz w:val="20"/>
                <w:szCs w:val="20"/>
              </w:rPr>
            </w:pPr>
            <w:r>
              <w:rPr>
                <w:sz w:val="20"/>
                <w:szCs w:val="20"/>
              </w:rPr>
              <w:t>8</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CA35D8">
            <w:pPr>
              <w:keepNext/>
              <w:jc w:val="right"/>
              <w:rPr>
                <w:sz w:val="20"/>
                <w:szCs w:val="20"/>
              </w:rPr>
            </w:pPr>
            <w:r>
              <w:rPr>
                <w:sz w:val="20"/>
                <w:szCs w:val="20"/>
              </w:rPr>
              <w:t>8</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6</w:t>
            </w:r>
          </w:p>
        </w:tc>
        <w:tc>
          <w:tcPr>
            <w:tcW w:w="729" w:type="pct"/>
            <w:shd w:val="clear" w:color="auto" w:fill="auto"/>
          </w:tcPr>
          <w:p w:rsidRPr="00F93D63" w:rsidR="00F93D63" w:rsidP="00F93D63" w:rsidRDefault="00CA35D8">
            <w:pPr>
              <w:keepNext/>
              <w:jc w:val="right"/>
              <w:rPr>
                <w:sz w:val="20"/>
                <w:szCs w:val="20"/>
              </w:rPr>
            </w:pPr>
            <w:r>
              <w:rPr>
                <w:sz w:val="20"/>
                <w:szCs w:val="20"/>
              </w:rPr>
              <w:t>48</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bookmarkStart w:name="_Hlk533682453" w:id="6"/>
            <w:r w:rsidRPr="00F93D63">
              <w:rPr>
                <w:sz w:val="20"/>
                <w:szCs w:val="20"/>
              </w:rPr>
              <w:t xml:space="preserve">Request by AB to continue </w:t>
            </w:r>
            <w:bookmarkEnd w:id="6"/>
            <w:r w:rsidR="006D5CCE">
              <w:rPr>
                <w:i/>
                <w:sz w:val="20"/>
                <w:szCs w:val="20"/>
              </w:rPr>
              <w:t>ASCA Recognition</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1</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1</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6</w:t>
            </w:r>
          </w:p>
        </w:tc>
        <w:tc>
          <w:tcPr>
            <w:tcW w:w="729" w:type="pct"/>
            <w:shd w:val="clear" w:color="auto" w:fill="auto"/>
          </w:tcPr>
          <w:p w:rsidRPr="00F93D63" w:rsidR="00F93D63" w:rsidP="00F93D63" w:rsidRDefault="00DC5E47">
            <w:pPr>
              <w:keepNext/>
              <w:jc w:val="right"/>
              <w:rPr>
                <w:sz w:val="20"/>
                <w:szCs w:val="20"/>
              </w:rPr>
            </w:pPr>
            <w:r>
              <w:rPr>
                <w:sz w:val="20"/>
                <w:szCs w:val="20"/>
              </w:rPr>
              <w:t>6</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r w:rsidRPr="00F93D63">
              <w:rPr>
                <w:sz w:val="20"/>
                <w:szCs w:val="20"/>
              </w:rPr>
              <w:t xml:space="preserve">Request by AB </w:t>
            </w:r>
            <w:r w:rsidR="00C02EFC">
              <w:rPr>
                <w:sz w:val="20"/>
                <w:szCs w:val="20"/>
              </w:rPr>
              <w:t xml:space="preserve">for </w:t>
            </w:r>
            <w:r w:rsidR="006D5CCE">
              <w:rPr>
                <w:i/>
                <w:sz w:val="20"/>
                <w:szCs w:val="20"/>
              </w:rPr>
              <w:t xml:space="preserve">ASCA Recognition </w:t>
            </w:r>
            <w:r w:rsidRPr="00F93D63">
              <w:rPr>
                <w:sz w:val="20"/>
                <w:szCs w:val="20"/>
              </w:rPr>
              <w:t>(subsequent to withdrawal)</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1</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1</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6</w:t>
            </w:r>
          </w:p>
        </w:tc>
        <w:tc>
          <w:tcPr>
            <w:tcW w:w="729" w:type="pct"/>
            <w:shd w:val="clear" w:color="auto" w:fill="auto"/>
          </w:tcPr>
          <w:p w:rsidRPr="00F93D63" w:rsidR="00F93D63" w:rsidP="00F93D63" w:rsidRDefault="00DC5E47">
            <w:pPr>
              <w:keepNext/>
              <w:jc w:val="right"/>
              <w:rPr>
                <w:sz w:val="20"/>
                <w:szCs w:val="20"/>
              </w:rPr>
            </w:pPr>
            <w:r>
              <w:rPr>
                <w:sz w:val="20"/>
                <w:szCs w:val="20"/>
              </w:rPr>
              <w:t>6</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bookmarkStart w:name="_Hlk533683296" w:id="7"/>
            <w:r w:rsidRPr="00F93D63">
              <w:rPr>
                <w:sz w:val="20"/>
                <w:szCs w:val="20"/>
              </w:rPr>
              <w:t xml:space="preserve">Request by AB to expand scope of </w:t>
            </w:r>
            <w:bookmarkEnd w:id="7"/>
            <w:r w:rsidR="006D5CCE">
              <w:rPr>
                <w:i/>
                <w:sz w:val="20"/>
                <w:szCs w:val="20"/>
              </w:rPr>
              <w:t>ASCA Recognition</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1</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1</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6</w:t>
            </w:r>
          </w:p>
        </w:tc>
        <w:tc>
          <w:tcPr>
            <w:tcW w:w="729" w:type="pct"/>
            <w:shd w:val="clear" w:color="auto" w:fill="auto"/>
          </w:tcPr>
          <w:p w:rsidRPr="00F93D63" w:rsidR="00F93D63" w:rsidP="00F93D63" w:rsidRDefault="00DC5E47">
            <w:pPr>
              <w:keepNext/>
              <w:jc w:val="right"/>
              <w:rPr>
                <w:sz w:val="20"/>
                <w:szCs w:val="20"/>
              </w:rPr>
            </w:pPr>
            <w:r>
              <w:rPr>
                <w:sz w:val="20"/>
                <w:szCs w:val="20"/>
              </w:rPr>
              <w:t>6</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bookmarkStart w:name="_Hlk533683509" w:id="8"/>
            <w:bookmarkStart w:name="_Hlk533683948" w:id="9"/>
            <w:r w:rsidRPr="00F93D63">
              <w:rPr>
                <w:sz w:val="20"/>
                <w:szCs w:val="20"/>
              </w:rPr>
              <w:t>AB annual status report</w:t>
            </w:r>
            <w:bookmarkEnd w:id="8"/>
            <w:bookmarkEnd w:id="9"/>
          </w:p>
        </w:tc>
        <w:tc>
          <w:tcPr>
            <w:tcW w:w="873" w:type="pct"/>
            <w:shd w:val="clear" w:color="auto" w:fill="auto"/>
          </w:tcPr>
          <w:p w:rsidRPr="00F93D63" w:rsidR="00F93D63" w:rsidP="00F93D63" w:rsidRDefault="00CA35D8">
            <w:pPr>
              <w:keepNext/>
              <w:jc w:val="right"/>
              <w:rPr>
                <w:sz w:val="20"/>
                <w:szCs w:val="20"/>
              </w:rPr>
            </w:pPr>
            <w:r>
              <w:rPr>
                <w:sz w:val="20"/>
                <w:szCs w:val="20"/>
              </w:rPr>
              <w:t>8</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CA35D8">
            <w:pPr>
              <w:keepNext/>
              <w:jc w:val="right"/>
              <w:rPr>
                <w:sz w:val="20"/>
                <w:szCs w:val="20"/>
              </w:rPr>
            </w:pPr>
            <w:r>
              <w:rPr>
                <w:sz w:val="20"/>
                <w:szCs w:val="20"/>
              </w:rPr>
              <w:t>8</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3</w:t>
            </w:r>
          </w:p>
        </w:tc>
        <w:tc>
          <w:tcPr>
            <w:tcW w:w="729" w:type="pct"/>
            <w:shd w:val="clear" w:color="auto" w:fill="auto"/>
          </w:tcPr>
          <w:p w:rsidRPr="00F93D63" w:rsidR="00F93D63" w:rsidP="00F93D63" w:rsidRDefault="00CA35D8">
            <w:pPr>
              <w:keepNext/>
              <w:jc w:val="right"/>
              <w:rPr>
                <w:sz w:val="20"/>
                <w:szCs w:val="20"/>
              </w:rPr>
            </w:pPr>
            <w:r>
              <w:rPr>
                <w:sz w:val="20"/>
                <w:szCs w:val="20"/>
              </w:rPr>
              <w:t>24</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r w:rsidRPr="00F93D63">
              <w:rPr>
                <w:sz w:val="20"/>
                <w:szCs w:val="20"/>
              </w:rPr>
              <w:t>AB notification of change</w:t>
            </w:r>
          </w:p>
        </w:tc>
        <w:tc>
          <w:tcPr>
            <w:tcW w:w="873" w:type="pct"/>
            <w:shd w:val="clear" w:color="auto" w:fill="auto"/>
          </w:tcPr>
          <w:p w:rsidRPr="00F93D63" w:rsidR="00F93D63" w:rsidP="00F93D63" w:rsidRDefault="00CA35D8">
            <w:pPr>
              <w:keepNext/>
              <w:jc w:val="right"/>
              <w:rPr>
                <w:sz w:val="20"/>
                <w:szCs w:val="20"/>
              </w:rPr>
            </w:pPr>
            <w:r>
              <w:rPr>
                <w:sz w:val="20"/>
                <w:szCs w:val="20"/>
              </w:rPr>
              <w:t>8</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CA35D8">
            <w:pPr>
              <w:keepNext/>
              <w:jc w:val="right"/>
              <w:rPr>
                <w:sz w:val="20"/>
                <w:szCs w:val="20"/>
              </w:rPr>
            </w:pPr>
            <w:r>
              <w:rPr>
                <w:sz w:val="20"/>
                <w:szCs w:val="20"/>
              </w:rPr>
              <w:t>8</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29" w:type="pct"/>
            <w:shd w:val="clear" w:color="auto" w:fill="auto"/>
          </w:tcPr>
          <w:p w:rsidRPr="00F93D63" w:rsidR="00F93D63" w:rsidP="00F93D63" w:rsidRDefault="00CA35D8">
            <w:pPr>
              <w:keepNext/>
              <w:jc w:val="right"/>
              <w:rPr>
                <w:sz w:val="20"/>
                <w:szCs w:val="20"/>
              </w:rPr>
            </w:pPr>
            <w:r>
              <w:rPr>
                <w:sz w:val="20"/>
                <w:szCs w:val="20"/>
              </w:rPr>
              <w:t>8</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bookmarkStart w:name="_Hlk533682614" w:id="10"/>
            <w:r w:rsidRPr="00F93D63">
              <w:rPr>
                <w:sz w:val="20"/>
                <w:szCs w:val="20"/>
              </w:rPr>
              <w:t xml:space="preserve">Application by TL for </w:t>
            </w:r>
            <w:r w:rsidRPr="00D441FB">
              <w:rPr>
                <w:i/>
                <w:sz w:val="20"/>
                <w:szCs w:val="20"/>
              </w:rPr>
              <w:t xml:space="preserve">ASCA </w:t>
            </w:r>
            <w:bookmarkEnd w:id="10"/>
            <w:r w:rsidR="00E56D43">
              <w:rPr>
                <w:i/>
                <w:sz w:val="20"/>
                <w:szCs w:val="20"/>
              </w:rPr>
              <w:t>A</w:t>
            </w:r>
            <w:r w:rsidRPr="00483914" w:rsidR="00C02EFC">
              <w:rPr>
                <w:i/>
                <w:sz w:val="20"/>
                <w:szCs w:val="20"/>
              </w:rPr>
              <w:t>ccreditation</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150</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150</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4</w:t>
            </w:r>
          </w:p>
        </w:tc>
        <w:tc>
          <w:tcPr>
            <w:tcW w:w="729" w:type="pct"/>
            <w:shd w:val="clear" w:color="auto" w:fill="auto"/>
          </w:tcPr>
          <w:p w:rsidRPr="00F93D63" w:rsidR="00F93D63" w:rsidP="00F93D63" w:rsidRDefault="00DC5E47">
            <w:pPr>
              <w:keepNext/>
              <w:jc w:val="right"/>
              <w:rPr>
                <w:sz w:val="20"/>
                <w:szCs w:val="20"/>
              </w:rPr>
            </w:pPr>
            <w:r>
              <w:rPr>
                <w:sz w:val="20"/>
                <w:szCs w:val="20"/>
              </w:rPr>
              <w:t>600</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bookmarkStart w:name="_Hlk533682852" w:id="11"/>
            <w:r w:rsidRPr="00F93D63">
              <w:rPr>
                <w:sz w:val="20"/>
                <w:szCs w:val="20"/>
              </w:rPr>
              <w:t xml:space="preserve">Request by TL to continue </w:t>
            </w:r>
            <w:r w:rsidRPr="00D441FB">
              <w:rPr>
                <w:i/>
                <w:sz w:val="20"/>
                <w:szCs w:val="20"/>
              </w:rPr>
              <w:t>ASCA</w:t>
            </w:r>
            <w:bookmarkEnd w:id="11"/>
            <w:r w:rsidRPr="00D441FB" w:rsidR="00C02EFC">
              <w:rPr>
                <w:i/>
                <w:sz w:val="20"/>
                <w:szCs w:val="20"/>
              </w:rPr>
              <w:t xml:space="preserve"> </w:t>
            </w:r>
            <w:r w:rsidR="00E56D43">
              <w:rPr>
                <w:i/>
                <w:sz w:val="20"/>
                <w:szCs w:val="20"/>
              </w:rPr>
              <w:t>A</w:t>
            </w:r>
            <w:r w:rsidRPr="00483914" w:rsidR="00C02EFC">
              <w:rPr>
                <w:i/>
                <w:sz w:val="20"/>
                <w:szCs w:val="20"/>
              </w:rPr>
              <w:t>ccreditation</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15</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15</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4</w:t>
            </w:r>
          </w:p>
        </w:tc>
        <w:tc>
          <w:tcPr>
            <w:tcW w:w="729" w:type="pct"/>
            <w:shd w:val="clear" w:color="auto" w:fill="auto"/>
          </w:tcPr>
          <w:p w:rsidRPr="00F93D63" w:rsidR="00F93D63" w:rsidP="00F93D63" w:rsidRDefault="00DC5E47">
            <w:pPr>
              <w:keepNext/>
              <w:jc w:val="right"/>
              <w:rPr>
                <w:sz w:val="20"/>
                <w:szCs w:val="20"/>
              </w:rPr>
            </w:pPr>
            <w:r>
              <w:rPr>
                <w:sz w:val="20"/>
                <w:szCs w:val="20"/>
              </w:rPr>
              <w:t>60</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r w:rsidRPr="00F93D63">
              <w:rPr>
                <w:sz w:val="20"/>
                <w:szCs w:val="20"/>
              </w:rPr>
              <w:t xml:space="preserve">Request by TL </w:t>
            </w:r>
            <w:r w:rsidR="00C02EFC">
              <w:rPr>
                <w:sz w:val="20"/>
                <w:szCs w:val="20"/>
              </w:rPr>
              <w:t xml:space="preserve">for </w:t>
            </w:r>
            <w:r w:rsidRPr="00D441FB" w:rsidR="00C02EFC">
              <w:rPr>
                <w:i/>
                <w:sz w:val="20"/>
                <w:szCs w:val="20"/>
              </w:rPr>
              <w:t xml:space="preserve">ASCA </w:t>
            </w:r>
            <w:r w:rsidR="00E56D43">
              <w:rPr>
                <w:i/>
                <w:sz w:val="20"/>
                <w:szCs w:val="20"/>
              </w:rPr>
              <w:t>A</w:t>
            </w:r>
            <w:r w:rsidRPr="00483914" w:rsidR="00C02EFC">
              <w:rPr>
                <w:i/>
                <w:sz w:val="20"/>
                <w:szCs w:val="20"/>
              </w:rPr>
              <w:t>ccreditation</w:t>
            </w:r>
            <w:r w:rsidRPr="00F93D63">
              <w:rPr>
                <w:sz w:val="20"/>
                <w:szCs w:val="20"/>
              </w:rPr>
              <w:t xml:space="preserve"> (subsequent to withdrawal or suspension)</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5</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5</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4</w:t>
            </w:r>
          </w:p>
        </w:tc>
        <w:tc>
          <w:tcPr>
            <w:tcW w:w="729" w:type="pct"/>
            <w:shd w:val="clear" w:color="auto" w:fill="auto"/>
          </w:tcPr>
          <w:p w:rsidRPr="00F93D63" w:rsidR="00F93D63" w:rsidP="00F93D63" w:rsidRDefault="00DC5E47">
            <w:pPr>
              <w:keepNext/>
              <w:jc w:val="right"/>
              <w:rPr>
                <w:sz w:val="20"/>
                <w:szCs w:val="20"/>
              </w:rPr>
            </w:pPr>
            <w:r>
              <w:rPr>
                <w:sz w:val="20"/>
                <w:szCs w:val="20"/>
              </w:rPr>
              <w:t>20</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r w:rsidRPr="00F93D63">
              <w:rPr>
                <w:sz w:val="20"/>
                <w:szCs w:val="20"/>
              </w:rPr>
              <w:t xml:space="preserve">Request by TL to expand scope of </w:t>
            </w:r>
            <w:r w:rsidRPr="00483914" w:rsidR="00C02EFC">
              <w:rPr>
                <w:i/>
                <w:sz w:val="20"/>
                <w:szCs w:val="20"/>
              </w:rPr>
              <w:t xml:space="preserve">ASCA </w:t>
            </w:r>
            <w:r w:rsidR="00E56D43">
              <w:rPr>
                <w:i/>
                <w:sz w:val="20"/>
                <w:szCs w:val="20"/>
              </w:rPr>
              <w:t>A</w:t>
            </w:r>
            <w:r w:rsidRPr="00483914" w:rsidR="00C02EFC">
              <w:rPr>
                <w:i/>
                <w:sz w:val="20"/>
                <w:szCs w:val="20"/>
              </w:rPr>
              <w:t>ccreditation</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75</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75</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4</w:t>
            </w:r>
          </w:p>
        </w:tc>
        <w:tc>
          <w:tcPr>
            <w:tcW w:w="729" w:type="pct"/>
            <w:shd w:val="clear" w:color="auto" w:fill="auto"/>
          </w:tcPr>
          <w:p w:rsidRPr="00F93D63" w:rsidR="00F93D63" w:rsidP="00F93D63" w:rsidRDefault="00DC5E47">
            <w:pPr>
              <w:keepNext/>
              <w:jc w:val="right"/>
              <w:rPr>
                <w:sz w:val="20"/>
                <w:szCs w:val="20"/>
              </w:rPr>
            </w:pPr>
            <w:r>
              <w:rPr>
                <w:sz w:val="20"/>
                <w:szCs w:val="20"/>
              </w:rPr>
              <w:t>300</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bookmarkStart w:name="_Hlk533683684" w:id="12"/>
            <w:bookmarkStart w:name="_Hlk533683983" w:id="13"/>
            <w:r w:rsidRPr="00F93D63">
              <w:rPr>
                <w:sz w:val="20"/>
                <w:szCs w:val="20"/>
              </w:rPr>
              <w:t>TL annual status report</w:t>
            </w:r>
            <w:bookmarkEnd w:id="12"/>
            <w:bookmarkEnd w:id="13"/>
          </w:p>
        </w:tc>
        <w:tc>
          <w:tcPr>
            <w:tcW w:w="873" w:type="pct"/>
            <w:shd w:val="clear" w:color="auto" w:fill="auto"/>
          </w:tcPr>
          <w:p w:rsidRPr="00F93D63" w:rsidR="00F93D63" w:rsidP="00F93D63" w:rsidRDefault="00F93D63">
            <w:pPr>
              <w:keepNext/>
              <w:jc w:val="right"/>
              <w:rPr>
                <w:sz w:val="20"/>
                <w:szCs w:val="20"/>
              </w:rPr>
            </w:pPr>
            <w:r w:rsidRPr="00F93D63">
              <w:rPr>
                <w:sz w:val="20"/>
                <w:szCs w:val="20"/>
              </w:rPr>
              <w:t>150</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150</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1.5</w:t>
            </w:r>
          </w:p>
        </w:tc>
        <w:tc>
          <w:tcPr>
            <w:tcW w:w="729" w:type="pct"/>
            <w:shd w:val="clear" w:color="auto" w:fill="auto"/>
          </w:tcPr>
          <w:p w:rsidRPr="00F93D63" w:rsidR="00F93D63" w:rsidP="00F93D63" w:rsidRDefault="00DC5E47">
            <w:pPr>
              <w:keepNext/>
              <w:jc w:val="right"/>
              <w:rPr>
                <w:sz w:val="20"/>
                <w:szCs w:val="20"/>
              </w:rPr>
            </w:pPr>
            <w:r>
              <w:rPr>
                <w:sz w:val="20"/>
                <w:szCs w:val="20"/>
              </w:rPr>
              <w:t>225</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r w:rsidRPr="00F93D63">
              <w:rPr>
                <w:sz w:val="20"/>
                <w:szCs w:val="20"/>
              </w:rPr>
              <w:t>TL notification of change</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5</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5</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29" w:type="pct"/>
            <w:shd w:val="clear" w:color="auto" w:fill="auto"/>
          </w:tcPr>
          <w:p w:rsidRPr="00F93D63" w:rsidR="00F93D63" w:rsidP="00F93D63" w:rsidRDefault="00DC5E47">
            <w:pPr>
              <w:keepNext/>
              <w:jc w:val="right"/>
              <w:rPr>
                <w:sz w:val="20"/>
                <w:szCs w:val="20"/>
              </w:rPr>
            </w:pPr>
            <w:r>
              <w:rPr>
                <w:sz w:val="20"/>
                <w:szCs w:val="20"/>
              </w:rPr>
              <w:t>5</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bookmarkStart w:name="_Hlk533685625" w:id="14"/>
            <w:r w:rsidRPr="00F93D63">
              <w:rPr>
                <w:sz w:val="20"/>
                <w:szCs w:val="20"/>
              </w:rPr>
              <w:t xml:space="preserve">Request for withdrawal or suspension </w:t>
            </w:r>
            <w:r w:rsidR="00C02EFC">
              <w:rPr>
                <w:sz w:val="20"/>
                <w:szCs w:val="20"/>
              </w:rPr>
              <w:t xml:space="preserve">of </w:t>
            </w:r>
            <w:r w:rsidRPr="00D441FB">
              <w:rPr>
                <w:i/>
                <w:sz w:val="20"/>
                <w:szCs w:val="20"/>
              </w:rPr>
              <w:t xml:space="preserve">ASCA </w:t>
            </w:r>
            <w:bookmarkEnd w:id="14"/>
            <w:r w:rsidR="00E56D43">
              <w:rPr>
                <w:i/>
                <w:sz w:val="20"/>
                <w:szCs w:val="20"/>
              </w:rPr>
              <w:t>A</w:t>
            </w:r>
            <w:r w:rsidRPr="00D441FB" w:rsidR="00C02EFC">
              <w:rPr>
                <w:i/>
                <w:sz w:val="20"/>
                <w:szCs w:val="20"/>
              </w:rPr>
              <w:t>ccreditation</w:t>
            </w:r>
            <w:r w:rsidR="00C02EFC">
              <w:rPr>
                <w:sz w:val="20"/>
                <w:szCs w:val="20"/>
              </w:rPr>
              <w:t xml:space="preserve"> (TLs) or request for withdrawal of </w:t>
            </w:r>
            <w:r w:rsidR="006D5CCE">
              <w:rPr>
                <w:i/>
                <w:sz w:val="20"/>
                <w:szCs w:val="20"/>
              </w:rPr>
              <w:t>ASCA R</w:t>
            </w:r>
            <w:r w:rsidRPr="00F0193C" w:rsidR="00C02EFC">
              <w:rPr>
                <w:i/>
                <w:sz w:val="20"/>
                <w:szCs w:val="20"/>
              </w:rPr>
              <w:t>ecognition</w:t>
            </w:r>
            <w:r w:rsidR="00C02EFC">
              <w:rPr>
                <w:sz w:val="20"/>
                <w:szCs w:val="20"/>
              </w:rPr>
              <w:t xml:space="preserve"> (ABs)</w:t>
            </w:r>
          </w:p>
        </w:tc>
        <w:tc>
          <w:tcPr>
            <w:tcW w:w="873" w:type="pct"/>
            <w:shd w:val="clear" w:color="auto" w:fill="auto"/>
          </w:tcPr>
          <w:p w:rsidRPr="00F93D63" w:rsidR="00F93D63" w:rsidP="00F93D63" w:rsidRDefault="00F93D63">
            <w:pPr>
              <w:keepNext/>
              <w:jc w:val="right"/>
              <w:rPr>
                <w:sz w:val="20"/>
                <w:szCs w:val="20"/>
              </w:rPr>
            </w:pPr>
            <w:r w:rsidRPr="00F93D63">
              <w:rPr>
                <w:sz w:val="20"/>
                <w:szCs w:val="20"/>
              </w:rPr>
              <w:t>6</w:t>
            </w:r>
          </w:p>
        </w:tc>
        <w:tc>
          <w:tcPr>
            <w:tcW w:w="817" w:type="pct"/>
            <w:shd w:val="clear" w:color="auto" w:fill="auto"/>
          </w:tcPr>
          <w:p w:rsidRPr="00F93D63" w:rsidR="00F93D63" w:rsidP="00F93D63" w:rsidRDefault="00F93D63">
            <w:pPr>
              <w:keepNext/>
              <w:jc w:val="right"/>
              <w:rPr>
                <w:sz w:val="20"/>
                <w:szCs w:val="20"/>
              </w:rPr>
            </w:pPr>
            <w:r w:rsidRPr="00F93D63">
              <w:rPr>
                <w:sz w:val="20"/>
                <w:szCs w:val="20"/>
              </w:rPr>
              <w:t>1</w:t>
            </w:r>
          </w:p>
        </w:tc>
        <w:tc>
          <w:tcPr>
            <w:tcW w:w="743" w:type="pct"/>
            <w:shd w:val="clear" w:color="auto" w:fill="auto"/>
          </w:tcPr>
          <w:p w:rsidRPr="00F93D63" w:rsidR="00F93D63" w:rsidP="00F93D63" w:rsidRDefault="00F93D63">
            <w:pPr>
              <w:keepNext/>
              <w:jc w:val="right"/>
              <w:rPr>
                <w:sz w:val="20"/>
                <w:szCs w:val="20"/>
              </w:rPr>
            </w:pPr>
            <w:r w:rsidRPr="00F93D63">
              <w:rPr>
                <w:sz w:val="20"/>
                <w:szCs w:val="20"/>
              </w:rPr>
              <w:t>6</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0.08 (5 minutes)</w:t>
            </w:r>
          </w:p>
        </w:tc>
        <w:tc>
          <w:tcPr>
            <w:tcW w:w="729" w:type="pct"/>
            <w:shd w:val="clear" w:color="auto" w:fill="auto"/>
          </w:tcPr>
          <w:p w:rsidRPr="00F93D63" w:rsidR="00F93D63" w:rsidP="00F93D63" w:rsidRDefault="00DC5E47">
            <w:pPr>
              <w:keepNext/>
              <w:jc w:val="right"/>
              <w:rPr>
                <w:sz w:val="20"/>
                <w:szCs w:val="20"/>
              </w:rPr>
            </w:pPr>
            <w:r>
              <w:rPr>
                <w:sz w:val="20"/>
                <w:szCs w:val="20"/>
              </w:rPr>
              <w:t>1</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r w:rsidRPr="00F93D63">
              <w:rPr>
                <w:sz w:val="20"/>
                <w:szCs w:val="20"/>
              </w:rPr>
              <w:t>Pilot feedback questionnaire (ABs and TLs)</w:t>
            </w:r>
          </w:p>
        </w:tc>
        <w:tc>
          <w:tcPr>
            <w:tcW w:w="873" w:type="pct"/>
            <w:shd w:val="clear" w:color="auto" w:fill="auto"/>
          </w:tcPr>
          <w:p w:rsidRPr="00F93D63" w:rsidR="00F93D63" w:rsidP="00F93D63" w:rsidRDefault="003072B4">
            <w:pPr>
              <w:keepNext/>
              <w:jc w:val="right"/>
              <w:rPr>
                <w:sz w:val="20"/>
                <w:szCs w:val="20"/>
              </w:rPr>
            </w:pPr>
            <w:r>
              <w:rPr>
                <w:sz w:val="20"/>
                <w:szCs w:val="20"/>
              </w:rPr>
              <w:t>158</w:t>
            </w:r>
          </w:p>
        </w:tc>
        <w:tc>
          <w:tcPr>
            <w:tcW w:w="817" w:type="pct"/>
            <w:shd w:val="clear" w:color="auto" w:fill="auto"/>
          </w:tcPr>
          <w:p w:rsidRPr="00F93D63" w:rsidR="00F93D63" w:rsidP="00F93D63" w:rsidRDefault="003072B4">
            <w:pPr>
              <w:keepNext/>
              <w:jc w:val="right"/>
              <w:rPr>
                <w:sz w:val="20"/>
                <w:szCs w:val="20"/>
              </w:rPr>
            </w:pPr>
            <w:r>
              <w:rPr>
                <w:sz w:val="20"/>
                <w:szCs w:val="20"/>
              </w:rPr>
              <w:t>1</w:t>
            </w:r>
          </w:p>
        </w:tc>
        <w:tc>
          <w:tcPr>
            <w:tcW w:w="743" w:type="pct"/>
            <w:shd w:val="clear" w:color="auto" w:fill="auto"/>
          </w:tcPr>
          <w:p w:rsidRPr="00F93D63" w:rsidR="00F93D63" w:rsidP="00F93D63" w:rsidRDefault="003072B4">
            <w:pPr>
              <w:keepNext/>
              <w:jc w:val="right"/>
              <w:rPr>
                <w:sz w:val="20"/>
                <w:szCs w:val="20"/>
              </w:rPr>
            </w:pPr>
            <w:r>
              <w:rPr>
                <w:sz w:val="20"/>
                <w:szCs w:val="20"/>
              </w:rPr>
              <w:t>158</w:t>
            </w:r>
          </w:p>
        </w:tc>
        <w:tc>
          <w:tcPr>
            <w:tcW w:w="809" w:type="pct"/>
            <w:shd w:val="clear" w:color="auto" w:fill="auto"/>
          </w:tcPr>
          <w:p w:rsidRPr="00F93D63" w:rsidR="00F93D63" w:rsidP="00F93D63" w:rsidRDefault="00F93D63">
            <w:pPr>
              <w:keepNext/>
              <w:jc w:val="right"/>
              <w:rPr>
                <w:sz w:val="20"/>
                <w:szCs w:val="20"/>
              </w:rPr>
            </w:pPr>
            <w:r w:rsidRPr="00F93D63">
              <w:rPr>
                <w:sz w:val="20"/>
                <w:szCs w:val="20"/>
              </w:rPr>
              <w:t>0.5 (30 minutes)</w:t>
            </w:r>
          </w:p>
        </w:tc>
        <w:tc>
          <w:tcPr>
            <w:tcW w:w="729" w:type="pct"/>
            <w:shd w:val="clear" w:color="auto" w:fill="auto"/>
          </w:tcPr>
          <w:p w:rsidRPr="00F93D63" w:rsidR="00F93D63" w:rsidP="00F93D63" w:rsidRDefault="00DC5E47">
            <w:pPr>
              <w:keepNext/>
              <w:jc w:val="right"/>
              <w:rPr>
                <w:sz w:val="20"/>
                <w:szCs w:val="20"/>
              </w:rPr>
            </w:pPr>
            <w:r>
              <w:rPr>
                <w:sz w:val="20"/>
                <w:szCs w:val="20"/>
              </w:rPr>
              <w:t>79</w:t>
            </w:r>
          </w:p>
        </w:tc>
      </w:tr>
      <w:tr w:rsidRPr="00F93D63" w:rsidR="00F93D63" w:rsidTr="00CB4F6E">
        <w:trPr>
          <w:cantSplit/>
          <w:trHeight w:val="20"/>
          <w:jc w:val="center"/>
        </w:trPr>
        <w:tc>
          <w:tcPr>
            <w:tcW w:w="1029" w:type="pct"/>
            <w:shd w:val="clear" w:color="auto" w:fill="auto"/>
          </w:tcPr>
          <w:p w:rsidRPr="00F93D63" w:rsidR="00F93D63" w:rsidP="00F93D63" w:rsidRDefault="00F93D63">
            <w:pPr>
              <w:keepNext/>
              <w:rPr>
                <w:sz w:val="20"/>
                <w:szCs w:val="20"/>
              </w:rPr>
            </w:pPr>
            <w:r w:rsidRPr="00F93D63">
              <w:rPr>
                <w:sz w:val="20"/>
                <w:szCs w:val="20"/>
              </w:rPr>
              <w:t>Total</w:t>
            </w:r>
          </w:p>
        </w:tc>
        <w:tc>
          <w:tcPr>
            <w:tcW w:w="873" w:type="pct"/>
            <w:shd w:val="clear" w:color="auto" w:fill="auto"/>
          </w:tcPr>
          <w:p w:rsidRPr="00F93D63" w:rsidR="00F93D63" w:rsidP="00F93D63" w:rsidRDefault="00F93D63">
            <w:pPr>
              <w:keepNext/>
              <w:jc w:val="right"/>
              <w:rPr>
                <w:sz w:val="20"/>
                <w:szCs w:val="20"/>
              </w:rPr>
            </w:pPr>
          </w:p>
        </w:tc>
        <w:tc>
          <w:tcPr>
            <w:tcW w:w="817" w:type="pct"/>
            <w:shd w:val="clear" w:color="auto" w:fill="auto"/>
          </w:tcPr>
          <w:p w:rsidRPr="00F93D63" w:rsidR="00F93D63" w:rsidP="00F93D63" w:rsidRDefault="00F93D63">
            <w:pPr>
              <w:keepNext/>
              <w:jc w:val="right"/>
              <w:rPr>
                <w:sz w:val="20"/>
                <w:szCs w:val="20"/>
              </w:rPr>
            </w:pPr>
          </w:p>
        </w:tc>
        <w:tc>
          <w:tcPr>
            <w:tcW w:w="743" w:type="pct"/>
            <w:shd w:val="clear" w:color="auto" w:fill="auto"/>
          </w:tcPr>
          <w:p w:rsidRPr="00F93D63" w:rsidR="00F93D63" w:rsidP="00F93D63" w:rsidRDefault="00F93D63">
            <w:pPr>
              <w:keepNext/>
              <w:jc w:val="right"/>
              <w:rPr>
                <w:sz w:val="20"/>
                <w:szCs w:val="20"/>
              </w:rPr>
            </w:pPr>
          </w:p>
        </w:tc>
        <w:tc>
          <w:tcPr>
            <w:tcW w:w="809" w:type="pct"/>
            <w:shd w:val="clear" w:color="auto" w:fill="auto"/>
          </w:tcPr>
          <w:p w:rsidRPr="00F93D63" w:rsidR="00F93D63" w:rsidP="00F93D63" w:rsidRDefault="00F93D63">
            <w:pPr>
              <w:keepNext/>
              <w:jc w:val="right"/>
              <w:rPr>
                <w:sz w:val="20"/>
                <w:szCs w:val="20"/>
              </w:rPr>
            </w:pPr>
          </w:p>
        </w:tc>
        <w:tc>
          <w:tcPr>
            <w:tcW w:w="729" w:type="pct"/>
            <w:shd w:val="clear" w:color="auto" w:fill="auto"/>
          </w:tcPr>
          <w:p w:rsidRPr="00F93D63" w:rsidR="00F93D63" w:rsidP="00F93D63" w:rsidRDefault="00CA35D8">
            <w:pPr>
              <w:keepNext/>
              <w:jc w:val="right"/>
              <w:rPr>
                <w:sz w:val="20"/>
                <w:szCs w:val="20"/>
              </w:rPr>
            </w:pPr>
            <w:r>
              <w:rPr>
                <w:sz w:val="20"/>
                <w:szCs w:val="20"/>
              </w:rPr>
              <w:t>1,388</w:t>
            </w:r>
          </w:p>
        </w:tc>
      </w:tr>
      <w:tr w:rsidRPr="00F93D63" w:rsidR="00DC5E47" w:rsidTr="00DC5E47">
        <w:trPr>
          <w:cantSplit/>
          <w:trHeight w:val="20"/>
          <w:jc w:val="center"/>
        </w:trPr>
        <w:tc>
          <w:tcPr>
            <w:tcW w:w="5000" w:type="pct"/>
            <w:gridSpan w:val="6"/>
            <w:shd w:val="clear" w:color="auto" w:fill="auto"/>
          </w:tcPr>
          <w:p w:rsidRPr="00F93D63" w:rsidR="00DC5E47" w:rsidP="00DC5E47" w:rsidRDefault="00DC5E47">
            <w:pPr>
              <w:keepNext/>
              <w:rPr>
                <w:sz w:val="20"/>
                <w:szCs w:val="20"/>
              </w:rPr>
            </w:pPr>
            <w:r w:rsidRPr="00DC5E47">
              <w:rPr>
                <w:sz w:val="20"/>
                <w:szCs w:val="20"/>
                <w:vertAlign w:val="superscript"/>
              </w:rPr>
              <w:t>1</w:t>
            </w:r>
            <w:r>
              <w:rPr>
                <w:sz w:val="20"/>
                <w:szCs w:val="20"/>
              </w:rPr>
              <w:t xml:space="preserve"> Totals have been rounded to the nearest hour.</w:t>
            </w:r>
          </w:p>
        </w:tc>
      </w:tr>
    </w:tbl>
    <w:p w:rsidR="00F93D63" w:rsidP="00BF069C" w:rsidRDefault="00F93D63">
      <w:pPr>
        <w:ind w:left="720"/>
        <w:contextualSpacing/>
      </w:pPr>
    </w:p>
    <w:p w:rsidR="00F93D63" w:rsidP="00BF069C" w:rsidRDefault="00F93D63">
      <w:pPr>
        <w:ind w:left="720"/>
        <w:contextualSpacing/>
      </w:pPr>
    </w:p>
    <w:p w:rsidR="00F93D63" w:rsidP="00BF069C" w:rsidRDefault="00F93D63">
      <w:pPr>
        <w:ind w:left="720"/>
        <w:contextualSpacing/>
      </w:pPr>
    </w:p>
    <w:p w:rsidR="00BF069C" w:rsidP="00BF069C" w:rsidRDefault="00BF069C">
      <w:pPr>
        <w:ind w:left="720"/>
        <w:contextualSpacing/>
      </w:pPr>
    </w:p>
    <w:p w:rsidR="00F74574" w:rsidP="00BF069C" w:rsidRDefault="00F74574">
      <w:pPr>
        <w:ind w:left="720"/>
        <w:contextualSpacing/>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19"/>
        <w:gridCol w:w="1833"/>
        <w:gridCol w:w="1735"/>
        <w:gridCol w:w="1258"/>
        <w:gridCol w:w="2078"/>
        <w:gridCol w:w="1153"/>
      </w:tblGrid>
      <w:tr w:rsidRPr="00F74574" w:rsidR="00F74574" w:rsidTr="00CB4F6E">
        <w:trPr>
          <w:cantSplit/>
          <w:trHeight w:val="20"/>
          <w:tblHeader/>
          <w:jc w:val="center"/>
        </w:trPr>
        <w:tc>
          <w:tcPr>
            <w:tcW w:w="5000" w:type="pct"/>
            <w:gridSpan w:val="6"/>
            <w:tcBorders>
              <w:top w:val="nil"/>
              <w:left w:val="nil"/>
              <w:right w:val="nil"/>
            </w:tcBorders>
            <w:shd w:val="clear" w:color="auto" w:fill="auto"/>
          </w:tcPr>
          <w:p w:rsidRPr="00F74574" w:rsidR="00F74574" w:rsidP="00F74574" w:rsidRDefault="00F74574">
            <w:pPr>
              <w:keepNext/>
              <w:jc w:val="center"/>
              <w:rPr>
                <w:sz w:val="20"/>
                <w:szCs w:val="20"/>
              </w:rPr>
            </w:pPr>
            <w:r w:rsidRPr="00F74574">
              <w:rPr>
                <w:sz w:val="20"/>
                <w:szCs w:val="20"/>
              </w:rPr>
              <w:t xml:space="preserve">Table </w:t>
            </w:r>
            <w:proofErr w:type="gramStart"/>
            <w:r w:rsidRPr="00F74574">
              <w:rPr>
                <w:sz w:val="20"/>
                <w:szCs w:val="20"/>
              </w:rPr>
              <w:t>2.--</w:t>
            </w:r>
            <w:proofErr w:type="gramEnd"/>
            <w:r w:rsidRPr="00F74574">
              <w:rPr>
                <w:sz w:val="20"/>
                <w:szCs w:val="20"/>
              </w:rPr>
              <w:t>Estimated Annual Recordkeeping Burden</w:t>
            </w:r>
          </w:p>
        </w:tc>
      </w:tr>
      <w:tr w:rsidRPr="00F74574" w:rsidR="00F74574" w:rsidTr="00CB4F6E">
        <w:trPr>
          <w:cantSplit/>
          <w:trHeight w:val="20"/>
          <w:tblHeader/>
          <w:jc w:val="center"/>
        </w:trPr>
        <w:tc>
          <w:tcPr>
            <w:tcW w:w="793" w:type="pct"/>
            <w:shd w:val="clear" w:color="auto" w:fill="auto"/>
          </w:tcPr>
          <w:p w:rsidRPr="00F74574" w:rsidR="00F74574" w:rsidP="00F74574" w:rsidRDefault="00F74574">
            <w:pPr>
              <w:keepNext/>
              <w:jc w:val="center"/>
              <w:rPr>
                <w:sz w:val="20"/>
                <w:szCs w:val="20"/>
              </w:rPr>
            </w:pPr>
            <w:r w:rsidRPr="00F74574">
              <w:rPr>
                <w:sz w:val="20"/>
                <w:szCs w:val="20"/>
              </w:rPr>
              <w:t>Activity</w:t>
            </w:r>
          </w:p>
        </w:tc>
        <w:tc>
          <w:tcPr>
            <w:tcW w:w="957" w:type="pct"/>
            <w:shd w:val="clear" w:color="auto" w:fill="auto"/>
          </w:tcPr>
          <w:p w:rsidRPr="00F74574" w:rsidR="00F74574" w:rsidP="00F74574" w:rsidRDefault="00F74574">
            <w:pPr>
              <w:keepNext/>
              <w:jc w:val="center"/>
              <w:rPr>
                <w:sz w:val="20"/>
                <w:szCs w:val="20"/>
              </w:rPr>
            </w:pPr>
            <w:r w:rsidRPr="00F74574">
              <w:rPr>
                <w:sz w:val="20"/>
                <w:szCs w:val="20"/>
              </w:rPr>
              <w:t>No. of Recordkeepers</w:t>
            </w:r>
          </w:p>
        </w:tc>
        <w:tc>
          <w:tcPr>
            <w:tcW w:w="906" w:type="pct"/>
            <w:shd w:val="clear" w:color="auto" w:fill="auto"/>
          </w:tcPr>
          <w:p w:rsidRPr="00F74574" w:rsidR="00F74574" w:rsidP="00F74574" w:rsidRDefault="00F74574">
            <w:pPr>
              <w:keepNext/>
              <w:jc w:val="center"/>
              <w:rPr>
                <w:sz w:val="20"/>
                <w:szCs w:val="20"/>
              </w:rPr>
            </w:pPr>
            <w:r w:rsidRPr="00F74574">
              <w:rPr>
                <w:bCs/>
                <w:sz w:val="20"/>
                <w:szCs w:val="20"/>
              </w:rPr>
              <w:t>No. of Records per Recordkeeper</w:t>
            </w:r>
          </w:p>
        </w:tc>
        <w:tc>
          <w:tcPr>
            <w:tcW w:w="657" w:type="pct"/>
            <w:shd w:val="clear" w:color="auto" w:fill="auto"/>
          </w:tcPr>
          <w:p w:rsidRPr="00F74574" w:rsidR="00F74574" w:rsidP="00F74574" w:rsidRDefault="00F74574">
            <w:pPr>
              <w:keepNext/>
              <w:jc w:val="center"/>
              <w:rPr>
                <w:sz w:val="20"/>
                <w:szCs w:val="20"/>
              </w:rPr>
            </w:pPr>
            <w:r w:rsidRPr="00F74574">
              <w:rPr>
                <w:sz w:val="20"/>
                <w:szCs w:val="20"/>
              </w:rPr>
              <w:t>Total Annual Records</w:t>
            </w:r>
          </w:p>
        </w:tc>
        <w:tc>
          <w:tcPr>
            <w:tcW w:w="1085" w:type="pct"/>
            <w:shd w:val="clear" w:color="auto" w:fill="auto"/>
          </w:tcPr>
          <w:p w:rsidRPr="00F74574" w:rsidR="00F74574" w:rsidP="00F74574" w:rsidRDefault="00F74574">
            <w:pPr>
              <w:keepNext/>
              <w:jc w:val="center"/>
              <w:rPr>
                <w:sz w:val="20"/>
                <w:szCs w:val="20"/>
              </w:rPr>
            </w:pPr>
            <w:r w:rsidRPr="00F74574">
              <w:rPr>
                <w:bCs/>
                <w:sz w:val="20"/>
                <w:szCs w:val="20"/>
              </w:rPr>
              <w:t>Average Burden per Recordkeeping</w:t>
            </w:r>
          </w:p>
        </w:tc>
        <w:tc>
          <w:tcPr>
            <w:tcW w:w="602" w:type="pct"/>
            <w:shd w:val="clear" w:color="auto" w:fill="auto"/>
          </w:tcPr>
          <w:p w:rsidRPr="00F74574" w:rsidR="00F74574" w:rsidP="00F74574" w:rsidRDefault="00F74574">
            <w:pPr>
              <w:keepNext/>
              <w:jc w:val="center"/>
              <w:rPr>
                <w:sz w:val="20"/>
                <w:szCs w:val="20"/>
              </w:rPr>
            </w:pPr>
            <w:r w:rsidRPr="00F74574">
              <w:rPr>
                <w:sz w:val="20"/>
                <w:szCs w:val="20"/>
              </w:rPr>
              <w:t>Total Hours</w:t>
            </w:r>
          </w:p>
        </w:tc>
      </w:tr>
      <w:tr w:rsidRPr="00F74574" w:rsidR="00F74574" w:rsidTr="00CB4F6E">
        <w:trPr>
          <w:cantSplit/>
          <w:trHeight w:val="20"/>
          <w:jc w:val="center"/>
        </w:trPr>
        <w:tc>
          <w:tcPr>
            <w:tcW w:w="793" w:type="pct"/>
            <w:shd w:val="clear" w:color="auto" w:fill="auto"/>
          </w:tcPr>
          <w:p w:rsidRPr="00F74574" w:rsidR="00F74574" w:rsidP="00F74574" w:rsidRDefault="00F74574">
            <w:pPr>
              <w:keepNext/>
              <w:rPr>
                <w:sz w:val="20"/>
                <w:szCs w:val="20"/>
              </w:rPr>
            </w:pPr>
            <w:bookmarkStart w:name="_Hlk533688109" w:id="15"/>
            <w:r w:rsidRPr="00F74574">
              <w:rPr>
                <w:sz w:val="20"/>
                <w:szCs w:val="20"/>
              </w:rPr>
              <w:t>AB setup documentation (SOPs) &amp; training (one-time burden)</w:t>
            </w:r>
            <w:bookmarkEnd w:id="15"/>
          </w:p>
        </w:tc>
        <w:tc>
          <w:tcPr>
            <w:tcW w:w="957" w:type="pct"/>
            <w:shd w:val="clear" w:color="auto" w:fill="auto"/>
          </w:tcPr>
          <w:p w:rsidRPr="00F74574" w:rsidR="00F74574" w:rsidP="00F74574" w:rsidRDefault="00CA35D8">
            <w:pPr>
              <w:keepNext/>
              <w:jc w:val="right"/>
              <w:rPr>
                <w:sz w:val="20"/>
                <w:szCs w:val="20"/>
              </w:rPr>
            </w:pPr>
            <w:r>
              <w:rPr>
                <w:sz w:val="20"/>
                <w:szCs w:val="20"/>
              </w:rPr>
              <w:t>8</w:t>
            </w:r>
          </w:p>
        </w:tc>
        <w:tc>
          <w:tcPr>
            <w:tcW w:w="906" w:type="pct"/>
            <w:shd w:val="clear" w:color="auto" w:fill="auto"/>
          </w:tcPr>
          <w:p w:rsidRPr="00F74574" w:rsidR="00F74574" w:rsidP="00F74574" w:rsidRDefault="00F74574">
            <w:pPr>
              <w:keepNext/>
              <w:jc w:val="right"/>
              <w:rPr>
                <w:sz w:val="20"/>
                <w:szCs w:val="20"/>
              </w:rPr>
            </w:pPr>
            <w:r w:rsidRPr="00F74574">
              <w:rPr>
                <w:sz w:val="20"/>
                <w:szCs w:val="20"/>
              </w:rPr>
              <w:t>1</w:t>
            </w:r>
          </w:p>
        </w:tc>
        <w:tc>
          <w:tcPr>
            <w:tcW w:w="657" w:type="pct"/>
            <w:shd w:val="clear" w:color="auto" w:fill="auto"/>
          </w:tcPr>
          <w:p w:rsidRPr="00F74574" w:rsidR="00F74574" w:rsidP="00F74574" w:rsidRDefault="00CA35D8">
            <w:pPr>
              <w:keepNext/>
              <w:jc w:val="right"/>
              <w:rPr>
                <w:sz w:val="20"/>
                <w:szCs w:val="20"/>
              </w:rPr>
            </w:pPr>
            <w:r>
              <w:rPr>
                <w:sz w:val="20"/>
                <w:szCs w:val="20"/>
              </w:rPr>
              <w:t>8</w:t>
            </w:r>
          </w:p>
        </w:tc>
        <w:tc>
          <w:tcPr>
            <w:tcW w:w="1085" w:type="pct"/>
            <w:shd w:val="clear" w:color="auto" w:fill="auto"/>
          </w:tcPr>
          <w:p w:rsidRPr="00F74574" w:rsidR="00F74574" w:rsidP="00F74574" w:rsidRDefault="00F74574">
            <w:pPr>
              <w:keepNext/>
              <w:jc w:val="right"/>
              <w:rPr>
                <w:sz w:val="20"/>
                <w:szCs w:val="20"/>
              </w:rPr>
            </w:pPr>
            <w:r w:rsidRPr="00F74574">
              <w:rPr>
                <w:sz w:val="20"/>
                <w:szCs w:val="20"/>
              </w:rPr>
              <w:t>25</w:t>
            </w:r>
          </w:p>
        </w:tc>
        <w:tc>
          <w:tcPr>
            <w:tcW w:w="602" w:type="pct"/>
            <w:shd w:val="clear" w:color="auto" w:fill="auto"/>
          </w:tcPr>
          <w:p w:rsidRPr="00F74574" w:rsidR="00F74574" w:rsidP="00F74574" w:rsidRDefault="00CA35D8">
            <w:pPr>
              <w:keepNext/>
              <w:jc w:val="right"/>
              <w:rPr>
                <w:sz w:val="20"/>
                <w:szCs w:val="20"/>
              </w:rPr>
            </w:pPr>
            <w:r>
              <w:rPr>
                <w:sz w:val="20"/>
                <w:szCs w:val="20"/>
              </w:rPr>
              <w:t>200</w:t>
            </w:r>
          </w:p>
        </w:tc>
      </w:tr>
      <w:tr w:rsidRPr="00F74574" w:rsidR="00F74574" w:rsidTr="00CB4F6E">
        <w:trPr>
          <w:cantSplit/>
          <w:trHeight w:val="20"/>
          <w:jc w:val="center"/>
        </w:trPr>
        <w:tc>
          <w:tcPr>
            <w:tcW w:w="793" w:type="pct"/>
            <w:shd w:val="clear" w:color="auto" w:fill="auto"/>
          </w:tcPr>
          <w:p w:rsidRPr="00F74574" w:rsidR="00F74574" w:rsidP="00F74574" w:rsidRDefault="00F74574">
            <w:pPr>
              <w:keepNext/>
              <w:rPr>
                <w:sz w:val="20"/>
                <w:szCs w:val="20"/>
              </w:rPr>
            </w:pPr>
            <w:bookmarkStart w:name="_Hlk533693272" w:id="16"/>
            <w:r w:rsidRPr="00F74574">
              <w:rPr>
                <w:sz w:val="20"/>
                <w:szCs w:val="20"/>
              </w:rPr>
              <w:t>TL setup documentation (SOPs) &amp; training (one-time burden)</w:t>
            </w:r>
            <w:bookmarkEnd w:id="16"/>
          </w:p>
        </w:tc>
        <w:tc>
          <w:tcPr>
            <w:tcW w:w="957" w:type="pct"/>
            <w:shd w:val="clear" w:color="auto" w:fill="auto"/>
          </w:tcPr>
          <w:p w:rsidRPr="00F74574" w:rsidR="00F74574" w:rsidP="00F74574" w:rsidRDefault="00F74574">
            <w:pPr>
              <w:keepNext/>
              <w:jc w:val="right"/>
              <w:rPr>
                <w:sz w:val="20"/>
                <w:szCs w:val="20"/>
              </w:rPr>
            </w:pPr>
            <w:r w:rsidRPr="00F74574">
              <w:rPr>
                <w:sz w:val="20"/>
                <w:szCs w:val="20"/>
              </w:rPr>
              <w:t>150</w:t>
            </w:r>
          </w:p>
        </w:tc>
        <w:tc>
          <w:tcPr>
            <w:tcW w:w="906" w:type="pct"/>
            <w:shd w:val="clear" w:color="auto" w:fill="auto"/>
          </w:tcPr>
          <w:p w:rsidRPr="00F74574" w:rsidR="00F74574" w:rsidP="00F74574" w:rsidRDefault="00F74574">
            <w:pPr>
              <w:keepNext/>
              <w:jc w:val="right"/>
              <w:rPr>
                <w:sz w:val="20"/>
                <w:szCs w:val="20"/>
              </w:rPr>
            </w:pPr>
            <w:r w:rsidRPr="00F74574">
              <w:rPr>
                <w:sz w:val="20"/>
                <w:szCs w:val="20"/>
              </w:rPr>
              <w:t>1</w:t>
            </w:r>
          </w:p>
        </w:tc>
        <w:tc>
          <w:tcPr>
            <w:tcW w:w="657" w:type="pct"/>
            <w:shd w:val="clear" w:color="auto" w:fill="auto"/>
          </w:tcPr>
          <w:p w:rsidRPr="00F74574" w:rsidR="00F74574" w:rsidP="00F74574" w:rsidRDefault="00F74574">
            <w:pPr>
              <w:keepNext/>
              <w:jc w:val="right"/>
              <w:rPr>
                <w:sz w:val="20"/>
                <w:szCs w:val="20"/>
              </w:rPr>
            </w:pPr>
            <w:r w:rsidRPr="00F74574">
              <w:rPr>
                <w:sz w:val="20"/>
                <w:szCs w:val="20"/>
              </w:rPr>
              <w:t>150</w:t>
            </w:r>
          </w:p>
        </w:tc>
        <w:tc>
          <w:tcPr>
            <w:tcW w:w="1085" w:type="pct"/>
            <w:shd w:val="clear" w:color="auto" w:fill="auto"/>
          </w:tcPr>
          <w:p w:rsidRPr="00F74574" w:rsidR="00F74574" w:rsidP="00F74574" w:rsidRDefault="00F74574">
            <w:pPr>
              <w:keepNext/>
              <w:jc w:val="right"/>
              <w:rPr>
                <w:sz w:val="20"/>
                <w:szCs w:val="20"/>
              </w:rPr>
            </w:pPr>
            <w:r w:rsidRPr="00F74574">
              <w:rPr>
                <w:sz w:val="20"/>
                <w:szCs w:val="20"/>
              </w:rPr>
              <w:t>25</w:t>
            </w:r>
          </w:p>
        </w:tc>
        <w:tc>
          <w:tcPr>
            <w:tcW w:w="602" w:type="pct"/>
            <w:shd w:val="clear" w:color="auto" w:fill="auto"/>
          </w:tcPr>
          <w:p w:rsidRPr="00F74574" w:rsidR="00F74574" w:rsidP="00F74574" w:rsidRDefault="00DC5E47">
            <w:pPr>
              <w:keepNext/>
              <w:jc w:val="right"/>
              <w:rPr>
                <w:sz w:val="20"/>
                <w:szCs w:val="20"/>
              </w:rPr>
            </w:pPr>
            <w:r>
              <w:rPr>
                <w:sz w:val="20"/>
                <w:szCs w:val="20"/>
              </w:rPr>
              <w:t>3,750</w:t>
            </w:r>
          </w:p>
        </w:tc>
      </w:tr>
      <w:tr w:rsidRPr="00F74574" w:rsidR="00F74574" w:rsidTr="00CB4F6E">
        <w:trPr>
          <w:cantSplit/>
          <w:trHeight w:val="20"/>
          <w:jc w:val="center"/>
        </w:trPr>
        <w:tc>
          <w:tcPr>
            <w:tcW w:w="793" w:type="pct"/>
            <w:shd w:val="clear" w:color="auto" w:fill="auto"/>
          </w:tcPr>
          <w:p w:rsidRPr="00F74574" w:rsidR="00F74574" w:rsidP="00F74574" w:rsidRDefault="00F74574">
            <w:pPr>
              <w:keepNext/>
              <w:rPr>
                <w:sz w:val="20"/>
                <w:szCs w:val="20"/>
              </w:rPr>
            </w:pPr>
            <w:r w:rsidRPr="00F74574">
              <w:rPr>
                <w:sz w:val="20"/>
                <w:szCs w:val="20"/>
              </w:rPr>
              <w:t>AB record maintenance</w:t>
            </w:r>
          </w:p>
        </w:tc>
        <w:tc>
          <w:tcPr>
            <w:tcW w:w="957" w:type="pct"/>
            <w:shd w:val="clear" w:color="auto" w:fill="auto"/>
          </w:tcPr>
          <w:p w:rsidRPr="00F74574" w:rsidR="00F74574" w:rsidP="00F74574" w:rsidRDefault="00CA35D8">
            <w:pPr>
              <w:keepNext/>
              <w:jc w:val="right"/>
              <w:rPr>
                <w:sz w:val="20"/>
                <w:szCs w:val="20"/>
              </w:rPr>
            </w:pPr>
            <w:r>
              <w:rPr>
                <w:sz w:val="20"/>
                <w:szCs w:val="20"/>
              </w:rPr>
              <w:t>8</w:t>
            </w:r>
          </w:p>
        </w:tc>
        <w:tc>
          <w:tcPr>
            <w:tcW w:w="906" w:type="pct"/>
            <w:shd w:val="clear" w:color="auto" w:fill="auto"/>
          </w:tcPr>
          <w:p w:rsidRPr="00F74574" w:rsidR="00F74574" w:rsidP="00F74574" w:rsidRDefault="00F74574">
            <w:pPr>
              <w:keepNext/>
              <w:jc w:val="right"/>
              <w:rPr>
                <w:sz w:val="20"/>
                <w:szCs w:val="20"/>
              </w:rPr>
            </w:pPr>
            <w:r w:rsidRPr="00F74574">
              <w:rPr>
                <w:sz w:val="20"/>
                <w:szCs w:val="20"/>
              </w:rPr>
              <w:t>1</w:t>
            </w:r>
          </w:p>
        </w:tc>
        <w:tc>
          <w:tcPr>
            <w:tcW w:w="657" w:type="pct"/>
            <w:shd w:val="clear" w:color="auto" w:fill="auto"/>
          </w:tcPr>
          <w:p w:rsidRPr="00F74574" w:rsidR="00F74574" w:rsidP="00F74574" w:rsidRDefault="00CA35D8">
            <w:pPr>
              <w:keepNext/>
              <w:jc w:val="right"/>
              <w:rPr>
                <w:sz w:val="20"/>
                <w:szCs w:val="20"/>
              </w:rPr>
            </w:pPr>
            <w:r>
              <w:rPr>
                <w:sz w:val="20"/>
                <w:szCs w:val="20"/>
              </w:rPr>
              <w:t>8</w:t>
            </w:r>
          </w:p>
        </w:tc>
        <w:tc>
          <w:tcPr>
            <w:tcW w:w="1085" w:type="pct"/>
            <w:shd w:val="clear" w:color="auto" w:fill="auto"/>
          </w:tcPr>
          <w:p w:rsidRPr="00F74574" w:rsidR="00F74574" w:rsidP="00F74574" w:rsidRDefault="00F74574">
            <w:pPr>
              <w:keepNext/>
              <w:jc w:val="right"/>
              <w:rPr>
                <w:sz w:val="20"/>
                <w:szCs w:val="20"/>
              </w:rPr>
            </w:pPr>
            <w:r w:rsidRPr="00F74574">
              <w:rPr>
                <w:sz w:val="20"/>
                <w:szCs w:val="20"/>
              </w:rPr>
              <w:t>1</w:t>
            </w:r>
          </w:p>
        </w:tc>
        <w:tc>
          <w:tcPr>
            <w:tcW w:w="602" w:type="pct"/>
            <w:shd w:val="clear" w:color="auto" w:fill="auto"/>
          </w:tcPr>
          <w:p w:rsidRPr="00F74574" w:rsidR="00F74574" w:rsidP="00F74574" w:rsidRDefault="00CA35D8">
            <w:pPr>
              <w:keepNext/>
              <w:jc w:val="right"/>
              <w:rPr>
                <w:sz w:val="20"/>
                <w:szCs w:val="20"/>
              </w:rPr>
            </w:pPr>
            <w:r>
              <w:rPr>
                <w:sz w:val="20"/>
                <w:szCs w:val="20"/>
              </w:rPr>
              <w:t>8</w:t>
            </w:r>
          </w:p>
        </w:tc>
      </w:tr>
      <w:tr w:rsidRPr="00F74574" w:rsidR="00F74574" w:rsidTr="00CB4F6E">
        <w:trPr>
          <w:cantSplit/>
          <w:trHeight w:val="20"/>
          <w:jc w:val="center"/>
        </w:trPr>
        <w:tc>
          <w:tcPr>
            <w:tcW w:w="793" w:type="pct"/>
            <w:shd w:val="clear" w:color="auto" w:fill="auto"/>
          </w:tcPr>
          <w:p w:rsidRPr="00F74574" w:rsidR="00F74574" w:rsidP="00F74574" w:rsidRDefault="00F74574">
            <w:pPr>
              <w:keepNext/>
              <w:rPr>
                <w:sz w:val="20"/>
                <w:szCs w:val="20"/>
              </w:rPr>
            </w:pPr>
            <w:r w:rsidRPr="00F74574">
              <w:rPr>
                <w:sz w:val="20"/>
                <w:szCs w:val="20"/>
              </w:rPr>
              <w:t>TL record maintenance</w:t>
            </w:r>
          </w:p>
        </w:tc>
        <w:tc>
          <w:tcPr>
            <w:tcW w:w="957" w:type="pct"/>
            <w:shd w:val="clear" w:color="auto" w:fill="auto"/>
          </w:tcPr>
          <w:p w:rsidRPr="00F74574" w:rsidR="00F74574" w:rsidP="00F74574" w:rsidRDefault="00F74574">
            <w:pPr>
              <w:keepNext/>
              <w:jc w:val="right"/>
              <w:rPr>
                <w:sz w:val="20"/>
                <w:szCs w:val="20"/>
              </w:rPr>
            </w:pPr>
            <w:r w:rsidRPr="00F74574">
              <w:rPr>
                <w:sz w:val="20"/>
                <w:szCs w:val="20"/>
              </w:rPr>
              <w:t>150</w:t>
            </w:r>
          </w:p>
        </w:tc>
        <w:tc>
          <w:tcPr>
            <w:tcW w:w="906" w:type="pct"/>
            <w:shd w:val="clear" w:color="auto" w:fill="auto"/>
          </w:tcPr>
          <w:p w:rsidRPr="00F74574" w:rsidR="00F74574" w:rsidP="00F74574" w:rsidRDefault="00F74574">
            <w:pPr>
              <w:keepNext/>
              <w:jc w:val="right"/>
              <w:rPr>
                <w:sz w:val="20"/>
                <w:szCs w:val="20"/>
              </w:rPr>
            </w:pPr>
            <w:r w:rsidRPr="00F74574">
              <w:rPr>
                <w:sz w:val="20"/>
                <w:szCs w:val="20"/>
              </w:rPr>
              <w:t>1</w:t>
            </w:r>
          </w:p>
        </w:tc>
        <w:tc>
          <w:tcPr>
            <w:tcW w:w="657" w:type="pct"/>
            <w:shd w:val="clear" w:color="auto" w:fill="auto"/>
          </w:tcPr>
          <w:p w:rsidRPr="00F74574" w:rsidR="00F74574" w:rsidP="00F74574" w:rsidRDefault="00F74574">
            <w:pPr>
              <w:keepNext/>
              <w:jc w:val="right"/>
              <w:rPr>
                <w:sz w:val="20"/>
                <w:szCs w:val="20"/>
              </w:rPr>
            </w:pPr>
            <w:r w:rsidRPr="00F74574">
              <w:rPr>
                <w:sz w:val="20"/>
                <w:szCs w:val="20"/>
              </w:rPr>
              <w:t>150</w:t>
            </w:r>
          </w:p>
        </w:tc>
        <w:tc>
          <w:tcPr>
            <w:tcW w:w="1085" w:type="pct"/>
            <w:shd w:val="clear" w:color="auto" w:fill="auto"/>
          </w:tcPr>
          <w:p w:rsidRPr="00F74574" w:rsidR="00F74574" w:rsidP="00F74574" w:rsidRDefault="00F74574">
            <w:pPr>
              <w:keepNext/>
              <w:jc w:val="right"/>
              <w:rPr>
                <w:sz w:val="20"/>
                <w:szCs w:val="20"/>
              </w:rPr>
            </w:pPr>
            <w:r w:rsidRPr="00F74574">
              <w:rPr>
                <w:sz w:val="20"/>
                <w:szCs w:val="20"/>
              </w:rPr>
              <w:t>1</w:t>
            </w:r>
          </w:p>
        </w:tc>
        <w:tc>
          <w:tcPr>
            <w:tcW w:w="602" w:type="pct"/>
            <w:shd w:val="clear" w:color="auto" w:fill="auto"/>
          </w:tcPr>
          <w:p w:rsidRPr="00F74574" w:rsidR="00F74574" w:rsidP="00F74574" w:rsidRDefault="00DC5E47">
            <w:pPr>
              <w:keepNext/>
              <w:jc w:val="right"/>
              <w:rPr>
                <w:sz w:val="20"/>
                <w:szCs w:val="20"/>
              </w:rPr>
            </w:pPr>
            <w:r>
              <w:rPr>
                <w:sz w:val="20"/>
                <w:szCs w:val="20"/>
              </w:rPr>
              <w:t>150</w:t>
            </w:r>
          </w:p>
        </w:tc>
      </w:tr>
      <w:tr w:rsidRPr="00F74574" w:rsidR="00F74574" w:rsidTr="00CB4F6E">
        <w:trPr>
          <w:cantSplit/>
          <w:trHeight w:val="20"/>
          <w:jc w:val="center"/>
        </w:trPr>
        <w:tc>
          <w:tcPr>
            <w:tcW w:w="793" w:type="pct"/>
            <w:shd w:val="clear" w:color="auto" w:fill="auto"/>
          </w:tcPr>
          <w:p w:rsidRPr="00F74574" w:rsidR="00F74574" w:rsidP="00F74574" w:rsidRDefault="00F74574">
            <w:pPr>
              <w:keepNext/>
              <w:rPr>
                <w:sz w:val="20"/>
                <w:szCs w:val="20"/>
              </w:rPr>
            </w:pPr>
            <w:r w:rsidRPr="00F74574">
              <w:rPr>
                <w:sz w:val="20"/>
                <w:szCs w:val="20"/>
              </w:rPr>
              <w:t>Total</w:t>
            </w:r>
          </w:p>
        </w:tc>
        <w:tc>
          <w:tcPr>
            <w:tcW w:w="957" w:type="pct"/>
            <w:shd w:val="clear" w:color="auto" w:fill="auto"/>
          </w:tcPr>
          <w:p w:rsidRPr="00F74574" w:rsidR="00F74574" w:rsidP="00F74574" w:rsidRDefault="00F74574">
            <w:pPr>
              <w:keepNext/>
              <w:jc w:val="right"/>
              <w:rPr>
                <w:sz w:val="20"/>
                <w:szCs w:val="20"/>
              </w:rPr>
            </w:pPr>
          </w:p>
        </w:tc>
        <w:tc>
          <w:tcPr>
            <w:tcW w:w="906" w:type="pct"/>
            <w:shd w:val="clear" w:color="auto" w:fill="auto"/>
          </w:tcPr>
          <w:p w:rsidRPr="00F74574" w:rsidR="00F74574" w:rsidP="00F74574" w:rsidRDefault="00F74574">
            <w:pPr>
              <w:keepNext/>
              <w:jc w:val="right"/>
              <w:rPr>
                <w:sz w:val="20"/>
                <w:szCs w:val="20"/>
              </w:rPr>
            </w:pPr>
          </w:p>
        </w:tc>
        <w:tc>
          <w:tcPr>
            <w:tcW w:w="657" w:type="pct"/>
            <w:shd w:val="clear" w:color="auto" w:fill="auto"/>
          </w:tcPr>
          <w:p w:rsidRPr="00F74574" w:rsidR="00F74574" w:rsidP="00F74574" w:rsidRDefault="00F74574">
            <w:pPr>
              <w:keepNext/>
              <w:jc w:val="right"/>
              <w:rPr>
                <w:sz w:val="20"/>
                <w:szCs w:val="20"/>
              </w:rPr>
            </w:pPr>
          </w:p>
        </w:tc>
        <w:tc>
          <w:tcPr>
            <w:tcW w:w="1085" w:type="pct"/>
            <w:shd w:val="clear" w:color="auto" w:fill="auto"/>
          </w:tcPr>
          <w:p w:rsidRPr="00F74574" w:rsidR="00F74574" w:rsidP="00F74574" w:rsidRDefault="00F74574">
            <w:pPr>
              <w:keepNext/>
              <w:jc w:val="right"/>
              <w:rPr>
                <w:sz w:val="20"/>
                <w:szCs w:val="20"/>
              </w:rPr>
            </w:pPr>
          </w:p>
        </w:tc>
        <w:tc>
          <w:tcPr>
            <w:tcW w:w="602" w:type="pct"/>
            <w:shd w:val="clear" w:color="auto" w:fill="auto"/>
          </w:tcPr>
          <w:p w:rsidRPr="00F74574" w:rsidR="00F74574" w:rsidP="00F74574" w:rsidRDefault="00CA35D8">
            <w:pPr>
              <w:keepNext/>
              <w:jc w:val="right"/>
              <w:rPr>
                <w:sz w:val="20"/>
                <w:szCs w:val="20"/>
              </w:rPr>
            </w:pPr>
            <w:r>
              <w:rPr>
                <w:sz w:val="20"/>
                <w:szCs w:val="20"/>
              </w:rPr>
              <w:t>4,108</w:t>
            </w:r>
          </w:p>
        </w:tc>
      </w:tr>
    </w:tbl>
    <w:p w:rsidR="00F74574" w:rsidP="00BF069C" w:rsidRDefault="00F74574">
      <w:pPr>
        <w:ind w:left="720"/>
        <w:contextualSpacing/>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69"/>
        <w:gridCol w:w="1536"/>
        <w:gridCol w:w="1440"/>
        <w:gridCol w:w="1427"/>
        <w:gridCol w:w="1329"/>
        <w:gridCol w:w="875"/>
      </w:tblGrid>
      <w:tr w:rsidRPr="00F74574" w:rsidR="00F74574" w:rsidTr="00CB4F6E">
        <w:trPr>
          <w:cantSplit/>
          <w:trHeight w:val="20"/>
          <w:tblHeader/>
          <w:jc w:val="center"/>
        </w:trPr>
        <w:tc>
          <w:tcPr>
            <w:tcW w:w="5000" w:type="pct"/>
            <w:gridSpan w:val="6"/>
            <w:tcBorders>
              <w:top w:val="nil"/>
              <w:left w:val="nil"/>
              <w:right w:val="nil"/>
            </w:tcBorders>
          </w:tcPr>
          <w:p w:rsidRPr="00F74574" w:rsidR="00F74574" w:rsidP="00F74574" w:rsidRDefault="00F74574">
            <w:pPr>
              <w:jc w:val="center"/>
              <w:rPr>
                <w:sz w:val="20"/>
                <w:szCs w:val="20"/>
              </w:rPr>
            </w:pPr>
            <w:r w:rsidRPr="00F74574">
              <w:rPr>
                <w:sz w:val="20"/>
                <w:szCs w:val="20"/>
              </w:rPr>
              <w:t xml:space="preserve">Table </w:t>
            </w:r>
            <w:proofErr w:type="gramStart"/>
            <w:r w:rsidRPr="00F74574">
              <w:rPr>
                <w:sz w:val="20"/>
                <w:szCs w:val="20"/>
              </w:rPr>
              <w:t>3.--</w:t>
            </w:r>
            <w:proofErr w:type="gramEnd"/>
            <w:r w:rsidRPr="00F74574">
              <w:rPr>
                <w:sz w:val="20"/>
                <w:szCs w:val="20"/>
              </w:rPr>
              <w:t>Estimated Annual Third-Party Disclosure Burden</w:t>
            </w:r>
          </w:p>
        </w:tc>
      </w:tr>
      <w:tr w:rsidRPr="00F74574" w:rsidR="00F74574" w:rsidTr="00CB4F6E">
        <w:trPr>
          <w:cantSplit/>
          <w:trHeight w:val="20"/>
          <w:tblHeader/>
          <w:jc w:val="center"/>
        </w:trPr>
        <w:tc>
          <w:tcPr>
            <w:tcW w:w="1550" w:type="pct"/>
          </w:tcPr>
          <w:p w:rsidRPr="00F74574" w:rsidR="00F74574" w:rsidP="00F74574" w:rsidRDefault="00F74574">
            <w:pPr>
              <w:jc w:val="center"/>
              <w:rPr>
                <w:sz w:val="20"/>
                <w:szCs w:val="20"/>
              </w:rPr>
            </w:pPr>
            <w:r w:rsidRPr="00F74574">
              <w:rPr>
                <w:sz w:val="20"/>
                <w:szCs w:val="20"/>
              </w:rPr>
              <w:t>Activity</w:t>
            </w:r>
          </w:p>
        </w:tc>
        <w:tc>
          <w:tcPr>
            <w:tcW w:w="802" w:type="pct"/>
          </w:tcPr>
          <w:p w:rsidRPr="00F74574" w:rsidR="00F74574" w:rsidP="00F74574" w:rsidRDefault="00F74574">
            <w:pPr>
              <w:jc w:val="center"/>
              <w:rPr>
                <w:sz w:val="20"/>
                <w:szCs w:val="20"/>
              </w:rPr>
            </w:pPr>
            <w:r w:rsidRPr="00F74574">
              <w:rPr>
                <w:sz w:val="20"/>
                <w:szCs w:val="20"/>
              </w:rPr>
              <w:t>No. of Respondents</w:t>
            </w:r>
          </w:p>
        </w:tc>
        <w:tc>
          <w:tcPr>
            <w:tcW w:w="752" w:type="pct"/>
          </w:tcPr>
          <w:p w:rsidRPr="00F74574" w:rsidR="00F74574" w:rsidP="00F74574" w:rsidRDefault="00F74574">
            <w:pPr>
              <w:jc w:val="center"/>
              <w:rPr>
                <w:sz w:val="20"/>
                <w:szCs w:val="20"/>
              </w:rPr>
            </w:pPr>
            <w:r w:rsidRPr="00F74574">
              <w:rPr>
                <w:bCs/>
                <w:sz w:val="20"/>
                <w:szCs w:val="20"/>
              </w:rPr>
              <w:t>No. of Disclosures per Respondent</w:t>
            </w:r>
          </w:p>
        </w:tc>
        <w:tc>
          <w:tcPr>
            <w:tcW w:w="745" w:type="pct"/>
          </w:tcPr>
          <w:p w:rsidRPr="00F74574" w:rsidR="00F74574" w:rsidP="00F74574" w:rsidRDefault="00F74574">
            <w:pPr>
              <w:jc w:val="center"/>
              <w:rPr>
                <w:sz w:val="20"/>
                <w:szCs w:val="20"/>
              </w:rPr>
            </w:pPr>
            <w:r w:rsidRPr="00F74574">
              <w:rPr>
                <w:sz w:val="20"/>
                <w:szCs w:val="20"/>
              </w:rPr>
              <w:t>Total Annual Disclosures</w:t>
            </w:r>
          </w:p>
        </w:tc>
        <w:tc>
          <w:tcPr>
            <w:tcW w:w="694" w:type="pct"/>
          </w:tcPr>
          <w:p w:rsidRPr="00F74574" w:rsidR="00F74574" w:rsidP="00F74574" w:rsidRDefault="00F74574">
            <w:pPr>
              <w:jc w:val="center"/>
              <w:rPr>
                <w:sz w:val="20"/>
                <w:szCs w:val="20"/>
              </w:rPr>
            </w:pPr>
            <w:r w:rsidRPr="00F74574">
              <w:rPr>
                <w:bCs/>
                <w:sz w:val="20"/>
                <w:szCs w:val="20"/>
              </w:rPr>
              <w:t>Average Burden per Disclosure</w:t>
            </w:r>
          </w:p>
        </w:tc>
        <w:tc>
          <w:tcPr>
            <w:tcW w:w="457" w:type="pct"/>
          </w:tcPr>
          <w:p w:rsidRPr="00F74574" w:rsidR="00F74574" w:rsidP="00F74574" w:rsidRDefault="00F74574">
            <w:pPr>
              <w:jc w:val="center"/>
              <w:rPr>
                <w:sz w:val="20"/>
                <w:szCs w:val="20"/>
              </w:rPr>
            </w:pPr>
            <w:r w:rsidRPr="00F74574">
              <w:rPr>
                <w:sz w:val="20"/>
                <w:szCs w:val="20"/>
              </w:rPr>
              <w:t>Total Hours</w:t>
            </w:r>
          </w:p>
        </w:tc>
      </w:tr>
      <w:tr w:rsidRPr="00F74574" w:rsidR="00F74574" w:rsidTr="00CB4F6E">
        <w:trPr>
          <w:cantSplit/>
          <w:trHeight w:val="20"/>
          <w:jc w:val="center"/>
        </w:trPr>
        <w:tc>
          <w:tcPr>
            <w:tcW w:w="1550" w:type="pct"/>
          </w:tcPr>
          <w:p w:rsidRPr="00F74574" w:rsidR="00F74574" w:rsidP="00F74574" w:rsidRDefault="00F74574">
            <w:pPr>
              <w:rPr>
                <w:sz w:val="20"/>
                <w:szCs w:val="20"/>
              </w:rPr>
            </w:pPr>
            <w:bookmarkStart w:name="_Hlk533693183" w:id="17"/>
            <w:r w:rsidRPr="00F74574">
              <w:rPr>
                <w:sz w:val="20"/>
                <w:szCs w:val="20"/>
              </w:rPr>
              <w:t>Request for Accreditation (TLs requesting accreditation from ABs)</w:t>
            </w:r>
            <w:bookmarkEnd w:id="17"/>
          </w:p>
        </w:tc>
        <w:tc>
          <w:tcPr>
            <w:tcW w:w="802" w:type="pct"/>
          </w:tcPr>
          <w:p w:rsidRPr="00F74574" w:rsidR="00F74574" w:rsidP="00F74574" w:rsidRDefault="00F74574">
            <w:pPr>
              <w:jc w:val="right"/>
              <w:rPr>
                <w:sz w:val="20"/>
                <w:szCs w:val="20"/>
              </w:rPr>
            </w:pPr>
            <w:r w:rsidRPr="00F74574">
              <w:rPr>
                <w:sz w:val="20"/>
                <w:szCs w:val="20"/>
              </w:rPr>
              <w:t>150</w:t>
            </w:r>
          </w:p>
        </w:tc>
        <w:tc>
          <w:tcPr>
            <w:tcW w:w="752" w:type="pct"/>
          </w:tcPr>
          <w:p w:rsidRPr="00F74574" w:rsidR="00F74574" w:rsidP="00F74574" w:rsidRDefault="00F74574">
            <w:pPr>
              <w:jc w:val="right"/>
              <w:rPr>
                <w:sz w:val="20"/>
                <w:szCs w:val="20"/>
              </w:rPr>
            </w:pPr>
            <w:r w:rsidRPr="00F74574">
              <w:rPr>
                <w:sz w:val="20"/>
                <w:szCs w:val="20"/>
              </w:rPr>
              <w:t>1</w:t>
            </w:r>
          </w:p>
        </w:tc>
        <w:tc>
          <w:tcPr>
            <w:tcW w:w="745" w:type="pct"/>
          </w:tcPr>
          <w:p w:rsidRPr="00F74574" w:rsidR="00F74574" w:rsidP="00F74574" w:rsidRDefault="00F74574">
            <w:pPr>
              <w:jc w:val="right"/>
              <w:rPr>
                <w:sz w:val="20"/>
                <w:szCs w:val="20"/>
              </w:rPr>
            </w:pPr>
            <w:r w:rsidRPr="00F74574">
              <w:rPr>
                <w:sz w:val="20"/>
                <w:szCs w:val="20"/>
              </w:rPr>
              <w:t>150</w:t>
            </w:r>
          </w:p>
        </w:tc>
        <w:tc>
          <w:tcPr>
            <w:tcW w:w="694" w:type="pct"/>
          </w:tcPr>
          <w:p w:rsidRPr="00F74574" w:rsidR="00F74574" w:rsidP="00F74574" w:rsidRDefault="00F74574">
            <w:pPr>
              <w:jc w:val="right"/>
              <w:rPr>
                <w:sz w:val="20"/>
                <w:szCs w:val="20"/>
              </w:rPr>
            </w:pPr>
            <w:r w:rsidRPr="00F74574">
              <w:rPr>
                <w:sz w:val="20"/>
                <w:szCs w:val="20"/>
              </w:rPr>
              <w:t>0.5 (30 minutes)</w:t>
            </w:r>
          </w:p>
        </w:tc>
        <w:tc>
          <w:tcPr>
            <w:tcW w:w="457" w:type="pct"/>
          </w:tcPr>
          <w:p w:rsidRPr="00F74574" w:rsidR="00F74574" w:rsidP="00F74574" w:rsidRDefault="000E065F">
            <w:pPr>
              <w:jc w:val="right"/>
              <w:rPr>
                <w:sz w:val="20"/>
                <w:szCs w:val="20"/>
              </w:rPr>
            </w:pPr>
            <w:r>
              <w:rPr>
                <w:sz w:val="20"/>
                <w:szCs w:val="20"/>
              </w:rPr>
              <w:t>75</w:t>
            </w:r>
          </w:p>
        </w:tc>
      </w:tr>
      <w:tr w:rsidRPr="00F74574" w:rsidR="00F74574" w:rsidTr="00CB4F6E">
        <w:trPr>
          <w:cantSplit/>
          <w:trHeight w:val="20"/>
          <w:jc w:val="center"/>
        </w:trPr>
        <w:tc>
          <w:tcPr>
            <w:tcW w:w="1550" w:type="pct"/>
          </w:tcPr>
          <w:p w:rsidRPr="00F74574" w:rsidR="00F74574" w:rsidP="00F74574" w:rsidRDefault="00F74574">
            <w:pPr>
              <w:rPr>
                <w:sz w:val="20"/>
                <w:szCs w:val="20"/>
              </w:rPr>
            </w:pPr>
            <w:r w:rsidRPr="00F74574">
              <w:rPr>
                <w:sz w:val="20"/>
                <w:szCs w:val="20"/>
              </w:rPr>
              <w:t>Review/Acknowledgement of accreditation request (ABs)</w:t>
            </w:r>
          </w:p>
        </w:tc>
        <w:tc>
          <w:tcPr>
            <w:tcW w:w="802" w:type="pct"/>
          </w:tcPr>
          <w:p w:rsidRPr="00F74574" w:rsidR="00F74574" w:rsidP="00F74574" w:rsidRDefault="00CA35D8">
            <w:pPr>
              <w:jc w:val="right"/>
              <w:rPr>
                <w:sz w:val="20"/>
                <w:szCs w:val="20"/>
              </w:rPr>
            </w:pPr>
            <w:r>
              <w:rPr>
                <w:sz w:val="20"/>
                <w:szCs w:val="20"/>
              </w:rPr>
              <w:t>8</w:t>
            </w:r>
          </w:p>
        </w:tc>
        <w:tc>
          <w:tcPr>
            <w:tcW w:w="752" w:type="pct"/>
          </w:tcPr>
          <w:p w:rsidRPr="00F74574" w:rsidR="00F74574" w:rsidP="00F74574" w:rsidRDefault="00F74574">
            <w:pPr>
              <w:jc w:val="right"/>
              <w:rPr>
                <w:sz w:val="20"/>
                <w:szCs w:val="20"/>
              </w:rPr>
            </w:pPr>
            <w:r w:rsidRPr="00F74574">
              <w:rPr>
                <w:sz w:val="20"/>
                <w:szCs w:val="20"/>
              </w:rPr>
              <w:t>22</w:t>
            </w:r>
          </w:p>
        </w:tc>
        <w:tc>
          <w:tcPr>
            <w:tcW w:w="745" w:type="pct"/>
          </w:tcPr>
          <w:p w:rsidRPr="00F74574" w:rsidR="00F74574" w:rsidP="00F74574" w:rsidRDefault="00CA35D8">
            <w:pPr>
              <w:jc w:val="right"/>
              <w:rPr>
                <w:sz w:val="20"/>
                <w:szCs w:val="20"/>
              </w:rPr>
            </w:pPr>
            <w:r>
              <w:rPr>
                <w:sz w:val="20"/>
                <w:szCs w:val="20"/>
              </w:rPr>
              <w:t>176</w:t>
            </w:r>
          </w:p>
        </w:tc>
        <w:tc>
          <w:tcPr>
            <w:tcW w:w="694" w:type="pct"/>
          </w:tcPr>
          <w:p w:rsidRPr="00F74574" w:rsidR="00F74574" w:rsidP="00F74574" w:rsidRDefault="00F74574">
            <w:pPr>
              <w:jc w:val="right"/>
              <w:rPr>
                <w:sz w:val="20"/>
                <w:szCs w:val="20"/>
              </w:rPr>
            </w:pPr>
            <w:r w:rsidRPr="00F74574">
              <w:rPr>
                <w:sz w:val="20"/>
                <w:szCs w:val="20"/>
              </w:rPr>
              <w:t>40</w:t>
            </w:r>
          </w:p>
        </w:tc>
        <w:tc>
          <w:tcPr>
            <w:tcW w:w="457" w:type="pct"/>
          </w:tcPr>
          <w:p w:rsidRPr="00F74574" w:rsidR="00F74574" w:rsidP="00F74574" w:rsidRDefault="00CA35D8">
            <w:pPr>
              <w:jc w:val="right"/>
              <w:rPr>
                <w:sz w:val="20"/>
                <w:szCs w:val="20"/>
              </w:rPr>
            </w:pPr>
            <w:r>
              <w:rPr>
                <w:sz w:val="20"/>
                <w:szCs w:val="20"/>
              </w:rPr>
              <w:t>7,040</w:t>
            </w:r>
          </w:p>
        </w:tc>
      </w:tr>
      <w:tr w:rsidRPr="00F74574" w:rsidR="00F74574" w:rsidTr="00CB4F6E">
        <w:trPr>
          <w:cantSplit/>
          <w:trHeight w:val="20"/>
          <w:jc w:val="center"/>
        </w:trPr>
        <w:tc>
          <w:tcPr>
            <w:tcW w:w="1550" w:type="pct"/>
          </w:tcPr>
          <w:p w:rsidRPr="00F74574" w:rsidR="00F74574" w:rsidP="00F74574" w:rsidRDefault="004A5297">
            <w:pPr>
              <w:rPr>
                <w:sz w:val="20"/>
                <w:szCs w:val="20"/>
              </w:rPr>
            </w:pPr>
            <w:r>
              <w:rPr>
                <w:sz w:val="20"/>
                <w:szCs w:val="20"/>
              </w:rPr>
              <w:t xml:space="preserve">Test Reports (TLs) </w:t>
            </w:r>
          </w:p>
        </w:tc>
        <w:tc>
          <w:tcPr>
            <w:tcW w:w="802" w:type="pct"/>
          </w:tcPr>
          <w:p w:rsidRPr="00F74574" w:rsidR="00F74574" w:rsidP="00F74574" w:rsidRDefault="004A5297">
            <w:pPr>
              <w:jc w:val="right"/>
              <w:rPr>
                <w:sz w:val="20"/>
                <w:szCs w:val="20"/>
              </w:rPr>
            </w:pPr>
            <w:r>
              <w:rPr>
                <w:sz w:val="20"/>
                <w:szCs w:val="20"/>
              </w:rPr>
              <w:t>880</w:t>
            </w:r>
          </w:p>
        </w:tc>
        <w:tc>
          <w:tcPr>
            <w:tcW w:w="752" w:type="pct"/>
          </w:tcPr>
          <w:p w:rsidRPr="00F74574" w:rsidR="00F74574" w:rsidP="00F74574" w:rsidRDefault="004A5297">
            <w:pPr>
              <w:jc w:val="right"/>
              <w:rPr>
                <w:sz w:val="20"/>
                <w:szCs w:val="20"/>
              </w:rPr>
            </w:pPr>
            <w:r>
              <w:rPr>
                <w:sz w:val="20"/>
                <w:szCs w:val="20"/>
              </w:rPr>
              <w:t>1</w:t>
            </w:r>
          </w:p>
        </w:tc>
        <w:tc>
          <w:tcPr>
            <w:tcW w:w="745" w:type="pct"/>
          </w:tcPr>
          <w:p w:rsidRPr="00F74574" w:rsidR="00F74574" w:rsidP="00F74574" w:rsidRDefault="004A5297">
            <w:pPr>
              <w:jc w:val="right"/>
              <w:rPr>
                <w:sz w:val="20"/>
                <w:szCs w:val="20"/>
              </w:rPr>
            </w:pPr>
            <w:r>
              <w:rPr>
                <w:sz w:val="20"/>
                <w:szCs w:val="20"/>
              </w:rPr>
              <w:t>880</w:t>
            </w:r>
          </w:p>
        </w:tc>
        <w:tc>
          <w:tcPr>
            <w:tcW w:w="694" w:type="pct"/>
          </w:tcPr>
          <w:p w:rsidRPr="00F74574" w:rsidR="00F74574" w:rsidP="00F74574" w:rsidRDefault="004A5297">
            <w:pPr>
              <w:jc w:val="right"/>
              <w:rPr>
                <w:sz w:val="20"/>
                <w:szCs w:val="20"/>
              </w:rPr>
            </w:pPr>
            <w:r>
              <w:rPr>
                <w:sz w:val="20"/>
                <w:szCs w:val="20"/>
              </w:rPr>
              <w:t>1</w:t>
            </w:r>
          </w:p>
        </w:tc>
        <w:tc>
          <w:tcPr>
            <w:tcW w:w="457" w:type="pct"/>
          </w:tcPr>
          <w:p w:rsidRPr="00F74574" w:rsidR="00F74574" w:rsidP="00F74574" w:rsidRDefault="004A5297">
            <w:pPr>
              <w:jc w:val="right"/>
              <w:rPr>
                <w:sz w:val="20"/>
                <w:szCs w:val="20"/>
              </w:rPr>
            </w:pPr>
            <w:r>
              <w:rPr>
                <w:sz w:val="20"/>
                <w:szCs w:val="20"/>
              </w:rPr>
              <w:t>880</w:t>
            </w:r>
          </w:p>
        </w:tc>
      </w:tr>
      <w:tr w:rsidRPr="00F74574" w:rsidR="00F74574" w:rsidTr="00CB4F6E">
        <w:trPr>
          <w:cantSplit/>
          <w:trHeight w:val="20"/>
          <w:jc w:val="center"/>
        </w:trPr>
        <w:tc>
          <w:tcPr>
            <w:tcW w:w="1550" w:type="pct"/>
          </w:tcPr>
          <w:p w:rsidRPr="00F74574" w:rsidR="00F74574" w:rsidP="00F74574" w:rsidRDefault="00F74574">
            <w:pPr>
              <w:rPr>
                <w:sz w:val="20"/>
                <w:szCs w:val="20"/>
              </w:rPr>
            </w:pPr>
            <w:r w:rsidRPr="00F74574">
              <w:rPr>
                <w:sz w:val="20"/>
                <w:szCs w:val="20"/>
              </w:rPr>
              <w:t>Total</w:t>
            </w:r>
          </w:p>
        </w:tc>
        <w:tc>
          <w:tcPr>
            <w:tcW w:w="802" w:type="pct"/>
          </w:tcPr>
          <w:p w:rsidRPr="00F74574" w:rsidR="00F74574" w:rsidP="00F74574" w:rsidRDefault="00F74574">
            <w:pPr>
              <w:jc w:val="right"/>
              <w:rPr>
                <w:sz w:val="20"/>
                <w:szCs w:val="20"/>
              </w:rPr>
            </w:pPr>
          </w:p>
        </w:tc>
        <w:tc>
          <w:tcPr>
            <w:tcW w:w="752" w:type="pct"/>
          </w:tcPr>
          <w:p w:rsidRPr="00F74574" w:rsidR="00F74574" w:rsidP="00F74574" w:rsidRDefault="00F74574">
            <w:pPr>
              <w:jc w:val="right"/>
              <w:rPr>
                <w:sz w:val="20"/>
                <w:szCs w:val="20"/>
              </w:rPr>
            </w:pPr>
          </w:p>
        </w:tc>
        <w:tc>
          <w:tcPr>
            <w:tcW w:w="745" w:type="pct"/>
          </w:tcPr>
          <w:p w:rsidRPr="00F74574" w:rsidR="00F74574" w:rsidP="00F74574" w:rsidRDefault="00F74574">
            <w:pPr>
              <w:jc w:val="right"/>
              <w:rPr>
                <w:sz w:val="20"/>
                <w:szCs w:val="20"/>
              </w:rPr>
            </w:pPr>
          </w:p>
        </w:tc>
        <w:tc>
          <w:tcPr>
            <w:tcW w:w="694" w:type="pct"/>
          </w:tcPr>
          <w:p w:rsidRPr="00F74574" w:rsidR="00F74574" w:rsidP="00F74574" w:rsidRDefault="00F74574">
            <w:pPr>
              <w:jc w:val="right"/>
              <w:rPr>
                <w:sz w:val="20"/>
                <w:szCs w:val="20"/>
              </w:rPr>
            </w:pPr>
          </w:p>
        </w:tc>
        <w:tc>
          <w:tcPr>
            <w:tcW w:w="457" w:type="pct"/>
          </w:tcPr>
          <w:p w:rsidRPr="00F74574" w:rsidR="00F74574" w:rsidP="00F74574" w:rsidRDefault="00CA35D8">
            <w:pPr>
              <w:jc w:val="right"/>
              <w:rPr>
                <w:sz w:val="20"/>
                <w:szCs w:val="20"/>
              </w:rPr>
            </w:pPr>
            <w:r>
              <w:rPr>
                <w:sz w:val="20"/>
                <w:szCs w:val="20"/>
              </w:rPr>
              <w:t>7,995</w:t>
            </w:r>
          </w:p>
        </w:tc>
      </w:tr>
    </w:tbl>
    <w:p w:rsidR="00F74574" w:rsidP="00BF069C" w:rsidRDefault="00F74574">
      <w:pPr>
        <w:ind w:left="720"/>
        <w:contextualSpacing/>
      </w:pPr>
    </w:p>
    <w:p w:rsidR="008D439B" w:rsidP="000526D5" w:rsidRDefault="008D439B">
      <w:pPr>
        <w:ind w:left="720"/>
      </w:pPr>
      <w:r>
        <w:t xml:space="preserve">Our estimate of </w:t>
      </w:r>
      <w:r w:rsidR="00CA35D8">
        <w:t>8</w:t>
      </w:r>
      <w:r>
        <w:t xml:space="preserve"> accreditation bodies (ABs) is based on the number of ILAC signatories in the United States economy.</w:t>
      </w:r>
      <w:r>
        <w:rPr>
          <w:rStyle w:val="FootnoteReference"/>
        </w:rPr>
        <w:footnoteReference w:id="12"/>
      </w:r>
      <w:r>
        <w:t xml:space="preserve">  We estimate that approximately 150 testing labs will seek accreditation.</w:t>
      </w:r>
      <w:r w:rsidR="00CA35D8">
        <w:t xml:space="preserve"> Our estimate of Test Reports is based on the number of premarket submissions we expect per year with testing from an ASCA</w:t>
      </w:r>
      <w:r w:rsidR="006D5CCE">
        <w:t>-</w:t>
      </w:r>
      <w:r w:rsidR="00CA35D8">
        <w:t>accredited testing laboratory.</w:t>
      </w:r>
    </w:p>
    <w:p w:rsidR="008D439B" w:rsidP="000526D5" w:rsidRDefault="008D439B">
      <w:pPr>
        <w:ind w:left="720"/>
      </w:pPr>
    </w:p>
    <w:p w:rsidR="002D18AA" w:rsidP="000526D5" w:rsidRDefault="008D439B">
      <w:pPr>
        <w:ind w:left="720"/>
      </w:pPr>
      <w:r>
        <w:t>Our estimates for the Average Burden per Response, Recordkeeping, and Disclosure are based on the burden for similar programs.</w:t>
      </w:r>
    </w:p>
    <w:p w:rsidR="000526D5" w:rsidP="000526D5" w:rsidRDefault="000526D5">
      <w:pPr>
        <w:ind w:left="720"/>
      </w:pPr>
    </w:p>
    <w:p w:rsidR="00CA35D8" w:rsidP="000526D5" w:rsidRDefault="00CA35D8">
      <w:pPr>
        <w:ind w:left="720"/>
      </w:pPr>
      <w:r w:rsidRPr="00476C64">
        <w:t>Th</w:t>
      </w:r>
      <w:r>
        <w:t>e ASCA Pilot</w:t>
      </w:r>
      <w:r w:rsidRPr="00476C64">
        <w:t xml:space="preserve"> does not address specific content for a </w:t>
      </w:r>
      <w:proofErr w:type="gramStart"/>
      <w:r w:rsidRPr="00476C64">
        <w:t>particular premarket</w:t>
      </w:r>
      <w:proofErr w:type="gramEnd"/>
      <w:r w:rsidRPr="00476C64">
        <w:t xml:space="preserve"> submission.</w:t>
      </w:r>
      <w:r>
        <w:t xml:space="preserve"> Information collections associated with premarket submissions have been previously approved as follows:  </w:t>
      </w:r>
      <w:r w:rsidRPr="00350817">
        <w:t xml:space="preserve">The collections of information in 21 CFR </w:t>
      </w:r>
      <w:r>
        <w:t>part 807, subpart E (premarket notification)</w:t>
      </w:r>
      <w:r w:rsidRPr="00350817">
        <w:t xml:space="preserve"> have been approved under OMB control number</w:t>
      </w:r>
      <w:r>
        <w:t xml:space="preserve"> 0910-0120</w:t>
      </w:r>
      <w:r w:rsidRPr="00350817">
        <w:t xml:space="preserve">; </w:t>
      </w:r>
      <w:r>
        <w:t>t</w:t>
      </w:r>
      <w:r w:rsidRPr="00350817">
        <w:t xml:space="preserve">he collections of information in 21 CFR </w:t>
      </w:r>
      <w:r>
        <w:t>part 812 (investigational device exemption)</w:t>
      </w:r>
      <w:r w:rsidRPr="00350817">
        <w:t xml:space="preserve"> have </w:t>
      </w:r>
      <w:r w:rsidRPr="00350817">
        <w:lastRenderedPageBreak/>
        <w:t>been approved under OMB control number</w:t>
      </w:r>
      <w:r>
        <w:t xml:space="preserve"> 0910-0078; t</w:t>
      </w:r>
      <w:r w:rsidRPr="00350817">
        <w:t xml:space="preserve">he collections of information in 21 CFR </w:t>
      </w:r>
      <w:r>
        <w:t>part 814, subparts A through E (premarket approval)</w:t>
      </w:r>
      <w:r w:rsidRPr="00350817">
        <w:t xml:space="preserve"> have been approved under OMB control number</w:t>
      </w:r>
      <w:r>
        <w:t xml:space="preserve"> 0910-0231; t</w:t>
      </w:r>
      <w:r w:rsidRPr="00350817">
        <w:t xml:space="preserve">he collections of information in 21 CFR </w:t>
      </w:r>
      <w:r>
        <w:t>part 814, subpart H (humanitarian device exemption)</w:t>
      </w:r>
      <w:r w:rsidRPr="00350817">
        <w:t xml:space="preserve"> have been approved under OMB control number</w:t>
      </w:r>
      <w:r>
        <w:t xml:space="preserve"> 0910-0332; the collections of information in the guidance document “</w:t>
      </w:r>
      <w:r w:rsidRPr="00095AB9">
        <w:t>De Novo Classification Process (Evaluation of Automatic Class III Designation)</w:t>
      </w:r>
      <w:r>
        <w:t>” have been approved under OMB control number 0910-0844; the collections of information in 21 CFR part 312 (investigational new drug application) have been approved under OMB control number 0910-0014; and the collections of information in 21 CFR part 601 (biologics license application) have been approved under OMB control number 0910-0338.</w:t>
      </w:r>
    </w:p>
    <w:p w:rsidRPr="00176B07" w:rsidR="002D18AA" w:rsidP="000526D5" w:rsidRDefault="002D18AA">
      <w:pPr>
        <w:ind w:left="720"/>
      </w:pPr>
    </w:p>
    <w:p w:rsidR="00A93ED9" w:rsidP="00A93ED9" w:rsidRDefault="00A93ED9">
      <w:pPr>
        <w:pStyle w:val="BodyText2"/>
        <w:ind w:left="360"/>
      </w:pPr>
      <w:r w:rsidRPr="00C75CBF">
        <w:t xml:space="preserve">12b. </w:t>
      </w:r>
      <w:r w:rsidRPr="00C75CBF" w:rsidR="00411D11">
        <w:rPr>
          <w:u w:val="single"/>
        </w:rPr>
        <w:t>Annualized Cost Burden Estimate</w:t>
      </w:r>
    </w:p>
    <w:p w:rsidR="00A93ED9" w:rsidP="001D495A" w:rsidRDefault="00A93ED9">
      <w:pPr>
        <w:pStyle w:val="BodyText2"/>
        <w:ind w:left="720"/>
      </w:pPr>
    </w:p>
    <w:p w:rsidR="00EF4175" w:rsidP="00EF4175" w:rsidRDefault="00EF4175">
      <w:pPr>
        <w:pStyle w:val="BodyText2"/>
        <w:ind w:left="720"/>
        <w:rPr>
          <w:szCs w:val="24"/>
        </w:rPr>
      </w:pPr>
      <w:r w:rsidRPr="003E51E8">
        <w:rPr>
          <w:szCs w:val="24"/>
        </w:rPr>
        <w:t xml:space="preserve">FDA estimates the </w:t>
      </w:r>
      <w:r>
        <w:rPr>
          <w:szCs w:val="24"/>
        </w:rPr>
        <w:t>annualized cost burden as</w:t>
      </w:r>
      <w:r w:rsidRPr="003E51E8">
        <w:rPr>
          <w:szCs w:val="24"/>
        </w:rPr>
        <w:t xml:space="preserve"> $</w:t>
      </w:r>
      <w:r w:rsidR="00297285">
        <w:rPr>
          <w:szCs w:val="24"/>
        </w:rPr>
        <w:t>608,393</w:t>
      </w:r>
      <w:r w:rsidRPr="003E51E8">
        <w:rPr>
          <w:szCs w:val="24"/>
        </w:rPr>
        <w:t xml:space="preserve">. </w:t>
      </w:r>
      <w:r>
        <w:rPr>
          <w:szCs w:val="24"/>
        </w:rPr>
        <w:t>We believe that work will be performed by several types of worker.</w:t>
      </w:r>
      <w:r w:rsidR="00A84A56">
        <w:rPr>
          <w:szCs w:val="24"/>
        </w:rPr>
        <w:t xml:space="preserve"> For Accreditation Bodies, we believe the work will be performed by Program Managers, Technical and/or Quality Assessors, and Secretaries or Administrative workers. For Testing Laboratories, we believe the work will be performed by Test Lab Managers, Test Lab Technical Personnel, and Secretaries or Administrative workers.</w:t>
      </w:r>
      <w:r>
        <w:rPr>
          <w:szCs w:val="24"/>
        </w:rPr>
        <w:t xml:space="preserve"> </w:t>
      </w:r>
    </w:p>
    <w:p w:rsidR="00EF4175" w:rsidP="00EF4175" w:rsidRDefault="00EF4175">
      <w:pPr>
        <w:pStyle w:val="BodyText2"/>
        <w:ind w:left="720"/>
        <w:rPr>
          <w:szCs w:val="24"/>
        </w:rPr>
      </w:pPr>
    </w:p>
    <w:p w:rsidR="00EF4175" w:rsidP="00EF4175" w:rsidRDefault="00003007">
      <w:pPr>
        <w:pStyle w:val="BodyText2"/>
        <w:ind w:left="720"/>
      </w:pPr>
      <w:r w:rsidRPr="00003007">
        <w:t xml:space="preserve">The </w:t>
      </w:r>
      <w:r>
        <w:t>information collections (</w:t>
      </w:r>
      <w:r w:rsidRPr="00003007">
        <w:t>ICs</w:t>
      </w:r>
      <w:r>
        <w:t>) in the burden tables in section 12a of this document f</w:t>
      </w:r>
      <w:r w:rsidRPr="00003007">
        <w:t>or “</w:t>
      </w:r>
      <w:r w:rsidRPr="00003007">
        <w:rPr>
          <w:i/>
        </w:rPr>
        <w:t xml:space="preserve">Request for withdrawal or suspension of ASCA </w:t>
      </w:r>
      <w:r w:rsidR="00E56D43">
        <w:rPr>
          <w:i/>
        </w:rPr>
        <w:t>A</w:t>
      </w:r>
      <w:r w:rsidRPr="00003007">
        <w:rPr>
          <w:i/>
        </w:rPr>
        <w:t xml:space="preserve">ccreditation (TLs) or request for withdrawal of </w:t>
      </w:r>
      <w:r w:rsidR="006D5CCE">
        <w:rPr>
          <w:i/>
        </w:rPr>
        <w:t>ASCA R</w:t>
      </w:r>
      <w:r w:rsidRPr="00003007">
        <w:rPr>
          <w:i/>
        </w:rPr>
        <w:t>ecognition (ABs)</w:t>
      </w:r>
      <w:r w:rsidRPr="00003007">
        <w:t>” and “</w:t>
      </w:r>
      <w:r w:rsidRPr="00003007">
        <w:rPr>
          <w:i/>
        </w:rPr>
        <w:t>Pilot feedback questionnaire (ABs and TLs)</w:t>
      </w:r>
      <w:r w:rsidRPr="00003007">
        <w:t xml:space="preserve">” include work performed by both TLs and </w:t>
      </w:r>
      <w:proofErr w:type="spellStart"/>
      <w:r w:rsidRPr="00003007">
        <w:t>ABs.</w:t>
      </w:r>
      <w:proofErr w:type="spellEnd"/>
      <w:r w:rsidRPr="00003007">
        <w:t xml:space="preserve"> For purposes of calculating </w:t>
      </w:r>
      <w:r>
        <w:t>the number of burden hours performed by ABs and TLs, respectively</w:t>
      </w:r>
      <w:r w:rsidRPr="00003007">
        <w:t xml:space="preserve">, we assume that the No. of Respondents </w:t>
      </w:r>
      <w:r>
        <w:t>for those ICs</w:t>
      </w:r>
      <w:r w:rsidRPr="00003007">
        <w:t xml:space="preserve"> </w:t>
      </w:r>
      <w:r>
        <w:t>are</w:t>
      </w:r>
      <w:r w:rsidRPr="00003007">
        <w:t xml:space="preserve"> equally distributed between ABs and TLs. Respondents for all other ICs are either ABs or TLs.</w:t>
      </w:r>
      <w:r>
        <w:t xml:space="preserve"> Therefore, we estimate that the Total burden hours for ABs are </w:t>
      </w:r>
      <w:r w:rsidR="00DC60B7">
        <w:t>7,386</w:t>
      </w:r>
      <w:r>
        <w:t xml:space="preserve"> and the Total burden hours for TLs are </w:t>
      </w:r>
      <w:r w:rsidR="00DC60B7">
        <w:t>6,105</w:t>
      </w:r>
      <w:r w:rsidR="00297285">
        <w:t>, for a combined total of 13,491 burden hours</w:t>
      </w:r>
      <w:r>
        <w:t>.</w:t>
      </w:r>
    </w:p>
    <w:p w:rsidR="00003007" w:rsidP="00EF4175" w:rsidRDefault="00003007">
      <w:pPr>
        <w:pStyle w:val="BodyText2"/>
        <w:ind w:left="720"/>
      </w:pPr>
    </w:p>
    <w:p w:rsidR="00003007" w:rsidP="00EF4175" w:rsidRDefault="00003007">
      <w:pPr>
        <w:pStyle w:val="BodyText2"/>
        <w:ind w:left="720"/>
      </w:pPr>
      <w:r>
        <w:rPr>
          <w:szCs w:val="24"/>
        </w:rPr>
        <w:t xml:space="preserve">As indicated in the table below, we used occupational categories and updated wage rates from </w:t>
      </w:r>
      <w:r w:rsidRPr="001126A9">
        <w:rPr>
          <w:szCs w:val="24"/>
        </w:rPr>
        <w:t>the Bureau of Labor and Statistics data</w:t>
      </w:r>
      <w:r>
        <w:rPr>
          <w:szCs w:val="24"/>
        </w:rPr>
        <w:t xml:space="preserve"> to determine the cost burden estimate</w:t>
      </w:r>
      <w:r w:rsidRPr="001126A9">
        <w:rPr>
          <w:szCs w:val="24"/>
        </w:rPr>
        <w:t>.</w:t>
      </w:r>
    </w:p>
    <w:p w:rsidR="003740BC" w:rsidP="001D495A" w:rsidRDefault="003740BC">
      <w:pPr>
        <w:pStyle w:val="BodyText2"/>
        <w:ind w:left="720"/>
      </w:pPr>
    </w:p>
    <w:p w:rsidR="00862E70" w:rsidP="001D495A" w:rsidRDefault="00862E70">
      <w:pPr>
        <w:pStyle w:val="BodyText2"/>
        <w:ind w:left="720"/>
      </w:pPr>
    </w:p>
    <w:p w:rsidR="00862E70" w:rsidP="001D495A" w:rsidRDefault="00862E70">
      <w:pPr>
        <w:pStyle w:val="BodyText2"/>
        <w:ind w:left="72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1440"/>
        <w:gridCol w:w="3420"/>
        <w:gridCol w:w="956"/>
        <w:gridCol w:w="1672"/>
      </w:tblGrid>
      <w:tr w:rsidRPr="001F3C9D" w:rsidR="00F85656" w:rsidTr="004161F4">
        <w:trPr>
          <w:cantSplit/>
          <w:jc w:val="center"/>
        </w:trPr>
        <w:tc>
          <w:tcPr>
            <w:tcW w:w="2088" w:type="dxa"/>
          </w:tcPr>
          <w:p w:rsidRPr="001F3C9D" w:rsidR="00F85656" w:rsidP="007F00A1" w:rsidRDefault="007F00A1">
            <w:pPr>
              <w:keepNext/>
              <w:jc w:val="center"/>
              <w:rPr>
                <w:sz w:val="20"/>
                <w:szCs w:val="20"/>
              </w:rPr>
            </w:pPr>
            <w:r>
              <w:rPr>
                <w:sz w:val="20"/>
                <w:szCs w:val="20"/>
              </w:rPr>
              <w:lastRenderedPageBreak/>
              <w:t>Type of Respondent</w:t>
            </w:r>
            <w:r w:rsidR="004161F4">
              <w:rPr>
                <w:sz w:val="20"/>
                <w:szCs w:val="20"/>
              </w:rPr>
              <w:t xml:space="preserve">—% </w:t>
            </w:r>
            <w:r>
              <w:rPr>
                <w:sz w:val="20"/>
                <w:szCs w:val="20"/>
              </w:rPr>
              <w:t>of Burden Hours</w:t>
            </w:r>
            <w:r w:rsidR="004161F4">
              <w:rPr>
                <w:sz w:val="20"/>
                <w:szCs w:val="20"/>
              </w:rPr>
              <w:t xml:space="preserve"> for Respondent Type</w:t>
            </w:r>
          </w:p>
        </w:tc>
        <w:tc>
          <w:tcPr>
            <w:tcW w:w="1440" w:type="dxa"/>
            <w:shd w:val="clear" w:color="auto" w:fill="auto"/>
          </w:tcPr>
          <w:p w:rsidRPr="001F3C9D" w:rsidR="00F85656" w:rsidP="007F00A1" w:rsidRDefault="004161F4">
            <w:pPr>
              <w:keepNext/>
              <w:jc w:val="center"/>
              <w:rPr>
                <w:sz w:val="20"/>
                <w:szCs w:val="20"/>
              </w:rPr>
            </w:pPr>
            <w:r>
              <w:rPr>
                <w:sz w:val="20"/>
                <w:szCs w:val="20"/>
              </w:rPr>
              <w:t>Burden Hours</w:t>
            </w:r>
            <w:r w:rsidRPr="004161F4">
              <w:rPr>
                <w:sz w:val="20"/>
                <w:szCs w:val="20"/>
                <w:vertAlign w:val="superscript"/>
              </w:rPr>
              <w:t>1</w:t>
            </w:r>
          </w:p>
        </w:tc>
        <w:tc>
          <w:tcPr>
            <w:tcW w:w="3420" w:type="dxa"/>
            <w:shd w:val="clear" w:color="auto" w:fill="auto"/>
          </w:tcPr>
          <w:p w:rsidRPr="001F3C9D" w:rsidR="00F85656" w:rsidP="007F00A1" w:rsidRDefault="00B631D7">
            <w:pPr>
              <w:keepNext/>
              <w:jc w:val="center"/>
              <w:rPr>
                <w:sz w:val="20"/>
                <w:szCs w:val="20"/>
              </w:rPr>
            </w:pPr>
            <w:r>
              <w:rPr>
                <w:sz w:val="20"/>
                <w:szCs w:val="20"/>
              </w:rPr>
              <w:t>BLS Occupation Code</w:t>
            </w:r>
            <w:r w:rsidRPr="00B631D7">
              <w:rPr>
                <w:sz w:val="20"/>
                <w:szCs w:val="20"/>
                <w:vertAlign w:val="superscript"/>
              </w:rPr>
              <w:t>2</w:t>
            </w:r>
          </w:p>
        </w:tc>
        <w:tc>
          <w:tcPr>
            <w:tcW w:w="956" w:type="dxa"/>
            <w:shd w:val="clear" w:color="auto" w:fill="auto"/>
          </w:tcPr>
          <w:p w:rsidRPr="001F3C9D" w:rsidR="00F85656" w:rsidP="007F00A1" w:rsidRDefault="00F85656">
            <w:pPr>
              <w:keepNext/>
              <w:jc w:val="center"/>
              <w:rPr>
                <w:sz w:val="20"/>
                <w:szCs w:val="20"/>
              </w:rPr>
            </w:pPr>
            <w:r w:rsidRPr="001F3C9D">
              <w:rPr>
                <w:sz w:val="20"/>
                <w:szCs w:val="20"/>
              </w:rPr>
              <w:t>Hourly Wage Rate</w:t>
            </w:r>
            <w:r w:rsidRPr="00B631D7" w:rsidR="00B631D7">
              <w:rPr>
                <w:sz w:val="20"/>
                <w:szCs w:val="20"/>
                <w:vertAlign w:val="superscript"/>
              </w:rPr>
              <w:t>2</w:t>
            </w:r>
          </w:p>
        </w:tc>
        <w:tc>
          <w:tcPr>
            <w:tcW w:w="1672" w:type="dxa"/>
            <w:shd w:val="clear" w:color="auto" w:fill="auto"/>
          </w:tcPr>
          <w:p w:rsidRPr="001F3C9D" w:rsidR="00F85656" w:rsidP="007F00A1" w:rsidRDefault="00F85656">
            <w:pPr>
              <w:keepNext/>
              <w:jc w:val="center"/>
              <w:rPr>
                <w:sz w:val="20"/>
                <w:szCs w:val="20"/>
              </w:rPr>
            </w:pPr>
            <w:r w:rsidRPr="001F3C9D">
              <w:rPr>
                <w:sz w:val="20"/>
                <w:szCs w:val="20"/>
              </w:rPr>
              <w:t>Total Respondent Costs</w:t>
            </w:r>
            <w:r w:rsidRPr="00297285" w:rsidR="00297285">
              <w:rPr>
                <w:sz w:val="20"/>
                <w:szCs w:val="20"/>
                <w:vertAlign w:val="superscript"/>
              </w:rPr>
              <w:t>1</w:t>
            </w:r>
          </w:p>
        </w:tc>
      </w:tr>
      <w:tr w:rsidRPr="001F3C9D" w:rsidR="007F00A1" w:rsidTr="004161F4">
        <w:trPr>
          <w:cantSplit/>
          <w:jc w:val="center"/>
        </w:trPr>
        <w:tc>
          <w:tcPr>
            <w:tcW w:w="2088" w:type="dxa"/>
          </w:tcPr>
          <w:p w:rsidR="007F00A1" w:rsidP="007F00A1" w:rsidRDefault="007F00A1">
            <w:pPr>
              <w:keepNext/>
              <w:jc w:val="center"/>
              <w:rPr>
                <w:sz w:val="20"/>
                <w:szCs w:val="20"/>
              </w:rPr>
            </w:pPr>
            <w:r>
              <w:rPr>
                <w:sz w:val="20"/>
                <w:szCs w:val="20"/>
              </w:rPr>
              <w:t>Accreditation Bodies</w:t>
            </w:r>
          </w:p>
        </w:tc>
        <w:tc>
          <w:tcPr>
            <w:tcW w:w="1440" w:type="dxa"/>
            <w:shd w:val="clear" w:color="auto" w:fill="auto"/>
          </w:tcPr>
          <w:p w:rsidR="007F00A1" w:rsidP="007F00A1" w:rsidRDefault="007F00A1">
            <w:pPr>
              <w:keepNext/>
              <w:jc w:val="center"/>
              <w:rPr>
                <w:sz w:val="20"/>
                <w:szCs w:val="20"/>
              </w:rPr>
            </w:pPr>
          </w:p>
        </w:tc>
        <w:tc>
          <w:tcPr>
            <w:tcW w:w="3420" w:type="dxa"/>
            <w:shd w:val="clear" w:color="auto" w:fill="auto"/>
          </w:tcPr>
          <w:p w:rsidRPr="001F3C9D" w:rsidR="007F00A1" w:rsidP="007F00A1" w:rsidRDefault="007F00A1">
            <w:pPr>
              <w:keepNext/>
              <w:jc w:val="center"/>
              <w:rPr>
                <w:sz w:val="20"/>
                <w:szCs w:val="20"/>
              </w:rPr>
            </w:pPr>
          </w:p>
        </w:tc>
        <w:tc>
          <w:tcPr>
            <w:tcW w:w="956" w:type="dxa"/>
            <w:shd w:val="clear" w:color="auto" w:fill="auto"/>
          </w:tcPr>
          <w:p w:rsidRPr="001F3C9D" w:rsidR="007F00A1" w:rsidP="007F00A1" w:rsidRDefault="007F00A1">
            <w:pPr>
              <w:keepNext/>
              <w:jc w:val="center"/>
              <w:rPr>
                <w:sz w:val="20"/>
                <w:szCs w:val="20"/>
              </w:rPr>
            </w:pPr>
          </w:p>
        </w:tc>
        <w:tc>
          <w:tcPr>
            <w:tcW w:w="1672" w:type="dxa"/>
            <w:shd w:val="clear" w:color="auto" w:fill="auto"/>
          </w:tcPr>
          <w:p w:rsidRPr="001F3C9D" w:rsidR="007F00A1" w:rsidP="007F00A1" w:rsidRDefault="007F00A1">
            <w:pPr>
              <w:keepNext/>
              <w:jc w:val="center"/>
              <w:rPr>
                <w:sz w:val="20"/>
                <w:szCs w:val="20"/>
              </w:rPr>
            </w:pPr>
          </w:p>
        </w:tc>
      </w:tr>
      <w:tr w:rsidRPr="001F3C9D" w:rsidR="00F85656" w:rsidTr="004161F4">
        <w:trPr>
          <w:cantSplit/>
          <w:jc w:val="center"/>
        </w:trPr>
        <w:tc>
          <w:tcPr>
            <w:tcW w:w="2088" w:type="dxa"/>
          </w:tcPr>
          <w:p w:rsidRPr="001F3C9D" w:rsidR="00F85656" w:rsidP="007F00A1" w:rsidRDefault="007F00A1">
            <w:pPr>
              <w:keepNext/>
              <w:rPr>
                <w:sz w:val="20"/>
                <w:szCs w:val="20"/>
              </w:rPr>
            </w:pPr>
            <w:r>
              <w:rPr>
                <w:sz w:val="20"/>
                <w:szCs w:val="20"/>
              </w:rPr>
              <w:t>AB Program Manager</w:t>
            </w:r>
            <w:r w:rsidR="004161F4">
              <w:rPr>
                <w:sz w:val="20"/>
                <w:szCs w:val="20"/>
              </w:rPr>
              <w:t xml:space="preserve">—45% </w:t>
            </w:r>
          </w:p>
        </w:tc>
        <w:tc>
          <w:tcPr>
            <w:tcW w:w="1440" w:type="dxa"/>
            <w:shd w:val="clear" w:color="auto" w:fill="auto"/>
          </w:tcPr>
          <w:p w:rsidRPr="001F3C9D" w:rsidR="00F85656" w:rsidP="007F00A1" w:rsidRDefault="00297285">
            <w:pPr>
              <w:keepNext/>
              <w:rPr>
                <w:sz w:val="20"/>
                <w:szCs w:val="20"/>
              </w:rPr>
            </w:pPr>
            <w:r>
              <w:rPr>
                <w:sz w:val="20"/>
                <w:szCs w:val="20"/>
              </w:rPr>
              <w:t>3,324</w:t>
            </w:r>
          </w:p>
        </w:tc>
        <w:tc>
          <w:tcPr>
            <w:tcW w:w="3420" w:type="dxa"/>
            <w:shd w:val="clear" w:color="auto" w:fill="auto"/>
          </w:tcPr>
          <w:p w:rsidRPr="001F3C9D" w:rsidR="00F85656" w:rsidP="004161F4" w:rsidRDefault="00B631D7">
            <w:pPr>
              <w:keepNext/>
              <w:rPr>
                <w:sz w:val="20"/>
                <w:szCs w:val="20"/>
              </w:rPr>
            </w:pPr>
            <w:r>
              <w:rPr>
                <w:sz w:val="20"/>
                <w:szCs w:val="20"/>
              </w:rPr>
              <w:t xml:space="preserve">11-1021 </w:t>
            </w:r>
            <w:r w:rsidRPr="001F3C9D">
              <w:rPr>
                <w:sz w:val="20"/>
                <w:szCs w:val="20"/>
              </w:rPr>
              <w:t>General &amp; Operations Managers</w:t>
            </w:r>
          </w:p>
        </w:tc>
        <w:tc>
          <w:tcPr>
            <w:tcW w:w="956" w:type="dxa"/>
            <w:shd w:val="clear" w:color="auto" w:fill="auto"/>
          </w:tcPr>
          <w:p w:rsidRPr="001F3C9D" w:rsidR="00F85656" w:rsidP="007F00A1" w:rsidRDefault="00F85656">
            <w:pPr>
              <w:keepNext/>
              <w:rPr>
                <w:sz w:val="20"/>
                <w:szCs w:val="20"/>
              </w:rPr>
            </w:pPr>
            <w:r w:rsidRPr="001F3C9D">
              <w:rPr>
                <w:sz w:val="20"/>
                <w:szCs w:val="20"/>
              </w:rPr>
              <w:t>$</w:t>
            </w:r>
            <w:r>
              <w:rPr>
                <w:sz w:val="20"/>
                <w:szCs w:val="20"/>
              </w:rPr>
              <w:t>59.56</w:t>
            </w:r>
          </w:p>
        </w:tc>
        <w:tc>
          <w:tcPr>
            <w:tcW w:w="1672" w:type="dxa"/>
            <w:shd w:val="clear" w:color="auto" w:fill="auto"/>
          </w:tcPr>
          <w:p w:rsidRPr="001F3C9D" w:rsidR="00F85656" w:rsidP="007F00A1" w:rsidRDefault="00F85656">
            <w:pPr>
              <w:keepNext/>
              <w:jc w:val="right"/>
              <w:rPr>
                <w:sz w:val="20"/>
                <w:szCs w:val="20"/>
              </w:rPr>
            </w:pPr>
            <w:r w:rsidRPr="001F3C9D">
              <w:rPr>
                <w:sz w:val="20"/>
                <w:szCs w:val="20"/>
              </w:rPr>
              <w:t>$</w:t>
            </w:r>
            <w:r w:rsidR="00297285">
              <w:rPr>
                <w:sz w:val="20"/>
                <w:szCs w:val="20"/>
              </w:rPr>
              <w:t>197,977</w:t>
            </w:r>
          </w:p>
        </w:tc>
      </w:tr>
      <w:tr w:rsidRPr="001F3C9D" w:rsidR="00F85656" w:rsidTr="004161F4">
        <w:trPr>
          <w:cantSplit/>
          <w:jc w:val="center"/>
        </w:trPr>
        <w:tc>
          <w:tcPr>
            <w:tcW w:w="2088" w:type="dxa"/>
          </w:tcPr>
          <w:p w:rsidRPr="001F3C9D" w:rsidR="00F85656" w:rsidP="007F00A1" w:rsidRDefault="007F00A1">
            <w:pPr>
              <w:keepNext/>
              <w:rPr>
                <w:sz w:val="20"/>
                <w:szCs w:val="20"/>
              </w:rPr>
            </w:pPr>
            <w:r>
              <w:rPr>
                <w:sz w:val="20"/>
                <w:szCs w:val="20"/>
              </w:rPr>
              <w:t>Technical and/or Quality Assessor</w:t>
            </w:r>
            <w:r w:rsidR="004161F4">
              <w:rPr>
                <w:sz w:val="20"/>
                <w:szCs w:val="20"/>
              </w:rPr>
              <w:t xml:space="preserve">—50% </w:t>
            </w:r>
          </w:p>
        </w:tc>
        <w:tc>
          <w:tcPr>
            <w:tcW w:w="1440" w:type="dxa"/>
            <w:shd w:val="clear" w:color="auto" w:fill="auto"/>
          </w:tcPr>
          <w:p w:rsidRPr="001F3C9D" w:rsidR="00F85656" w:rsidP="007F00A1" w:rsidRDefault="00297285">
            <w:pPr>
              <w:keepNext/>
              <w:rPr>
                <w:sz w:val="20"/>
                <w:szCs w:val="20"/>
              </w:rPr>
            </w:pPr>
            <w:r>
              <w:rPr>
                <w:sz w:val="20"/>
                <w:szCs w:val="20"/>
              </w:rPr>
              <w:t>3,693</w:t>
            </w:r>
          </w:p>
        </w:tc>
        <w:tc>
          <w:tcPr>
            <w:tcW w:w="3420" w:type="dxa"/>
            <w:shd w:val="clear" w:color="auto" w:fill="auto"/>
          </w:tcPr>
          <w:p w:rsidRPr="001F3C9D" w:rsidR="00F85656" w:rsidP="004161F4" w:rsidRDefault="00B631D7">
            <w:pPr>
              <w:keepNext/>
              <w:rPr>
                <w:sz w:val="20"/>
                <w:szCs w:val="20"/>
              </w:rPr>
            </w:pPr>
            <w:r>
              <w:rPr>
                <w:sz w:val="20"/>
                <w:szCs w:val="20"/>
              </w:rPr>
              <w:t xml:space="preserve">13-1041 </w:t>
            </w:r>
            <w:r w:rsidRPr="001F3C9D">
              <w:rPr>
                <w:sz w:val="20"/>
                <w:szCs w:val="20"/>
              </w:rPr>
              <w:t>Compliance Officers</w:t>
            </w:r>
          </w:p>
        </w:tc>
        <w:tc>
          <w:tcPr>
            <w:tcW w:w="956" w:type="dxa"/>
            <w:shd w:val="clear" w:color="auto" w:fill="auto"/>
          </w:tcPr>
          <w:p w:rsidRPr="001F3C9D" w:rsidR="00F85656" w:rsidP="007F00A1" w:rsidRDefault="00F85656">
            <w:pPr>
              <w:keepNext/>
              <w:rPr>
                <w:sz w:val="20"/>
                <w:szCs w:val="20"/>
              </w:rPr>
            </w:pPr>
            <w:r w:rsidRPr="001F3C9D">
              <w:rPr>
                <w:sz w:val="20"/>
                <w:szCs w:val="20"/>
              </w:rPr>
              <w:t>$</w:t>
            </w:r>
            <w:r>
              <w:rPr>
                <w:sz w:val="20"/>
                <w:szCs w:val="20"/>
              </w:rPr>
              <w:t>34.86</w:t>
            </w:r>
          </w:p>
        </w:tc>
        <w:tc>
          <w:tcPr>
            <w:tcW w:w="1672" w:type="dxa"/>
            <w:shd w:val="clear" w:color="auto" w:fill="auto"/>
          </w:tcPr>
          <w:p w:rsidRPr="001F3C9D" w:rsidR="00F85656" w:rsidP="007F00A1" w:rsidRDefault="00F85656">
            <w:pPr>
              <w:keepNext/>
              <w:jc w:val="right"/>
              <w:rPr>
                <w:sz w:val="20"/>
                <w:szCs w:val="20"/>
              </w:rPr>
            </w:pPr>
            <w:r>
              <w:rPr>
                <w:sz w:val="20"/>
                <w:szCs w:val="20"/>
              </w:rPr>
              <w:t>$</w:t>
            </w:r>
            <w:r w:rsidR="00297285">
              <w:rPr>
                <w:sz w:val="20"/>
                <w:szCs w:val="20"/>
              </w:rPr>
              <w:t>128,738</w:t>
            </w:r>
          </w:p>
        </w:tc>
      </w:tr>
      <w:tr w:rsidRPr="001F3C9D" w:rsidR="007F00A1" w:rsidTr="004161F4">
        <w:trPr>
          <w:cantSplit/>
          <w:jc w:val="center"/>
        </w:trPr>
        <w:tc>
          <w:tcPr>
            <w:tcW w:w="2088" w:type="dxa"/>
          </w:tcPr>
          <w:p w:rsidRPr="001F3C9D" w:rsidR="007F00A1" w:rsidP="007F00A1" w:rsidRDefault="007F00A1">
            <w:pPr>
              <w:keepNext/>
              <w:rPr>
                <w:sz w:val="20"/>
                <w:szCs w:val="20"/>
              </w:rPr>
            </w:pPr>
            <w:r>
              <w:rPr>
                <w:sz w:val="20"/>
                <w:szCs w:val="20"/>
              </w:rPr>
              <w:t>Secretary or Admin.</w:t>
            </w:r>
            <w:r w:rsidR="004161F4">
              <w:rPr>
                <w:sz w:val="20"/>
                <w:szCs w:val="20"/>
              </w:rPr>
              <w:t xml:space="preserve">—5% </w:t>
            </w:r>
          </w:p>
        </w:tc>
        <w:tc>
          <w:tcPr>
            <w:tcW w:w="1440" w:type="dxa"/>
            <w:shd w:val="clear" w:color="auto" w:fill="auto"/>
          </w:tcPr>
          <w:p w:rsidRPr="001F3C9D" w:rsidR="007F00A1" w:rsidP="007F00A1" w:rsidRDefault="00297285">
            <w:pPr>
              <w:keepNext/>
              <w:rPr>
                <w:sz w:val="20"/>
                <w:szCs w:val="20"/>
              </w:rPr>
            </w:pPr>
            <w:r>
              <w:rPr>
                <w:sz w:val="20"/>
                <w:szCs w:val="20"/>
              </w:rPr>
              <w:t>369</w:t>
            </w:r>
          </w:p>
        </w:tc>
        <w:tc>
          <w:tcPr>
            <w:tcW w:w="3420" w:type="dxa"/>
            <w:shd w:val="clear" w:color="auto" w:fill="auto"/>
          </w:tcPr>
          <w:p w:rsidRPr="001F3C9D" w:rsidR="007F00A1" w:rsidP="004161F4" w:rsidRDefault="00B631D7">
            <w:pPr>
              <w:keepNext/>
              <w:rPr>
                <w:sz w:val="20"/>
                <w:szCs w:val="20"/>
              </w:rPr>
            </w:pPr>
            <w:r>
              <w:rPr>
                <w:sz w:val="20"/>
                <w:szCs w:val="20"/>
              </w:rPr>
              <w:t>43-6010 Secretaries and Administrative Assistants</w:t>
            </w:r>
          </w:p>
        </w:tc>
        <w:tc>
          <w:tcPr>
            <w:tcW w:w="956" w:type="dxa"/>
            <w:shd w:val="clear" w:color="auto" w:fill="auto"/>
          </w:tcPr>
          <w:p w:rsidRPr="001F3C9D" w:rsidR="007F00A1" w:rsidP="007F00A1" w:rsidRDefault="007F00A1">
            <w:pPr>
              <w:keepNext/>
              <w:rPr>
                <w:sz w:val="20"/>
                <w:szCs w:val="20"/>
              </w:rPr>
            </w:pPr>
            <w:r>
              <w:rPr>
                <w:sz w:val="20"/>
                <w:szCs w:val="20"/>
              </w:rPr>
              <w:t>$</w:t>
            </w:r>
            <w:r w:rsidR="00B631D7">
              <w:rPr>
                <w:sz w:val="20"/>
                <w:szCs w:val="20"/>
              </w:rPr>
              <w:t>20.34</w:t>
            </w:r>
          </w:p>
        </w:tc>
        <w:tc>
          <w:tcPr>
            <w:tcW w:w="1672" w:type="dxa"/>
            <w:shd w:val="clear" w:color="auto" w:fill="auto"/>
          </w:tcPr>
          <w:p w:rsidR="007F00A1" w:rsidP="007F00A1" w:rsidRDefault="00297285">
            <w:pPr>
              <w:keepNext/>
              <w:jc w:val="right"/>
              <w:rPr>
                <w:sz w:val="20"/>
                <w:szCs w:val="20"/>
              </w:rPr>
            </w:pPr>
            <w:r>
              <w:rPr>
                <w:sz w:val="20"/>
                <w:szCs w:val="20"/>
              </w:rPr>
              <w:t>$7,505</w:t>
            </w:r>
          </w:p>
        </w:tc>
      </w:tr>
      <w:tr w:rsidRPr="001F3C9D" w:rsidR="007F00A1" w:rsidTr="004161F4">
        <w:trPr>
          <w:cantSplit/>
          <w:jc w:val="center"/>
        </w:trPr>
        <w:tc>
          <w:tcPr>
            <w:tcW w:w="2088" w:type="dxa"/>
          </w:tcPr>
          <w:p w:rsidRPr="001F3C9D" w:rsidR="007F00A1" w:rsidP="007F00A1" w:rsidRDefault="007F00A1">
            <w:pPr>
              <w:keepNext/>
              <w:rPr>
                <w:sz w:val="20"/>
                <w:szCs w:val="20"/>
              </w:rPr>
            </w:pPr>
            <w:r>
              <w:rPr>
                <w:sz w:val="20"/>
                <w:szCs w:val="20"/>
              </w:rPr>
              <w:t>Total ABs</w:t>
            </w:r>
          </w:p>
        </w:tc>
        <w:tc>
          <w:tcPr>
            <w:tcW w:w="1440" w:type="dxa"/>
            <w:shd w:val="clear" w:color="auto" w:fill="auto"/>
          </w:tcPr>
          <w:p w:rsidRPr="001F3C9D" w:rsidR="007F00A1" w:rsidP="007F00A1" w:rsidRDefault="00DC60B7">
            <w:pPr>
              <w:keepNext/>
              <w:rPr>
                <w:sz w:val="20"/>
                <w:szCs w:val="20"/>
              </w:rPr>
            </w:pPr>
            <w:r>
              <w:rPr>
                <w:sz w:val="20"/>
                <w:szCs w:val="20"/>
              </w:rPr>
              <w:t>7,386</w:t>
            </w:r>
          </w:p>
        </w:tc>
        <w:tc>
          <w:tcPr>
            <w:tcW w:w="3420" w:type="dxa"/>
            <w:shd w:val="clear" w:color="auto" w:fill="auto"/>
          </w:tcPr>
          <w:p w:rsidRPr="001F3C9D" w:rsidR="007F00A1" w:rsidP="004161F4" w:rsidRDefault="007F00A1">
            <w:pPr>
              <w:keepNext/>
              <w:rPr>
                <w:sz w:val="20"/>
                <w:szCs w:val="20"/>
              </w:rPr>
            </w:pPr>
          </w:p>
        </w:tc>
        <w:tc>
          <w:tcPr>
            <w:tcW w:w="956" w:type="dxa"/>
            <w:shd w:val="clear" w:color="auto" w:fill="auto"/>
          </w:tcPr>
          <w:p w:rsidRPr="001F3C9D" w:rsidR="007F00A1" w:rsidP="007F00A1" w:rsidRDefault="007F00A1">
            <w:pPr>
              <w:keepNext/>
              <w:rPr>
                <w:sz w:val="20"/>
                <w:szCs w:val="20"/>
              </w:rPr>
            </w:pPr>
          </w:p>
        </w:tc>
        <w:tc>
          <w:tcPr>
            <w:tcW w:w="1672" w:type="dxa"/>
            <w:shd w:val="clear" w:color="auto" w:fill="auto"/>
          </w:tcPr>
          <w:p w:rsidR="007F00A1" w:rsidP="007F00A1" w:rsidRDefault="00297285">
            <w:pPr>
              <w:keepNext/>
              <w:jc w:val="right"/>
              <w:rPr>
                <w:sz w:val="20"/>
                <w:szCs w:val="20"/>
              </w:rPr>
            </w:pPr>
            <w:r>
              <w:rPr>
                <w:sz w:val="20"/>
                <w:szCs w:val="20"/>
              </w:rPr>
              <w:t>$334,220</w:t>
            </w:r>
          </w:p>
        </w:tc>
      </w:tr>
      <w:tr w:rsidRPr="001F3C9D" w:rsidR="007F00A1" w:rsidTr="004161F4">
        <w:trPr>
          <w:cantSplit/>
          <w:jc w:val="center"/>
        </w:trPr>
        <w:tc>
          <w:tcPr>
            <w:tcW w:w="2088" w:type="dxa"/>
          </w:tcPr>
          <w:p w:rsidR="007F00A1" w:rsidP="00B631D7" w:rsidRDefault="007F00A1">
            <w:pPr>
              <w:keepNext/>
              <w:jc w:val="center"/>
              <w:rPr>
                <w:sz w:val="20"/>
                <w:szCs w:val="20"/>
              </w:rPr>
            </w:pPr>
            <w:r>
              <w:rPr>
                <w:sz w:val="20"/>
                <w:szCs w:val="20"/>
              </w:rPr>
              <w:t>Testing Laboratories</w:t>
            </w:r>
          </w:p>
        </w:tc>
        <w:tc>
          <w:tcPr>
            <w:tcW w:w="1440" w:type="dxa"/>
            <w:shd w:val="clear" w:color="auto" w:fill="auto"/>
          </w:tcPr>
          <w:p w:rsidRPr="001F3C9D" w:rsidR="007F00A1" w:rsidP="007F00A1" w:rsidRDefault="007F00A1">
            <w:pPr>
              <w:keepNext/>
              <w:rPr>
                <w:sz w:val="20"/>
                <w:szCs w:val="20"/>
              </w:rPr>
            </w:pPr>
          </w:p>
        </w:tc>
        <w:tc>
          <w:tcPr>
            <w:tcW w:w="3420" w:type="dxa"/>
            <w:shd w:val="clear" w:color="auto" w:fill="auto"/>
          </w:tcPr>
          <w:p w:rsidRPr="001F3C9D" w:rsidR="007F00A1" w:rsidP="007F00A1" w:rsidRDefault="007F00A1">
            <w:pPr>
              <w:keepNext/>
              <w:jc w:val="right"/>
              <w:rPr>
                <w:sz w:val="20"/>
                <w:szCs w:val="20"/>
              </w:rPr>
            </w:pPr>
          </w:p>
        </w:tc>
        <w:tc>
          <w:tcPr>
            <w:tcW w:w="956" w:type="dxa"/>
            <w:shd w:val="clear" w:color="auto" w:fill="auto"/>
          </w:tcPr>
          <w:p w:rsidRPr="001F3C9D" w:rsidR="007F00A1" w:rsidP="007F00A1" w:rsidRDefault="007F00A1">
            <w:pPr>
              <w:keepNext/>
              <w:rPr>
                <w:sz w:val="20"/>
                <w:szCs w:val="20"/>
              </w:rPr>
            </w:pPr>
          </w:p>
        </w:tc>
        <w:tc>
          <w:tcPr>
            <w:tcW w:w="1672" w:type="dxa"/>
            <w:shd w:val="clear" w:color="auto" w:fill="auto"/>
          </w:tcPr>
          <w:p w:rsidR="007F00A1" w:rsidP="007F00A1" w:rsidRDefault="007F00A1">
            <w:pPr>
              <w:keepNext/>
              <w:jc w:val="right"/>
              <w:rPr>
                <w:sz w:val="20"/>
                <w:szCs w:val="20"/>
              </w:rPr>
            </w:pPr>
          </w:p>
        </w:tc>
      </w:tr>
      <w:tr w:rsidRPr="001F3C9D" w:rsidR="007F00A1" w:rsidTr="004161F4">
        <w:trPr>
          <w:cantSplit/>
          <w:jc w:val="center"/>
        </w:trPr>
        <w:tc>
          <w:tcPr>
            <w:tcW w:w="2088" w:type="dxa"/>
          </w:tcPr>
          <w:p w:rsidR="007F00A1" w:rsidP="007F00A1" w:rsidRDefault="007F00A1">
            <w:pPr>
              <w:keepNext/>
              <w:rPr>
                <w:sz w:val="20"/>
                <w:szCs w:val="20"/>
              </w:rPr>
            </w:pPr>
            <w:r>
              <w:rPr>
                <w:sz w:val="20"/>
                <w:szCs w:val="20"/>
              </w:rPr>
              <w:t>Test Lab Technical Personnel</w:t>
            </w:r>
            <w:r w:rsidR="004161F4">
              <w:rPr>
                <w:sz w:val="20"/>
                <w:szCs w:val="20"/>
              </w:rPr>
              <w:t xml:space="preserve">—30% </w:t>
            </w:r>
          </w:p>
        </w:tc>
        <w:tc>
          <w:tcPr>
            <w:tcW w:w="1440" w:type="dxa"/>
            <w:shd w:val="clear" w:color="auto" w:fill="auto"/>
          </w:tcPr>
          <w:p w:rsidRPr="001F3C9D" w:rsidR="007F00A1" w:rsidP="007F00A1" w:rsidRDefault="00297285">
            <w:pPr>
              <w:keepNext/>
              <w:rPr>
                <w:sz w:val="20"/>
                <w:szCs w:val="20"/>
              </w:rPr>
            </w:pPr>
            <w:r>
              <w:rPr>
                <w:sz w:val="20"/>
                <w:szCs w:val="20"/>
              </w:rPr>
              <w:t>1,832</w:t>
            </w:r>
          </w:p>
        </w:tc>
        <w:tc>
          <w:tcPr>
            <w:tcW w:w="3420" w:type="dxa"/>
            <w:shd w:val="clear" w:color="auto" w:fill="auto"/>
          </w:tcPr>
          <w:p w:rsidRPr="001F3C9D" w:rsidR="007F00A1" w:rsidP="004161F4" w:rsidRDefault="004161F4">
            <w:pPr>
              <w:keepNext/>
              <w:rPr>
                <w:sz w:val="20"/>
                <w:szCs w:val="20"/>
              </w:rPr>
            </w:pPr>
            <w:r>
              <w:rPr>
                <w:sz w:val="20"/>
                <w:szCs w:val="20"/>
              </w:rPr>
              <w:t>29-2010 Clinical Laboratory Technologists and Technicians</w:t>
            </w:r>
          </w:p>
        </w:tc>
        <w:tc>
          <w:tcPr>
            <w:tcW w:w="956" w:type="dxa"/>
            <w:shd w:val="clear" w:color="auto" w:fill="auto"/>
          </w:tcPr>
          <w:p w:rsidRPr="001F3C9D" w:rsidR="007F00A1" w:rsidP="007F00A1" w:rsidRDefault="00B631D7">
            <w:pPr>
              <w:keepNext/>
              <w:rPr>
                <w:sz w:val="20"/>
                <w:szCs w:val="20"/>
              </w:rPr>
            </w:pPr>
            <w:r>
              <w:rPr>
                <w:sz w:val="20"/>
                <w:szCs w:val="20"/>
              </w:rPr>
              <w:t>$25.91</w:t>
            </w:r>
          </w:p>
        </w:tc>
        <w:tc>
          <w:tcPr>
            <w:tcW w:w="1672" w:type="dxa"/>
            <w:shd w:val="clear" w:color="auto" w:fill="auto"/>
          </w:tcPr>
          <w:p w:rsidR="007F00A1" w:rsidP="007F00A1" w:rsidRDefault="00297285">
            <w:pPr>
              <w:keepNext/>
              <w:jc w:val="right"/>
              <w:rPr>
                <w:sz w:val="20"/>
                <w:szCs w:val="20"/>
              </w:rPr>
            </w:pPr>
            <w:r>
              <w:rPr>
                <w:sz w:val="20"/>
                <w:szCs w:val="20"/>
              </w:rPr>
              <w:t>$47,467</w:t>
            </w:r>
          </w:p>
        </w:tc>
      </w:tr>
      <w:tr w:rsidRPr="001F3C9D" w:rsidR="007F00A1" w:rsidTr="004161F4">
        <w:trPr>
          <w:cantSplit/>
          <w:jc w:val="center"/>
        </w:trPr>
        <w:tc>
          <w:tcPr>
            <w:tcW w:w="2088" w:type="dxa"/>
          </w:tcPr>
          <w:p w:rsidR="007F00A1" w:rsidP="007F00A1" w:rsidRDefault="007F00A1">
            <w:pPr>
              <w:keepNext/>
              <w:rPr>
                <w:sz w:val="20"/>
                <w:szCs w:val="20"/>
              </w:rPr>
            </w:pPr>
            <w:r>
              <w:rPr>
                <w:sz w:val="20"/>
                <w:szCs w:val="20"/>
              </w:rPr>
              <w:t>Test Lab Manager</w:t>
            </w:r>
            <w:r w:rsidR="004161F4">
              <w:rPr>
                <w:sz w:val="20"/>
                <w:szCs w:val="20"/>
              </w:rPr>
              <w:t xml:space="preserve">—65% </w:t>
            </w:r>
          </w:p>
        </w:tc>
        <w:tc>
          <w:tcPr>
            <w:tcW w:w="1440" w:type="dxa"/>
            <w:shd w:val="clear" w:color="auto" w:fill="auto"/>
          </w:tcPr>
          <w:p w:rsidRPr="001F3C9D" w:rsidR="007F00A1" w:rsidP="007F00A1" w:rsidRDefault="00297285">
            <w:pPr>
              <w:keepNext/>
              <w:rPr>
                <w:sz w:val="20"/>
                <w:szCs w:val="20"/>
              </w:rPr>
            </w:pPr>
            <w:r>
              <w:rPr>
                <w:sz w:val="20"/>
                <w:szCs w:val="20"/>
              </w:rPr>
              <w:t>3,968</w:t>
            </w:r>
          </w:p>
        </w:tc>
        <w:tc>
          <w:tcPr>
            <w:tcW w:w="3420" w:type="dxa"/>
            <w:shd w:val="clear" w:color="auto" w:fill="auto"/>
          </w:tcPr>
          <w:p w:rsidRPr="001F3C9D" w:rsidR="007F00A1" w:rsidP="004161F4" w:rsidRDefault="004161F4">
            <w:pPr>
              <w:keepNext/>
              <w:rPr>
                <w:sz w:val="20"/>
                <w:szCs w:val="20"/>
              </w:rPr>
            </w:pPr>
            <w:r>
              <w:rPr>
                <w:sz w:val="20"/>
                <w:szCs w:val="20"/>
              </w:rPr>
              <w:t>11-9199 Managers, All Other</w:t>
            </w:r>
          </w:p>
        </w:tc>
        <w:tc>
          <w:tcPr>
            <w:tcW w:w="956" w:type="dxa"/>
            <w:shd w:val="clear" w:color="auto" w:fill="auto"/>
          </w:tcPr>
          <w:p w:rsidRPr="001F3C9D" w:rsidR="007F00A1" w:rsidP="007F00A1" w:rsidRDefault="00B631D7">
            <w:pPr>
              <w:keepNext/>
              <w:rPr>
                <w:sz w:val="20"/>
                <w:szCs w:val="20"/>
              </w:rPr>
            </w:pPr>
            <w:r>
              <w:rPr>
                <w:sz w:val="20"/>
                <w:szCs w:val="20"/>
              </w:rPr>
              <w:t>$55.57</w:t>
            </w:r>
          </w:p>
        </w:tc>
        <w:tc>
          <w:tcPr>
            <w:tcW w:w="1672" w:type="dxa"/>
            <w:shd w:val="clear" w:color="auto" w:fill="auto"/>
          </w:tcPr>
          <w:p w:rsidR="007F00A1" w:rsidP="007F00A1" w:rsidRDefault="00297285">
            <w:pPr>
              <w:keepNext/>
              <w:jc w:val="right"/>
              <w:rPr>
                <w:sz w:val="20"/>
                <w:szCs w:val="20"/>
              </w:rPr>
            </w:pPr>
            <w:r>
              <w:rPr>
                <w:sz w:val="20"/>
                <w:szCs w:val="20"/>
              </w:rPr>
              <w:t>$220,502</w:t>
            </w:r>
          </w:p>
        </w:tc>
      </w:tr>
      <w:tr w:rsidRPr="001F3C9D" w:rsidR="007F00A1" w:rsidTr="004161F4">
        <w:trPr>
          <w:cantSplit/>
          <w:jc w:val="center"/>
        </w:trPr>
        <w:tc>
          <w:tcPr>
            <w:tcW w:w="2088" w:type="dxa"/>
          </w:tcPr>
          <w:p w:rsidR="007F00A1" w:rsidP="007F00A1" w:rsidRDefault="007F00A1">
            <w:pPr>
              <w:keepNext/>
              <w:rPr>
                <w:sz w:val="20"/>
                <w:szCs w:val="20"/>
              </w:rPr>
            </w:pPr>
            <w:r>
              <w:rPr>
                <w:sz w:val="20"/>
                <w:szCs w:val="20"/>
              </w:rPr>
              <w:t>Secretary or Admin.</w:t>
            </w:r>
            <w:r w:rsidR="004161F4">
              <w:rPr>
                <w:sz w:val="20"/>
                <w:szCs w:val="20"/>
              </w:rPr>
              <w:t xml:space="preserve">—5% </w:t>
            </w:r>
          </w:p>
        </w:tc>
        <w:tc>
          <w:tcPr>
            <w:tcW w:w="1440" w:type="dxa"/>
            <w:shd w:val="clear" w:color="auto" w:fill="auto"/>
          </w:tcPr>
          <w:p w:rsidRPr="001F3C9D" w:rsidR="007F00A1" w:rsidP="007F00A1" w:rsidRDefault="00297285">
            <w:pPr>
              <w:keepNext/>
              <w:rPr>
                <w:sz w:val="20"/>
                <w:szCs w:val="20"/>
              </w:rPr>
            </w:pPr>
            <w:r>
              <w:rPr>
                <w:sz w:val="20"/>
                <w:szCs w:val="20"/>
              </w:rPr>
              <w:t>305</w:t>
            </w:r>
          </w:p>
        </w:tc>
        <w:tc>
          <w:tcPr>
            <w:tcW w:w="3420" w:type="dxa"/>
            <w:shd w:val="clear" w:color="auto" w:fill="auto"/>
          </w:tcPr>
          <w:p w:rsidRPr="001F3C9D" w:rsidR="007F00A1" w:rsidP="004161F4" w:rsidRDefault="004161F4">
            <w:pPr>
              <w:keepNext/>
              <w:rPr>
                <w:sz w:val="20"/>
                <w:szCs w:val="20"/>
              </w:rPr>
            </w:pPr>
            <w:r>
              <w:rPr>
                <w:sz w:val="20"/>
                <w:szCs w:val="20"/>
              </w:rPr>
              <w:t>43-6010 Secretaries and Administrative Assistants</w:t>
            </w:r>
          </w:p>
        </w:tc>
        <w:tc>
          <w:tcPr>
            <w:tcW w:w="956" w:type="dxa"/>
            <w:shd w:val="clear" w:color="auto" w:fill="auto"/>
          </w:tcPr>
          <w:p w:rsidRPr="001F3C9D" w:rsidR="007F00A1" w:rsidP="007F00A1" w:rsidRDefault="00B631D7">
            <w:pPr>
              <w:keepNext/>
              <w:rPr>
                <w:sz w:val="20"/>
                <w:szCs w:val="20"/>
              </w:rPr>
            </w:pPr>
            <w:r>
              <w:rPr>
                <w:sz w:val="20"/>
                <w:szCs w:val="20"/>
              </w:rPr>
              <w:t>$20.34</w:t>
            </w:r>
          </w:p>
        </w:tc>
        <w:tc>
          <w:tcPr>
            <w:tcW w:w="1672" w:type="dxa"/>
            <w:shd w:val="clear" w:color="auto" w:fill="auto"/>
          </w:tcPr>
          <w:p w:rsidR="007F00A1" w:rsidP="007F00A1" w:rsidRDefault="00297285">
            <w:pPr>
              <w:keepNext/>
              <w:jc w:val="right"/>
              <w:rPr>
                <w:sz w:val="20"/>
                <w:szCs w:val="20"/>
              </w:rPr>
            </w:pPr>
            <w:r>
              <w:rPr>
                <w:sz w:val="20"/>
                <w:szCs w:val="20"/>
              </w:rPr>
              <w:t>$6,204</w:t>
            </w:r>
          </w:p>
        </w:tc>
      </w:tr>
      <w:tr w:rsidRPr="001F3C9D" w:rsidR="007F00A1" w:rsidTr="004161F4">
        <w:trPr>
          <w:cantSplit/>
          <w:jc w:val="center"/>
        </w:trPr>
        <w:tc>
          <w:tcPr>
            <w:tcW w:w="2088" w:type="dxa"/>
          </w:tcPr>
          <w:p w:rsidR="007F00A1" w:rsidP="007F00A1" w:rsidRDefault="007F00A1">
            <w:pPr>
              <w:keepNext/>
              <w:rPr>
                <w:sz w:val="20"/>
                <w:szCs w:val="20"/>
              </w:rPr>
            </w:pPr>
            <w:r>
              <w:rPr>
                <w:sz w:val="20"/>
                <w:szCs w:val="20"/>
              </w:rPr>
              <w:t>Total TLs</w:t>
            </w:r>
          </w:p>
        </w:tc>
        <w:tc>
          <w:tcPr>
            <w:tcW w:w="1440" w:type="dxa"/>
            <w:shd w:val="clear" w:color="auto" w:fill="auto"/>
          </w:tcPr>
          <w:p w:rsidRPr="001F3C9D" w:rsidR="007F00A1" w:rsidP="007F00A1" w:rsidRDefault="00DC60B7">
            <w:pPr>
              <w:keepNext/>
              <w:rPr>
                <w:sz w:val="20"/>
                <w:szCs w:val="20"/>
              </w:rPr>
            </w:pPr>
            <w:r>
              <w:rPr>
                <w:sz w:val="20"/>
                <w:szCs w:val="20"/>
              </w:rPr>
              <w:t>6,105</w:t>
            </w:r>
          </w:p>
        </w:tc>
        <w:tc>
          <w:tcPr>
            <w:tcW w:w="3420" w:type="dxa"/>
            <w:shd w:val="clear" w:color="auto" w:fill="auto"/>
          </w:tcPr>
          <w:p w:rsidRPr="001F3C9D" w:rsidR="007F00A1" w:rsidP="004161F4" w:rsidRDefault="007F00A1">
            <w:pPr>
              <w:keepNext/>
              <w:rPr>
                <w:sz w:val="20"/>
                <w:szCs w:val="20"/>
              </w:rPr>
            </w:pPr>
          </w:p>
        </w:tc>
        <w:tc>
          <w:tcPr>
            <w:tcW w:w="956" w:type="dxa"/>
            <w:shd w:val="clear" w:color="auto" w:fill="auto"/>
          </w:tcPr>
          <w:p w:rsidRPr="001F3C9D" w:rsidR="007F00A1" w:rsidP="007F00A1" w:rsidRDefault="007F00A1">
            <w:pPr>
              <w:keepNext/>
              <w:rPr>
                <w:sz w:val="20"/>
                <w:szCs w:val="20"/>
              </w:rPr>
            </w:pPr>
          </w:p>
        </w:tc>
        <w:tc>
          <w:tcPr>
            <w:tcW w:w="1672" w:type="dxa"/>
            <w:shd w:val="clear" w:color="auto" w:fill="auto"/>
          </w:tcPr>
          <w:p w:rsidR="007F00A1" w:rsidP="007F00A1" w:rsidRDefault="00297285">
            <w:pPr>
              <w:keepNext/>
              <w:jc w:val="right"/>
              <w:rPr>
                <w:sz w:val="20"/>
                <w:szCs w:val="20"/>
              </w:rPr>
            </w:pPr>
            <w:r>
              <w:rPr>
                <w:sz w:val="20"/>
                <w:szCs w:val="20"/>
              </w:rPr>
              <w:t>$274,173</w:t>
            </w:r>
          </w:p>
        </w:tc>
      </w:tr>
      <w:tr w:rsidRPr="001F3C9D" w:rsidR="007F00A1" w:rsidTr="004161F4">
        <w:trPr>
          <w:cantSplit/>
          <w:jc w:val="center"/>
        </w:trPr>
        <w:tc>
          <w:tcPr>
            <w:tcW w:w="2088" w:type="dxa"/>
          </w:tcPr>
          <w:p w:rsidR="007F00A1" w:rsidP="007F00A1" w:rsidRDefault="007F00A1">
            <w:pPr>
              <w:keepNext/>
              <w:rPr>
                <w:sz w:val="20"/>
                <w:szCs w:val="20"/>
              </w:rPr>
            </w:pPr>
            <w:r>
              <w:rPr>
                <w:sz w:val="20"/>
                <w:szCs w:val="20"/>
              </w:rPr>
              <w:t>Total All</w:t>
            </w:r>
          </w:p>
        </w:tc>
        <w:tc>
          <w:tcPr>
            <w:tcW w:w="1440" w:type="dxa"/>
            <w:shd w:val="clear" w:color="auto" w:fill="auto"/>
          </w:tcPr>
          <w:p w:rsidRPr="001F3C9D" w:rsidR="007F00A1" w:rsidP="007F00A1" w:rsidRDefault="00DC60B7">
            <w:pPr>
              <w:keepNext/>
              <w:rPr>
                <w:sz w:val="20"/>
                <w:szCs w:val="20"/>
              </w:rPr>
            </w:pPr>
            <w:r>
              <w:rPr>
                <w:sz w:val="20"/>
                <w:szCs w:val="20"/>
              </w:rPr>
              <w:t>13,491</w:t>
            </w:r>
          </w:p>
        </w:tc>
        <w:tc>
          <w:tcPr>
            <w:tcW w:w="3420" w:type="dxa"/>
            <w:shd w:val="clear" w:color="auto" w:fill="auto"/>
          </w:tcPr>
          <w:p w:rsidRPr="001F3C9D" w:rsidR="007F00A1" w:rsidP="007F00A1" w:rsidRDefault="007F00A1">
            <w:pPr>
              <w:keepNext/>
              <w:jc w:val="right"/>
              <w:rPr>
                <w:sz w:val="20"/>
                <w:szCs w:val="20"/>
              </w:rPr>
            </w:pPr>
          </w:p>
        </w:tc>
        <w:tc>
          <w:tcPr>
            <w:tcW w:w="956" w:type="dxa"/>
            <w:shd w:val="clear" w:color="auto" w:fill="auto"/>
          </w:tcPr>
          <w:p w:rsidRPr="001F3C9D" w:rsidR="007F00A1" w:rsidP="007F00A1" w:rsidRDefault="007F00A1">
            <w:pPr>
              <w:keepNext/>
              <w:rPr>
                <w:sz w:val="20"/>
                <w:szCs w:val="20"/>
              </w:rPr>
            </w:pPr>
          </w:p>
        </w:tc>
        <w:tc>
          <w:tcPr>
            <w:tcW w:w="1672" w:type="dxa"/>
            <w:shd w:val="clear" w:color="auto" w:fill="auto"/>
          </w:tcPr>
          <w:p w:rsidR="007F00A1" w:rsidP="007F00A1" w:rsidRDefault="00297285">
            <w:pPr>
              <w:keepNext/>
              <w:jc w:val="right"/>
              <w:rPr>
                <w:sz w:val="20"/>
                <w:szCs w:val="20"/>
              </w:rPr>
            </w:pPr>
            <w:r>
              <w:rPr>
                <w:sz w:val="20"/>
                <w:szCs w:val="20"/>
              </w:rPr>
              <w:t>$608,393</w:t>
            </w:r>
          </w:p>
        </w:tc>
      </w:tr>
      <w:tr w:rsidRPr="001F3C9D" w:rsidR="00B631D7" w:rsidTr="005F6862">
        <w:trPr>
          <w:cantSplit/>
          <w:jc w:val="center"/>
        </w:trPr>
        <w:tc>
          <w:tcPr>
            <w:tcW w:w="9576" w:type="dxa"/>
            <w:gridSpan w:val="5"/>
          </w:tcPr>
          <w:p w:rsidRPr="004161F4" w:rsidR="00B631D7" w:rsidP="00B631D7" w:rsidRDefault="00B631D7">
            <w:pPr>
              <w:keepNext/>
              <w:rPr>
                <w:sz w:val="20"/>
                <w:szCs w:val="20"/>
                <w:vertAlign w:val="superscript"/>
              </w:rPr>
            </w:pPr>
            <w:r w:rsidRPr="004161F4">
              <w:rPr>
                <w:sz w:val="20"/>
                <w:szCs w:val="20"/>
                <w:vertAlign w:val="superscript"/>
              </w:rPr>
              <w:t>1</w:t>
            </w:r>
            <w:r w:rsidRPr="004161F4">
              <w:rPr>
                <w:sz w:val="20"/>
                <w:szCs w:val="20"/>
              </w:rPr>
              <w:t xml:space="preserve"> </w:t>
            </w:r>
            <w:r w:rsidR="00297285">
              <w:rPr>
                <w:sz w:val="20"/>
                <w:szCs w:val="20"/>
              </w:rPr>
              <w:t>R</w:t>
            </w:r>
            <w:r w:rsidR="00DC60B7">
              <w:rPr>
                <w:sz w:val="20"/>
                <w:szCs w:val="20"/>
              </w:rPr>
              <w:t>ounded to the nearest whole number.</w:t>
            </w:r>
            <w:r w:rsidR="00003007">
              <w:rPr>
                <w:sz w:val="20"/>
                <w:szCs w:val="20"/>
              </w:rPr>
              <w:t xml:space="preserve"> </w:t>
            </w:r>
          </w:p>
        </w:tc>
      </w:tr>
      <w:tr w:rsidRPr="001F3C9D" w:rsidR="00B631D7" w:rsidTr="005F6862">
        <w:trPr>
          <w:cantSplit/>
          <w:jc w:val="center"/>
        </w:trPr>
        <w:tc>
          <w:tcPr>
            <w:tcW w:w="9576" w:type="dxa"/>
            <w:gridSpan w:val="5"/>
          </w:tcPr>
          <w:p w:rsidR="00B631D7" w:rsidP="00B631D7" w:rsidRDefault="00B631D7">
            <w:pPr>
              <w:keepNext/>
              <w:rPr>
                <w:sz w:val="20"/>
                <w:szCs w:val="20"/>
              </w:rPr>
            </w:pPr>
            <w:r w:rsidRPr="00B631D7">
              <w:rPr>
                <w:sz w:val="20"/>
                <w:szCs w:val="20"/>
                <w:vertAlign w:val="superscript"/>
              </w:rPr>
              <w:t>2</w:t>
            </w:r>
            <w:r>
              <w:rPr>
                <w:sz w:val="20"/>
                <w:szCs w:val="20"/>
              </w:rPr>
              <w:t xml:space="preserve"> </w:t>
            </w:r>
            <w:r>
              <w:rPr>
                <w:sz w:val="20"/>
              </w:rPr>
              <w:t>H</w:t>
            </w:r>
            <w:r w:rsidRPr="00D132BE">
              <w:rPr>
                <w:sz w:val="20"/>
              </w:rPr>
              <w:t xml:space="preserve">ourly wage </w:t>
            </w:r>
            <w:proofErr w:type="gramStart"/>
            <w:r w:rsidRPr="00D132BE">
              <w:rPr>
                <w:sz w:val="20"/>
              </w:rPr>
              <w:t>rate</w:t>
            </w:r>
            <w:proofErr w:type="gramEnd"/>
            <w:r w:rsidRPr="00D132BE">
              <w:rPr>
                <w:sz w:val="20"/>
              </w:rPr>
              <w:t xml:space="preserve"> is based on the Bureau of Labor and Statistics</w:t>
            </w:r>
            <w:r>
              <w:rPr>
                <w:sz w:val="20"/>
              </w:rPr>
              <w:t>’</w:t>
            </w:r>
            <w:r w:rsidRPr="00D132BE">
              <w:rPr>
                <w:sz w:val="20"/>
              </w:rPr>
              <w:t xml:space="preserve"> May </w:t>
            </w:r>
            <w:r>
              <w:rPr>
                <w:sz w:val="20"/>
              </w:rPr>
              <w:t>2018</w:t>
            </w:r>
            <w:r w:rsidRPr="00D132BE">
              <w:rPr>
                <w:sz w:val="20"/>
              </w:rPr>
              <w:t xml:space="preserve"> National Occupational Employment and Wage Estimates (</w:t>
            </w:r>
            <w:r>
              <w:rPr>
                <w:sz w:val="20"/>
              </w:rPr>
              <w:t>http://www.bls.gov/oes/current/oes_nat.htm</w:t>
            </w:r>
            <w:r w:rsidRPr="00D132BE">
              <w:rPr>
                <w:sz w:val="20"/>
              </w:rPr>
              <w:t>).</w:t>
            </w:r>
          </w:p>
        </w:tc>
      </w:tr>
    </w:tbl>
    <w:p w:rsidR="00862E70" w:rsidP="001D495A" w:rsidRDefault="00862E70">
      <w:pPr>
        <w:pStyle w:val="BodyText2"/>
        <w:ind w:left="720"/>
      </w:pPr>
    </w:p>
    <w:p w:rsidRPr="004C6979" w:rsidR="004C6979" w:rsidP="0081593F" w:rsidRDefault="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3E553E" w:rsidRDefault="00350523">
      <w:pPr>
        <w:ind w:left="720"/>
      </w:pPr>
      <w:r>
        <w:t>There are no capital, start-up, operating or maintenance costs associated with this information collection.</w:t>
      </w:r>
    </w:p>
    <w:p w:rsidRPr="004C6979" w:rsidR="004C6979" w:rsidP="008D439B" w:rsidRDefault="00EB7538">
      <w:pPr>
        <w:keepNext/>
        <w:numPr>
          <w:ilvl w:val="0"/>
          <w:numId w:val="1"/>
        </w:numPr>
        <w:spacing w:before="100" w:beforeAutospacing="1" w:after="100" w:afterAutospacing="1"/>
        <w:rPr>
          <w:u w:val="single"/>
        </w:rPr>
      </w:pPr>
      <w:r w:rsidRPr="004C6979">
        <w:rPr>
          <w:u w:val="single"/>
        </w:rPr>
        <w:t>Annualized Cost to the Federal Government</w:t>
      </w:r>
    </w:p>
    <w:p w:rsidRPr="00C647A4" w:rsidR="006D6349" w:rsidP="006D6349" w:rsidRDefault="006D6349">
      <w:pPr>
        <w:spacing w:after="73"/>
        <w:ind w:left="720"/>
      </w:pPr>
      <w:bookmarkStart w:name="_Hlk39155419" w:id="18"/>
      <w:r w:rsidRPr="00C647A4">
        <w:t xml:space="preserve">FDA estimates that a total of </w:t>
      </w:r>
      <w:r>
        <w:t>5</w:t>
      </w:r>
      <w:r w:rsidRPr="00C647A4">
        <w:t xml:space="preserve"> full time equivalent (FTE) positions are </w:t>
      </w:r>
      <w:r>
        <w:t>used</w:t>
      </w:r>
      <w:r w:rsidRPr="00C647A4">
        <w:t xml:space="preserve"> for </w:t>
      </w:r>
      <w:r>
        <w:t>the ASCA Pilot</w:t>
      </w:r>
      <w:r w:rsidRPr="00C647A4">
        <w:t xml:space="preserve">. </w:t>
      </w:r>
      <w:r>
        <w:t xml:space="preserve"> </w:t>
      </w:r>
      <w:r w:rsidRPr="00A87A70">
        <w:t>Based on a</w:t>
      </w:r>
      <w:r>
        <w:t xml:space="preserve"> </w:t>
      </w:r>
      <w:r w:rsidRPr="00A87A70">
        <w:t>cost of $</w:t>
      </w:r>
      <w:r>
        <w:t>270,305</w:t>
      </w:r>
      <w:r w:rsidRPr="00A87A70">
        <w:t xml:space="preserve"> per position (which is the agency’s </w:t>
      </w:r>
      <w:r>
        <w:t xml:space="preserve">projected </w:t>
      </w:r>
      <w:r w:rsidRPr="00A87A70">
        <w:t>average cost of an FTE including benefits</w:t>
      </w:r>
      <w:r>
        <w:t>*</w:t>
      </w:r>
      <w:r w:rsidRPr="00A87A70">
        <w:t>), the estimated annual Federal cost is $</w:t>
      </w:r>
      <w:r>
        <w:t>1,351,525</w:t>
      </w:r>
      <w:r w:rsidRPr="00A87A70">
        <w:t>.</w:t>
      </w:r>
    </w:p>
    <w:p w:rsidR="006D6349" w:rsidP="006D6349" w:rsidRDefault="006D6349">
      <w:pPr>
        <w:pStyle w:val="BodyText2"/>
        <w:ind w:left="720"/>
      </w:pPr>
    </w:p>
    <w:p w:rsidR="006D6349" w:rsidP="006D6349" w:rsidRDefault="006D6349">
      <w:pPr>
        <w:ind w:left="720"/>
        <w:rPr>
          <w:szCs w:val="22"/>
        </w:rPr>
      </w:pPr>
      <w:r w:rsidRPr="0036706C">
        <w:rPr>
          <w:szCs w:val="22"/>
        </w:rPr>
        <w:t>*Based on the Food and Drug Administration fully loaded FTE cost model (domestic) for FY 2018, as provided by agency economists.</w:t>
      </w:r>
    </w:p>
    <w:p w:rsidR="007A7D37" w:rsidP="006D6349" w:rsidRDefault="007A7D37">
      <w:pPr>
        <w:ind w:left="720"/>
        <w:rPr>
          <w:szCs w:val="22"/>
        </w:rPr>
      </w:pPr>
    </w:p>
    <w:p w:rsidR="006D6349" w:rsidP="006D6349" w:rsidRDefault="006D6349">
      <w:pPr>
        <w:ind w:left="720"/>
        <w:rPr>
          <w:szCs w:val="22"/>
        </w:rPr>
      </w:pPr>
      <w:r>
        <w:rPr>
          <w:szCs w:val="22"/>
        </w:rPr>
        <w:t>Additional funding for ASCA includes a one</w:t>
      </w:r>
      <w:r w:rsidR="007A7D37">
        <w:rPr>
          <w:szCs w:val="22"/>
        </w:rPr>
        <w:t>-</w:t>
      </w:r>
      <w:r>
        <w:rPr>
          <w:szCs w:val="22"/>
        </w:rPr>
        <w:t>time operating cost for IT support ($700,000) and $1.5M operating costs over 5 years. Therefore, the average estimated Federal cost is $1,791,525 per year.</w:t>
      </w:r>
    </w:p>
    <w:bookmarkEnd w:id="18"/>
    <w:p w:rsidRPr="004C6979" w:rsidR="004C6979" w:rsidP="007A7D37" w:rsidRDefault="00EB7538">
      <w:pPr>
        <w:keepNext/>
        <w:numPr>
          <w:ilvl w:val="0"/>
          <w:numId w:val="1"/>
        </w:numPr>
        <w:spacing w:before="100" w:beforeAutospacing="1" w:after="100" w:afterAutospacing="1"/>
        <w:rPr>
          <w:u w:val="single"/>
        </w:rPr>
      </w:pPr>
      <w:r w:rsidRPr="004C6979">
        <w:rPr>
          <w:u w:val="single"/>
        </w:rPr>
        <w:t>Explanation for Program Changes or Adjustments</w:t>
      </w:r>
    </w:p>
    <w:p w:rsidR="00B335F3" w:rsidP="00B335F3" w:rsidRDefault="00280CAF">
      <w:pPr>
        <w:pStyle w:val="BodyTextIndent"/>
        <w:ind w:left="720"/>
      </w:pPr>
      <w:r>
        <w:t>This is a new data collection.</w:t>
      </w:r>
    </w:p>
    <w:p w:rsidRPr="004C6979" w:rsidR="004C6979" w:rsidP="00EB7538" w:rsidRDefault="00EB7538">
      <w:pPr>
        <w:numPr>
          <w:ilvl w:val="0"/>
          <w:numId w:val="1"/>
        </w:numPr>
        <w:spacing w:before="100" w:beforeAutospacing="1" w:after="100" w:afterAutospacing="1"/>
        <w:rPr>
          <w:u w:val="single"/>
        </w:rPr>
      </w:pPr>
      <w:r w:rsidRPr="004C6979">
        <w:rPr>
          <w:u w:val="single"/>
        </w:rPr>
        <w:lastRenderedPageBreak/>
        <w:t>Plans for Tabulation and Publication and Project Time Schedule</w:t>
      </w:r>
    </w:p>
    <w:p w:rsidR="006D5CCE" w:rsidP="006D5CCE" w:rsidRDefault="006D5CCE">
      <w:pPr>
        <w:ind w:left="720"/>
      </w:pPr>
      <w:r>
        <w:t xml:space="preserve">As part of the enactment of MDUFA IV,  FDA committed to publish the following information on FDA’s ASCA website  </w:t>
      </w:r>
      <w:r w:rsidR="00F20170">
        <w:t xml:space="preserve">(see </w:t>
      </w:r>
      <w:hyperlink w:history="1" r:id="rId19">
        <w:r w:rsidRPr="0081593F" w:rsidR="00F20170">
          <w:rPr>
            <w:rStyle w:val="Hyperlink"/>
          </w:rPr>
          <w:t>https://www.fda.gov/medical-devices/standards-and-conformity-assessment-program/accreditation-scheme-conformity-assessment-asca</w:t>
        </w:r>
      </w:hyperlink>
      <w:r w:rsidRPr="0081593F" w:rsidR="00F20170">
        <w:t>)</w:t>
      </w:r>
    </w:p>
    <w:p w:rsidR="006D5CCE" w:rsidP="006D5CCE" w:rsidRDefault="006D5CCE">
      <w:pPr>
        <w:ind w:left="1080"/>
      </w:pPr>
    </w:p>
    <w:p w:rsidR="006D5CCE" w:rsidP="006D5CCE" w:rsidRDefault="006D5CCE">
      <w:pPr>
        <w:numPr>
          <w:ilvl w:val="0"/>
          <w:numId w:val="12"/>
        </w:numPr>
      </w:pPr>
      <w:r>
        <w:t xml:space="preserve">A list of ASCA-recognized accreditation bodies including the FDA-recognized consensus standards and test methods within their scopes of </w:t>
      </w:r>
      <w:r w:rsidRPr="006D5CCE">
        <w:rPr>
          <w:i/>
        </w:rPr>
        <w:t>ASCA Recognition</w:t>
      </w:r>
      <w:r>
        <w:t xml:space="preserve">; an expiration date for each accreditation body’s </w:t>
      </w:r>
      <w:r w:rsidRPr="006D5CCE">
        <w:rPr>
          <w:i/>
        </w:rPr>
        <w:t>ASCA Recognition</w:t>
      </w:r>
      <w:r>
        <w:t xml:space="preserve"> will also be provided.</w:t>
      </w:r>
    </w:p>
    <w:p w:rsidR="006D5CCE" w:rsidP="006D5CCE" w:rsidRDefault="006D5CCE">
      <w:pPr>
        <w:numPr>
          <w:ilvl w:val="0"/>
          <w:numId w:val="12"/>
        </w:numPr>
      </w:pPr>
      <w:r>
        <w:t xml:space="preserve">A list of ASCA-accredited testing laboratories including the FDA-recognized consensus standards and test methods within their scopes of </w:t>
      </w:r>
      <w:r w:rsidRPr="006D5CCE">
        <w:rPr>
          <w:i/>
        </w:rPr>
        <w:t>ASCA Accreditation</w:t>
      </w:r>
      <w:r>
        <w:t xml:space="preserve">; an expiration date for each testing laboratory’s </w:t>
      </w:r>
      <w:r w:rsidRPr="006D5CCE">
        <w:rPr>
          <w:i/>
        </w:rPr>
        <w:t>ASCA Accreditation</w:t>
      </w:r>
      <w:r>
        <w:t xml:space="preserve"> will also be provided.   </w:t>
      </w:r>
    </w:p>
    <w:p w:rsidR="006D5CCE" w:rsidP="006D5CCE" w:rsidRDefault="006D5CCE">
      <w:pPr>
        <w:ind w:left="720"/>
      </w:pPr>
    </w:p>
    <w:p w:rsidR="005F174D" w:rsidP="006D5CCE" w:rsidRDefault="005F174D">
      <w:pPr>
        <w:ind w:left="720"/>
      </w:pPr>
      <w:r>
        <w:t>Device manufacturers may choose to use a</w:t>
      </w:r>
      <w:r w:rsidR="001128A6">
        <w:t>n ASCA-accredited</w:t>
      </w:r>
      <w:r>
        <w:t xml:space="preserve"> testing laboratory to conduct testing for premarket submissions to FDA.</w:t>
      </w:r>
      <w:r w:rsidR="00C358D0">
        <w:t xml:space="preserve"> </w:t>
      </w:r>
      <w:r w:rsidR="00BE035F">
        <w:t xml:space="preserve">There are no other plans for tabulation or publication. We anticipate that the program will remain in pilot during the 36-month OMB approval period and </w:t>
      </w:r>
      <w:r w:rsidR="00AD285E">
        <w:t xml:space="preserve">we </w:t>
      </w:r>
      <w:r w:rsidR="00BE035F">
        <w:t>will update the ICR upon transition to an ongoing program.</w:t>
      </w:r>
    </w:p>
    <w:p w:rsidRPr="004C6979" w:rsidR="004C6979" w:rsidP="00EB7538" w:rsidRDefault="00EB7538">
      <w:pPr>
        <w:numPr>
          <w:ilvl w:val="0"/>
          <w:numId w:val="1"/>
        </w:numPr>
        <w:spacing w:before="100" w:beforeAutospacing="1" w:after="100" w:afterAutospacing="1"/>
        <w:rPr>
          <w:u w:val="single"/>
        </w:rPr>
      </w:pPr>
      <w:r w:rsidRPr="004C6979">
        <w:rPr>
          <w:u w:val="single"/>
        </w:rPr>
        <w:t>Reason(s) Display of OMB Expiration Date is Inappropriate</w:t>
      </w:r>
    </w:p>
    <w:p w:rsidRPr="00B41789" w:rsidR="00B41789" w:rsidP="00D730BF" w:rsidRDefault="00B41789">
      <w:pPr>
        <w:ind w:left="720"/>
      </w:pPr>
      <w:r w:rsidRPr="00B41789">
        <w:t>FDA will display the OMB expiration date as required by 5 CFR 1320.5.</w:t>
      </w:r>
    </w:p>
    <w:p w:rsidR="00EB7538" w:rsidP="00F2425B" w:rsidRDefault="00EB7538">
      <w:pPr>
        <w:keepNext/>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P="00D730BF" w:rsidRDefault="00B335F3">
      <w:pPr>
        <w:spacing w:before="100" w:beforeAutospacing="1" w:after="100" w:afterAutospacing="1"/>
        <w:ind w:left="720"/>
      </w:pPr>
      <w:r>
        <w:t>T</w:t>
      </w:r>
      <w:r w:rsidR="00754497">
        <w:t>here are no exceptions to the certification.</w:t>
      </w:r>
    </w:p>
    <w:p w:rsidRPr="004C6979" w:rsidR="002746DB" w:rsidP="00B335F3" w:rsidRDefault="004C6979">
      <w:pPr>
        <w:spacing w:before="100" w:beforeAutospacing="1" w:after="100" w:afterAutospacing="1"/>
        <w:rPr>
          <w:b/>
        </w:rPr>
      </w:pPr>
      <w:r>
        <w:t xml:space="preserve"> </w:t>
      </w:r>
    </w:p>
    <w:sectPr w:rsidRPr="004C6979" w:rsidR="002746DB" w:rsidSect="00EB7538">
      <w:footerReference w:type="even"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7CE" w:rsidRDefault="003B27CE">
      <w:r>
        <w:separator/>
      </w:r>
    </w:p>
  </w:endnote>
  <w:endnote w:type="continuationSeparator" w:id="0">
    <w:p w:rsidR="003B27CE" w:rsidRDefault="003B27CE">
      <w:r>
        <w:continuationSeparator/>
      </w:r>
    </w:p>
  </w:endnote>
  <w:endnote w:type="continuationNotice" w:id="1">
    <w:p w:rsidR="003B27CE" w:rsidRDefault="003B2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DD" w:rsidRDefault="00D110D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10DD" w:rsidRDefault="00D11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DD" w:rsidRDefault="00D110D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110DD" w:rsidRDefault="00D1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7CE" w:rsidRDefault="003B27CE">
      <w:r>
        <w:separator/>
      </w:r>
    </w:p>
  </w:footnote>
  <w:footnote w:type="continuationSeparator" w:id="0">
    <w:p w:rsidR="003B27CE" w:rsidRDefault="003B27CE">
      <w:r>
        <w:continuationSeparator/>
      </w:r>
    </w:p>
  </w:footnote>
  <w:footnote w:type="continuationNotice" w:id="1">
    <w:p w:rsidR="003B27CE" w:rsidRDefault="003B27CE"/>
  </w:footnote>
  <w:footnote w:id="2">
    <w:p w:rsidR="00D110DD" w:rsidRDefault="00D110DD" w:rsidP="00606CBA">
      <w:pPr>
        <w:pStyle w:val="FootnoteText"/>
      </w:pPr>
      <w:r>
        <w:rPr>
          <w:rStyle w:val="FootnoteReference"/>
        </w:rPr>
        <w:footnoteRef/>
      </w:r>
      <w:r>
        <w:t xml:space="preserve"> </w:t>
      </w:r>
      <w:r w:rsidRPr="0043134E">
        <w:rPr>
          <w:i/>
        </w:rPr>
        <w:t>See</w:t>
      </w:r>
      <w:r w:rsidRPr="00142606">
        <w:t xml:space="preserve"> Pub. L. 115-52, section 205</w:t>
      </w:r>
      <w:r>
        <w:t>.</w:t>
      </w:r>
    </w:p>
  </w:footnote>
  <w:footnote w:id="3">
    <w:p w:rsidR="00D110DD" w:rsidRDefault="00D110DD" w:rsidP="00606CBA">
      <w:pPr>
        <w:pStyle w:val="FootnoteText"/>
      </w:pPr>
      <w:r>
        <w:rPr>
          <w:rStyle w:val="FootnoteReference"/>
        </w:rPr>
        <w:footnoteRef/>
      </w:r>
      <w:r>
        <w:t xml:space="preserve"> </w:t>
      </w:r>
      <w:r>
        <w:rPr>
          <w:i/>
        </w:rPr>
        <w:t xml:space="preserve">See </w:t>
      </w:r>
      <w:r>
        <w:t>section 514(d)(1)(B).</w:t>
      </w:r>
    </w:p>
  </w:footnote>
  <w:footnote w:id="4">
    <w:p w:rsidR="00D110DD" w:rsidRDefault="00D110DD" w:rsidP="00606CBA">
      <w:pPr>
        <w:pStyle w:val="FootnoteText"/>
      </w:pPr>
      <w:r>
        <w:rPr>
          <w:rStyle w:val="FootnoteReference"/>
        </w:rPr>
        <w:footnoteRef/>
      </w:r>
      <w:r>
        <w:t xml:space="preserve"> </w:t>
      </w:r>
      <w:r>
        <w:rPr>
          <w:i/>
        </w:rPr>
        <w:t>See</w:t>
      </w:r>
      <w:r>
        <w:t xml:space="preserve"> section 514(d)(2)(A).</w:t>
      </w:r>
    </w:p>
  </w:footnote>
  <w:footnote w:id="5">
    <w:p w:rsidR="00D110DD" w:rsidRDefault="00D110DD" w:rsidP="00606CBA">
      <w:pPr>
        <w:pStyle w:val="FootnoteText"/>
      </w:pPr>
      <w:r>
        <w:rPr>
          <w:rStyle w:val="FootnoteReference"/>
        </w:rPr>
        <w:footnoteRef/>
      </w:r>
      <w:r>
        <w:t xml:space="preserve"> </w:t>
      </w:r>
      <w:r>
        <w:rPr>
          <w:i/>
        </w:rPr>
        <w:t>See</w:t>
      </w:r>
      <w:r>
        <w:t xml:space="preserve"> section 514(d)(2)(A)-(B).</w:t>
      </w:r>
    </w:p>
  </w:footnote>
  <w:footnote w:id="6">
    <w:p w:rsidR="00D110DD" w:rsidRPr="0033112D" w:rsidRDefault="00D110DD" w:rsidP="00606CBA">
      <w:pPr>
        <w:pStyle w:val="FootnoteText"/>
      </w:pPr>
      <w:r>
        <w:rPr>
          <w:rStyle w:val="FootnoteReference"/>
        </w:rPr>
        <w:footnoteRef/>
      </w:r>
      <w:r>
        <w:t xml:space="preserve"> </w:t>
      </w:r>
      <w:r>
        <w:rPr>
          <w:i/>
        </w:rPr>
        <w:t>See</w:t>
      </w:r>
      <w:r>
        <w:t xml:space="preserve"> section 514(d)(3)(B) of the FD&amp;C Act.</w:t>
      </w:r>
    </w:p>
  </w:footnote>
  <w:footnote w:id="7">
    <w:p w:rsidR="00D110DD" w:rsidRPr="0033112D" w:rsidRDefault="00D110DD" w:rsidP="00606CBA">
      <w:pPr>
        <w:pStyle w:val="FootnoteText"/>
      </w:pPr>
      <w:r>
        <w:rPr>
          <w:rStyle w:val="FootnoteReference"/>
        </w:rPr>
        <w:footnoteRef/>
      </w:r>
      <w:r>
        <w:t xml:space="preserve"> </w:t>
      </w:r>
      <w:r>
        <w:rPr>
          <w:i/>
        </w:rPr>
        <w:t>See also</w:t>
      </w:r>
      <w:r>
        <w:t xml:space="preserve"> MDUFA IV Commitment Letter: </w:t>
      </w:r>
      <w:hyperlink r:id="rId1" w:history="1">
        <w:r w:rsidRPr="0033112D">
          <w:rPr>
            <w:rStyle w:val="Hyperlink"/>
          </w:rPr>
          <w:t>https://www.fda.gov/downloads/ForIndustry/User</w:t>
        </w:r>
        <w:r w:rsidRPr="008E6DB4">
          <w:rPr>
            <w:rStyle w:val="Hyperlink"/>
          </w:rPr>
          <w:t>Fees/MedicalDeviceUserFee/UCM526395.pdf</w:t>
        </w:r>
      </w:hyperlink>
      <w:r>
        <w:t xml:space="preserve"> </w:t>
      </w:r>
    </w:p>
  </w:footnote>
  <w:footnote w:id="8">
    <w:p w:rsidR="00D110DD" w:rsidRDefault="00D110DD">
      <w:pPr>
        <w:pStyle w:val="FootnoteText"/>
      </w:pPr>
      <w:r>
        <w:rPr>
          <w:rStyle w:val="FootnoteReference"/>
        </w:rPr>
        <w:footnoteRef/>
      </w:r>
      <w:r>
        <w:t xml:space="preserve"> </w:t>
      </w:r>
      <w:r w:rsidR="00BF753A">
        <w:t>Available</w:t>
      </w:r>
      <w:r>
        <w:t xml:space="preserve"> at </w:t>
      </w:r>
      <w:hyperlink r:id="rId2" w:history="1">
        <w:r w:rsidRPr="00ED2154">
          <w:rPr>
            <w:rStyle w:val="Hyperlink"/>
          </w:rPr>
          <w:t>https://www.fda.gov/regulatory-information/search-fda-guidance-documents/appropriate-use-voluntary-consensus-standards-premarket-submissions-medical-devices</w:t>
        </w:r>
      </w:hyperlink>
      <w:r>
        <w:t xml:space="preserve"> </w:t>
      </w:r>
    </w:p>
  </w:footnote>
  <w:footnote w:id="9">
    <w:p w:rsidR="00CF3401" w:rsidRDefault="00CF3401">
      <w:pPr>
        <w:pStyle w:val="FootnoteText"/>
      </w:pPr>
      <w:r>
        <w:rPr>
          <w:rStyle w:val="FootnoteReference"/>
        </w:rPr>
        <w:footnoteRef/>
      </w:r>
      <w:r>
        <w:t xml:space="preserve"> </w:t>
      </w:r>
      <w:r w:rsidRPr="000E710C">
        <w:rPr>
          <w:i/>
        </w:rPr>
        <w:t>See</w:t>
      </w:r>
      <w:r w:rsidRPr="00142606">
        <w:rPr>
          <w:szCs w:val="20"/>
        </w:rPr>
        <w:t xml:space="preserve"> </w:t>
      </w:r>
      <w:r>
        <w:rPr>
          <w:szCs w:val="20"/>
        </w:rPr>
        <w:t xml:space="preserve">section </w:t>
      </w:r>
      <w:r w:rsidRPr="00142606">
        <w:rPr>
          <w:szCs w:val="20"/>
        </w:rPr>
        <w:t>514(d)(3)(A)</w:t>
      </w:r>
    </w:p>
  </w:footnote>
  <w:footnote w:id="10">
    <w:p w:rsidR="00CF3401" w:rsidRDefault="00CF3401" w:rsidP="00CF3401">
      <w:pPr>
        <w:pStyle w:val="FootnoteText"/>
      </w:pPr>
      <w:r>
        <w:rPr>
          <w:rStyle w:val="FootnoteReference"/>
        </w:rPr>
        <w:footnoteRef/>
      </w:r>
      <w:r>
        <w:t xml:space="preserve"> Available at </w:t>
      </w:r>
      <w:hyperlink r:id="rId3" w:history="1">
        <w:r w:rsidRPr="0021763E">
          <w:rPr>
            <w:rStyle w:val="Hyperlink"/>
          </w:rPr>
          <w:t>https://www.fda.gov/medical-devices/news-events-medical-devices/workshops-conferences-medical-devices</w:t>
        </w:r>
      </w:hyperlink>
      <w:r>
        <w:t xml:space="preserve"> </w:t>
      </w:r>
    </w:p>
  </w:footnote>
  <w:footnote w:id="11">
    <w:p w:rsidR="002851AB" w:rsidRDefault="002851AB">
      <w:pPr>
        <w:pStyle w:val="FootnoteText"/>
      </w:pPr>
      <w:r>
        <w:rPr>
          <w:rStyle w:val="FootnoteReference"/>
        </w:rPr>
        <w:footnoteRef/>
      </w:r>
      <w:r>
        <w:t xml:space="preserve"> As an element of the premarket submission, Declarations of Conformity are included in the estimated information collection burden for the premarket submission, e.g., a DOC in a premarket notification</w:t>
      </w:r>
      <w:r w:rsidR="00DD0244">
        <w:t xml:space="preserve"> (510(k) submission) is included in the estimated burden in OMB control number 0910-0120.</w:t>
      </w:r>
    </w:p>
  </w:footnote>
  <w:footnote w:id="12">
    <w:p w:rsidR="00D110DD" w:rsidRDefault="00D110DD" w:rsidP="008D439B">
      <w:pPr>
        <w:pStyle w:val="FootnoteText"/>
      </w:pPr>
      <w:r>
        <w:rPr>
          <w:rStyle w:val="FootnoteReference"/>
        </w:rPr>
        <w:footnoteRef/>
      </w:r>
      <w:r>
        <w:t xml:space="preserve"> </w:t>
      </w:r>
      <w:hyperlink r:id="rId4" w:history="1">
        <w:r w:rsidRPr="00CE3435">
          <w:rPr>
            <w:rStyle w:val="Hyperlink"/>
          </w:rPr>
          <w:t>https://ilac.org/signatory-search/</w:t>
        </w:r>
      </w:hyperlink>
      <w:r>
        <w:t xml:space="preserve"> accessed on 7/8/19.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768"/>
    <w:multiLevelType w:val="hybridMultilevel"/>
    <w:tmpl w:val="2ECE0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51A51"/>
    <w:multiLevelType w:val="hybridMultilevel"/>
    <w:tmpl w:val="77CC3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717DC9"/>
    <w:multiLevelType w:val="hybridMultilevel"/>
    <w:tmpl w:val="95E8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B0784"/>
    <w:multiLevelType w:val="hybridMultilevel"/>
    <w:tmpl w:val="7A36FA7C"/>
    <w:lvl w:ilvl="0" w:tplc="68B20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C0008"/>
    <w:multiLevelType w:val="hybridMultilevel"/>
    <w:tmpl w:val="831E9400"/>
    <w:lvl w:ilvl="0" w:tplc="72BE58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9D09AB"/>
    <w:multiLevelType w:val="multilevel"/>
    <w:tmpl w:val="8DD829A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81CBE"/>
    <w:multiLevelType w:val="hybridMultilevel"/>
    <w:tmpl w:val="1548C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01B62"/>
    <w:multiLevelType w:val="hybridMultilevel"/>
    <w:tmpl w:val="F42E1846"/>
    <w:lvl w:ilvl="0" w:tplc="8D52F4AC">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3B2F13"/>
    <w:multiLevelType w:val="hybridMultilevel"/>
    <w:tmpl w:val="33ACB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2"/>
  </w:num>
  <w:num w:numId="4">
    <w:abstractNumId w:val="11"/>
  </w:num>
  <w:num w:numId="5">
    <w:abstractNumId w:val="3"/>
  </w:num>
  <w:num w:numId="6">
    <w:abstractNumId w:val="0"/>
  </w:num>
  <w:num w:numId="7">
    <w:abstractNumId w:val="8"/>
  </w:num>
  <w:num w:numId="8">
    <w:abstractNumId w:val="5"/>
  </w:num>
  <w:num w:numId="9">
    <w:abstractNumId w:val="9"/>
    <w:lvlOverride w:ilvl="0"/>
    <w:lvlOverride w:ilvl="1"/>
    <w:lvlOverride w:ilvl="2"/>
    <w:lvlOverride w:ilvl="3"/>
    <w:lvlOverride w:ilvl="4"/>
    <w:lvlOverride w:ilvl="5"/>
    <w:lvlOverride w:ilvl="6"/>
    <w:lvlOverride w:ilvl="7"/>
    <w:lvlOverride w:ilvl="8"/>
  </w:num>
  <w:num w:numId="10">
    <w:abstractNumId w:val="4"/>
  </w:num>
  <w:num w:numId="11">
    <w:abstractNumId w:val="10"/>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03007"/>
    <w:rsid w:val="00031A2C"/>
    <w:rsid w:val="00043C7F"/>
    <w:rsid w:val="000512A5"/>
    <w:rsid w:val="000526D5"/>
    <w:rsid w:val="0006570F"/>
    <w:rsid w:val="00075DE8"/>
    <w:rsid w:val="000A7B48"/>
    <w:rsid w:val="000C560C"/>
    <w:rsid w:val="000D3785"/>
    <w:rsid w:val="000D44BC"/>
    <w:rsid w:val="000D48FD"/>
    <w:rsid w:val="000D5DBB"/>
    <w:rsid w:val="000E065F"/>
    <w:rsid w:val="000E1C64"/>
    <w:rsid w:val="000F7119"/>
    <w:rsid w:val="00100739"/>
    <w:rsid w:val="00107885"/>
    <w:rsid w:val="001128A6"/>
    <w:rsid w:val="00114FC4"/>
    <w:rsid w:val="0012329C"/>
    <w:rsid w:val="001258C2"/>
    <w:rsid w:val="00134BE0"/>
    <w:rsid w:val="00134FA7"/>
    <w:rsid w:val="00137950"/>
    <w:rsid w:val="001467C8"/>
    <w:rsid w:val="00152F29"/>
    <w:rsid w:val="00165251"/>
    <w:rsid w:val="001662BB"/>
    <w:rsid w:val="001701C6"/>
    <w:rsid w:val="00171548"/>
    <w:rsid w:val="00173A70"/>
    <w:rsid w:val="00174D54"/>
    <w:rsid w:val="00181073"/>
    <w:rsid w:val="00185270"/>
    <w:rsid w:val="001A3B5A"/>
    <w:rsid w:val="001A4167"/>
    <w:rsid w:val="001A7966"/>
    <w:rsid w:val="001B7CE9"/>
    <w:rsid w:val="001C1646"/>
    <w:rsid w:val="001D1B91"/>
    <w:rsid w:val="001D495A"/>
    <w:rsid w:val="001E244C"/>
    <w:rsid w:val="001F1437"/>
    <w:rsid w:val="001F2076"/>
    <w:rsid w:val="002023A0"/>
    <w:rsid w:val="002259EF"/>
    <w:rsid w:val="0022602D"/>
    <w:rsid w:val="00242ED1"/>
    <w:rsid w:val="002444BB"/>
    <w:rsid w:val="00254069"/>
    <w:rsid w:val="00254E77"/>
    <w:rsid w:val="00270748"/>
    <w:rsid w:val="00270AAD"/>
    <w:rsid w:val="002734E5"/>
    <w:rsid w:val="002746DB"/>
    <w:rsid w:val="00280CAF"/>
    <w:rsid w:val="00282F09"/>
    <w:rsid w:val="002851AB"/>
    <w:rsid w:val="00291810"/>
    <w:rsid w:val="00294D62"/>
    <w:rsid w:val="00297285"/>
    <w:rsid w:val="00297532"/>
    <w:rsid w:val="00297882"/>
    <w:rsid w:val="00297FFD"/>
    <w:rsid w:val="002A0BF9"/>
    <w:rsid w:val="002A1210"/>
    <w:rsid w:val="002B2074"/>
    <w:rsid w:val="002B79F8"/>
    <w:rsid w:val="002C2FE8"/>
    <w:rsid w:val="002D0D12"/>
    <w:rsid w:val="002D14D8"/>
    <w:rsid w:val="002D18AA"/>
    <w:rsid w:val="002D4799"/>
    <w:rsid w:val="002E3FA4"/>
    <w:rsid w:val="002E53A5"/>
    <w:rsid w:val="00302EDA"/>
    <w:rsid w:val="00305206"/>
    <w:rsid w:val="003072B4"/>
    <w:rsid w:val="003113FF"/>
    <w:rsid w:val="0032277F"/>
    <w:rsid w:val="00322BA1"/>
    <w:rsid w:val="00327848"/>
    <w:rsid w:val="003356C4"/>
    <w:rsid w:val="00342DBD"/>
    <w:rsid w:val="00345670"/>
    <w:rsid w:val="00350523"/>
    <w:rsid w:val="0035189D"/>
    <w:rsid w:val="00357040"/>
    <w:rsid w:val="00367B29"/>
    <w:rsid w:val="003740BC"/>
    <w:rsid w:val="00376D3A"/>
    <w:rsid w:val="003801A3"/>
    <w:rsid w:val="00383D90"/>
    <w:rsid w:val="003A1A27"/>
    <w:rsid w:val="003A2B93"/>
    <w:rsid w:val="003A50CC"/>
    <w:rsid w:val="003B27CE"/>
    <w:rsid w:val="003B42B3"/>
    <w:rsid w:val="003B4FC4"/>
    <w:rsid w:val="003B6384"/>
    <w:rsid w:val="003C4EBB"/>
    <w:rsid w:val="003D1531"/>
    <w:rsid w:val="003E3FE2"/>
    <w:rsid w:val="003E4EC6"/>
    <w:rsid w:val="003E527E"/>
    <w:rsid w:val="003E553E"/>
    <w:rsid w:val="003E5F0E"/>
    <w:rsid w:val="003E7078"/>
    <w:rsid w:val="003F3DF5"/>
    <w:rsid w:val="00410627"/>
    <w:rsid w:val="00411D11"/>
    <w:rsid w:val="00415E23"/>
    <w:rsid w:val="004161F4"/>
    <w:rsid w:val="0041670D"/>
    <w:rsid w:val="004214D3"/>
    <w:rsid w:val="00424061"/>
    <w:rsid w:val="00442A3C"/>
    <w:rsid w:val="00443969"/>
    <w:rsid w:val="00447D74"/>
    <w:rsid w:val="00450A74"/>
    <w:rsid w:val="004546BF"/>
    <w:rsid w:val="00455A67"/>
    <w:rsid w:val="00457E70"/>
    <w:rsid w:val="00465350"/>
    <w:rsid w:val="00483914"/>
    <w:rsid w:val="004846BF"/>
    <w:rsid w:val="004A5297"/>
    <w:rsid w:val="004C6979"/>
    <w:rsid w:val="004D13A2"/>
    <w:rsid w:val="004D3E7A"/>
    <w:rsid w:val="004F1E67"/>
    <w:rsid w:val="004F350E"/>
    <w:rsid w:val="004F594B"/>
    <w:rsid w:val="004F61E1"/>
    <w:rsid w:val="0051188E"/>
    <w:rsid w:val="0052010D"/>
    <w:rsid w:val="00544138"/>
    <w:rsid w:val="005469C7"/>
    <w:rsid w:val="00564FB9"/>
    <w:rsid w:val="00584583"/>
    <w:rsid w:val="00590CDB"/>
    <w:rsid w:val="00590EEB"/>
    <w:rsid w:val="005A4099"/>
    <w:rsid w:val="005B538C"/>
    <w:rsid w:val="005C38B2"/>
    <w:rsid w:val="005C5029"/>
    <w:rsid w:val="005C55C2"/>
    <w:rsid w:val="005C745C"/>
    <w:rsid w:val="005D4DF5"/>
    <w:rsid w:val="005F174D"/>
    <w:rsid w:val="005F241F"/>
    <w:rsid w:val="005F6862"/>
    <w:rsid w:val="00606CBA"/>
    <w:rsid w:val="00611D6B"/>
    <w:rsid w:val="006326EC"/>
    <w:rsid w:val="00663A42"/>
    <w:rsid w:val="006641C7"/>
    <w:rsid w:val="00670BE2"/>
    <w:rsid w:val="006869AF"/>
    <w:rsid w:val="006A26C6"/>
    <w:rsid w:val="006A7D5D"/>
    <w:rsid w:val="006B12B0"/>
    <w:rsid w:val="006D5CCE"/>
    <w:rsid w:val="006D5D57"/>
    <w:rsid w:val="006D6349"/>
    <w:rsid w:val="006F4D6D"/>
    <w:rsid w:val="00705086"/>
    <w:rsid w:val="00746AAB"/>
    <w:rsid w:val="00751E66"/>
    <w:rsid w:val="00754497"/>
    <w:rsid w:val="007550F8"/>
    <w:rsid w:val="00787C39"/>
    <w:rsid w:val="00795DF3"/>
    <w:rsid w:val="007A373C"/>
    <w:rsid w:val="007A7D37"/>
    <w:rsid w:val="007B0303"/>
    <w:rsid w:val="007B225C"/>
    <w:rsid w:val="007B2DF1"/>
    <w:rsid w:val="007B3B28"/>
    <w:rsid w:val="007C75B1"/>
    <w:rsid w:val="007D3DFC"/>
    <w:rsid w:val="007E2F07"/>
    <w:rsid w:val="007F00A1"/>
    <w:rsid w:val="0080041B"/>
    <w:rsid w:val="0080776D"/>
    <w:rsid w:val="00810145"/>
    <w:rsid w:val="008108FA"/>
    <w:rsid w:val="00810FF1"/>
    <w:rsid w:val="0081593F"/>
    <w:rsid w:val="00822336"/>
    <w:rsid w:val="00823DFA"/>
    <w:rsid w:val="00835725"/>
    <w:rsid w:val="00843752"/>
    <w:rsid w:val="0084479F"/>
    <w:rsid w:val="0085725E"/>
    <w:rsid w:val="00862E70"/>
    <w:rsid w:val="00871E60"/>
    <w:rsid w:val="00880D00"/>
    <w:rsid w:val="00885B09"/>
    <w:rsid w:val="00892400"/>
    <w:rsid w:val="008A17A9"/>
    <w:rsid w:val="008A209D"/>
    <w:rsid w:val="008A22BB"/>
    <w:rsid w:val="008A28BD"/>
    <w:rsid w:val="008B0E29"/>
    <w:rsid w:val="008B0EFA"/>
    <w:rsid w:val="008B30AB"/>
    <w:rsid w:val="008B59D4"/>
    <w:rsid w:val="008C3A61"/>
    <w:rsid w:val="008D281D"/>
    <w:rsid w:val="008D439B"/>
    <w:rsid w:val="008E5F55"/>
    <w:rsid w:val="008F0AFA"/>
    <w:rsid w:val="008F5AA5"/>
    <w:rsid w:val="008F5B94"/>
    <w:rsid w:val="00905DEF"/>
    <w:rsid w:val="00913B43"/>
    <w:rsid w:val="009272D5"/>
    <w:rsid w:val="00930203"/>
    <w:rsid w:val="009311D2"/>
    <w:rsid w:val="009311E6"/>
    <w:rsid w:val="00931275"/>
    <w:rsid w:val="00932FB0"/>
    <w:rsid w:val="00936AC7"/>
    <w:rsid w:val="00940DF5"/>
    <w:rsid w:val="00943ACC"/>
    <w:rsid w:val="00944C5C"/>
    <w:rsid w:val="00953B64"/>
    <w:rsid w:val="00954494"/>
    <w:rsid w:val="009550A9"/>
    <w:rsid w:val="009569A2"/>
    <w:rsid w:val="0096404E"/>
    <w:rsid w:val="00970A88"/>
    <w:rsid w:val="009963D8"/>
    <w:rsid w:val="009A0544"/>
    <w:rsid w:val="009A1674"/>
    <w:rsid w:val="009A3003"/>
    <w:rsid w:val="009B2703"/>
    <w:rsid w:val="009C684F"/>
    <w:rsid w:val="009D074C"/>
    <w:rsid w:val="009E09C7"/>
    <w:rsid w:val="009F07AA"/>
    <w:rsid w:val="009F1F1D"/>
    <w:rsid w:val="009F2B4F"/>
    <w:rsid w:val="009F3C63"/>
    <w:rsid w:val="009F613C"/>
    <w:rsid w:val="009F66B5"/>
    <w:rsid w:val="009F7CE4"/>
    <w:rsid w:val="00A04D2B"/>
    <w:rsid w:val="00A16221"/>
    <w:rsid w:val="00A20A7D"/>
    <w:rsid w:val="00A2137E"/>
    <w:rsid w:val="00A251AE"/>
    <w:rsid w:val="00A35D42"/>
    <w:rsid w:val="00A46CCF"/>
    <w:rsid w:val="00A46D5B"/>
    <w:rsid w:val="00A53451"/>
    <w:rsid w:val="00A70426"/>
    <w:rsid w:val="00A7369D"/>
    <w:rsid w:val="00A80FBA"/>
    <w:rsid w:val="00A84A56"/>
    <w:rsid w:val="00A91E9A"/>
    <w:rsid w:val="00A92C11"/>
    <w:rsid w:val="00A93ED9"/>
    <w:rsid w:val="00A96221"/>
    <w:rsid w:val="00AB4CEB"/>
    <w:rsid w:val="00AC37CB"/>
    <w:rsid w:val="00AC6A99"/>
    <w:rsid w:val="00AD285E"/>
    <w:rsid w:val="00AD3702"/>
    <w:rsid w:val="00B055EF"/>
    <w:rsid w:val="00B06B5B"/>
    <w:rsid w:val="00B072AB"/>
    <w:rsid w:val="00B23769"/>
    <w:rsid w:val="00B33158"/>
    <w:rsid w:val="00B335F3"/>
    <w:rsid w:val="00B370C7"/>
    <w:rsid w:val="00B41789"/>
    <w:rsid w:val="00B55335"/>
    <w:rsid w:val="00B61D91"/>
    <w:rsid w:val="00B631D7"/>
    <w:rsid w:val="00B770D2"/>
    <w:rsid w:val="00B81808"/>
    <w:rsid w:val="00B86DFA"/>
    <w:rsid w:val="00B9120D"/>
    <w:rsid w:val="00B91857"/>
    <w:rsid w:val="00B936D0"/>
    <w:rsid w:val="00BA3FC7"/>
    <w:rsid w:val="00BB1AE4"/>
    <w:rsid w:val="00BC4626"/>
    <w:rsid w:val="00BD3D5B"/>
    <w:rsid w:val="00BE035F"/>
    <w:rsid w:val="00BE3600"/>
    <w:rsid w:val="00BF069C"/>
    <w:rsid w:val="00BF753A"/>
    <w:rsid w:val="00C01F6F"/>
    <w:rsid w:val="00C02EFC"/>
    <w:rsid w:val="00C041EA"/>
    <w:rsid w:val="00C149AB"/>
    <w:rsid w:val="00C16929"/>
    <w:rsid w:val="00C358D0"/>
    <w:rsid w:val="00C36020"/>
    <w:rsid w:val="00C40694"/>
    <w:rsid w:val="00C56711"/>
    <w:rsid w:val="00C6313D"/>
    <w:rsid w:val="00C666A5"/>
    <w:rsid w:val="00C70542"/>
    <w:rsid w:val="00C742A6"/>
    <w:rsid w:val="00C75CBF"/>
    <w:rsid w:val="00C7753F"/>
    <w:rsid w:val="00CA32F1"/>
    <w:rsid w:val="00CA35D8"/>
    <w:rsid w:val="00CB4F6E"/>
    <w:rsid w:val="00CC2894"/>
    <w:rsid w:val="00CD77C3"/>
    <w:rsid w:val="00CE112C"/>
    <w:rsid w:val="00CF3401"/>
    <w:rsid w:val="00CF55D4"/>
    <w:rsid w:val="00D110DD"/>
    <w:rsid w:val="00D21AF0"/>
    <w:rsid w:val="00D441FB"/>
    <w:rsid w:val="00D57F60"/>
    <w:rsid w:val="00D608DA"/>
    <w:rsid w:val="00D712A5"/>
    <w:rsid w:val="00D730BF"/>
    <w:rsid w:val="00D8084B"/>
    <w:rsid w:val="00DB0DFC"/>
    <w:rsid w:val="00DB1110"/>
    <w:rsid w:val="00DB2A6B"/>
    <w:rsid w:val="00DC3788"/>
    <w:rsid w:val="00DC5E47"/>
    <w:rsid w:val="00DC60B7"/>
    <w:rsid w:val="00DC76C7"/>
    <w:rsid w:val="00DD0244"/>
    <w:rsid w:val="00DD09F5"/>
    <w:rsid w:val="00DD1728"/>
    <w:rsid w:val="00DD4201"/>
    <w:rsid w:val="00DD5E9F"/>
    <w:rsid w:val="00DE5711"/>
    <w:rsid w:val="00DF516E"/>
    <w:rsid w:val="00E00EA0"/>
    <w:rsid w:val="00E02520"/>
    <w:rsid w:val="00E10E2B"/>
    <w:rsid w:val="00E11060"/>
    <w:rsid w:val="00E138F1"/>
    <w:rsid w:val="00E13EB2"/>
    <w:rsid w:val="00E16E6E"/>
    <w:rsid w:val="00E2309D"/>
    <w:rsid w:val="00E26758"/>
    <w:rsid w:val="00E34B8D"/>
    <w:rsid w:val="00E4357B"/>
    <w:rsid w:val="00E54A9E"/>
    <w:rsid w:val="00E56D43"/>
    <w:rsid w:val="00E63DE5"/>
    <w:rsid w:val="00E65A37"/>
    <w:rsid w:val="00E65EF7"/>
    <w:rsid w:val="00E67A54"/>
    <w:rsid w:val="00E7239A"/>
    <w:rsid w:val="00E73DA2"/>
    <w:rsid w:val="00E77B48"/>
    <w:rsid w:val="00E857FB"/>
    <w:rsid w:val="00E91799"/>
    <w:rsid w:val="00EA21FE"/>
    <w:rsid w:val="00EA34E3"/>
    <w:rsid w:val="00EB0012"/>
    <w:rsid w:val="00EB7538"/>
    <w:rsid w:val="00EE6468"/>
    <w:rsid w:val="00EF4175"/>
    <w:rsid w:val="00F0193C"/>
    <w:rsid w:val="00F1299B"/>
    <w:rsid w:val="00F20170"/>
    <w:rsid w:val="00F207A4"/>
    <w:rsid w:val="00F2425B"/>
    <w:rsid w:val="00F355AC"/>
    <w:rsid w:val="00F4004F"/>
    <w:rsid w:val="00F548B4"/>
    <w:rsid w:val="00F71A5A"/>
    <w:rsid w:val="00F74574"/>
    <w:rsid w:val="00F769E0"/>
    <w:rsid w:val="00F770E4"/>
    <w:rsid w:val="00F85656"/>
    <w:rsid w:val="00F93D63"/>
    <w:rsid w:val="00FA75FE"/>
    <w:rsid w:val="00FB1032"/>
    <w:rsid w:val="00FC229F"/>
    <w:rsid w:val="00FC6BDE"/>
    <w:rsid w:val="00FF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66F79A-405A-4F14-8444-2B2D4FF6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80041B"/>
    <w:rPr>
      <w:sz w:val="16"/>
      <w:szCs w:val="16"/>
    </w:rPr>
  </w:style>
  <w:style w:type="paragraph" w:styleId="CommentText">
    <w:name w:val="annotation text"/>
    <w:basedOn w:val="Normal"/>
    <w:link w:val="CommentTextChar"/>
    <w:uiPriority w:val="99"/>
    <w:rsid w:val="0080041B"/>
    <w:rPr>
      <w:sz w:val="20"/>
      <w:szCs w:val="20"/>
    </w:rPr>
  </w:style>
  <w:style w:type="character" w:customStyle="1" w:styleId="CommentTextChar">
    <w:name w:val="Comment Text Char"/>
    <w:basedOn w:val="DefaultParagraphFont"/>
    <w:link w:val="CommentText"/>
    <w:uiPriority w:val="99"/>
    <w:rsid w:val="0080041B"/>
  </w:style>
  <w:style w:type="paragraph" w:styleId="CommentSubject">
    <w:name w:val="annotation subject"/>
    <w:basedOn w:val="CommentText"/>
    <w:next w:val="CommentText"/>
    <w:link w:val="CommentSubjectChar"/>
    <w:rsid w:val="0080041B"/>
    <w:rPr>
      <w:b/>
      <w:bCs/>
    </w:rPr>
  </w:style>
  <w:style w:type="character" w:customStyle="1" w:styleId="CommentSubjectChar">
    <w:name w:val="Comment Subject Char"/>
    <w:link w:val="CommentSubject"/>
    <w:rsid w:val="0080041B"/>
    <w:rPr>
      <w:b/>
      <w:bCs/>
    </w:rPr>
  </w:style>
  <w:style w:type="character" w:styleId="Hyperlink">
    <w:name w:val="Hyperlink"/>
    <w:uiPriority w:val="99"/>
    <w:unhideWhenUsed/>
    <w:rsid w:val="005F174D"/>
    <w:rPr>
      <w:color w:val="0000FF"/>
      <w:u w:val="single"/>
    </w:rPr>
  </w:style>
  <w:style w:type="paragraph" w:styleId="FootnoteText">
    <w:name w:val="footnote text"/>
    <w:basedOn w:val="Normal"/>
    <w:link w:val="FootnoteTextChar"/>
    <w:uiPriority w:val="99"/>
    <w:unhideWhenUsed/>
    <w:rsid w:val="005F174D"/>
    <w:rPr>
      <w:sz w:val="20"/>
    </w:rPr>
  </w:style>
  <w:style w:type="character" w:customStyle="1" w:styleId="FootnoteTextChar">
    <w:name w:val="Footnote Text Char"/>
    <w:link w:val="FootnoteText"/>
    <w:uiPriority w:val="99"/>
    <w:rsid w:val="005F174D"/>
    <w:rPr>
      <w:szCs w:val="24"/>
    </w:rPr>
  </w:style>
  <w:style w:type="character" w:styleId="FootnoteReference">
    <w:name w:val="footnote reference"/>
    <w:uiPriority w:val="99"/>
    <w:unhideWhenUsed/>
    <w:rsid w:val="005F174D"/>
    <w:rPr>
      <w:vertAlign w:val="superscript"/>
    </w:rPr>
  </w:style>
  <w:style w:type="character" w:styleId="FollowedHyperlink">
    <w:name w:val="FollowedHyperlink"/>
    <w:rsid w:val="00BE035F"/>
    <w:rPr>
      <w:color w:val="954F72"/>
      <w:u w:val="single"/>
    </w:rPr>
  </w:style>
  <w:style w:type="character" w:styleId="UnresolvedMention">
    <w:name w:val="Unresolved Mention"/>
    <w:uiPriority w:val="99"/>
    <w:semiHidden/>
    <w:unhideWhenUsed/>
    <w:rsid w:val="00376D3A"/>
    <w:rPr>
      <w:color w:val="808080"/>
      <w:shd w:val="clear" w:color="auto" w:fill="E6E6E6"/>
    </w:rPr>
  </w:style>
  <w:style w:type="paragraph" w:styleId="Revision">
    <w:name w:val="Revision"/>
    <w:hidden/>
    <w:uiPriority w:val="99"/>
    <w:semiHidden/>
    <w:rsid w:val="0081593F"/>
    <w:rPr>
      <w:sz w:val="24"/>
      <w:szCs w:val="24"/>
    </w:rPr>
  </w:style>
  <w:style w:type="character" w:customStyle="1" w:styleId="BodyText2Char">
    <w:name w:val="Body Text 2 Char"/>
    <w:link w:val="BodyText2"/>
    <w:rsid w:val="006D6349"/>
    <w:rPr>
      <w:sz w:val="24"/>
    </w:rPr>
  </w:style>
  <w:style w:type="paragraph" w:styleId="ListParagraph">
    <w:name w:val="List Paragraph"/>
    <w:basedOn w:val="Normal"/>
    <w:uiPriority w:val="34"/>
    <w:qFormat/>
    <w:rsid w:val="006D6349"/>
    <w:pPr>
      <w:ind w:left="720"/>
    </w:pPr>
    <w:rPr>
      <w:rFonts w:ascii="Calibri" w:eastAsia="Calibri" w:hAnsi="Calibri" w:cs="Calibri"/>
      <w:sz w:val="22"/>
      <w:szCs w:val="22"/>
    </w:rPr>
  </w:style>
  <w:style w:type="paragraph" w:styleId="Header">
    <w:name w:val="header"/>
    <w:basedOn w:val="Normal"/>
    <w:link w:val="HeaderChar"/>
    <w:rsid w:val="002B79F8"/>
    <w:pPr>
      <w:tabs>
        <w:tab w:val="center" w:pos="4680"/>
        <w:tab w:val="right" w:pos="9360"/>
      </w:tabs>
    </w:pPr>
  </w:style>
  <w:style w:type="character" w:customStyle="1" w:styleId="HeaderChar">
    <w:name w:val="Header Char"/>
    <w:link w:val="Header"/>
    <w:rsid w:val="002B79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58130">
      <w:bodyDiv w:val="1"/>
      <w:marLeft w:val="0"/>
      <w:marRight w:val="0"/>
      <w:marTop w:val="0"/>
      <w:marBottom w:val="0"/>
      <w:divBdr>
        <w:top w:val="none" w:sz="0" w:space="0" w:color="auto"/>
        <w:left w:val="none" w:sz="0" w:space="0" w:color="auto"/>
        <w:bottom w:val="none" w:sz="0" w:space="0" w:color="auto"/>
        <w:right w:val="none" w:sz="0" w:space="0" w:color="auto"/>
      </w:divBdr>
    </w:div>
    <w:div w:id="616642911">
      <w:bodyDiv w:val="1"/>
      <w:marLeft w:val="0"/>
      <w:marRight w:val="0"/>
      <w:marTop w:val="0"/>
      <w:marBottom w:val="0"/>
      <w:divBdr>
        <w:top w:val="none" w:sz="0" w:space="0" w:color="auto"/>
        <w:left w:val="none" w:sz="0" w:space="0" w:color="auto"/>
        <w:bottom w:val="none" w:sz="0" w:space="0" w:color="auto"/>
        <w:right w:val="none" w:sz="0" w:space="0" w:color="auto"/>
      </w:divBdr>
    </w:div>
    <w:div w:id="107435354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0615603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999578280">
      <w:bodyDiv w:val="1"/>
      <w:marLeft w:val="0"/>
      <w:marRight w:val="0"/>
      <w:marTop w:val="0"/>
      <w:marBottom w:val="0"/>
      <w:divBdr>
        <w:top w:val="none" w:sz="0" w:space="0" w:color="auto"/>
        <w:left w:val="none" w:sz="0" w:space="0" w:color="auto"/>
        <w:bottom w:val="none" w:sz="0" w:space="0" w:color="auto"/>
        <w:right w:val="none" w:sz="0" w:space="0" w:color="auto"/>
      </w:divBdr>
    </w:div>
    <w:div w:id="21212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da.gov/regulatory-information/search-fda-guidance-documents/appropriate-use-voluntary-consensus-standards-premarket-submissions-medical-devices" TargetMode="External"/><Relationship Id="rId18" Type="http://schemas.openxmlformats.org/officeDocument/2006/relationships/hyperlink" Target="https://www.fda.gov/medical-devices/news-events-medical-devices/workshops-conferences-medical-devi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ederalregister.gov/documents/2018/01/16/2018-00551/accreditation-scheme-for-conformity-assessment-of-medical-devices-to-food-and-drug" TargetMode="External"/><Relationship Id="rId2" Type="http://schemas.openxmlformats.org/officeDocument/2006/relationships/customXml" Target="../customXml/item2.xml"/><Relationship Id="rId16" Type="http://schemas.openxmlformats.org/officeDocument/2006/relationships/hyperlink" Target="https://www.federalregister.gov/documents/2017/05/16/2017-09850/request-for-comments-on-food-and-drug-administration-accreditation-scheme-for-conformity-assess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da.gov/oc/industry/"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fda.gov/medical-devices/standards-and-conformity-assessment-program/accreditation-scheme-conformity-assessment-asc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regulatory-information/search-fda-guidance-documents/appropriate-use-voluntary-consensus-standards-premarket-submissions-medical-devic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cal-devices/news-events-medical-devices/workshops-conferences-medical-devices" TargetMode="External"/><Relationship Id="rId2" Type="http://schemas.openxmlformats.org/officeDocument/2006/relationships/hyperlink" Target="https://www.fda.gov/regulatory-information/search-fda-guidance-documents/appropriate-use-voluntary-consensus-standards-premarket-submissions-medical-devices" TargetMode="External"/><Relationship Id="rId1" Type="http://schemas.openxmlformats.org/officeDocument/2006/relationships/hyperlink" Target="https://www.fda.gov/downloads/ForIndustry/UserFees/MedicalDeviceUserFee/UCM526395.pdf" TargetMode="External"/><Relationship Id="rId4" Type="http://schemas.openxmlformats.org/officeDocument/2006/relationships/hyperlink" Target="https://ilac.org/signator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85940478546479DBA22C67DAA4286" ma:contentTypeVersion="0" ma:contentTypeDescription="Create a new document." ma:contentTypeScope="" ma:versionID="143950bb54e64b785eda5c7529371d71">
  <xsd:schema xmlns:xsd="http://www.w3.org/2001/XMLSchema" xmlns:xs="http://www.w3.org/2001/XMLSchema" xmlns:p="http://schemas.microsoft.com/office/2006/metadata/properties" xmlns:ns2="c593544c-8bc9-488a-9957-4d59a7b3d015" targetNamespace="http://schemas.microsoft.com/office/2006/metadata/properties" ma:root="true" ma:fieldsID="fed1924fbc564abbbaef2ef6bccde30e"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4C2D-7D1C-44B8-B86A-B55A5BFD3035}">
  <ds:schemaRefs>
    <ds:schemaRef ds:uri="http://schemas.microsoft.com/office/2006/metadata/longProperties"/>
  </ds:schemaRefs>
</ds:datastoreItem>
</file>

<file path=customXml/itemProps2.xml><?xml version="1.0" encoding="utf-8"?>
<ds:datastoreItem xmlns:ds="http://schemas.openxmlformats.org/officeDocument/2006/customXml" ds:itemID="{4FCA673A-B6F3-49F0-A893-F7B9C6CCC315}">
  <ds:schemaRefs>
    <ds:schemaRef ds:uri="http://schemas.microsoft.com/sharepoint/events"/>
  </ds:schemaRefs>
</ds:datastoreItem>
</file>

<file path=customXml/itemProps3.xml><?xml version="1.0" encoding="utf-8"?>
<ds:datastoreItem xmlns:ds="http://schemas.openxmlformats.org/officeDocument/2006/customXml" ds:itemID="{20129B85-3937-4AA3-8792-16C5C8908FFA}">
  <ds:schemaRefs>
    <ds:schemaRef ds:uri="http://schemas.microsoft.com/sharepoint/v3/contenttype/forms"/>
  </ds:schemaRefs>
</ds:datastoreItem>
</file>

<file path=customXml/itemProps4.xml><?xml version="1.0" encoding="utf-8"?>
<ds:datastoreItem xmlns:ds="http://schemas.openxmlformats.org/officeDocument/2006/customXml" ds:itemID="{F23465E6-7861-4719-A72D-1D155E207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25D167-82EF-4F5B-A730-3FE6609BCE4F}">
  <ds:schemaRefs>
    <ds:schemaRef ds:uri="http://purl.org/dc/dcmitype/"/>
    <ds:schemaRef ds:uri="http://schemas.microsoft.com/office/infopath/2007/PartnerControls"/>
    <ds:schemaRef ds:uri="http://purl.org/dc/elements/1.1/"/>
    <ds:schemaRef ds:uri="http://schemas.microsoft.com/office/2006/metadata/properties"/>
    <ds:schemaRef ds:uri="c593544c-8bc9-488a-9957-4d59a7b3d015"/>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A00DA65E-4F26-44F9-8F09-25A671E4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26387</CharactersWithSpaces>
  <SharedDoc>false</SharedDoc>
  <HLinks>
    <vt:vector size="66" baseType="variant">
      <vt:variant>
        <vt:i4>4063334</vt:i4>
      </vt:variant>
      <vt:variant>
        <vt:i4>18</vt:i4>
      </vt:variant>
      <vt:variant>
        <vt:i4>0</vt:i4>
      </vt:variant>
      <vt:variant>
        <vt:i4>5</vt:i4>
      </vt:variant>
      <vt:variant>
        <vt:lpwstr>https://www.fda.gov/medical-devices/standards-and-conformity-assessment-program/accreditation-scheme-conformity-assessment-asca</vt:lpwstr>
      </vt:variant>
      <vt:variant>
        <vt:lpwstr/>
      </vt:variant>
      <vt:variant>
        <vt:i4>4718601</vt:i4>
      </vt:variant>
      <vt:variant>
        <vt:i4>15</vt:i4>
      </vt:variant>
      <vt:variant>
        <vt:i4>0</vt:i4>
      </vt:variant>
      <vt:variant>
        <vt:i4>5</vt:i4>
      </vt:variant>
      <vt:variant>
        <vt:lpwstr>https://www.fda.gov/medical-devices/news-events-medical-devices/workshops-conferences-medical-devices</vt:lpwstr>
      </vt:variant>
      <vt:variant>
        <vt:lpwstr/>
      </vt:variant>
      <vt:variant>
        <vt:i4>8126590</vt:i4>
      </vt:variant>
      <vt:variant>
        <vt:i4>12</vt:i4>
      </vt:variant>
      <vt:variant>
        <vt:i4>0</vt:i4>
      </vt:variant>
      <vt:variant>
        <vt:i4>5</vt:i4>
      </vt:variant>
      <vt:variant>
        <vt:lpwstr>https://www.federalregister.gov/documents/2018/01/16/2018-00551/accreditation-scheme-for-conformity-assessment-of-medical-devices-to-food-and-drug</vt:lpwstr>
      </vt:variant>
      <vt:variant>
        <vt:lpwstr/>
      </vt:variant>
      <vt:variant>
        <vt:i4>3014755</vt:i4>
      </vt:variant>
      <vt:variant>
        <vt:i4>9</vt:i4>
      </vt:variant>
      <vt:variant>
        <vt:i4>0</vt:i4>
      </vt:variant>
      <vt:variant>
        <vt:i4>5</vt:i4>
      </vt:variant>
      <vt:variant>
        <vt:lpwstr>https://www.federalregister.gov/documents/2017/05/16/2017-09850/request-for-comments-on-food-and-drug-administration-accreditation-scheme-for-conformity-assessment</vt:lpwstr>
      </vt:variant>
      <vt:variant>
        <vt:lpwstr/>
      </vt:variant>
      <vt:variant>
        <vt:i4>7012405</vt:i4>
      </vt:variant>
      <vt:variant>
        <vt:i4>6</vt:i4>
      </vt:variant>
      <vt:variant>
        <vt:i4>0</vt:i4>
      </vt:variant>
      <vt:variant>
        <vt:i4>5</vt:i4>
      </vt:variant>
      <vt:variant>
        <vt:lpwstr>http://www.fda.gov/oc/industry/</vt:lpwstr>
      </vt:variant>
      <vt:variant>
        <vt:lpwstr/>
      </vt:variant>
      <vt:variant>
        <vt:i4>5570649</vt:i4>
      </vt:variant>
      <vt:variant>
        <vt:i4>3</vt:i4>
      </vt:variant>
      <vt:variant>
        <vt:i4>0</vt:i4>
      </vt:variant>
      <vt:variant>
        <vt:i4>5</vt:i4>
      </vt:variant>
      <vt:variant>
        <vt:lpwstr>https://www.fda.gov/regulatory-information/search-fda-guidance-documents/appropriate-use-voluntary-consensus-standards-premarket-submissions-medical-devices</vt:lpwstr>
      </vt:variant>
      <vt:variant>
        <vt:lpwstr/>
      </vt:variant>
      <vt:variant>
        <vt:i4>5570649</vt:i4>
      </vt:variant>
      <vt:variant>
        <vt:i4>0</vt:i4>
      </vt:variant>
      <vt:variant>
        <vt:i4>0</vt:i4>
      </vt:variant>
      <vt:variant>
        <vt:i4>5</vt:i4>
      </vt:variant>
      <vt:variant>
        <vt:lpwstr>https://www.fda.gov/regulatory-information/search-fda-guidance-documents/appropriate-use-voluntary-consensus-standards-premarket-submissions-medical-devices</vt:lpwstr>
      </vt:variant>
      <vt:variant>
        <vt:lpwstr/>
      </vt:variant>
      <vt:variant>
        <vt:i4>2818152</vt:i4>
      </vt:variant>
      <vt:variant>
        <vt:i4>9</vt:i4>
      </vt:variant>
      <vt:variant>
        <vt:i4>0</vt:i4>
      </vt:variant>
      <vt:variant>
        <vt:i4>5</vt:i4>
      </vt:variant>
      <vt:variant>
        <vt:lpwstr>https://ilac.org/signatory-search/</vt:lpwstr>
      </vt:variant>
      <vt:variant>
        <vt:lpwstr/>
      </vt:variant>
      <vt:variant>
        <vt:i4>4718601</vt:i4>
      </vt:variant>
      <vt:variant>
        <vt:i4>6</vt:i4>
      </vt:variant>
      <vt:variant>
        <vt:i4>0</vt:i4>
      </vt:variant>
      <vt:variant>
        <vt:i4>5</vt:i4>
      </vt:variant>
      <vt:variant>
        <vt:lpwstr>https://www.fda.gov/medical-devices/news-events-medical-devices/workshops-conferences-medical-devices</vt:lpwstr>
      </vt:variant>
      <vt:variant>
        <vt:lpwstr/>
      </vt:variant>
      <vt:variant>
        <vt:i4>5570649</vt:i4>
      </vt:variant>
      <vt:variant>
        <vt:i4>3</vt:i4>
      </vt:variant>
      <vt:variant>
        <vt:i4>0</vt:i4>
      </vt:variant>
      <vt:variant>
        <vt:i4>5</vt:i4>
      </vt:variant>
      <vt:variant>
        <vt:lpwstr>https://www.fda.gov/regulatory-information/search-fda-guidance-documents/appropriate-use-voluntary-consensus-standards-premarket-submissions-medical-devices</vt:lpwstr>
      </vt:variant>
      <vt:variant>
        <vt:lpwstr/>
      </vt:variant>
      <vt:variant>
        <vt:i4>720982</vt:i4>
      </vt:variant>
      <vt:variant>
        <vt:i4>0</vt:i4>
      </vt:variant>
      <vt:variant>
        <vt:i4>0</vt:i4>
      </vt:variant>
      <vt:variant>
        <vt:i4>5</vt:i4>
      </vt:variant>
      <vt:variant>
        <vt:lpwstr>https://www.fda.gov/downloads/ForIndustry/UserFees/MedicalDeviceUserFee/UCM526395.pdf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Capezzuto, JonnaLynn</cp:lastModifiedBy>
  <cp:revision>2</cp:revision>
  <cp:lastPrinted>2020-02-18T18:53:00Z</cp:lastPrinted>
  <dcterms:created xsi:type="dcterms:W3CDTF">2020-05-01T17:32:00Z</dcterms:created>
  <dcterms:modified xsi:type="dcterms:W3CDTF">2020-05-01T17:32:00Z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0x010100C7385940478546479DBA22C67DAA4286</vt:lpwstr>
  </property>
  <property fmtid="{D5CDD505-2E9C-101B-9397-08002B2CF9AE}" pid="3" name="_dlc_DocId">
    <vt:lpwstr>UYKCFCC6FTJQ-2109175185-332</vt:lpwstr>
  </property>
  <property fmtid="{D5CDD505-2E9C-101B-9397-08002B2CF9AE}" pid="4" name="_dlc_DocIdItemGuid">
    <vt:lpwstr>c0b73a46-d268-44c0-8476-6b75f062305a</vt:lpwstr>
  </property>
  <property fmtid="{D5CDD505-2E9C-101B-9397-08002B2CF9AE}" pid="5" name="_dlc_DocIdUrl">
    <vt:lpwstr>http://sharepoint.fda.gov/orgs/CDRH-Standards/ASCA/ASCA_Guidance/_layouts/DocIdRedir.aspx?ID=UYKCFCC6FTJQ-2109175185-332, UYKCFCC6FTJQ-2109175185-332</vt:lpwstr>
  </property>
</Properties>
</file>