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41393971"/>
        <w:docPartObj>
          <w:docPartGallery w:val="Cover Pages"/>
          <w:docPartUnique/>
        </w:docPartObj>
      </w:sdtPr>
      <w:sdtEndPr/>
      <w:sdtContent>
        <w:p w:rsidR="00FE6EA5" w:rsidRDefault="00FE6EA5" w14:paraId="13B77232" w14:textId="77777777"/>
        <w:p w:rsidR="00195414" w:rsidP="00195414" w:rsidRDefault="0091754D" w14:paraId="7FA49A23" w14:textId="77777777"/>
      </w:sdtContent>
    </w:sdt>
    <w:p w:rsidRPr="00195414" w:rsidR="00E35DD1" w:rsidP="00195414" w:rsidRDefault="00E35DD1" w14:paraId="68BA36D6" w14:textId="77777777">
      <w:pPr>
        <w:ind w:left="2880" w:firstLine="720"/>
        <w:rPr>
          <w:rFonts w:eastAsia="Times New Roman" w:cs="Times New Roman"/>
        </w:rPr>
      </w:pPr>
      <w:r w:rsidRPr="00E35DD1">
        <w:t xml:space="preserve">Supporting </w:t>
      </w:r>
      <w:proofErr w:type="gramStart"/>
      <w:r w:rsidRPr="00E35DD1">
        <w:t>Statement</w:t>
      </w:r>
      <w:proofErr w:type="gramEnd"/>
      <w:r w:rsidRPr="00E35DD1">
        <w:t xml:space="preserve"> A for</w:t>
      </w:r>
    </w:p>
    <w:p w:rsidRPr="00E35DD1" w:rsidR="00E35DD1" w:rsidP="00E35DD1" w:rsidRDefault="00E35DD1" w14:paraId="4AD68EFA"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Pr="00A63F68" w:rsidR="00F97D9D" w:rsidP="00F97D9D" w:rsidRDefault="00F97D9D" w14:paraId="33629EFA" w14:textId="77777777">
      <w:pPr>
        <w:jc w:val="center"/>
        <w:rPr>
          <w:b/>
          <w:sz w:val="32"/>
          <w:szCs w:val="32"/>
        </w:rPr>
      </w:pPr>
      <w:r>
        <w:rPr>
          <w:b/>
          <w:sz w:val="32"/>
          <w:szCs w:val="32"/>
        </w:rPr>
        <w:t xml:space="preserve">The </w:t>
      </w:r>
      <w:r w:rsidRPr="00A63F68">
        <w:rPr>
          <w:b/>
          <w:sz w:val="32"/>
          <w:szCs w:val="32"/>
        </w:rPr>
        <w:t>National Institutes of Health</w:t>
      </w:r>
    </w:p>
    <w:p w:rsidR="00F97D9D" w:rsidP="00F97D9D" w:rsidRDefault="00F97D9D" w14:paraId="6979B9BB" w14:textId="258B9B1F">
      <w:pPr>
        <w:jc w:val="center"/>
        <w:rPr>
          <w:b/>
          <w:sz w:val="32"/>
          <w:szCs w:val="32"/>
        </w:rPr>
      </w:pPr>
      <w:r>
        <w:rPr>
          <w:b/>
          <w:sz w:val="32"/>
          <w:szCs w:val="32"/>
        </w:rPr>
        <w:t xml:space="preserve">Evaluation of the Enhancing Diversity of the NIH-funded Workforce Program </w:t>
      </w:r>
      <w:r w:rsidR="00C050E8">
        <w:rPr>
          <w:b/>
          <w:sz w:val="32"/>
          <w:szCs w:val="32"/>
        </w:rPr>
        <w:t>(NIGMS)</w:t>
      </w:r>
    </w:p>
    <w:p w:rsidRPr="00E35DD1" w:rsidR="00976490" w:rsidP="00767C53" w:rsidRDefault="00FF30CE" w14:paraId="0ED25BFE" w14:textId="2A34D2B9">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OMB#</w:t>
      </w:r>
      <w:r w:rsidR="00C050E8">
        <w:rPr>
          <w:rFonts w:asciiTheme="minorHAnsi" w:hAnsiTheme="minorHAnsi"/>
          <w:szCs w:val="22"/>
        </w:rPr>
        <w:t xml:space="preserve"> 0925-0747; Expiration date 11/30/2019</w:t>
      </w:r>
    </w:p>
    <w:p w:rsidRPr="00E35DD1" w:rsidR="00E35DD1" w:rsidP="00E35DD1" w:rsidRDefault="00E35DD1" w14:paraId="371FE21C" w14:textId="77777777">
      <w:pPr>
        <w:pStyle w:val="P1-StandPara"/>
        <w:tabs>
          <w:tab w:val="left" w:pos="720"/>
          <w:tab w:val="right" w:leader="dot" w:pos="9504"/>
        </w:tabs>
        <w:spacing w:before="120" w:after="120"/>
        <w:ind w:firstLine="0"/>
        <w:rPr>
          <w:rFonts w:asciiTheme="minorHAnsi" w:hAnsiTheme="minorHAnsi"/>
          <w:szCs w:val="22"/>
        </w:rPr>
      </w:pPr>
    </w:p>
    <w:p w:rsidR="00024899" w:rsidP="00E35DD1" w:rsidRDefault="00E35DD1" w14:paraId="680B9135"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Pr="00E35DD1" w:rsidR="00E35DD1" w:rsidP="00E35DD1" w:rsidRDefault="00E35DD1" w14:paraId="1ECE92EB" w14:textId="2E8FFBC2">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005A078B">
        <w:rPr>
          <w:rFonts w:asciiTheme="minorHAnsi" w:hAnsiTheme="minorHAnsi"/>
          <w:szCs w:val="22"/>
        </w:rPr>
        <w:t xml:space="preserve">  January 31, 2020</w:t>
      </w:r>
    </w:p>
    <w:p w:rsidRPr="008942E9" w:rsidR="00FF30CE" w:rsidP="00FF30CE" w:rsidRDefault="00FF30CE" w14:paraId="72879FE9" w14:textId="7777777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FF30CE" w:rsidP="00536C12" w:rsidRDefault="00FF30CE" w14:paraId="580EAAC6" w14:textId="2BA54810">
      <w:pPr>
        <w:pStyle w:val="ListParagraph"/>
        <w:numPr>
          <w:ilvl w:val="0"/>
          <w:numId w:val="11"/>
        </w:numPr>
        <w:spacing w:after="0" w:line="240" w:lineRule="auto"/>
      </w:pPr>
      <w:r>
        <w:t xml:space="preserve">New </w:t>
      </w:r>
    </w:p>
    <w:p w:rsidR="00FF30CE" w:rsidP="00FF30CE" w:rsidRDefault="00FF30CE" w14:paraId="45BA54F5" w14:textId="77777777">
      <w:pPr>
        <w:numPr>
          <w:ilvl w:val="0"/>
          <w:numId w:val="11"/>
        </w:numPr>
        <w:spacing w:after="0" w:line="240" w:lineRule="auto"/>
      </w:pPr>
      <w:r>
        <w:t>Revision</w:t>
      </w:r>
      <w:r>
        <w:tab/>
      </w:r>
      <w:r>
        <w:tab/>
      </w:r>
      <w:r>
        <w:tab/>
      </w:r>
    </w:p>
    <w:p w:rsidR="00FF30CE" w:rsidP="00C050E8" w:rsidRDefault="00C050E8" w14:paraId="185A0B7B" w14:textId="725F29EB">
      <w:pPr>
        <w:spacing w:after="0" w:line="240" w:lineRule="auto"/>
        <w:ind w:left="360"/>
      </w:pPr>
      <w:r>
        <w:rPr>
          <w:noProof/>
        </w:rPr>
        <w:drawing>
          <wp:inline distT="0" distB="0" distL="0" distR="0" wp14:anchorId="47D81CCC" wp14:editId="0995CF70">
            <wp:extent cx="156634" cy="156634"/>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5113" cy="165113"/>
                    </a:xfrm>
                    <a:prstGeom prst="rect">
                      <a:avLst/>
                    </a:prstGeom>
                  </pic:spPr>
                </pic:pic>
              </a:graphicData>
            </a:graphic>
          </wp:inline>
        </w:drawing>
      </w:r>
      <w:r w:rsidR="00FF30CE">
        <w:t>Reinstatement with Change</w:t>
      </w:r>
    </w:p>
    <w:p w:rsidR="00FF30CE" w:rsidP="00FF30CE" w:rsidRDefault="00FF30CE" w14:paraId="5177244E" w14:textId="77777777">
      <w:pPr>
        <w:numPr>
          <w:ilvl w:val="0"/>
          <w:numId w:val="11"/>
        </w:numPr>
        <w:spacing w:after="0" w:line="240" w:lineRule="auto"/>
      </w:pPr>
      <w:r>
        <w:t>Reinstatement without Change</w:t>
      </w:r>
    </w:p>
    <w:p w:rsidR="00FF30CE" w:rsidP="00FF30CE" w:rsidRDefault="00FF30CE" w14:paraId="62B8AE22" w14:textId="77777777">
      <w:pPr>
        <w:numPr>
          <w:ilvl w:val="0"/>
          <w:numId w:val="11"/>
        </w:numPr>
        <w:spacing w:after="0" w:line="240" w:lineRule="auto"/>
      </w:pPr>
      <w:r>
        <w:t>Extension</w:t>
      </w:r>
    </w:p>
    <w:p w:rsidR="00FF30CE" w:rsidP="00FF30CE" w:rsidRDefault="00FF30CE" w14:paraId="61FD3A79" w14:textId="77777777">
      <w:pPr>
        <w:numPr>
          <w:ilvl w:val="0"/>
          <w:numId w:val="11"/>
        </w:numPr>
        <w:spacing w:after="0" w:line="240" w:lineRule="auto"/>
      </w:pPr>
      <w:r>
        <w:t>Emergency</w:t>
      </w:r>
    </w:p>
    <w:p w:rsidR="00FF30CE" w:rsidP="00FF30CE" w:rsidRDefault="00FF30CE" w14:paraId="4AB911EB" w14:textId="1E8DCC95">
      <w:pPr>
        <w:numPr>
          <w:ilvl w:val="0"/>
          <w:numId w:val="11"/>
        </w:numPr>
        <w:spacing w:after="0" w:line="240" w:lineRule="auto"/>
      </w:pPr>
      <w:r>
        <w:t>Existing</w:t>
      </w:r>
      <w:r w:rsidR="000A139A">
        <w:t xml:space="preserve"> w/o OMB approval</w:t>
      </w:r>
    </w:p>
    <w:p w:rsidRPr="00E35DD1" w:rsidR="00E35DD1" w:rsidP="00E35DD1" w:rsidRDefault="00E35DD1" w14:paraId="75E71417" w14:textId="1FC53C24">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t xml:space="preserve">                        </w:t>
      </w:r>
    </w:p>
    <w:p w:rsidRPr="00E35DD1" w:rsidR="00E35DD1" w:rsidP="00E35DD1" w:rsidRDefault="00E35DD1" w14:paraId="76887CBB" w14:textId="77777777">
      <w:pPr>
        <w:pStyle w:val="P1-StandPara"/>
        <w:tabs>
          <w:tab w:val="left" w:pos="720"/>
          <w:tab w:val="right" w:leader="dot" w:pos="9504"/>
        </w:tabs>
        <w:spacing w:before="120" w:after="120"/>
        <w:rPr>
          <w:rFonts w:asciiTheme="minorHAnsi" w:hAnsiTheme="minorHAnsi"/>
          <w:szCs w:val="22"/>
        </w:rPr>
      </w:pPr>
    </w:p>
    <w:p w:rsidRPr="00C050E8" w:rsidR="00C050E8" w:rsidP="00C050E8" w:rsidRDefault="00C050E8" w14:paraId="0EDB94D2" w14:textId="77777777">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Alison Gammie, Ph.D. </w:t>
      </w:r>
    </w:p>
    <w:p w:rsidRPr="00C050E8" w:rsidR="00C050E8" w:rsidP="00C050E8" w:rsidRDefault="00C050E8" w14:paraId="18E8EFC4" w14:textId="77777777">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Director, Division of Training, Workforce Development, and Diversity</w:t>
      </w:r>
    </w:p>
    <w:p w:rsidRPr="00C050E8" w:rsidR="00C050E8" w:rsidP="00C050E8" w:rsidRDefault="00C050E8" w14:paraId="3B4303E0" w14:textId="77777777">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Project Lead, Diversity Program Consortium </w:t>
      </w:r>
    </w:p>
    <w:p w:rsidRPr="00C050E8" w:rsidR="00C050E8" w:rsidP="00C050E8" w:rsidRDefault="00C050E8" w14:paraId="14F881C4" w14:textId="77777777">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National Institute of General Medical Sciences</w:t>
      </w:r>
    </w:p>
    <w:p w:rsidRPr="00C050E8" w:rsidR="00C050E8" w:rsidP="00C050E8" w:rsidRDefault="00C050E8" w14:paraId="1C970A6E" w14:textId="77777777">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45 Center Drive, 2AS43J</w:t>
      </w:r>
    </w:p>
    <w:p w:rsidRPr="00C050E8" w:rsidR="00C050E8" w:rsidP="00C050E8" w:rsidRDefault="00C050E8" w14:paraId="6977E9B6" w14:textId="77777777">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Bethesda, MD 20892</w:t>
      </w:r>
    </w:p>
    <w:p w:rsidRPr="00C050E8" w:rsidR="00C050E8" w:rsidP="00C050E8" w:rsidRDefault="00C050E8" w14:paraId="384DDD75" w14:textId="77777777">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Phone: (301) 594-2662</w:t>
      </w:r>
    </w:p>
    <w:p w:rsidR="00C050E8" w:rsidP="00C050E8" w:rsidRDefault="00C050E8" w14:paraId="39FAEEB1" w14:textId="7D16323E">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Email: </w:t>
      </w:r>
      <w:hyperlink w:history="1" r:id="rId11">
        <w:r w:rsidRPr="0055593B">
          <w:rPr>
            <w:rStyle w:val="Hyperlink"/>
            <w:rFonts w:asciiTheme="minorHAnsi" w:hAnsiTheme="minorHAnsi"/>
            <w:szCs w:val="22"/>
          </w:rPr>
          <w:t>alison.gammie@nih.gov</w:t>
        </w:r>
      </w:hyperlink>
    </w:p>
    <w:p w:rsidR="00C050E8" w:rsidP="00C050E8" w:rsidRDefault="00C050E8" w14:paraId="51063ABD" w14:textId="77777777">
      <w:pPr>
        <w:pStyle w:val="P1-StandPara"/>
        <w:tabs>
          <w:tab w:val="left" w:pos="720"/>
          <w:tab w:val="right" w:leader="dot" w:pos="9504"/>
        </w:tabs>
        <w:spacing w:before="120" w:after="120"/>
        <w:rPr>
          <w:rFonts w:asciiTheme="minorHAnsi" w:hAnsiTheme="minorHAnsi"/>
          <w:b/>
          <w:szCs w:val="22"/>
          <w:u w:val="single"/>
        </w:rPr>
      </w:pPr>
    </w:p>
    <w:p w:rsidRPr="00E35DD1" w:rsidR="00E35DD1" w:rsidP="00C050E8" w:rsidRDefault="00E35DD1" w14:paraId="245B699E" w14:textId="716F2C5F">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lastRenderedPageBreak/>
        <w:t>Table of contents</w:t>
      </w:r>
    </w:p>
    <w:sdt>
      <w:sdtPr>
        <w:rPr>
          <w:rFonts w:asciiTheme="minorHAnsi" w:hAnsiTheme="minorHAnsi" w:eastAsiaTheme="minorEastAsia" w:cstheme="minorBidi"/>
          <w:color w:val="auto"/>
          <w:sz w:val="22"/>
          <w:szCs w:val="22"/>
        </w:rPr>
        <w:id w:val="-1141800855"/>
        <w:docPartObj>
          <w:docPartGallery w:val="Table of Contents"/>
          <w:docPartUnique/>
        </w:docPartObj>
      </w:sdtPr>
      <w:sdtEndPr>
        <w:rPr>
          <w:b/>
          <w:bCs/>
          <w:noProof/>
        </w:rPr>
      </w:sdtEndPr>
      <w:sdtContent>
        <w:p w:rsidR="00F116EE" w:rsidP="00501C05" w:rsidRDefault="00F116EE" w14:paraId="6EA5A6EA" w14:textId="0F282FFE">
          <w:pPr>
            <w:pStyle w:val="TOCHeading"/>
          </w:pPr>
        </w:p>
        <w:p w:rsidR="00237DE7" w:rsidRDefault="00F116EE" w14:paraId="23979CCE" w14:textId="2D2BDF07">
          <w:pPr>
            <w:pStyle w:val="TOC1"/>
            <w:tabs>
              <w:tab w:val="right" w:leader="dot" w:pos="9638"/>
            </w:tabs>
            <w:rPr>
              <w:noProof/>
            </w:rPr>
          </w:pPr>
          <w:r>
            <w:fldChar w:fldCharType="begin"/>
          </w:r>
          <w:r>
            <w:instrText xml:space="preserve"> TOC \o "1-3" \h \z \u </w:instrText>
          </w:r>
          <w:r>
            <w:fldChar w:fldCharType="separate"/>
          </w:r>
          <w:hyperlink w:history="1" w:anchor="_Toc31096817">
            <w:r w:rsidRPr="00081E3A" w:rsidR="00237DE7">
              <w:rPr>
                <w:rStyle w:val="Hyperlink"/>
                <w:b/>
                <w:noProof/>
              </w:rPr>
              <w:t>A. Justification</w:t>
            </w:r>
            <w:r w:rsidR="00237DE7">
              <w:rPr>
                <w:noProof/>
                <w:webHidden/>
              </w:rPr>
              <w:tab/>
            </w:r>
            <w:r w:rsidR="00237DE7">
              <w:rPr>
                <w:noProof/>
                <w:webHidden/>
              </w:rPr>
              <w:fldChar w:fldCharType="begin"/>
            </w:r>
            <w:r w:rsidR="00237DE7">
              <w:rPr>
                <w:noProof/>
                <w:webHidden/>
              </w:rPr>
              <w:instrText xml:space="preserve"> PAGEREF _Toc31096817 \h </w:instrText>
            </w:r>
            <w:r w:rsidR="00237DE7">
              <w:rPr>
                <w:noProof/>
                <w:webHidden/>
              </w:rPr>
            </w:r>
            <w:r w:rsidR="00237DE7">
              <w:rPr>
                <w:noProof/>
                <w:webHidden/>
              </w:rPr>
              <w:fldChar w:fldCharType="separate"/>
            </w:r>
            <w:r w:rsidR="00237DE7">
              <w:rPr>
                <w:noProof/>
                <w:webHidden/>
              </w:rPr>
              <w:t>3</w:t>
            </w:r>
            <w:r w:rsidR="00237DE7">
              <w:rPr>
                <w:noProof/>
                <w:webHidden/>
              </w:rPr>
              <w:fldChar w:fldCharType="end"/>
            </w:r>
          </w:hyperlink>
        </w:p>
        <w:p w:rsidR="00237DE7" w:rsidRDefault="0091754D" w14:paraId="0A674FC6" w14:textId="50AACC11">
          <w:pPr>
            <w:pStyle w:val="TOC1"/>
            <w:tabs>
              <w:tab w:val="left" w:pos="660"/>
              <w:tab w:val="right" w:leader="dot" w:pos="9638"/>
            </w:tabs>
            <w:rPr>
              <w:noProof/>
            </w:rPr>
          </w:pPr>
          <w:hyperlink w:history="1" w:anchor="_Toc31096818">
            <w:r w:rsidRPr="00081E3A" w:rsidR="00237DE7">
              <w:rPr>
                <w:rStyle w:val="Hyperlink"/>
                <w:b/>
                <w:noProof/>
              </w:rPr>
              <w:t>A.1</w:t>
            </w:r>
            <w:r w:rsidR="00237DE7">
              <w:rPr>
                <w:noProof/>
              </w:rPr>
              <w:tab/>
            </w:r>
            <w:r w:rsidRPr="00081E3A" w:rsidR="00237DE7">
              <w:rPr>
                <w:rStyle w:val="Hyperlink"/>
                <w:b/>
                <w:noProof/>
              </w:rPr>
              <w:t>Circumstances Making the Collection of Information Necessary</w:t>
            </w:r>
            <w:r w:rsidR="00237DE7">
              <w:rPr>
                <w:noProof/>
                <w:webHidden/>
              </w:rPr>
              <w:tab/>
            </w:r>
            <w:r w:rsidR="00237DE7">
              <w:rPr>
                <w:noProof/>
                <w:webHidden/>
              </w:rPr>
              <w:fldChar w:fldCharType="begin"/>
            </w:r>
            <w:r w:rsidR="00237DE7">
              <w:rPr>
                <w:noProof/>
                <w:webHidden/>
              </w:rPr>
              <w:instrText xml:space="preserve"> PAGEREF _Toc31096818 \h </w:instrText>
            </w:r>
            <w:r w:rsidR="00237DE7">
              <w:rPr>
                <w:noProof/>
                <w:webHidden/>
              </w:rPr>
            </w:r>
            <w:r w:rsidR="00237DE7">
              <w:rPr>
                <w:noProof/>
                <w:webHidden/>
              </w:rPr>
              <w:fldChar w:fldCharType="separate"/>
            </w:r>
            <w:r w:rsidR="00237DE7">
              <w:rPr>
                <w:noProof/>
                <w:webHidden/>
              </w:rPr>
              <w:t>3</w:t>
            </w:r>
            <w:r w:rsidR="00237DE7">
              <w:rPr>
                <w:noProof/>
                <w:webHidden/>
              </w:rPr>
              <w:fldChar w:fldCharType="end"/>
            </w:r>
          </w:hyperlink>
        </w:p>
        <w:p w:rsidR="00237DE7" w:rsidRDefault="0091754D" w14:paraId="386C169A" w14:textId="1238AE41">
          <w:pPr>
            <w:pStyle w:val="TOC1"/>
            <w:tabs>
              <w:tab w:val="right" w:leader="dot" w:pos="9638"/>
            </w:tabs>
            <w:rPr>
              <w:noProof/>
            </w:rPr>
          </w:pPr>
          <w:hyperlink w:history="1" w:anchor="_Toc31096819">
            <w:r w:rsidRPr="00081E3A" w:rsidR="00237DE7">
              <w:rPr>
                <w:rStyle w:val="Hyperlink"/>
                <w:rFonts w:cstheme="minorHAnsi"/>
                <w:b/>
                <w:noProof/>
              </w:rPr>
              <w:t>A.2    Purpose and Use of the Information Collection</w:t>
            </w:r>
            <w:r w:rsidR="00237DE7">
              <w:rPr>
                <w:noProof/>
                <w:webHidden/>
              </w:rPr>
              <w:tab/>
            </w:r>
            <w:r w:rsidR="00237DE7">
              <w:rPr>
                <w:noProof/>
                <w:webHidden/>
              </w:rPr>
              <w:fldChar w:fldCharType="begin"/>
            </w:r>
            <w:r w:rsidR="00237DE7">
              <w:rPr>
                <w:noProof/>
                <w:webHidden/>
              </w:rPr>
              <w:instrText xml:space="preserve"> PAGEREF _Toc31096819 \h </w:instrText>
            </w:r>
            <w:r w:rsidR="00237DE7">
              <w:rPr>
                <w:noProof/>
                <w:webHidden/>
              </w:rPr>
            </w:r>
            <w:r w:rsidR="00237DE7">
              <w:rPr>
                <w:noProof/>
                <w:webHidden/>
              </w:rPr>
              <w:fldChar w:fldCharType="separate"/>
            </w:r>
            <w:r w:rsidR="00237DE7">
              <w:rPr>
                <w:noProof/>
                <w:webHidden/>
              </w:rPr>
              <w:t>7</w:t>
            </w:r>
            <w:r w:rsidR="00237DE7">
              <w:rPr>
                <w:noProof/>
                <w:webHidden/>
              </w:rPr>
              <w:fldChar w:fldCharType="end"/>
            </w:r>
          </w:hyperlink>
        </w:p>
        <w:p w:rsidR="00237DE7" w:rsidRDefault="0091754D" w14:paraId="25ABEA36" w14:textId="6EDCD9CF">
          <w:pPr>
            <w:pStyle w:val="TOC1"/>
            <w:tabs>
              <w:tab w:val="right" w:leader="dot" w:pos="9638"/>
            </w:tabs>
            <w:rPr>
              <w:noProof/>
            </w:rPr>
          </w:pPr>
          <w:hyperlink w:history="1" w:anchor="_Toc31096820">
            <w:r w:rsidRPr="00081E3A" w:rsidR="00237DE7">
              <w:rPr>
                <w:rStyle w:val="Hyperlink"/>
                <w:rFonts w:cstheme="minorHAnsi"/>
                <w:b/>
                <w:noProof/>
              </w:rPr>
              <w:t>A.3     Use of Information Technology and Burden Reduction</w:t>
            </w:r>
            <w:r w:rsidR="00237DE7">
              <w:rPr>
                <w:noProof/>
                <w:webHidden/>
              </w:rPr>
              <w:tab/>
            </w:r>
            <w:r w:rsidR="00237DE7">
              <w:rPr>
                <w:noProof/>
                <w:webHidden/>
              </w:rPr>
              <w:fldChar w:fldCharType="begin"/>
            </w:r>
            <w:r w:rsidR="00237DE7">
              <w:rPr>
                <w:noProof/>
                <w:webHidden/>
              </w:rPr>
              <w:instrText xml:space="preserve"> PAGEREF _Toc31096820 \h </w:instrText>
            </w:r>
            <w:r w:rsidR="00237DE7">
              <w:rPr>
                <w:noProof/>
                <w:webHidden/>
              </w:rPr>
            </w:r>
            <w:r w:rsidR="00237DE7">
              <w:rPr>
                <w:noProof/>
                <w:webHidden/>
              </w:rPr>
              <w:fldChar w:fldCharType="separate"/>
            </w:r>
            <w:r w:rsidR="00237DE7">
              <w:rPr>
                <w:noProof/>
                <w:webHidden/>
              </w:rPr>
              <w:t>10</w:t>
            </w:r>
            <w:r w:rsidR="00237DE7">
              <w:rPr>
                <w:noProof/>
                <w:webHidden/>
              </w:rPr>
              <w:fldChar w:fldCharType="end"/>
            </w:r>
          </w:hyperlink>
        </w:p>
        <w:p w:rsidR="00237DE7" w:rsidRDefault="0091754D" w14:paraId="4F44F268" w14:textId="3EC49D53">
          <w:pPr>
            <w:pStyle w:val="TOC1"/>
            <w:tabs>
              <w:tab w:val="left" w:pos="660"/>
              <w:tab w:val="right" w:leader="dot" w:pos="9638"/>
            </w:tabs>
            <w:rPr>
              <w:noProof/>
            </w:rPr>
          </w:pPr>
          <w:hyperlink w:history="1" w:anchor="_Toc31096821">
            <w:r w:rsidRPr="00081E3A" w:rsidR="00237DE7">
              <w:rPr>
                <w:rStyle w:val="Hyperlink"/>
                <w:b/>
                <w:noProof/>
              </w:rPr>
              <w:t>A.4</w:t>
            </w:r>
            <w:r w:rsidR="00237DE7">
              <w:rPr>
                <w:noProof/>
              </w:rPr>
              <w:tab/>
            </w:r>
            <w:r w:rsidRPr="00081E3A" w:rsidR="00237DE7">
              <w:rPr>
                <w:rStyle w:val="Hyperlink"/>
                <w:b/>
                <w:noProof/>
              </w:rPr>
              <w:t>Efforts to Identify Duplication and Use of Similar Information</w:t>
            </w:r>
            <w:r w:rsidR="00237DE7">
              <w:rPr>
                <w:noProof/>
                <w:webHidden/>
              </w:rPr>
              <w:tab/>
            </w:r>
            <w:r w:rsidR="00237DE7">
              <w:rPr>
                <w:noProof/>
                <w:webHidden/>
              </w:rPr>
              <w:fldChar w:fldCharType="begin"/>
            </w:r>
            <w:r w:rsidR="00237DE7">
              <w:rPr>
                <w:noProof/>
                <w:webHidden/>
              </w:rPr>
              <w:instrText xml:space="preserve"> PAGEREF _Toc31096821 \h </w:instrText>
            </w:r>
            <w:r w:rsidR="00237DE7">
              <w:rPr>
                <w:noProof/>
                <w:webHidden/>
              </w:rPr>
            </w:r>
            <w:r w:rsidR="00237DE7">
              <w:rPr>
                <w:noProof/>
                <w:webHidden/>
              </w:rPr>
              <w:fldChar w:fldCharType="separate"/>
            </w:r>
            <w:r w:rsidR="00237DE7">
              <w:rPr>
                <w:noProof/>
                <w:webHidden/>
              </w:rPr>
              <w:t>11</w:t>
            </w:r>
            <w:r w:rsidR="00237DE7">
              <w:rPr>
                <w:noProof/>
                <w:webHidden/>
              </w:rPr>
              <w:fldChar w:fldCharType="end"/>
            </w:r>
          </w:hyperlink>
        </w:p>
        <w:p w:rsidR="00237DE7" w:rsidRDefault="0091754D" w14:paraId="231462FD" w14:textId="2A7C4114">
          <w:pPr>
            <w:pStyle w:val="TOC1"/>
            <w:tabs>
              <w:tab w:val="left" w:pos="660"/>
              <w:tab w:val="right" w:leader="dot" w:pos="9638"/>
            </w:tabs>
            <w:rPr>
              <w:noProof/>
            </w:rPr>
          </w:pPr>
          <w:hyperlink w:history="1" w:anchor="_Toc31096822">
            <w:r w:rsidRPr="00081E3A" w:rsidR="00237DE7">
              <w:rPr>
                <w:rStyle w:val="Hyperlink"/>
                <w:rFonts w:cstheme="minorHAnsi"/>
                <w:b/>
                <w:noProof/>
              </w:rPr>
              <w:t>A.5</w:t>
            </w:r>
            <w:r w:rsidR="00237DE7">
              <w:rPr>
                <w:noProof/>
              </w:rPr>
              <w:tab/>
            </w:r>
            <w:r w:rsidRPr="00081E3A" w:rsidR="00237DE7">
              <w:rPr>
                <w:rStyle w:val="Hyperlink"/>
                <w:rFonts w:cstheme="minorHAnsi"/>
                <w:b/>
                <w:noProof/>
              </w:rPr>
              <w:t>Impact on Small Businesses or Other Small Entities</w:t>
            </w:r>
            <w:r w:rsidR="00237DE7">
              <w:rPr>
                <w:noProof/>
                <w:webHidden/>
              </w:rPr>
              <w:tab/>
            </w:r>
            <w:r w:rsidR="00237DE7">
              <w:rPr>
                <w:noProof/>
                <w:webHidden/>
              </w:rPr>
              <w:fldChar w:fldCharType="begin"/>
            </w:r>
            <w:r w:rsidR="00237DE7">
              <w:rPr>
                <w:noProof/>
                <w:webHidden/>
              </w:rPr>
              <w:instrText xml:space="preserve"> PAGEREF _Toc31096822 \h </w:instrText>
            </w:r>
            <w:r w:rsidR="00237DE7">
              <w:rPr>
                <w:noProof/>
                <w:webHidden/>
              </w:rPr>
            </w:r>
            <w:r w:rsidR="00237DE7">
              <w:rPr>
                <w:noProof/>
                <w:webHidden/>
              </w:rPr>
              <w:fldChar w:fldCharType="separate"/>
            </w:r>
            <w:r w:rsidR="00237DE7">
              <w:rPr>
                <w:noProof/>
                <w:webHidden/>
              </w:rPr>
              <w:t>11</w:t>
            </w:r>
            <w:r w:rsidR="00237DE7">
              <w:rPr>
                <w:noProof/>
                <w:webHidden/>
              </w:rPr>
              <w:fldChar w:fldCharType="end"/>
            </w:r>
          </w:hyperlink>
        </w:p>
        <w:p w:rsidR="00237DE7" w:rsidRDefault="0091754D" w14:paraId="60264A44" w14:textId="6164CCC9">
          <w:pPr>
            <w:pStyle w:val="TOC1"/>
            <w:tabs>
              <w:tab w:val="left" w:pos="660"/>
              <w:tab w:val="right" w:leader="dot" w:pos="9638"/>
            </w:tabs>
            <w:rPr>
              <w:noProof/>
            </w:rPr>
          </w:pPr>
          <w:hyperlink w:history="1" w:anchor="_Toc31096823">
            <w:r w:rsidRPr="00081E3A" w:rsidR="00237DE7">
              <w:rPr>
                <w:rStyle w:val="Hyperlink"/>
                <w:b/>
                <w:noProof/>
              </w:rPr>
              <w:t>A.6</w:t>
            </w:r>
            <w:r w:rsidR="00237DE7">
              <w:rPr>
                <w:noProof/>
              </w:rPr>
              <w:tab/>
            </w:r>
            <w:r w:rsidRPr="00081E3A" w:rsidR="00237DE7">
              <w:rPr>
                <w:rStyle w:val="Hyperlink"/>
                <w:b/>
                <w:noProof/>
              </w:rPr>
              <w:t>Consequences of Collecting the Information Less Frequently</w:t>
            </w:r>
            <w:r w:rsidR="00237DE7">
              <w:rPr>
                <w:noProof/>
                <w:webHidden/>
              </w:rPr>
              <w:tab/>
            </w:r>
            <w:r w:rsidR="00237DE7">
              <w:rPr>
                <w:noProof/>
                <w:webHidden/>
              </w:rPr>
              <w:fldChar w:fldCharType="begin"/>
            </w:r>
            <w:r w:rsidR="00237DE7">
              <w:rPr>
                <w:noProof/>
                <w:webHidden/>
              </w:rPr>
              <w:instrText xml:space="preserve"> PAGEREF _Toc31096823 \h </w:instrText>
            </w:r>
            <w:r w:rsidR="00237DE7">
              <w:rPr>
                <w:noProof/>
                <w:webHidden/>
              </w:rPr>
            </w:r>
            <w:r w:rsidR="00237DE7">
              <w:rPr>
                <w:noProof/>
                <w:webHidden/>
              </w:rPr>
              <w:fldChar w:fldCharType="separate"/>
            </w:r>
            <w:r w:rsidR="00237DE7">
              <w:rPr>
                <w:noProof/>
                <w:webHidden/>
              </w:rPr>
              <w:t>12</w:t>
            </w:r>
            <w:r w:rsidR="00237DE7">
              <w:rPr>
                <w:noProof/>
                <w:webHidden/>
              </w:rPr>
              <w:fldChar w:fldCharType="end"/>
            </w:r>
          </w:hyperlink>
        </w:p>
        <w:p w:rsidR="00237DE7" w:rsidRDefault="0091754D" w14:paraId="37FC020C" w14:textId="75E4002A">
          <w:pPr>
            <w:pStyle w:val="TOC1"/>
            <w:tabs>
              <w:tab w:val="left" w:pos="660"/>
              <w:tab w:val="right" w:leader="dot" w:pos="9638"/>
            </w:tabs>
            <w:rPr>
              <w:noProof/>
            </w:rPr>
          </w:pPr>
          <w:hyperlink w:history="1" w:anchor="_Toc31096824">
            <w:r w:rsidRPr="00081E3A" w:rsidR="00237DE7">
              <w:rPr>
                <w:rStyle w:val="Hyperlink"/>
                <w:rFonts w:cstheme="minorHAnsi"/>
                <w:b/>
                <w:noProof/>
              </w:rPr>
              <w:t>A.7</w:t>
            </w:r>
            <w:r w:rsidR="00237DE7">
              <w:rPr>
                <w:noProof/>
              </w:rPr>
              <w:tab/>
            </w:r>
            <w:r w:rsidRPr="00081E3A" w:rsidR="00237DE7">
              <w:rPr>
                <w:rStyle w:val="Hyperlink"/>
                <w:rFonts w:cstheme="minorHAnsi"/>
                <w:b/>
                <w:noProof/>
              </w:rPr>
              <w:t>Special Circumstances Relating to the Guidelines of 5 CFR 1320.5</w:t>
            </w:r>
            <w:r w:rsidR="00237DE7">
              <w:rPr>
                <w:noProof/>
                <w:webHidden/>
              </w:rPr>
              <w:tab/>
            </w:r>
            <w:r w:rsidR="00237DE7">
              <w:rPr>
                <w:noProof/>
                <w:webHidden/>
              </w:rPr>
              <w:fldChar w:fldCharType="begin"/>
            </w:r>
            <w:r w:rsidR="00237DE7">
              <w:rPr>
                <w:noProof/>
                <w:webHidden/>
              </w:rPr>
              <w:instrText xml:space="preserve"> PAGEREF _Toc31096824 \h </w:instrText>
            </w:r>
            <w:r w:rsidR="00237DE7">
              <w:rPr>
                <w:noProof/>
                <w:webHidden/>
              </w:rPr>
            </w:r>
            <w:r w:rsidR="00237DE7">
              <w:rPr>
                <w:noProof/>
                <w:webHidden/>
              </w:rPr>
              <w:fldChar w:fldCharType="separate"/>
            </w:r>
            <w:r w:rsidR="00237DE7">
              <w:rPr>
                <w:noProof/>
                <w:webHidden/>
              </w:rPr>
              <w:t>12</w:t>
            </w:r>
            <w:r w:rsidR="00237DE7">
              <w:rPr>
                <w:noProof/>
                <w:webHidden/>
              </w:rPr>
              <w:fldChar w:fldCharType="end"/>
            </w:r>
          </w:hyperlink>
        </w:p>
        <w:p w:rsidR="00237DE7" w:rsidRDefault="0091754D" w14:paraId="59E75D0D" w14:textId="458E76AC">
          <w:pPr>
            <w:pStyle w:val="TOC1"/>
            <w:tabs>
              <w:tab w:val="left" w:pos="880"/>
              <w:tab w:val="right" w:leader="dot" w:pos="9638"/>
            </w:tabs>
            <w:rPr>
              <w:noProof/>
            </w:rPr>
          </w:pPr>
          <w:hyperlink w:history="1" w:anchor="_Toc31096825">
            <w:r w:rsidRPr="00081E3A" w:rsidR="00237DE7">
              <w:rPr>
                <w:rStyle w:val="Hyperlink"/>
                <w:b/>
                <w:noProof/>
              </w:rPr>
              <w:t>A.8.1</w:t>
            </w:r>
            <w:r w:rsidR="00237DE7">
              <w:rPr>
                <w:noProof/>
              </w:rPr>
              <w:tab/>
            </w:r>
            <w:r w:rsidRPr="00081E3A" w:rsidR="00237DE7">
              <w:rPr>
                <w:rStyle w:val="Hyperlink"/>
                <w:b/>
                <w:noProof/>
              </w:rPr>
              <w:t>Comments in Response to the Federal Register Notice</w:t>
            </w:r>
            <w:r w:rsidR="00237DE7">
              <w:rPr>
                <w:noProof/>
                <w:webHidden/>
              </w:rPr>
              <w:tab/>
            </w:r>
            <w:r w:rsidR="00237DE7">
              <w:rPr>
                <w:noProof/>
                <w:webHidden/>
              </w:rPr>
              <w:fldChar w:fldCharType="begin"/>
            </w:r>
            <w:r w:rsidR="00237DE7">
              <w:rPr>
                <w:noProof/>
                <w:webHidden/>
              </w:rPr>
              <w:instrText xml:space="preserve"> PAGEREF _Toc31096825 \h </w:instrText>
            </w:r>
            <w:r w:rsidR="00237DE7">
              <w:rPr>
                <w:noProof/>
                <w:webHidden/>
              </w:rPr>
            </w:r>
            <w:r w:rsidR="00237DE7">
              <w:rPr>
                <w:noProof/>
                <w:webHidden/>
              </w:rPr>
              <w:fldChar w:fldCharType="separate"/>
            </w:r>
            <w:r w:rsidR="00237DE7">
              <w:rPr>
                <w:noProof/>
                <w:webHidden/>
              </w:rPr>
              <w:t>12</w:t>
            </w:r>
            <w:r w:rsidR="00237DE7">
              <w:rPr>
                <w:noProof/>
                <w:webHidden/>
              </w:rPr>
              <w:fldChar w:fldCharType="end"/>
            </w:r>
          </w:hyperlink>
        </w:p>
        <w:p w:rsidR="00237DE7" w:rsidRDefault="0091754D" w14:paraId="1BE99BA2" w14:textId="7CDA88EC">
          <w:pPr>
            <w:pStyle w:val="TOC1"/>
            <w:tabs>
              <w:tab w:val="left" w:pos="880"/>
              <w:tab w:val="right" w:leader="dot" w:pos="9638"/>
            </w:tabs>
            <w:rPr>
              <w:noProof/>
            </w:rPr>
          </w:pPr>
          <w:hyperlink w:history="1" w:anchor="_Toc31096826">
            <w:r w:rsidRPr="00081E3A" w:rsidR="00237DE7">
              <w:rPr>
                <w:rStyle w:val="Hyperlink"/>
                <w:b/>
                <w:noProof/>
              </w:rPr>
              <w:t>A.8.2</w:t>
            </w:r>
            <w:r w:rsidR="00237DE7">
              <w:rPr>
                <w:noProof/>
              </w:rPr>
              <w:tab/>
            </w:r>
            <w:r w:rsidRPr="00081E3A" w:rsidR="00237DE7">
              <w:rPr>
                <w:rStyle w:val="Hyperlink"/>
                <w:b/>
                <w:noProof/>
              </w:rPr>
              <w:t>Efforts to Consult Outside Agency</w:t>
            </w:r>
            <w:r w:rsidR="00237DE7">
              <w:rPr>
                <w:noProof/>
                <w:webHidden/>
              </w:rPr>
              <w:tab/>
            </w:r>
            <w:r w:rsidR="00237DE7">
              <w:rPr>
                <w:noProof/>
                <w:webHidden/>
              </w:rPr>
              <w:fldChar w:fldCharType="begin"/>
            </w:r>
            <w:r w:rsidR="00237DE7">
              <w:rPr>
                <w:noProof/>
                <w:webHidden/>
              </w:rPr>
              <w:instrText xml:space="preserve"> PAGEREF _Toc31096826 \h </w:instrText>
            </w:r>
            <w:r w:rsidR="00237DE7">
              <w:rPr>
                <w:noProof/>
                <w:webHidden/>
              </w:rPr>
            </w:r>
            <w:r w:rsidR="00237DE7">
              <w:rPr>
                <w:noProof/>
                <w:webHidden/>
              </w:rPr>
              <w:fldChar w:fldCharType="separate"/>
            </w:r>
            <w:r w:rsidR="00237DE7">
              <w:rPr>
                <w:noProof/>
                <w:webHidden/>
              </w:rPr>
              <w:t>12</w:t>
            </w:r>
            <w:r w:rsidR="00237DE7">
              <w:rPr>
                <w:noProof/>
                <w:webHidden/>
              </w:rPr>
              <w:fldChar w:fldCharType="end"/>
            </w:r>
          </w:hyperlink>
        </w:p>
        <w:p w:rsidR="00237DE7" w:rsidRDefault="0091754D" w14:paraId="6C045C82" w14:textId="6BB358D7">
          <w:pPr>
            <w:pStyle w:val="TOC1"/>
            <w:tabs>
              <w:tab w:val="left" w:pos="660"/>
              <w:tab w:val="right" w:leader="dot" w:pos="9638"/>
            </w:tabs>
            <w:rPr>
              <w:noProof/>
            </w:rPr>
          </w:pPr>
          <w:hyperlink w:history="1" w:anchor="_Toc31096827">
            <w:r w:rsidRPr="00081E3A" w:rsidR="00237DE7">
              <w:rPr>
                <w:rStyle w:val="Hyperlink"/>
                <w:b/>
                <w:noProof/>
              </w:rPr>
              <w:t>A.9</w:t>
            </w:r>
            <w:r w:rsidR="00237DE7">
              <w:rPr>
                <w:noProof/>
              </w:rPr>
              <w:tab/>
            </w:r>
            <w:r w:rsidRPr="00081E3A" w:rsidR="00237DE7">
              <w:rPr>
                <w:rStyle w:val="Hyperlink"/>
                <w:b/>
                <w:noProof/>
              </w:rPr>
              <w:t>Explanation of Any Payment or Gift to Respondents</w:t>
            </w:r>
            <w:r w:rsidR="00237DE7">
              <w:rPr>
                <w:noProof/>
                <w:webHidden/>
              </w:rPr>
              <w:tab/>
            </w:r>
            <w:r w:rsidR="00237DE7">
              <w:rPr>
                <w:noProof/>
                <w:webHidden/>
              </w:rPr>
              <w:fldChar w:fldCharType="begin"/>
            </w:r>
            <w:r w:rsidR="00237DE7">
              <w:rPr>
                <w:noProof/>
                <w:webHidden/>
              </w:rPr>
              <w:instrText xml:space="preserve"> PAGEREF _Toc31096827 \h </w:instrText>
            </w:r>
            <w:r w:rsidR="00237DE7">
              <w:rPr>
                <w:noProof/>
                <w:webHidden/>
              </w:rPr>
            </w:r>
            <w:r w:rsidR="00237DE7">
              <w:rPr>
                <w:noProof/>
                <w:webHidden/>
              </w:rPr>
              <w:fldChar w:fldCharType="separate"/>
            </w:r>
            <w:r w:rsidR="00237DE7">
              <w:rPr>
                <w:noProof/>
                <w:webHidden/>
              </w:rPr>
              <w:t>14</w:t>
            </w:r>
            <w:r w:rsidR="00237DE7">
              <w:rPr>
                <w:noProof/>
                <w:webHidden/>
              </w:rPr>
              <w:fldChar w:fldCharType="end"/>
            </w:r>
          </w:hyperlink>
        </w:p>
        <w:p w:rsidR="00237DE7" w:rsidRDefault="0091754D" w14:paraId="7E5DCC14" w14:textId="4DDDE57F">
          <w:pPr>
            <w:pStyle w:val="TOC1"/>
            <w:tabs>
              <w:tab w:val="left" w:pos="660"/>
              <w:tab w:val="right" w:leader="dot" w:pos="9638"/>
            </w:tabs>
            <w:rPr>
              <w:noProof/>
            </w:rPr>
          </w:pPr>
          <w:hyperlink w:history="1" w:anchor="_Toc31096828">
            <w:r w:rsidRPr="00081E3A" w:rsidR="00237DE7">
              <w:rPr>
                <w:rStyle w:val="Hyperlink"/>
                <w:b/>
                <w:noProof/>
              </w:rPr>
              <w:t>A.10</w:t>
            </w:r>
            <w:r w:rsidR="00237DE7">
              <w:rPr>
                <w:noProof/>
              </w:rPr>
              <w:tab/>
            </w:r>
            <w:r w:rsidRPr="00081E3A" w:rsidR="00237DE7">
              <w:rPr>
                <w:rStyle w:val="Hyperlink"/>
                <w:b/>
                <w:noProof/>
              </w:rPr>
              <w:t>Assurance of Confidentiality Provided to Respondents</w:t>
            </w:r>
            <w:r w:rsidR="00237DE7">
              <w:rPr>
                <w:noProof/>
                <w:webHidden/>
              </w:rPr>
              <w:tab/>
            </w:r>
            <w:r w:rsidR="00237DE7">
              <w:rPr>
                <w:noProof/>
                <w:webHidden/>
              </w:rPr>
              <w:fldChar w:fldCharType="begin"/>
            </w:r>
            <w:r w:rsidR="00237DE7">
              <w:rPr>
                <w:noProof/>
                <w:webHidden/>
              </w:rPr>
              <w:instrText xml:space="preserve"> PAGEREF _Toc31096828 \h </w:instrText>
            </w:r>
            <w:r w:rsidR="00237DE7">
              <w:rPr>
                <w:noProof/>
                <w:webHidden/>
              </w:rPr>
            </w:r>
            <w:r w:rsidR="00237DE7">
              <w:rPr>
                <w:noProof/>
                <w:webHidden/>
              </w:rPr>
              <w:fldChar w:fldCharType="separate"/>
            </w:r>
            <w:r w:rsidR="00237DE7">
              <w:rPr>
                <w:noProof/>
                <w:webHidden/>
              </w:rPr>
              <w:t>15</w:t>
            </w:r>
            <w:r w:rsidR="00237DE7">
              <w:rPr>
                <w:noProof/>
                <w:webHidden/>
              </w:rPr>
              <w:fldChar w:fldCharType="end"/>
            </w:r>
          </w:hyperlink>
        </w:p>
        <w:p w:rsidR="00237DE7" w:rsidRDefault="0091754D" w14:paraId="6F6B07FC" w14:textId="381BF61C">
          <w:pPr>
            <w:pStyle w:val="TOC1"/>
            <w:tabs>
              <w:tab w:val="left" w:pos="660"/>
              <w:tab w:val="right" w:leader="dot" w:pos="9638"/>
            </w:tabs>
            <w:rPr>
              <w:noProof/>
            </w:rPr>
          </w:pPr>
          <w:hyperlink w:history="1" w:anchor="_Toc31096829">
            <w:r w:rsidRPr="00081E3A" w:rsidR="00237DE7">
              <w:rPr>
                <w:rStyle w:val="Hyperlink"/>
                <w:b/>
                <w:noProof/>
              </w:rPr>
              <w:t>A.11</w:t>
            </w:r>
            <w:r w:rsidR="00237DE7">
              <w:rPr>
                <w:noProof/>
              </w:rPr>
              <w:tab/>
            </w:r>
            <w:r w:rsidRPr="00081E3A" w:rsidR="00237DE7">
              <w:rPr>
                <w:rStyle w:val="Hyperlink"/>
                <w:b/>
                <w:noProof/>
              </w:rPr>
              <w:t>Justification for Sensitive Questions</w:t>
            </w:r>
            <w:r w:rsidR="00237DE7">
              <w:rPr>
                <w:noProof/>
                <w:webHidden/>
              </w:rPr>
              <w:tab/>
            </w:r>
            <w:r w:rsidR="00237DE7">
              <w:rPr>
                <w:noProof/>
                <w:webHidden/>
              </w:rPr>
              <w:fldChar w:fldCharType="begin"/>
            </w:r>
            <w:r w:rsidR="00237DE7">
              <w:rPr>
                <w:noProof/>
                <w:webHidden/>
              </w:rPr>
              <w:instrText xml:space="preserve"> PAGEREF _Toc31096829 \h </w:instrText>
            </w:r>
            <w:r w:rsidR="00237DE7">
              <w:rPr>
                <w:noProof/>
                <w:webHidden/>
              </w:rPr>
            </w:r>
            <w:r w:rsidR="00237DE7">
              <w:rPr>
                <w:noProof/>
                <w:webHidden/>
              </w:rPr>
              <w:fldChar w:fldCharType="separate"/>
            </w:r>
            <w:r w:rsidR="00237DE7">
              <w:rPr>
                <w:noProof/>
                <w:webHidden/>
              </w:rPr>
              <w:t>16</w:t>
            </w:r>
            <w:r w:rsidR="00237DE7">
              <w:rPr>
                <w:noProof/>
                <w:webHidden/>
              </w:rPr>
              <w:fldChar w:fldCharType="end"/>
            </w:r>
          </w:hyperlink>
        </w:p>
        <w:p w:rsidR="00237DE7" w:rsidRDefault="0091754D" w14:paraId="781E3DF6" w14:textId="4D9380D4">
          <w:pPr>
            <w:pStyle w:val="TOC1"/>
            <w:tabs>
              <w:tab w:val="left" w:pos="880"/>
              <w:tab w:val="right" w:leader="dot" w:pos="9638"/>
            </w:tabs>
            <w:rPr>
              <w:noProof/>
            </w:rPr>
          </w:pPr>
          <w:hyperlink w:history="1" w:anchor="_Toc31096830">
            <w:r w:rsidRPr="00081E3A" w:rsidR="00237DE7">
              <w:rPr>
                <w:rStyle w:val="Hyperlink"/>
                <w:rFonts w:cstheme="minorHAnsi"/>
                <w:b/>
                <w:noProof/>
              </w:rPr>
              <w:t>A.12.1</w:t>
            </w:r>
            <w:r w:rsidR="00237DE7">
              <w:rPr>
                <w:noProof/>
              </w:rPr>
              <w:tab/>
            </w:r>
            <w:r w:rsidRPr="00081E3A" w:rsidR="00237DE7">
              <w:rPr>
                <w:rStyle w:val="Hyperlink"/>
                <w:rFonts w:cstheme="minorHAnsi"/>
                <w:b/>
                <w:noProof/>
              </w:rPr>
              <w:t>Estimates of Hour Burden Including Annualized Hourly Costs</w:t>
            </w:r>
            <w:r w:rsidR="00237DE7">
              <w:rPr>
                <w:noProof/>
                <w:webHidden/>
              </w:rPr>
              <w:tab/>
            </w:r>
            <w:r w:rsidR="00237DE7">
              <w:rPr>
                <w:noProof/>
                <w:webHidden/>
              </w:rPr>
              <w:fldChar w:fldCharType="begin"/>
            </w:r>
            <w:r w:rsidR="00237DE7">
              <w:rPr>
                <w:noProof/>
                <w:webHidden/>
              </w:rPr>
              <w:instrText xml:space="preserve"> PAGEREF _Toc31096830 \h </w:instrText>
            </w:r>
            <w:r w:rsidR="00237DE7">
              <w:rPr>
                <w:noProof/>
                <w:webHidden/>
              </w:rPr>
            </w:r>
            <w:r w:rsidR="00237DE7">
              <w:rPr>
                <w:noProof/>
                <w:webHidden/>
              </w:rPr>
              <w:fldChar w:fldCharType="separate"/>
            </w:r>
            <w:r w:rsidR="00237DE7">
              <w:rPr>
                <w:noProof/>
                <w:webHidden/>
              </w:rPr>
              <w:t>17</w:t>
            </w:r>
            <w:r w:rsidR="00237DE7">
              <w:rPr>
                <w:noProof/>
                <w:webHidden/>
              </w:rPr>
              <w:fldChar w:fldCharType="end"/>
            </w:r>
          </w:hyperlink>
        </w:p>
        <w:p w:rsidR="00237DE7" w:rsidRDefault="0091754D" w14:paraId="3B3C0A77" w14:textId="22271266">
          <w:pPr>
            <w:pStyle w:val="TOC2"/>
            <w:tabs>
              <w:tab w:val="right" w:leader="dot" w:pos="9638"/>
            </w:tabs>
            <w:rPr>
              <w:noProof/>
            </w:rPr>
          </w:pPr>
          <w:hyperlink w:history="1" w:anchor="_Toc31096831">
            <w:r w:rsidRPr="00081E3A" w:rsidR="00237DE7">
              <w:rPr>
                <w:rStyle w:val="Hyperlink"/>
                <w:rFonts w:cstheme="minorHAnsi"/>
                <w:b/>
                <w:noProof/>
              </w:rPr>
              <w:t>A.12.1 Estimates of Hours Burden</w:t>
            </w:r>
            <w:r w:rsidR="00237DE7">
              <w:rPr>
                <w:noProof/>
                <w:webHidden/>
              </w:rPr>
              <w:tab/>
            </w:r>
            <w:r w:rsidR="00237DE7">
              <w:rPr>
                <w:noProof/>
                <w:webHidden/>
              </w:rPr>
              <w:fldChar w:fldCharType="begin"/>
            </w:r>
            <w:r w:rsidR="00237DE7">
              <w:rPr>
                <w:noProof/>
                <w:webHidden/>
              </w:rPr>
              <w:instrText xml:space="preserve"> PAGEREF _Toc31096831 \h </w:instrText>
            </w:r>
            <w:r w:rsidR="00237DE7">
              <w:rPr>
                <w:noProof/>
                <w:webHidden/>
              </w:rPr>
            </w:r>
            <w:r w:rsidR="00237DE7">
              <w:rPr>
                <w:noProof/>
                <w:webHidden/>
              </w:rPr>
              <w:fldChar w:fldCharType="separate"/>
            </w:r>
            <w:r w:rsidR="00237DE7">
              <w:rPr>
                <w:noProof/>
                <w:webHidden/>
              </w:rPr>
              <w:t>17</w:t>
            </w:r>
            <w:r w:rsidR="00237DE7">
              <w:rPr>
                <w:noProof/>
                <w:webHidden/>
              </w:rPr>
              <w:fldChar w:fldCharType="end"/>
            </w:r>
          </w:hyperlink>
        </w:p>
        <w:p w:rsidR="00237DE7" w:rsidRDefault="0091754D" w14:paraId="096A5A11" w14:textId="3D9F3537">
          <w:pPr>
            <w:pStyle w:val="TOC2"/>
            <w:tabs>
              <w:tab w:val="right" w:leader="dot" w:pos="9638"/>
            </w:tabs>
            <w:rPr>
              <w:noProof/>
            </w:rPr>
          </w:pPr>
          <w:hyperlink w:history="1" w:anchor="_Toc31096832">
            <w:r w:rsidRPr="00081E3A" w:rsidR="00237DE7">
              <w:rPr>
                <w:rStyle w:val="Hyperlink"/>
                <w:rFonts w:cstheme="minorHAnsi"/>
                <w:b/>
                <w:noProof/>
              </w:rPr>
              <w:t>A.12.2 Annualized Cost to Respondents</w:t>
            </w:r>
            <w:r w:rsidR="00237DE7">
              <w:rPr>
                <w:noProof/>
                <w:webHidden/>
              </w:rPr>
              <w:tab/>
            </w:r>
            <w:r w:rsidR="00237DE7">
              <w:rPr>
                <w:noProof/>
                <w:webHidden/>
              </w:rPr>
              <w:fldChar w:fldCharType="begin"/>
            </w:r>
            <w:r w:rsidR="00237DE7">
              <w:rPr>
                <w:noProof/>
                <w:webHidden/>
              </w:rPr>
              <w:instrText xml:space="preserve"> PAGEREF _Toc31096832 \h </w:instrText>
            </w:r>
            <w:r w:rsidR="00237DE7">
              <w:rPr>
                <w:noProof/>
                <w:webHidden/>
              </w:rPr>
            </w:r>
            <w:r w:rsidR="00237DE7">
              <w:rPr>
                <w:noProof/>
                <w:webHidden/>
              </w:rPr>
              <w:fldChar w:fldCharType="separate"/>
            </w:r>
            <w:r w:rsidR="00237DE7">
              <w:rPr>
                <w:noProof/>
                <w:webHidden/>
              </w:rPr>
              <w:t>20</w:t>
            </w:r>
            <w:r w:rsidR="00237DE7">
              <w:rPr>
                <w:noProof/>
                <w:webHidden/>
              </w:rPr>
              <w:fldChar w:fldCharType="end"/>
            </w:r>
          </w:hyperlink>
        </w:p>
        <w:p w:rsidR="00237DE7" w:rsidRDefault="0091754D" w14:paraId="500DE1B1" w14:textId="116D2405">
          <w:pPr>
            <w:pStyle w:val="TOC1"/>
            <w:tabs>
              <w:tab w:val="left" w:pos="660"/>
              <w:tab w:val="right" w:leader="dot" w:pos="9638"/>
            </w:tabs>
            <w:rPr>
              <w:noProof/>
            </w:rPr>
          </w:pPr>
          <w:hyperlink w:history="1" w:anchor="_Toc31096833">
            <w:r w:rsidRPr="00081E3A" w:rsidR="00237DE7">
              <w:rPr>
                <w:rStyle w:val="Hyperlink"/>
                <w:rFonts w:cstheme="minorHAnsi"/>
                <w:b/>
                <w:noProof/>
              </w:rPr>
              <w:t>A.13</w:t>
            </w:r>
            <w:r w:rsidR="00237DE7">
              <w:rPr>
                <w:noProof/>
              </w:rPr>
              <w:tab/>
            </w:r>
            <w:r w:rsidRPr="00081E3A" w:rsidR="00237DE7">
              <w:rPr>
                <w:rStyle w:val="Hyperlink"/>
                <w:rFonts w:cstheme="minorHAnsi"/>
                <w:b/>
                <w:noProof/>
              </w:rPr>
              <w:t>Estimate of Other Total Annual Cost Burden to Respondents or Record Keepers</w:t>
            </w:r>
            <w:r w:rsidR="00237DE7">
              <w:rPr>
                <w:noProof/>
                <w:webHidden/>
              </w:rPr>
              <w:tab/>
            </w:r>
            <w:r w:rsidR="00237DE7">
              <w:rPr>
                <w:noProof/>
                <w:webHidden/>
              </w:rPr>
              <w:fldChar w:fldCharType="begin"/>
            </w:r>
            <w:r w:rsidR="00237DE7">
              <w:rPr>
                <w:noProof/>
                <w:webHidden/>
              </w:rPr>
              <w:instrText xml:space="preserve"> PAGEREF _Toc31096833 \h </w:instrText>
            </w:r>
            <w:r w:rsidR="00237DE7">
              <w:rPr>
                <w:noProof/>
                <w:webHidden/>
              </w:rPr>
            </w:r>
            <w:r w:rsidR="00237DE7">
              <w:rPr>
                <w:noProof/>
                <w:webHidden/>
              </w:rPr>
              <w:fldChar w:fldCharType="separate"/>
            </w:r>
            <w:r w:rsidR="00237DE7">
              <w:rPr>
                <w:noProof/>
                <w:webHidden/>
              </w:rPr>
              <w:t>21</w:t>
            </w:r>
            <w:r w:rsidR="00237DE7">
              <w:rPr>
                <w:noProof/>
                <w:webHidden/>
              </w:rPr>
              <w:fldChar w:fldCharType="end"/>
            </w:r>
          </w:hyperlink>
        </w:p>
        <w:p w:rsidR="00237DE7" w:rsidRDefault="0091754D" w14:paraId="3F9820E3" w14:textId="640C00B3">
          <w:pPr>
            <w:pStyle w:val="TOC1"/>
            <w:tabs>
              <w:tab w:val="left" w:pos="660"/>
              <w:tab w:val="right" w:leader="dot" w:pos="9638"/>
            </w:tabs>
            <w:rPr>
              <w:noProof/>
            </w:rPr>
          </w:pPr>
          <w:hyperlink w:history="1" w:anchor="_Toc31096834">
            <w:r w:rsidRPr="00081E3A" w:rsidR="00237DE7">
              <w:rPr>
                <w:rStyle w:val="Hyperlink"/>
                <w:b/>
                <w:noProof/>
              </w:rPr>
              <w:t>A.14</w:t>
            </w:r>
            <w:r w:rsidR="00237DE7">
              <w:rPr>
                <w:noProof/>
              </w:rPr>
              <w:tab/>
            </w:r>
            <w:r w:rsidRPr="00081E3A" w:rsidR="00237DE7">
              <w:rPr>
                <w:rStyle w:val="Hyperlink"/>
                <w:b/>
                <w:noProof/>
              </w:rPr>
              <w:t>Annualized Cost to the Federal Government</w:t>
            </w:r>
            <w:r w:rsidR="00237DE7">
              <w:rPr>
                <w:noProof/>
                <w:webHidden/>
              </w:rPr>
              <w:tab/>
            </w:r>
            <w:r w:rsidR="00237DE7">
              <w:rPr>
                <w:noProof/>
                <w:webHidden/>
              </w:rPr>
              <w:fldChar w:fldCharType="begin"/>
            </w:r>
            <w:r w:rsidR="00237DE7">
              <w:rPr>
                <w:noProof/>
                <w:webHidden/>
              </w:rPr>
              <w:instrText xml:space="preserve"> PAGEREF _Toc31096834 \h </w:instrText>
            </w:r>
            <w:r w:rsidR="00237DE7">
              <w:rPr>
                <w:noProof/>
                <w:webHidden/>
              </w:rPr>
            </w:r>
            <w:r w:rsidR="00237DE7">
              <w:rPr>
                <w:noProof/>
                <w:webHidden/>
              </w:rPr>
              <w:fldChar w:fldCharType="separate"/>
            </w:r>
            <w:r w:rsidR="00237DE7">
              <w:rPr>
                <w:noProof/>
                <w:webHidden/>
              </w:rPr>
              <w:t>21</w:t>
            </w:r>
            <w:r w:rsidR="00237DE7">
              <w:rPr>
                <w:noProof/>
                <w:webHidden/>
              </w:rPr>
              <w:fldChar w:fldCharType="end"/>
            </w:r>
          </w:hyperlink>
        </w:p>
        <w:p w:rsidR="00237DE7" w:rsidRDefault="0091754D" w14:paraId="4A327949" w14:textId="2F7C9F2D">
          <w:pPr>
            <w:pStyle w:val="TOC1"/>
            <w:tabs>
              <w:tab w:val="left" w:pos="660"/>
              <w:tab w:val="right" w:leader="dot" w:pos="9638"/>
            </w:tabs>
            <w:rPr>
              <w:noProof/>
            </w:rPr>
          </w:pPr>
          <w:hyperlink w:history="1" w:anchor="_Toc31096835">
            <w:r w:rsidRPr="00081E3A" w:rsidR="00237DE7">
              <w:rPr>
                <w:rStyle w:val="Hyperlink"/>
                <w:rFonts w:cstheme="minorHAnsi"/>
                <w:b/>
                <w:noProof/>
              </w:rPr>
              <w:t>A.15</w:t>
            </w:r>
            <w:r w:rsidR="00237DE7">
              <w:rPr>
                <w:noProof/>
              </w:rPr>
              <w:tab/>
            </w:r>
            <w:r w:rsidRPr="00081E3A" w:rsidR="00237DE7">
              <w:rPr>
                <w:rStyle w:val="Hyperlink"/>
                <w:rFonts w:cstheme="minorHAnsi"/>
                <w:b/>
                <w:noProof/>
              </w:rPr>
              <w:t>Explanation for Program Changes or Adjustments</w:t>
            </w:r>
            <w:r w:rsidR="00237DE7">
              <w:rPr>
                <w:noProof/>
                <w:webHidden/>
              </w:rPr>
              <w:tab/>
            </w:r>
            <w:r w:rsidR="00237DE7">
              <w:rPr>
                <w:noProof/>
                <w:webHidden/>
              </w:rPr>
              <w:fldChar w:fldCharType="begin"/>
            </w:r>
            <w:r w:rsidR="00237DE7">
              <w:rPr>
                <w:noProof/>
                <w:webHidden/>
              </w:rPr>
              <w:instrText xml:space="preserve"> PAGEREF _Toc31096835 \h </w:instrText>
            </w:r>
            <w:r w:rsidR="00237DE7">
              <w:rPr>
                <w:noProof/>
                <w:webHidden/>
              </w:rPr>
            </w:r>
            <w:r w:rsidR="00237DE7">
              <w:rPr>
                <w:noProof/>
                <w:webHidden/>
              </w:rPr>
              <w:fldChar w:fldCharType="separate"/>
            </w:r>
            <w:r w:rsidR="00237DE7">
              <w:rPr>
                <w:noProof/>
                <w:webHidden/>
              </w:rPr>
              <w:t>22</w:t>
            </w:r>
            <w:r w:rsidR="00237DE7">
              <w:rPr>
                <w:noProof/>
                <w:webHidden/>
              </w:rPr>
              <w:fldChar w:fldCharType="end"/>
            </w:r>
          </w:hyperlink>
        </w:p>
        <w:p w:rsidR="00237DE7" w:rsidRDefault="0091754D" w14:paraId="0D63B0AD" w14:textId="404E0BE9">
          <w:pPr>
            <w:pStyle w:val="TOC1"/>
            <w:tabs>
              <w:tab w:val="left" w:pos="660"/>
              <w:tab w:val="right" w:leader="dot" w:pos="9638"/>
            </w:tabs>
            <w:rPr>
              <w:noProof/>
            </w:rPr>
          </w:pPr>
          <w:hyperlink w:history="1" w:anchor="_Toc31096836">
            <w:r w:rsidRPr="00081E3A" w:rsidR="00237DE7">
              <w:rPr>
                <w:rStyle w:val="Hyperlink"/>
                <w:b/>
                <w:noProof/>
              </w:rPr>
              <w:t>A.16</w:t>
            </w:r>
            <w:r w:rsidR="00237DE7">
              <w:rPr>
                <w:noProof/>
              </w:rPr>
              <w:tab/>
            </w:r>
            <w:r w:rsidRPr="00081E3A" w:rsidR="00237DE7">
              <w:rPr>
                <w:rStyle w:val="Hyperlink"/>
                <w:b/>
                <w:noProof/>
              </w:rPr>
              <w:t>Plans for Tabulation and Publication and Project Time Schedule</w:t>
            </w:r>
            <w:r w:rsidR="00237DE7">
              <w:rPr>
                <w:noProof/>
                <w:webHidden/>
              </w:rPr>
              <w:tab/>
            </w:r>
            <w:r w:rsidR="00237DE7">
              <w:rPr>
                <w:noProof/>
                <w:webHidden/>
              </w:rPr>
              <w:fldChar w:fldCharType="begin"/>
            </w:r>
            <w:r w:rsidR="00237DE7">
              <w:rPr>
                <w:noProof/>
                <w:webHidden/>
              </w:rPr>
              <w:instrText xml:space="preserve"> PAGEREF _Toc31096836 \h </w:instrText>
            </w:r>
            <w:r w:rsidR="00237DE7">
              <w:rPr>
                <w:noProof/>
                <w:webHidden/>
              </w:rPr>
            </w:r>
            <w:r w:rsidR="00237DE7">
              <w:rPr>
                <w:noProof/>
                <w:webHidden/>
              </w:rPr>
              <w:fldChar w:fldCharType="separate"/>
            </w:r>
            <w:r w:rsidR="00237DE7">
              <w:rPr>
                <w:noProof/>
                <w:webHidden/>
              </w:rPr>
              <w:t>24</w:t>
            </w:r>
            <w:r w:rsidR="00237DE7">
              <w:rPr>
                <w:noProof/>
                <w:webHidden/>
              </w:rPr>
              <w:fldChar w:fldCharType="end"/>
            </w:r>
          </w:hyperlink>
        </w:p>
        <w:p w:rsidR="00237DE7" w:rsidRDefault="0091754D" w14:paraId="447D9771" w14:textId="71194057">
          <w:pPr>
            <w:pStyle w:val="TOC1"/>
            <w:tabs>
              <w:tab w:val="left" w:pos="660"/>
              <w:tab w:val="right" w:leader="dot" w:pos="9638"/>
            </w:tabs>
            <w:rPr>
              <w:noProof/>
            </w:rPr>
          </w:pPr>
          <w:hyperlink w:history="1" w:anchor="_Toc31096837">
            <w:r w:rsidRPr="00081E3A" w:rsidR="00237DE7">
              <w:rPr>
                <w:rStyle w:val="Hyperlink"/>
                <w:rFonts w:cstheme="minorHAnsi"/>
                <w:b/>
                <w:noProof/>
              </w:rPr>
              <w:t>A.17</w:t>
            </w:r>
            <w:r w:rsidR="00237DE7">
              <w:rPr>
                <w:noProof/>
              </w:rPr>
              <w:tab/>
            </w:r>
            <w:r w:rsidRPr="00081E3A" w:rsidR="00237DE7">
              <w:rPr>
                <w:rStyle w:val="Hyperlink"/>
                <w:rFonts w:cstheme="minorHAnsi"/>
                <w:b/>
                <w:noProof/>
              </w:rPr>
              <w:t>Reason(s) Display of OMB Expiration Date is Inappropriate</w:t>
            </w:r>
            <w:r w:rsidR="00237DE7">
              <w:rPr>
                <w:noProof/>
                <w:webHidden/>
              </w:rPr>
              <w:tab/>
            </w:r>
            <w:r w:rsidR="00237DE7">
              <w:rPr>
                <w:noProof/>
                <w:webHidden/>
              </w:rPr>
              <w:fldChar w:fldCharType="begin"/>
            </w:r>
            <w:r w:rsidR="00237DE7">
              <w:rPr>
                <w:noProof/>
                <w:webHidden/>
              </w:rPr>
              <w:instrText xml:space="preserve"> PAGEREF _Toc31096837 \h </w:instrText>
            </w:r>
            <w:r w:rsidR="00237DE7">
              <w:rPr>
                <w:noProof/>
                <w:webHidden/>
              </w:rPr>
            </w:r>
            <w:r w:rsidR="00237DE7">
              <w:rPr>
                <w:noProof/>
                <w:webHidden/>
              </w:rPr>
              <w:fldChar w:fldCharType="separate"/>
            </w:r>
            <w:r w:rsidR="00237DE7">
              <w:rPr>
                <w:noProof/>
                <w:webHidden/>
              </w:rPr>
              <w:t>25</w:t>
            </w:r>
            <w:r w:rsidR="00237DE7">
              <w:rPr>
                <w:noProof/>
                <w:webHidden/>
              </w:rPr>
              <w:fldChar w:fldCharType="end"/>
            </w:r>
          </w:hyperlink>
        </w:p>
        <w:p w:rsidR="00237DE7" w:rsidRDefault="0091754D" w14:paraId="2127A58A" w14:textId="3DB70148">
          <w:pPr>
            <w:pStyle w:val="TOC1"/>
            <w:tabs>
              <w:tab w:val="left" w:pos="660"/>
              <w:tab w:val="right" w:leader="dot" w:pos="9638"/>
            </w:tabs>
            <w:rPr>
              <w:noProof/>
            </w:rPr>
          </w:pPr>
          <w:hyperlink w:history="1" w:anchor="_Toc31096838">
            <w:r w:rsidRPr="00081E3A" w:rsidR="00237DE7">
              <w:rPr>
                <w:rStyle w:val="Hyperlink"/>
                <w:rFonts w:cstheme="minorHAnsi"/>
                <w:b/>
                <w:noProof/>
              </w:rPr>
              <w:t>A.18</w:t>
            </w:r>
            <w:r w:rsidR="00237DE7">
              <w:rPr>
                <w:noProof/>
              </w:rPr>
              <w:tab/>
            </w:r>
            <w:r w:rsidRPr="00081E3A" w:rsidR="00237DE7">
              <w:rPr>
                <w:rStyle w:val="Hyperlink"/>
                <w:rFonts w:cstheme="minorHAnsi"/>
                <w:b/>
                <w:noProof/>
              </w:rPr>
              <w:t>Exceptions to Certification for Paperwork Reduction Act Submissions</w:t>
            </w:r>
            <w:r w:rsidR="00237DE7">
              <w:rPr>
                <w:noProof/>
                <w:webHidden/>
              </w:rPr>
              <w:tab/>
            </w:r>
            <w:r w:rsidR="00237DE7">
              <w:rPr>
                <w:noProof/>
                <w:webHidden/>
              </w:rPr>
              <w:fldChar w:fldCharType="begin"/>
            </w:r>
            <w:r w:rsidR="00237DE7">
              <w:rPr>
                <w:noProof/>
                <w:webHidden/>
              </w:rPr>
              <w:instrText xml:space="preserve"> PAGEREF _Toc31096838 \h </w:instrText>
            </w:r>
            <w:r w:rsidR="00237DE7">
              <w:rPr>
                <w:noProof/>
                <w:webHidden/>
              </w:rPr>
            </w:r>
            <w:r w:rsidR="00237DE7">
              <w:rPr>
                <w:noProof/>
                <w:webHidden/>
              </w:rPr>
              <w:fldChar w:fldCharType="separate"/>
            </w:r>
            <w:r w:rsidR="00237DE7">
              <w:rPr>
                <w:noProof/>
                <w:webHidden/>
              </w:rPr>
              <w:t>25</w:t>
            </w:r>
            <w:r w:rsidR="00237DE7">
              <w:rPr>
                <w:noProof/>
                <w:webHidden/>
              </w:rPr>
              <w:fldChar w:fldCharType="end"/>
            </w:r>
          </w:hyperlink>
        </w:p>
        <w:p w:rsidRPr="00501C05" w:rsidR="00D51C1D" w:rsidP="00D51C1D" w:rsidRDefault="00F116EE" w14:paraId="4E399458" w14:textId="0D58D2B2">
          <w:pPr>
            <w:pStyle w:val="P1-StandPara"/>
            <w:tabs>
              <w:tab w:val="left" w:pos="720"/>
              <w:tab w:val="right" w:leader="dot" w:pos="9504"/>
            </w:tabs>
            <w:spacing w:line="240" w:lineRule="auto"/>
            <w:ind w:firstLine="0"/>
            <w:rPr>
              <w:rFonts w:asciiTheme="minorHAnsi" w:hAnsiTheme="minorHAnsi"/>
              <w:b/>
              <w:szCs w:val="22"/>
            </w:rPr>
          </w:pPr>
          <w:r>
            <w:rPr>
              <w:b/>
              <w:bCs/>
              <w:noProof/>
            </w:rPr>
            <w:fldChar w:fldCharType="end"/>
          </w:r>
          <w:r w:rsidRPr="00D51C1D" w:rsidR="00D51C1D">
            <w:rPr>
              <w:rFonts w:asciiTheme="minorHAnsi" w:hAnsiTheme="minorHAnsi"/>
              <w:b/>
              <w:szCs w:val="22"/>
            </w:rPr>
            <w:t xml:space="preserve"> </w:t>
          </w:r>
          <w:r w:rsidR="00D51C1D">
            <w:rPr>
              <w:rFonts w:asciiTheme="minorHAnsi" w:hAnsiTheme="minorHAnsi"/>
              <w:b/>
              <w:szCs w:val="22"/>
            </w:rPr>
            <w:t>Attachments</w:t>
          </w:r>
        </w:p>
        <w:p w:rsidR="00F116EE" w:rsidRDefault="0091754D" w14:paraId="64014309" w14:textId="7624EEFB"/>
      </w:sdtContent>
    </w:sdt>
    <w:p w:rsidR="00501C05" w:rsidP="00C050E8" w:rsidRDefault="00501C05" w14:paraId="3F506008" w14:textId="77777777">
      <w:pPr>
        <w:pStyle w:val="P1-StandPara"/>
        <w:tabs>
          <w:tab w:val="left" w:pos="720"/>
          <w:tab w:val="right" w:leader="dot" w:pos="9504"/>
        </w:tabs>
        <w:spacing w:line="240" w:lineRule="auto"/>
        <w:rPr>
          <w:rFonts w:asciiTheme="minorHAnsi" w:hAnsiTheme="minorHAnsi"/>
          <w:szCs w:val="22"/>
        </w:rPr>
      </w:pPr>
    </w:p>
    <w:p w:rsidR="00501C05" w:rsidP="007F34C9" w:rsidRDefault="00501C05" w14:paraId="53F7AAED" w14:textId="77777777">
      <w:pPr>
        <w:pStyle w:val="P1-StandPara"/>
        <w:tabs>
          <w:tab w:val="left" w:pos="720"/>
          <w:tab w:val="right" w:leader="dot" w:pos="9504"/>
        </w:tabs>
        <w:spacing w:line="240" w:lineRule="auto"/>
        <w:ind w:firstLine="0"/>
        <w:rPr>
          <w:rFonts w:asciiTheme="minorHAnsi" w:hAnsiTheme="minorHAnsi"/>
          <w:szCs w:val="22"/>
        </w:rPr>
      </w:pPr>
    </w:p>
    <w:p w:rsidR="00376FBD" w:rsidRDefault="00376FBD" w14:paraId="2002A3AB" w14:textId="2972408A">
      <w:r>
        <w:br w:type="page"/>
      </w:r>
    </w:p>
    <w:p w:rsidRPr="00560617" w:rsidR="00560617" w:rsidP="002F2D2E" w:rsidRDefault="00560617" w14:paraId="4165DD86" w14:textId="4FB56072">
      <w:pPr>
        <w:pStyle w:val="P1-StandPara"/>
        <w:tabs>
          <w:tab w:val="left" w:pos="720"/>
          <w:tab w:val="right" w:leader="dot" w:pos="9504"/>
        </w:tabs>
        <w:spacing w:line="240" w:lineRule="auto"/>
        <w:rPr>
          <w:rFonts w:asciiTheme="minorHAnsi" w:hAnsiTheme="minorHAnsi"/>
          <w:b/>
          <w:szCs w:val="22"/>
        </w:rPr>
      </w:pPr>
      <w:r>
        <w:rPr>
          <w:rFonts w:asciiTheme="minorHAnsi" w:hAnsiTheme="minorHAnsi"/>
          <w:b/>
          <w:szCs w:val="22"/>
        </w:rPr>
        <w:lastRenderedPageBreak/>
        <w:t>ATTACHMENTS</w:t>
      </w:r>
    </w:p>
    <w:p w:rsidR="00560617" w:rsidP="002F2D2E" w:rsidRDefault="00560617" w14:paraId="4AB3F943" w14:textId="77777777">
      <w:pPr>
        <w:pStyle w:val="P1-StandPara"/>
        <w:tabs>
          <w:tab w:val="left" w:pos="720"/>
          <w:tab w:val="right" w:leader="dot" w:pos="9504"/>
        </w:tabs>
        <w:spacing w:line="240" w:lineRule="auto"/>
        <w:rPr>
          <w:rFonts w:asciiTheme="minorHAnsi" w:hAnsiTheme="minorHAnsi"/>
          <w:szCs w:val="22"/>
        </w:rPr>
      </w:pPr>
    </w:p>
    <w:p w:rsidRPr="00C050E8" w:rsidR="00D51C1D" w:rsidP="002F2D2E" w:rsidRDefault="00D51C1D" w14:paraId="156ED986" w14:textId="7BF03F29">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Attachment 1:  RFA-RM-13-016 (Building Infrastructure Leading to Diversity (BUILD))</w:t>
      </w:r>
    </w:p>
    <w:p w:rsidRPr="00C050E8" w:rsidR="00D51C1D" w:rsidP="002F2D2E" w:rsidRDefault="00D51C1D" w14:paraId="589BA40C" w14:textId="47CF3331">
      <w:pPr>
        <w:pStyle w:val="P1-StandPara"/>
        <w:tabs>
          <w:tab w:val="left" w:pos="720"/>
          <w:tab w:val="right" w:leader="dot" w:pos="9504"/>
        </w:tabs>
        <w:spacing w:line="240" w:lineRule="auto"/>
        <w:ind w:left="1170" w:hanging="450"/>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2</w:t>
      </w:r>
      <w:r w:rsidRPr="00C050E8">
        <w:rPr>
          <w:rFonts w:asciiTheme="minorHAnsi" w:hAnsiTheme="minorHAnsi"/>
          <w:szCs w:val="22"/>
        </w:rPr>
        <w:t>: RFA-RM-18-006 (Building Infrastructure Leading to Diversity (BUILD) Initiative)</w:t>
      </w:r>
    </w:p>
    <w:p w:rsidRPr="00C050E8" w:rsidR="00D51C1D" w:rsidP="002F2D2E" w:rsidRDefault="00D51C1D" w14:paraId="65F14D4E" w14:textId="72EBCB5E">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3</w:t>
      </w:r>
      <w:r w:rsidRPr="00C050E8">
        <w:rPr>
          <w:rFonts w:asciiTheme="minorHAnsi" w:hAnsiTheme="minorHAnsi"/>
          <w:szCs w:val="22"/>
        </w:rPr>
        <w:t>:  RFA-RM-13-017 (National Research Mentoring Network (NRMN))</w:t>
      </w:r>
    </w:p>
    <w:p w:rsidRPr="00C050E8" w:rsidR="00D51C1D" w:rsidP="002F2D2E" w:rsidRDefault="00D51C1D" w14:paraId="752F8738" w14:textId="5AE5DCEB">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4</w:t>
      </w:r>
      <w:r w:rsidRPr="00C050E8">
        <w:rPr>
          <w:rFonts w:asciiTheme="minorHAnsi" w:hAnsiTheme="minorHAnsi"/>
          <w:szCs w:val="22"/>
        </w:rPr>
        <w:t>: RFA-RM-13-015 (Coordination &amp; Evaluation Center)</w:t>
      </w:r>
    </w:p>
    <w:p w:rsidRPr="00C050E8" w:rsidR="00D51C1D" w:rsidP="002F2D2E" w:rsidRDefault="00D51C1D" w14:paraId="3B636009" w14:textId="54BA497E">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5</w:t>
      </w:r>
      <w:r w:rsidRPr="00C050E8">
        <w:rPr>
          <w:rFonts w:asciiTheme="minorHAnsi" w:hAnsiTheme="minorHAnsi"/>
          <w:szCs w:val="22"/>
        </w:rPr>
        <w:t>: RFA-RM-18-005 (Coordination &amp; Evaluation Center Phase II)</w:t>
      </w:r>
    </w:p>
    <w:p w:rsidRPr="00C050E8" w:rsidR="00D51C1D" w:rsidP="002F2D2E" w:rsidRDefault="00D51C1D" w14:paraId="6E681A4D" w14:textId="3483AB72">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6</w:t>
      </w:r>
      <w:r w:rsidRPr="00C050E8">
        <w:rPr>
          <w:rFonts w:asciiTheme="minorHAnsi" w:hAnsiTheme="minorHAnsi"/>
          <w:szCs w:val="22"/>
        </w:rPr>
        <w:t xml:space="preserve">: Hallmarks of Success </w:t>
      </w:r>
    </w:p>
    <w:p w:rsidRPr="00C050E8" w:rsidR="00D51C1D" w:rsidP="002F2D2E" w:rsidRDefault="00D51C1D" w14:paraId="2AC5DE6E" w14:textId="688FCDA2">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7</w:t>
      </w:r>
      <w:r w:rsidRPr="00C050E8">
        <w:rPr>
          <w:rFonts w:asciiTheme="minorHAnsi" w:hAnsiTheme="minorHAnsi"/>
          <w:szCs w:val="22"/>
        </w:rPr>
        <w:t>: Mapping Hallmarks to Data Sources</w:t>
      </w:r>
    </w:p>
    <w:p w:rsidRPr="00C050E8" w:rsidR="00D51C1D" w:rsidP="002F2D2E" w:rsidRDefault="00D51C1D" w14:paraId="03F2EF84" w14:textId="651A9DA3">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8</w:t>
      </w:r>
      <w:r w:rsidRPr="00C050E8">
        <w:rPr>
          <w:rFonts w:asciiTheme="minorHAnsi" w:hAnsiTheme="minorHAnsi"/>
          <w:szCs w:val="22"/>
        </w:rPr>
        <w:t xml:space="preserve">: </w:t>
      </w:r>
      <w:r w:rsidR="00C2428A">
        <w:rPr>
          <w:rFonts w:asciiTheme="minorHAnsi" w:hAnsiTheme="minorHAnsi"/>
          <w:szCs w:val="22"/>
        </w:rPr>
        <w:t>Priority</w:t>
      </w:r>
      <w:r w:rsidRPr="00C050E8">
        <w:rPr>
          <w:rFonts w:asciiTheme="minorHAnsi" w:hAnsiTheme="minorHAnsi"/>
          <w:szCs w:val="22"/>
        </w:rPr>
        <w:t xml:space="preserve"> </w:t>
      </w:r>
      <w:r w:rsidR="00C2428A">
        <w:rPr>
          <w:rFonts w:asciiTheme="minorHAnsi" w:hAnsiTheme="minorHAnsi"/>
          <w:szCs w:val="22"/>
        </w:rPr>
        <w:t xml:space="preserve">Consortium </w:t>
      </w:r>
      <w:r w:rsidRPr="00C050E8">
        <w:rPr>
          <w:rFonts w:asciiTheme="minorHAnsi" w:hAnsiTheme="minorHAnsi"/>
          <w:szCs w:val="22"/>
        </w:rPr>
        <w:t xml:space="preserve">Evaluation Products </w:t>
      </w:r>
    </w:p>
    <w:p w:rsidRPr="00C050E8" w:rsidR="00D51C1D" w:rsidP="002F2D2E" w:rsidRDefault="00D51C1D" w14:paraId="19DB4E5B" w14:textId="2C310C67">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9</w:t>
      </w:r>
      <w:r w:rsidRPr="00C050E8">
        <w:rPr>
          <w:rFonts w:asciiTheme="minorHAnsi" w:hAnsiTheme="minorHAnsi"/>
          <w:szCs w:val="22"/>
        </w:rPr>
        <w:t>: BUILD Interventions Summary Table</w:t>
      </w:r>
    </w:p>
    <w:p w:rsidRPr="00C050E8" w:rsidR="00D51C1D" w:rsidP="002F2D2E" w:rsidRDefault="00D51C1D" w14:paraId="0D59C3C4" w14:textId="03F08262">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10</w:t>
      </w:r>
      <w:r w:rsidRPr="00C050E8">
        <w:rPr>
          <w:rFonts w:asciiTheme="minorHAnsi" w:hAnsiTheme="minorHAnsi"/>
          <w:szCs w:val="22"/>
        </w:rPr>
        <w:t>: BUILD Logic Models</w:t>
      </w:r>
    </w:p>
    <w:p w:rsidRPr="00C050E8" w:rsidR="00D51C1D" w:rsidP="002F2D2E" w:rsidRDefault="00D51C1D" w14:paraId="47B7ED5A" w14:textId="2D143C74">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Attachment</w:t>
      </w:r>
      <w:r w:rsidR="00C2428A">
        <w:rPr>
          <w:rFonts w:asciiTheme="minorHAnsi" w:hAnsiTheme="minorHAnsi"/>
          <w:szCs w:val="22"/>
        </w:rPr>
        <w:t xml:space="preserve"> 11</w:t>
      </w:r>
      <w:r w:rsidRPr="00C050E8">
        <w:rPr>
          <w:rFonts w:asciiTheme="minorHAnsi" w:hAnsiTheme="minorHAnsi"/>
          <w:szCs w:val="22"/>
        </w:rPr>
        <w:t>: NRMN Logic Model Phase I</w:t>
      </w:r>
    </w:p>
    <w:p w:rsidRPr="00C050E8" w:rsidR="00D51C1D" w:rsidP="002F2D2E" w:rsidRDefault="00D51C1D" w14:paraId="7619638B" w14:textId="08395B3A">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C2428A">
        <w:rPr>
          <w:rFonts w:asciiTheme="minorHAnsi" w:hAnsiTheme="minorHAnsi"/>
          <w:szCs w:val="22"/>
        </w:rPr>
        <w:t>12</w:t>
      </w:r>
      <w:r w:rsidRPr="00C050E8">
        <w:rPr>
          <w:rFonts w:asciiTheme="minorHAnsi" w:hAnsiTheme="minorHAnsi"/>
          <w:szCs w:val="22"/>
        </w:rPr>
        <w:t xml:space="preserve">: </w:t>
      </w:r>
      <w:r w:rsidR="00C2428A">
        <w:rPr>
          <w:rFonts w:asciiTheme="minorHAnsi" w:hAnsiTheme="minorHAnsi"/>
          <w:szCs w:val="22"/>
        </w:rPr>
        <w:t>CIRP</w:t>
      </w:r>
      <w:r w:rsidRPr="00C050E8">
        <w:rPr>
          <w:rFonts w:asciiTheme="minorHAnsi" w:hAnsiTheme="minorHAnsi"/>
          <w:szCs w:val="22"/>
        </w:rPr>
        <w:t xml:space="preserve"> HERI Freshman Survey</w:t>
      </w:r>
    </w:p>
    <w:p w:rsidRPr="00C050E8" w:rsidR="007D2D13" w:rsidP="002F2D2E" w:rsidRDefault="007D2D13" w14:paraId="2B94A537" w14:textId="6FBF7626">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Attachment 1</w:t>
      </w:r>
      <w:r>
        <w:rPr>
          <w:rFonts w:asciiTheme="minorHAnsi" w:hAnsiTheme="minorHAnsi"/>
          <w:szCs w:val="22"/>
        </w:rPr>
        <w:t>3</w:t>
      </w:r>
      <w:r w:rsidRPr="00C050E8">
        <w:rPr>
          <w:rFonts w:asciiTheme="minorHAnsi" w:hAnsiTheme="minorHAnsi"/>
          <w:szCs w:val="22"/>
        </w:rPr>
        <w:t>: Student Annual Follow-up Survey</w:t>
      </w:r>
    </w:p>
    <w:p w:rsidRPr="00C050E8" w:rsidR="00D51C1D" w:rsidP="002F2D2E" w:rsidRDefault="00D51C1D" w14:paraId="0C9EB54A" w14:textId="762D17E8">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Attachment 1</w:t>
      </w:r>
      <w:r w:rsidR="007D2D13">
        <w:rPr>
          <w:rFonts w:asciiTheme="minorHAnsi" w:hAnsiTheme="minorHAnsi"/>
          <w:szCs w:val="22"/>
        </w:rPr>
        <w:t>4</w:t>
      </w:r>
      <w:r w:rsidRPr="00C050E8">
        <w:rPr>
          <w:rFonts w:asciiTheme="minorHAnsi" w:hAnsiTheme="minorHAnsi"/>
          <w:szCs w:val="22"/>
        </w:rPr>
        <w:t>: College Senior Survey</w:t>
      </w:r>
    </w:p>
    <w:p w:rsidRPr="00C050E8" w:rsidR="00D51C1D" w:rsidP="002F2D2E" w:rsidRDefault="00D51C1D" w14:paraId="1D64D2A7" w14:textId="0C6EF1FC">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Attachment 1</w:t>
      </w:r>
      <w:r w:rsidR="007D2D13">
        <w:rPr>
          <w:rFonts w:asciiTheme="minorHAnsi" w:hAnsiTheme="minorHAnsi"/>
          <w:szCs w:val="22"/>
        </w:rPr>
        <w:t>5</w:t>
      </w:r>
      <w:r w:rsidRPr="00C050E8">
        <w:rPr>
          <w:rFonts w:asciiTheme="minorHAnsi" w:hAnsiTheme="minorHAnsi"/>
          <w:szCs w:val="22"/>
        </w:rPr>
        <w:t>: HERI Faculty Survey</w:t>
      </w:r>
    </w:p>
    <w:p w:rsidRPr="00C050E8" w:rsidR="00D51C1D" w:rsidP="002F2D2E" w:rsidRDefault="00D51C1D" w14:paraId="3FF20CC3" w14:textId="771A7490">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Attachment 1</w:t>
      </w:r>
      <w:r w:rsidR="007D2D13">
        <w:rPr>
          <w:rFonts w:asciiTheme="minorHAnsi" w:hAnsiTheme="minorHAnsi"/>
          <w:szCs w:val="22"/>
        </w:rPr>
        <w:t>6</w:t>
      </w:r>
      <w:r w:rsidRPr="00C050E8">
        <w:rPr>
          <w:rFonts w:asciiTheme="minorHAnsi" w:hAnsiTheme="minorHAnsi"/>
          <w:szCs w:val="22"/>
        </w:rPr>
        <w:t>: Faculty Annual Follow-up Survey</w:t>
      </w:r>
    </w:p>
    <w:p w:rsidRPr="00C050E8" w:rsidR="00D51C1D" w:rsidP="002F2D2E" w:rsidRDefault="00D51C1D" w14:paraId="4AEB3FA4" w14:textId="5A3EBC7A">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17: NRMN </w:t>
      </w:r>
      <w:r w:rsidR="007D2D13">
        <w:rPr>
          <w:rFonts w:asciiTheme="minorHAnsi" w:hAnsiTheme="minorHAnsi"/>
          <w:szCs w:val="22"/>
        </w:rPr>
        <w:t xml:space="preserve">Annual </w:t>
      </w:r>
      <w:r w:rsidRPr="00C050E8">
        <w:rPr>
          <w:rFonts w:asciiTheme="minorHAnsi" w:hAnsiTheme="minorHAnsi"/>
          <w:szCs w:val="22"/>
        </w:rPr>
        <w:t>Follow-up Survey</w:t>
      </w:r>
    </w:p>
    <w:p w:rsidRPr="00C050E8" w:rsidR="00D51C1D" w:rsidP="002F2D2E" w:rsidRDefault="00D51C1D" w14:paraId="3BD70D5C" w14:textId="011B7DE9">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7D2D13">
        <w:rPr>
          <w:rFonts w:asciiTheme="minorHAnsi" w:hAnsiTheme="minorHAnsi"/>
          <w:szCs w:val="22"/>
        </w:rPr>
        <w:t>18</w:t>
      </w:r>
      <w:r w:rsidRPr="00C050E8">
        <w:rPr>
          <w:rFonts w:asciiTheme="minorHAnsi" w:hAnsiTheme="minorHAnsi"/>
          <w:szCs w:val="22"/>
        </w:rPr>
        <w:t>: BUILD Site Visit &amp; Case Studies Protocol</w:t>
      </w:r>
    </w:p>
    <w:p w:rsidRPr="00C050E8" w:rsidR="00D51C1D" w:rsidP="002F2D2E" w:rsidRDefault="00D51C1D" w14:paraId="5C56DD47" w14:textId="776E3BED">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7D2D13">
        <w:rPr>
          <w:rFonts w:asciiTheme="minorHAnsi" w:hAnsiTheme="minorHAnsi"/>
          <w:szCs w:val="22"/>
        </w:rPr>
        <w:t>19</w:t>
      </w:r>
      <w:r w:rsidRPr="00C050E8">
        <w:rPr>
          <w:rFonts w:asciiTheme="minorHAnsi" w:hAnsiTheme="minorHAnsi"/>
          <w:szCs w:val="22"/>
        </w:rPr>
        <w:t>: BUILD Institutional Records &amp; Program Data Requests</w:t>
      </w:r>
    </w:p>
    <w:p w:rsidRPr="00C050E8" w:rsidR="00D51C1D" w:rsidP="002F2D2E" w:rsidRDefault="00D51C1D" w14:paraId="740261BC" w14:textId="5ABADAA2">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Attachment 2</w:t>
      </w:r>
      <w:r w:rsidR="007D2D13">
        <w:rPr>
          <w:rFonts w:asciiTheme="minorHAnsi" w:hAnsiTheme="minorHAnsi"/>
          <w:szCs w:val="22"/>
        </w:rPr>
        <w:t>0</w:t>
      </w:r>
      <w:r w:rsidRPr="00C050E8">
        <w:rPr>
          <w:rFonts w:asciiTheme="minorHAnsi" w:hAnsiTheme="minorHAnsi"/>
          <w:szCs w:val="22"/>
        </w:rPr>
        <w:t>: Coordination &amp; Evaluation Center (CEC) Tracker Security Overview</w:t>
      </w:r>
    </w:p>
    <w:p w:rsidRPr="00C050E8" w:rsidR="00D51C1D" w:rsidP="002F2D2E" w:rsidRDefault="00D51C1D" w14:paraId="1A6C6A07" w14:textId="53FC1494">
      <w:pPr>
        <w:pStyle w:val="P1-StandPara"/>
        <w:tabs>
          <w:tab w:val="left" w:pos="720"/>
          <w:tab w:val="right" w:leader="dot" w:pos="9504"/>
        </w:tabs>
        <w:spacing w:line="240" w:lineRule="auto"/>
        <w:ind w:left="1080" w:hanging="360"/>
        <w:rPr>
          <w:rFonts w:asciiTheme="minorHAnsi" w:hAnsiTheme="minorHAnsi"/>
          <w:szCs w:val="22"/>
        </w:rPr>
      </w:pPr>
      <w:r w:rsidRPr="00C050E8">
        <w:rPr>
          <w:rFonts w:asciiTheme="minorHAnsi" w:hAnsiTheme="minorHAnsi"/>
          <w:szCs w:val="22"/>
        </w:rPr>
        <w:t>Attachment 2</w:t>
      </w:r>
      <w:r w:rsidR="007D2D13">
        <w:rPr>
          <w:rFonts w:asciiTheme="minorHAnsi" w:hAnsiTheme="minorHAnsi"/>
          <w:szCs w:val="22"/>
        </w:rPr>
        <w:t>1</w:t>
      </w:r>
      <w:r w:rsidRPr="00C050E8">
        <w:rPr>
          <w:rFonts w:asciiTheme="minorHAnsi" w:hAnsiTheme="minorHAnsi"/>
          <w:szCs w:val="22"/>
        </w:rPr>
        <w:t>: Original Advisory Committee to the Director Working Group on Diversity in the Biomedical Research Workforce Membership</w:t>
      </w:r>
    </w:p>
    <w:p w:rsidRPr="00C050E8" w:rsidR="00D51C1D" w:rsidP="002F2D2E" w:rsidRDefault="00D51C1D" w14:paraId="4C2C446A" w14:textId="3A0652B8">
      <w:pPr>
        <w:pStyle w:val="P1-StandPara"/>
        <w:tabs>
          <w:tab w:val="left" w:pos="720"/>
          <w:tab w:val="right" w:leader="dot" w:pos="9504"/>
        </w:tabs>
        <w:spacing w:line="240" w:lineRule="auto"/>
        <w:ind w:left="1080" w:hanging="360"/>
        <w:rPr>
          <w:rFonts w:asciiTheme="minorHAnsi" w:hAnsiTheme="minorHAnsi"/>
          <w:szCs w:val="22"/>
        </w:rPr>
      </w:pPr>
      <w:r w:rsidRPr="00C050E8">
        <w:rPr>
          <w:rFonts w:asciiTheme="minorHAnsi" w:hAnsiTheme="minorHAnsi"/>
          <w:szCs w:val="22"/>
        </w:rPr>
        <w:t>Attachment 2</w:t>
      </w:r>
      <w:r w:rsidR="00D3091D">
        <w:rPr>
          <w:rFonts w:asciiTheme="minorHAnsi" w:hAnsiTheme="minorHAnsi"/>
          <w:szCs w:val="22"/>
        </w:rPr>
        <w:t>2</w:t>
      </w:r>
      <w:r w:rsidRPr="00C050E8">
        <w:rPr>
          <w:rFonts w:asciiTheme="minorHAnsi" w:hAnsiTheme="minorHAnsi"/>
          <w:szCs w:val="22"/>
        </w:rPr>
        <w:t xml:space="preserve">: Current </w:t>
      </w:r>
      <w:r w:rsidR="00D3091D">
        <w:rPr>
          <w:rFonts w:asciiTheme="minorHAnsi" w:hAnsiTheme="minorHAnsi"/>
          <w:szCs w:val="22"/>
        </w:rPr>
        <w:t xml:space="preserve">roster of the </w:t>
      </w:r>
      <w:r w:rsidRPr="00C050E8">
        <w:rPr>
          <w:rFonts w:asciiTheme="minorHAnsi" w:hAnsiTheme="minorHAnsi"/>
          <w:szCs w:val="22"/>
        </w:rPr>
        <w:t>Advisory Committee to the Director</w:t>
      </w:r>
      <w:r w:rsidR="00D3091D">
        <w:rPr>
          <w:rFonts w:asciiTheme="minorHAnsi" w:hAnsiTheme="minorHAnsi"/>
          <w:szCs w:val="22"/>
        </w:rPr>
        <w:t>,</w:t>
      </w:r>
      <w:r w:rsidRPr="00C050E8">
        <w:rPr>
          <w:rFonts w:asciiTheme="minorHAnsi" w:hAnsiTheme="minorHAnsi"/>
          <w:szCs w:val="22"/>
        </w:rPr>
        <w:t xml:space="preserve"> Working Group on Diversity</w:t>
      </w:r>
    </w:p>
    <w:p w:rsidRPr="00C050E8" w:rsidR="00D51C1D" w:rsidP="002F2D2E" w:rsidRDefault="00D51C1D" w14:paraId="59498759" w14:textId="248E30C8">
      <w:pPr>
        <w:pStyle w:val="P1-StandPara"/>
        <w:tabs>
          <w:tab w:val="left" w:pos="720"/>
          <w:tab w:val="right" w:leader="dot" w:pos="9504"/>
        </w:tabs>
        <w:spacing w:line="240" w:lineRule="auto"/>
        <w:ind w:left="1080" w:hanging="360"/>
        <w:rPr>
          <w:rFonts w:asciiTheme="minorHAnsi" w:hAnsiTheme="minorHAnsi"/>
          <w:szCs w:val="22"/>
        </w:rPr>
      </w:pPr>
      <w:r w:rsidRPr="00C050E8">
        <w:rPr>
          <w:rFonts w:asciiTheme="minorHAnsi" w:hAnsiTheme="minorHAnsi"/>
          <w:szCs w:val="22"/>
        </w:rPr>
        <w:t>Attachment 2</w:t>
      </w:r>
      <w:r w:rsidR="00D3091D">
        <w:rPr>
          <w:rFonts w:asciiTheme="minorHAnsi" w:hAnsiTheme="minorHAnsi"/>
          <w:szCs w:val="22"/>
        </w:rPr>
        <w:t>3</w:t>
      </w:r>
      <w:r w:rsidRPr="00C050E8">
        <w:rPr>
          <w:rFonts w:asciiTheme="minorHAnsi" w:hAnsiTheme="minorHAnsi"/>
          <w:szCs w:val="22"/>
        </w:rPr>
        <w:t xml:space="preserve">: </w:t>
      </w:r>
      <w:r w:rsidR="00D3091D">
        <w:rPr>
          <w:rFonts w:asciiTheme="minorHAnsi" w:hAnsiTheme="minorHAnsi"/>
          <w:szCs w:val="22"/>
        </w:rPr>
        <w:t xml:space="preserve">Current roster of the </w:t>
      </w:r>
      <w:r w:rsidRPr="00C050E8">
        <w:rPr>
          <w:rFonts w:asciiTheme="minorHAnsi" w:hAnsiTheme="minorHAnsi"/>
          <w:szCs w:val="22"/>
        </w:rPr>
        <w:t>Advisory Committee to the Director</w:t>
      </w:r>
      <w:r w:rsidR="00D3091D">
        <w:rPr>
          <w:rFonts w:asciiTheme="minorHAnsi" w:hAnsiTheme="minorHAnsi"/>
          <w:szCs w:val="22"/>
        </w:rPr>
        <w:t>,</w:t>
      </w:r>
      <w:r w:rsidRPr="00C050E8">
        <w:rPr>
          <w:rFonts w:asciiTheme="minorHAnsi" w:hAnsiTheme="minorHAnsi"/>
          <w:szCs w:val="22"/>
        </w:rPr>
        <w:t xml:space="preserve"> Working Group on Diversity, Diversity Program Consortium Subcommittee</w:t>
      </w:r>
    </w:p>
    <w:p w:rsidR="00D51C1D" w:rsidP="002F2D2E" w:rsidRDefault="00D51C1D" w14:paraId="74DA504C" w14:textId="555DDF03">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D3091D">
        <w:rPr>
          <w:rFonts w:asciiTheme="minorHAnsi" w:hAnsiTheme="minorHAnsi"/>
          <w:szCs w:val="22"/>
        </w:rPr>
        <w:t>24</w:t>
      </w:r>
      <w:r w:rsidRPr="00C050E8">
        <w:rPr>
          <w:rFonts w:asciiTheme="minorHAnsi" w:hAnsiTheme="minorHAnsi"/>
          <w:szCs w:val="22"/>
        </w:rPr>
        <w:t>: NIH Privacy Act Officer Correspondence</w:t>
      </w:r>
      <w:r w:rsidR="00D3091D">
        <w:rPr>
          <w:rFonts w:asciiTheme="minorHAnsi" w:hAnsiTheme="minorHAnsi"/>
          <w:szCs w:val="22"/>
        </w:rPr>
        <w:t xml:space="preserve"> 20</w:t>
      </w:r>
      <w:r w:rsidR="00CA6015">
        <w:rPr>
          <w:rFonts w:asciiTheme="minorHAnsi" w:hAnsiTheme="minorHAnsi"/>
          <w:szCs w:val="22"/>
        </w:rPr>
        <w:t>20</w:t>
      </w:r>
      <w:bookmarkStart w:name="_GoBack" w:id="0"/>
      <w:bookmarkEnd w:id="0"/>
    </w:p>
    <w:p w:rsidRPr="00C050E8" w:rsidR="00D51C1D" w:rsidP="002F2D2E" w:rsidRDefault="00D51C1D" w14:paraId="2E412397" w14:textId="4C0CE1B5">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Attachment 2</w:t>
      </w:r>
      <w:r w:rsidR="00933EAA">
        <w:rPr>
          <w:rFonts w:asciiTheme="minorHAnsi" w:hAnsiTheme="minorHAnsi"/>
          <w:szCs w:val="22"/>
        </w:rPr>
        <w:t>5</w:t>
      </w:r>
      <w:r w:rsidRPr="00C050E8">
        <w:rPr>
          <w:rFonts w:asciiTheme="minorHAnsi" w:hAnsiTheme="minorHAnsi"/>
          <w:szCs w:val="22"/>
        </w:rPr>
        <w:t>: Data Sharing Agreement Phase II</w:t>
      </w:r>
    </w:p>
    <w:p w:rsidR="00D51C1D" w:rsidP="002F2D2E" w:rsidRDefault="00D51C1D" w14:paraId="13FF1CB8" w14:textId="6082B14D">
      <w:pPr>
        <w:pStyle w:val="P1-StandPara"/>
        <w:tabs>
          <w:tab w:val="left" w:pos="720"/>
          <w:tab w:val="right" w:leader="dot" w:pos="9504"/>
        </w:tabs>
        <w:spacing w:line="240" w:lineRule="auto"/>
        <w:rPr>
          <w:rFonts w:asciiTheme="minorHAnsi" w:hAnsiTheme="minorHAnsi"/>
          <w:szCs w:val="22"/>
        </w:rPr>
      </w:pPr>
      <w:r w:rsidRPr="00C050E8">
        <w:rPr>
          <w:rFonts w:asciiTheme="minorHAnsi" w:hAnsiTheme="minorHAnsi"/>
          <w:szCs w:val="22"/>
        </w:rPr>
        <w:t xml:space="preserve">Attachment </w:t>
      </w:r>
      <w:r w:rsidR="00465753">
        <w:rPr>
          <w:rFonts w:asciiTheme="minorHAnsi" w:hAnsiTheme="minorHAnsi"/>
          <w:szCs w:val="22"/>
        </w:rPr>
        <w:t>2</w:t>
      </w:r>
      <w:r w:rsidR="00933EAA">
        <w:rPr>
          <w:rFonts w:asciiTheme="minorHAnsi" w:hAnsiTheme="minorHAnsi"/>
          <w:szCs w:val="22"/>
        </w:rPr>
        <w:t>6</w:t>
      </w:r>
      <w:r w:rsidRPr="00C050E8">
        <w:rPr>
          <w:rFonts w:asciiTheme="minorHAnsi" w:hAnsiTheme="minorHAnsi"/>
          <w:szCs w:val="22"/>
        </w:rPr>
        <w:t>: Data Methods Guide</w:t>
      </w:r>
    </w:p>
    <w:p w:rsidR="00933EAA" w:rsidP="002F2D2E" w:rsidRDefault="00933EAA" w14:paraId="10D8BFA7" w14:textId="7E307565">
      <w:pPr>
        <w:pStyle w:val="P1-StandPara"/>
        <w:tabs>
          <w:tab w:val="left" w:pos="720"/>
          <w:tab w:val="right" w:leader="dot" w:pos="9504"/>
        </w:tabs>
        <w:spacing w:line="240" w:lineRule="auto"/>
        <w:rPr>
          <w:rFonts w:asciiTheme="minorHAnsi" w:hAnsiTheme="minorHAnsi"/>
          <w:szCs w:val="22"/>
        </w:rPr>
      </w:pPr>
      <w:r>
        <w:rPr>
          <w:rFonts w:asciiTheme="minorHAnsi" w:hAnsiTheme="minorHAnsi"/>
          <w:szCs w:val="22"/>
        </w:rPr>
        <w:t>Attachment 27: 60-day comment Tracking Log</w:t>
      </w:r>
    </w:p>
    <w:p w:rsidR="00D51C1D" w:rsidP="00BE76A7" w:rsidRDefault="00D51C1D" w14:paraId="40C36B54" w14:textId="77777777">
      <w:pPr>
        <w:pStyle w:val="P1-StandPara"/>
        <w:tabs>
          <w:tab w:val="left" w:pos="720"/>
          <w:tab w:val="right" w:leader="dot" w:pos="9504"/>
        </w:tabs>
        <w:spacing w:before="120" w:after="120" w:line="240" w:lineRule="auto"/>
        <w:ind w:firstLine="0"/>
        <w:rPr>
          <w:rFonts w:asciiTheme="minorHAnsi" w:hAnsiTheme="minorHAnsi"/>
          <w:b/>
          <w:szCs w:val="22"/>
        </w:rPr>
      </w:pPr>
    </w:p>
    <w:p w:rsidR="00560617" w:rsidP="00F116EE" w:rsidRDefault="00560617" w14:paraId="04B896C7"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317ED1CA"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4884230E"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44A49DCD"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0153E2A7"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2880DC76"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0DB3CBC6"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399876F3"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1F9696EA"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560617" w:rsidP="00F116EE" w:rsidRDefault="00560617" w14:paraId="7A56F501" w14:textId="77777777">
      <w:pPr>
        <w:pStyle w:val="P1-StandPara"/>
        <w:tabs>
          <w:tab w:val="left" w:pos="720"/>
          <w:tab w:val="right" w:leader="dot" w:pos="9504"/>
        </w:tabs>
        <w:spacing w:before="120" w:after="120" w:line="240" w:lineRule="auto"/>
        <w:ind w:firstLine="0"/>
        <w:outlineLvl w:val="0"/>
        <w:rPr>
          <w:rFonts w:asciiTheme="minorHAnsi" w:hAnsiTheme="minorHAnsi"/>
          <w:b/>
          <w:szCs w:val="22"/>
        </w:rPr>
      </w:pPr>
    </w:p>
    <w:p w:rsidR="006A45F9" w:rsidP="00F116EE" w:rsidRDefault="006A45F9" w14:paraId="605173DA" w14:textId="6F285BCF">
      <w:pPr>
        <w:pStyle w:val="P1-StandPara"/>
        <w:tabs>
          <w:tab w:val="left" w:pos="720"/>
          <w:tab w:val="right" w:leader="dot" w:pos="9504"/>
        </w:tabs>
        <w:spacing w:before="120" w:after="120" w:line="240" w:lineRule="auto"/>
        <w:ind w:firstLine="0"/>
        <w:outlineLvl w:val="0"/>
        <w:rPr>
          <w:rFonts w:asciiTheme="minorHAnsi" w:hAnsiTheme="minorHAnsi"/>
          <w:szCs w:val="22"/>
        </w:rPr>
      </w:pPr>
      <w:bookmarkStart w:name="_Toc31096817" w:id="1"/>
      <w:r>
        <w:rPr>
          <w:rFonts w:asciiTheme="minorHAnsi" w:hAnsiTheme="minorHAnsi"/>
          <w:b/>
          <w:szCs w:val="22"/>
        </w:rPr>
        <w:lastRenderedPageBreak/>
        <w:t xml:space="preserve">A. </w:t>
      </w:r>
      <w:r w:rsidRPr="00BE76A7" w:rsidR="00BE76A7">
        <w:rPr>
          <w:rFonts w:asciiTheme="minorHAnsi" w:hAnsiTheme="minorHAnsi"/>
          <w:b/>
          <w:szCs w:val="22"/>
        </w:rPr>
        <w:t>Justification</w:t>
      </w:r>
      <w:bookmarkEnd w:id="1"/>
    </w:p>
    <w:p w:rsidRPr="00C050E8" w:rsidR="00EB0D30" w:rsidP="00EB0D30" w:rsidRDefault="00EB0D30" w14:paraId="487B6E9E" w14:textId="7491CEC2">
      <w:pPr>
        <w:pStyle w:val="P1-StandPara"/>
        <w:tabs>
          <w:tab w:val="right" w:leader="dot" w:pos="9504"/>
        </w:tabs>
        <w:spacing w:before="120" w:after="120" w:line="240" w:lineRule="auto"/>
        <w:ind w:firstLine="0"/>
        <w:rPr>
          <w:rFonts w:asciiTheme="minorHAnsi" w:hAnsiTheme="minorHAnsi"/>
          <w:szCs w:val="22"/>
        </w:rPr>
      </w:pPr>
      <w:bookmarkStart w:name="_Hlk24466302" w:id="2"/>
      <w:r w:rsidRPr="00C050E8">
        <w:rPr>
          <w:rFonts w:asciiTheme="minorHAnsi" w:hAnsiTheme="minorHAnsi"/>
          <w:szCs w:val="22"/>
        </w:rPr>
        <w:t xml:space="preserve">This application request </w:t>
      </w:r>
      <w:r>
        <w:rPr>
          <w:rFonts w:asciiTheme="minorHAnsi" w:hAnsiTheme="minorHAnsi"/>
          <w:szCs w:val="22"/>
        </w:rPr>
        <w:t xml:space="preserve">is </w:t>
      </w:r>
      <w:r w:rsidRPr="00C050E8">
        <w:rPr>
          <w:rFonts w:asciiTheme="minorHAnsi" w:hAnsiTheme="minorHAnsi"/>
          <w:szCs w:val="22"/>
        </w:rPr>
        <w:t>to continue an evaluation of the NIH Common Fund’s “Enhancing the Diversity of the NIH-funded Workforce Program” in response to feedback from the OMB that this initiative is not exempt from the Paper</w:t>
      </w:r>
      <w:r w:rsidR="00543B20">
        <w:rPr>
          <w:rFonts w:asciiTheme="minorHAnsi" w:hAnsiTheme="minorHAnsi"/>
          <w:szCs w:val="22"/>
        </w:rPr>
        <w:t xml:space="preserve"> W</w:t>
      </w:r>
      <w:r w:rsidRPr="00C050E8">
        <w:rPr>
          <w:rFonts w:asciiTheme="minorHAnsi" w:hAnsiTheme="minorHAnsi"/>
          <w:szCs w:val="22"/>
        </w:rPr>
        <w:t xml:space="preserve">ork Reduction act and should go through the </w:t>
      </w:r>
      <w:r w:rsidRPr="00C865CC">
        <w:rPr>
          <w:rFonts w:asciiTheme="minorHAnsi" w:hAnsiTheme="minorHAnsi"/>
          <w:i/>
          <w:szCs w:val="22"/>
        </w:rPr>
        <w:t>Reinstatement with Change</w:t>
      </w:r>
      <w:r w:rsidRPr="00C050E8">
        <w:rPr>
          <w:rFonts w:asciiTheme="minorHAnsi" w:hAnsiTheme="minorHAnsi"/>
          <w:szCs w:val="22"/>
        </w:rPr>
        <w:t xml:space="preserve"> process. The initiative described in this application has two five-year funding periods. The initiative has completed Phase I and is currently in the final phase</w:t>
      </w:r>
      <w:r>
        <w:rPr>
          <w:rFonts w:asciiTheme="minorHAnsi" w:hAnsiTheme="minorHAnsi"/>
          <w:szCs w:val="22"/>
        </w:rPr>
        <w:t xml:space="preserve"> and</w:t>
      </w:r>
      <w:r w:rsidRPr="00C050E8">
        <w:rPr>
          <w:rFonts w:asciiTheme="minorHAnsi" w:hAnsiTheme="minorHAnsi"/>
          <w:szCs w:val="22"/>
        </w:rPr>
        <w:t xml:space="preserve"> is a national consortium, comprised of three integrated initiatives:</w:t>
      </w:r>
      <w:r>
        <w:rPr>
          <w:rFonts w:asciiTheme="minorHAnsi" w:hAnsiTheme="minorHAnsi"/>
          <w:szCs w:val="22"/>
        </w:rPr>
        <w:t xml:space="preserve"> the (</w:t>
      </w:r>
      <w:r w:rsidRPr="00C050E8">
        <w:rPr>
          <w:rFonts w:asciiTheme="minorHAnsi" w:hAnsiTheme="minorHAnsi"/>
          <w:szCs w:val="22"/>
        </w:rPr>
        <w:t>1)</w:t>
      </w:r>
      <w:r>
        <w:rPr>
          <w:rFonts w:asciiTheme="minorHAnsi" w:hAnsiTheme="minorHAnsi"/>
          <w:szCs w:val="22"/>
        </w:rPr>
        <w:t xml:space="preserve"> </w:t>
      </w:r>
      <w:r w:rsidRPr="00C050E8">
        <w:rPr>
          <w:rFonts w:asciiTheme="minorHAnsi" w:hAnsiTheme="minorHAnsi"/>
          <w:szCs w:val="22"/>
        </w:rPr>
        <w:t>Building Infrastructure Leading to Diversity (BUILD) Initiative,</w:t>
      </w:r>
      <w:r>
        <w:rPr>
          <w:rFonts w:asciiTheme="minorHAnsi" w:hAnsiTheme="minorHAnsi"/>
          <w:szCs w:val="22"/>
        </w:rPr>
        <w:t xml:space="preserve"> (</w:t>
      </w:r>
      <w:r w:rsidRPr="00C050E8">
        <w:rPr>
          <w:rFonts w:asciiTheme="minorHAnsi" w:hAnsiTheme="minorHAnsi"/>
          <w:szCs w:val="22"/>
        </w:rPr>
        <w:t>2)</w:t>
      </w:r>
      <w:r>
        <w:rPr>
          <w:rFonts w:asciiTheme="minorHAnsi" w:hAnsiTheme="minorHAnsi"/>
          <w:szCs w:val="22"/>
        </w:rPr>
        <w:t xml:space="preserve"> </w:t>
      </w:r>
      <w:r w:rsidRPr="00C050E8">
        <w:rPr>
          <w:rFonts w:asciiTheme="minorHAnsi" w:hAnsiTheme="minorHAnsi"/>
          <w:szCs w:val="22"/>
        </w:rPr>
        <w:t xml:space="preserve">National Research Mentoring Network (NRMN), and </w:t>
      </w:r>
      <w:r>
        <w:rPr>
          <w:rFonts w:asciiTheme="minorHAnsi" w:hAnsiTheme="minorHAnsi"/>
          <w:szCs w:val="22"/>
        </w:rPr>
        <w:t>(</w:t>
      </w:r>
      <w:r w:rsidRPr="00C050E8">
        <w:rPr>
          <w:rFonts w:asciiTheme="minorHAnsi" w:hAnsiTheme="minorHAnsi"/>
          <w:szCs w:val="22"/>
        </w:rPr>
        <w:t>3)</w:t>
      </w:r>
      <w:r>
        <w:rPr>
          <w:rFonts w:asciiTheme="minorHAnsi" w:hAnsiTheme="minorHAnsi"/>
          <w:szCs w:val="22"/>
        </w:rPr>
        <w:t xml:space="preserve"> </w:t>
      </w:r>
      <w:r w:rsidRPr="00C050E8">
        <w:rPr>
          <w:rFonts w:asciiTheme="minorHAnsi" w:hAnsiTheme="minorHAnsi"/>
          <w:szCs w:val="22"/>
        </w:rPr>
        <w:t xml:space="preserve">Coordination and Evaluation Center (CEC). </w:t>
      </w:r>
    </w:p>
    <w:p w:rsidRPr="00C050E8" w:rsidR="00EB0D30" w:rsidP="00EB0D30" w:rsidRDefault="00EB0D30" w14:paraId="424F796B" w14:textId="77777777">
      <w:pPr>
        <w:pStyle w:val="P1-StandPara"/>
        <w:tabs>
          <w:tab w:val="left" w:pos="720"/>
          <w:tab w:val="right" w:leader="dot" w:pos="9504"/>
        </w:tabs>
        <w:spacing w:before="120" w:after="120" w:line="240" w:lineRule="auto"/>
        <w:ind w:firstLine="0"/>
        <w:rPr>
          <w:rFonts w:asciiTheme="minorHAnsi" w:hAnsiTheme="minorHAnsi"/>
          <w:szCs w:val="22"/>
        </w:rPr>
      </w:pPr>
      <w:r w:rsidRPr="00C050E8">
        <w:rPr>
          <w:rFonts w:asciiTheme="minorHAnsi" w:hAnsiTheme="minorHAnsi"/>
          <w:szCs w:val="22"/>
        </w:rPr>
        <w:t>Th</w:t>
      </w:r>
      <w:r>
        <w:rPr>
          <w:rFonts w:asciiTheme="minorHAnsi" w:hAnsiTheme="minorHAnsi"/>
          <w:szCs w:val="22"/>
        </w:rPr>
        <w:t>e</w:t>
      </w:r>
      <w:r w:rsidRPr="00C050E8">
        <w:rPr>
          <w:rFonts w:asciiTheme="minorHAnsi" w:hAnsiTheme="minorHAnsi"/>
          <w:szCs w:val="22"/>
        </w:rPr>
        <w:t xml:space="preserve"> data collection efforts are needed in order to meet the requirement for formal evaluations of the BUILD Phase I and II and NRMN Phase I initiatives under the NIH-funded cooperative agreement awarded to CEC at the University of California, Los Angeles (UCLA). </w:t>
      </w:r>
    </w:p>
    <w:p w:rsidR="00EB0D30" w:rsidP="00EB0D30" w:rsidRDefault="00EB0D30" w14:paraId="7DF1C56D" w14:textId="77777777">
      <w:pPr>
        <w:pStyle w:val="P1-StandPara"/>
        <w:tabs>
          <w:tab w:val="left" w:pos="720"/>
          <w:tab w:val="right" w:leader="dot" w:pos="9504"/>
        </w:tabs>
        <w:spacing w:before="120" w:after="120" w:line="240" w:lineRule="auto"/>
        <w:ind w:firstLine="0"/>
        <w:rPr>
          <w:rFonts w:asciiTheme="minorHAnsi" w:hAnsiTheme="minorHAnsi"/>
          <w:szCs w:val="22"/>
        </w:rPr>
      </w:pPr>
      <w:r w:rsidRPr="00C050E8">
        <w:rPr>
          <w:rFonts w:asciiTheme="minorHAnsi" w:hAnsiTheme="minorHAnsi"/>
          <w:szCs w:val="22"/>
        </w:rPr>
        <w:t xml:space="preserve">The CEC conducted evaluations of BUILD and NRMN include assessment of agreed-upon consortium-wide </w:t>
      </w:r>
      <w:r w:rsidRPr="00C46EB8">
        <w:rPr>
          <w:rFonts w:asciiTheme="minorHAnsi" w:hAnsiTheme="minorHAnsi"/>
          <w:i/>
          <w:szCs w:val="22"/>
        </w:rPr>
        <w:t>Hallmarks of Success</w:t>
      </w:r>
      <w:r w:rsidRPr="00C050E8">
        <w:rPr>
          <w:rFonts w:asciiTheme="minorHAnsi" w:hAnsiTheme="minorHAnsi"/>
          <w:szCs w:val="22"/>
        </w:rPr>
        <w:t xml:space="preserve"> at the student, faculty, and institutional level. The </w:t>
      </w:r>
      <w:r w:rsidRPr="00105998">
        <w:rPr>
          <w:rFonts w:asciiTheme="minorHAnsi" w:hAnsiTheme="minorHAnsi"/>
          <w:i/>
          <w:szCs w:val="22"/>
        </w:rPr>
        <w:t>Hallmarks of Success</w:t>
      </w:r>
      <w:r w:rsidRPr="00C050E8">
        <w:rPr>
          <w:rFonts w:asciiTheme="minorHAnsi" w:hAnsiTheme="minorHAnsi"/>
          <w:szCs w:val="22"/>
        </w:rPr>
        <w:t xml:space="preserve"> represent key factors at each stage of a biomedical research career that contribute to development of a successful career in the biomedical research workforce. The data collection strategy described below was designed to support the evaluation of the overall effectiveness of BUILD and NRMN efforts and lessons learned will be disseminated to the broader biomedical research community.</w:t>
      </w:r>
      <w:bookmarkEnd w:id="2"/>
    </w:p>
    <w:p w:rsidR="00EB0D30" w:rsidP="00F116EE" w:rsidRDefault="00EB0D30" w14:paraId="2D8F3208" w14:textId="77777777">
      <w:pPr>
        <w:pStyle w:val="P1-StandPara"/>
        <w:tabs>
          <w:tab w:val="left" w:pos="720"/>
          <w:tab w:val="right" w:leader="dot" w:pos="9504"/>
        </w:tabs>
        <w:spacing w:before="120" w:after="120"/>
        <w:ind w:firstLine="0"/>
        <w:outlineLvl w:val="0"/>
        <w:rPr>
          <w:rFonts w:asciiTheme="minorHAnsi" w:hAnsiTheme="minorHAnsi"/>
          <w:b/>
          <w:szCs w:val="22"/>
        </w:rPr>
      </w:pPr>
    </w:p>
    <w:p w:rsidR="00C46EB8" w:rsidP="00F116EE" w:rsidRDefault="000F3043" w14:paraId="52AA38CA" w14:textId="6AB7F06B">
      <w:pPr>
        <w:pStyle w:val="P1-StandPara"/>
        <w:tabs>
          <w:tab w:val="left" w:pos="720"/>
          <w:tab w:val="right" w:leader="dot" w:pos="9504"/>
        </w:tabs>
        <w:spacing w:before="120" w:after="120"/>
        <w:ind w:firstLine="0"/>
        <w:outlineLvl w:val="0"/>
        <w:rPr>
          <w:rFonts w:asciiTheme="minorHAnsi" w:hAnsiTheme="minorHAnsi"/>
          <w:b/>
          <w:szCs w:val="22"/>
        </w:rPr>
      </w:pPr>
      <w:bookmarkStart w:name="_Toc31096818" w:id="3"/>
      <w:r w:rsidRPr="00E35DD1">
        <w:rPr>
          <w:rFonts w:asciiTheme="minorHAnsi" w:hAnsiTheme="minorHAnsi"/>
          <w:b/>
          <w:szCs w:val="22"/>
        </w:rPr>
        <w:t>A.1</w:t>
      </w:r>
      <w:r w:rsidRPr="00E35DD1">
        <w:rPr>
          <w:rFonts w:asciiTheme="minorHAnsi" w:hAnsiTheme="minorHAnsi"/>
          <w:b/>
          <w:szCs w:val="22"/>
        </w:rPr>
        <w:tab/>
        <w:t>Circumstances Making the Collection of Information Necessary</w:t>
      </w:r>
      <w:bookmarkStart w:name="_Toc443881743" w:id="4"/>
      <w:bookmarkStart w:name="_Toc451592232" w:id="5"/>
      <w:bookmarkStart w:name="_Toc5610273" w:id="6"/>
      <w:bookmarkStart w:name="_Toc99178779" w:id="7"/>
      <w:bookmarkEnd w:id="3"/>
    </w:p>
    <w:p w:rsidR="00C46EB8" w:rsidP="00C46EB8" w:rsidRDefault="00C46EB8" w14:paraId="62C9FFC5" w14:textId="77777777">
      <w:pPr>
        <w:pStyle w:val="P1-StandPara"/>
        <w:tabs>
          <w:tab w:val="left" w:pos="720"/>
          <w:tab w:val="right" w:leader="dot" w:pos="9504"/>
        </w:tabs>
        <w:spacing w:after="120" w:line="240" w:lineRule="auto"/>
        <w:ind w:firstLine="0"/>
        <w:rPr>
          <w:rFonts w:asciiTheme="minorHAnsi" w:hAnsiTheme="minorHAnsi" w:eastAsiaTheme="minorEastAsia" w:cstheme="minorBidi"/>
          <w:szCs w:val="22"/>
        </w:rPr>
      </w:pPr>
      <w:bookmarkStart w:name="_Hlk24466364" w:id="8"/>
      <w:r w:rsidRPr="00C46EB8">
        <w:rPr>
          <w:rFonts w:asciiTheme="minorHAnsi" w:hAnsiTheme="minorHAnsi" w:eastAsiaTheme="minorEastAsia" w:cstheme="minorBidi"/>
          <w:szCs w:val="22"/>
        </w:rPr>
        <w:t>The data to be collected are responsive to helping fulfill the requirements of several relevant authorizing mandates:</w:t>
      </w:r>
    </w:p>
    <w:p w:rsidRPr="00C46EB8" w:rsidR="00C46EB8" w:rsidP="00C46EB8" w:rsidRDefault="00C46EB8" w14:paraId="60EBB24A" w14:textId="77777777">
      <w:pPr>
        <w:pStyle w:val="P1-StandPara"/>
        <w:numPr>
          <w:ilvl w:val="0"/>
          <w:numId w:val="12"/>
        </w:numPr>
        <w:tabs>
          <w:tab w:val="left" w:pos="720"/>
          <w:tab w:val="right" w:leader="dot" w:pos="9504"/>
        </w:tabs>
        <w:spacing w:after="120" w:line="240" w:lineRule="auto"/>
        <w:rPr>
          <w:rFonts w:asciiTheme="minorHAnsi" w:hAnsiTheme="minorHAnsi"/>
          <w:b/>
          <w:szCs w:val="22"/>
        </w:rPr>
      </w:pPr>
      <w:r w:rsidRPr="00C46EB8">
        <w:rPr>
          <w:rFonts w:asciiTheme="minorHAnsi" w:hAnsiTheme="minorHAnsi" w:eastAsiaTheme="minorEastAsia" w:cstheme="minorBidi"/>
          <w:szCs w:val="22"/>
        </w:rPr>
        <w:t>Executive Order 12862, “Setting Customer Service Standards,” which directs Agencies to continually reform their management practices and operations to provide service to the public that matches or exceeds the best service available in the private sector; and</w:t>
      </w:r>
    </w:p>
    <w:p w:rsidRPr="00C46EB8" w:rsidR="00C46EB8" w:rsidP="00C46EB8" w:rsidRDefault="00C46EB8" w14:paraId="3EE63E27" w14:textId="77777777">
      <w:pPr>
        <w:pStyle w:val="P1-StandPara"/>
        <w:numPr>
          <w:ilvl w:val="0"/>
          <w:numId w:val="12"/>
        </w:numPr>
        <w:tabs>
          <w:tab w:val="left" w:pos="720"/>
          <w:tab w:val="right" w:leader="dot" w:pos="9504"/>
        </w:tabs>
        <w:spacing w:after="120" w:line="240" w:lineRule="auto"/>
        <w:rPr>
          <w:rFonts w:asciiTheme="minorHAnsi" w:hAnsiTheme="minorHAnsi"/>
          <w:b/>
          <w:szCs w:val="22"/>
        </w:rPr>
      </w:pPr>
      <w:r w:rsidRPr="00C46EB8">
        <w:rPr>
          <w:rFonts w:asciiTheme="minorHAnsi" w:hAnsiTheme="minorHAnsi" w:eastAsiaTheme="minorEastAsia" w:cstheme="minorBidi"/>
          <w:szCs w:val="22"/>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Pr="00C46EB8" w:rsidR="00C46EB8" w:rsidP="00C46EB8" w:rsidRDefault="00C46EB8" w14:paraId="0763D441" w14:textId="07F56D8B">
      <w:pPr>
        <w:pStyle w:val="P1-StandPara"/>
        <w:numPr>
          <w:ilvl w:val="0"/>
          <w:numId w:val="12"/>
        </w:numPr>
        <w:tabs>
          <w:tab w:val="left" w:pos="720"/>
          <w:tab w:val="right" w:leader="dot" w:pos="9504"/>
        </w:tabs>
        <w:spacing w:after="120" w:line="240" w:lineRule="auto"/>
        <w:rPr>
          <w:rFonts w:asciiTheme="minorHAnsi" w:hAnsiTheme="minorHAnsi"/>
          <w:b/>
          <w:szCs w:val="22"/>
        </w:rPr>
      </w:pPr>
      <w:r w:rsidRPr="00C46EB8">
        <w:rPr>
          <w:rFonts w:asciiTheme="minorHAnsi" w:hAnsiTheme="minorHAnsi" w:eastAsiaTheme="minorEastAsia" w:cstheme="minorBidi"/>
          <w:szCs w:val="22"/>
        </w:rPr>
        <w:t xml:space="preserve">Executive Order 13450 - Improving Government Program Performance, which calls for evaluation as outlined at: </w:t>
      </w:r>
      <w:hyperlink w:history="1" r:id="rId12">
        <w:r w:rsidRPr="0055593B">
          <w:rPr>
            <w:rStyle w:val="Hyperlink"/>
            <w:rFonts w:asciiTheme="minorHAnsi" w:hAnsiTheme="minorHAnsi" w:eastAsiaTheme="minorEastAsia" w:cstheme="minorBidi"/>
            <w:szCs w:val="22"/>
          </w:rPr>
          <w:t>https://www.whitehouse.gov/sites/default/files/omb/assets/performance_pdfs/eo13450.pdf</w:t>
        </w:r>
      </w:hyperlink>
    </w:p>
    <w:p w:rsidRPr="00C46EB8" w:rsidR="00C46EB8" w:rsidP="00C46EB8" w:rsidRDefault="00C46EB8" w14:paraId="47F128C8" w14:textId="2A0DC7AB">
      <w:pPr>
        <w:pStyle w:val="P1-StandPara"/>
        <w:numPr>
          <w:ilvl w:val="0"/>
          <w:numId w:val="12"/>
        </w:numPr>
        <w:tabs>
          <w:tab w:val="left" w:pos="720"/>
          <w:tab w:val="right" w:leader="dot" w:pos="9504"/>
        </w:tabs>
        <w:spacing w:after="120" w:line="240" w:lineRule="auto"/>
        <w:rPr>
          <w:rFonts w:asciiTheme="minorHAnsi" w:hAnsiTheme="minorHAnsi"/>
          <w:b/>
          <w:szCs w:val="22"/>
        </w:rPr>
      </w:pPr>
      <w:r w:rsidRPr="00C46EB8">
        <w:rPr>
          <w:rFonts w:asciiTheme="minorHAnsi" w:hAnsiTheme="minorHAnsi" w:eastAsiaTheme="minorEastAsia" w:cstheme="minorBidi"/>
          <w:szCs w:val="22"/>
        </w:rPr>
        <w:t>42 U.S. Code § 284n, “Certain demonstration projects” section, which was enacted as part of the National Institutes of Health Reform Act of 2006 to allocate funds for NIH institutes and centers to make grants for the purpose of improving public health through demonstration projects for biomedical research at the interface between the biological, behavioral, and social sciences and the physical, chemical, mathematical, and computational sciences [specifically, authority for NIH Office of Director that make the collection of information necessary as part of this initiative is based on the following: U.S. Code</w:t>
      </w:r>
      <w:r w:rsidR="00286704">
        <w:rPr>
          <w:rFonts w:asciiTheme="minorHAnsi" w:hAnsiTheme="minorHAnsi" w:eastAsiaTheme="minorEastAsia" w:cstheme="minorBidi"/>
          <w:szCs w:val="22"/>
        </w:rPr>
        <w:t xml:space="preserve"> </w:t>
      </w:r>
      <w:r w:rsidRPr="00C46EB8">
        <w:rPr>
          <w:rFonts w:asciiTheme="minorHAnsi" w:hAnsiTheme="minorHAnsi" w:eastAsiaTheme="minorEastAsia" w:cstheme="minorBidi"/>
          <w:szCs w:val="22"/>
        </w:rPr>
        <w:t>Title 42, Chapter 6A, Subchapter III, Part B - § 284n; “certain demonstration projects” at (https://www.law.cornell.edu/uscode/text/42/284n) and (</w:t>
      </w:r>
      <w:hyperlink w:history="1" r:id="rId13">
        <w:r w:rsidRPr="0055593B">
          <w:rPr>
            <w:rStyle w:val="Hyperlink"/>
            <w:rFonts w:asciiTheme="minorHAnsi" w:hAnsiTheme="minorHAnsi" w:eastAsiaTheme="minorEastAsia" w:cstheme="minorBidi"/>
            <w:szCs w:val="22"/>
          </w:rPr>
          <w:t>http://www.law.cornell.edu/uscode/html/uscode42/usc_sup_01_42_10_6A_20_III_30_B.html)</w:t>
        </w:r>
      </w:hyperlink>
      <w:r w:rsidRPr="00C46EB8">
        <w:rPr>
          <w:rFonts w:asciiTheme="minorHAnsi" w:hAnsiTheme="minorHAnsi" w:eastAsiaTheme="minorEastAsia" w:cstheme="minorBidi"/>
          <w:szCs w:val="22"/>
        </w:rPr>
        <w:t>].</w:t>
      </w:r>
    </w:p>
    <w:bookmarkEnd w:id="8"/>
    <w:p w:rsidR="00237DE7" w:rsidP="00C46EB8" w:rsidRDefault="00237DE7" w14:paraId="214EB861" w14:textId="77777777">
      <w:pPr>
        <w:pStyle w:val="P1-StandPara"/>
        <w:tabs>
          <w:tab w:val="left" w:pos="720"/>
          <w:tab w:val="right" w:leader="dot" w:pos="9504"/>
        </w:tabs>
        <w:spacing w:after="120" w:line="240" w:lineRule="auto"/>
        <w:ind w:firstLine="0"/>
        <w:rPr>
          <w:rFonts w:asciiTheme="minorHAnsi" w:hAnsiTheme="minorHAnsi"/>
          <w:szCs w:val="22"/>
        </w:rPr>
      </w:pPr>
    </w:p>
    <w:p w:rsidR="00C46EB8" w:rsidP="00C46EB8" w:rsidRDefault="00C46EB8" w14:paraId="204E12B2" w14:textId="5F207B46">
      <w:pPr>
        <w:pStyle w:val="P1-StandPara"/>
        <w:tabs>
          <w:tab w:val="left" w:pos="720"/>
          <w:tab w:val="right" w:leader="dot" w:pos="9504"/>
        </w:tabs>
        <w:spacing w:after="120" w:line="240" w:lineRule="auto"/>
        <w:ind w:firstLine="0"/>
        <w:rPr>
          <w:rFonts w:asciiTheme="minorHAnsi" w:hAnsiTheme="minorHAnsi"/>
          <w:szCs w:val="22"/>
        </w:rPr>
      </w:pPr>
      <w:r w:rsidRPr="00C46EB8">
        <w:rPr>
          <w:rFonts w:asciiTheme="minorHAnsi" w:hAnsiTheme="minorHAnsi"/>
          <w:szCs w:val="22"/>
        </w:rPr>
        <w:lastRenderedPageBreak/>
        <w:t>The Enhancing the Diversity of the NIH-funded Workforce Program</w:t>
      </w:r>
      <w:r w:rsidR="00796E2D">
        <w:rPr>
          <w:rStyle w:val="FootnoteReference"/>
          <w:rFonts w:asciiTheme="minorHAnsi" w:hAnsiTheme="minorHAnsi"/>
          <w:szCs w:val="22"/>
        </w:rPr>
        <w:footnoteReference w:id="1"/>
      </w:r>
      <w:r w:rsidRPr="00C46EB8">
        <w:rPr>
          <w:rFonts w:asciiTheme="minorHAnsi" w:hAnsiTheme="minorHAnsi"/>
          <w:szCs w:val="22"/>
        </w:rPr>
        <w:t xml:space="preserve"> (also called the Diversity Program Consortium) was established in FY 2014 in response to a set of recommendations provided by the NIH Advisory Committee to the Director (ACD) Working Group on Diversity in the Biomedical Research Workforce (see Attachment 2</w:t>
      </w:r>
      <w:r w:rsidR="00144394">
        <w:rPr>
          <w:rFonts w:asciiTheme="minorHAnsi" w:hAnsiTheme="minorHAnsi"/>
          <w:szCs w:val="22"/>
        </w:rPr>
        <w:t>1</w:t>
      </w:r>
      <w:r w:rsidRPr="00C46EB8">
        <w:rPr>
          <w:rFonts w:asciiTheme="minorHAnsi" w:hAnsiTheme="minorHAnsi"/>
          <w:szCs w:val="22"/>
        </w:rPr>
        <w:t xml:space="preserve"> for the original member list). The ACD Working Group reviewed a study conducted by Ginther et al., (2011), presenting data regarding significant racial disparities in funding success of NIH R01awards.</w:t>
      </w:r>
      <w:r w:rsidR="007C2B3F">
        <w:rPr>
          <w:rStyle w:val="FootnoteReference"/>
          <w:rFonts w:asciiTheme="minorHAnsi" w:hAnsiTheme="minorHAnsi"/>
          <w:szCs w:val="22"/>
        </w:rPr>
        <w:footnoteReference w:id="2"/>
      </w:r>
      <w:r w:rsidRPr="00C46EB8">
        <w:rPr>
          <w:rFonts w:asciiTheme="minorHAnsi" w:hAnsiTheme="minorHAnsi"/>
          <w:szCs w:val="22"/>
        </w:rPr>
        <w:t xml:space="preserve"> In response, the ACD working group provided a set of 13 recommendations in four broad areas: data collection/evaluation; mentoring/career preparation and retention; institutional support; and research and intervention testing. These recommendations were the genesis of the development of Funding Opportunity Announcements for the NIH Building Infrastructure Leading to Diversity (BUILD) Initiative (Attachments 1 and </w:t>
      </w:r>
      <w:r w:rsidR="00144394">
        <w:rPr>
          <w:rFonts w:asciiTheme="minorHAnsi" w:hAnsiTheme="minorHAnsi"/>
          <w:szCs w:val="22"/>
        </w:rPr>
        <w:t>2</w:t>
      </w:r>
      <w:r w:rsidRPr="00C46EB8">
        <w:rPr>
          <w:rFonts w:asciiTheme="minorHAnsi" w:hAnsiTheme="minorHAnsi"/>
          <w:szCs w:val="22"/>
        </w:rPr>
        <w:t xml:space="preserve">), National Research Mentoring Network (NRMN) (Attachment </w:t>
      </w:r>
      <w:r w:rsidR="00144394">
        <w:rPr>
          <w:rFonts w:asciiTheme="minorHAnsi" w:hAnsiTheme="minorHAnsi"/>
          <w:szCs w:val="22"/>
        </w:rPr>
        <w:t>3</w:t>
      </w:r>
      <w:r w:rsidRPr="00C46EB8">
        <w:rPr>
          <w:rFonts w:asciiTheme="minorHAnsi" w:hAnsiTheme="minorHAnsi"/>
          <w:szCs w:val="22"/>
        </w:rPr>
        <w:t xml:space="preserve">) and the Coordination and Evaluation Center for Enhancing the Diversity of the NIH-Funded Workforce Program (Attachments </w:t>
      </w:r>
      <w:r w:rsidR="00144394">
        <w:rPr>
          <w:rFonts w:asciiTheme="minorHAnsi" w:hAnsiTheme="minorHAnsi"/>
          <w:szCs w:val="22"/>
        </w:rPr>
        <w:t>4</w:t>
      </w:r>
      <w:r w:rsidRPr="00C46EB8">
        <w:rPr>
          <w:rFonts w:asciiTheme="minorHAnsi" w:hAnsiTheme="minorHAnsi"/>
          <w:szCs w:val="22"/>
        </w:rPr>
        <w:t xml:space="preserve"> and </w:t>
      </w:r>
      <w:r w:rsidR="00144394">
        <w:rPr>
          <w:rFonts w:asciiTheme="minorHAnsi" w:hAnsiTheme="minorHAnsi"/>
          <w:szCs w:val="22"/>
        </w:rPr>
        <w:t>5</w:t>
      </w:r>
      <w:r w:rsidRPr="00C46EB8">
        <w:rPr>
          <w:rFonts w:asciiTheme="minorHAnsi" w:hAnsiTheme="minorHAnsi"/>
          <w:szCs w:val="22"/>
        </w:rPr>
        <w:t xml:space="preserve">).  </w:t>
      </w:r>
    </w:p>
    <w:p w:rsidR="00237DE7" w:rsidP="00C46EB8" w:rsidRDefault="00237DE7" w14:paraId="0B64E49D" w14:textId="77777777">
      <w:pPr>
        <w:pStyle w:val="P1-StandPara"/>
        <w:tabs>
          <w:tab w:val="left" w:pos="720"/>
          <w:tab w:val="right" w:leader="dot" w:pos="9504"/>
        </w:tabs>
        <w:spacing w:after="120" w:line="240" w:lineRule="auto"/>
        <w:ind w:firstLine="0"/>
        <w:rPr>
          <w:rFonts w:asciiTheme="minorHAnsi" w:hAnsiTheme="minorHAnsi"/>
          <w:szCs w:val="22"/>
        </w:rPr>
      </w:pPr>
    </w:p>
    <w:p w:rsidRPr="00C46EB8" w:rsidR="00C46EB8" w:rsidP="00C46EB8" w:rsidRDefault="00C46EB8" w14:paraId="39B3E112" w14:textId="6404134A">
      <w:pPr>
        <w:pStyle w:val="P1-StandPara"/>
        <w:tabs>
          <w:tab w:val="left" w:pos="720"/>
          <w:tab w:val="right" w:leader="dot" w:pos="9504"/>
        </w:tabs>
        <w:spacing w:after="120" w:line="240" w:lineRule="auto"/>
        <w:ind w:firstLine="0"/>
        <w:rPr>
          <w:rFonts w:asciiTheme="minorHAnsi" w:hAnsiTheme="minorHAnsi"/>
          <w:szCs w:val="22"/>
        </w:rPr>
      </w:pPr>
      <w:r w:rsidRPr="00C46EB8">
        <w:rPr>
          <w:rFonts w:asciiTheme="minorHAnsi" w:hAnsiTheme="minorHAnsi"/>
          <w:szCs w:val="22"/>
        </w:rPr>
        <w:t>The Diversity Program</w:t>
      </w:r>
      <w:r w:rsidR="00A11A41">
        <w:rPr>
          <w:rFonts w:asciiTheme="minorHAnsi" w:hAnsiTheme="minorHAnsi"/>
          <w:szCs w:val="22"/>
        </w:rPr>
        <w:t xml:space="preserve"> Consortium</w:t>
      </w:r>
      <w:r w:rsidRPr="00C46EB8">
        <w:rPr>
          <w:rFonts w:asciiTheme="minorHAnsi" w:hAnsiTheme="minorHAnsi"/>
          <w:szCs w:val="22"/>
        </w:rPr>
        <w:t xml:space="preserve"> is funded by the Office of Strategic Coordination (OSC), located in the Division of Program Coordination, Planning and Strategic Initiatives (DPCPSI) at the Office of the Director (OD), and managed by the National Institute of General Medical Sciences (NIGMS). This initiative is a critical investment in biomedical student, faculty and mentoring, and infrastructure development that is necessary to achieve the NIH and the nation’s goal of enhancing diversity in the biomedical and health professional workforce as a key strategy for improving the health of the nation.</w:t>
      </w:r>
    </w:p>
    <w:p w:rsidRPr="00C46EB8" w:rsidR="00C46EB8" w:rsidP="00C46EB8" w:rsidRDefault="00C46EB8" w14:paraId="44CE5511" w14:textId="77777777">
      <w:pPr>
        <w:pStyle w:val="P1-StandPara"/>
        <w:tabs>
          <w:tab w:val="left" w:pos="720"/>
          <w:tab w:val="right" w:leader="dot" w:pos="9504"/>
        </w:tabs>
        <w:spacing w:after="120" w:line="240" w:lineRule="auto"/>
        <w:rPr>
          <w:rFonts w:asciiTheme="minorHAnsi" w:hAnsiTheme="minorHAnsi"/>
          <w:szCs w:val="22"/>
        </w:rPr>
      </w:pPr>
    </w:p>
    <w:p w:rsidRPr="00C46EB8" w:rsidR="00C46EB8" w:rsidP="00C46EB8" w:rsidRDefault="00C46EB8" w14:paraId="3AA24BBC" w14:textId="77777777">
      <w:pPr>
        <w:pStyle w:val="P1-StandPara"/>
        <w:tabs>
          <w:tab w:val="left" w:pos="720"/>
          <w:tab w:val="right" w:leader="dot" w:pos="9504"/>
        </w:tabs>
        <w:spacing w:after="120" w:line="240" w:lineRule="auto"/>
        <w:ind w:firstLine="0"/>
        <w:rPr>
          <w:rFonts w:asciiTheme="minorHAnsi" w:hAnsiTheme="minorHAnsi"/>
          <w:szCs w:val="22"/>
        </w:rPr>
      </w:pPr>
      <w:r w:rsidRPr="00C46EB8">
        <w:rPr>
          <w:rFonts w:asciiTheme="minorHAnsi" w:hAnsiTheme="minorHAnsi"/>
          <w:szCs w:val="22"/>
        </w:rPr>
        <w:t xml:space="preserve">The Diversity Program Consortium supports complementary efforts to achieve its overarching goal of enhancing the diversity of the NIH-funded biomedical workforce.  The 10 BUILD awards were granted to a diverse set of institutions nationwide with high levels of low-income students and limited previous NIH funding. The BUILD initiative supports the design and implementation of innovative programs, strategies and approaches to transform undergraduate research training and mentorship. The BUILD program elements at funded institutions include interventions at the student, faculty, and institutional level (see Attachment 5). Institutions funded through the BUILD initiative were encouraged to partner with other academic institutions as well as industry to provide a wealth of diverse training opportunities for their students.  The support given to BUILD institutions is expected to directly impact undergraduate students and faculty as well as strengthen institutional research infrastructure (e.g. student recruitment, research training opportunities, faculty tenure and promotion, curriculum development, etc.) in biomedical disciplines. The programs aim to produce knowledge to promote culture change in the fields of biomedical education and training. </w:t>
      </w:r>
    </w:p>
    <w:p w:rsidRPr="00C46EB8" w:rsidR="00C46EB8" w:rsidP="00C46EB8" w:rsidRDefault="00C46EB8" w14:paraId="7F404DF9" w14:textId="77777777">
      <w:pPr>
        <w:pStyle w:val="P1-StandPara"/>
        <w:tabs>
          <w:tab w:val="left" w:pos="720"/>
          <w:tab w:val="right" w:leader="dot" w:pos="9504"/>
        </w:tabs>
        <w:spacing w:after="120" w:line="240" w:lineRule="auto"/>
        <w:rPr>
          <w:rFonts w:asciiTheme="minorHAnsi" w:hAnsiTheme="minorHAnsi"/>
          <w:szCs w:val="22"/>
        </w:rPr>
      </w:pPr>
    </w:p>
    <w:p w:rsidRPr="00C46EB8" w:rsidR="00C46EB8" w:rsidP="00C46EB8" w:rsidRDefault="00C46EB8" w14:paraId="60FC5220" w14:textId="77777777">
      <w:pPr>
        <w:pStyle w:val="P1-StandPara"/>
        <w:tabs>
          <w:tab w:val="left" w:pos="720"/>
          <w:tab w:val="right" w:leader="dot" w:pos="9504"/>
        </w:tabs>
        <w:spacing w:after="120" w:line="240" w:lineRule="auto"/>
        <w:ind w:firstLine="0"/>
        <w:rPr>
          <w:rFonts w:asciiTheme="minorHAnsi" w:hAnsiTheme="minorHAnsi"/>
          <w:szCs w:val="22"/>
        </w:rPr>
      </w:pPr>
      <w:r w:rsidRPr="00C46EB8">
        <w:rPr>
          <w:rFonts w:asciiTheme="minorHAnsi" w:hAnsiTheme="minorHAnsi"/>
          <w:szCs w:val="22"/>
        </w:rPr>
        <w:t xml:space="preserve">Complementing the BUILD initiative, the NRMN Phase I initiative provided mentoring resources and training to a nationwide consortium of individuals from diverse backgrounds at all career and training levels in biomedical research fields.  </w:t>
      </w:r>
    </w:p>
    <w:p w:rsidRPr="00C46EB8" w:rsidR="00C46EB8" w:rsidP="00C46EB8" w:rsidRDefault="00C46EB8" w14:paraId="4AE77B74" w14:textId="77777777">
      <w:pPr>
        <w:pStyle w:val="P1-StandPara"/>
        <w:tabs>
          <w:tab w:val="left" w:pos="720"/>
          <w:tab w:val="right" w:leader="dot" w:pos="9504"/>
        </w:tabs>
        <w:spacing w:after="120" w:line="240" w:lineRule="auto"/>
        <w:rPr>
          <w:rFonts w:asciiTheme="minorHAnsi" w:hAnsiTheme="minorHAnsi"/>
          <w:szCs w:val="22"/>
        </w:rPr>
      </w:pPr>
    </w:p>
    <w:p w:rsidRPr="00C46EB8" w:rsidR="00C46EB8" w:rsidP="00C46EB8" w:rsidRDefault="00C46EB8" w14:paraId="2D77E536" w14:textId="77777777">
      <w:pPr>
        <w:pStyle w:val="P1-StandPara"/>
        <w:tabs>
          <w:tab w:val="left" w:pos="720"/>
          <w:tab w:val="right" w:leader="dot" w:pos="9504"/>
        </w:tabs>
        <w:spacing w:after="120" w:line="240" w:lineRule="auto"/>
        <w:ind w:firstLine="0"/>
        <w:rPr>
          <w:rFonts w:asciiTheme="minorHAnsi" w:hAnsiTheme="minorHAnsi"/>
          <w:szCs w:val="22"/>
        </w:rPr>
      </w:pPr>
      <w:r w:rsidRPr="00C46EB8">
        <w:rPr>
          <w:rFonts w:asciiTheme="minorHAnsi" w:hAnsiTheme="minorHAnsi"/>
          <w:szCs w:val="22"/>
        </w:rPr>
        <w:t xml:space="preserve">The CEC is responsible for the development and implementation of the required consortium-wide evaluation for bringing together the awardees to work collaboratively as a consortium along with the NIH </w:t>
      </w:r>
      <w:r w:rsidRPr="00C46EB8">
        <w:rPr>
          <w:rFonts w:asciiTheme="minorHAnsi" w:hAnsiTheme="minorHAnsi"/>
          <w:szCs w:val="22"/>
        </w:rPr>
        <w:lastRenderedPageBreak/>
        <w:t>to achieve the stated goals. The CEC is tasked with conducting a comprehensive evaluation of the Diversity Program Consortium activities (FY2015-FY2024). This request is for OMB clearance for an additional 3 years to continue the efforts. OMB clearance for the final year(s) will be sought in future years.  BUILD and NRMN outcome evaluations will support the assessment of the Diversity Program Consortium’s overall effectiveness, produce knowledge that can be widely disseminated to transform research training and mentoring nationwide, and inform NIH’s training and diversity efforts. Data and knowledge developed from this evaluation will be directly responsive to the recommendations set forth by the ACD Working Group to the NIH Director. The transformative potential of this program will be realized as successful models of training, mentoring, and institutional development are disseminated and adopted across NIH and nationwide.</w:t>
      </w:r>
    </w:p>
    <w:p w:rsidRPr="00C46EB8" w:rsidR="00C46EB8" w:rsidP="00237DE7" w:rsidRDefault="00C46EB8" w14:paraId="6BA11AD0" w14:textId="77777777">
      <w:pPr>
        <w:pStyle w:val="P1-StandPara"/>
        <w:tabs>
          <w:tab w:val="left" w:pos="720"/>
          <w:tab w:val="right" w:leader="dot" w:pos="9504"/>
        </w:tabs>
        <w:spacing w:after="120" w:line="240" w:lineRule="auto"/>
        <w:ind w:firstLine="0"/>
        <w:rPr>
          <w:rFonts w:asciiTheme="minorHAnsi" w:hAnsiTheme="minorHAnsi"/>
          <w:szCs w:val="22"/>
        </w:rPr>
      </w:pPr>
    </w:p>
    <w:p w:rsidR="00C46EB8" w:rsidP="00C46EB8" w:rsidRDefault="00C46EB8" w14:paraId="6CF171C2" w14:textId="68E40CA3">
      <w:pPr>
        <w:pStyle w:val="P1-StandPara"/>
        <w:tabs>
          <w:tab w:val="left" w:pos="720"/>
          <w:tab w:val="right" w:leader="dot" w:pos="9504"/>
        </w:tabs>
        <w:spacing w:after="120" w:line="240" w:lineRule="auto"/>
        <w:ind w:firstLine="0"/>
        <w:rPr>
          <w:rFonts w:asciiTheme="minorHAnsi" w:hAnsiTheme="minorHAnsi"/>
          <w:szCs w:val="22"/>
        </w:rPr>
      </w:pPr>
      <w:r w:rsidRPr="00C46EB8">
        <w:rPr>
          <w:rFonts w:asciiTheme="minorHAnsi" w:hAnsiTheme="minorHAnsi"/>
          <w:szCs w:val="22"/>
        </w:rPr>
        <w:t xml:space="preserve">Evaluation of the BUILD program includes assessing the outcomes described in the Hallmarks of Success using the data elements described in this application (Attachment </w:t>
      </w:r>
      <w:r w:rsidR="00144394">
        <w:rPr>
          <w:rFonts w:asciiTheme="minorHAnsi" w:hAnsiTheme="minorHAnsi"/>
          <w:szCs w:val="22"/>
        </w:rPr>
        <w:t>7</w:t>
      </w:r>
      <w:r w:rsidRPr="00C46EB8">
        <w:rPr>
          <w:rFonts w:asciiTheme="minorHAnsi" w:hAnsiTheme="minorHAnsi"/>
          <w:szCs w:val="22"/>
        </w:rPr>
        <w:t xml:space="preserve">) and producing robust evaluation products (Attachment </w:t>
      </w:r>
      <w:r w:rsidR="00144394">
        <w:rPr>
          <w:rFonts w:asciiTheme="minorHAnsi" w:hAnsiTheme="minorHAnsi"/>
          <w:szCs w:val="22"/>
        </w:rPr>
        <w:t>8</w:t>
      </w:r>
      <w:r w:rsidRPr="00C46EB8">
        <w:rPr>
          <w:rFonts w:asciiTheme="minorHAnsi" w:hAnsiTheme="minorHAnsi"/>
          <w:szCs w:val="22"/>
        </w:rPr>
        <w:t xml:space="preserve">). The process may be visualized using the BUILD Logic Models (Attachment </w:t>
      </w:r>
      <w:r w:rsidR="00144394">
        <w:rPr>
          <w:rFonts w:asciiTheme="minorHAnsi" w:hAnsiTheme="minorHAnsi"/>
          <w:szCs w:val="22"/>
        </w:rPr>
        <w:t>10</w:t>
      </w:r>
      <w:r w:rsidRPr="00C46EB8">
        <w:rPr>
          <w:rFonts w:asciiTheme="minorHAnsi" w:hAnsiTheme="minorHAnsi"/>
          <w:szCs w:val="22"/>
        </w:rPr>
        <w:t>).</w:t>
      </w:r>
    </w:p>
    <w:p w:rsidR="00C46EB8" w:rsidP="00C46EB8" w:rsidRDefault="00C46EB8" w14:paraId="3C434818" w14:textId="639E04C8">
      <w:pPr>
        <w:pStyle w:val="P1-StandPara"/>
        <w:tabs>
          <w:tab w:val="left" w:pos="720"/>
          <w:tab w:val="right" w:leader="dot" w:pos="9504"/>
        </w:tabs>
        <w:spacing w:after="120" w:line="240" w:lineRule="auto"/>
        <w:ind w:firstLine="0"/>
        <w:rPr>
          <w:rFonts w:asciiTheme="minorHAnsi" w:hAnsiTheme="minorHAnsi"/>
          <w:szCs w:val="22"/>
        </w:rPr>
      </w:pPr>
    </w:p>
    <w:p w:rsidR="00C46EB8" w:rsidP="00C46EB8" w:rsidRDefault="00C46EB8" w14:paraId="6F81DAE2" w14:textId="7E3351F3">
      <w:pPr>
        <w:pStyle w:val="P1-StandPara"/>
        <w:tabs>
          <w:tab w:val="left" w:pos="720"/>
          <w:tab w:val="right" w:leader="dot" w:pos="9504"/>
        </w:tabs>
        <w:spacing w:after="120" w:line="240" w:lineRule="auto"/>
        <w:ind w:firstLine="0"/>
        <w:rPr>
          <w:rFonts w:asciiTheme="minorHAnsi" w:hAnsiTheme="minorHAnsi"/>
          <w:szCs w:val="22"/>
        </w:rPr>
      </w:pPr>
      <w:r w:rsidRPr="00363C92">
        <w:rPr>
          <w:rFonts w:asciiTheme="minorHAnsi" w:hAnsiTheme="minorHAnsi"/>
          <w:b/>
          <w:szCs w:val="22"/>
        </w:rPr>
        <w:t>BUILD Student Outcomes include</w:t>
      </w:r>
      <w:r w:rsidRPr="00C46EB8">
        <w:rPr>
          <w:rFonts w:asciiTheme="minorHAnsi" w:hAnsiTheme="minorHAnsi"/>
          <w:szCs w:val="22"/>
        </w:rPr>
        <w:t xml:space="preserve"> </w:t>
      </w:r>
      <w:r>
        <w:rPr>
          <w:rFonts w:asciiTheme="minorHAnsi" w:hAnsiTheme="minorHAnsi"/>
          <w:szCs w:val="22"/>
        </w:rPr>
        <w:t>–</w:t>
      </w:r>
    </w:p>
    <w:p w:rsidRPr="00363C92" w:rsidR="00363C92" w:rsidP="00363C92" w:rsidRDefault="00C46EB8" w14:paraId="3E81A76D"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High academic self-efficacy</w:t>
      </w:r>
    </w:p>
    <w:p w:rsidRPr="00363C92" w:rsidR="00363C92" w:rsidP="00363C92" w:rsidRDefault="00C46EB8" w14:paraId="41344B16" w14:textId="0E316E6D">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High self-efficacy as a researcher</w:t>
      </w:r>
    </w:p>
    <w:p w:rsidR="00363C92" w:rsidP="00363C92" w:rsidRDefault="00C46EB8" w14:paraId="51102D93"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High science identity</w:t>
      </w:r>
    </w:p>
    <w:p w:rsidR="00363C92" w:rsidP="00363C92" w:rsidRDefault="00C46EB8" w14:paraId="2FBB23A8"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Satisfaction with quality of mentorship</w:t>
      </w:r>
    </w:p>
    <w:p w:rsidR="00363C92" w:rsidP="00363C92" w:rsidRDefault="00C46EB8" w14:paraId="7FF5172E"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Perceived sense of belonging within the university</w:t>
      </w:r>
    </w:p>
    <w:p w:rsidR="00363C92" w:rsidP="00363C92" w:rsidRDefault="00C46EB8" w14:paraId="4A8F6976"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Perceived sense of belonging within the research community</w:t>
      </w:r>
    </w:p>
    <w:p w:rsidR="00363C92" w:rsidP="00363C92" w:rsidRDefault="00C46EB8" w14:paraId="4EB5C3F7"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Intent to pursue a career in biomedical research</w:t>
      </w:r>
    </w:p>
    <w:p w:rsidR="00363C92" w:rsidP="00363C92" w:rsidRDefault="00C46EB8" w14:paraId="3164D761"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Entry into an undergraduate biomedical degree program</w:t>
      </w:r>
    </w:p>
    <w:p w:rsidR="00363C92" w:rsidP="00363C92" w:rsidRDefault="00C46EB8" w14:paraId="5A2041A7"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Persistence in biomedical degree or other formal research training program</w:t>
      </w:r>
    </w:p>
    <w:p w:rsidR="00363C92" w:rsidP="00363C92" w:rsidRDefault="00C46EB8" w14:paraId="5BBE1D05"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Frequent receipt of mentoring to enhance success in the biomedical pathway</w:t>
      </w:r>
    </w:p>
    <w:p w:rsidR="00363C92" w:rsidP="00363C92" w:rsidRDefault="00C46EB8" w14:paraId="732645AC"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Participation in mentored or supervised biomedical research</w:t>
      </w:r>
    </w:p>
    <w:p w:rsidR="00363C92" w:rsidP="00363C92" w:rsidRDefault="00C46EB8" w14:paraId="78C996CF"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Evidence of competitiveness for transitioning into the next phase in the biomedical career pathway</w:t>
      </w:r>
    </w:p>
    <w:p w:rsidR="00363C92" w:rsidP="00363C92" w:rsidRDefault="00C46EB8" w14:paraId="2E821373"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Participation in academic or professional organizations related to biomedical disciplines</w:t>
      </w:r>
    </w:p>
    <w:p w:rsidR="00363C92" w:rsidP="00363C92" w:rsidRDefault="00C46EB8" w14:paraId="493B90C4"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Evidence of excelling in biomedical research and scholarship</w:t>
      </w:r>
    </w:p>
    <w:p w:rsidR="00363C92" w:rsidP="00363C92" w:rsidRDefault="00C46EB8" w14:paraId="4EEE0CC3"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Strong academic and professional networks</w:t>
      </w:r>
    </w:p>
    <w:p w:rsidR="00363C92" w:rsidP="00363C92" w:rsidRDefault="00C46EB8" w14:paraId="368B58D1"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Completion of biomedical degree or other formal training program</w:t>
      </w:r>
    </w:p>
    <w:p w:rsidR="00363C92" w:rsidP="00363C92" w:rsidRDefault="00C46EB8" w14:paraId="53751467" w14:textId="77777777">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Application and acceptance to a subsequent research training program in a biomedical discipline</w:t>
      </w:r>
    </w:p>
    <w:p w:rsidRPr="00363C92" w:rsidR="00C46EB8" w:rsidP="00363C92" w:rsidRDefault="00C46EB8" w14:paraId="19204BA9" w14:textId="30F21DFC">
      <w:pPr>
        <w:pStyle w:val="P1-StandPara"/>
        <w:numPr>
          <w:ilvl w:val="0"/>
          <w:numId w:val="13"/>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Entrance into a subsequent research training program in a biomedical discipline</w:t>
      </w:r>
    </w:p>
    <w:p w:rsidR="00C46EB8" w:rsidP="00363C92" w:rsidRDefault="00C46EB8" w14:paraId="07035396" w14:textId="7335ECFF">
      <w:pPr>
        <w:pStyle w:val="P1-StandPara"/>
        <w:tabs>
          <w:tab w:val="left" w:pos="720"/>
          <w:tab w:val="right" w:leader="dot" w:pos="9504"/>
        </w:tabs>
        <w:spacing w:line="240" w:lineRule="auto"/>
        <w:rPr>
          <w:rFonts w:asciiTheme="minorHAnsi" w:hAnsiTheme="minorHAnsi" w:cstheme="minorHAnsi"/>
          <w:szCs w:val="22"/>
        </w:rPr>
      </w:pPr>
    </w:p>
    <w:p w:rsidRPr="00363C92" w:rsidR="00237DE7" w:rsidP="00363C92" w:rsidRDefault="00237DE7" w14:paraId="76D1E3C7" w14:textId="77777777">
      <w:pPr>
        <w:pStyle w:val="P1-StandPara"/>
        <w:tabs>
          <w:tab w:val="left" w:pos="720"/>
          <w:tab w:val="right" w:leader="dot" w:pos="9504"/>
        </w:tabs>
        <w:spacing w:line="240" w:lineRule="auto"/>
        <w:rPr>
          <w:rFonts w:asciiTheme="minorHAnsi" w:hAnsiTheme="minorHAnsi" w:cstheme="minorHAnsi"/>
          <w:szCs w:val="22"/>
        </w:rPr>
      </w:pPr>
    </w:p>
    <w:p w:rsidR="00363C92" w:rsidP="00363C92" w:rsidRDefault="00C46EB8" w14:paraId="612C8910" w14:textId="77777777">
      <w:pPr>
        <w:pStyle w:val="P1-StandPara"/>
        <w:tabs>
          <w:tab w:val="left" w:pos="720"/>
          <w:tab w:val="right" w:leader="dot" w:pos="9504"/>
        </w:tabs>
        <w:spacing w:line="240" w:lineRule="auto"/>
        <w:ind w:firstLine="0"/>
        <w:rPr>
          <w:rFonts w:asciiTheme="minorHAnsi" w:hAnsiTheme="minorHAnsi" w:cstheme="minorHAnsi"/>
          <w:b/>
          <w:szCs w:val="22"/>
        </w:rPr>
      </w:pPr>
      <w:r w:rsidRPr="00363C92">
        <w:rPr>
          <w:rFonts w:asciiTheme="minorHAnsi" w:hAnsiTheme="minorHAnsi" w:cstheme="minorHAnsi"/>
          <w:b/>
          <w:szCs w:val="22"/>
        </w:rPr>
        <w:t xml:space="preserve">BUILD Faculty/mentor outcomes include – </w:t>
      </w:r>
    </w:p>
    <w:p w:rsidR="00363C92" w:rsidP="00363C92" w:rsidRDefault="00C46EB8" w14:paraId="7E8C1257"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High self-efficacy as an instructor in a biomedical field</w:t>
      </w:r>
    </w:p>
    <w:p w:rsidR="00363C92" w:rsidP="00363C92" w:rsidRDefault="00C46EB8" w14:paraId="1930CB1D"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High self-efficacy as an instructor to a diverse group of biomedical students</w:t>
      </w:r>
    </w:p>
    <w:p w:rsidR="00363C92" w:rsidP="00363C92" w:rsidRDefault="00C46EB8" w14:paraId="07320F8B"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High self-efficacy as a mentor to biomedical research trainees</w:t>
      </w:r>
    </w:p>
    <w:p w:rsidR="00363C92" w:rsidP="00363C92" w:rsidRDefault="00C46EB8" w14:paraId="78053CDB"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High self-efficacy as a mentor to a diverse group of biomedical research trainees</w:t>
      </w:r>
    </w:p>
    <w:p w:rsidR="00363C92" w:rsidP="00363C92" w:rsidRDefault="00C46EB8" w14:paraId="2F989ACF"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 xml:space="preserve">Frequently </w:t>
      </w:r>
      <w:proofErr w:type="gramStart"/>
      <w:r w:rsidRPr="00363C92">
        <w:rPr>
          <w:rFonts w:asciiTheme="minorHAnsi" w:hAnsiTheme="minorHAnsi" w:cstheme="minorHAnsi"/>
          <w:szCs w:val="22"/>
        </w:rPr>
        <w:t>mentors</w:t>
      </w:r>
      <w:proofErr w:type="gramEnd"/>
      <w:r w:rsidRPr="00363C92">
        <w:rPr>
          <w:rFonts w:asciiTheme="minorHAnsi" w:hAnsiTheme="minorHAnsi" w:cstheme="minorHAnsi"/>
          <w:szCs w:val="22"/>
        </w:rPr>
        <w:t xml:space="preserve"> students, post-docs, and/or more junior faculty on biomedical related issues</w:t>
      </w:r>
    </w:p>
    <w:p w:rsidR="00363C92" w:rsidP="00363C92" w:rsidRDefault="00C46EB8" w14:paraId="7250B925"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High self-efficacy as an independent biomedical researcher</w:t>
      </w:r>
    </w:p>
    <w:p w:rsidR="00363C92" w:rsidP="00363C92" w:rsidRDefault="00C46EB8" w14:paraId="507AD241"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High self-efficacy in the ability to secure external funding</w:t>
      </w:r>
    </w:p>
    <w:p w:rsidR="00363C92" w:rsidP="00363C92" w:rsidRDefault="00C46EB8" w14:paraId="14589CC1"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Engaged in activities to secure research or research training funding</w:t>
      </w:r>
    </w:p>
    <w:p w:rsidR="00363C92" w:rsidP="00363C92" w:rsidRDefault="00C46EB8" w14:paraId="6F5135C3"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lastRenderedPageBreak/>
        <w:t>Securing research or research training funding</w:t>
      </w:r>
    </w:p>
    <w:p w:rsidR="00363C92" w:rsidP="00363C92" w:rsidRDefault="00C46EB8" w14:paraId="6E6C6410"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Evidence of scholarly productivity</w:t>
      </w:r>
    </w:p>
    <w:p w:rsidR="00363C92" w:rsidP="00363C92" w:rsidRDefault="00C46EB8" w14:paraId="4EB4E8FF"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Evidence of professional recognition and service</w:t>
      </w:r>
    </w:p>
    <w:p w:rsidR="00363C92" w:rsidP="00363C92" w:rsidRDefault="00C46EB8" w14:paraId="28C6434C"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Strong academic and professional networks</w:t>
      </w:r>
    </w:p>
    <w:p w:rsidR="00363C92" w:rsidP="00363C92" w:rsidRDefault="00C46EB8" w14:paraId="6E685957"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Advancement to next career stage</w:t>
      </w:r>
    </w:p>
    <w:p w:rsidR="00363C92" w:rsidP="00363C92" w:rsidRDefault="00C46EB8" w14:paraId="486FE42B"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Advancement to leadership positions in biomedical research and research training</w:t>
      </w:r>
    </w:p>
    <w:p w:rsidR="00363C92" w:rsidP="00363C92" w:rsidRDefault="00C46EB8" w14:paraId="75EE0142"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Evidence of receiving training in areas to foster inclusive research training environments</w:t>
      </w:r>
    </w:p>
    <w:p w:rsidR="00363C92" w:rsidP="00363C92" w:rsidRDefault="00C46EB8" w14:paraId="567CF3A3" w14:textId="77777777">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Strong self-efficacy to act as a change agent to enhance diversity in biomedical research and research training environments</w:t>
      </w:r>
    </w:p>
    <w:p w:rsidRPr="00363C92" w:rsidR="00C46EB8" w:rsidP="00363C92" w:rsidRDefault="00C46EB8" w14:paraId="22E0BD1A" w14:textId="4E2E04DA">
      <w:pPr>
        <w:pStyle w:val="P1-StandPara"/>
        <w:numPr>
          <w:ilvl w:val="0"/>
          <w:numId w:val="14"/>
        </w:numPr>
        <w:tabs>
          <w:tab w:val="left" w:pos="720"/>
          <w:tab w:val="right" w:leader="dot" w:pos="9504"/>
        </w:tabs>
        <w:spacing w:line="240" w:lineRule="auto"/>
        <w:rPr>
          <w:rFonts w:asciiTheme="minorHAnsi" w:hAnsiTheme="minorHAnsi" w:cstheme="minorHAnsi"/>
          <w:b/>
          <w:szCs w:val="22"/>
        </w:rPr>
      </w:pPr>
      <w:r w:rsidRPr="00363C92">
        <w:rPr>
          <w:rFonts w:asciiTheme="minorHAnsi" w:hAnsiTheme="minorHAnsi" w:cstheme="minorHAnsi"/>
          <w:szCs w:val="22"/>
        </w:rPr>
        <w:t>Uses evidence-based practices in teaching and mentoring</w:t>
      </w:r>
    </w:p>
    <w:p w:rsidR="00363C92" w:rsidP="00363C92" w:rsidRDefault="00363C92" w14:paraId="78B8F1CF" w14:textId="6D1C2DEB">
      <w:pPr>
        <w:pStyle w:val="P1-StandPara"/>
        <w:tabs>
          <w:tab w:val="left" w:pos="720"/>
          <w:tab w:val="right" w:leader="dot" w:pos="9504"/>
        </w:tabs>
        <w:spacing w:line="240" w:lineRule="auto"/>
        <w:ind w:firstLine="0"/>
        <w:rPr>
          <w:rFonts w:asciiTheme="minorHAnsi" w:hAnsiTheme="minorHAnsi" w:cstheme="minorHAnsi"/>
          <w:szCs w:val="22"/>
        </w:rPr>
      </w:pPr>
    </w:p>
    <w:p w:rsidR="00237DE7" w:rsidP="00363C92" w:rsidRDefault="00237DE7" w14:paraId="6D1A8E79" w14:textId="77777777">
      <w:pPr>
        <w:pStyle w:val="P1-StandPara"/>
        <w:tabs>
          <w:tab w:val="left" w:pos="720"/>
          <w:tab w:val="right" w:leader="dot" w:pos="9504"/>
        </w:tabs>
        <w:spacing w:line="240" w:lineRule="auto"/>
        <w:ind w:firstLine="0"/>
        <w:rPr>
          <w:rFonts w:asciiTheme="minorHAnsi" w:hAnsiTheme="minorHAnsi" w:cstheme="minorHAnsi"/>
          <w:szCs w:val="22"/>
        </w:rPr>
      </w:pPr>
    </w:p>
    <w:p w:rsidRPr="00363C92" w:rsidR="00C46EB8" w:rsidP="00363C92" w:rsidRDefault="00C46EB8" w14:paraId="38C4A0E6" w14:textId="129BA942">
      <w:pPr>
        <w:pStyle w:val="P1-StandPara"/>
        <w:tabs>
          <w:tab w:val="left" w:pos="720"/>
          <w:tab w:val="right" w:leader="dot" w:pos="9504"/>
        </w:tabs>
        <w:spacing w:line="240" w:lineRule="auto"/>
        <w:ind w:firstLine="0"/>
        <w:rPr>
          <w:rFonts w:asciiTheme="minorHAnsi" w:hAnsiTheme="minorHAnsi" w:cstheme="minorHAnsi"/>
          <w:b/>
          <w:szCs w:val="22"/>
        </w:rPr>
      </w:pPr>
      <w:r w:rsidRPr="00363C92">
        <w:rPr>
          <w:rFonts w:asciiTheme="minorHAnsi" w:hAnsiTheme="minorHAnsi" w:cstheme="minorHAnsi"/>
          <w:b/>
          <w:szCs w:val="22"/>
        </w:rPr>
        <w:t xml:space="preserve">BUILD Institutional outcomes include – </w:t>
      </w:r>
    </w:p>
    <w:p w:rsidR="00363C92" w:rsidP="00363C92" w:rsidRDefault="00C46EB8" w14:paraId="65DB9C27"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Commitment to efforts that create, enhance, and/or maintain diversity and inclusion at all levels of the institution</w:t>
      </w:r>
    </w:p>
    <w:p w:rsidR="00363C92" w:rsidP="00363C92" w:rsidRDefault="00C46EB8" w14:paraId="5626EB13" w14:textId="0FC5BA5C">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Evidence of creating, enhancing, and/or maintaining diverse, inclusive, and culturally appropriate research and research training environments</w:t>
      </w:r>
    </w:p>
    <w:p w:rsidR="00363C92" w:rsidP="00363C92" w:rsidRDefault="00C46EB8" w14:paraId="06D7AF2E"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ab/>
        <w:t>Demonstrated institutional commitment to creating, enhancing, and/or maintaining the diversity of the biomedical faculty on campus by recruiting a diverse pool of potential applicants</w:t>
      </w:r>
    </w:p>
    <w:p w:rsidR="00363C92" w:rsidP="00363C92" w:rsidRDefault="00C46EB8" w14:paraId="49B01D5A"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Implementation of sustainable institutionally supported intra-institutional activities to achieve positive outcomes related to biomedical research capacity building and faculty development</w:t>
      </w:r>
    </w:p>
    <w:p w:rsidR="00363C92" w:rsidP="00363C92" w:rsidRDefault="00C46EB8" w14:paraId="6A7C15EA"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Enhanced inter-institutional collaborations to achieve positive outcomes related to biomedical research, research training, and faculty development</w:t>
      </w:r>
    </w:p>
    <w:p w:rsidR="00363C92" w:rsidP="00363C92" w:rsidRDefault="00C46EB8" w14:paraId="104EC5DB"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Implementation of sustainable institutionally supported activities to achieve positive outcomes related to biomedical research training</w:t>
      </w:r>
    </w:p>
    <w:p w:rsidR="00363C92" w:rsidP="00363C92" w:rsidRDefault="00C46EB8" w14:paraId="2DCC2812"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Enhancing or maintaining the diversity of students, e.g. those from nationally underrepresented groups, who pursue degrees in biomedical fields</w:t>
      </w:r>
    </w:p>
    <w:p w:rsidR="00363C92" w:rsidP="00363C92" w:rsidRDefault="00C46EB8" w14:paraId="5B141791"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Demonstrated institutional commitment to efforts that sustain the interest of trainees from all backgrounds pursuing degrees in biomedical fields that increase persistence</w:t>
      </w:r>
    </w:p>
    <w:p w:rsidR="00363C92" w:rsidP="00363C92" w:rsidRDefault="00C46EB8" w14:paraId="79C86AE2"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Employs evidence-based approaches to establish and attain goals for graduation rates, time-to-degree, and the ability to transition to biomedical graduate and professional degree programs for students from all backgrounds</w:t>
      </w:r>
    </w:p>
    <w:p w:rsidR="00363C92" w:rsidP="00363C92" w:rsidRDefault="00C46EB8" w14:paraId="46FA600C" w14:textId="77777777">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ab/>
        <w:t>Demonstrated institutional commitment to implementing and sustaining mentoring practices that promote the development of research-oriented students from all backgrounds</w:t>
      </w:r>
    </w:p>
    <w:p w:rsidR="00C46EB8" w:rsidP="0065235F" w:rsidRDefault="00C46EB8" w14:paraId="02641080" w14:textId="5DE80A0A">
      <w:pPr>
        <w:pStyle w:val="P1-StandPara"/>
        <w:numPr>
          <w:ilvl w:val="0"/>
          <w:numId w:val="15"/>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Institutional infrastructure to track regular reporting of student demographics and outcomes with respect to</w:t>
      </w:r>
      <w:r w:rsidR="0065235F">
        <w:rPr>
          <w:rFonts w:asciiTheme="minorHAnsi" w:hAnsiTheme="minorHAnsi" w:cstheme="minorHAnsi"/>
          <w:szCs w:val="22"/>
        </w:rPr>
        <w:t xml:space="preserve"> </w:t>
      </w:r>
      <w:r w:rsidRPr="0065235F">
        <w:rPr>
          <w:rFonts w:asciiTheme="minorHAnsi" w:hAnsiTheme="minorHAnsi" w:cstheme="minorHAnsi"/>
          <w:szCs w:val="22"/>
        </w:rPr>
        <w:t>biomedical fields</w:t>
      </w:r>
    </w:p>
    <w:p w:rsidR="00237DE7" w:rsidP="00237DE7" w:rsidRDefault="00237DE7" w14:paraId="29D5FFAB" w14:textId="2ED8ACC6">
      <w:pPr>
        <w:pStyle w:val="P1-StandPara"/>
        <w:tabs>
          <w:tab w:val="left" w:pos="720"/>
          <w:tab w:val="right" w:leader="dot" w:pos="9504"/>
        </w:tabs>
        <w:spacing w:line="240" w:lineRule="auto"/>
        <w:ind w:firstLine="0"/>
        <w:rPr>
          <w:rFonts w:asciiTheme="minorHAnsi" w:hAnsiTheme="minorHAnsi" w:cstheme="minorHAnsi"/>
          <w:szCs w:val="22"/>
        </w:rPr>
      </w:pPr>
    </w:p>
    <w:p w:rsidRPr="0065235F" w:rsidR="00237DE7" w:rsidP="00237DE7" w:rsidRDefault="00237DE7" w14:paraId="4968E24C" w14:textId="77777777">
      <w:pPr>
        <w:pStyle w:val="P1-StandPara"/>
        <w:tabs>
          <w:tab w:val="left" w:pos="720"/>
          <w:tab w:val="right" w:leader="dot" w:pos="9504"/>
        </w:tabs>
        <w:spacing w:line="240" w:lineRule="auto"/>
        <w:ind w:firstLine="0"/>
        <w:rPr>
          <w:rFonts w:asciiTheme="minorHAnsi" w:hAnsiTheme="minorHAnsi" w:cstheme="minorHAnsi"/>
          <w:szCs w:val="22"/>
        </w:rPr>
      </w:pPr>
    </w:p>
    <w:p w:rsidRPr="00363C92" w:rsidR="00C46EB8" w:rsidP="0065235F" w:rsidRDefault="00C46EB8" w14:paraId="6334227B" w14:textId="2F8B198A">
      <w:pPr>
        <w:pStyle w:val="P1-StandPara"/>
        <w:tabs>
          <w:tab w:val="left" w:pos="720"/>
          <w:tab w:val="right" w:leader="dot" w:pos="9504"/>
        </w:tabs>
        <w:spacing w:line="240" w:lineRule="auto"/>
        <w:ind w:firstLine="0"/>
        <w:rPr>
          <w:rFonts w:asciiTheme="minorHAnsi" w:hAnsiTheme="minorHAnsi" w:cstheme="minorHAnsi"/>
          <w:szCs w:val="22"/>
        </w:rPr>
      </w:pPr>
      <w:r w:rsidRPr="00363C92">
        <w:rPr>
          <w:rFonts w:asciiTheme="minorHAnsi" w:hAnsiTheme="minorHAnsi" w:cstheme="minorHAnsi"/>
          <w:szCs w:val="22"/>
        </w:rPr>
        <w:t xml:space="preserve">Evaluation of Phase I of the NRMN program includes assessment of the following outcomes using the Phase I NRMN Logic Model (see Attachment </w:t>
      </w:r>
      <w:r w:rsidR="00F12886">
        <w:rPr>
          <w:rFonts w:asciiTheme="minorHAnsi" w:hAnsiTheme="minorHAnsi" w:cstheme="minorHAnsi"/>
          <w:szCs w:val="22"/>
        </w:rPr>
        <w:t>11</w:t>
      </w:r>
      <w:r w:rsidRPr="00363C92">
        <w:rPr>
          <w:rFonts w:asciiTheme="minorHAnsi" w:hAnsiTheme="minorHAnsi" w:cstheme="minorHAnsi"/>
          <w:szCs w:val="22"/>
        </w:rPr>
        <w:t xml:space="preserve">):  </w:t>
      </w:r>
    </w:p>
    <w:p w:rsidR="0065235F" w:rsidP="0065235F" w:rsidRDefault="00C46EB8" w14:paraId="69745AA3" w14:textId="77777777">
      <w:pPr>
        <w:pStyle w:val="P1-StandPara"/>
        <w:numPr>
          <w:ilvl w:val="0"/>
          <w:numId w:val="16"/>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Matching and Linking Core:</w:t>
      </w:r>
    </w:p>
    <w:p w:rsidR="0065235F" w:rsidP="0065235F" w:rsidRDefault="00C46EB8" w14:paraId="3064D575" w14:textId="77777777">
      <w:pPr>
        <w:pStyle w:val="P1-StandPara"/>
        <w:numPr>
          <w:ilvl w:val="0"/>
          <w:numId w:val="17"/>
        </w:numPr>
        <w:tabs>
          <w:tab w:val="left" w:pos="720"/>
          <w:tab w:val="right" w:leader="dot" w:pos="9504"/>
        </w:tabs>
        <w:spacing w:line="240" w:lineRule="auto"/>
        <w:ind w:left="1440"/>
        <w:rPr>
          <w:rFonts w:asciiTheme="minorHAnsi" w:hAnsiTheme="minorHAnsi" w:cstheme="minorHAnsi"/>
          <w:szCs w:val="22"/>
        </w:rPr>
      </w:pPr>
      <w:r w:rsidRPr="0065235F">
        <w:rPr>
          <w:rFonts w:asciiTheme="minorHAnsi" w:hAnsiTheme="minorHAnsi" w:cstheme="minorHAnsi"/>
          <w:szCs w:val="22"/>
        </w:rPr>
        <w:t>Greater career persistence in biomedical sciences among under-represented groups</w:t>
      </w:r>
    </w:p>
    <w:p w:rsidRPr="0065235F" w:rsidR="00C46EB8" w:rsidP="0065235F" w:rsidRDefault="00C46EB8" w14:paraId="64B6D979" w14:textId="2C50BCB9">
      <w:pPr>
        <w:pStyle w:val="P1-StandPara"/>
        <w:numPr>
          <w:ilvl w:val="0"/>
          <w:numId w:val="17"/>
        </w:numPr>
        <w:tabs>
          <w:tab w:val="left" w:pos="720"/>
          <w:tab w:val="right" w:leader="dot" w:pos="9504"/>
        </w:tabs>
        <w:spacing w:line="240" w:lineRule="auto"/>
        <w:ind w:left="1440"/>
        <w:rPr>
          <w:rFonts w:asciiTheme="minorHAnsi" w:hAnsiTheme="minorHAnsi" w:cstheme="minorHAnsi"/>
          <w:szCs w:val="22"/>
        </w:rPr>
      </w:pPr>
      <w:r w:rsidRPr="0065235F">
        <w:rPr>
          <w:rFonts w:asciiTheme="minorHAnsi" w:hAnsiTheme="minorHAnsi" w:cstheme="minorHAnsi"/>
          <w:szCs w:val="22"/>
        </w:rPr>
        <w:t>Greater self-efficacy in ability to succeed in biomedical careers</w:t>
      </w:r>
    </w:p>
    <w:p w:rsidRPr="00363C92" w:rsidR="00C46EB8" w:rsidP="0065235F" w:rsidRDefault="00C46EB8" w14:paraId="55C1EAF2" w14:textId="5722DCE1">
      <w:pPr>
        <w:pStyle w:val="P1-StandPara"/>
        <w:numPr>
          <w:ilvl w:val="0"/>
          <w:numId w:val="16"/>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Training Core:</w:t>
      </w:r>
    </w:p>
    <w:p w:rsidR="0065235F" w:rsidP="0065235F" w:rsidRDefault="00C46EB8" w14:paraId="232A3589" w14:textId="77777777">
      <w:pPr>
        <w:pStyle w:val="P1-StandPara"/>
        <w:numPr>
          <w:ilvl w:val="0"/>
          <w:numId w:val="18"/>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Increased skills, knowledge and self-efficacy (confidence) in grant writing</w:t>
      </w:r>
    </w:p>
    <w:p w:rsidR="0065235F" w:rsidP="0065235F" w:rsidRDefault="00C46EB8" w14:paraId="41AF8A53" w14:textId="77777777">
      <w:pPr>
        <w:pStyle w:val="P1-StandPara"/>
        <w:numPr>
          <w:ilvl w:val="0"/>
          <w:numId w:val="18"/>
        </w:numPr>
        <w:tabs>
          <w:tab w:val="left" w:pos="720"/>
          <w:tab w:val="right" w:leader="dot" w:pos="9504"/>
        </w:tabs>
        <w:spacing w:line="240" w:lineRule="auto"/>
        <w:rPr>
          <w:rFonts w:asciiTheme="minorHAnsi" w:hAnsiTheme="minorHAnsi" w:cstheme="minorHAnsi"/>
          <w:szCs w:val="22"/>
        </w:rPr>
      </w:pPr>
      <w:r w:rsidRPr="0065235F">
        <w:rPr>
          <w:rFonts w:asciiTheme="minorHAnsi" w:hAnsiTheme="minorHAnsi" w:cstheme="minorHAnsi"/>
          <w:szCs w:val="22"/>
        </w:rPr>
        <w:t>Increased skills, knowledge and self-efficacy (confidence) in creating and maintaining effectiveness of mentoring relationships</w:t>
      </w:r>
    </w:p>
    <w:p w:rsidR="0065235F" w:rsidP="0065235F" w:rsidRDefault="00C46EB8" w14:paraId="4968E50D" w14:textId="77777777">
      <w:pPr>
        <w:pStyle w:val="P1-StandPara"/>
        <w:numPr>
          <w:ilvl w:val="0"/>
          <w:numId w:val="18"/>
        </w:numPr>
        <w:tabs>
          <w:tab w:val="left" w:pos="720"/>
          <w:tab w:val="right" w:leader="dot" w:pos="9504"/>
        </w:tabs>
        <w:spacing w:line="240" w:lineRule="auto"/>
        <w:rPr>
          <w:rFonts w:asciiTheme="minorHAnsi" w:hAnsiTheme="minorHAnsi" w:cstheme="minorHAnsi"/>
          <w:szCs w:val="22"/>
        </w:rPr>
      </w:pPr>
      <w:r w:rsidRPr="0065235F">
        <w:rPr>
          <w:rFonts w:asciiTheme="minorHAnsi" w:hAnsiTheme="minorHAnsi" w:cstheme="minorHAnsi"/>
          <w:szCs w:val="22"/>
        </w:rPr>
        <w:t>Greater advocacy for mentorship</w:t>
      </w:r>
    </w:p>
    <w:p w:rsidRPr="0065235F" w:rsidR="00C46EB8" w:rsidP="0065235F" w:rsidRDefault="00C46EB8" w14:paraId="47577506" w14:textId="582810E4">
      <w:pPr>
        <w:pStyle w:val="P1-StandPara"/>
        <w:numPr>
          <w:ilvl w:val="0"/>
          <w:numId w:val="18"/>
        </w:numPr>
        <w:tabs>
          <w:tab w:val="left" w:pos="720"/>
          <w:tab w:val="right" w:leader="dot" w:pos="9504"/>
        </w:tabs>
        <w:spacing w:line="240" w:lineRule="auto"/>
        <w:rPr>
          <w:rFonts w:asciiTheme="minorHAnsi" w:hAnsiTheme="minorHAnsi" w:cstheme="minorHAnsi"/>
          <w:szCs w:val="22"/>
        </w:rPr>
      </w:pPr>
      <w:r w:rsidRPr="0065235F">
        <w:rPr>
          <w:rFonts w:asciiTheme="minorHAnsi" w:hAnsiTheme="minorHAnsi" w:cstheme="minorHAnsi"/>
          <w:szCs w:val="22"/>
        </w:rPr>
        <w:lastRenderedPageBreak/>
        <w:t>Increased commitment to cultural awareness in promoting diversity in biomedical research</w:t>
      </w:r>
    </w:p>
    <w:p w:rsidRPr="00363C92" w:rsidR="00C46EB8" w:rsidP="0065235F" w:rsidRDefault="00C46EB8" w14:paraId="01314837" w14:textId="5DA683BA">
      <w:pPr>
        <w:pStyle w:val="P1-StandPara"/>
        <w:numPr>
          <w:ilvl w:val="0"/>
          <w:numId w:val="16"/>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Referring Core:</w:t>
      </w:r>
    </w:p>
    <w:p w:rsidRPr="00363C92" w:rsidR="00C46EB8" w:rsidP="0065235F" w:rsidRDefault="00C46EB8" w14:paraId="5AAC2212" w14:textId="3786E12E">
      <w:pPr>
        <w:pStyle w:val="P1-StandPara"/>
        <w:numPr>
          <w:ilvl w:val="0"/>
          <w:numId w:val="19"/>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Increased pool of high quality, audience-valued, targeted resources available to diverse individuals across career stages pursuing biomedical careers</w:t>
      </w:r>
    </w:p>
    <w:p w:rsidRPr="00363C92" w:rsidR="00C46EB8" w:rsidP="0065235F" w:rsidRDefault="00C46EB8" w14:paraId="18A4004F" w14:textId="0B3F97DF">
      <w:pPr>
        <w:pStyle w:val="P1-StandPara"/>
        <w:numPr>
          <w:ilvl w:val="0"/>
          <w:numId w:val="16"/>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Promoting Core:</w:t>
      </w:r>
    </w:p>
    <w:p w:rsidR="0065235F" w:rsidP="0065235F" w:rsidRDefault="00C46EB8" w14:paraId="2BBF40D5" w14:textId="77777777">
      <w:pPr>
        <w:pStyle w:val="P1-StandPara"/>
        <w:numPr>
          <w:ilvl w:val="0"/>
          <w:numId w:val="19"/>
        </w:numPr>
        <w:tabs>
          <w:tab w:val="left" w:pos="720"/>
          <w:tab w:val="right" w:leader="dot" w:pos="9504"/>
        </w:tabs>
        <w:spacing w:line="240" w:lineRule="auto"/>
        <w:rPr>
          <w:rFonts w:asciiTheme="minorHAnsi" w:hAnsiTheme="minorHAnsi" w:cstheme="minorHAnsi"/>
          <w:szCs w:val="22"/>
        </w:rPr>
      </w:pPr>
      <w:r w:rsidRPr="00363C92">
        <w:rPr>
          <w:rFonts w:asciiTheme="minorHAnsi" w:hAnsiTheme="minorHAnsi" w:cstheme="minorHAnsi"/>
          <w:szCs w:val="22"/>
        </w:rPr>
        <w:t>Influence on institutional climate and structural barriers to creating an environment supporting diverse populations in the biomedical career pipeline</w:t>
      </w:r>
    </w:p>
    <w:p w:rsidR="0065235F" w:rsidP="0065235F" w:rsidRDefault="00C46EB8" w14:paraId="6CE91C5D" w14:textId="77777777">
      <w:pPr>
        <w:pStyle w:val="P1-StandPara"/>
        <w:numPr>
          <w:ilvl w:val="0"/>
          <w:numId w:val="19"/>
        </w:numPr>
        <w:tabs>
          <w:tab w:val="left" w:pos="720"/>
          <w:tab w:val="right" w:leader="dot" w:pos="9504"/>
        </w:tabs>
        <w:spacing w:line="240" w:lineRule="auto"/>
        <w:rPr>
          <w:rFonts w:asciiTheme="minorHAnsi" w:hAnsiTheme="minorHAnsi" w:cstheme="minorHAnsi"/>
          <w:szCs w:val="22"/>
        </w:rPr>
      </w:pPr>
      <w:r w:rsidRPr="0065235F">
        <w:rPr>
          <w:rFonts w:asciiTheme="minorHAnsi" w:hAnsiTheme="minorHAnsi" w:cstheme="minorHAnsi"/>
          <w:szCs w:val="22"/>
        </w:rPr>
        <w:t>Recognition of the value of mentoring for diverse workforce at all career stages at colleges/universities</w:t>
      </w:r>
    </w:p>
    <w:p w:rsidRPr="0065235F" w:rsidR="00C46EB8" w:rsidP="0065235F" w:rsidRDefault="00C46EB8" w14:paraId="288932ED" w14:textId="652F9161">
      <w:pPr>
        <w:pStyle w:val="P1-StandPara"/>
        <w:numPr>
          <w:ilvl w:val="0"/>
          <w:numId w:val="19"/>
        </w:numPr>
        <w:tabs>
          <w:tab w:val="left" w:pos="720"/>
          <w:tab w:val="right" w:leader="dot" w:pos="9504"/>
        </w:tabs>
        <w:spacing w:line="240" w:lineRule="auto"/>
        <w:rPr>
          <w:rFonts w:asciiTheme="minorHAnsi" w:hAnsiTheme="minorHAnsi" w:cstheme="minorHAnsi"/>
          <w:szCs w:val="22"/>
        </w:rPr>
      </w:pPr>
      <w:r w:rsidRPr="0065235F">
        <w:rPr>
          <w:rFonts w:asciiTheme="minorHAnsi" w:hAnsiTheme="minorHAnsi" w:cstheme="minorHAnsi"/>
          <w:szCs w:val="22"/>
        </w:rPr>
        <w:t>Commitment by institutions nationwide to promote diversity in biomedical sciences</w:t>
      </w:r>
    </w:p>
    <w:p w:rsidRPr="00C46EB8" w:rsidR="00C46EB8" w:rsidP="00C46EB8" w:rsidRDefault="00C46EB8" w14:paraId="13E6C9F0" w14:textId="77777777">
      <w:pPr>
        <w:pStyle w:val="P1-StandPara"/>
        <w:tabs>
          <w:tab w:val="left" w:pos="720"/>
          <w:tab w:val="right" w:leader="dot" w:pos="9504"/>
        </w:tabs>
        <w:spacing w:after="120" w:line="240" w:lineRule="auto"/>
        <w:ind w:firstLine="0"/>
        <w:rPr>
          <w:rFonts w:asciiTheme="minorHAnsi" w:hAnsiTheme="minorHAnsi"/>
          <w:szCs w:val="22"/>
        </w:rPr>
      </w:pPr>
    </w:p>
    <w:p w:rsidRPr="00714BFA" w:rsidR="000F3043" w:rsidP="00F116EE" w:rsidRDefault="000F3043" w14:paraId="6713C5AA" w14:textId="3E0521CE">
      <w:pPr>
        <w:pStyle w:val="Heading1"/>
        <w:rPr>
          <w:rFonts w:asciiTheme="minorHAnsi" w:hAnsiTheme="minorHAnsi" w:cstheme="minorHAnsi"/>
          <w:b/>
          <w:color w:val="auto"/>
          <w:sz w:val="22"/>
          <w:szCs w:val="22"/>
        </w:rPr>
      </w:pPr>
      <w:bookmarkStart w:name="_Toc31096819" w:id="9"/>
      <w:r w:rsidRPr="00714BFA">
        <w:rPr>
          <w:rFonts w:asciiTheme="minorHAnsi" w:hAnsiTheme="minorHAnsi" w:cstheme="minorHAnsi"/>
          <w:b/>
          <w:color w:val="auto"/>
          <w:sz w:val="22"/>
          <w:szCs w:val="22"/>
        </w:rPr>
        <w:t>A.2    Purpose and Use of the Information</w:t>
      </w:r>
      <w:bookmarkEnd w:id="4"/>
      <w:bookmarkEnd w:id="5"/>
      <w:bookmarkEnd w:id="6"/>
      <w:bookmarkEnd w:id="7"/>
      <w:r w:rsidRPr="00714BFA">
        <w:rPr>
          <w:rFonts w:asciiTheme="minorHAnsi" w:hAnsiTheme="minorHAnsi" w:cstheme="minorHAnsi"/>
          <w:b/>
          <w:color w:val="auto"/>
          <w:sz w:val="22"/>
          <w:szCs w:val="22"/>
        </w:rPr>
        <w:t xml:space="preserve"> Collection</w:t>
      </w:r>
      <w:bookmarkEnd w:id="9"/>
    </w:p>
    <w:p w:rsidR="00BC4C88" w:rsidP="00A00CF8" w:rsidRDefault="0065235F" w14:paraId="131BA38A" w14:textId="57BE6A8E">
      <w:r w:rsidRPr="0065235F">
        <w:t>The various sources of data needed for the proposed BUILD and NRMN evaluations are described below. These sources include on-line surveys (paper versions are available if needed) administered to students/mentees and faculty/mentors, requests for institutional data from BUILD sites, as well</w:t>
      </w:r>
      <w:r w:rsidR="00A11A41">
        <w:t xml:space="preserve"> as</w:t>
      </w:r>
      <w:r w:rsidRPr="0065235F">
        <w:t xml:space="preserve"> qualitative data to be collected during BUILD site visits and case studies.</w:t>
      </w:r>
    </w:p>
    <w:p w:rsidR="00237DE7" w:rsidP="00A00CF8" w:rsidRDefault="00237DE7" w14:paraId="3F0AA779" w14:textId="77777777"/>
    <w:p w:rsidR="0065235F" w:rsidP="0065235F" w:rsidRDefault="0065235F" w14:paraId="6A5FBF20" w14:textId="16C7974A">
      <w:pPr>
        <w:rPr>
          <w:b/>
        </w:rPr>
      </w:pPr>
      <w:r w:rsidRPr="0065235F">
        <w:rPr>
          <w:b/>
        </w:rPr>
        <w:t xml:space="preserve">SURVEYS </w:t>
      </w:r>
    </w:p>
    <w:p w:rsidRPr="00237DE7" w:rsidR="00237DE7" w:rsidP="0065235F" w:rsidRDefault="00237DE7" w14:paraId="0203AC8E" w14:textId="77777777">
      <w:pPr>
        <w:rPr>
          <w:b/>
        </w:rPr>
      </w:pPr>
    </w:p>
    <w:p w:rsidR="0065235F" w:rsidP="0065235F" w:rsidRDefault="0065235F" w14:paraId="498B1CFB" w14:textId="61FF7FAD">
      <w:r>
        <w:t>For BUILD, the purpose of the surveys is to collect baseline data and track subsequent outcome data to permit evaluation of primary programmatic objectives and outcomes outlined in A.1.</w:t>
      </w:r>
    </w:p>
    <w:p w:rsidR="00237DE7" w:rsidP="0065235F" w:rsidRDefault="00237DE7" w14:paraId="21D2039E" w14:textId="77777777"/>
    <w:p w:rsidR="0065235F" w:rsidP="0065235F" w:rsidRDefault="0065235F" w14:paraId="78E3B71A" w14:textId="77777777">
      <w:r>
        <w:t xml:space="preserve">For NRMN, CEC-specific follow-up data collection is conducted through on-line surveys of NRMN participants. Baseline data for NRMN Phase I participants was collected by the NRMN cores via the NRMN website, and pre/post-tests conducted by NRMN investigators during their trainings. Follow-up CEC-administered surveys provide information on longer-term outcomes of the NRMN Phase I training and mentor activities, including mentor competency, perceptions of mentor self-efficacy, and increased scientific productivity and successful submission of NIH grants. </w:t>
      </w:r>
    </w:p>
    <w:p w:rsidR="0065235F" w:rsidP="0065235F" w:rsidRDefault="0065235F" w14:paraId="52F44C31" w14:textId="77777777"/>
    <w:p w:rsidRPr="0065235F" w:rsidR="0065235F" w:rsidP="0065235F" w:rsidRDefault="0065235F" w14:paraId="011BD570" w14:textId="77777777">
      <w:pPr>
        <w:rPr>
          <w:b/>
          <w:u w:val="single"/>
        </w:rPr>
      </w:pPr>
      <w:r w:rsidRPr="0065235F">
        <w:rPr>
          <w:b/>
          <w:u w:val="single"/>
        </w:rPr>
        <w:t>BUILD Institution Undergraduates</w:t>
      </w:r>
    </w:p>
    <w:p w:rsidR="0065235F" w:rsidP="0065235F" w:rsidRDefault="0065235F" w14:paraId="23D7D0CD" w14:textId="77777777"/>
    <w:p w:rsidR="0065235F" w:rsidP="0065235F" w:rsidRDefault="00F12886" w14:paraId="29721B45" w14:textId="15A34B5B">
      <w:r>
        <w:rPr>
          <w:u w:val="single"/>
        </w:rPr>
        <w:t xml:space="preserve">CIRP HERI </w:t>
      </w:r>
      <w:r w:rsidRPr="0065235F" w:rsidR="0065235F">
        <w:rPr>
          <w:u w:val="single"/>
        </w:rPr>
        <w:t xml:space="preserve">Freshman Survey (see Attachment </w:t>
      </w:r>
      <w:r>
        <w:rPr>
          <w:u w:val="single"/>
        </w:rPr>
        <w:t>12</w:t>
      </w:r>
      <w:r w:rsidRPr="0065235F" w:rsidR="0065235F">
        <w:rPr>
          <w:u w:val="single"/>
        </w:rPr>
        <w:t>)</w:t>
      </w:r>
      <w:r w:rsidR="0065235F">
        <w:t xml:space="preserve"> – A survey administered to a sample of 500 </w:t>
      </w:r>
      <w:r>
        <w:t xml:space="preserve">“entering </w:t>
      </w:r>
      <w:r w:rsidR="0065235F">
        <w:t>students</w:t>
      </w:r>
      <w:r>
        <w:t>”</w:t>
      </w:r>
      <w:r w:rsidR="0065235F">
        <w:t xml:space="preserve"> </w:t>
      </w:r>
      <w:r>
        <w:t xml:space="preserve">at </w:t>
      </w:r>
      <w:r w:rsidR="0065235F">
        <w:t xml:space="preserve">each BUILD institution annually, including freshman as well as transfer students who enter at higher levels.  The sample of 500 includes all students admitted to the BUILD program itself as well as a sample from similar students not in the BUILD program.  As noted in B.1.1, sampling includes oversampling on the basis of declared major (80% biomedical vs 20% other) and race/ethnicity (oversampling African Americans and Hispanic/Native Americans to account for their known lower survey response rates).  The initial survey has as its core the “The Cooperative Institutional Research Program (CIRP) Freshman Survey” items administered by the UCLA Higher Education Research Institute (HERI) (see Attachment </w:t>
      </w:r>
      <w:r>
        <w:t>12</w:t>
      </w:r>
      <w:r w:rsidR="0065235F">
        <w:t xml:space="preserve">).  NOTE: As </w:t>
      </w:r>
      <w:r w:rsidR="0065235F">
        <w:lastRenderedPageBreak/>
        <w:t xml:space="preserve">discussed further in sections A.3 and B.2.1, for all surveys, the planned primary mode of administration is on-line; however, paper versions are available as needed. </w:t>
      </w:r>
    </w:p>
    <w:p w:rsidR="0065235F" w:rsidP="0065235F" w:rsidRDefault="0065235F" w14:paraId="198D0065" w14:textId="77777777"/>
    <w:p w:rsidR="0065235F" w:rsidP="0065235F" w:rsidRDefault="0065235F" w14:paraId="5154E81D" w14:textId="22BA4E6F">
      <w:r>
        <w:t xml:space="preserve">The </w:t>
      </w:r>
      <w:r w:rsidR="003811A1">
        <w:t xml:space="preserve">CIRP </w:t>
      </w:r>
      <w:r>
        <w:t>HERI “entering student” survey is an existing source of data collection that has been fielded for 50 years by hundreds of two-year colleges, four-year colleges and universities. The CEC works with all BUILD institutions to ensure that these surveys are completed at minimum by the needed sample of 500 students. Use of the</w:t>
      </w:r>
      <w:r w:rsidR="003811A1">
        <w:t xml:space="preserve"> CIRP</w:t>
      </w:r>
      <w:r>
        <w:t xml:space="preserve"> HERI survey as the core of the proposed baseline for undergraduates allows for institutional and planned national comparisons of data obtained from BUILD students to students from similar institutions that do not have the BUILD program but do administer the</w:t>
      </w:r>
      <w:r w:rsidR="003811A1">
        <w:t xml:space="preserve"> CIRP</w:t>
      </w:r>
      <w:r>
        <w:t xml:space="preserve"> HERI survey to incoming freshmen.  These surveys provide a baseline or pre-intervention level for each student.  Items on the survey include student demographic characteristics, academic preparedness, expectations of college, interactions with peers and faculty, student values and goals, scientific identify, research self-efficacy, and student concerns about financing college. </w:t>
      </w:r>
    </w:p>
    <w:p w:rsidR="0065235F" w:rsidP="0065235F" w:rsidRDefault="0065235F" w14:paraId="41597252" w14:textId="77777777"/>
    <w:p w:rsidR="00F12886" w:rsidP="00F12886" w:rsidRDefault="00F12886" w14:paraId="78CD19CB" w14:textId="67306320">
      <w:r w:rsidRPr="0065235F">
        <w:rPr>
          <w:u w:val="single"/>
        </w:rPr>
        <w:t>Student Annual Follow-Up Survey (see Attachment 1</w:t>
      </w:r>
      <w:r>
        <w:rPr>
          <w:u w:val="single"/>
        </w:rPr>
        <w:t>3</w:t>
      </w:r>
      <w:r w:rsidRPr="0065235F">
        <w:rPr>
          <w:u w:val="single"/>
        </w:rPr>
        <w:t>)</w:t>
      </w:r>
      <w:r>
        <w:t xml:space="preserve"> – BUILD students are contacted annually after their baseline enrollment and asked to complete an on-line survey. This survey seeks to update their academic progress and obtain information regarding Consortium Hallmarks of Success.  Topics include students’ research and mentoring experiences, self-assessments of science identity, research self-efficacy and participation in profession</w:t>
      </w:r>
      <w:r w:rsidR="009648C0">
        <w:t>al</w:t>
      </w:r>
      <w:r>
        <w:t xml:space="preserve"> conferences and publications.</w:t>
      </w:r>
    </w:p>
    <w:p w:rsidR="00F12886" w:rsidP="00F12886" w:rsidRDefault="00F12886" w14:paraId="6F637602" w14:textId="77777777"/>
    <w:p w:rsidR="0065235F" w:rsidP="0065235F" w:rsidRDefault="0065235F" w14:paraId="1F83846A" w14:textId="2BF4B491">
      <w:r w:rsidRPr="0065235F">
        <w:rPr>
          <w:u w:val="single"/>
        </w:rPr>
        <w:t>College Senior Survey (see Attachment 1</w:t>
      </w:r>
      <w:r w:rsidR="00F12886">
        <w:rPr>
          <w:u w:val="single"/>
        </w:rPr>
        <w:t>4</w:t>
      </w:r>
      <w:r w:rsidRPr="0065235F">
        <w:rPr>
          <w:u w:val="single"/>
        </w:rPr>
        <w:t>)</w:t>
      </w:r>
      <w:r>
        <w:t xml:space="preserve"> – Administered to graduating seniors, this survey allows reflection on the undergraduate experience, degree attainment, and assesses future career and graduate education plans.  Several items can be compared with the entering student survey described above.</w:t>
      </w:r>
    </w:p>
    <w:p w:rsidR="0065235F" w:rsidP="0065235F" w:rsidRDefault="0065235F" w14:paraId="137B9B12" w14:textId="77777777"/>
    <w:p w:rsidRPr="0065235F" w:rsidR="0065235F" w:rsidP="0065235F" w:rsidRDefault="0065235F" w14:paraId="360F3BC1" w14:textId="77777777">
      <w:pPr>
        <w:rPr>
          <w:b/>
          <w:u w:val="single"/>
        </w:rPr>
      </w:pPr>
      <w:r w:rsidRPr="0065235F">
        <w:rPr>
          <w:b/>
          <w:u w:val="single"/>
        </w:rPr>
        <w:t xml:space="preserve">BUILD Faculty </w:t>
      </w:r>
    </w:p>
    <w:p w:rsidR="0065235F" w:rsidP="0065235F" w:rsidRDefault="0065235F" w14:paraId="01742991" w14:textId="77777777"/>
    <w:p w:rsidR="0065235F" w:rsidP="0065235F" w:rsidRDefault="0065235F" w14:paraId="606B59F8" w14:textId="65BFF990">
      <w:r w:rsidRPr="0065235F">
        <w:rPr>
          <w:u w:val="single"/>
        </w:rPr>
        <w:t>HERI Faculty Survey (see Attachment 1</w:t>
      </w:r>
      <w:r w:rsidR="00F12886">
        <w:rPr>
          <w:u w:val="single"/>
        </w:rPr>
        <w:t>5</w:t>
      </w:r>
      <w:r w:rsidRPr="0065235F">
        <w:rPr>
          <w:u w:val="single"/>
        </w:rPr>
        <w:t>)</w:t>
      </w:r>
      <w:r>
        <w:t xml:space="preserve"> – Baseline data for a sample of 50 faculty in biomedical disciplines at each BUILD institution (total N=500) are collected through an on-line survey administered in 2016.  All faculty involved in BUILD program activities are included unless there are more than 25 in which case a subsample of 25 are randomly drawn to represent no more than 50% of the total faculty sample of 50.  Faculty who have not participated in BUILD activities are randomly sampled to complete the total desired sample size of 50 at each institution.  The core of the survey is the HERI Faculty Survey in order to allow for comparisons with faculty from non-BUILD institutions for whom secondary data is available from the national data collection waves.  The survey asks about scholarly productivity, teaching load, patterns of interaction with students, perceptions of institutional support for research, and perceptions of diversity at the institution. </w:t>
      </w:r>
    </w:p>
    <w:p w:rsidR="0065235F" w:rsidP="0065235F" w:rsidRDefault="0065235F" w14:paraId="11676513" w14:textId="77777777"/>
    <w:p w:rsidR="0065235F" w:rsidP="0065235F" w:rsidRDefault="0065235F" w14:paraId="469D5102" w14:textId="7A5DEAFB">
      <w:r w:rsidRPr="0065235F">
        <w:rPr>
          <w:u w:val="single"/>
        </w:rPr>
        <w:lastRenderedPageBreak/>
        <w:t>Faculty Annual Follow-up Survey (see Attachment 1</w:t>
      </w:r>
      <w:r w:rsidR="00F12886">
        <w:rPr>
          <w:u w:val="single"/>
        </w:rPr>
        <w:t>6</w:t>
      </w:r>
      <w:r w:rsidRPr="0065235F">
        <w:rPr>
          <w:u w:val="single"/>
        </w:rPr>
        <w:t>)</w:t>
      </w:r>
      <w:r>
        <w:t xml:space="preserve"> – Participants who completed the baseline HERI Faculty Survey are asked to provide updated information annually about their mentoring and research activities as well as their scholarly productivity.</w:t>
      </w:r>
    </w:p>
    <w:p w:rsidR="0065235F" w:rsidP="0065235F" w:rsidRDefault="0065235F" w14:paraId="1C39A207" w14:textId="77777777"/>
    <w:p w:rsidRPr="0065235F" w:rsidR="0065235F" w:rsidP="0065235F" w:rsidRDefault="0065235F" w14:paraId="6A09BA63" w14:textId="77777777">
      <w:pPr>
        <w:rPr>
          <w:b/>
          <w:u w:val="single"/>
        </w:rPr>
      </w:pPr>
      <w:r w:rsidRPr="0065235F">
        <w:rPr>
          <w:b/>
          <w:u w:val="single"/>
        </w:rPr>
        <w:t>NRMN Participants</w:t>
      </w:r>
    </w:p>
    <w:p w:rsidR="0065235F" w:rsidP="0065235F" w:rsidRDefault="0065235F" w14:paraId="12404B9F" w14:textId="77777777"/>
    <w:p w:rsidR="0065235F" w:rsidP="0065235F" w:rsidRDefault="0065235F" w14:paraId="47A1DC91" w14:textId="79C0F0DD">
      <w:r w:rsidRPr="0065235F">
        <w:rPr>
          <w:u w:val="single"/>
        </w:rPr>
        <w:t>NRMN Baseline Surveys</w:t>
      </w:r>
      <w:r>
        <w:t xml:space="preserve"> – </w:t>
      </w:r>
      <w:r w:rsidR="00193A8A">
        <w:rPr>
          <w:szCs w:val="24"/>
        </w:rPr>
        <w:t>Based on the program’s second phase restructuring of the NRMN initiative, participants will no longer be asked to complete surveys that were required during the first phase.</w:t>
      </w:r>
      <w:r w:rsidDel="00193A8A" w:rsidR="00193A8A">
        <w:t xml:space="preserve"> </w:t>
      </w:r>
      <w:r>
        <w:t xml:space="preserve">For this reason, </w:t>
      </w:r>
      <w:r w:rsidR="00442D46">
        <w:t>A</w:t>
      </w:r>
      <w:r>
        <w:t xml:space="preserve">ttachments </w:t>
      </w:r>
      <w:r w:rsidR="00442D46">
        <w:t xml:space="preserve">15 through 22 </w:t>
      </w:r>
      <w:r w:rsidR="00193A8A">
        <w:t>from the original submission are not included in</w:t>
      </w:r>
      <w:r>
        <w:t xml:space="preserve"> this application</w:t>
      </w:r>
      <w:r w:rsidR="00442D46">
        <w:t xml:space="preserve"> (see Section A.15 for explanation of this adjustment)</w:t>
      </w:r>
      <w:r>
        <w:t>.</w:t>
      </w:r>
    </w:p>
    <w:p w:rsidR="0065235F" w:rsidP="0065235F" w:rsidRDefault="0065235F" w14:paraId="27977D4B" w14:textId="77777777"/>
    <w:p w:rsidR="0065235F" w:rsidP="0065235F" w:rsidRDefault="0065235F" w14:paraId="79AE7F2F" w14:textId="25FAA18F">
      <w:r w:rsidRPr="0065235F">
        <w:rPr>
          <w:u w:val="single"/>
        </w:rPr>
        <w:t xml:space="preserve">NRMN </w:t>
      </w:r>
      <w:r w:rsidR="000C440E">
        <w:rPr>
          <w:u w:val="single"/>
        </w:rPr>
        <w:t>Annual</w:t>
      </w:r>
      <w:r w:rsidRPr="0065235F" w:rsidR="000C440E">
        <w:rPr>
          <w:u w:val="single"/>
        </w:rPr>
        <w:t xml:space="preserve"> </w:t>
      </w:r>
      <w:r w:rsidRPr="0065235F">
        <w:rPr>
          <w:u w:val="single"/>
        </w:rPr>
        <w:t>Follow-Up Survey (see Attachment 1</w:t>
      </w:r>
      <w:r w:rsidR="000C440E">
        <w:rPr>
          <w:u w:val="single"/>
        </w:rPr>
        <w:t>7</w:t>
      </w:r>
      <w:r w:rsidRPr="0065235F">
        <w:rPr>
          <w:u w:val="single"/>
        </w:rPr>
        <w:t>)</w:t>
      </w:r>
      <w:r>
        <w:t xml:space="preserve"> – Follow-up surveys for NRMN participants to document academic output and career progress.  Follow-up data supports the CEC outcome evaluation with respect to outcomes of the training and professional development programs as well as outcomes relating to general academic output and career progress of NRMN participants. </w:t>
      </w:r>
      <w:r w:rsidR="00442D46">
        <w:t xml:space="preserve">In the original submission, these were Attachments 17 and 18. </w:t>
      </w:r>
      <w:r>
        <w:t xml:space="preserve">For Phase II the follow-up surveys </w:t>
      </w:r>
      <w:r w:rsidR="00442D46">
        <w:t xml:space="preserve">are </w:t>
      </w:r>
      <w:r>
        <w:t>combined into a single survey</w:t>
      </w:r>
      <w:r w:rsidR="00442D46">
        <w:t xml:space="preserve"> (see Attachment 17 and Section A.15 for</w:t>
      </w:r>
      <w:r w:rsidDel="000D2DC8" w:rsidR="00442D46">
        <w:t xml:space="preserve"> </w:t>
      </w:r>
      <w:r w:rsidR="00442D46">
        <w:t xml:space="preserve">explanation of this adjustment). </w:t>
      </w:r>
    </w:p>
    <w:p w:rsidR="0065235F" w:rsidP="0065235F" w:rsidRDefault="0065235F" w14:paraId="36521F38" w14:textId="77777777"/>
    <w:p w:rsidRPr="0065235F" w:rsidR="0065235F" w:rsidP="0065235F" w:rsidRDefault="0065235F" w14:paraId="0784659D" w14:textId="77777777">
      <w:pPr>
        <w:rPr>
          <w:b/>
        </w:rPr>
      </w:pPr>
      <w:r w:rsidRPr="0065235F">
        <w:rPr>
          <w:b/>
        </w:rPr>
        <w:t>SITE VISITS AND CASE STUDIES</w:t>
      </w:r>
    </w:p>
    <w:p w:rsidR="0065235F" w:rsidP="0065235F" w:rsidRDefault="0065235F" w14:paraId="7D3AE956" w14:textId="77777777"/>
    <w:p w:rsidR="0065235F" w:rsidP="0065235F" w:rsidRDefault="0065235F" w14:paraId="58167603" w14:textId="1B14AD1D">
      <w:r w:rsidRPr="0065235F">
        <w:rPr>
          <w:u w:val="single"/>
        </w:rPr>
        <w:t xml:space="preserve">BUILD Site Visits and Case Studies (Attachment </w:t>
      </w:r>
      <w:r w:rsidR="002C3AF2">
        <w:rPr>
          <w:u w:val="single"/>
        </w:rPr>
        <w:t>18</w:t>
      </w:r>
      <w:r w:rsidRPr="0065235F">
        <w:rPr>
          <w:u w:val="single"/>
        </w:rPr>
        <w:t xml:space="preserve">) </w:t>
      </w:r>
      <w:r>
        <w:t xml:space="preserve">- As part of the BUILD mixed methods evaluation design, the CEC and NIH conduct site visits to the 10 sites in order to understand the context and conditions at the BUILD sites.  Site visits are an occasion for sites to showcase the defining features of their programs as well as to discuss any challenges related to program implementation and evaluation. The site visit is a three-way exchange of information among the BUILD site, the CEC and NIH that allows for critical face-to-face learning to transpire. </w:t>
      </w:r>
    </w:p>
    <w:p w:rsidR="0065235F" w:rsidP="0065235F" w:rsidRDefault="0065235F" w14:paraId="70BA2EF9" w14:textId="77777777"/>
    <w:p w:rsidR="0065235F" w:rsidP="0065235F" w:rsidRDefault="0065235F" w14:paraId="31A8F726" w14:textId="0341F3ED">
      <w:r>
        <w:t>In addition to the site visits, the CEC conducts periodic in-depth case studies of the BUILD sites. The purpose of the case studies is to provide a holistic description of each BUILD program that goes beyond the information captured in the survey data. Case studies provide a clearer understanding of each BUILD site’s successes and challenges and enhance the validity of the consortium evaluation. Case studies offer the opportunity to provide a narrative description of the BUILD site’s inputs, activities, and outcomes. The BUILD case studies focus on the processes and procedures that build capacity and infrastructure to enhance diversity in the biomedical research workforce.</w:t>
      </w:r>
    </w:p>
    <w:p w:rsidR="0065235F" w:rsidP="0065235F" w:rsidRDefault="0065235F" w14:paraId="3A1E4DD6" w14:textId="77777777"/>
    <w:p w:rsidR="0065235F" w:rsidP="0065235F" w:rsidRDefault="0065235F" w14:paraId="366A57B2" w14:textId="14377C07">
      <w:r>
        <w:t xml:space="preserve">NRMN has undergone a restructuring for Phase II and as such the CEC is no longer conducting site visits or case studies. For this reason, Attachment 24 </w:t>
      </w:r>
      <w:r w:rsidR="00442D46">
        <w:t xml:space="preserve">from the original submission </w:t>
      </w:r>
      <w:r>
        <w:t>was eliminated.</w:t>
      </w:r>
    </w:p>
    <w:p w:rsidR="00442D46" w:rsidP="0065235F" w:rsidRDefault="00442D46" w14:paraId="3BF62004" w14:textId="77777777"/>
    <w:p w:rsidR="0065235F" w:rsidP="0065235F" w:rsidRDefault="0065235F" w14:paraId="4FE8BFDA" w14:textId="77777777">
      <w:r w:rsidRPr="0065235F">
        <w:rPr>
          <w:b/>
        </w:rPr>
        <w:t>ADMINISTRATIVE RECORDS AND NATIONAL DATABASE</w:t>
      </w:r>
      <w:r>
        <w:t>S</w:t>
      </w:r>
    </w:p>
    <w:p w:rsidR="0065235F" w:rsidP="0065235F" w:rsidRDefault="0065235F" w14:paraId="2F14E0FE" w14:textId="77777777"/>
    <w:p w:rsidR="0065235F" w:rsidP="0065235F" w:rsidRDefault="0065235F" w14:paraId="4F083F19" w14:textId="2F9DE37A">
      <w:r w:rsidRPr="0065235F">
        <w:rPr>
          <w:u w:val="single"/>
        </w:rPr>
        <w:t xml:space="preserve">BUILD Institutional </w:t>
      </w:r>
      <w:r w:rsidR="00442D46">
        <w:rPr>
          <w:u w:val="single"/>
        </w:rPr>
        <w:t xml:space="preserve">Records </w:t>
      </w:r>
      <w:r w:rsidRPr="0065235F">
        <w:rPr>
          <w:u w:val="single"/>
        </w:rPr>
        <w:t xml:space="preserve">&amp; Program Data (Attachment </w:t>
      </w:r>
      <w:r w:rsidR="00442D46">
        <w:rPr>
          <w:u w:val="single"/>
        </w:rPr>
        <w:t>19</w:t>
      </w:r>
      <w:r w:rsidRPr="0065235F">
        <w:rPr>
          <w:u w:val="single"/>
        </w:rPr>
        <w:t>)</w:t>
      </w:r>
      <w:r>
        <w:t xml:space="preserve"> – Additional student and faculty data is annually requested from BUILD institutions (e.g., activity rosters, courses, grades, majors). </w:t>
      </w:r>
    </w:p>
    <w:p w:rsidR="0065235F" w:rsidP="0065235F" w:rsidRDefault="0065235F" w14:paraId="0A697F39" w14:textId="77777777"/>
    <w:p w:rsidR="0065235F" w:rsidP="0065235F" w:rsidRDefault="0065235F" w14:paraId="0C4258B8" w14:textId="43E36B8D">
      <w:r w:rsidRPr="0065235F">
        <w:rPr>
          <w:u w:val="single"/>
        </w:rPr>
        <w:t>BUILD Implementation Reports</w:t>
      </w:r>
      <w:r>
        <w:t xml:space="preserve"> – These reports are no longer needed in Phase II because the sites have implemented their training and mentoring interventions. For this reason, Attachment 26 </w:t>
      </w:r>
      <w:r w:rsidR="00442D46">
        <w:t xml:space="preserve">from the original submission </w:t>
      </w:r>
      <w:r>
        <w:t>has been eliminated.</w:t>
      </w:r>
    </w:p>
    <w:p w:rsidR="0065235F" w:rsidP="0065235F" w:rsidRDefault="0065235F" w14:paraId="6852485C" w14:textId="77777777">
      <w:pPr>
        <w:spacing w:line="240" w:lineRule="auto"/>
      </w:pPr>
    </w:p>
    <w:p w:rsidRPr="0065235F" w:rsidR="0065235F" w:rsidP="0065235F" w:rsidRDefault="0065235F" w14:paraId="37AED022" w14:textId="77777777">
      <w:pPr>
        <w:spacing w:line="240" w:lineRule="auto"/>
        <w:rPr>
          <w:b/>
        </w:rPr>
      </w:pPr>
      <w:r w:rsidRPr="0065235F">
        <w:rPr>
          <w:b/>
        </w:rPr>
        <w:t>Use of the Information Collected:</w:t>
      </w:r>
    </w:p>
    <w:p w:rsidR="0065235F" w:rsidP="0065235F" w:rsidRDefault="0065235F" w14:paraId="4873729B" w14:textId="77777777">
      <w:pPr>
        <w:spacing w:line="240" w:lineRule="auto"/>
      </w:pPr>
    </w:p>
    <w:p w:rsidR="0065235F" w:rsidP="0065235F" w:rsidRDefault="0065235F" w14:paraId="10007E60" w14:textId="46D4DA75">
      <w:pPr>
        <w:spacing w:line="240" w:lineRule="auto"/>
      </w:pPr>
      <w:r>
        <w:t xml:space="preserve">The purpose of this large-scale initiative is to provide generalizable knowledge about what factors are important to success and in what settings so that the broader scientific community may adapt and employ these evidence-based approaches to enhancing diversity in the biomedical research workforce. Details of the </w:t>
      </w:r>
      <w:r w:rsidR="00442D46">
        <w:t xml:space="preserve">Priority </w:t>
      </w:r>
      <w:r>
        <w:t xml:space="preserve">Consortium Evaluation Products are listed in Attachment </w:t>
      </w:r>
      <w:r w:rsidR="00442D46">
        <w:t>8</w:t>
      </w:r>
      <w:r>
        <w:t xml:space="preserve">. The comprehensive approach will also allow for statistically robust testing of certain hypotheses that are not achievable at the site-level (see Attachment </w:t>
      </w:r>
      <w:r w:rsidR="00442D46">
        <w:t>2</w:t>
      </w:r>
      <w:r w:rsidR="00933EAA">
        <w:t>6</w:t>
      </w:r>
      <w:r>
        <w:t xml:space="preserve"> for examples).  Ultimately, without the data collection, NIH will not have information necessary to evaluate the effectiveness of the funding investment or to produce robust findings to advance the goals of enhancing diversity in the biomedical workforce. </w:t>
      </w:r>
    </w:p>
    <w:p w:rsidR="0065235F" w:rsidP="0065235F" w:rsidRDefault="0065235F" w14:paraId="7DFCE916" w14:textId="77777777">
      <w:pPr>
        <w:spacing w:line="240" w:lineRule="auto"/>
      </w:pPr>
    </w:p>
    <w:p w:rsidR="0065235F" w:rsidP="0065235F" w:rsidRDefault="0065235F" w14:paraId="6A86E461" w14:textId="77777777">
      <w:pPr>
        <w:spacing w:line="240" w:lineRule="auto"/>
      </w:pPr>
      <w:r>
        <w:t xml:space="preserve">To enhance and facilitate broader dissemination, the consortium will continue to generate compelling products that promote effective practices to stakeholders, </w:t>
      </w:r>
      <w:proofErr w:type="gramStart"/>
      <w:r>
        <w:t>policy-makers</w:t>
      </w:r>
      <w:proofErr w:type="gramEnd"/>
      <w:r>
        <w:t>, educators, and others. The bullets below outline the multiple venues that have been, and will continue to be used for disseminating the study findings:</w:t>
      </w:r>
    </w:p>
    <w:p w:rsidR="0065235F" w:rsidP="0065235F" w:rsidRDefault="0065235F" w14:paraId="416E37F4" w14:textId="77777777">
      <w:pPr>
        <w:pStyle w:val="ListParagraph"/>
        <w:numPr>
          <w:ilvl w:val="0"/>
          <w:numId w:val="20"/>
        </w:numPr>
        <w:spacing w:line="240" w:lineRule="auto"/>
      </w:pPr>
      <w:r w:rsidRPr="0065235F">
        <w:rPr>
          <w:b/>
        </w:rPr>
        <w:t>Briefs</w:t>
      </w:r>
      <w:r>
        <w:t xml:space="preserve"> - small topical reports that highlight key outcomes and how they can be used to better inform diversity programs, specifically the impact of BUILD and NRMN. </w:t>
      </w:r>
    </w:p>
    <w:p w:rsidR="0065235F" w:rsidP="0065235F" w:rsidRDefault="0065235F" w14:paraId="0896E33F" w14:textId="77777777">
      <w:pPr>
        <w:pStyle w:val="ListParagraph"/>
        <w:numPr>
          <w:ilvl w:val="0"/>
          <w:numId w:val="20"/>
        </w:numPr>
        <w:spacing w:line="240" w:lineRule="auto"/>
      </w:pPr>
      <w:r w:rsidRPr="0065235F">
        <w:rPr>
          <w:b/>
        </w:rPr>
        <w:t>Presentations at national conferences</w:t>
      </w:r>
      <w:r>
        <w:t xml:space="preserve"> – talks and poster presentations of results at widely attended conferences to maximize the impact of the findings.</w:t>
      </w:r>
    </w:p>
    <w:p w:rsidR="0065235F" w:rsidP="0065235F" w:rsidRDefault="0065235F" w14:paraId="2FFD8AD6" w14:textId="76550BA2">
      <w:pPr>
        <w:pStyle w:val="ListParagraph"/>
        <w:numPr>
          <w:ilvl w:val="0"/>
          <w:numId w:val="20"/>
        </w:numPr>
        <w:spacing w:line="240" w:lineRule="auto"/>
      </w:pPr>
      <w:r w:rsidRPr="0065235F">
        <w:rPr>
          <w:b/>
        </w:rPr>
        <w:t>Journal articles</w:t>
      </w:r>
      <w:r>
        <w:t xml:space="preserve"> – robust scientific findings subjected to the peer-review process and published in widely disseminated journals. These articles provide the evidence base for successful training and mentoring interventions conducted by BUILD and NRMN. The findings to date are curated on the NIGMS D</w:t>
      </w:r>
      <w:r w:rsidR="005879AE">
        <w:t xml:space="preserve">iversity </w:t>
      </w:r>
      <w:r>
        <w:t>P</w:t>
      </w:r>
      <w:r w:rsidR="005879AE">
        <w:t xml:space="preserve">rogram </w:t>
      </w:r>
      <w:r>
        <w:t>C</w:t>
      </w:r>
      <w:r w:rsidR="005879AE">
        <w:t>onsortium</w:t>
      </w:r>
      <w:r>
        <w:t xml:space="preserve"> publication webpage.</w:t>
      </w:r>
    </w:p>
    <w:p w:rsidR="0065235F" w:rsidP="0065235F" w:rsidRDefault="0065235F" w14:paraId="48E77711" w14:textId="7A086AFE">
      <w:pPr>
        <w:pStyle w:val="ListParagraph"/>
        <w:numPr>
          <w:ilvl w:val="0"/>
          <w:numId w:val="20"/>
        </w:numPr>
        <w:spacing w:line="240" w:lineRule="auto"/>
      </w:pPr>
      <w:r w:rsidRPr="0065235F">
        <w:rPr>
          <w:b/>
        </w:rPr>
        <w:t>Releases and brief notes</w:t>
      </w:r>
      <w:r>
        <w:t xml:space="preserve"> – these items are to gain the attention of broader audiences through outlets such as the Chronicle of Higher Education, and news outlets.</w:t>
      </w:r>
    </w:p>
    <w:p w:rsidRPr="00F116EE" w:rsidR="00A00CF8" w:rsidP="00F116EE" w:rsidRDefault="00A00CF8" w14:paraId="771476A4" w14:textId="77777777">
      <w:pPr>
        <w:pStyle w:val="Heading1"/>
        <w:rPr>
          <w:rFonts w:asciiTheme="minorHAnsi" w:hAnsiTheme="minorHAnsi" w:cstheme="minorHAnsi"/>
          <w:b/>
          <w:color w:val="000000" w:themeColor="text1"/>
          <w:sz w:val="22"/>
          <w:szCs w:val="22"/>
        </w:rPr>
      </w:pPr>
      <w:bookmarkStart w:name="_Toc31096820" w:id="10"/>
      <w:r w:rsidRPr="00F116EE">
        <w:rPr>
          <w:rFonts w:asciiTheme="minorHAnsi" w:hAnsiTheme="minorHAnsi" w:cstheme="minorHAnsi"/>
          <w:b/>
          <w:color w:val="000000" w:themeColor="text1"/>
          <w:sz w:val="22"/>
          <w:szCs w:val="22"/>
        </w:rPr>
        <w:t>A.3     Use of Information Technology and Burden Reduction</w:t>
      </w:r>
      <w:bookmarkEnd w:id="10"/>
    </w:p>
    <w:p w:rsidRPr="0065235F" w:rsidR="0065235F" w:rsidP="0065235F" w:rsidRDefault="0065235F" w14:paraId="7DA5E5A3" w14:textId="77777777">
      <w:pPr>
        <w:rPr>
          <w:color w:val="000000" w:themeColor="text1"/>
        </w:rPr>
      </w:pPr>
      <w:r w:rsidRPr="0065235F">
        <w:rPr>
          <w:color w:val="000000" w:themeColor="text1"/>
        </w:rPr>
        <w:t xml:space="preserve">For BUILD, the surveys for all students and faculty are provided online to facilitate completion by respondents at times and locations convenient for them, thus reducing burden. Where possible, the CEC </w:t>
      </w:r>
      <w:r w:rsidRPr="0065235F">
        <w:rPr>
          <w:color w:val="000000" w:themeColor="text1"/>
        </w:rPr>
        <w:lastRenderedPageBreak/>
        <w:t>relies on collection of existing annual institutional data to further reduce the time needed to collect data directly from BUILD participants.</w:t>
      </w:r>
    </w:p>
    <w:p w:rsidRPr="0065235F" w:rsidR="0065235F" w:rsidP="0065235F" w:rsidRDefault="0065235F" w14:paraId="60678F6E" w14:textId="77777777">
      <w:pPr>
        <w:rPr>
          <w:color w:val="000000" w:themeColor="text1"/>
        </w:rPr>
      </w:pPr>
    </w:p>
    <w:p w:rsidRPr="0065235F" w:rsidR="0065235F" w:rsidP="0065235F" w:rsidRDefault="0065235F" w14:paraId="7FF65A7B" w14:textId="77777777">
      <w:pPr>
        <w:rPr>
          <w:color w:val="000000" w:themeColor="text1"/>
        </w:rPr>
      </w:pPr>
      <w:r w:rsidRPr="001D0218">
        <w:rPr>
          <w:color w:val="000000" w:themeColor="text1"/>
        </w:rPr>
        <w:t>As noted earlier, baseline data for NRMN Phase I participants has been collected and is stored with the NRMN awardees. Annual NRMN online follow-up surveys hosted by the CEC are designed collect data from NRMN participants (students, postdoctoral scientists, junior faculty, senior researchers, and program leaders) on scientific productivity and career progress.</w:t>
      </w:r>
      <w:r w:rsidRPr="0065235F">
        <w:rPr>
          <w:color w:val="000000" w:themeColor="text1"/>
        </w:rPr>
        <w:t xml:space="preserve">  </w:t>
      </w:r>
    </w:p>
    <w:p w:rsidRPr="0065235F" w:rsidR="0065235F" w:rsidP="0065235F" w:rsidRDefault="0065235F" w14:paraId="28FA13A0" w14:textId="77777777">
      <w:pPr>
        <w:rPr>
          <w:color w:val="000000" w:themeColor="text1"/>
        </w:rPr>
      </w:pPr>
    </w:p>
    <w:p w:rsidRPr="0065235F" w:rsidR="0065235F" w:rsidP="0065235F" w:rsidRDefault="0065235F" w14:paraId="1CCFAD2E" w14:textId="77777777">
      <w:pPr>
        <w:rPr>
          <w:color w:val="000000" w:themeColor="text1"/>
        </w:rPr>
      </w:pPr>
      <w:r w:rsidRPr="0065235F">
        <w:rPr>
          <w:color w:val="000000" w:themeColor="text1"/>
        </w:rPr>
        <w:t>For all on-line surveys, participants receive a link to the online survey and a user code to access it. As appropriate, the online surveys use skip-patterns so that each respondent is only presented with questions relevant to his or her specific situation. In addition, most questions on the surveys are multiple choice or closed-ended to reduce burden on respondents.  Informed consent procedures are incorporated into the survey administration to allow respondents to complete both activities during a single session.</w:t>
      </w:r>
    </w:p>
    <w:p w:rsidRPr="0065235F" w:rsidR="0065235F" w:rsidP="0065235F" w:rsidRDefault="0065235F" w14:paraId="66337F32" w14:textId="77777777">
      <w:pPr>
        <w:rPr>
          <w:color w:val="000000" w:themeColor="text1"/>
        </w:rPr>
      </w:pPr>
    </w:p>
    <w:p w:rsidRPr="00E35DD1" w:rsidR="000F3043" w:rsidP="00A00CF8" w:rsidRDefault="00214B5A" w14:paraId="2F929A40" w14:textId="2B0ADBA2">
      <w:pPr>
        <w:rPr>
          <w:color w:val="000000" w:themeColor="text1"/>
        </w:rPr>
      </w:pPr>
      <w:r>
        <w:rPr>
          <w:color w:val="000000" w:themeColor="text1"/>
        </w:rPr>
        <w:t>All D</w:t>
      </w:r>
      <w:r w:rsidR="005879AE">
        <w:rPr>
          <w:color w:val="000000" w:themeColor="text1"/>
        </w:rPr>
        <w:t xml:space="preserve">iversity </w:t>
      </w:r>
      <w:r>
        <w:rPr>
          <w:color w:val="000000" w:themeColor="text1"/>
        </w:rPr>
        <w:t>P</w:t>
      </w:r>
      <w:r w:rsidR="005879AE">
        <w:rPr>
          <w:color w:val="000000" w:themeColor="text1"/>
        </w:rPr>
        <w:t xml:space="preserve">rogram </w:t>
      </w:r>
      <w:r>
        <w:rPr>
          <w:color w:val="000000" w:themeColor="text1"/>
        </w:rPr>
        <w:t>C</w:t>
      </w:r>
      <w:r w:rsidR="005879AE">
        <w:rPr>
          <w:color w:val="000000" w:themeColor="text1"/>
        </w:rPr>
        <w:t>onsortium</w:t>
      </w:r>
      <w:r>
        <w:rPr>
          <w:color w:val="000000" w:themeColor="text1"/>
        </w:rPr>
        <w:t xml:space="preserve"> survey data are stored </w:t>
      </w:r>
      <w:r w:rsidR="00A4200E">
        <w:rPr>
          <w:color w:val="000000" w:themeColor="text1"/>
        </w:rPr>
        <w:t xml:space="preserve">and can only be </w:t>
      </w:r>
      <w:r>
        <w:rPr>
          <w:color w:val="000000" w:themeColor="text1"/>
        </w:rPr>
        <w:t xml:space="preserve">securely </w:t>
      </w:r>
      <w:r w:rsidR="00A4200E">
        <w:rPr>
          <w:color w:val="000000" w:themeColor="text1"/>
        </w:rPr>
        <w:t xml:space="preserve">accessed </w:t>
      </w:r>
      <w:r>
        <w:rPr>
          <w:color w:val="000000" w:themeColor="text1"/>
        </w:rPr>
        <w:t xml:space="preserve">at the CEC at UCLA. </w:t>
      </w:r>
      <w:r w:rsidRPr="0065235F" w:rsidR="0065235F">
        <w:rPr>
          <w:color w:val="000000" w:themeColor="text1"/>
        </w:rPr>
        <w:t>The D</w:t>
      </w:r>
      <w:r w:rsidR="005879AE">
        <w:rPr>
          <w:color w:val="000000" w:themeColor="text1"/>
        </w:rPr>
        <w:t xml:space="preserve">iversity </w:t>
      </w:r>
      <w:r w:rsidRPr="0065235F" w:rsidR="0065235F">
        <w:rPr>
          <w:color w:val="000000" w:themeColor="text1"/>
        </w:rPr>
        <w:t>P</w:t>
      </w:r>
      <w:r w:rsidR="005879AE">
        <w:rPr>
          <w:color w:val="000000" w:themeColor="text1"/>
        </w:rPr>
        <w:t xml:space="preserve">rogram </w:t>
      </w:r>
      <w:r w:rsidRPr="0065235F" w:rsidR="0065235F">
        <w:rPr>
          <w:color w:val="000000" w:themeColor="text1"/>
        </w:rPr>
        <w:t>C</w:t>
      </w:r>
      <w:r w:rsidR="005879AE">
        <w:rPr>
          <w:color w:val="000000" w:themeColor="text1"/>
        </w:rPr>
        <w:t>onsortium</w:t>
      </w:r>
      <w:r w:rsidRPr="0065235F" w:rsidR="0065235F">
        <w:rPr>
          <w:color w:val="000000" w:themeColor="text1"/>
        </w:rPr>
        <w:t xml:space="preserve"> data system is compliant with UCLA policies (e.g., Policy 404 </w:t>
      </w:r>
      <w:proofErr w:type="gramStart"/>
      <w:r w:rsidRPr="0065235F" w:rsidR="0065235F">
        <w:rPr>
          <w:color w:val="000000" w:themeColor="text1"/>
        </w:rPr>
        <w:t>-</w:t>
      </w:r>
      <w:r w:rsidR="0065235F">
        <w:rPr>
          <w:color w:val="000000" w:themeColor="text1"/>
        </w:rPr>
        <w:t xml:space="preserve">  </w:t>
      </w:r>
      <w:r w:rsidRPr="0065235F" w:rsidR="0065235F">
        <w:rPr>
          <w:color w:val="000000" w:themeColor="text1"/>
          <w:u w:val="single"/>
        </w:rPr>
        <w:t>http://www.csg.ucla.edu/documents/2009/Policy404DeanVCfinal.pdf</w:t>
      </w:r>
      <w:proofErr w:type="gramEnd"/>
      <w:r w:rsidRPr="0065235F" w:rsidR="0065235F">
        <w:rPr>
          <w:color w:val="000000" w:themeColor="text1"/>
        </w:rPr>
        <w:t>) on the protection of personally identifying information. In consultation with the Chief Information Officer of the UCLA David Geffen School of Medicine (DGSOM), the CEC follows internal Risk Assessment procedures for all systems (see Attachment 2</w:t>
      </w:r>
      <w:r w:rsidR="007915CB">
        <w:rPr>
          <w:color w:val="000000" w:themeColor="text1"/>
        </w:rPr>
        <w:t>0</w:t>
      </w:r>
      <w:r w:rsidRPr="0065235F" w:rsidR="0065235F">
        <w:rPr>
          <w:color w:val="000000" w:themeColor="text1"/>
        </w:rPr>
        <w:t>: Coordination &amp; Evaluation Center (CEC) Tracker Security Overview for details).</w:t>
      </w:r>
    </w:p>
    <w:p w:rsidRPr="00C4161B" w:rsidR="00685B30" w:rsidP="00F116EE" w:rsidRDefault="00685B30" w14:paraId="2634512F" w14:textId="77777777">
      <w:pPr>
        <w:pStyle w:val="Heading1"/>
        <w:rPr>
          <w:rFonts w:asciiTheme="minorHAnsi" w:hAnsiTheme="minorHAnsi"/>
          <w:b/>
          <w:color w:val="auto"/>
          <w:sz w:val="22"/>
          <w:szCs w:val="22"/>
        </w:rPr>
      </w:pPr>
      <w:bookmarkStart w:name="_Toc443881745" w:id="11"/>
      <w:bookmarkStart w:name="_Toc451592234" w:id="12"/>
      <w:bookmarkStart w:name="_Toc5610275" w:id="13"/>
      <w:bookmarkStart w:name="_Toc99178781" w:id="14"/>
      <w:bookmarkStart w:name="_Toc31096821" w:id="15"/>
      <w:r w:rsidRPr="00C4161B">
        <w:rPr>
          <w:rFonts w:asciiTheme="minorHAnsi" w:hAnsiTheme="minorHAnsi"/>
          <w:b/>
          <w:color w:val="auto"/>
          <w:sz w:val="22"/>
          <w:szCs w:val="22"/>
        </w:rPr>
        <w:t>A.4</w:t>
      </w:r>
      <w:r w:rsidRPr="00C4161B">
        <w:rPr>
          <w:rFonts w:asciiTheme="minorHAnsi" w:hAnsiTheme="minorHAnsi"/>
          <w:b/>
          <w:color w:val="auto"/>
          <w:sz w:val="22"/>
          <w:szCs w:val="22"/>
        </w:rPr>
        <w:tab/>
        <w:t>Efforts to Identify Duplication and Use of Similar Information</w:t>
      </w:r>
      <w:bookmarkEnd w:id="11"/>
      <w:bookmarkEnd w:id="12"/>
      <w:bookmarkEnd w:id="13"/>
      <w:bookmarkEnd w:id="14"/>
      <w:bookmarkEnd w:id="15"/>
    </w:p>
    <w:p w:rsidR="0065235F" w:rsidP="0065235F" w:rsidRDefault="0065235F" w14:paraId="510D4742" w14:textId="7C430730">
      <w:bookmarkStart w:name="_Toc443881746" w:id="16"/>
      <w:bookmarkStart w:name="_Toc451592235" w:id="17"/>
      <w:bookmarkStart w:name="_Toc5610276" w:id="18"/>
      <w:bookmarkStart w:name="_Toc99178782" w:id="19"/>
      <w:r w:rsidRPr="0065235F">
        <w:t xml:space="preserve">The data collection from BUILD undergraduate students and faculty, from NRMN participants, and from institutional sources do not duplicate other data collection efforts.  The NIH has convened numerous discussions both across NIH (e.g., Office of Extramural Programs, Training and Advisory Council, and the Office for Scientific Workforce Diversity) and from individuals outside of the NIH (see Attachments </w:t>
      </w:r>
      <w:r w:rsidR="002217F9">
        <w:t>21</w:t>
      </w:r>
      <w:r w:rsidRPr="0065235F">
        <w:t xml:space="preserve">, </w:t>
      </w:r>
      <w:r w:rsidR="002217F9">
        <w:t>22</w:t>
      </w:r>
      <w:r w:rsidRPr="0065235F">
        <w:t>, and 2</w:t>
      </w:r>
      <w:r w:rsidR="002217F9">
        <w:t>3</w:t>
      </w:r>
      <w:r w:rsidRPr="0065235F">
        <w:t xml:space="preserve">) to discuss the needs and objectives of the program and ensure that the knowledge needed could not be answered using existing data collection efforts.  There is no similar information that has been collected across a multi-site, multi-year program aiming to develop training, mentoring, and institutional development to enhance diversity in the biomedical workforce.  As noted above in some detail, where possible, </w:t>
      </w:r>
      <w:r w:rsidR="001D0218">
        <w:t>the D</w:t>
      </w:r>
      <w:r w:rsidR="005879AE">
        <w:t xml:space="preserve">iversity </w:t>
      </w:r>
      <w:r w:rsidR="001D0218">
        <w:t>P</w:t>
      </w:r>
      <w:r w:rsidR="005879AE">
        <w:t xml:space="preserve">rogram </w:t>
      </w:r>
      <w:r w:rsidR="001D0218">
        <w:t>C</w:t>
      </w:r>
      <w:r w:rsidR="005879AE">
        <w:t>onsortium</w:t>
      </w:r>
      <w:r w:rsidR="001D0218">
        <w:t xml:space="preserve"> uses</w:t>
      </w:r>
      <w:r w:rsidRPr="0065235F">
        <w:t xml:space="preserve"> existing, secondary data from national surveys, such as those administered by HERI, or data collected by the NRMN or BUILD initiatives or the BUILD institutions themselves in order to leverage activity already underway at many institutions.  Through these efforts, </w:t>
      </w:r>
      <w:r w:rsidR="00813320">
        <w:t>the CEC has</w:t>
      </w:r>
      <w:r w:rsidRPr="0065235F">
        <w:t xml:space="preserve"> minimized additional survey collection for evaluation of the Diversity </w:t>
      </w:r>
      <w:r w:rsidR="00813320">
        <w:t>P</w:t>
      </w:r>
      <w:r w:rsidRPr="0065235F">
        <w:t>rogram</w:t>
      </w:r>
      <w:r w:rsidR="00813320">
        <w:t xml:space="preserve"> Consortium</w:t>
      </w:r>
      <w:r w:rsidRPr="0065235F">
        <w:t>.</w:t>
      </w:r>
    </w:p>
    <w:p w:rsidRPr="00F116EE" w:rsidR="00685B30" w:rsidP="00F116EE" w:rsidRDefault="00685B30" w14:paraId="2E534297" w14:textId="5EC89BC9">
      <w:pPr>
        <w:pStyle w:val="Heading1"/>
        <w:rPr>
          <w:rFonts w:asciiTheme="minorHAnsi" w:hAnsiTheme="minorHAnsi" w:cstheme="minorHAnsi"/>
          <w:b/>
          <w:color w:val="auto"/>
          <w:sz w:val="22"/>
          <w:szCs w:val="22"/>
        </w:rPr>
      </w:pPr>
      <w:bookmarkStart w:name="_Toc31096822" w:id="20"/>
      <w:r w:rsidRPr="00F116EE">
        <w:rPr>
          <w:rFonts w:asciiTheme="minorHAnsi" w:hAnsiTheme="minorHAnsi" w:cstheme="minorHAnsi"/>
          <w:b/>
          <w:color w:val="auto"/>
          <w:sz w:val="22"/>
          <w:szCs w:val="22"/>
        </w:rPr>
        <w:t>A.5</w:t>
      </w:r>
      <w:r w:rsidRPr="00F116EE">
        <w:rPr>
          <w:rFonts w:asciiTheme="minorHAnsi" w:hAnsiTheme="minorHAnsi" w:cstheme="minorHAnsi"/>
          <w:b/>
          <w:color w:val="auto"/>
          <w:sz w:val="22"/>
          <w:szCs w:val="22"/>
        </w:rPr>
        <w:tab/>
        <w:t>Impact on Small Businesses or Other Small Entities</w:t>
      </w:r>
      <w:bookmarkEnd w:id="16"/>
      <w:bookmarkEnd w:id="17"/>
      <w:bookmarkEnd w:id="18"/>
      <w:bookmarkEnd w:id="19"/>
      <w:bookmarkEnd w:id="20"/>
    </w:p>
    <w:p w:rsidRPr="00E63D56" w:rsidR="0065235F" w:rsidP="0065235F" w:rsidRDefault="0065235F" w14:paraId="3B850147" w14:textId="78927EC2">
      <w:r w:rsidRPr="00E63D56">
        <w:t>Small businesses are not involved in this study.</w:t>
      </w:r>
    </w:p>
    <w:p w:rsidRPr="00C76797" w:rsidR="004716CF" w:rsidP="004716CF" w:rsidRDefault="004716CF" w14:paraId="4B2E645C" w14:textId="6ABC4ECF">
      <w:pPr>
        <w:pStyle w:val="P1-StandPara"/>
        <w:spacing w:line="240" w:lineRule="auto"/>
        <w:ind w:firstLine="0"/>
        <w:rPr>
          <w:rFonts w:ascii="Calibri" w:hAnsi="Calibri" w:cs="Calibri"/>
        </w:rPr>
      </w:pPr>
    </w:p>
    <w:p w:rsidRPr="00C4161B" w:rsidR="00685B30" w:rsidP="00F116EE" w:rsidRDefault="00685B30" w14:paraId="4DCCFE87" w14:textId="77777777">
      <w:pPr>
        <w:pStyle w:val="Heading1"/>
        <w:rPr>
          <w:rFonts w:asciiTheme="minorHAnsi" w:hAnsiTheme="minorHAnsi"/>
          <w:b/>
          <w:color w:val="auto"/>
          <w:sz w:val="22"/>
          <w:szCs w:val="22"/>
        </w:rPr>
      </w:pPr>
      <w:bookmarkStart w:name="_Toc443881747" w:id="21"/>
      <w:bookmarkStart w:name="_Toc451592236" w:id="22"/>
      <w:bookmarkStart w:name="_Toc5610277" w:id="23"/>
      <w:bookmarkStart w:name="_Toc99178783" w:id="24"/>
      <w:bookmarkStart w:name="_Toc31096823" w:id="25"/>
      <w:r w:rsidRPr="00C4161B">
        <w:rPr>
          <w:rFonts w:asciiTheme="minorHAnsi" w:hAnsiTheme="minorHAnsi"/>
          <w:b/>
          <w:color w:val="auto"/>
          <w:sz w:val="22"/>
          <w:szCs w:val="22"/>
        </w:rPr>
        <w:lastRenderedPageBreak/>
        <w:t>A.6</w:t>
      </w:r>
      <w:r w:rsidRPr="00C4161B">
        <w:rPr>
          <w:rFonts w:asciiTheme="minorHAnsi" w:hAnsiTheme="minorHAnsi"/>
          <w:b/>
          <w:color w:val="auto"/>
          <w:sz w:val="22"/>
          <w:szCs w:val="22"/>
        </w:rPr>
        <w:tab/>
        <w:t>Consequences of Collecting the Information Less Frequently</w:t>
      </w:r>
      <w:bookmarkEnd w:id="21"/>
      <w:bookmarkEnd w:id="22"/>
      <w:bookmarkEnd w:id="23"/>
      <w:bookmarkEnd w:id="24"/>
      <w:bookmarkEnd w:id="25"/>
    </w:p>
    <w:p w:rsidR="0065235F" w:rsidP="0065235F" w:rsidRDefault="0065235F" w14:paraId="442452C6" w14:textId="4A4232F5">
      <w:bookmarkStart w:name="_Toc443881748" w:id="26"/>
      <w:bookmarkStart w:name="_Toc451592237" w:id="27"/>
      <w:bookmarkStart w:name="_Toc5610278" w:id="28"/>
      <w:bookmarkStart w:name="_Toc99178784" w:id="29"/>
      <w:r>
        <w:t xml:space="preserve">The data collection schedules are designed to provide information needed for a rigorous longitudinal program evaluation. Efforts have been made to reduce the burden on participants by collecting data annually rather than on a more frequent basis. Programs are designed to annually enroll students and to assess factors before and after exposure to the intervention activities and to obtain consistent data for each student cohort. In order to assess outcomes, it is necessary to collect data for a significant period of time to see long-term changes (e.g., in degree attainment and matriculation to research graduate programs). It is also necessary to maintain contact with participants after they exit their institutions/programs for tracking of their biomedical research career outcomes. The timeline for data collection allows for adequate tracking of changes in the desired outcomes at the individual student, faculty, and institutional level in the short-, medium-, and long-term.  </w:t>
      </w:r>
    </w:p>
    <w:p w:rsidR="0065235F" w:rsidP="0065235F" w:rsidRDefault="0065235F" w14:paraId="408860ED" w14:textId="77777777"/>
    <w:p w:rsidR="0065235F" w:rsidP="0065235F" w:rsidRDefault="0065235F" w14:paraId="51DF28BC" w14:textId="516D73B3">
      <w:r>
        <w:t>If the BUILD and NRMN surveys for students and faculty are not conducted or are conducted less frequently, NIH will not be able to determine whether the Diversity Program</w:t>
      </w:r>
      <w:r w:rsidR="007915CB">
        <w:t xml:space="preserve"> Consortium</w:t>
      </w:r>
      <w:r>
        <w:t xml:space="preserve"> produced the desired programmatic outcomes and whether any changes in outcomes could be attributed to the program interventions. Also, if the surveys are not conducted, the program activities which produce the desired outcomes could not be identified and disseminated to the biomedical research training community. If information is not collected from BUILD institutions, NIH will not be able to assess how the interventions are being implemented, the impact of the interventions, the progress made in achieving programmatic goals and achieving sustainability and institutionalization of program interventions and activities. Further, NIH will not be able to take steps to improve implementation, sustainability, and institutionalization of the highly effective training and mentoring interventions.</w:t>
      </w:r>
    </w:p>
    <w:p w:rsidRPr="00F116EE" w:rsidR="00685B30" w:rsidP="00F116EE" w:rsidRDefault="00E67B10" w14:paraId="50FA46DF" w14:textId="68A9B705">
      <w:pPr>
        <w:pStyle w:val="Heading1"/>
        <w:rPr>
          <w:rFonts w:asciiTheme="minorHAnsi" w:hAnsiTheme="minorHAnsi" w:cstheme="minorHAnsi"/>
          <w:b/>
          <w:color w:val="auto"/>
          <w:sz w:val="22"/>
          <w:szCs w:val="22"/>
        </w:rPr>
      </w:pPr>
      <w:bookmarkStart w:name="_Toc31096824" w:id="30"/>
      <w:r w:rsidRPr="00F116EE">
        <w:rPr>
          <w:rFonts w:asciiTheme="minorHAnsi" w:hAnsiTheme="minorHAnsi" w:cstheme="minorHAnsi"/>
          <w:b/>
          <w:color w:val="auto"/>
          <w:sz w:val="22"/>
          <w:szCs w:val="22"/>
        </w:rPr>
        <w:t>A.7</w:t>
      </w:r>
      <w:r w:rsidRPr="00F116EE">
        <w:rPr>
          <w:rFonts w:asciiTheme="minorHAnsi" w:hAnsiTheme="minorHAnsi" w:cstheme="minorHAnsi"/>
          <w:b/>
          <w:color w:val="auto"/>
          <w:sz w:val="22"/>
          <w:szCs w:val="22"/>
        </w:rPr>
        <w:tab/>
      </w:r>
      <w:r w:rsidRPr="00F116EE" w:rsidR="00685B30">
        <w:rPr>
          <w:rFonts w:asciiTheme="minorHAnsi" w:hAnsiTheme="minorHAnsi" w:cstheme="minorHAnsi"/>
          <w:b/>
          <w:color w:val="auto"/>
          <w:sz w:val="22"/>
          <w:szCs w:val="22"/>
        </w:rPr>
        <w:t xml:space="preserve">Special Circumstances Relating to the Guidelines of 5 </w:t>
      </w:r>
      <w:smartTag w:uri="urn:schemas-microsoft-com:office:smarttags" w:element="stockticker">
        <w:r w:rsidR="00685B30" w:rsidRPr="00F116EE">
          <w:rPr>
            <w:rFonts w:asciiTheme="minorHAnsi" w:hAnsiTheme="minorHAnsi" w:cstheme="minorHAnsi"/>
            <w:b/>
            <w:color w:val="auto"/>
            <w:sz w:val="22"/>
            <w:szCs w:val="22"/>
          </w:rPr>
          <w:t>CFR</w:t>
        </w:r>
      </w:smartTag>
      <w:r w:rsidRPr="00F116EE" w:rsidR="00685B30">
        <w:rPr>
          <w:rFonts w:asciiTheme="minorHAnsi" w:hAnsiTheme="minorHAnsi" w:cstheme="minorHAnsi"/>
          <w:b/>
          <w:color w:val="auto"/>
          <w:sz w:val="22"/>
          <w:szCs w:val="22"/>
        </w:rPr>
        <w:t xml:space="preserve"> 1320.5</w:t>
      </w:r>
      <w:bookmarkEnd w:id="26"/>
      <w:bookmarkEnd w:id="27"/>
      <w:bookmarkEnd w:id="28"/>
      <w:bookmarkEnd w:id="29"/>
      <w:bookmarkEnd w:id="30"/>
    </w:p>
    <w:p w:rsidRPr="00E35DD1" w:rsidR="00685B30" w:rsidP="00503052" w:rsidRDefault="00503052" w14:paraId="635EB124" w14:textId="78719A55">
      <w:r w:rsidRPr="00E63D56">
        <w:rPr>
          <w:snapToGrid w:val="0"/>
        </w:rPr>
        <w:t>This project fully complies with all guidelines of 5 CFR 1320.5.</w:t>
      </w:r>
    </w:p>
    <w:p w:rsidRPr="00C4161B" w:rsidR="0036208F" w:rsidP="00F116EE" w:rsidRDefault="00685B30" w14:paraId="42BE9D3A" w14:textId="77777777">
      <w:pPr>
        <w:pStyle w:val="Heading1"/>
        <w:rPr>
          <w:rFonts w:asciiTheme="minorHAnsi" w:hAnsiTheme="minorHAnsi"/>
          <w:b/>
          <w:color w:val="auto"/>
          <w:sz w:val="22"/>
          <w:szCs w:val="22"/>
        </w:rPr>
      </w:pPr>
      <w:bookmarkStart w:name="_Toc31096825" w:id="31"/>
      <w:bookmarkStart w:name="_Toc443881749" w:id="32"/>
      <w:bookmarkStart w:name="_Toc451592238" w:id="33"/>
      <w:bookmarkStart w:name="_Toc5610279" w:id="34"/>
      <w:bookmarkStart w:name="_Toc99178785" w:id="35"/>
      <w:r w:rsidRPr="00C4161B">
        <w:rPr>
          <w:rFonts w:asciiTheme="minorHAnsi" w:hAnsiTheme="minorHAnsi"/>
          <w:b/>
          <w:color w:val="auto"/>
          <w:sz w:val="22"/>
          <w:szCs w:val="22"/>
        </w:rPr>
        <w:t>A.8</w:t>
      </w:r>
      <w:r w:rsidRPr="00C4161B" w:rsidR="0036208F">
        <w:rPr>
          <w:rFonts w:asciiTheme="minorHAnsi" w:hAnsiTheme="minorHAnsi"/>
          <w:b/>
          <w:color w:val="auto"/>
          <w:sz w:val="22"/>
          <w:szCs w:val="22"/>
        </w:rPr>
        <w:t>.1</w:t>
      </w:r>
      <w:r w:rsidRPr="00C4161B">
        <w:rPr>
          <w:rFonts w:asciiTheme="minorHAnsi" w:hAnsiTheme="minorHAnsi"/>
          <w:b/>
          <w:color w:val="auto"/>
          <w:sz w:val="22"/>
          <w:szCs w:val="22"/>
        </w:rPr>
        <w:tab/>
        <w:t>Comments in Response to the Federal Register Notice</w:t>
      </w:r>
      <w:bookmarkEnd w:id="31"/>
      <w:r w:rsidRPr="00C4161B">
        <w:rPr>
          <w:rFonts w:asciiTheme="minorHAnsi" w:hAnsiTheme="minorHAnsi"/>
          <w:b/>
          <w:color w:val="auto"/>
          <w:sz w:val="22"/>
          <w:szCs w:val="22"/>
        </w:rPr>
        <w:t xml:space="preserve"> </w:t>
      </w:r>
    </w:p>
    <w:p w:rsidRPr="0036208F" w:rsidR="0036208F" w:rsidP="00E35DD1" w:rsidRDefault="0036208F" w14:paraId="25A28A2C" w14:textId="77777777">
      <w:pPr>
        <w:pStyle w:val="Heading2"/>
        <w:ind w:left="720" w:hanging="720"/>
        <w:rPr>
          <w:rFonts w:asciiTheme="minorHAnsi" w:hAnsiTheme="minorHAnsi"/>
          <w:szCs w:val="22"/>
        </w:rPr>
      </w:pPr>
    </w:p>
    <w:bookmarkEnd w:id="32"/>
    <w:bookmarkEnd w:id="33"/>
    <w:bookmarkEnd w:id="34"/>
    <w:bookmarkEnd w:id="35"/>
    <w:p w:rsidR="00503052" w:rsidP="00503052" w:rsidRDefault="00503052" w14:paraId="3256A434" w14:textId="41ED188C">
      <w:pPr>
        <w:spacing w:after="120" w:line="240" w:lineRule="auto"/>
      </w:pPr>
      <w:r>
        <w:t xml:space="preserve">The 60-day Federal Register notice for the original application was posted on </w:t>
      </w:r>
      <w:r w:rsidR="00933EAA">
        <w:t>December 3, 2019</w:t>
      </w:r>
      <w:r>
        <w:t xml:space="preserve">. </w:t>
      </w:r>
      <w:r w:rsidRPr="00933EAA" w:rsidR="00933EAA">
        <w:t>Federal Register Notice Vol. 84 No. 232, Pgs. 66207-66209</w:t>
      </w:r>
      <w:r>
        <w:t>.  Federal Register Notice:</w:t>
      </w:r>
      <w:r w:rsidR="007915CB">
        <w:t xml:space="preserve"> </w:t>
      </w:r>
      <w:hyperlink w:history="1" r:id="rId14">
        <w:r w:rsidR="00214B5A">
          <w:rPr>
            <w:rStyle w:val="Hyperlink"/>
          </w:rPr>
          <w:t>https://www.federalregister.gov/documents/2019/12/03/2019-26087/proposed-collection-60-day-comment-request-evaluation-of-the-enhancing-diversity-of-the-nih-funded</w:t>
        </w:r>
      </w:hyperlink>
    </w:p>
    <w:p w:rsidR="00E35FDA" w:rsidP="00503052" w:rsidRDefault="00E35FDA" w14:paraId="323B1923" w14:textId="77777777">
      <w:pPr>
        <w:spacing w:after="120" w:line="240" w:lineRule="auto"/>
      </w:pPr>
    </w:p>
    <w:p w:rsidR="00503052" w:rsidP="00503052" w:rsidRDefault="00503052" w14:paraId="5A8B7612" w14:textId="506BCE08">
      <w:pPr>
        <w:spacing w:after="120" w:line="240" w:lineRule="auto"/>
      </w:pPr>
      <w:r>
        <w:t>One public comment was received</w:t>
      </w:r>
      <w:r w:rsidR="00E35FDA">
        <w:t xml:space="preserve"> (see Attachment 27).</w:t>
      </w:r>
    </w:p>
    <w:p w:rsidRPr="00C4161B" w:rsidR="0036208F" w:rsidP="00F116EE" w:rsidRDefault="0036208F" w14:paraId="51C2EE07" w14:textId="0F03E8BB">
      <w:pPr>
        <w:pStyle w:val="Heading1"/>
        <w:rPr>
          <w:rFonts w:asciiTheme="minorHAnsi" w:hAnsiTheme="minorHAnsi"/>
          <w:b/>
          <w:color w:val="auto"/>
          <w:sz w:val="22"/>
          <w:szCs w:val="22"/>
        </w:rPr>
      </w:pPr>
      <w:bookmarkStart w:name="_Toc31096826" w:id="36"/>
      <w:r w:rsidRPr="00C4161B">
        <w:rPr>
          <w:rFonts w:asciiTheme="minorHAnsi" w:hAnsiTheme="minorHAnsi"/>
          <w:b/>
          <w:color w:val="auto"/>
          <w:sz w:val="22"/>
          <w:szCs w:val="22"/>
        </w:rPr>
        <w:t>A.8.2</w:t>
      </w:r>
      <w:r w:rsidRPr="00C4161B">
        <w:rPr>
          <w:rFonts w:asciiTheme="minorHAnsi" w:hAnsiTheme="minorHAnsi"/>
          <w:b/>
          <w:color w:val="auto"/>
          <w:sz w:val="22"/>
          <w:szCs w:val="22"/>
        </w:rPr>
        <w:tab/>
        <w:t>Efforts to Consult Outside Agency</w:t>
      </w:r>
      <w:bookmarkEnd w:id="36"/>
    </w:p>
    <w:p w:rsidR="0036208F" w:rsidP="00685B30" w:rsidRDefault="0036208F" w14:paraId="3E326CCB" w14:textId="77777777"/>
    <w:p w:rsidR="00CD3EAB" w:rsidP="00CD3EAB" w:rsidRDefault="00CD3EAB" w14:paraId="2DF4B8B1" w14:textId="0F52FE86">
      <w:pPr>
        <w:spacing w:after="120" w:line="240" w:lineRule="auto"/>
      </w:pPr>
      <w:r>
        <w:t xml:space="preserve">To address underrepresentation in biomedical and behavioral research, NIH Director Dr. Francis Collins charged the Advisory Committee to the NIH Director (ACD) to form a Working Group on Diversity in the Biomedical Research Workforce (WGDBRW) to examine the findings and implications of the Ginther et al. </w:t>
      </w:r>
      <w:r>
        <w:lastRenderedPageBreak/>
        <w:t>(2011) study results.</w:t>
      </w:r>
      <w:r w:rsidR="007C2B3F">
        <w:rPr>
          <w:rStyle w:val="FootnoteReference"/>
        </w:rPr>
        <w:footnoteReference w:id="3"/>
      </w:r>
      <w:r>
        <w:t xml:space="preserve"> The vast majority of WGDBRW members were external to NIH. Dr. Collins charged the WGDBRW with providing concrete recommendations toward improving the recruitment and retention of underrepresented minorities (URM), people with disabilities, and people from disadvantaged backgrounds across the lifespan of a biomedical research career from graduate study to acquisition of tenure in an academic position or the equivalent in a non-academic setting. The WGDBRW met 13 times in person at the NIH’s Bethesda campus or by telephone and used a variety of means to gather information based on existing data and efforts, leading to a report and set of recommendations to the NIH Director.</w:t>
      </w:r>
      <w:r w:rsidR="00796E2D">
        <w:rPr>
          <w:rStyle w:val="FootnoteReference"/>
        </w:rPr>
        <w:footnoteReference w:id="4"/>
      </w:r>
      <w:r>
        <w:t xml:space="preserve">  These recommendations led to the creation of the Diversity Program Consortium. (see Attachment 2</w:t>
      </w:r>
      <w:r w:rsidR="007915CB">
        <w:t>1</w:t>
      </w:r>
      <w:r>
        <w:t xml:space="preserve">: </w:t>
      </w:r>
      <w:r w:rsidR="007915CB">
        <w:t xml:space="preserve">Original </w:t>
      </w:r>
      <w:r>
        <w:t>Advisory Committee to the Director – Working Group on Diversity in the Biomedical Workforce Membership).</w:t>
      </w:r>
    </w:p>
    <w:p w:rsidR="00CD3EAB" w:rsidP="00CD3EAB" w:rsidRDefault="00CD3EAB" w14:paraId="205E355F" w14:textId="77777777">
      <w:pPr>
        <w:spacing w:after="120" w:line="240" w:lineRule="auto"/>
      </w:pPr>
    </w:p>
    <w:p w:rsidR="00CD3EAB" w:rsidP="00CD3EAB" w:rsidRDefault="00CD3EAB" w14:paraId="59323389" w14:textId="7F10C319">
      <w:pPr>
        <w:spacing w:after="120" w:line="240" w:lineRule="auto"/>
      </w:pPr>
      <w:r>
        <w:t xml:space="preserve">In preparing this original application, the </w:t>
      </w:r>
      <w:r w:rsidRPr="001D0218">
        <w:t xml:space="preserve">CEC consulted with other members of the Diversity </w:t>
      </w:r>
      <w:r w:rsidR="001D0218">
        <w:t xml:space="preserve">Program </w:t>
      </w:r>
      <w:r w:rsidRPr="001D0218">
        <w:t>Consortium</w:t>
      </w:r>
      <w:r>
        <w:t xml:space="preserve">, both generally and through the Diversity Program Consortium Executive Steering Committee (ESC) as well as NIH scientists involved in the Consortium to determine (a) exactly what information was needed to implement the required consortium-wide evaluation, and (b) what measures and data sources were recommended for collection of each required piece of information.  Decisions regarding the data required from BUILD and NRMN participants and comparison groups, the required frequency of that data collection as well as evaluation of potential sources of data (i.e., what required primary data collection and what could be obtained from existing data sources) was informed by Consortium member’s extensive experience in implementation of educational interventions for university students and faculty and the methodologies and the type and frequency of data sources required for successful evaluation of those efforts. </w:t>
      </w:r>
    </w:p>
    <w:p w:rsidR="00CD3EAB" w:rsidP="00CD3EAB" w:rsidRDefault="00CD3EAB" w14:paraId="75EFE72F" w14:textId="77777777">
      <w:pPr>
        <w:spacing w:after="120" w:line="240" w:lineRule="auto"/>
      </w:pPr>
    </w:p>
    <w:p w:rsidR="00CD3EAB" w:rsidP="00CD3EAB" w:rsidRDefault="00CD3EAB" w14:paraId="0F84DCCE" w14:textId="0C45C1FC">
      <w:pPr>
        <w:spacing w:after="120" w:line="240" w:lineRule="auto"/>
      </w:pPr>
      <w:r>
        <w:t>Specific consultations included: (1) Group discussions with BUILD and NRMN investigators at the 2014 Consortium Kickoff meeting, (2) CEC orientation visits to each BUILD site and attendance at 2 NRMN leadership meetings, where evaluation and data collection were discussed with site investigators, faculty, and institutional representatives, (3) Working group conference calls with BUILD and NRMN representatives regarding evaluation plans and data collection (bi-monthly for 6-8 months) (4) CEC 1-day planning retreat with the NIH leadership team, and (4) ESC meetings with representatives from each BUILD and NRMN site and the NIH to develop, discuss, and approve proposed Consortium Hallmarks</w:t>
      </w:r>
      <w:r w:rsidR="007915CB">
        <w:t xml:space="preserve"> of Success</w:t>
      </w:r>
      <w:r>
        <w:t xml:space="preserve">.  </w:t>
      </w:r>
    </w:p>
    <w:p w:rsidR="00CD3EAB" w:rsidP="00CD3EAB" w:rsidRDefault="00CD3EAB" w14:paraId="77177F82" w14:textId="77777777">
      <w:pPr>
        <w:spacing w:after="120" w:line="240" w:lineRule="auto"/>
      </w:pPr>
    </w:p>
    <w:p w:rsidR="00CD3EAB" w:rsidP="00CD3EAB" w:rsidRDefault="00CD3EAB" w14:paraId="5B8392AA" w14:textId="77777777">
      <w:pPr>
        <w:spacing w:after="120" w:line="240" w:lineRule="auto"/>
      </w:pPr>
      <w:r>
        <w:t>The table below provides the names and affiliations for the BUILD PIs and NRMN leadership involved in the original consortium consultations.</w:t>
      </w:r>
    </w:p>
    <w:tbl>
      <w:tblPr>
        <w:tblStyle w:val="TableGrid"/>
        <w:tblW w:w="0" w:type="auto"/>
        <w:tblLayout w:type="fixed"/>
        <w:tblLook w:val="04A0" w:firstRow="1" w:lastRow="0" w:firstColumn="1" w:lastColumn="0" w:noHBand="0" w:noVBand="1"/>
      </w:tblPr>
      <w:tblGrid>
        <w:gridCol w:w="452"/>
        <w:gridCol w:w="1816"/>
        <w:gridCol w:w="1170"/>
        <w:gridCol w:w="3240"/>
        <w:gridCol w:w="2520"/>
      </w:tblGrid>
      <w:tr w:rsidRPr="00503052" w:rsidR="00CD3EAB" w:rsidTr="00437361" w14:paraId="150BF627" w14:textId="77777777">
        <w:tc>
          <w:tcPr>
            <w:tcW w:w="9198" w:type="dxa"/>
            <w:gridSpan w:val="5"/>
          </w:tcPr>
          <w:p w:rsidRPr="00503052" w:rsidR="00CD3EAB" w:rsidP="00437361" w:rsidRDefault="00CD3EAB" w14:paraId="619E6816" w14:textId="77777777">
            <w:pPr>
              <w:tabs>
                <w:tab w:val="left" w:pos="3318"/>
              </w:tabs>
              <w:rPr>
                <w:rFonts w:asciiTheme="minorHAnsi" w:hAnsiTheme="minorHAnsi" w:cstheme="minorHAnsi"/>
                <w:b/>
                <w:snapToGrid w:val="0"/>
                <w:sz w:val="22"/>
                <w:szCs w:val="22"/>
              </w:rPr>
            </w:pPr>
            <w:r w:rsidRPr="00503052">
              <w:rPr>
                <w:rFonts w:asciiTheme="minorHAnsi" w:hAnsiTheme="minorHAnsi" w:cstheme="minorHAnsi"/>
                <w:b/>
                <w:snapToGrid w:val="0"/>
                <w:sz w:val="22"/>
                <w:szCs w:val="22"/>
              </w:rPr>
              <w:t>BUILD &amp; NRMN leadership consulted in Grant Year 01</w:t>
            </w:r>
          </w:p>
        </w:tc>
      </w:tr>
      <w:tr w:rsidRPr="00503052" w:rsidR="00CD3EAB" w:rsidTr="00437361" w14:paraId="14E2BA32" w14:textId="77777777">
        <w:tc>
          <w:tcPr>
            <w:tcW w:w="452" w:type="dxa"/>
          </w:tcPr>
          <w:p w:rsidRPr="00503052" w:rsidR="00CD3EAB" w:rsidP="00437361" w:rsidRDefault="00CD3EAB" w14:paraId="06EEE7B3" w14:textId="77777777">
            <w:pPr>
              <w:rPr>
                <w:rFonts w:asciiTheme="minorHAnsi" w:hAnsiTheme="minorHAnsi" w:cstheme="minorHAnsi"/>
                <w:snapToGrid w:val="0"/>
                <w:sz w:val="22"/>
                <w:szCs w:val="22"/>
              </w:rPr>
            </w:pPr>
          </w:p>
        </w:tc>
        <w:tc>
          <w:tcPr>
            <w:tcW w:w="1816" w:type="dxa"/>
          </w:tcPr>
          <w:p w:rsidRPr="00503052" w:rsidR="00CD3EAB" w:rsidP="00437361" w:rsidRDefault="00CD3EAB" w14:paraId="163B73FB" w14:textId="77777777">
            <w:pPr>
              <w:rPr>
                <w:rFonts w:asciiTheme="minorHAnsi" w:hAnsiTheme="minorHAnsi" w:cstheme="minorHAnsi"/>
                <w:b/>
                <w:snapToGrid w:val="0"/>
                <w:sz w:val="22"/>
                <w:szCs w:val="22"/>
              </w:rPr>
            </w:pPr>
            <w:r w:rsidRPr="00503052">
              <w:rPr>
                <w:rFonts w:asciiTheme="minorHAnsi" w:hAnsiTheme="minorHAnsi" w:cstheme="minorHAnsi"/>
                <w:b/>
                <w:snapToGrid w:val="0"/>
                <w:sz w:val="22"/>
                <w:szCs w:val="22"/>
              </w:rPr>
              <w:t>Name</w:t>
            </w:r>
          </w:p>
        </w:tc>
        <w:tc>
          <w:tcPr>
            <w:tcW w:w="1170" w:type="dxa"/>
          </w:tcPr>
          <w:p w:rsidRPr="00503052" w:rsidR="00CD3EAB" w:rsidP="00437361" w:rsidRDefault="00CD3EAB" w14:paraId="01DD0F46" w14:textId="77777777">
            <w:pPr>
              <w:rPr>
                <w:rFonts w:asciiTheme="minorHAnsi" w:hAnsiTheme="minorHAnsi" w:cstheme="minorHAnsi"/>
                <w:b/>
                <w:snapToGrid w:val="0"/>
                <w:sz w:val="22"/>
                <w:szCs w:val="22"/>
              </w:rPr>
            </w:pPr>
            <w:r w:rsidRPr="00503052">
              <w:rPr>
                <w:rFonts w:asciiTheme="minorHAnsi" w:hAnsiTheme="minorHAnsi" w:cstheme="minorHAnsi"/>
                <w:b/>
                <w:snapToGrid w:val="0"/>
                <w:sz w:val="22"/>
                <w:szCs w:val="22"/>
              </w:rPr>
              <w:t>Affiliation</w:t>
            </w:r>
          </w:p>
        </w:tc>
        <w:tc>
          <w:tcPr>
            <w:tcW w:w="3240" w:type="dxa"/>
          </w:tcPr>
          <w:p w:rsidRPr="00503052" w:rsidR="00CD3EAB" w:rsidP="00437361" w:rsidRDefault="00CD3EAB" w14:paraId="189F8E8E" w14:textId="77777777">
            <w:pPr>
              <w:rPr>
                <w:rFonts w:asciiTheme="minorHAnsi" w:hAnsiTheme="minorHAnsi" w:cstheme="minorHAnsi"/>
                <w:b/>
                <w:snapToGrid w:val="0"/>
                <w:sz w:val="22"/>
                <w:szCs w:val="22"/>
              </w:rPr>
            </w:pPr>
            <w:r w:rsidRPr="00503052">
              <w:rPr>
                <w:rFonts w:asciiTheme="minorHAnsi" w:hAnsiTheme="minorHAnsi" w:cstheme="minorHAnsi"/>
                <w:b/>
                <w:snapToGrid w:val="0"/>
                <w:sz w:val="22"/>
                <w:szCs w:val="22"/>
              </w:rPr>
              <w:t>Organization</w:t>
            </w:r>
          </w:p>
        </w:tc>
        <w:tc>
          <w:tcPr>
            <w:tcW w:w="2520" w:type="dxa"/>
          </w:tcPr>
          <w:p w:rsidRPr="00503052" w:rsidR="00CD3EAB" w:rsidP="00437361" w:rsidRDefault="00CD3EAB" w14:paraId="3C2C91D0" w14:textId="77777777">
            <w:pPr>
              <w:rPr>
                <w:rFonts w:asciiTheme="minorHAnsi" w:hAnsiTheme="minorHAnsi" w:cstheme="minorHAnsi"/>
                <w:b/>
                <w:snapToGrid w:val="0"/>
                <w:sz w:val="22"/>
                <w:szCs w:val="22"/>
              </w:rPr>
            </w:pPr>
            <w:r w:rsidRPr="00503052">
              <w:rPr>
                <w:rFonts w:asciiTheme="minorHAnsi" w:hAnsiTheme="minorHAnsi" w:cstheme="minorHAnsi"/>
                <w:b/>
                <w:snapToGrid w:val="0"/>
                <w:sz w:val="22"/>
                <w:szCs w:val="22"/>
              </w:rPr>
              <w:t>Email</w:t>
            </w:r>
          </w:p>
        </w:tc>
      </w:tr>
      <w:tr w:rsidRPr="00503052" w:rsidR="00CD3EAB" w:rsidTr="00437361" w14:paraId="2ADB345F" w14:textId="77777777">
        <w:tc>
          <w:tcPr>
            <w:tcW w:w="452" w:type="dxa"/>
          </w:tcPr>
          <w:p w:rsidRPr="00503052" w:rsidR="00CD3EAB" w:rsidP="00437361" w:rsidRDefault="00CD3EAB" w14:paraId="590DDDA4"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1</w:t>
            </w:r>
          </w:p>
        </w:tc>
        <w:tc>
          <w:tcPr>
            <w:tcW w:w="1816" w:type="dxa"/>
          </w:tcPr>
          <w:p w:rsidRPr="00503052" w:rsidR="00CD3EAB" w:rsidP="00437361" w:rsidRDefault="00CD3EAB" w14:paraId="03FCAF61"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Laura Kingsford</w:t>
            </w:r>
          </w:p>
        </w:tc>
        <w:tc>
          <w:tcPr>
            <w:tcW w:w="1170" w:type="dxa"/>
          </w:tcPr>
          <w:p w:rsidRPr="00503052" w:rsidR="00CD3EAB" w:rsidP="00437361" w:rsidRDefault="00CD3EAB" w14:paraId="0FE0C4B4"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BUILD </w:t>
            </w:r>
          </w:p>
        </w:tc>
        <w:tc>
          <w:tcPr>
            <w:tcW w:w="3240" w:type="dxa"/>
          </w:tcPr>
          <w:p w:rsidRPr="00503052" w:rsidR="00CD3EAB" w:rsidP="00437361" w:rsidRDefault="00CD3EAB" w14:paraId="3CE6E42A"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Cal State University Long Beach (CSULB)</w:t>
            </w:r>
          </w:p>
        </w:tc>
        <w:tc>
          <w:tcPr>
            <w:tcW w:w="2520" w:type="dxa"/>
          </w:tcPr>
          <w:p w:rsidRPr="00503052" w:rsidR="00CD3EAB" w:rsidP="00437361" w:rsidRDefault="0091754D" w14:paraId="00CBF0A2" w14:textId="77777777">
            <w:pPr>
              <w:rPr>
                <w:rFonts w:asciiTheme="minorHAnsi" w:hAnsiTheme="minorHAnsi" w:cstheme="minorHAnsi"/>
                <w:snapToGrid w:val="0"/>
                <w:sz w:val="22"/>
                <w:szCs w:val="22"/>
              </w:rPr>
            </w:pPr>
            <w:hyperlink w:history="1" r:id="rId15">
              <w:r w:rsidRPr="00503052" w:rsidR="00CD3EAB">
                <w:rPr>
                  <w:rStyle w:val="Hyperlink"/>
                  <w:rFonts w:asciiTheme="minorHAnsi" w:hAnsiTheme="minorHAnsi" w:cstheme="minorHAnsi"/>
                  <w:snapToGrid w:val="0"/>
                  <w:sz w:val="22"/>
                  <w:szCs w:val="22"/>
                </w:rPr>
                <w:t>Laura.kingsford@csulb.edu</w:t>
              </w:r>
            </w:hyperlink>
          </w:p>
        </w:tc>
      </w:tr>
      <w:tr w:rsidRPr="00503052" w:rsidR="00CD3EAB" w:rsidTr="00437361" w14:paraId="03392A43" w14:textId="77777777">
        <w:tc>
          <w:tcPr>
            <w:tcW w:w="452" w:type="dxa"/>
          </w:tcPr>
          <w:p w:rsidRPr="00503052" w:rsidR="00CD3EAB" w:rsidP="00437361" w:rsidRDefault="00CD3EAB" w14:paraId="3674D8DC"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2</w:t>
            </w:r>
          </w:p>
        </w:tc>
        <w:tc>
          <w:tcPr>
            <w:tcW w:w="1816" w:type="dxa"/>
          </w:tcPr>
          <w:p w:rsidRPr="00503052" w:rsidR="00CD3EAB" w:rsidP="00437361" w:rsidRDefault="00CD3EAB" w14:paraId="3BB045AE"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Crist </w:t>
            </w:r>
            <w:proofErr w:type="spellStart"/>
            <w:r w:rsidRPr="00503052">
              <w:rPr>
                <w:rFonts w:asciiTheme="minorHAnsi" w:hAnsiTheme="minorHAnsi" w:cstheme="minorHAnsi"/>
                <w:snapToGrid w:val="0"/>
                <w:sz w:val="22"/>
                <w:szCs w:val="22"/>
              </w:rPr>
              <w:t>Khachikian</w:t>
            </w:r>
            <w:proofErr w:type="spellEnd"/>
          </w:p>
        </w:tc>
        <w:tc>
          <w:tcPr>
            <w:tcW w:w="1170" w:type="dxa"/>
          </w:tcPr>
          <w:p w:rsidRPr="00503052" w:rsidR="00CD3EAB" w:rsidP="00437361" w:rsidRDefault="00CD3EAB" w14:paraId="746DE698"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BUILD </w:t>
            </w:r>
          </w:p>
        </w:tc>
        <w:tc>
          <w:tcPr>
            <w:tcW w:w="3240" w:type="dxa"/>
          </w:tcPr>
          <w:p w:rsidRPr="00503052" w:rsidR="00CD3EAB" w:rsidP="00437361" w:rsidRDefault="00CD3EAB" w14:paraId="373452E0" w14:textId="1D0E8AC2">
            <w:pPr>
              <w:rPr>
                <w:rFonts w:asciiTheme="minorHAnsi" w:hAnsiTheme="minorHAnsi" w:cstheme="minorHAnsi"/>
                <w:snapToGrid w:val="0"/>
                <w:sz w:val="22"/>
                <w:szCs w:val="22"/>
              </w:rPr>
            </w:pPr>
            <w:r w:rsidRPr="00503052">
              <w:rPr>
                <w:rFonts w:asciiTheme="minorHAnsi" w:hAnsiTheme="minorHAnsi" w:cstheme="minorHAnsi"/>
                <w:snapToGrid w:val="0"/>
                <w:sz w:val="22"/>
                <w:szCs w:val="22"/>
              </w:rPr>
              <w:t>Cal State University Northridge</w:t>
            </w:r>
            <w:r w:rsidR="007915CB">
              <w:rPr>
                <w:rFonts w:asciiTheme="minorHAnsi" w:hAnsiTheme="minorHAnsi" w:cstheme="minorHAnsi"/>
                <w:snapToGrid w:val="0"/>
                <w:sz w:val="22"/>
                <w:szCs w:val="22"/>
              </w:rPr>
              <w:t xml:space="preserve"> (CSUN)</w:t>
            </w:r>
          </w:p>
        </w:tc>
        <w:tc>
          <w:tcPr>
            <w:tcW w:w="2520" w:type="dxa"/>
          </w:tcPr>
          <w:p w:rsidRPr="00503052" w:rsidR="00CD3EAB" w:rsidP="00437361" w:rsidRDefault="0091754D" w14:paraId="6D5C2660" w14:textId="77777777">
            <w:pPr>
              <w:rPr>
                <w:rFonts w:asciiTheme="minorHAnsi" w:hAnsiTheme="minorHAnsi" w:cstheme="minorHAnsi"/>
                <w:snapToGrid w:val="0"/>
                <w:sz w:val="22"/>
                <w:szCs w:val="22"/>
              </w:rPr>
            </w:pPr>
            <w:hyperlink w:history="1" r:id="rId16">
              <w:r w:rsidRPr="00503052" w:rsidR="00CD3EAB">
                <w:rPr>
                  <w:rStyle w:val="Hyperlink"/>
                  <w:rFonts w:asciiTheme="minorHAnsi" w:hAnsiTheme="minorHAnsi" w:cstheme="minorHAnsi"/>
                  <w:snapToGrid w:val="0"/>
                  <w:sz w:val="22"/>
                  <w:szCs w:val="22"/>
                </w:rPr>
                <w:t>Crist.khachikian@csun.edu</w:t>
              </w:r>
            </w:hyperlink>
          </w:p>
        </w:tc>
      </w:tr>
      <w:tr w:rsidRPr="00503052" w:rsidR="00CD3EAB" w:rsidTr="00437361" w14:paraId="17D0F38C" w14:textId="77777777">
        <w:tc>
          <w:tcPr>
            <w:tcW w:w="452" w:type="dxa"/>
          </w:tcPr>
          <w:p w:rsidRPr="00503052" w:rsidR="00CD3EAB" w:rsidP="00437361" w:rsidRDefault="00CD3EAB" w14:paraId="431709B5"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lastRenderedPageBreak/>
              <w:t>3</w:t>
            </w:r>
          </w:p>
        </w:tc>
        <w:tc>
          <w:tcPr>
            <w:tcW w:w="1816" w:type="dxa"/>
          </w:tcPr>
          <w:p w:rsidRPr="00503052" w:rsidR="00CD3EAB" w:rsidP="00437361" w:rsidRDefault="00CD3EAB" w14:paraId="65DC3587"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Gary </w:t>
            </w:r>
            <w:proofErr w:type="spellStart"/>
            <w:r w:rsidRPr="00503052">
              <w:rPr>
                <w:rFonts w:asciiTheme="minorHAnsi" w:hAnsiTheme="minorHAnsi" w:cstheme="minorHAnsi"/>
                <w:snapToGrid w:val="0"/>
                <w:sz w:val="22"/>
                <w:szCs w:val="22"/>
              </w:rPr>
              <w:t>Kuleck</w:t>
            </w:r>
            <w:proofErr w:type="spellEnd"/>
          </w:p>
        </w:tc>
        <w:tc>
          <w:tcPr>
            <w:tcW w:w="1170" w:type="dxa"/>
          </w:tcPr>
          <w:p w:rsidRPr="00503052" w:rsidR="00CD3EAB" w:rsidP="00437361" w:rsidRDefault="00CD3EAB" w14:paraId="4BFE658B"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BUILD</w:t>
            </w:r>
          </w:p>
        </w:tc>
        <w:tc>
          <w:tcPr>
            <w:tcW w:w="3240" w:type="dxa"/>
          </w:tcPr>
          <w:p w:rsidRPr="00503052" w:rsidR="00CD3EAB" w:rsidP="00437361" w:rsidRDefault="00CD3EAB" w14:paraId="798A55BE" w14:textId="170B042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University of Detroit Mercy</w:t>
            </w:r>
            <w:r w:rsidR="007915CB">
              <w:rPr>
                <w:rFonts w:asciiTheme="minorHAnsi" w:hAnsiTheme="minorHAnsi" w:cstheme="minorHAnsi"/>
                <w:snapToGrid w:val="0"/>
                <w:sz w:val="22"/>
                <w:szCs w:val="22"/>
              </w:rPr>
              <w:t xml:space="preserve"> (UDM)</w:t>
            </w:r>
          </w:p>
        </w:tc>
        <w:tc>
          <w:tcPr>
            <w:tcW w:w="2520" w:type="dxa"/>
          </w:tcPr>
          <w:p w:rsidRPr="00503052" w:rsidR="00CD3EAB" w:rsidP="00437361" w:rsidRDefault="0091754D" w14:paraId="4B084878" w14:textId="77777777">
            <w:pPr>
              <w:rPr>
                <w:rFonts w:asciiTheme="minorHAnsi" w:hAnsiTheme="minorHAnsi" w:cstheme="minorHAnsi"/>
                <w:snapToGrid w:val="0"/>
                <w:sz w:val="22"/>
                <w:szCs w:val="22"/>
              </w:rPr>
            </w:pPr>
            <w:hyperlink w:history="1" r:id="rId17">
              <w:r w:rsidRPr="00503052" w:rsidR="00CD3EAB">
                <w:rPr>
                  <w:rStyle w:val="Hyperlink"/>
                  <w:rFonts w:asciiTheme="minorHAnsi" w:hAnsiTheme="minorHAnsi" w:cstheme="minorHAnsi"/>
                  <w:snapToGrid w:val="0"/>
                  <w:sz w:val="22"/>
                  <w:szCs w:val="22"/>
                </w:rPr>
                <w:t>kuleckga@udmercy.edu</w:t>
              </w:r>
            </w:hyperlink>
          </w:p>
        </w:tc>
      </w:tr>
      <w:tr w:rsidRPr="00503052" w:rsidR="00CD3EAB" w:rsidTr="00437361" w14:paraId="7520C391" w14:textId="77777777">
        <w:tc>
          <w:tcPr>
            <w:tcW w:w="452" w:type="dxa"/>
          </w:tcPr>
          <w:p w:rsidRPr="00503052" w:rsidR="00CD3EAB" w:rsidP="00437361" w:rsidRDefault="00CD3EAB" w14:paraId="461BEE11"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4</w:t>
            </w:r>
          </w:p>
        </w:tc>
        <w:tc>
          <w:tcPr>
            <w:tcW w:w="1816" w:type="dxa"/>
          </w:tcPr>
          <w:p w:rsidRPr="00503052" w:rsidR="00CD3EAB" w:rsidP="00437361" w:rsidRDefault="00CD3EAB" w14:paraId="3888E276" w14:textId="77777777">
            <w:pPr>
              <w:rPr>
                <w:rFonts w:asciiTheme="minorHAnsi" w:hAnsiTheme="minorHAnsi" w:cstheme="minorHAnsi"/>
                <w:snapToGrid w:val="0"/>
                <w:sz w:val="22"/>
                <w:szCs w:val="22"/>
              </w:rPr>
            </w:pPr>
            <w:proofErr w:type="spellStart"/>
            <w:r w:rsidRPr="00503052">
              <w:rPr>
                <w:rFonts w:asciiTheme="minorHAnsi" w:hAnsiTheme="minorHAnsi" w:cstheme="minorHAnsi"/>
                <w:snapToGrid w:val="0"/>
                <w:sz w:val="22"/>
                <w:szCs w:val="22"/>
              </w:rPr>
              <w:t>Farin</w:t>
            </w:r>
            <w:proofErr w:type="spellEnd"/>
            <w:r w:rsidRPr="00503052">
              <w:rPr>
                <w:rFonts w:asciiTheme="minorHAnsi" w:hAnsiTheme="minorHAnsi" w:cstheme="minorHAnsi"/>
                <w:snapToGrid w:val="0"/>
                <w:sz w:val="22"/>
                <w:szCs w:val="22"/>
              </w:rPr>
              <w:t xml:space="preserve"> </w:t>
            </w:r>
            <w:proofErr w:type="spellStart"/>
            <w:r w:rsidRPr="00503052">
              <w:rPr>
                <w:rFonts w:asciiTheme="minorHAnsi" w:hAnsiTheme="minorHAnsi" w:cstheme="minorHAnsi"/>
                <w:snapToGrid w:val="0"/>
                <w:sz w:val="22"/>
                <w:szCs w:val="22"/>
              </w:rPr>
              <w:t>Kamangar</w:t>
            </w:r>
            <w:proofErr w:type="spellEnd"/>
          </w:p>
        </w:tc>
        <w:tc>
          <w:tcPr>
            <w:tcW w:w="1170" w:type="dxa"/>
          </w:tcPr>
          <w:p w:rsidRPr="00503052" w:rsidR="00CD3EAB" w:rsidP="00437361" w:rsidRDefault="00CD3EAB" w14:paraId="76648C00"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BUILD </w:t>
            </w:r>
          </w:p>
        </w:tc>
        <w:tc>
          <w:tcPr>
            <w:tcW w:w="3240" w:type="dxa"/>
          </w:tcPr>
          <w:p w:rsidRPr="00503052" w:rsidR="00CD3EAB" w:rsidP="00437361" w:rsidRDefault="00CD3EAB" w14:paraId="0A5BD29D" w14:textId="3A32A156">
            <w:pPr>
              <w:rPr>
                <w:rFonts w:asciiTheme="minorHAnsi" w:hAnsiTheme="minorHAnsi" w:cstheme="minorHAnsi"/>
                <w:snapToGrid w:val="0"/>
                <w:sz w:val="22"/>
                <w:szCs w:val="22"/>
              </w:rPr>
            </w:pPr>
            <w:r w:rsidRPr="00503052">
              <w:rPr>
                <w:rFonts w:asciiTheme="minorHAnsi" w:hAnsiTheme="minorHAnsi" w:cstheme="minorHAnsi"/>
                <w:snapToGrid w:val="0"/>
                <w:sz w:val="22"/>
                <w:szCs w:val="22"/>
              </w:rPr>
              <w:t>Morgan State University</w:t>
            </w:r>
            <w:r w:rsidR="007915CB">
              <w:rPr>
                <w:rFonts w:asciiTheme="minorHAnsi" w:hAnsiTheme="minorHAnsi" w:cstheme="minorHAnsi"/>
                <w:snapToGrid w:val="0"/>
                <w:sz w:val="22"/>
                <w:szCs w:val="22"/>
              </w:rPr>
              <w:t xml:space="preserve"> (MSU)</w:t>
            </w:r>
          </w:p>
        </w:tc>
        <w:tc>
          <w:tcPr>
            <w:tcW w:w="2520" w:type="dxa"/>
          </w:tcPr>
          <w:p w:rsidRPr="00503052" w:rsidR="00CD3EAB" w:rsidP="00437361" w:rsidRDefault="0091754D" w14:paraId="7FAB9930" w14:textId="77777777">
            <w:pPr>
              <w:rPr>
                <w:rFonts w:asciiTheme="minorHAnsi" w:hAnsiTheme="minorHAnsi" w:cstheme="minorHAnsi"/>
                <w:snapToGrid w:val="0"/>
                <w:sz w:val="22"/>
                <w:szCs w:val="22"/>
              </w:rPr>
            </w:pPr>
            <w:hyperlink w:history="1" r:id="rId18">
              <w:r w:rsidRPr="00503052" w:rsidR="00CD3EAB">
                <w:rPr>
                  <w:rStyle w:val="Hyperlink"/>
                  <w:rFonts w:asciiTheme="minorHAnsi" w:hAnsiTheme="minorHAnsi" w:cstheme="minorHAnsi"/>
                  <w:snapToGrid w:val="0"/>
                  <w:sz w:val="22"/>
                  <w:szCs w:val="22"/>
                </w:rPr>
                <w:t>farinkamangar@gmail.com</w:t>
              </w:r>
            </w:hyperlink>
          </w:p>
        </w:tc>
      </w:tr>
      <w:tr w:rsidRPr="00503052" w:rsidR="00CD3EAB" w:rsidTr="00437361" w14:paraId="01BD24FC" w14:textId="77777777">
        <w:tc>
          <w:tcPr>
            <w:tcW w:w="452" w:type="dxa"/>
          </w:tcPr>
          <w:p w:rsidRPr="00503052" w:rsidR="00CD3EAB" w:rsidP="00437361" w:rsidRDefault="00CD3EAB" w14:paraId="04FB78B5"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5</w:t>
            </w:r>
          </w:p>
        </w:tc>
        <w:tc>
          <w:tcPr>
            <w:tcW w:w="1816" w:type="dxa"/>
          </w:tcPr>
          <w:p w:rsidRPr="00503052" w:rsidR="00CD3EAB" w:rsidP="00437361" w:rsidRDefault="00CD3EAB" w14:paraId="3E5261F0"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Carlos Crespo</w:t>
            </w:r>
          </w:p>
        </w:tc>
        <w:tc>
          <w:tcPr>
            <w:tcW w:w="1170" w:type="dxa"/>
          </w:tcPr>
          <w:p w:rsidRPr="00503052" w:rsidR="00CD3EAB" w:rsidP="00437361" w:rsidRDefault="00CD3EAB" w14:paraId="79841823"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BUILD </w:t>
            </w:r>
          </w:p>
        </w:tc>
        <w:tc>
          <w:tcPr>
            <w:tcW w:w="3240" w:type="dxa"/>
          </w:tcPr>
          <w:p w:rsidRPr="00503052" w:rsidR="00CD3EAB" w:rsidP="00437361" w:rsidRDefault="00CD3EAB" w14:paraId="5B9F02C1" w14:textId="787C674B">
            <w:pPr>
              <w:rPr>
                <w:rFonts w:asciiTheme="minorHAnsi" w:hAnsiTheme="minorHAnsi" w:cstheme="minorHAnsi"/>
                <w:snapToGrid w:val="0"/>
                <w:sz w:val="22"/>
                <w:szCs w:val="22"/>
              </w:rPr>
            </w:pPr>
            <w:r w:rsidRPr="00503052">
              <w:rPr>
                <w:rFonts w:asciiTheme="minorHAnsi" w:hAnsiTheme="minorHAnsi" w:cstheme="minorHAnsi"/>
                <w:snapToGrid w:val="0"/>
                <w:sz w:val="22"/>
                <w:szCs w:val="22"/>
              </w:rPr>
              <w:t>Portland State University</w:t>
            </w:r>
            <w:r w:rsidR="007915CB">
              <w:rPr>
                <w:rFonts w:asciiTheme="minorHAnsi" w:hAnsiTheme="minorHAnsi" w:cstheme="minorHAnsi"/>
                <w:snapToGrid w:val="0"/>
                <w:sz w:val="22"/>
                <w:szCs w:val="22"/>
              </w:rPr>
              <w:t xml:space="preserve"> (PSU)</w:t>
            </w:r>
          </w:p>
        </w:tc>
        <w:tc>
          <w:tcPr>
            <w:tcW w:w="2520" w:type="dxa"/>
          </w:tcPr>
          <w:p w:rsidRPr="00503052" w:rsidR="00CD3EAB" w:rsidP="00437361" w:rsidRDefault="0091754D" w14:paraId="7E3992AE" w14:textId="77777777">
            <w:pPr>
              <w:rPr>
                <w:rFonts w:asciiTheme="minorHAnsi" w:hAnsiTheme="minorHAnsi" w:cstheme="minorHAnsi"/>
                <w:snapToGrid w:val="0"/>
                <w:sz w:val="22"/>
                <w:szCs w:val="22"/>
              </w:rPr>
            </w:pPr>
            <w:hyperlink w:history="1" r:id="rId19">
              <w:r w:rsidRPr="00503052" w:rsidR="00CD3EAB">
                <w:rPr>
                  <w:rStyle w:val="Hyperlink"/>
                  <w:rFonts w:asciiTheme="minorHAnsi" w:hAnsiTheme="minorHAnsi" w:cstheme="minorHAnsi"/>
                  <w:snapToGrid w:val="0"/>
                  <w:sz w:val="22"/>
                  <w:szCs w:val="22"/>
                </w:rPr>
                <w:t>ccrespo@pdx.edu</w:t>
              </w:r>
            </w:hyperlink>
          </w:p>
        </w:tc>
      </w:tr>
      <w:tr w:rsidRPr="00503052" w:rsidR="00CD3EAB" w:rsidTr="00437361" w14:paraId="42F70572" w14:textId="77777777">
        <w:tc>
          <w:tcPr>
            <w:tcW w:w="452" w:type="dxa"/>
          </w:tcPr>
          <w:p w:rsidRPr="00503052" w:rsidR="00CD3EAB" w:rsidP="00437361" w:rsidRDefault="00CD3EAB" w14:paraId="5040901E"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6</w:t>
            </w:r>
          </w:p>
        </w:tc>
        <w:tc>
          <w:tcPr>
            <w:tcW w:w="1816" w:type="dxa"/>
          </w:tcPr>
          <w:p w:rsidRPr="00503052" w:rsidR="00CD3EAB" w:rsidP="00437361" w:rsidRDefault="00CD3EAB" w14:paraId="57E5AE0F" w14:textId="0BB036D4">
            <w:pPr>
              <w:rPr>
                <w:rFonts w:asciiTheme="minorHAnsi" w:hAnsiTheme="minorHAnsi" w:cstheme="minorHAnsi"/>
                <w:snapToGrid w:val="0"/>
                <w:sz w:val="22"/>
                <w:szCs w:val="22"/>
              </w:rPr>
            </w:pPr>
            <w:r w:rsidRPr="00503052">
              <w:rPr>
                <w:rFonts w:asciiTheme="minorHAnsi" w:hAnsiTheme="minorHAnsi" w:cstheme="minorHAnsi"/>
                <w:snapToGrid w:val="0"/>
                <w:sz w:val="22"/>
                <w:szCs w:val="22"/>
              </w:rPr>
              <w:t>Leticia M</w:t>
            </w:r>
            <w:r w:rsidR="007915CB">
              <w:rPr>
                <w:rFonts w:asciiTheme="minorHAnsi" w:hAnsiTheme="minorHAnsi" w:cstheme="minorHAnsi"/>
                <w:snapToGrid w:val="0"/>
                <w:sz w:val="22"/>
                <w:szCs w:val="22"/>
              </w:rPr>
              <w:t>á</w:t>
            </w:r>
            <w:r w:rsidRPr="00503052">
              <w:rPr>
                <w:rFonts w:asciiTheme="minorHAnsi" w:hAnsiTheme="minorHAnsi" w:cstheme="minorHAnsi"/>
                <w:snapToGrid w:val="0"/>
                <w:sz w:val="22"/>
                <w:szCs w:val="22"/>
              </w:rPr>
              <w:t>rquez-</w:t>
            </w:r>
            <w:proofErr w:type="spellStart"/>
            <w:r w:rsidRPr="00503052">
              <w:rPr>
                <w:rFonts w:asciiTheme="minorHAnsi" w:hAnsiTheme="minorHAnsi" w:cstheme="minorHAnsi"/>
                <w:snapToGrid w:val="0"/>
                <w:sz w:val="22"/>
                <w:szCs w:val="22"/>
              </w:rPr>
              <w:t>Maga</w:t>
            </w:r>
            <w:r w:rsidR="007915CB">
              <w:rPr>
                <w:rFonts w:asciiTheme="minorHAnsi" w:hAnsiTheme="minorHAnsi" w:cstheme="minorHAnsi"/>
                <w:snapToGrid w:val="0"/>
                <w:sz w:val="22"/>
                <w:szCs w:val="22"/>
              </w:rPr>
              <w:t>ñ</w:t>
            </w:r>
            <w:r w:rsidRPr="00503052">
              <w:rPr>
                <w:rFonts w:asciiTheme="minorHAnsi" w:hAnsiTheme="minorHAnsi" w:cstheme="minorHAnsi"/>
                <w:snapToGrid w:val="0"/>
                <w:sz w:val="22"/>
                <w:szCs w:val="22"/>
              </w:rPr>
              <w:t>a</w:t>
            </w:r>
            <w:proofErr w:type="spellEnd"/>
          </w:p>
        </w:tc>
        <w:tc>
          <w:tcPr>
            <w:tcW w:w="1170" w:type="dxa"/>
          </w:tcPr>
          <w:p w:rsidRPr="00503052" w:rsidR="00CD3EAB" w:rsidP="00437361" w:rsidRDefault="00CD3EAB" w14:paraId="21535A28"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BUILD </w:t>
            </w:r>
          </w:p>
        </w:tc>
        <w:tc>
          <w:tcPr>
            <w:tcW w:w="3240" w:type="dxa"/>
          </w:tcPr>
          <w:p w:rsidRPr="00503052" w:rsidR="00CD3EAB" w:rsidP="00437361" w:rsidRDefault="00CD3EAB" w14:paraId="15B668CE"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San Francisco State University (SFSU)</w:t>
            </w:r>
          </w:p>
        </w:tc>
        <w:tc>
          <w:tcPr>
            <w:tcW w:w="2520" w:type="dxa"/>
          </w:tcPr>
          <w:p w:rsidRPr="00503052" w:rsidR="00CD3EAB" w:rsidP="00437361" w:rsidRDefault="0091754D" w14:paraId="11DF6A20" w14:textId="77777777">
            <w:pPr>
              <w:rPr>
                <w:rFonts w:asciiTheme="minorHAnsi" w:hAnsiTheme="minorHAnsi" w:cstheme="minorHAnsi"/>
                <w:snapToGrid w:val="0"/>
                <w:sz w:val="22"/>
                <w:szCs w:val="22"/>
              </w:rPr>
            </w:pPr>
            <w:hyperlink w:history="1" r:id="rId20">
              <w:r w:rsidRPr="00503052" w:rsidR="00CD3EAB">
                <w:rPr>
                  <w:rStyle w:val="Hyperlink"/>
                  <w:rFonts w:asciiTheme="minorHAnsi" w:hAnsiTheme="minorHAnsi" w:cstheme="minorHAnsi"/>
                  <w:snapToGrid w:val="0"/>
                  <w:sz w:val="22"/>
                  <w:szCs w:val="22"/>
                </w:rPr>
                <w:t>marquez@sfsu.edu</w:t>
              </w:r>
            </w:hyperlink>
          </w:p>
        </w:tc>
      </w:tr>
      <w:tr w:rsidRPr="00503052" w:rsidR="00CD3EAB" w:rsidTr="00437361" w14:paraId="140FAC9E" w14:textId="77777777">
        <w:tc>
          <w:tcPr>
            <w:tcW w:w="452" w:type="dxa"/>
          </w:tcPr>
          <w:p w:rsidRPr="00503052" w:rsidR="00CD3EAB" w:rsidP="00437361" w:rsidRDefault="00CD3EAB" w14:paraId="1998CC9E"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7</w:t>
            </w:r>
          </w:p>
        </w:tc>
        <w:tc>
          <w:tcPr>
            <w:tcW w:w="1816" w:type="dxa"/>
          </w:tcPr>
          <w:p w:rsidRPr="00503052" w:rsidR="00CD3EAB" w:rsidP="00437361" w:rsidRDefault="00CD3EAB" w14:paraId="15EE99F3"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Karsten Hueffer</w:t>
            </w:r>
          </w:p>
        </w:tc>
        <w:tc>
          <w:tcPr>
            <w:tcW w:w="1170" w:type="dxa"/>
          </w:tcPr>
          <w:p w:rsidRPr="00503052" w:rsidR="00CD3EAB" w:rsidP="00437361" w:rsidRDefault="00CD3EAB" w14:paraId="7D94BCDD"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BUILD </w:t>
            </w:r>
          </w:p>
        </w:tc>
        <w:tc>
          <w:tcPr>
            <w:tcW w:w="3240" w:type="dxa"/>
          </w:tcPr>
          <w:p w:rsidRPr="00503052" w:rsidR="00CD3EAB" w:rsidP="00437361" w:rsidRDefault="00CD3EAB" w14:paraId="4E1E7653"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University of Alaska Fairbanks (UAF)</w:t>
            </w:r>
          </w:p>
        </w:tc>
        <w:tc>
          <w:tcPr>
            <w:tcW w:w="2520" w:type="dxa"/>
          </w:tcPr>
          <w:p w:rsidRPr="00503052" w:rsidR="00CD3EAB" w:rsidP="00437361" w:rsidRDefault="0091754D" w14:paraId="01AE3ABA" w14:textId="77777777">
            <w:pPr>
              <w:rPr>
                <w:rFonts w:asciiTheme="minorHAnsi" w:hAnsiTheme="minorHAnsi" w:cstheme="minorHAnsi"/>
                <w:snapToGrid w:val="0"/>
                <w:sz w:val="22"/>
                <w:szCs w:val="22"/>
              </w:rPr>
            </w:pPr>
            <w:hyperlink w:history="1" r:id="rId21">
              <w:r w:rsidRPr="00503052" w:rsidR="00CD3EAB">
                <w:rPr>
                  <w:rStyle w:val="Hyperlink"/>
                  <w:rFonts w:asciiTheme="minorHAnsi" w:hAnsiTheme="minorHAnsi" w:cstheme="minorHAnsi"/>
                  <w:snapToGrid w:val="0"/>
                  <w:sz w:val="22"/>
                  <w:szCs w:val="22"/>
                </w:rPr>
                <w:t>khueffer@alaska.edu</w:t>
              </w:r>
            </w:hyperlink>
          </w:p>
        </w:tc>
      </w:tr>
      <w:tr w:rsidRPr="00503052" w:rsidR="00CD3EAB" w:rsidTr="00437361" w14:paraId="28C1FC73" w14:textId="77777777">
        <w:tc>
          <w:tcPr>
            <w:tcW w:w="452" w:type="dxa"/>
          </w:tcPr>
          <w:p w:rsidRPr="00503052" w:rsidR="00CD3EAB" w:rsidP="00437361" w:rsidRDefault="00CD3EAB" w14:paraId="385DE1F9"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8</w:t>
            </w:r>
          </w:p>
        </w:tc>
        <w:tc>
          <w:tcPr>
            <w:tcW w:w="1816" w:type="dxa"/>
          </w:tcPr>
          <w:p w:rsidRPr="00503052" w:rsidR="00CD3EAB" w:rsidP="00437361" w:rsidRDefault="00CD3EAB" w14:paraId="04B2DD42"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Philip Rous</w:t>
            </w:r>
          </w:p>
        </w:tc>
        <w:tc>
          <w:tcPr>
            <w:tcW w:w="1170" w:type="dxa"/>
          </w:tcPr>
          <w:p w:rsidRPr="00503052" w:rsidR="00CD3EAB" w:rsidP="00437361" w:rsidRDefault="00CD3EAB" w14:paraId="5CDEF19C"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BUILD</w:t>
            </w:r>
          </w:p>
        </w:tc>
        <w:tc>
          <w:tcPr>
            <w:tcW w:w="3240" w:type="dxa"/>
          </w:tcPr>
          <w:p w:rsidRPr="00503052" w:rsidR="00CD3EAB" w:rsidP="00437361" w:rsidRDefault="00CD3EAB" w14:paraId="6FE7D632"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University of Maryland Baltimore County (UMBC)</w:t>
            </w:r>
          </w:p>
        </w:tc>
        <w:tc>
          <w:tcPr>
            <w:tcW w:w="2520" w:type="dxa"/>
          </w:tcPr>
          <w:p w:rsidRPr="00503052" w:rsidR="00CD3EAB" w:rsidP="00437361" w:rsidRDefault="0091754D" w14:paraId="2C1124EA" w14:textId="77777777">
            <w:pPr>
              <w:rPr>
                <w:rFonts w:asciiTheme="minorHAnsi" w:hAnsiTheme="minorHAnsi" w:cstheme="minorHAnsi"/>
                <w:snapToGrid w:val="0"/>
                <w:sz w:val="22"/>
                <w:szCs w:val="22"/>
              </w:rPr>
            </w:pPr>
            <w:hyperlink w:history="1" r:id="rId22">
              <w:r w:rsidRPr="00503052" w:rsidR="00CD3EAB">
                <w:rPr>
                  <w:rStyle w:val="Hyperlink"/>
                  <w:rFonts w:asciiTheme="minorHAnsi" w:hAnsiTheme="minorHAnsi" w:cstheme="minorHAnsi"/>
                  <w:snapToGrid w:val="0"/>
                  <w:sz w:val="22"/>
                  <w:szCs w:val="22"/>
                </w:rPr>
                <w:t>rous@umbc.edu</w:t>
              </w:r>
            </w:hyperlink>
          </w:p>
        </w:tc>
      </w:tr>
      <w:tr w:rsidRPr="00503052" w:rsidR="00CD3EAB" w:rsidTr="00437361" w14:paraId="35FA44E2" w14:textId="77777777">
        <w:tc>
          <w:tcPr>
            <w:tcW w:w="452" w:type="dxa"/>
          </w:tcPr>
          <w:p w:rsidRPr="00503052" w:rsidR="00CD3EAB" w:rsidP="00437361" w:rsidRDefault="00CD3EAB" w14:paraId="34FEA0A5"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9</w:t>
            </w:r>
          </w:p>
        </w:tc>
        <w:tc>
          <w:tcPr>
            <w:tcW w:w="1816" w:type="dxa"/>
          </w:tcPr>
          <w:p w:rsidRPr="00503052" w:rsidR="00CD3EAB" w:rsidP="00437361" w:rsidRDefault="00CD3EAB" w14:paraId="27659DC1"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Lourdes </w:t>
            </w:r>
            <w:proofErr w:type="spellStart"/>
            <w:r w:rsidRPr="00503052">
              <w:rPr>
                <w:rFonts w:asciiTheme="minorHAnsi" w:hAnsiTheme="minorHAnsi" w:cstheme="minorHAnsi"/>
                <w:snapToGrid w:val="0"/>
                <w:sz w:val="22"/>
                <w:szCs w:val="22"/>
              </w:rPr>
              <w:t>Echegoyen</w:t>
            </w:r>
            <w:proofErr w:type="spellEnd"/>
          </w:p>
        </w:tc>
        <w:tc>
          <w:tcPr>
            <w:tcW w:w="1170" w:type="dxa"/>
          </w:tcPr>
          <w:p w:rsidRPr="00503052" w:rsidR="00CD3EAB" w:rsidP="00437361" w:rsidRDefault="00CD3EAB" w14:paraId="0061B75B"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BUILD</w:t>
            </w:r>
          </w:p>
        </w:tc>
        <w:tc>
          <w:tcPr>
            <w:tcW w:w="3240" w:type="dxa"/>
          </w:tcPr>
          <w:p w:rsidRPr="00503052" w:rsidR="00CD3EAB" w:rsidP="00437361" w:rsidRDefault="00CD3EAB" w14:paraId="3FC3C10D"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University of Texas El Paso (UTEP)</w:t>
            </w:r>
          </w:p>
        </w:tc>
        <w:tc>
          <w:tcPr>
            <w:tcW w:w="2520" w:type="dxa"/>
          </w:tcPr>
          <w:p w:rsidRPr="00503052" w:rsidR="00CD3EAB" w:rsidP="00437361" w:rsidRDefault="0091754D" w14:paraId="53D1E2E5" w14:textId="77777777">
            <w:pPr>
              <w:rPr>
                <w:rFonts w:asciiTheme="minorHAnsi" w:hAnsiTheme="minorHAnsi" w:cstheme="minorHAnsi"/>
                <w:snapToGrid w:val="0"/>
                <w:sz w:val="22"/>
                <w:szCs w:val="22"/>
              </w:rPr>
            </w:pPr>
            <w:hyperlink w:history="1" r:id="rId23">
              <w:r w:rsidRPr="00503052" w:rsidR="00CD3EAB">
                <w:rPr>
                  <w:rStyle w:val="Hyperlink"/>
                  <w:rFonts w:asciiTheme="minorHAnsi" w:hAnsiTheme="minorHAnsi" w:cstheme="minorHAnsi"/>
                  <w:snapToGrid w:val="0"/>
                  <w:sz w:val="22"/>
                  <w:szCs w:val="22"/>
                </w:rPr>
                <w:t>Lourdes@utep.edu</w:t>
              </w:r>
            </w:hyperlink>
          </w:p>
        </w:tc>
      </w:tr>
      <w:tr w:rsidRPr="00503052" w:rsidR="00CD3EAB" w:rsidTr="00437361" w14:paraId="1058C5B9" w14:textId="77777777">
        <w:tc>
          <w:tcPr>
            <w:tcW w:w="452" w:type="dxa"/>
          </w:tcPr>
          <w:p w:rsidRPr="00503052" w:rsidR="00CD3EAB" w:rsidP="00437361" w:rsidRDefault="00CD3EAB" w14:paraId="5D3155D6"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10</w:t>
            </w:r>
          </w:p>
        </w:tc>
        <w:tc>
          <w:tcPr>
            <w:tcW w:w="1816" w:type="dxa"/>
          </w:tcPr>
          <w:p w:rsidRPr="00503052" w:rsidR="00CD3EAB" w:rsidP="00437361" w:rsidRDefault="00CD3EAB" w14:paraId="48B6D460"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Gene </w:t>
            </w:r>
            <w:proofErr w:type="spellStart"/>
            <w:r w:rsidRPr="00503052">
              <w:rPr>
                <w:rFonts w:asciiTheme="minorHAnsi" w:hAnsiTheme="minorHAnsi" w:cstheme="minorHAnsi"/>
                <w:snapToGrid w:val="0"/>
                <w:sz w:val="22"/>
                <w:szCs w:val="22"/>
              </w:rPr>
              <w:t>D’Amour</w:t>
            </w:r>
            <w:proofErr w:type="spellEnd"/>
          </w:p>
        </w:tc>
        <w:tc>
          <w:tcPr>
            <w:tcW w:w="1170" w:type="dxa"/>
          </w:tcPr>
          <w:p w:rsidRPr="00503052" w:rsidR="00CD3EAB" w:rsidP="00437361" w:rsidRDefault="00CD3EAB" w14:paraId="28FE345A" w14:textId="02340E54">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BUILD </w:t>
            </w:r>
          </w:p>
        </w:tc>
        <w:tc>
          <w:tcPr>
            <w:tcW w:w="3240" w:type="dxa"/>
          </w:tcPr>
          <w:p w:rsidRPr="00503052" w:rsidR="00CD3EAB" w:rsidP="00437361" w:rsidRDefault="00CD3EAB" w14:paraId="3B2B337E"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Xavier University</w:t>
            </w:r>
          </w:p>
        </w:tc>
        <w:tc>
          <w:tcPr>
            <w:tcW w:w="2520" w:type="dxa"/>
          </w:tcPr>
          <w:p w:rsidRPr="00503052" w:rsidR="00CD3EAB" w:rsidP="00437361" w:rsidRDefault="0091754D" w14:paraId="0363379A" w14:textId="77777777">
            <w:pPr>
              <w:rPr>
                <w:rFonts w:asciiTheme="minorHAnsi" w:hAnsiTheme="minorHAnsi" w:cstheme="minorHAnsi"/>
                <w:snapToGrid w:val="0"/>
                <w:sz w:val="22"/>
                <w:szCs w:val="22"/>
              </w:rPr>
            </w:pPr>
            <w:hyperlink w:history="1" r:id="rId24">
              <w:r w:rsidRPr="00503052" w:rsidR="00CD3EAB">
                <w:rPr>
                  <w:rStyle w:val="Hyperlink"/>
                  <w:rFonts w:asciiTheme="minorHAnsi" w:hAnsiTheme="minorHAnsi" w:cstheme="minorHAnsi"/>
                  <w:snapToGrid w:val="0"/>
                  <w:sz w:val="22"/>
                  <w:szCs w:val="22"/>
                </w:rPr>
                <w:t>gdamour@xula.edu</w:t>
              </w:r>
            </w:hyperlink>
          </w:p>
        </w:tc>
      </w:tr>
      <w:tr w:rsidRPr="00503052" w:rsidR="00CD3EAB" w:rsidTr="00437361" w14:paraId="1C22CBBE" w14:textId="77777777">
        <w:tc>
          <w:tcPr>
            <w:tcW w:w="452" w:type="dxa"/>
          </w:tcPr>
          <w:p w:rsidRPr="00503052" w:rsidR="00CD3EAB" w:rsidP="00437361" w:rsidRDefault="00CD3EAB" w14:paraId="38A5F537"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11</w:t>
            </w:r>
          </w:p>
        </w:tc>
        <w:tc>
          <w:tcPr>
            <w:tcW w:w="1816" w:type="dxa"/>
          </w:tcPr>
          <w:p w:rsidRPr="00503052" w:rsidR="00CD3EAB" w:rsidP="00437361" w:rsidRDefault="00CD3EAB" w14:paraId="51BD22DC"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David Burgess</w:t>
            </w:r>
          </w:p>
        </w:tc>
        <w:tc>
          <w:tcPr>
            <w:tcW w:w="1170" w:type="dxa"/>
          </w:tcPr>
          <w:p w:rsidRPr="00503052" w:rsidR="00CD3EAB" w:rsidP="00437361" w:rsidRDefault="00CD3EAB" w14:paraId="5FEF30A1"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NRMN</w:t>
            </w:r>
          </w:p>
        </w:tc>
        <w:tc>
          <w:tcPr>
            <w:tcW w:w="3240" w:type="dxa"/>
          </w:tcPr>
          <w:p w:rsidRPr="00503052" w:rsidR="00CD3EAB" w:rsidP="00437361" w:rsidRDefault="00CD3EAB" w14:paraId="7629811A"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Boston College</w:t>
            </w:r>
          </w:p>
        </w:tc>
        <w:tc>
          <w:tcPr>
            <w:tcW w:w="2520" w:type="dxa"/>
          </w:tcPr>
          <w:p w:rsidRPr="00503052" w:rsidR="00CD3EAB" w:rsidP="00437361" w:rsidRDefault="0091754D" w14:paraId="314AC2E0" w14:textId="77777777">
            <w:pPr>
              <w:rPr>
                <w:rFonts w:asciiTheme="minorHAnsi" w:hAnsiTheme="minorHAnsi" w:cstheme="minorHAnsi"/>
                <w:snapToGrid w:val="0"/>
                <w:sz w:val="22"/>
                <w:szCs w:val="22"/>
              </w:rPr>
            </w:pPr>
            <w:hyperlink w:history="1" r:id="rId25">
              <w:r w:rsidRPr="00503052" w:rsidR="00CD3EAB">
                <w:rPr>
                  <w:rStyle w:val="Hyperlink"/>
                  <w:rFonts w:asciiTheme="minorHAnsi" w:hAnsiTheme="minorHAnsi" w:cstheme="minorHAnsi"/>
                  <w:snapToGrid w:val="0"/>
                  <w:sz w:val="22"/>
                  <w:szCs w:val="22"/>
                </w:rPr>
                <w:t>David.burgess@bc.edu</w:t>
              </w:r>
            </w:hyperlink>
          </w:p>
        </w:tc>
      </w:tr>
      <w:tr w:rsidRPr="00503052" w:rsidR="00CD3EAB" w:rsidTr="00437361" w14:paraId="3AC8364E" w14:textId="77777777">
        <w:tc>
          <w:tcPr>
            <w:tcW w:w="452" w:type="dxa"/>
          </w:tcPr>
          <w:p w:rsidRPr="00503052" w:rsidR="00CD3EAB" w:rsidP="00437361" w:rsidRDefault="00CD3EAB" w14:paraId="7DEEEC9F"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12</w:t>
            </w:r>
          </w:p>
        </w:tc>
        <w:tc>
          <w:tcPr>
            <w:tcW w:w="1816" w:type="dxa"/>
          </w:tcPr>
          <w:p w:rsidRPr="00503052" w:rsidR="00CD3EAB" w:rsidP="00437361" w:rsidRDefault="00CD3EAB" w14:paraId="51F87D3B"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 xml:space="preserve">Chris </w:t>
            </w:r>
            <w:proofErr w:type="spellStart"/>
            <w:r w:rsidRPr="00503052">
              <w:rPr>
                <w:rFonts w:asciiTheme="minorHAnsi" w:hAnsiTheme="minorHAnsi" w:cstheme="minorHAnsi"/>
                <w:snapToGrid w:val="0"/>
                <w:sz w:val="22"/>
                <w:szCs w:val="22"/>
              </w:rPr>
              <w:t>Pfund</w:t>
            </w:r>
            <w:proofErr w:type="spellEnd"/>
          </w:p>
        </w:tc>
        <w:tc>
          <w:tcPr>
            <w:tcW w:w="1170" w:type="dxa"/>
          </w:tcPr>
          <w:p w:rsidRPr="00503052" w:rsidR="00CD3EAB" w:rsidP="00437361" w:rsidRDefault="00CD3EAB" w14:paraId="44E928CF"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NRMN</w:t>
            </w:r>
          </w:p>
        </w:tc>
        <w:tc>
          <w:tcPr>
            <w:tcW w:w="3240" w:type="dxa"/>
          </w:tcPr>
          <w:p w:rsidRPr="00503052" w:rsidR="00CD3EAB" w:rsidP="00437361" w:rsidRDefault="00CD3EAB" w14:paraId="3FCF6803" w14:textId="77777777">
            <w:pPr>
              <w:rPr>
                <w:rFonts w:asciiTheme="minorHAnsi" w:hAnsiTheme="minorHAnsi" w:cstheme="minorHAnsi"/>
                <w:snapToGrid w:val="0"/>
                <w:sz w:val="22"/>
                <w:szCs w:val="22"/>
              </w:rPr>
            </w:pPr>
            <w:r w:rsidRPr="00503052">
              <w:rPr>
                <w:rFonts w:asciiTheme="minorHAnsi" w:hAnsiTheme="minorHAnsi" w:cstheme="minorHAnsi"/>
                <w:snapToGrid w:val="0"/>
                <w:sz w:val="22"/>
                <w:szCs w:val="22"/>
              </w:rPr>
              <w:t>University of Wisconsin, Madison</w:t>
            </w:r>
          </w:p>
        </w:tc>
        <w:tc>
          <w:tcPr>
            <w:tcW w:w="2520" w:type="dxa"/>
          </w:tcPr>
          <w:p w:rsidRPr="00503052" w:rsidR="00CD3EAB" w:rsidP="00437361" w:rsidRDefault="00CD3EAB" w14:paraId="12D61AA0" w14:textId="77777777">
            <w:pPr>
              <w:rPr>
                <w:rFonts w:asciiTheme="minorHAnsi" w:hAnsiTheme="minorHAnsi" w:cstheme="minorHAnsi"/>
                <w:sz w:val="22"/>
                <w:szCs w:val="22"/>
                <w:u w:val="single"/>
              </w:rPr>
            </w:pPr>
            <w:r w:rsidRPr="00503052">
              <w:rPr>
                <w:rFonts w:asciiTheme="minorHAnsi" w:hAnsiTheme="minorHAnsi" w:cstheme="minorHAnsi"/>
                <w:sz w:val="22"/>
                <w:szCs w:val="22"/>
                <w:u w:val="single"/>
              </w:rPr>
              <w:t xml:space="preserve">cepfund@wisc.edu </w:t>
            </w:r>
          </w:p>
        </w:tc>
      </w:tr>
    </w:tbl>
    <w:p w:rsidR="00CD3EAB" w:rsidP="00CD3EAB" w:rsidRDefault="00CD3EAB" w14:paraId="2DD8216F" w14:textId="77777777">
      <w:pPr>
        <w:spacing w:after="120" w:line="240" w:lineRule="auto"/>
        <w:rPr>
          <w:rFonts w:cstheme="minorHAnsi"/>
        </w:rPr>
      </w:pPr>
    </w:p>
    <w:p w:rsidRPr="00503052" w:rsidR="00CD3EAB" w:rsidP="00CD3EAB" w:rsidRDefault="00CD3EAB" w14:paraId="578763A8" w14:textId="4F5C25B9">
      <w:pPr>
        <w:rPr>
          <w:rFonts w:cstheme="minorHAnsi"/>
        </w:rPr>
      </w:pPr>
      <w:r w:rsidRPr="00503052">
        <w:rPr>
          <w:rFonts w:cstheme="minorHAnsi"/>
        </w:rPr>
        <w:t xml:space="preserve">The initiative continues to be closely monitored by members of the community external to NIH. Current external input comes from the </w:t>
      </w:r>
      <w:hyperlink w:history="1" r:id="rId26">
        <w:r w:rsidRPr="00503052">
          <w:rPr>
            <w:rStyle w:val="Hyperlink"/>
            <w:rFonts w:cstheme="minorHAnsi"/>
          </w:rPr>
          <w:t>ACD Working Group on Diversity</w:t>
        </w:r>
      </w:hyperlink>
      <w:r w:rsidRPr="00503052">
        <w:rPr>
          <w:rFonts w:cstheme="minorHAnsi"/>
        </w:rPr>
        <w:t xml:space="preserve"> (see Attachment 2</w:t>
      </w:r>
      <w:r w:rsidR="002217F9">
        <w:rPr>
          <w:rFonts w:cstheme="minorHAnsi"/>
        </w:rPr>
        <w:t>2</w:t>
      </w:r>
      <w:r w:rsidRPr="00503052">
        <w:rPr>
          <w:rFonts w:cstheme="minorHAnsi"/>
        </w:rPr>
        <w:t xml:space="preserve">) as well as the </w:t>
      </w:r>
      <w:hyperlink w:history="1" r:id="rId27">
        <w:r w:rsidRPr="00503052">
          <w:rPr>
            <w:rStyle w:val="Hyperlink"/>
            <w:rFonts w:cstheme="minorHAnsi"/>
          </w:rPr>
          <w:t>ACD Working Group on Diversity</w:t>
        </w:r>
        <w:r w:rsidR="00A801CD">
          <w:rPr>
            <w:rStyle w:val="Hyperlink"/>
            <w:rFonts w:cstheme="minorHAnsi"/>
          </w:rPr>
          <w:t>, Diversity</w:t>
        </w:r>
        <w:r w:rsidRPr="00503052">
          <w:rPr>
            <w:rStyle w:val="Hyperlink"/>
            <w:rFonts w:cstheme="minorHAnsi"/>
          </w:rPr>
          <w:t xml:space="preserve"> Program Consortium subcommittee</w:t>
        </w:r>
      </w:hyperlink>
      <w:r w:rsidRPr="00503052">
        <w:rPr>
          <w:rFonts w:cstheme="minorHAnsi"/>
        </w:rPr>
        <w:t xml:space="preserve"> (see Attachment 2</w:t>
      </w:r>
      <w:r w:rsidR="002217F9">
        <w:rPr>
          <w:rFonts w:cstheme="minorHAnsi"/>
        </w:rPr>
        <w:t>3</w:t>
      </w:r>
      <w:r w:rsidRPr="00503052">
        <w:rPr>
          <w:rFonts w:cstheme="minorHAnsi"/>
        </w:rPr>
        <w:t>).</w:t>
      </w:r>
    </w:p>
    <w:p w:rsidRPr="00E35DD1" w:rsidR="00685B30" w:rsidP="00F116EE" w:rsidRDefault="00685B30" w14:paraId="06EE05E1" w14:textId="1D200CF7">
      <w:pPr>
        <w:pStyle w:val="P1-StandPara"/>
        <w:ind w:firstLine="0"/>
        <w:outlineLvl w:val="0"/>
        <w:rPr>
          <w:rFonts w:asciiTheme="minorHAnsi" w:hAnsiTheme="minorHAnsi"/>
          <w:b/>
          <w:szCs w:val="22"/>
        </w:rPr>
      </w:pPr>
      <w:bookmarkStart w:name="_Toc31096827" w:id="37"/>
      <w:r w:rsidRPr="00E35DD1">
        <w:rPr>
          <w:rFonts w:asciiTheme="minorHAnsi" w:hAnsiTheme="minorHAnsi"/>
          <w:b/>
          <w:szCs w:val="22"/>
        </w:rPr>
        <w:t>A.9</w:t>
      </w:r>
      <w:r w:rsidRPr="00E35DD1">
        <w:rPr>
          <w:rFonts w:asciiTheme="minorHAnsi" w:hAnsiTheme="minorHAnsi"/>
          <w:b/>
          <w:szCs w:val="22"/>
        </w:rPr>
        <w:tab/>
        <w:t>Explanation of Any Payment o</w:t>
      </w:r>
      <w:r w:rsidR="001F475E">
        <w:rPr>
          <w:rFonts w:asciiTheme="minorHAnsi" w:hAnsiTheme="minorHAnsi"/>
          <w:b/>
          <w:szCs w:val="22"/>
        </w:rPr>
        <w:t>r</w:t>
      </w:r>
      <w:r w:rsidRPr="00E35DD1">
        <w:rPr>
          <w:rFonts w:asciiTheme="minorHAnsi" w:hAnsiTheme="minorHAnsi"/>
          <w:b/>
          <w:szCs w:val="22"/>
        </w:rPr>
        <w:t xml:space="preserve"> Gift to Respondents</w:t>
      </w:r>
      <w:bookmarkEnd w:id="37"/>
    </w:p>
    <w:p w:rsidR="00503052" w:rsidP="00503052" w:rsidRDefault="00503052" w14:paraId="739278F4" w14:textId="6573F9D6">
      <w:r>
        <w:t xml:space="preserve">To be responsive to the Funding Opportunity Announcements (see Attachments </w:t>
      </w:r>
      <w:r w:rsidR="004B40FF">
        <w:t>4</w:t>
      </w:r>
      <w:r>
        <w:t xml:space="preserve"> and </w:t>
      </w:r>
      <w:r w:rsidR="004B40FF">
        <w:t>5</w:t>
      </w:r>
      <w:r>
        <w:t xml:space="preserve">), the CEC must collect comprehensive, longitudinal data to assess the impact of interventions across the consortium. To accomplish this, the CEC must recruit students and faculty participants from groups with varying degrees of involvement with the interventions – ranging from heavily involved to those with no involvement.  The latter are quite difficult to recruit as they have no direct connection to the Consortium’s activities. The CEC must secure robust participation for all groups in order to have data that will allow the CEC to draw </w:t>
      </w:r>
      <w:r w:rsidR="006A3DD6">
        <w:t xml:space="preserve">valid </w:t>
      </w:r>
      <w:r>
        <w:t>conclusions from the program evaluation. The target student and faculty populations include hard-to-reach underrepresented groups that have traditionally participated in research studies such as this at lower rates.</w:t>
      </w:r>
      <w:r w:rsidR="008561C1">
        <w:rPr>
          <w:rStyle w:val="FootnoteReference"/>
        </w:rPr>
        <w:footnoteReference w:id="5"/>
      </w:r>
      <w:r>
        <w:t xml:space="preserve">  Additionally, once individuals are recruited into the project, the CEC must retain participants over the longitudinal follow-up to derive valid conclusions regarding the long-term impact of the interventions on primary outcomes, including rates of graduation and progression to graduate school for BUILD students and career progress with respect to research, publications and general career advancement for BUILD and NRMN faculty and trainees.  Failure to achieve adequate response rates has the potential to result in non-representative samples, thereby undermining conclusions drawn from the data. Though the burden to participants for the individual surveys is minimal, it is essential that </w:t>
      </w:r>
      <w:r w:rsidR="001D0218">
        <w:t>the CEC</w:t>
      </w:r>
      <w:r>
        <w:t xml:space="preserve"> maximize</w:t>
      </w:r>
      <w:r w:rsidR="001D0218">
        <w:t>s</w:t>
      </w:r>
      <w:r>
        <w:t xml:space="preserve"> the willingness to respond repeatedly over time to requests that they complete an annual survey.</w:t>
      </w:r>
    </w:p>
    <w:p w:rsidRPr="00E35DD1" w:rsidR="00685B30" w:rsidP="00503052" w:rsidRDefault="00503052" w14:paraId="746435EB" w14:textId="1DE5C0FB">
      <w:r>
        <w:t xml:space="preserve">The current recruitment/retention strategies include non-monetary approaches known to improve response rates (e.g., using influencer emails and providing respondents information about the contribution </w:t>
      </w:r>
      <w:r>
        <w:lastRenderedPageBreak/>
        <w:t>they will be making to the understanding of the important issues on which the project focuses to enhance their intrinsic motivation to participate)</w:t>
      </w:r>
      <w:r w:rsidR="007C2B3F">
        <w:rPr>
          <w:rStyle w:val="FootnoteReference"/>
        </w:rPr>
        <w:footnoteReference w:id="6"/>
      </w:r>
      <w:r>
        <w:t xml:space="preserve">; however, Phase I analyses of response rates confirmed that successful recruitment/retention efforts require that the CEC offers monetary incentives through individual incentives. </w:t>
      </w:r>
      <w:r w:rsidRPr="009C72AF" w:rsidR="006A3DD6">
        <w:t>I</w:t>
      </w:r>
      <w:r w:rsidRPr="009C72AF" w:rsidR="00AB3312">
        <w:t>ndividual i</w:t>
      </w:r>
      <w:r w:rsidRPr="009C72AF" w:rsidR="006A3DD6">
        <w:t xml:space="preserve">ncentives will include </w:t>
      </w:r>
      <w:r w:rsidR="00877CB6">
        <w:t xml:space="preserve">up to </w:t>
      </w:r>
      <w:r w:rsidRPr="009C72AF" w:rsidR="006A3DD6">
        <w:t>a $25 gift card to each faculty or student respondent</w:t>
      </w:r>
      <w:r w:rsidRPr="009C72AF" w:rsidR="00AB3312">
        <w:t xml:space="preserve"> for each survey that they complete.</w:t>
      </w:r>
      <w:r w:rsidR="009C72AF">
        <w:t xml:space="preserve"> The choice of a $25 incentive is based on p</w:t>
      </w:r>
      <w:r>
        <w:t>rior evidence from the literature</w:t>
      </w:r>
      <w:r w:rsidR="007C2B3F">
        <w:rPr>
          <w:rStyle w:val="FootnoteReference"/>
        </w:rPr>
        <w:footnoteReference w:id="7"/>
      </w:r>
      <w:r>
        <w:t xml:space="preserve"> and </w:t>
      </w:r>
      <w:r w:rsidR="009C72AF">
        <w:t xml:space="preserve">from experiences of members </w:t>
      </w:r>
      <w:r>
        <w:t xml:space="preserve">within the Diversity </w:t>
      </w:r>
      <w:r w:rsidR="00A801CD">
        <w:t xml:space="preserve">Program </w:t>
      </w:r>
      <w:r>
        <w:t xml:space="preserve">Consortium, </w:t>
      </w:r>
      <w:r w:rsidR="009C72AF">
        <w:t xml:space="preserve">which </w:t>
      </w:r>
      <w:r>
        <w:t>confirm that the incentives are crucial for recruiting a representative group, especially among individuals from underrepresented groups, who are key for this study.</w:t>
      </w:r>
    </w:p>
    <w:p w:rsidRPr="00E35DD1" w:rsidR="00685B30" w:rsidP="00F116EE" w:rsidRDefault="00685B30" w14:paraId="43756684" w14:textId="77777777">
      <w:pPr>
        <w:pStyle w:val="P1-StandPara"/>
        <w:ind w:firstLine="0"/>
        <w:outlineLvl w:val="0"/>
        <w:rPr>
          <w:rFonts w:asciiTheme="minorHAnsi" w:hAnsiTheme="minorHAnsi"/>
          <w:b/>
          <w:szCs w:val="22"/>
        </w:rPr>
      </w:pPr>
      <w:bookmarkStart w:name="_Toc31096828" w:id="38"/>
      <w:r w:rsidRPr="00E35DD1">
        <w:rPr>
          <w:rFonts w:asciiTheme="minorHAnsi" w:hAnsiTheme="minorHAnsi"/>
          <w:b/>
          <w:szCs w:val="22"/>
        </w:rPr>
        <w:t>A.10</w:t>
      </w:r>
      <w:r w:rsidRPr="00E35DD1">
        <w:rPr>
          <w:rFonts w:asciiTheme="minorHAnsi" w:hAnsiTheme="minorHAnsi"/>
          <w:b/>
          <w:szCs w:val="22"/>
        </w:rPr>
        <w:tab/>
        <w:t>Assurance of Confidentiality Provided to Respondents</w:t>
      </w:r>
      <w:bookmarkEnd w:id="38"/>
    </w:p>
    <w:p w:rsidRPr="00503052" w:rsidR="00503052" w:rsidP="00E2615D" w:rsidRDefault="00503052" w14:paraId="086B2977" w14:textId="0DCB0E57">
      <w:pPr>
        <w:pStyle w:val="P1-StandPara"/>
        <w:spacing w:line="240" w:lineRule="auto"/>
        <w:ind w:firstLine="0"/>
        <w:rPr>
          <w:rFonts w:asciiTheme="minorHAnsi" w:hAnsiTheme="minorHAnsi"/>
          <w:szCs w:val="22"/>
        </w:rPr>
      </w:pPr>
      <w:r w:rsidRPr="00503052">
        <w:rPr>
          <w:rFonts w:asciiTheme="minorHAnsi" w:hAnsiTheme="minorHAnsi"/>
          <w:szCs w:val="22"/>
        </w:rPr>
        <w:t>The UCLA Office for Protection of Research Subjects (PRS) reviews the evaluation and its associated data collection protocols, along with the corresponding human subjects review committees of the lead intervention institutions, as noted below.</w:t>
      </w:r>
    </w:p>
    <w:p w:rsidRPr="00503052" w:rsidR="00503052" w:rsidP="00503052" w:rsidRDefault="00503052" w14:paraId="122270DB" w14:textId="77777777">
      <w:pPr>
        <w:pStyle w:val="P1-StandPara"/>
        <w:spacing w:line="240" w:lineRule="auto"/>
        <w:rPr>
          <w:rFonts w:asciiTheme="minorHAnsi" w:hAnsiTheme="minorHAnsi"/>
          <w:szCs w:val="22"/>
        </w:rPr>
      </w:pPr>
    </w:p>
    <w:p w:rsidRPr="00503052" w:rsidR="00503052" w:rsidP="00E2615D" w:rsidRDefault="00503052" w14:paraId="4E5044FE" w14:textId="5C84879F">
      <w:pPr>
        <w:pStyle w:val="P1-StandPara"/>
        <w:spacing w:line="240" w:lineRule="auto"/>
        <w:ind w:firstLine="0"/>
        <w:rPr>
          <w:rFonts w:asciiTheme="minorHAnsi" w:hAnsiTheme="minorHAnsi"/>
          <w:szCs w:val="22"/>
        </w:rPr>
      </w:pPr>
      <w:r w:rsidRPr="00503052">
        <w:rPr>
          <w:rFonts w:asciiTheme="minorHAnsi" w:hAnsiTheme="minorHAnsi"/>
          <w:szCs w:val="22"/>
        </w:rPr>
        <w:t>The NIH Office of Human Subjects Research (OHSR) was consulted and because each site has IRB approval and because the NIH will not be collecting or analyzing the data, there is no need for the office to review the package. The NIH Privacy Act Officer has reviewed the package (Attachment 2</w:t>
      </w:r>
      <w:r w:rsidR="004B40FF">
        <w:rPr>
          <w:rFonts w:asciiTheme="minorHAnsi" w:hAnsiTheme="minorHAnsi"/>
          <w:szCs w:val="22"/>
        </w:rPr>
        <w:t>4</w:t>
      </w:r>
      <w:r w:rsidRPr="00503052">
        <w:rPr>
          <w:rFonts w:asciiTheme="minorHAnsi" w:hAnsiTheme="minorHAnsi"/>
          <w:szCs w:val="22"/>
        </w:rPr>
        <w:t>). The Consortium Data Sharing Agreement</w:t>
      </w:r>
      <w:r w:rsidR="004B40FF">
        <w:rPr>
          <w:rFonts w:asciiTheme="minorHAnsi" w:hAnsiTheme="minorHAnsi"/>
          <w:szCs w:val="22"/>
        </w:rPr>
        <w:t xml:space="preserve"> Phase II</w:t>
      </w:r>
      <w:r w:rsidRPr="00503052">
        <w:rPr>
          <w:rFonts w:asciiTheme="minorHAnsi" w:hAnsiTheme="minorHAnsi"/>
          <w:szCs w:val="22"/>
        </w:rPr>
        <w:t xml:space="preserve"> (see Attachment </w:t>
      </w:r>
      <w:r w:rsidR="004B40FF">
        <w:rPr>
          <w:rFonts w:asciiTheme="minorHAnsi" w:hAnsiTheme="minorHAnsi"/>
          <w:szCs w:val="22"/>
        </w:rPr>
        <w:t>2</w:t>
      </w:r>
      <w:r w:rsidR="00933EAA">
        <w:rPr>
          <w:rFonts w:asciiTheme="minorHAnsi" w:hAnsiTheme="minorHAnsi"/>
          <w:szCs w:val="22"/>
        </w:rPr>
        <w:t>5</w:t>
      </w:r>
      <w:r w:rsidRPr="00503052">
        <w:rPr>
          <w:rFonts w:asciiTheme="minorHAnsi" w:hAnsiTheme="minorHAnsi"/>
          <w:szCs w:val="22"/>
        </w:rPr>
        <w:t>) describes the requirements for data collection, integrity, storage, security, confidentiality, use, sharing, ownership, rights, and responsibilities.</w:t>
      </w:r>
    </w:p>
    <w:p w:rsidRPr="00503052" w:rsidR="00503052" w:rsidP="00503052" w:rsidRDefault="00503052" w14:paraId="7873B064" w14:textId="77777777">
      <w:pPr>
        <w:pStyle w:val="P1-StandPara"/>
        <w:spacing w:line="240" w:lineRule="auto"/>
        <w:rPr>
          <w:rFonts w:asciiTheme="minorHAnsi" w:hAnsiTheme="minorHAnsi"/>
          <w:szCs w:val="22"/>
        </w:rPr>
      </w:pPr>
    </w:p>
    <w:p w:rsidR="00E2615D" w:rsidP="00503052" w:rsidRDefault="00503052" w14:paraId="30655411" w14:textId="67894356">
      <w:pPr>
        <w:pStyle w:val="P1-StandPara"/>
        <w:spacing w:line="240" w:lineRule="auto"/>
        <w:ind w:firstLine="0"/>
        <w:rPr>
          <w:rFonts w:asciiTheme="minorHAnsi" w:hAnsiTheme="minorHAnsi"/>
          <w:szCs w:val="22"/>
        </w:rPr>
      </w:pPr>
      <w:r w:rsidRPr="00503052">
        <w:rPr>
          <w:rFonts w:asciiTheme="minorHAnsi" w:hAnsiTheme="minorHAnsi"/>
          <w:szCs w:val="22"/>
        </w:rPr>
        <w:t>Participants in the Consortium</w:t>
      </w:r>
      <w:r w:rsidR="00A801CD">
        <w:rPr>
          <w:rFonts w:asciiTheme="minorHAnsi" w:hAnsiTheme="minorHAnsi"/>
          <w:szCs w:val="22"/>
        </w:rPr>
        <w:t>-</w:t>
      </w:r>
      <w:r w:rsidRPr="00503052">
        <w:rPr>
          <w:rFonts w:asciiTheme="minorHAnsi" w:hAnsiTheme="minorHAnsi"/>
          <w:szCs w:val="22"/>
        </w:rPr>
        <w:t>wide evaluation are informed that their responses to the data collection efforts are only to be disclosed to authorized users for analysis and reporting. The Coordination and Evaluation Center (CEC) at UCLA is responsible for ensuring the security of the data. Authorized users include: (1) the CEC implementing the evaluation, (2) authorized staff at the NIH, and (3) PIs and staff for the BUILD institutions and NRMN network that are involved in the local evaluation. The data is shared with institutions to avoid duplication of efforts and to reduce burden by avoiding the completion of multiple surveys with similar questions. Given the nature of the study, participants are given the assurance that their information will be protected and secured to the extent permitted by law. To that end, data may only be disseminated in an aggregated, de-identified form to the public in order to inform the research community of the results of the study, while protecting the identity of individual respondents.</w:t>
      </w:r>
    </w:p>
    <w:p w:rsidR="00E2615D" w:rsidP="00503052" w:rsidRDefault="00E2615D" w14:paraId="3666827C" w14:textId="15A8ADAF">
      <w:pPr>
        <w:pStyle w:val="P1-StandPara"/>
        <w:spacing w:line="240" w:lineRule="auto"/>
        <w:ind w:firstLine="0"/>
        <w:rPr>
          <w:rFonts w:asciiTheme="minorHAnsi" w:hAnsiTheme="minorHAnsi"/>
          <w:szCs w:val="22"/>
        </w:rPr>
      </w:pPr>
    </w:p>
    <w:p w:rsidR="00E2615D" w:rsidP="00E2615D" w:rsidRDefault="00E2615D" w14:paraId="3F96F19A" w14:textId="77777777">
      <w:pPr>
        <w:pStyle w:val="P1-StandPara"/>
        <w:spacing w:line="240" w:lineRule="auto"/>
        <w:ind w:firstLine="0"/>
        <w:rPr>
          <w:rFonts w:asciiTheme="minorHAnsi" w:hAnsiTheme="minorHAnsi"/>
          <w:szCs w:val="22"/>
        </w:rPr>
      </w:pPr>
      <w:r w:rsidRPr="00E2615D">
        <w:rPr>
          <w:rFonts w:asciiTheme="minorHAnsi" w:hAnsiTheme="minorHAnsi"/>
          <w:szCs w:val="22"/>
        </w:rPr>
        <w:t>The CEC conducting the study adheres to the following safeguarding procedures:</w:t>
      </w:r>
    </w:p>
    <w:p w:rsidR="00E2615D" w:rsidP="00E2615D" w:rsidRDefault="00E2615D" w14:paraId="233ED6DC" w14:textId="009B0EDD">
      <w:pPr>
        <w:pStyle w:val="P1-StandPara"/>
        <w:numPr>
          <w:ilvl w:val="0"/>
          <w:numId w:val="21"/>
        </w:numPr>
        <w:spacing w:line="240" w:lineRule="auto"/>
        <w:rPr>
          <w:rFonts w:asciiTheme="minorHAnsi" w:hAnsiTheme="minorHAnsi"/>
          <w:szCs w:val="22"/>
        </w:rPr>
      </w:pPr>
      <w:r w:rsidRPr="00E2615D">
        <w:rPr>
          <w:rFonts w:asciiTheme="minorHAnsi" w:hAnsiTheme="minorHAnsi"/>
          <w:szCs w:val="22"/>
        </w:rPr>
        <w:t>The safeguarding protections offered to all participants are included in the invitations and introduction to the survey instruments after review by the appropriate institutional human protections’ office (for the CEC, the UCLA Institutional Review Board; for other institutions</w:t>
      </w:r>
      <w:r w:rsidR="00A801CD">
        <w:rPr>
          <w:rFonts w:asciiTheme="minorHAnsi" w:hAnsiTheme="minorHAnsi"/>
          <w:szCs w:val="22"/>
        </w:rPr>
        <w:t>,</w:t>
      </w:r>
      <w:r w:rsidRPr="00E2615D">
        <w:rPr>
          <w:rFonts w:asciiTheme="minorHAnsi" w:hAnsiTheme="minorHAnsi"/>
          <w:szCs w:val="22"/>
        </w:rPr>
        <w:t xml:space="preserve"> as required). Respondents are informed that their participation is voluntary and that no consequences are associated with either responding or not responding. For example, the online surveys have the following statements: “Your participation in the evaluation of the NIH Diversity program is voluntary. You are free to withdraw your consent and discontinue participation without penalty at any time. You are not waiving any legal claims, rights or remedies because of participating in the NIH Diversity program” and “All information you provide for this program is private. You will be </w:t>
      </w:r>
      <w:r w:rsidRPr="00E2615D">
        <w:rPr>
          <w:rFonts w:asciiTheme="minorHAnsi" w:hAnsiTheme="minorHAnsi"/>
          <w:szCs w:val="22"/>
        </w:rPr>
        <w:lastRenderedPageBreak/>
        <w:t>assigned a code number, and all surveys will use this number. All the information you provide will remain locked in a filing cabinet or protected on a secure server to prevent disclosure. Information provided by you during participation in the surveys for the evaluation of the NIH Diversity program will only be disclosed to the Coordinating Center staff, the NIH Diversity program staff, and the Diversity Program staff at your institution”.</w:t>
      </w:r>
    </w:p>
    <w:p w:rsidR="00E2615D" w:rsidP="00E2615D" w:rsidRDefault="00E2615D" w14:paraId="02B30C18" w14:textId="77777777">
      <w:pPr>
        <w:pStyle w:val="P1-StandPara"/>
        <w:numPr>
          <w:ilvl w:val="0"/>
          <w:numId w:val="21"/>
        </w:numPr>
        <w:spacing w:line="240" w:lineRule="auto"/>
        <w:rPr>
          <w:rFonts w:asciiTheme="minorHAnsi" w:hAnsiTheme="minorHAnsi"/>
          <w:szCs w:val="22"/>
        </w:rPr>
      </w:pPr>
      <w:r w:rsidRPr="00E2615D">
        <w:rPr>
          <w:rFonts w:asciiTheme="minorHAnsi" w:hAnsiTheme="minorHAnsi"/>
          <w:szCs w:val="22"/>
        </w:rPr>
        <w:t xml:space="preserve">Data are stored in a manner such that restricted information (e.g., name, address, contact information) is stored in a different system from study data such as survey responses.  The restricted information is stored in a system behind the CEC firewall and operates on a private IP range. Only local users can access these IP addresses and the number of authorized users is strictly limited.  The study data is maintained in a separate system requiring authorized users using encryption.  </w:t>
      </w:r>
    </w:p>
    <w:p w:rsidR="00E2615D" w:rsidP="00E2615D" w:rsidRDefault="00E2615D" w14:paraId="37A9F072" w14:textId="77777777">
      <w:pPr>
        <w:pStyle w:val="P1-StandPara"/>
        <w:numPr>
          <w:ilvl w:val="0"/>
          <w:numId w:val="21"/>
        </w:numPr>
        <w:spacing w:line="240" w:lineRule="auto"/>
        <w:rPr>
          <w:rFonts w:asciiTheme="minorHAnsi" w:hAnsiTheme="minorHAnsi"/>
          <w:szCs w:val="22"/>
        </w:rPr>
      </w:pPr>
      <w:r w:rsidRPr="00E2615D">
        <w:rPr>
          <w:rFonts w:asciiTheme="minorHAnsi" w:hAnsiTheme="minorHAnsi"/>
          <w:szCs w:val="22"/>
        </w:rPr>
        <w:t>Any paper files used for data collection (such as handwritten interview notes) are stored in locked cabinets with access limited and controlled as with electronic data.</w:t>
      </w:r>
    </w:p>
    <w:p w:rsidR="00E2615D" w:rsidP="00E2615D" w:rsidRDefault="00E2615D" w14:paraId="3C635028" w14:textId="77777777">
      <w:pPr>
        <w:pStyle w:val="P1-StandPara"/>
        <w:numPr>
          <w:ilvl w:val="0"/>
          <w:numId w:val="21"/>
        </w:numPr>
        <w:spacing w:line="240" w:lineRule="auto"/>
        <w:rPr>
          <w:rFonts w:asciiTheme="minorHAnsi" w:hAnsiTheme="minorHAnsi"/>
          <w:szCs w:val="22"/>
        </w:rPr>
      </w:pPr>
      <w:r w:rsidRPr="00E2615D">
        <w:rPr>
          <w:rFonts w:asciiTheme="minorHAnsi" w:hAnsiTheme="minorHAnsi"/>
          <w:szCs w:val="22"/>
        </w:rPr>
        <w:t>Publications only report the data in aggregate and will not contain any identifying information.</w:t>
      </w:r>
    </w:p>
    <w:p w:rsidRPr="00EA44A0" w:rsidR="00E2615D" w:rsidP="00E2615D" w:rsidRDefault="00E2615D" w14:paraId="1B6A484E" w14:textId="77777777">
      <w:pPr>
        <w:pStyle w:val="P1-StandPara"/>
        <w:numPr>
          <w:ilvl w:val="0"/>
          <w:numId w:val="21"/>
        </w:numPr>
        <w:spacing w:line="240" w:lineRule="auto"/>
        <w:rPr>
          <w:rFonts w:asciiTheme="minorHAnsi" w:hAnsiTheme="minorHAnsi"/>
          <w:szCs w:val="22"/>
        </w:rPr>
      </w:pPr>
      <w:r w:rsidRPr="00EA44A0">
        <w:rPr>
          <w:rFonts w:asciiTheme="minorHAnsi" w:hAnsiTheme="minorHAnsi"/>
          <w:szCs w:val="22"/>
        </w:rPr>
        <w:t>The UCLA CEC follows the methods detailed in the NIH Privacy Act Systems of Record Notice 09-25-0156 which provides authority for the NIH to conduct and fund research and to provide training assistance, and its general authority to maintain records in connection with these and its other functions (42 U.S.C. 203, 241, 289l-1 and 44 U.S.C. 3101), and Section 301 and 493 of the Public Health Service Act, as it relates to records of participants in programs and respondents in surveys used to evaluate programs of the Public Health Service.</w:t>
      </w:r>
    </w:p>
    <w:p w:rsidRPr="00E2615D" w:rsidR="00E2615D" w:rsidP="00E2615D" w:rsidRDefault="00E2615D" w14:paraId="031BD5DD" w14:textId="17348BFF">
      <w:pPr>
        <w:pStyle w:val="P1-StandPara"/>
        <w:numPr>
          <w:ilvl w:val="0"/>
          <w:numId w:val="21"/>
        </w:numPr>
        <w:spacing w:line="240" w:lineRule="auto"/>
        <w:rPr>
          <w:rFonts w:asciiTheme="minorHAnsi" w:hAnsiTheme="minorHAnsi"/>
          <w:szCs w:val="22"/>
        </w:rPr>
      </w:pPr>
      <w:r w:rsidRPr="00E2615D">
        <w:rPr>
          <w:rFonts w:asciiTheme="minorHAnsi" w:hAnsiTheme="minorHAnsi"/>
          <w:szCs w:val="22"/>
        </w:rPr>
        <w:t>The data collected from the surveys and the interviews are stored in the</w:t>
      </w:r>
      <w:r w:rsidR="00656A8F">
        <w:rPr>
          <w:rFonts w:asciiTheme="minorHAnsi" w:hAnsiTheme="minorHAnsi"/>
          <w:szCs w:val="22"/>
        </w:rPr>
        <w:t xml:space="preserve"> UCLA CEC</w:t>
      </w:r>
      <w:r w:rsidRPr="00E2615D">
        <w:rPr>
          <w:rFonts w:asciiTheme="minorHAnsi" w:hAnsiTheme="minorHAnsi"/>
          <w:szCs w:val="22"/>
        </w:rPr>
        <w:t xml:space="preserve"> secure server.  A password-protected directory allows only authorized users access to the data.  All computer-based systems comply with the Privacy Act.</w:t>
      </w:r>
    </w:p>
    <w:p w:rsidR="00E2615D" w:rsidP="00503052" w:rsidRDefault="00E2615D" w14:paraId="31E3DE11" w14:textId="77777777">
      <w:pPr>
        <w:pStyle w:val="P1-StandPara"/>
        <w:spacing w:line="240" w:lineRule="auto"/>
        <w:ind w:firstLine="0"/>
        <w:rPr>
          <w:rFonts w:asciiTheme="minorHAnsi" w:hAnsiTheme="minorHAnsi"/>
          <w:szCs w:val="22"/>
        </w:rPr>
      </w:pPr>
    </w:p>
    <w:p w:rsidRPr="00E35DD1" w:rsidR="00685B30" w:rsidP="00F116EE" w:rsidRDefault="00685B30" w14:paraId="418F3B61" w14:textId="3A56E033">
      <w:pPr>
        <w:pStyle w:val="P1-StandPara"/>
        <w:spacing w:line="240" w:lineRule="auto"/>
        <w:ind w:firstLine="0"/>
        <w:outlineLvl w:val="0"/>
        <w:rPr>
          <w:rFonts w:asciiTheme="minorHAnsi" w:hAnsiTheme="minorHAnsi"/>
          <w:b/>
          <w:szCs w:val="22"/>
        </w:rPr>
      </w:pPr>
      <w:bookmarkStart w:name="_Toc31096829" w:id="39"/>
      <w:r w:rsidRPr="00E35DD1">
        <w:rPr>
          <w:rFonts w:asciiTheme="minorHAnsi" w:hAnsiTheme="minorHAnsi"/>
          <w:b/>
          <w:szCs w:val="22"/>
        </w:rPr>
        <w:t>A.11</w:t>
      </w:r>
      <w:r w:rsidRPr="00E35DD1">
        <w:rPr>
          <w:rFonts w:asciiTheme="minorHAnsi" w:hAnsiTheme="minorHAnsi"/>
          <w:b/>
          <w:szCs w:val="22"/>
        </w:rPr>
        <w:tab/>
        <w:t>Justification for Sensitive Questions</w:t>
      </w:r>
      <w:bookmarkEnd w:id="39"/>
    </w:p>
    <w:p w:rsidRPr="00E2615D" w:rsidR="00E2615D" w:rsidP="00E2615D" w:rsidRDefault="00E2615D" w14:paraId="6372E7F5" w14:textId="45449DDD">
      <w:pPr>
        <w:pStyle w:val="P1-StandPara"/>
        <w:spacing w:line="240" w:lineRule="auto"/>
        <w:ind w:firstLine="0"/>
        <w:rPr>
          <w:rFonts w:asciiTheme="minorHAnsi" w:hAnsiTheme="minorHAnsi"/>
          <w:szCs w:val="22"/>
        </w:rPr>
      </w:pPr>
      <w:r w:rsidRPr="00E2615D">
        <w:rPr>
          <w:rFonts w:asciiTheme="minorHAnsi" w:hAnsiTheme="minorHAnsi"/>
          <w:szCs w:val="22"/>
        </w:rPr>
        <w:t>The proposed data collection involves few, if any, sensitive questions in the surveys, site visits, and case studies.</w:t>
      </w:r>
      <w:r w:rsidR="00A801CD">
        <w:rPr>
          <w:rFonts w:asciiTheme="minorHAnsi" w:hAnsiTheme="minorHAnsi"/>
          <w:szCs w:val="22"/>
        </w:rPr>
        <w:t xml:space="preserve"> </w:t>
      </w:r>
      <w:r w:rsidRPr="00E2615D" w:rsidR="00A801CD">
        <w:rPr>
          <w:rFonts w:asciiTheme="minorHAnsi" w:hAnsiTheme="minorHAnsi"/>
          <w:szCs w:val="22"/>
        </w:rPr>
        <w:t xml:space="preserve">The student and faculty surveys contain questions regarding respondents’ race, ethnicity, gender and income. </w:t>
      </w:r>
      <w:r w:rsidRPr="00E2615D">
        <w:rPr>
          <w:rFonts w:asciiTheme="minorHAnsi" w:hAnsiTheme="minorHAnsi"/>
          <w:szCs w:val="22"/>
        </w:rPr>
        <w:t xml:space="preserve">It is important to collect income data (along with other personal characteristics) in order to document the diversity of the participants in this initiative which is specifically designed to enhance the diversity of the NIH-funded workforce and to understand the contextual factors and variables that contribute to success in any intervention. </w:t>
      </w:r>
    </w:p>
    <w:p w:rsidRPr="00E2615D" w:rsidR="00E2615D" w:rsidP="00E2615D" w:rsidRDefault="00E2615D" w14:paraId="4A3982E3" w14:textId="77777777">
      <w:pPr>
        <w:pStyle w:val="P1-StandPara"/>
        <w:spacing w:line="240" w:lineRule="auto"/>
        <w:rPr>
          <w:rFonts w:asciiTheme="minorHAnsi" w:hAnsiTheme="minorHAnsi"/>
          <w:szCs w:val="22"/>
        </w:rPr>
      </w:pPr>
    </w:p>
    <w:p w:rsidRPr="00E2615D" w:rsidR="00E2615D" w:rsidP="00E2615D" w:rsidRDefault="00813320" w14:paraId="1B5F12FD" w14:textId="394E6F2A">
      <w:pPr>
        <w:pStyle w:val="P1-StandPara"/>
        <w:spacing w:line="240" w:lineRule="auto"/>
        <w:ind w:firstLine="0"/>
        <w:rPr>
          <w:rFonts w:asciiTheme="minorHAnsi" w:hAnsiTheme="minorHAnsi"/>
          <w:szCs w:val="22"/>
        </w:rPr>
      </w:pPr>
      <w:r>
        <w:rPr>
          <w:rFonts w:asciiTheme="minorHAnsi" w:hAnsiTheme="minorHAnsi"/>
          <w:szCs w:val="22"/>
        </w:rPr>
        <w:t>N</w:t>
      </w:r>
      <w:r w:rsidRPr="00E2615D" w:rsidR="00E2615D">
        <w:rPr>
          <w:rFonts w:asciiTheme="minorHAnsi" w:hAnsiTheme="minorHAnsi"/>
          <w:szCs w:val="22"/>
        </w:rPr>
        <w:t xml:space="preserve">ote that items regarding race included in the </w:t>
      </w:r>
      <w:r w:rsidR="004B40FF">
        <w:rPr>
          <w:rFonts w:asciiTheme="minorHAnsi" w:hAnsiTheme="minorHAnsi"/>
          <w:szCs w:val="22"/>
        </w:rPr>
        <w:t xml:space="preserve">CIRP </w:t>
      </w:r>
      <w:r w:rsidRPr="00E2615D" w:rsidR="00E2615D">
        <w:rPr>
          <w:rFonts w:asciiTheme="minorHAnsi" w:hAnsiTheme="minorHAnsi"/>
          <w:szCs w:val="22"/>
        </w:rPr>
        <w:t xml:space="preserve">HERI surveys are similar but not identical to the definitions for racial categories in OMB Directive 15.  The </w:t>
      </w:r>
      <w:r w:rsidR="004B40FF">
        <w:rPr>
          <w:rFonts w:asciiTheme="minorHAnsi" w:hAnsiTheme="minorHAnsi"/>
          <w:szCs w:val="22"/>
        </w:rPr>
        <w:t xml:space="preserve">CIRP </w:t>
      </w:r>
      <w:r w:rsidRPr="00E2615D" w:rsidR="00E2615D">
        <w:rPr>
          <w:rFonts w:asciiTheme="minorHAnsi" w:hAnsiTheme="minorHAnsi"/>
          <w:szCs w:val="22"/>
        </w:rPr>
        <w:t xml:space="preserve">HERI surveys also ask only that single item and do not include a separate item on ethnicity as outlined in OMB Directive 15.  </w:t>
      </w:r>
      <w:r>
        <w:rPr>
          <w:rFonts w:asciiTheme="minorHAnsi" w:hAnsiTheme="minorHAnsi"/>
          <w:szCs w:val="22"/>
        </w:rPr>
        <w:t>The CEC is</w:t>
      </w:r>
      <w:r w:rsidRPr="00E2615D" w:rsidR="00E2615D">
        <w:rPr>
          <w:rFonts w:asciiTheme="minorHAnsi" w:hAnsiTheme="minorHAnsi"/>
          <w:szCs w:val="22"/>
        </w:rPr>
        <w:t xml:space="preserve"> unable to modify the items in the </w:t>
      </w:r>
      <w:r w:rsidR="004B40FF">
        <w:rPr>
          <w:rFonts w:asciiTheme="minorHAnsi" w:hAnsiTheme="minorHAnsi"/>
          <w:szCs w:val="22"/>
        </w:rPr>
        <w:t xml:space="preserve">CIRP </w:t>
      </w:r>
      <w:r w:rsidRPr="00E2615D" w:rsidR="00E2615D">
        <w:rPr>
          <w:rFonts w:asciiTheme="minorHAnsi" w:hAnsiTheme="minorHAnsi"/>
          <w:szCs w:val="22"/>
        </w:rPr>
        <w:t xml:space="preserve">HERI surveys as HERI seeks to maintain comparability of their data over time, having administered those same items over the past 50 years.  However, for federal reporting </w:t>
      </w:r>
      <w:r>
        <w:rPr>
          <w:rFonts w:asciiTheme="minorHAnsi" w:hAnsiTheme="minorHAnsi"/>
          <w:szCs w:val="22"/>
        </w:rPr>
        <w:t>the CEC</w:t>
      </w:r>
      <w:r w:rsidRPr="00E2615D" w:rsidR="00E2615D">
        <w:rPr>
          <w:rFonts w:asciiTheme="minorHAnsi" w:hAnsiTheme="minorHAnsi"/>
          <w:szCs w:val="22"/>
        </w:rPr>
        <w:t xml:space="preserve"> collapse</w:t>
      </w:r>
      <w:r>
        <w:rPr>
          <w:rFonts w:asciiTheme="minorHAnsi" w:hAnsiTheme="minorHAnsi"/>
          <w:szCs w:val="22"/>
        </w:rPr>
        <w:t>s</w:t>
      </w:r>
      <w:r w:rsidRPr="00E2615D" w:rsidR="00E2615D">
        <w:rPr>
          <w:rFonts w:asciiTheme="minorHAnsi" w:hAnsiTheme="minorHAnsi"/>
          <w:szCs w:val="22"/>
        </w:rPr>
        <w:t xml:space="preserve"> those responses into the 4 racial categories (American Indian or Alaska Native, Asian or Pacific Islander, Black, White) and 2 ethnic categories (Hispanic origin, Not of Hispanic origin) as defined in the OMB Directive 15. In addition, in the annual follow-up surveys for both students and faculty, </w:t>
      </w:r>
      <w:r>
        <w:rPr>
          <w:rFonts w:asciiTheme="minorHAnsi" w:hAnsiTheme="minorHAnsi"/>
          <w:szCs w:val="22"/>
        </w:rPr>
        <w:t>the CEC asks</w:t>
      </w:r>
      <w:r w:rsidRPr="00E2615D" w:rsidR="00E2615D">
        <w:rPr>
          <w:rFonts w:asciiTheme="minorHAnsi" w:hAnsiTheme="minorHAnsi"/>
          <w:szCs w:val="22"/>
        </w:rPr>
        <w:t xml:space="preserve"> the standard ethnicity item (Hispanic/not Hispanic) and a separate race item (e.g., see item 43 in Attachment 1</w:t>
      </w:r>
      <w:r w:rsidR="004B40FF">
        <w:rPr>
          <w:rFonts w:asciiTheme="minorHAnsi" w:hAnsiTheme="minorHAnsi"/>
          <w:szCs w:val="22"/>
        </w:rPr>
        <w:t>3</w:t>
      </w:r>
      <w:r w:rsidRPr="00E2615D" w:rsidR="00E2615D">
        <w:rPr>
          <w:rFonts w:asciiTheme="minorHAnsi" w:hAnsiTheme="minorHAnsi"/>
          <w:szCs w:val="22"/>
        </w:rPr>
        <w:t xml:space="preserve">).  The race item is more detailed than those listed in OMB Directive 15 because several of the participating institutions desire more detailed race information.  However, the resulting data allows us to classify participants according to the race/ethnic classifications in OMB Directive 15 for reporting purposes.  Similarly, for sexual orientation/gender identity, since </w:t>
      </w:r>
      <w:r w:rsidR="004B40FF">
        <w:rPr>
          <w:rFonts w:asciiTheme="minorHAnsi" w:hAnsiTheme="minorHAnsi"/>
          <w:szCs w:val="22"/>
        </w:rPr>
        <w:t xml:space="preserve">CIRP </w:t>
      </w:r>
      <w:r w:rsidRPr="00E2615D" w:rsidR="00E2615D">
        <w:rPr>
          <w:rFonts w:asciiTheme="minorHAnsi" w:hAnsiTheme="minorHAnsi"/>
          <w:szCs w:val="22"/>
        </w:rPr>
        <w:t xml:space="preserve">HERI is a historical </w:t>
      </w:r>
      <w:r w:rsidRPr="00E2615D" w:rsidR="00A339E3">
        <w:rPr>
          <w:rFonts w:asciiTheme="minorHAnsi" w:hAnsiTheme="minorHAnsi"/>
          <w:szCs w:val="22"/>
        </w:rPr>
        <w:t>survey</w:t>
      </w:r>
      <w:r w:rsidR="00A339E3">
        <w:rPr>
          <w:rFonts w:asciiTheme="minorHAnsi" w:hAnsiTheme="minorHAnsi"/>
          <w:szCs w:val="22"/>
        </w:rPr>
        <w:t>,</w:t>
      </w:r>
      <w:r w:rsidRPr="00E2615D" w:rsidR="00A339E3">
        <w:rPr>
          <w:rFonts w:asciiTheme="minorHAnsi" w:hAnsiTheme="minorHAnsi"/>
          <w:szCs w:val="22"/>
        </w:rPr>
        <w:t xml:space="preserve"> the</w:t>
      </w:r>
      <w:r w:rsidRPr="00E2615D" w:rsidR="00E2615D">
        <w:rPr>
          <w:rFonts w:asciiTheme="minorHAnsi" w:hAnsiTheme="minorHAnsi"/>
          <w:szCs w:val="22"/>
        </w:rPr>
        <w:t xml:space="preserve"> CEC cannot change the wording (see items 1-3 in Attachment </w:t>
      </w:r>
      <w:r w:rsidR="004B40FF">
        <w:rPr>
          <w:rFonts w:asciiTheme="minorHAnsi" w:hAnsiTheme="minorHAnsi"/>
          <w:szCs w:val="22"/>
        </w:rPr>
        <w:t>12</w:t>
      </w:r>
      <w:r w:rsidRPr="00E2615D" w:rsidR="00E2615D">
        <w:rPr>
          <w:rFonts w:asciiTheme="minorHAnsi" w:hAnsiTheme="minorHAnsi"/>
          <w:szCs w:val="22"/>
        </w:rPr>
        <w:t xml:space="preserve">); however, when reporting in these categories, the CEC will employ current practices at the Department of Health and Human Services. </w:t>
      </w:r>
    </w:p>
    <w:p w:rsidRPr="00E2615D" w:rsidR="00E2615D" w:rsidP="00E2615D" w:rsidRDefault="00E2615D" w14:paraId="29682331" w14:textId="77777777">
      <w:pPr>
        <w:pStyle w:val="P1-StandPara"/>
        <w:spacing w:line="240" w:lineRule="auto"/>
        <w:rPr>
          <w:rFonts w:asciiTheme="minorHAnsi" w:hAnsiTheme="minorHAnsi"/>
          <w:szCs w:val="22"/>
        </w:rPr>
      </w:pPr>
    </w:p>
    <w:p w:rsidRPr="00E2615D" w:rsidR="00E2615D" w:rsidP="00E2615D" w:rsidRDefault="00E2615D" w14:paraId="1B1AD9E2" w14:textId="110B6D63">
      <w:pPr>
        <w:pStyle w:val="P1-StandPara"/>
        <w:spacing w:line="240" w:lineRule="auto"/>
        <w:ind w:firstLine="0"/>
        <w:rPr>
          <w:rFonts w:asciiTheme="minorHAnsi" w:hAnsiTheme="minorHAnsi"/>
          <w:szCs w:val="22"/>
        </w:rPr>
      </w:pPr>
      <w:r w:rsidRPr="00E2615D">
        <w:rPr>
          <w:rFonts w:asciiTheme="minorHAnsi" w:hAnsiTheme="minorHAnsi"/>
          <w:szCs w:val="22"/>
        </w:rPr>
        <w:lastRenderedPageBreak/>
        <w:t>The exit and follow-up surveys for BUILD students and faculty and NRMN mentees and mentors contain questions regarding work-related information (type of employer organization and career field), career status (student/faculty level – graduate, post-graduate, Assistant/Associate/Full professor), number of NIH applications, number of publications. This information allows NIH to analyze the survey data by subgroups and support NIH’s long-standing efforts to enhance the diversity of the biomedical research workforce.</w:t>
      </w:r>
    </w:p>
    <w:p w:rsidRPr="00E2615D" w:rsidR="00E2615D" w:rsidP="00E2615D" w:rsidRDefault="00E2615D" w14:paraId="702566B9" w14:textId="77777777">
      <w:pPr>
        <w:pStyle w:val="P1-StandPara"/>
        <w:spacing w:line="240" w:lineRule="auto"/>
        <w:rPr>
          <w:rFonts w:asciiTheme="minorHAnsi" w:hAnsiTheme="minorHAnsi"/>
          <w:szCs w:val="22"/>
        </w:rPr>
      </w:pPr>
    </w:p>
    <w:p w:rsidRPr="00E2615D" w:rsidR="00E2615D" w:rsidP="00E2615D" w:rsidRDefault="00E2615D" w14:paraId="65E2CD2D" w14:textId="77777777">
      <w:pPr>
        <w:pStyle w:val="P1-StandPara"/>
        <w:spacing w:line="240" w:lineRule="auto"/>
        <w:ind w:firstLine="0"/>
        <w:rPr>
          <w:rFonts w:asciiTheme="minorHAnsi" w:hAnsiTheme="minorHAnsi"/>
          <w:szCs w:val="22"/>
        </w:rPr>
      </w:pPr>
      <w:r w:rsidRPr="00E2615D">
        <w:rPr>
          <w:rFonts w:asciiTheme="minorHAnsi" w:hAnsiTheme="minorHAnsi"/>
          <w:szCs w:val="22"/>
        </w:rPr>
        <w:t xml:space="preserve">Survey participants may skip any or all of the Personally Identifiable Information (PII) questions that they do not wish to answer. To avoid fear of disclosure of sensitive information, participants are assured that their responses will be kept private and reported in terms of de-identified, aggregate numbers or summary statistics. </w:t>
      </w:r>
    </w:p>
    <w:p w:rsidRPr="00E2615D" w:rsidR="00E2615D" w:rsidP="00E2615D" w:rsidRDefault="00E2615D" w14:paraId="48E62EDC" w14:textId="77777777">
      <w:pPr>
        <w:pStyle w:val="P1-StandPara"/>
        <w:spacing w:line="240" w:lineRule="auto"/>
        <w:rPr>
          <w:rFonts w:asciiTheme="minorHAnsi" w:hAnsiTheme="minorHAnsi"/>
          <w:szCs w:val="22"/>
        </w:rPr>
      </w:pPr>
    </w:p>
    <w:p w:rsidRPr="00E35DD1" w:rsidR="00685B30" w:rsidP="00685B30" w:rsidRDefault="00E2615D" w14:paraId="576DA571" w14:textId="2E81DB51">
      <w:pPr>
        <w:pStyle w:val="P1-StandPara"/>
        <w:spacing w:line="240" w:lineRule="auto"/>
        <w:ind w:firstLine="0"/>
        <w:rPr>
          <w:rFonts w:asciiTheme="minorHAnsi" w:hAnsiTheme="minorHAnsi"/>
          <w:szCs w:val="22"/>
        </w:rPr>
      </w:pPr>
      <w:r w:rsidRPr="00E2615D">
        <w:rPr>
          <w:rFonts w:asciiTheme="minorHAnsi" w:hAnsiTheme="minorHAnsi"/>
          <w:szCs w:val="22"/>
        </w:rPr>
        <w:t>Institutional level data does not contain any highly sensitive questions.</w:t>
      </w:r>
    </w:p>
    <w:p w:rsidR="00685B30" w:rsidP="00F116EE" w:rsidRDefault="00685B30" w14:paraId="2470C97A" w14:textId="6E869F9B">
      <w:pPr>
        <w:pStyle w:val="Heading1"/>
        <w:rPr>
          <w:rFonts w:asciiTheme="minorHAnsi" w:hAnsiTheme="minorHAnsi" w:cstheme="minorHAnsi"/>
          <w:b/>
          <w:color w:val="auto"/>
          <w:sz w:val="22"/>
          <w:szCs w:val="22"/>
        </w:rPr>
      </w:pPr>
      <w:bookmarkStart w:name="_Toc31096830" w:id="40"/>
      <w:r w:rsidRPr="00F116EE">
        <w:rPr>
          <w:rFonts w:asciiTheme="minorHAnsi" w:hAnsiTheme="minorHAnsi" w:cstheme="minorHAnsi"/>
          <w:b/>
          <w:color w:val="auto"/>
          <w:sz w:val="22"/>
          <w:szCs w:val="22"/>
        </w:rPr>
        <w:t>A.12</w:t>
      </w:r>
      <w:r w:rsidRPr="00F116EE" w:rsidR="00BF491C">
        <w:rPr>
          <w:rFonts w:asciiTheme="minorHAnsi" w:hAnsiTheme="minorHAnsi" w:cstheme="minorHAnsi"/>
          <w:b/>
          <w:color w:val="auto"/>
          <w:sz w:val="22"/>
          <w:szCs w:val="22"/>
        </w:rPr>
        <w:t>.1</w:t>
      </w:r>
      <w:r w:rsidRPr="00F116EE">
        <w:rPr>
          <w:rFonts w:asciiTheme="minorHAnsi" w:hAnsiTheme="minorHAnsi" w:cstheme="minorHAnsi"/>
          <w:b/>
          <w:color w:val="auto"/>
          <w:sz w:val="22"/>
          <w:szCs w:val="22"/>
        </w:rPr>
        <w:tab/>
        <w:t>Estimates of Hour Burden Including Annualized Hourly Costs</w:t>
      </w:r>
      <w:bookmarkEnd w:id="40"/>
    </w:p>
    <w:p w:rsidRPr="00F116EE" w:rsidR="00F116EE" w:rsidP="00F116EE" w:rsidRDefault="00F116EE" w14:paraId="3DA5E6E2" w14:textId="77777777"/>
    <w:p w:rsidRPr="00F116EE" w:rsidR="00E2615D" w:rsidP="00F116EE" w:rsidRDefault="00E2615D" w14:paraId="21A89E74" w14:textId="24C9AF6B">
      <w:pPr>
        <w:pStyle w:val="Heading2"/>
        <w:rPr>
          <w:rFonts w:asciiTheme="minorHAnsi" w:hAnsiTheme="minorHAnsi" w:cstheme="minorHAnsi"/>
          <w:b/>
          <w:color w:val="auto"/>
          <w:sz w:val="22"/>
          <w:szCs w:val="22"/>
        </w:rPr>
      </w:pPr>
      <w:bookmarkStart w:name="_Toc31096831" w:id="41"/>
      <w:r w:rsidRPr="00F116EE">
        <w:rPr>
          <w:rFonts w:asciiTheme="minorHAnsi" w:hAnsiTheme="minorHAnsi" w:cstheme="minorHAnsi"/>
          <w:b/>
          <w:color w:val="auto"/>
          <w:sz w:val="22"/>
          <w:szCs w:val="22"/>
        </w:rPr>
        <w:t>A.12.1 Estimates of Hours Burden</w:t>
      </w:r>
      <w:bookmarkEnd w:id="41"/>
    </w:p>
    <w:p w:rsidR="00E2615D" w:rsidP="00E2615D" w:rsidRDefault="00E2615D" w14:paraId="5CD390F8" w14:textId="77777777"/>
    <w:p w:rsidR="00E2615D" w:rsidP="00E2615D" w:rsidRDefault="00E2615D" w14:paraId="3B6D6937" w14:textId="77777777">
      <w:r>
        <w:t xml:space="preserve">Every effort is made to minimize the burden on the respondents. All surveys are given online (with paper version available on request). Estimates of hourly burden are provided only for the surveys that will be administered during the requested approval period. </w:t>
      </w:r>
    </w:p>
    <w:p w:rsidR="00E2615D" w:rsidP="00E2615D" w:rsidRDefault="00E2615D" w14:paraId="6F6A24C4" w14:textId="77777777"/>
    <w:p w:rsidR="00E2615D" w:rsidP="00E2615D" w:rsidRDefault="00E2615D" w14:paraId="56115F79" w14:textId="77777777">
      <w:r w:rsidRPr="00E2615D">
        <w:rPr>
          <w:u w:val="single"/>
        </w:rPr>
        <w:t>BUILD Students</w:t>
      </w:r>
      <w:r>
        <w:t xml:space="preserve"> – The entrance survey for the BUILD undergraduate students take on average 45 minutes to complete. Similarly, the surveys at the end of the senior years also take approximately 45 minutes each. The annual follow-up survey takes on average 25 minutes. If this current request for clearance is approved, the same surveys will be used to gather data from applicants for the duration of the clearance.   </w:t>
      </w:r>
    </w:p>
    <w:p w:rsidR="00E2615D" w:rsidP="00E2615D" w:rsidRDefault="00E2615D" w14:paraId="738890ED" w14:textId="77777777"/>
    <w:p w:rsidR="00E2615D" w:rsidP="00E2615D" w:rsidRDefault="00E2615D" w14:paraId="592CCA7C" w14:textId="77777777">
      <w:r w:rsidRPr="00E2615D">
        <w:rPr>
          <w:u w:val="single"/>
        </w:rPr>
        <w:t>BUILD Faculty</w:t>
      </w:r>
      <w:r>
        <w:t xml:space="preserve"> – The initial survey for BUILD faculty takes on average 45 minutes to complete.  The annual follow-up survey takes on average 15 minutes to complete.</w:t>
      </w:r>
    </w:p>
    <w:p w:rsidR="00E2615D" w:rsidP="00E2615D" w:rsidRDefault="00E2615D" w14:paraId="2660D097" w14:textId="77777777"/>
    <w:p w:rsidR="00E2615D" w:rsidP="00E2615D" w:rsidRDefault="00E2615D" w14:paraId="6B2EE6A7" w14:textId="5FFC02F6">
      <w:r w:rsidRPr="00E2615D">
        <w:rPr>
          <w:u w:val="single"/>
        </w:rPr>
        <w:t>BUILD Site Visits</w:t>
      </w:r>
      <w:r>
        <w:t xml:space="preserve"> – For Phase II, a maximum of 1 site visit per BUILD site will be conducted. A team of 3-5 CEC team members will participate in the site visits.  On average, 12-15 individuals from a given BUILD site participate in the site visit. </w:t>
      </w:r>
      <w:r w:rsidR="00813320">
        <w:t>The time estimates are</w:t>
      </w:r>
      <w:r>
        <w:t xml:space="preserve"> 24 hours per person based on 8 hours preparation, 16 hours for a 2-day site visit, including the group interviews. </w:t>
      </w:r>
    </w:p>
    <w:p w:rsidR="00E2615D" w:rsidP="00E2615D" w:rsidRDefault="00E2615D" w14:paraId="01537E8C" w14:textId="77777777"/>
    <w:p w:rsidR="00C02C97" w:rsidP="00E2615D" w:rsidRDefault="00E2615D" w14:paraId="29430ED6" w14:textId="5D7C16A4">
      <w:r w:rsidRPr="00E2615D">
        <w:rPr>
          <w:u w:val="single"/>
        </w:rPr>
        <w:t>BUILD Case Studies</w:t>
      </w:r>
      <w:r>
        <w:t xml:space="preserve"> – On average, 40 hours (5</w:t>
      </w:r>
      <w:r w:rsidR="00C11817">
        <w:t xml:space="preserve"> </w:t>
      </w:r>
      <w:r>
        <w:t xml:space="preserve">days * 8hr/day =40 hours) will be needed from someone at each of the case studies sites to assist in pulling together needed materials and assisting in scheduling the requested individual and group interviews.  Semi-structured interviews are conducted at each BUILD site, including: </w:t>
      </w:r>
      <w:r w:rsidRPr="00E2615D">
        <w:rPr>
          <w:b/>
        </w:rPr>
        <w:t>Individual interviews</w:t>
      </w:r>
      <w:r>
        <w:t xml:space="preserve"> (1.5 hours each) with the Principal Investigator(s), Program manager(s), and Partner Institution Directors (up to a maximum of 4 such individuals); and </w:t>
      </w:r>
      <w:r w:rsidRPr="00E2615D">
        <w:rPr>
          <w:b/>
        </w:rPr>
        <w:t>Group interviews</w:t>
      </w:r>
      <w:r>
        <w:t xml:space="preserve"> (1.5 hours each) with BUILD Faculty Leads (5 participants), Faculty participants (including mentors) in site BUILD </w:t>
      </w:r>
      <w:r>
        <w:lastRenderedPageBreak/>
        <w:t>activities (5 participants), undergraduate students (2 groups of 6 active BUILD student participants; one group of 4 BUILD drop-outs) and one group of 6 graduate/post-doctoral students.  Two additional case studies will be done at 2 matched non-BUILD institutions; these will include interviews (1.5 hours each) with one Institutional Director/Program Manager and group interviews with 5 faculty, 5 undergraduate students, 5 graduate/post-doctoral students.</w:t>
      </w:r>
    </w:p>
    <w:p w:rsidR="00E2615D" w:rsidP="00E2615D" w:rsidRDefault="00E2615D" w14:paraId="389CBB77" w14:textId="68B46332">
      <w:r w:rsidRPr="00813320">
        <w:rPr>
          <w:u w:val="single"/>
        </w:rPr>
        <w:t>NRMN</w:t>
      </w:r>
      <w:r w:rsidRPr="00813320">
        <w:t xml:space="preserve"> –</w:t>
      </w:r>
      <w:r w:rsidR="00813320">
        <w:t xml:space="preserve"> C</w:t>
      </w:r>
      <w:r w:rsidRPr="00813320">
        <w:t xml:space="preserve">ompleting the annual follow-up survey </w:t>
      </w:r>
      <w:r w:rsidR="00813320">
        <w:t>is estimated to</w:t>
      </w:r>
      <w:r w:rsidRPr="00813320">
        <w:t xml:space="preserve"> take an average of 25 minutes, with variability depending on the academic productivity of the respondent. The biannual program-specific components, which are all fixed choice questions, add about five minutes per program component.</w:t>
      </w:r>
    </w:p>
    <w:p w:rsidR="00E2615D" w:rsidP="00E2615D" w:rsidRDefault="00E2615D" w14:paraId="2F8C7E63" w14:textId="77777777">
      <w:r w:rsidRPr="00E2615D">
        <w:rPr>
          <w:u w:val="single"/>
        </w:rPr>
        <w:t>NRMN Case Studies Visits</w:t>
      </w:r>
      <w:r>
        <w:t xml:space="preserve"> – The case studies have been discontinued because of the restructuring in Phase II.</w:t>
      </w:r>
    </w:p>
    <w:p w:rsidR="00560617" w:rsidP="00237DE7" w:rsidRDefault="00E2615D" w14:paraId="1C66F668" w14:textId="5C4FCC27">
      <w:r>
        <w:t>Table A.12.1 displays the annualized estimate of hour burden.  For each survey/data collection instrument included in Table A.12.1, the relevant Attachment illustrating that instrument is also listed. The expected burden level per year for this study is 55,13</w:t>
      </w:r>
      <w:r w:rsidR="00C11817">
        <w:t>2</w:t>
      </w:r>
      <w:r>
        <w:t xml:space="preserve"> hours</w:t>
      </w:r>
      <w:r w:rsidR="00C11817">
        <w:t>.</w:t>
      </w:r>
      <w:r>
        <w:t xml:space="preserve"> </w:t>
      </w:r>
      <w:r w:rsidR="00C11817">
        <w:t>T</w:t>
      </w:r>
      <w:r>
        <w:t xml:space="preserve">his is </w:t>
      </w:r>
      <w:r w:rsidR="00C11817">
        <w:t xml:space="preserve">less than </w:t>
      </w:r>
      <w:r>
        <w:t>the first OMB application (61,950 hours).</w:t>
      </w:r>
    </w:p>
    <w:p w:rsidR="00237DE7" w:rsidP="00237DE7" w:rsidRDefault="00237DE7" w14:paraId="7C57CFA7" w14:textId="77777777"/>
    <w:p w:rsidRPr="00C24877" w:rsidR="00442B5B" w:rsidP="00237DE7" w:rsidRDefault="00C76FE2" w14:paraId="444AFD27" w14:textId="0167E00B">
      <w:pPr>
        <w:jc w:val="center"/>
      </w:pPr>
      <w:r>
        <w:t>Table 12-1 Estimated Annualized Burden Hours</w:t>
      </w:r>
    </w:p>
    <w:tbl>
      <w:tblPr>
        <w:tblStyle w:val="TableGrid1"/>
        <w:tblW w:w="0" w:type="auto"/>
        <w:tblInd w:w="700" w:type="dxa"/>
        <w:tblLook w:val="04A0" w:firstRow="1" w:lastRow="0" w:firstColumn="1" w:lastColumn="0" w:noHBand="0" w:noVBand="1"/>
      </w:tblPr>
      <w:tblGrid>
        <w:gridCol w:w="1885"/>
        <w:gridCol w:w="2558"/>
        <w:gridCol w:w="1350"/>
        <w:gridCol w:w="1201"/>
        <w:gridCol w:w="1056"/>
        <w:gridCol w:w="888"/>
      </w:tblGrid>
      <w:tr w:rsidRPr="00F76F4B" w:rsidR="00E2615D" w:rsidTr="00F34BF1" w14:paraId="44860262" w14:textId="77777777">
        <w:trPr>
          <w:trHeight w:val="1200"/>
          <w:tblHeader/>
        </w:trPr>
        <w:tc>
          <w:tcPr>
            <w:tcW w:w="1885" w:type="dxa"/>
          </w:tcPr>
          <w:p w:rsidRPr="00F76F4B" w:rsidR="00E2615D" w:rsidP="00E2615D" w:rsidRDefault="00E2615D" w14:paraId="6C3F816C" w14:textId="2EC2AA32">
            <w:pPr>
              <w:rPr>
                <w:rFonts w:eastAsia="Times New Roman" w:asciiTheme="minorHAnsi" w:hAnsiTheme="minorHAnsi" w:cstheme="minorHAnsi"/>
                <w:sz w:val="18"/>
                <w:szCs w:val="18"/>
              </w:rPr>
            </w:pPr>
            <w:bookmarkStart w:name="_Hlk24468512" w:id="42"/>
            <w:r w:rsidRPr="00F76F4B">
              <w:rPr>
                <w:rFonts w:asciiTheme="minorHAnsi" w:hAnsiTheme="minorHAnsi" w:cstheme="minorHAnsi"/>
                <w:sz w:val="18"/>
                <w:szCs w:val="18"/>
              </w:rPr>
              <w:t>Form Name</w:t>
            </w:r>
          </w:p>
        </w:tc>
        <w:tc>
          <w:tcPr>
            <w:tcW w:w="2558" w:type="dxa"/>
            <w:hideMark/>
          </w:tcPr>
          <w:p w:rsidRPr="00F76F4B" w:rsidR="00E2615D" w:rsidP="00E2615D" w:rsidRDefault="00E2615D" w14:paraId="1A2D1271" w14:textId="7692792C">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Type of Respondents</w:t>
            </w:r>
          </w:p>
        </w:tc>
        <w:tc>
          <w:tcPr>
            <w:tcW w:w="1350" w:type="dxa"/>
            <w:hideMark/>
          </w:tcPr>
          <w:p w:rsidRPr="00F76F4B" w:rsidR="00E2615D" w:rsidP="00E2615D" w:rsidRDefault="00E2615D" w14:paraId="4E29331F"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Number of Respondents</w:t>
            </w:r>
          </w:p>
        </w:tc>
        <w:tc>
          <w:tcPr>
            <w:tcW w:w="1201" w:type="dxa"/>
            <w:hideMark/>
          </w:tcPr>
          <w:p w:rsidRPr="00F76F4B" w:rsidR="00E2615D" w:rsidP="00E2615D" w:rsidRDefault="00E2615D" w14:paraId="1D9AFD56" w14:textId="58FC73A0">
            <w:pPr>
              <w:jc w:val="center"/>
              <w:rPr>
                <w:rFonts w:eastAsia="Times New Roman" w:asciiTheme="minorHAnsi" w:hAnsiTheme="minorHAnsi" w:cstheme="minorHAnsi"/>
                <w:sz w:val="18"/>
                <w:szCs w:val="18"/>
              </w:rPr>
            </w:pPr>
            <w:r w:rsidRPr="00F76F4B">
              <w:rPr>
                <w:rFonts w:asciiTheme="minorHAnsi" w:hAnsiTheme="minorHAnsi" w:cstheme="minorHAnsi"/>
                <w:sz w:val="18"/>
                <w:szCs w:val="18"/>
              </w:rPr>
              <w:t>Number of Responses per Respondent</w:t>
            </w:r>
          </w:p>
        </w:tc>
        <w:tc>
          <w:tcPr>
            <w:tcW w:w="1056" w:type="dxa"/>
            <w:hideMark/>
          </w:tcPr>
          <w:p w:rsidRPr="00F76F4B" w:rsidR="00E2615D" w:rsidP="00E2615D" w:rsidRDefault="00E2615D" w14:paraId="5DF5943F"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Average Time per Response (in hours)</w:t>
            </w:r>
          </w:p>
        </w:tc>
        <w:tc>
          <w:tcPr>
            <w:tcW w:w="888" w:type="dxa"/>
            <w:hideMark/>
          </w:tcPr>
          <w:p w:rsidRPr="00F76F4B" w:rsidR="00E2615D" w:rsidP="00E2615D" w:rsidRDefault="00E2615D" w14:paraId="31452415" w14:textId="50E88F6B">
            <w:pPr>
              <w:jc w:val="center"/>
              <w:rPr>
                <w:rFonts w:eastAsia="Times New Roman" w:asciiTheme="minorHAnsi" w:hAnsiTheme="minorHAnsi" w:cstheme="minorHAnsi"/>
                <w:sz w:val="18"/>
                <w:szCs w:val="18"/>
              </w:rPr>
            </w:pPr>
            <w:r w:rsidRPr="00F76F4B">
              <w:rPr>
                <w:rFonts w:asciiTheme="minorHAnsi" w:hAnsiTheme="minorHAnsi" w:cstheme="minorHAnsi"/>
                <w:sz w:val="18"/>
                <w:szCs w:val="18"/>
              </w:rPr>
              <w:t>Total Annual Burden Hours</w:t>
            </w:r>
          </w:p>
        </w:tc>
      </w:tr>
      <w:tr w:rsidRPr="00F76F4B" w:rsidR="00E2615D" w:rsidTr="00F34BF1" w14:paraId="6B994BBF" w14:textId="77777777">
        <w:trPr>
          <w:trHeight w:val="300"/>
        </w:trPr>
        <w:tc>
          <w:tcPr>
            <w:tcW w:w="1885" w:type="dxa"/>
          </w:tcPr>
          <w:p w:rsidRPr="00F76F4B" w:rsidR="00E2615D" w:rsidP="00E2615D" w:rsidRDefault="004E1B43" w14:paraId="649DA68B" w14:textId="7697F475">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2019 CIRP </w:t>
            </w:r>
            <w:r w:rsidR="004B40FF">
              <w:rPr>
                <w:rFonts w:eastAsia="Times New Roman" w:asciiTheme="minorHAnsi" w:hAnsiTheme="minorHAnsi" w:cstheme="minorHAnsi"/>
                <w:sz w:val="18"/>
                <w:szCs w:val="18"/>
              </w:rPr>
              <w:t xml:space="preserve">HERI </w:t>
            </w:r>
            <w:r w:rsidRPr="00F76F4B">
              <w:rPr>
                <w:rFonts w:eastAsia="Times New Roman" w:asciiTheme="minorHAnsi" w:hAnsiTheme="minorHAnsi" w:cstheme="minorHAnsi"/>
                <w:sz w:val="18"/>
                <w:szCs w:val="18"/>
              </w:rPr>
              <w:t>Freshman</w:t>
            </w:r>
            <w:r w:rsidRPr="00F76F4B" w:rsidR="00E2615D">
              <w:rPr>
                <w:rFonts w:eastAsia="Times New Roman" w:asciiTheme="minorHAnsi" w:hAnsiTheme="minorHAnsi" w:cstheme="minorHAnsi"/>
                <w:sz w:val="18"/>
                <w:szCs w:val="18"/>
              </w:rPr>
              <w:t xml:space="preserve"> Survey- (Attachment </w:t>
            </w:r>
            <w:r w:rsidR="004B40FF">
              <w:rPr>
                <w:rFonts w:eastAsia="Times New Roman" w:asciiTheme="minorHAnsi" w:hAnsiTheme="minorHAnsi" w:cstheme="minorHAnsi"/>
                <w:sz w:val="18"/>
                <w:szCs w:val="18"/>
              </w:rPr>
              <w:t>12</w:t>
            </w:r>
            <w:r w:rsidRPr="00F76F4B" w:rsidR="00E2615D">
              <w:rPr>
                <w:rFonts w:eastAsia="Times New Roman" w:asciiTheme="minorHAnsi" w:hAnsiTheme="minorHAnsi" w:cstheme="minorHAnsi"/>
                <w:sz w:val="18"/>
                <w:szCs w:val="18"/>
              </w:rPr>
              <w:t>)</w:t>
            </w:r>
          </w:p>
        </w:tc>
        <w:tc>
          <w:tcPr>
            <w:tcW w:w="2558" w:type="dxa"/>
            <w:hideMark/>
          </w:tcPr>
          <w:p w:rsidRPr="00F76F4B" w:rsidR="00E2615D" w:rsidP="00E2615D" w:rsidRDefault="00E2615D" w14:paraId="641651C0" w14:textId="34D8B0B6">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BUILD </w:t>
            </w:r>
            <w:r w:rsidRPr="00F76F4B" w:rsidR="00FD284C">
              <w:rPr>
                <w:rFonts w:eastAsia="Times New Roman" w:asciiTheme="minorHAnsi" w:hAnsiTheme="minorHAnsi" w:cstheme="minorHAnsi"/>
                <w:sz w:val="18"/>
                <w:szCs w:val="18"/>
              </w:rPr>
              <w:t xml:space="preserve">and Non- BUILD </w:t>
            </w:r>
            <w:r w:rsidRPr="00F76F4B">
              <w:rPr>
                <w:rFonts w:eastAsia="Times New Roman" w:asciiTheme="minorHAnsi" w:hAnsiTheme="minorHAnsi" w:cstheme="minorHAnsi"/>
                <w:sz w:val="18"/>
                <w:szCs w:val="18"/>
              </w:rPr>
              <w:t xml:space="preserve">Student </w:t>
            </w:r>
          </w:p>
        </w:tc>
        <w:tc>
          <w:tcPr>
            <w:tcW w:w="1350" w:type="dxa"/>
            <w:hideMark/>
          </w:tcPr>
          <w:p w:rsidRPr="00F76F4B" w:rsidR="00E2615D" w:rsidP="00E2615D" w:rsidRDefault="00E2615D" w14:paraId="474B1F05"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15,000</w:t>
            </w:r>
          </w:p>
        </w:tc>
        <w:tc>
          <w:tcPr>
            <w:tcW w:w="1201" w:type="dxa"/>
            <w:hideMark/>
          </w:tcPr>
          <w:p w:rsidRPr="00F76F4B" w:rsidR="00E2615D" w:rsidP="00E2615D" w:rsidRDefault="00E2615D" w14:paraId="27F1EEB7"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E2615D" w:rsidP="00E2615D" w:rsidRDefault="00E2615D" w14:paraId="075FAB8A"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45/60</w:t>
            </w:r>
          </w:p>
        </w:tc>
        <w:tc>
          <w:tcPr>
            <w:tcW w:w="888" w:type="dxa"/>
            <w:hideMark/>
          </w:tcPr>
          <w:p w:rsidRPr="00F76F4B" w:rsidR="00E2615D" w:rsidP="00E2615D" w:rsidRDefault="00E2615D" w14:paraId="7C44846D"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11,250</w:t>
            </w:r>
          </w:p>
        </w:tc>
      </w:tr>
      <w:tr w:rsidRPr="00F76F4B" w:rsidR="00E2615D" w:rsidTr="00F34BF1" w14:paraId="3FB1BBC2" w14:textId="77777777">
        <w:trPr>
          <w:trHeight w:val="600"/>
        </w:trPr>
        <w:tc>
          <w:tcPr>
            <w:tcW w:w="1885" w:type="dxa"/>
          </w:tcPr>
          <w:p w:rsidRPr="00F76F4B" w:rsidR="00E2615D" w:rsidP="00E2615D" w:rsidRDefault="004E1B43" w14:paraId="343FD840" w14:textId="3E8A1CBF">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Student Annual </w:t>
            </w:r>
            <w:r w:rsidRPr="00F76F4B" w:rsidR="00E2615D">
              <w:rPr>
                <w:rFonts w:eastAsia="Times New Roman" w:asciiTheme="minorHAnsi" w:hAnsiTheme="minorHAnsi" w:cstheme="minorHAnsi"/>
                <w:sz w:val="18"/>
                <w:szCs w:val="18"/>
              </w:rPr>
              <w:t>Follow-up survey (Attachment 1</w:t>
            </w:r>
            <w:r w:rsidR="004B40FF">
              <w:rPr>
                <w:rFonts w:eastAsia="Times New Roman" w:asciiTheme="minorHAnsi" w:hAnsiTheme="minorHAnsi" w:cstheme="minorHAnsi"/>
                <w:sz w:val="18"/>
                <w:szCs w:val="18"/>
              </w:rPr>
              <w:t>3</w:t>
            </w:r>
            <w:r w:rsidRPr="00F76F4B" w:rsidR="00E2615D">
              <w:rPr>
                <w:rFonts w:eastAsia="Times New Roman" w:asciiTheme="minorHAnsi" w:hAnsiTheme="minorHAnsi" w:cstheme="minorHAnsi"/>
                <w:sz w:val="18"/>
                <w:szCs w:val="18"/>
              </w:rPr>
              <w:t>)</w:t>
            </w:r>
          </w:p>
        </w:tc>
        <w:tc>
          <w:tcPr>
            <w:tcW w:w="2558" w:type="dxa"/>
            <w:hideMark/>
          </w:tcPr>
          <w:p w:rsidRPr="00F76F4B" w:rsidR="00E2615D" w:rsidP="00E2615D" w:rsidRDefault="00FD284C" w14:paraId="72FBCBDB" w14:textId="7C3F2E2F">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BUILD and Non- BUILD Student</w:t>
            </w:r>
          </w:p>
        </w:tc>
        <w:tc>
          <w:tcPr>
            <w:tcW w:w="1350" w:type="dxa"/>
            <w:hideMark/>
          </w:tcPr>
          <w:p w:rsidRPr="00F76F4B" w:rsidR="00E2615D" w:rsidP="00E2615D" w:rsidRDefault="00E2615D" w14:paraId="40C878EF"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15,000</w:t>
            </w:r>
          </w:p>
        </w:tc>
        <w:tc>
          <w:tcPr>
            <w:tcW w:w="1201" w:type="dxa"/>
            <w:hideMark/>
          </w:tcPr>
          <w:p w:rsidRPr="00F76F4B" w:rsidR="00E2615D" w:rsidP="00E2615D" w:rsidRDefault="00E2615D" w14:paraId="65D443B6"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E2615D" w:rsidP="00E2615D" w:rsidRDefault="00E2615D" w14:paraId="1B36839F"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45/60</w:t>
            </w:r>
          </w:p>
        </w:tc>
        <w:tc>
          <w:tcPr>
            <w:tcW w:w="888" w:type="dxa"/>
            <w:hideMark/>
          </w:tcPr>
          <w:p w:rsidRPr="00F76F4B" w:rsidR="00E2615D" w:rsidP="00E2615D" w:rsidRDefault="00E2615D" w14:paraId="156430D3"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11,250</w:t>
            </w:r>
          </w:p>
        </w:tc>
      </w:tr>
      <w:tr w:rsidRPr="00F76F4B" w:rsidR="00E2615D" w:rsidTr="00F34BF1" w14:paraId="09716A3C" w14:textId="77777777">
        <w:trPr>
          <w:trHeight w:val="300"/>
        </w:trPr>
        <w:tc>
          <w:tcPr>
            <w:tcW w:w="1885" w:type="dxa"/>
          </w:tcPr>
          <w:p w:rsidRPr="00F76F4B" w:rsidR="00E2615D" w:rsidP="00E2615D" w:rsidRDefault="004E1B43" w14:paraId="166256DE" w14:textId="537DA91F">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2019 College Senior S</w:t>
            </w:r>
            <w:r w:rsidRPr="00F76F4B" w:rsidR="00E2615D">
              <w:rPr>
                <w:rFonts w:eastAsia="Times New Roman" w:asciiTheme="minorHAnsi" w:hAnsiTheme="minorHAnsi" w:cstheme="minorHAnsi"/>
                <w:sz w:val="18"/>
                <w:szCs w:val="18"/>
              </w:rPr>
              <w:t>urvey (Attachment 1</w:t>
            </w:r>
            <w:r w:rsidR="004B40FF">
              <w:rPr>
                <w:rFonts w:eastAsia="Times New Roman" w:asciiTheme="minorHAnsi" w:hAnsiTheme="minorHAnsi" w:cstheme="minorHAnsi"/>
                <w:sz w:val="18"/>
                <w:szCs w:val="18"/>
              </w:rPr>
              <w:t>4</w:t>
            </w:r>
            <w:r w:rsidRPr="00F76F4B" w:rsidR="00E2615D">
              <w:rPr>
                <w:rFonts w:eastAsia="Times New Roman" w:asciiTheme="minorHAnsi" w:hAnsiTheme="minorHAnsi" w:cstheme="minorHAnsi"/>
                <w:sz w:val="18"/>
                <w:szCs w:val="18"/>
              </w:rPr>
              <w:t>)</w:t>
            </w:r>
          </w:p>
        </w:tc>
        <w:tc>
          <w:tcPr>
            <w:tcW w:w="2558" w:type="dxa"/>
            <w:hideMark/>
          </w:tcPr>
          <w:p w:rsidRPr="00F76F4B" w:rsidR="00E2615D" w:rsidP="00E2615D" w:rsidRDefault="00FD284C" w14:paraId="207CE8A8" w14:textId="6D706B1C">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BUILD and Non- BUILD Student</w:t>
            </w:r>
          </w:p>
        </w:tc>
        <w:tc>
          <w:tcPr>
            <w:tcW w:w="1350" w:type="dxa"/>
            <w:hideMark/>
          </w:tcPr>
          <w:p w:rsidRPr="00F76F4B" w:rsidR="00E2615D" w:rsidP="00E2615D" w:rsidRDefault="00E2615D" w14:paraId="72F62D13"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15,000</w:t>
            </w:r>
          </w:p>
        </w:tc>
        <w:tc>
          <w:tcPr>
            <w:tcW w:w="1201" w:type="dxa"/>
            <w:hideMark/>
          </w:tcPr>
          <w:p w:rsidRPr="00F76F4B" w:rsidR="00E2615D" w:rsidP="00E2615D" w:rsidRDefault="00E2615D" w14:paraId="692C2D02"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E2615D" w:rsidP="00E2615D" w:rsidRDefault="00E2615D" w14:paraId="5EC79059"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45/60</w:t>
            </w:r>
          </w:p>
        </w:tc>
        <w:tc>
          <w:tcPr>
            <w:tcW w:w="888" w:type="dxa"/>
            <w:hideMark/>
          </w:tcPr>
          <w:p w:rsidRPr="00F76F4B" w:rsidR="00E2615D" w:rsidP="00E2615D" w:rsidRDefault="00E2615D" w14:paraId="28F99261" w14:textId="777777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11,250</w:t>
            </w:r>
          </w:p>
        </w:tc>
      </w:tr>
      <w:tr w:rsidRPr="00F76F4B" w:rsidR="00F34BF1" w:rsidTr="00F34BF1" w14:paraId="16D94934" w14:textId="77777777">
        <w:trPr>
          <w:trHeight w:val="300"/>
        </w:trPr>
        <w:tc>
          <w:tcPr>
            <w:tcW w:w="1885" w:type="dxa"/>
          </w:tcPr>
          <w:p w:rsidRPr="00F76F4B" w:rsidR="00F34BF1" w:rsidP="00E2615D" w:rsidRDefault="00F34BF1" w14:paraId="270E3B5B" w14:textId="16CDED05">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Student Annual Follow-up Survey (Attachment 1</w:t>
            </w:r>
            <w:r w:rsidR="004B40FF">
              <w:rPr>
                <w:rFonts w:eastAsia="Times New Roman" w:asciiTheme="minorHAnsi" w:hAnsiTheme="minorHAnsi" w:cstheme="minorHAnsi"/>
                <w:sz w:val="18"/>
                <w:szCs w:val="18"/>
              </w:rPr>
              <w:t>3</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5F052EDA" w14:textId="064D9FAE">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2020 Student Cohort</w:t>
            </w:r>
          </w:p>
        </w:tc>
        <w:tc>
          <w:tcPr>
            <w:tcW w:w="1350" w:type="dxa"/>
            <w:hideMark/>
          </w:tcPr>
          <w:p w:rsidRPr="00F76F4B" w:rsidR="00F34BF1" w:rsidP="00E2615D" w:rsidRDefault="00F34BF1" w14:paraId="64E33DBB" w14:textId="6AF39C1E">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5,000</w:t>
            </w:r>
          </w:p>
        </w:tc>
        <w:tc>
          <w:tcPr>
            <w:tcW w:w="1201" w:type="dxa"/>
            <w:hideMark/>
          </w:tcPr>
          <w:p w:rsidRPr="00F76F4B" w:rsidR="00F34BF1" w:rsidP="00E2615D" w:rsidRDefault="00F34BF1" w14:paraId="7CC41548" w14:textId="1EB916CC">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3</w:t>
            </w:r>
          </w:p>
        </w:tc>
        <w:tc>
          <w:tcPr>
            <w:tcW w:w="1056" w:type="dxa"/>
            <w:hideMark/>
          </w:tcPr>
          <w:p w:rsidRPr="00F76F4B" w:rsidR="00F34BF1" w:rsidP="00E2615D" w:rsidRDefault="00F34BF1" w14:paraId="09717002" w14:textId="3DAC592A">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5FE2B226" w14:textId="17E57DEC">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6,250</w:t>
            </w:r>
          </w:p>
        </w:tc>
      </w:tr>
      <w:tr w:rsidRPr="00F76F4B" w:rsidR="00F34BF1" w:rsidTr="00F34BF1" w14:paraId="39803DBF" w14:textId="77777777">
        <w:trPr>
          <w:trHeight w:val="300"/>
        </w:trPr>
        <w:tc>
          <w:tcPr>
            <w:tcW w:w="1885" w:type="dxa"/>
          </w:tcPr>
          <w:p w:rsidRPr="00F76F4B" w:rsidR="00F34BF1" w:rsidP="00E2615D" w:rsidRDefault="00F34BF1" w14:paraId="0FCFAC50" w14:textId="750A9BB9">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Student Annual Follow-up Survey (Attachment 1</w:t>
            </w:r>
            <w:r w:rsidR="004B40FF">
              <w:rPr>
                <w:rFonts w:eastAsia="Times New Roman" w:asciiTheme="minorHAnsi" w:hAnsiTheme="minorHAnsi" w:cstheme="minorHAnsi"/>
                <w:sz w:val="18"/>
                <w:szCs w:val="18"/>
              </w:rPr>
              <w:t>3</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28DA0ADC" w14:textId="7077F3ED">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2021 Student Cohort</w:t>
            </w:r>
          </w:p>
        </w:tc>
        <w:tc>
          <w:tcPr>
            <w:tcW w:w="1350" w:type="dxa"/>
            <w:hideMark/>
          </w:tcPr>
          <w:p w:rsidRPr="00F76F4B" w:rsidR="00F34BF1" w:rsidP="00E2615D" w:rsidRDefault="00F34BF1" w14:paraId="4FDF71E3" w14:textId="548F8CA3">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5,000</w:t>
            </w:r>
          </w:p>
        </w:tc>
        <w:tc>
          <w:tcPr>
            <w:tcW w:w="1201" w:type="dxa"/>
            <w:hideMark/>
          </w:tcPr>
          <w:p w:rsidRPr="00F76F4B" w:rsidR="00F34BF1" w:rsidP="00E2615D" w:rsidRDefault="00F34BF1" w14:paraId="4A20F4BF" w14:textId="56DAD7BA">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w:t>
            </w:r>
          </w:p>
        </w:tc>
        <w:tc>
          <w:tcPr>
            <w:tcW w:w="1056" w:type="dxa"/>
            <w:hideMark/>
          </w:tcPr>
          <w:p w:rsidRPr="00F76F4B" w:rsidR="00F34BF1" w:rsidP="00E2615D" w:rsidRDefault="00F34BF1" w14:paraId="6D5A10B6" w14:textId="305BACC6">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33400157" w14:textId="4228A18F">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4,167</w:t>
            </w:r>
          </w:p>
        </w:tc>
      </w:tr>
      <w:tr w:rsidRPr="00F76F4B" w:rsidR="00F34BF1" w:rsidTr="00F34BF1" w14:paraId="0204EDD2" w14:textId="77777777">
        <w:trPr>
          <w:trHeight w:val="300"/>
        </w:trPr>
        <w:tc>
          <w:tcPr>
            <w:tcW w:w="1885" w:type="dxa"/>
          </w:tcPr>
          <w:p w:rsidRPr="00F76F4B" w:rsidR="00F34BF1" w:rsidP="00E2615D" w:rsidRDefault="00F34BF1" w14:paraId="2D071E86" w14:textId="33051047">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Student Annual Follow-up Survey (Attachment 1</w:t>
            </w:r>
            <w:r w:rsidR="004B40FF">
              <w:rPr>
                <w:rFonts w:eastAsia="Times New Roman" w:asciiTheme="minorHAnsi" w:hAnsiTheme="minorHAnsi" w:cstheme="minorHAnsi"/>
                <w:sz w:val="18"/>
                <w:szCs w:val="18"/>
              </w:rPr>
              <w:t>3</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07CDABBF" w14:textId="1E6B5906">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2022 Student Cohort</w:t>
            </w:r>
          </w:p>
        </w:tc>
        <w:tc>
          <w:tcPr>
            <w:tcW w:w="1350" w:type="dxa"/>
            <w:hideMark/>
          </w:tcPr>
          <w:p w:rsidRPr="00F76F4B" w:rsidR="00F34BF1" w:rsidP="00E2615D" w:rsidRDefault="00F34BF1" w14:paraId="78426C51" w14:textId="7EAD8A7C">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5,000</w:t>
            </w:r>
          </w:p>
        </w:tc>
        <w:tc>
          <w:tcPr>
            <w:tcW w:w="1201" w:type="dxa"/>
            <w:hideMark/>
          </w:tcPr>
          <w:p w:rsidRPr="00F76F4B" w:rsidR="00F34BF1" w:rsidP="00E2615D" w:rsidRDefault="00F34BF1" w14:paraId="27424687" w14:textId="2DF3E4E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F34BF1" w:rsidP="00E2615D" w:rsidRDefault="00F34BF1" w14:paraId="3498807C" w14:textId="4354EC25">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5985EDE9" w14:textId="4FEA0193">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2,083</w:t>
            </w:r>
          </w:p>
        </w:tc>
      </w:tr>
      <w:tr w:rsidRPr="00F76F4B" w:rsidR="00F34BF1" w:rsidTr="00F34BF1" w14:paraId="77DD3959" w14:textId="77777777">
        <w:trPr>
          <w:trHeight w:val="300"/>
        </w:trPr>
        <w:tc>
          <w:tcPr>
            <w:tcW w:w="1885" w:type="dxa"/>
          </w:tcPr>
          <w:p w:rsidRPr="00F76F4B" w:rsidR="00F34BF1" w:rsidP="00E2615D" w:rsidRDefault="00F34BF1" w14:paraId="52CF5609" w14:textId="644E483C">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2019-20 HERI Faculty Survey Core National Instrument (Attachment 1</w:t>
            </w:r>
            <w:r w:rsidR="004B40FF">
              <w:rPr>
                <w:rFonts w:eastAsia="Times New Roman" w:asciiTheme="minorHAnsi" w:hAnsiTheme="minorHAnsi" w:cstheme="minorHAnsi"/>
                <w:sz w:val="18"/>
                <w:szCs w:val="18"/>
              </w:rPr>
              <w:t>5</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12245387" w14:textId="4B80A3F8">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BUILD </w:t>
            </w:r>
            <w:r w:rsidRPr="00F76F4B" w:rsidR="00FD284C">
              <w:rPr>
                <w:rFonts w:eastAsia="Times New Roman" w:asciiTheme="minorHAnsi" w:hAnsiTheme="minorHAnsi" w:cstheme="minorHAnsi"/>
                <w:sz w:val="18"/>
                <w:szCs w:val="18"/>
              </w:rPr>
              <w:t xml:space="preserve">and Non- BUILD </w:t>
            </w:r>
            <w:r w:rsidRPr="00F76F4B">
              <w:rPr>
                <w:rFonts w:eastAsia="Times New Roman" w:asciiTheme="minorHAnsi" w:hAnsiTheme="minorHAnsi" w:cstheme="minorHAnsi"/>
                <w:sz w:val="18"/>
                <w:szCs w:val="18"/>
              </w:rPr>
              <w:t xml:space="preserve">Faculty Survey </w:t>
            </w:r>
          </w:p>
        </w:tc>
        <w:tc>
          <w:tcPr>
            <w:tcW w:w="1350" w:type="dxa"/>
            <w:hideMark/>
          </w:tcPr>
          <w:p w:rsidRPr="00F76F4B" w:rsidR="00F34BF1" w:rsidP="00E2615D" w:rsidRDefault="00F34BF1" w14:paraId="16A52B67" w14:textId="2EEC2755">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w:t>
            </w:r>
          </w:p>
        </w:tc>
        <w:tc>
          <w:tcPr>
            <w:tcW w:w="1201" w:type="dxa"/>
            <w:hideMark/>
          </w:tcPr>
          <w:p w:rsidRPr="00F76F4B" w:rsidR="00F34BF1" w:rsidP="00E2615D" w:rsidRDefault="00F34BF1" w14:paraId="597ED23A" w14:textId="04BA71E3">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F34BF1" w:rsidP="00E2615D" w:rsidRDefault="00F34BF1" w14:paraId="7153E3AB" w14:textId="1614985D">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3A5206D7" w14:textId="5A2B6D14">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208</w:t>
            </w:r>
          </w:p>
        </w:tc>
      </w:tr>
      <w:tr w:rsidRPr="00F76F4B" w:rsidR="00F34BF1" w:rsidTr="00F34BF1" w14:paraId="768E97F7" w14:textId="77777777">
        <w:trPr>
          <w:trHeight w:val="300"/>
        </w:trPr>
        <w:tc>
          <w:tcPr>
            <w:tcW w:w="1885" w:type="dxa"/>
          </w:tcPr>
          <w:p w:rsidRPr="00F76F4B" w:rsidR="00F34BF1" w:rsidP="00E2615D" w:rsidRDefault="00F34BF1" w14:paraId="4F4D0BBA" w14:textId="2A361AD6">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Faculty Annual Follow-up survey (Attachment 1</w:t>
            </w:r>
            <w:r w:rsidR="004B40FF">
              <w:rPr>
                <w:rFonts w:eastAsia="Times New Roman" w:asciiTheme="minorHAnsi" w:hAnsiTheme="minorHAnsi" w:cstheme="minorHAnsi"/>
                <w:sz w:val="18"/>
                <w:szCs w:val="18"/>
              </w:rPr>
              <w:t>6</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7CEE03F7" w14:textId="5492F79A">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BUILD Faculty Annual Follow-up survey </w:t>
            </w:r>
          </w:p>
        </w:tc>
        <w:tc>
          <w:tcPr>
            <w:tcW w:w="1350" w:type="dxa"/>
            <w:hideMark/>
          </w:tcPr>
          <w:p w:rsidRPr="00F76F4B" w:rsidR="00F34BF1" w:rsidP="00E2615D" w:rsidRDefault="00F34BF1" w14:paraId="521B05A7" w14:textId="0080720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w:t>
            </w:r>
          </w:p>
        </w:tc>
        <w:tc>
          <w:tcPr>
            <w:tcW w:w="1201" w:type="dxa"/>
            <w:hideMark/>
          </w:tcPr>
          <w:p w:rsidRPr="00F76F4B" w:rsidR="00F34BF1" w:rsidP="00E2615D" w:rsidRDefault="00F34BF1" w14:paraId="71B4B94C" w14:textId="3FCF3C28">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w:t>
            </w:r>
          </w:p>
        </w:tc>
        <w:tc>
          <w:tcPr>
            <w:tcW w:w="1056" w:type="dxa"/>
            <w:hideMark/>
          </w:tcPr>
          <w:p w:rsidRPr="00F76F4B" w:rsidR="00F34BF1" w:rsidP="00E2615D" w:rsidRDefault="00F34BF1" w14:paraId="3D358C73" w14:textId="170EC454">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4A59EAB9" w14:textId="7383F3EC">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417</w:t>
            </w:r>
          </w:p>
        </w:tc>
      </w:tr>
      <w:tr w:rsidRPr="00F76F4B" w:rsidR="00F34BF1" w:rsidTr="00F34BF1" w14:paraId="5EE253AE" w14:textId="77777777">
        <w:trPr>
          <w:trHeight w:val="300"/>
        </w:trPr>
        <w:tc>
          <w:tcPr>
            <w:tcW w:w="1885" w:type="dxa"/>
          </w:tcPr>
          <w:p w:rsidRPr="00F76F4B" w:rsidR="00F34BF1" w:rsidP="00E2615D" w:rsidRDefault="00F34BF1" w14:paraId="5EE61B36" w14:textId="1E14855B">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BUILD Institutional Re</w:t>
            </w:r>
            <w:r w:rsidR="00D672B2">
              <w:rPr>
                <w:rFonts w:eastAsia="Times New Roman" w:asciiTheme="minorHAnsi" w:hAnsiTheme="minorHAnsi" w:cstheme="minorHAnsi"/>
                <w:sz w:val="18"/>
                <w:szCs w:val="18"/>
              </w:rPr>
              <w:t>cord</w:t>
            </w:r>
            <w:r w:rsidRPr="00F76F4B">
              <w:rPr>
                <w:rFonts w:eastAsia="Times New Roman" w:asciiTheme="minorHAnsi" w:hAnsiTheme="minorHAnsi" w:cstheme="minorHAnsi"/>
                <w:sz w:val="18"/>
                <w:szCs w:val="18"/>
              </w:rPr>
              <w:t xml:space="preserve"> &amp; Program </w:t>
            </w:r>
            <w:r w:rsidRPr="00F76F4B">
              <w:rPr>
                <w:rFonts w:eastAsia="Times New Roman" w:asciiTheme="minorHAnsi" w:hAnsiTheme="minorHAnsi" w:cstheme="minorHAnsi"/>
                <w:sz w:val="18"/>
                <w:szCs w:val="18"/>
              </w:rPr>
              <w:lastRenderedPageBreak/>
              <w:t xml:space="preserve">Data Requests (Attachment </w:t>
            </w:r>
            <w:r w:rsidR="004B40FF">
              <w:rPr>
                <w:rFonts w:eastAsia="Times New Roman" w:asciiTheme="minorHAnsi" w:hAnsiTheme="minorHAnsi" w:cstheme="minorHAnsi"/>
                <w:sz w:val="18"/>
                <w:szCs w:val="18"/>
              </w:rPr>
              <w:t>19</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CD3EAB" w14:paraId="5768D9FD" w14:textId="6DAE3352">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lastRenderedPageBreak/>
              <w:t xml:space="preserve">Personnel and Administrators at BUILD Institutions </w:t>
            </w:r>
          </w:p>
        </w:tc>
        <w:tc>
          <w:tcPr>
            <w:tcW w:w="1350" w:type="dxa"/>
            <w:hideMark/>
          </w:tcPr>
          <w:p w:rsidRPr="00F76F4B" w:rsidR="00F34BF1" w:rsidP="00E2615D" w:rsidRDefault="00F34BF1" w14:paraId="6C7F911B" w14:textId="5F0BD8CB">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10</w:t>
            </w:r>
          </w:p>
        </w:tc>
        <w:tc>
          <w:tcPr>
            <w:tcW w:w="1201" w:type="dxa"/>
            <w:hideMark/>
          </w:tcPr>
          <w:p w:rsidRPr="00F76F4B" w:rsidR="00F34BF1" w:rsidP="00E2615D" w:rsidRDefault="00F34BF1" w14:paraId="74EE9C9C" w14:textId="6E1FE6AD">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3</w:t>
            </w:r>
          </w:p>
        </w:tc>
        <w:tc>
          <w:tcPr>
            <w:tcW w:w="1056" w:type="dxa"/>
            <w:hideMark/>
          </w:tcPr>
          <w:p w:rsidRPr="00F76F4B" w:rsidR="00F34BF1" w:rsidP="00E2615D" w:rsidRDefault="00C64AE5" w14:paraId="00FB0AC8" w14:textId="1F6AC12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16</w:t>
            </w:r>
          </w:p>
        </w:tc>
        <w:tc>
          <w:tcPr>
            <w:tcW w:w="888" w:type="dxa"/>
            <w:hideMark/>
          </w:tcPr>
          <w:p w:rsidRPr="00F76F4B" w:rsidR="00F34BF1" w:rsidP="00E2615D" w:rsidRDefault="00F34BF1" w14:paraId="39D942BE" w14:textId="68255048">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480</w:t>
            </w:r>
          </w:p>
        </w:tc>
      </w:tr>
      <w:tr w:rsidRPr="00F76F4B" w:rsidR="00F34BF1" w:rsidTr="00F34BF1" w14:paraId="5EAF6491" w14:textId="77777777">
        <w:trPr>
          <w:trHeight w:val="300"/>
        </w:trPr>
        <w:tc>
          <w:tcPr>
            <w:tcW w:w="1885" w:type="dxa"/>
          </w:tcPr>
          <w:p w:rsidRPr="00F76F4B" w:rsidR="00F34BF1" w:rsidP="00E2615D" w:rsidRDefault="00F34BF1" w14:paraId="18228E48" w14:textId="5D814B63">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BUILD Site Visits (Attachment </w:t>
            </w:r>
            <w:r w:rsidR="004B40FF">
              <w:rPr>
                <w:rFonts w:eastAsia="Times New Roman" w:asciiTheme="minorHAnsi" w:hAnsiTheme="minorHAnsi" w:cstheme="minorHAnsi"/>
                <w:sz w:val="18"/>
                <w:szCs w:val="18"/>
              </w:rPr>
              <w:t>18</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2BB12BA7" w14:textId="5CA70C43">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BUILD Students, Faculty, and Institution</w:t>
            </w:r>
          </w:p>
        </w:tc>
        <w:tc>
          <w:tcPr>
            <w:tcW w:w="1350" w:type="dxa"/>
            <w:hideMark/>
          </w:tcPr>
          <w:p w:rsidRPr="00F76F4B" w:rsidR="00F34BF1" w:rsidP="00E2615D" w:rsidRDefault="00F34BF1" w14:paraId="46E47FA8" w14:textId="62A22F74">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120</w:t>
            </w:r>
          </w:p>
        </w:tc>
        <w:tc>
          <w:tcPr>
            <w:tcW w:w="1201" w:type="dxa"/>
            <w:hideMark/>
          </w:tcPr>
          <w:p w:rsidRPr="00F76F4B" w:rsidR="00F34BF1" w:rsidP="00E2615D" w:rsidRDefault="00F34BF1" w14:paraId="47022FA4" w14:textId="34BCB988">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F34BF1" w:rsidP="00E2615D" w:rsidRDefault="00C64AE5" w14:paraId="39EA77BA" w14:textId="4435FAB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24</w:t>
            </w:r>
          </w:p>
        </w:tc>
        <w:tc>
          <w:tcPr>
            <w:tcW w:w="888" w:type="dxa"/>
            <w:hideMark/>
          </w:tcPr>
          <w:p w:rsidRPr="00F76F4B" w:rsidR="00F34BF1" w:rsidP="00E2615D" w:rsidRDefault="00F34BF1" w14:paraId="72FFE98B" w14:textId="7B48F17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2,880</w:t>
            </w:r>
          </w:p>
        </w:tc>
      </w:tr>
      <w:tr w:rsidRPr="00F76F4B" w:rsidR="00F34BF1" w:rsidTr="00F34BF1" w14:paraId="0F60F214" w14:textId="77777777">
        <w:trPr>
          <w:trHeight w:val="300"/>
        </w:trPr>
        <w:tc>
          <w:tcPr>
            <w:tcW w:w="1885" w:type="dxa"/>
          </w:tcPr>
          <w:p w:rsidRPr="00F76F4B" w:rsidR="00F34BF1" w:rsidP="00E2615D" w:rsidRDefault="00F34BF1" w14:paraId="57CE388A" w14:textId="65E031F1">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BUILD Case Studies Preparation (Attachment </w:t>
            </w:r>
            <w:r w:rsidR="004B40FF">
              <w:rPr>
                <w:rFonts w:eastAsia="Times New Roman" w:asciiTheme="minorHAnsi" w:hAnsiTheme="minorHAnsi" w:cstheme="minorHAnsi"/>
                <w:sz w:val="18"/>
                <w:szCs w:val="18"/>
              </w:rPr>
              <w:t>18</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09B1FE3F" w14:textId="167359F5">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BUILD Students, Faculty, and Institutions</w:t>
            </w:r>
          </w:p>
        </w:tc>
        <w:tc>
          <w:tcPr>
            <w:tcW w:w="1350" w:type="dxa"/>
            <w:hideMark/>
          </w:tcPr>
          <w:p w:rsidRPr="00F76F4B" w:rsidR="00F34BF1" w:rsidP="00E2615D" w:rsidRDefault="00F34BF1" w14:paraId="0C737C20" w14:textId="05EE9700">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24</w:t>
            </w:r>
          </w:p>
        </w:tc>
        <w:tc>
          <w:tcPr>
            <w:tcW w:w="1201" w:type="dxa"/>
            <w:hideMark/>
          </w:tcPr>
          <w:p w:rsidRPr="00F76F4B" w:rsidR="00F34BF1" w:rsidP="00E2615D" w:rsidRDefault="00F34BF1" w14:paraId="456D84CF" w14:textId="48EF868D">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F34BF1" w:rsidP="00E2615D" w:rsidRDefault="00CC1902" w14:paraId="158CC0FC" w14:textId="64E8E73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40</w:t>
            </w:r>
          </w:p>
        </w:tc>
        <w:tc>
          <w:tcPr>
            <w:tcW w:w="888" w:type="dxa"/>
            <w:hideMark/>
          </w:tcPr>
          <w:p w:rsidRPr="00F76F4B" w:rsidR="00F34BF1" w:rsidP="00E2615D" w:rsidRDefault="00F34BF1" w14:paraId="53D43779" w14:textId="39FD881F">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960</w:t>
            </w:r>
          </w:p>
        </w:tc>
      </w:tr>
      <w:tr w:rsidRPr="00F76F4B" w:rsidR="00F34BF1" w:rsidTr="00F34BF1" w14:paraId="60F80253" w14:textId="77777777">
        <w:trPr>
          <w:trHeight w:val="300"/>
        </w:trPr>
        <w:tc>
          <w:tcPr>
            <w:tcW w:w="1885" w:type="dxa"/>
          </w:tcPr>
          <w:p w:rsidRPr="00F76F4B" w:rsidR="00F34BF1" w:rsidP="00E2615D" w:rsidRDefault="00F34BF1" w14:paraId="69C0242D" w14:textId="55FBA5DD">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BUILD Case Study Interviews (Attachment </w:t>
            </w:r>
            <w:r w:rsidR="004B40FF">
              <w:rPr>
                <w:rFonts w:eastAsia="Times New Roman" w:asciiTheme="minorHAnsi" w:hAnsiTheme="minorHAnsi" w:cstheme="minorHAnsi"/>
                <w:sz w:val="18"/>
                <w:szCs w:val="18"/>
              </w:rPr>
              <w:t>18</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1533A9EF" w14:textId="61613B5B">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Undergraduate BUILD Students</w:t>
            </w:r>
          </w:p>
        </w:tc>
        <w:tc>
          <w:tcPr>
            <w:tcW w:w="1350" w:type="dxa"/>
            <w:hideMark/>
          </w:tcPr>
          <w:p w:rsidRPr="00F76F4B" w:rsidR="00F34BF1" w:rsidP="00E2615D" w:rsidRDefault="00F34BF1" w14:paraId="7A0ADFEE" w14:textId="6A2EFB68">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170</w:t>
            </w:r>
          </w:p>
        </w:tc>
        <w:tc>
          <w:tcPr>
            <w:tcW w:w="1201" w:type="dxa"/>
            <w:hideMark/>
          </w:tcPr>
          <w:p w:rsidRPr="00F76F4B" w:rsidR="00F34BF1" w:rsidP="00E2615D" w:rsidRDefault="00F34BF1" w14:paraId="0E3DB0D0" w14:textId="276FAD75">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F34BF1" w:rsidP="00E2615D" w:rsidRDefault="00F34BF1" w14:paraId="6FB4DF12" w14:textId="025E31D5">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90/60</w:t>
            </w:r>
          </w:p>
        </w:tc>
        <w:tc>
          <w:tcPr>
            <w:tcW w:w="888" w:type="dxa"/>
            <w:hideMark/>
          </w:tcPr>
          <w:p w:rsidRPr="00F76F4B" w:rsidR="00F34BF1" w:rsidP="00E2615D" w:rsidRDefault="00F34BF1" w14:paraId="08DEA8A2" w14:textId="72AA6110">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255</w:t>
            </w:r>
          </w:p>
        </w:tc>
      </w:tr>
      <w:tr w:rsidRPr="00F76F4B" w:rsidR="00F34BF1" w:rsidTr="00F34BF1" w14:paraId="4B938273" w14:textId="77777777">
        <w:trPr>
          <w:trHeight w:val="300"/>
        </w:trPr>
        <w:tc>
          <w:tcPr>
            <w:tcW w:w="1885" w:type="dxa"/>
          </w:tcPr>
          <w:p w:rsidRPr="00F76F4B" w:rsidR="00F34BF1" w:rsidP="00E2615D" w:rsidRDefault="00F34BF1" w14:paraId="1AE18034" w14:textId="3216EA8D">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BUILD Case Study Interviews (Attachment </w:t>
            </w:r>
            <w:r w:rsidR="006420A5">
              <w:rPr>
                <w:rFonts w:eastAsia="Times New Roman" w:asciiTheme="minorHAnsi" w:hAnsiTheme="minorHAnsi" w:cstheme="minorHAnsi"/>
                <w:sz w:val="18"/>
                <w:szCs w:val="18"/>
              </w:rPr>
              <w:t>18</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257E2230" w14:textId="31F9BAAE">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Graduate/post-doctoral BUILD students</w:t>
            </w:r>
          </w:p>
        </w:tc>
        <w:tc>
          <w:tcPr>
            <w:tcW w:w="1350" w:type="dxa"/>
            <w:hideMark/>
          </w:tcPr>
          <w:p w:rsidRPr="00F76F4B" w:rsidR="00F34BF1" w:rsidP="00E2615D" w:rsidRDefault="00F34BF1" w14:paraId="72F264D3" w14:textId="20B7880B">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70</w:t>
            </w:r>
          </w:p>
        </w:tc>
        <w:tc>
          <w:tcPr>
            <w:tcW w:w="1201" w:type="dxa"/>
            <w:hideMark/>
          </w:tcPr>
          <w:p w:rsidRPr="00F76F4B" w:rsidR="00F34BF1" w:rsidP="00E2615D" w:rsidRDefault="00F34BF1" w14:paraId="5812E73D" w14:textId="3B124DD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F34BF1" w:rsidP="00E2615D" w:rsidRDefault="00F34BF1" w14:paraId="683E0146" w14:textId="02D4D183">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90/60</w:t>
            </w:r>
          </w:p>
        </w:tc>
        <w:tc>
          <w:tcPr>
            <w:tcW w:w="888" w:type="dxa"/>
            <w:hideMark/>
          </w:tcPr>
          <w:p w:rsidRPr="00F76F4B" w:rsidR="00F34BF1" w:rsidP="00E2615D" w:rsidRDefault="00F34BF1" w14:paraId="2DC3CCC6" w14:textId="08783BDD">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105</w:t>
            </w:r>
          </w:p>
        </w:tc>
      </w:tr>
      <w:tr w:rsidRPr="00F76F4B" w:rsidR="00F34BF1" w:rsidTr="00F34BF1" w14:paraId="13717434" w14:textId="77777777">
        <w:trPr>
          <w:trHeight w:val="300"/>
        </w:trPr>
        <w:tc>
          <w:tcPr>
            <w:tcW w:w="1885" w:type="dxa"/>
          </w:tcPr>
          <w:p w:rsidRPr="00F76F4B" w:rsidR="00F34BF1" w:rsidP="00E2615D" w:rsidRDefault="00F34BF1" w14:paraId="149CF900" w14:textId="3430DFD7">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 xml:space="preserve">BUILD Case Study Interviews (Attachment </w:t>
            </w:r>
            <w:r w:rsidR="006420A5">
              <w:rPr>
                <w:rFonts w:eastAsia="Times New Roman" w:asciiTheme="minorHAnsi" w:hAnsiTheme="minorHAnsi" w:cstheme="minorHAnsi"/>
                <w:sz w:val="18"/>
                <w:szCs w:val="18"/>
              </w:rPr>
              <w:t>18</w:t>
            </w:r>
            <w:r w:rsidRPr="00F76F4B">
              <w:rPr>
                <w:rFonts w:eastAsia="Times New Roman" w:asciiTheme="minorHAnsi" w:hAnsiTheme="minorHAnsi" w:cstheme="minorHAnsi"/>
                <w:sz w:val="18"/>
                <w:szCs w:val="18"/>
              </w:rPr>
              <w:t>)</w:t>
            </w:r>
          </w:p>
        </w:tc>
        <w:tc>
          <w:tcPr>
            <w:tcW w:w="2558" w:type="dxa"/>
            <w:hideMark/>
          </w:tcPr>
          <w:p w:rsidRPr="00F76F4B" w:rsidR="00F34BF1" w:rsidP="00E2615D" w:rsidRDefault="00F34BF1" w14:paraId="75004A4B" w14:textId="510BAEE4">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BUILD PI’s, Program Managers/Directors, &amp; Faculty</w:t>
            </w:r>
          </w:p>
        </w:tc>
        <w:tc>
          <w:tcPr>
            <w:tcW w:w="1350" w:type="dxa"/>
            <w:hideMark/>
          </w:tcPr>
          <w:p w:rsidRPr="00F76F4B" w:rsidR="00F34BF1" w:rsidP="00E2615D" w:rsidRDefault="00F34BF1" w14:paraId="272F1B41" w14:textId="0C48E335">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162</w:t>
            </w:r>
          </w:p>
        </w:tc>
        <w:tc>
          <w:tcPr>
            <w:tcW w:w="1201" w:type="dxa"/>
            <w:hideMark/>
          </w:tcPr>
          <w:p w:rsidRPr="00F76F4B" w:rsidR="00F34BF1" w:rsidP="00E2615D" w:rsidRDefault="00F34BF1" w14:paraId="553557C4" w14:textId="5358EC09">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1</w:t>
            </w:r>
          </w:p>
        </w:tc>
        <w:tc>
          <w:tcPr>
            <w:tcW w:w="1056" w:type="dxa"/>
            <w:hideMark/>
          </w:tcPr>
          <w:p w:rsidRPr="00F76F4B" w:rsidR="00F34BF1" w:rsidP="00E2615D" w:rsidRDefault="00F34BF1" w14:paraId="7A74DB28" w14:textId="38B8B5BD">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90/60</w:t>
            </w:r>
          </w:p>
        </w:tc>
        <w:tc>
          <w:tcPr>
            <w:tcW w:w="888" w:type="dxa"/>
            <w:hideMark/>
          </w:tcPr>
          <w:p w:rsidRPr="00F76F4B" w:rsidR="00F34BF1" w:rsidP="00E2615D" w:rsidRDefault="00F34BF1" w14:paraId="70088F61" w14:textId="0452FB0F">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243</w:t>
            </w:r>
          </w:p>
        </w:tc>
      </w:tr>
      <w:tr w:rsidRPr="00F76F4B" w:rsidR="00F34BF1" w:rsidTr="00F34BF1" w14:paraId="1DA5ADA2" w14:textId="77777777">
        <w:trPr>
          <w:trHeight w:val="300"/>
        </w:trPr>
        <w:tc>
          <w:tcPr>
            <w:tcW w:w="1885" w:type="dxa"/>
          </w:tcPr>
          <w:p w:rsidRPr="00F76F4B" w:rsidR="00F34BF1" w:rsidP="00E2615D" w:rsidRDefault="00F34BF1" w14:paraId="2F5F1415" w14:textId="37060759">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Annual Follow-up Surveys (Attachment 17)</w:t>
            </w:r>
          </w:p>
        </w:tc>
        <w:tc>
          <w:tcPr>
            <w:tcW w:w="2558" w:type="dxa"/>
            <w:hideMark/>
          </w:tcPr>
          <w:p w:rsidRPr="00F76F4B" w:rsidR="00F34BF1" w:rsidP="00E2615D" w:rsidRDefault="00F34BF1" w14:paraId="02839B07" w14:textId="36B4579F">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2020 mentee cohort</w:t>
            </w:r>
          </w:p>
        </w:tc>
        <w:tc>
          <w:tcPr>
            <w:tcW w:w="1350" w:type="dxa"/>
            <w:hideMark/>
          </w:tcPr>
          <w:p w:rsidRPr="00F76F4B" w:rsidR="00F34BF1" w:rsidP="00E2615D" w:rsidRDefault="00F34BF1" w14:paraId="0DDF0E7F" w14:textId="3F924DB2">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w:t>
            </w:r>
          </w:p>
        </w:tc>
        <w:tc>
          <w:tcPr>
            <w:tcW w:w="1201" w:type="dxa"/>
            <w:hideMark/>
          </w:tcPr>
          <w:p w:rsidRPr="00F76F4B" w:rsidR="00F34BF1" w:rsidP="00E2615D" w:rsidRDefault="00F34BF1" w14:paraId="413BE565" w14:textId="6ABB84D2">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3</w:t>
            </w:r>
          </w:p>
        </w:tc>
        <w:tc>
          <w:tcPr>
            <w:tcW w:w="1056" w:type="dxa"/>
            <w:hideMark/>
          </w:tcPr>
          <w:p w:rsidRPr="00F76F4B" w:rsidR="00F34BF1" w:rsidP="00E2615D" w:rsidRDefault="00F34BF1" w14:paraId="31DC3A92" w14:textId="36E3605B">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68BFB593" w14:textId="4BF44465">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625</w:t>
            </w:r>
          </w:p>
        </w:tc>
      </w:tr>
      <w:tr w:rsidRPr="00F76F4B" w:rsidR="00F34BF1" w:rsidTr="00F34BF1" w14:paraId="6EA6A7FA" w14:textId="77777777">
        <w:trPr>
          <w:trHeight w:val="300"/>
        </w:trPr>
        <w:tc>
          <w:tcPr>
            <w:tcW w:w="1885" w:type="dxa"/>
          </w:tcPr>
          <w:p w:rsidRPr="00F76F4B" w:rsidR="00F34BF1" w:rsidP="00E2615D" w:rsidRDefault="00F34BF1" w14:paraId="1E5B8DF8" w14:textId="52F00936">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Annual Follow-up Surveys (Attachment 17)</w:t>
            </w:r>
          </w:p>
        </w:tc>
        <w:tc>
          <w:tcPr>
            <w:tcW w:w="2558" w:type="dxa"/>
            <w:hideMark/>
          </w:tcPr>
          <w:p w:rsidRPr="00F76F4B" w:rsidR="00F34BF1" w:rsidP="00E2615D" w:rsidRDefault="00F34BF1" w14:paraId="7802E289" w14:textId="1C87568E">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2021 mentee cohort</w:t>
            </w:r>
          </w:p>
        </w:tc>
        <w:tc>
          <w:tcPr>
            <w:tcW w:w="1350" w:type="dxa"/>
            <w:hideMark/>
          </w:tcPr>
          <w:p w:rsidRPr="00F76F4B" w:rsidR="00F34BF1" w:rsidP="00E2615D" w:rsidRDefault="00F34BF1" w14:paraId="21B994F0" w14:textId="7CC0289A">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w:t>
            </w:r>
          </w:p>
        </w:tc>
        <w:tc>
          <w:tcPr>
            <w:tcW w:w="1201" w:type="dxa"/>
            <w:hideMark/>
          </w:tcPr>
          <w:p w:rsidRPr="00F76F4B" w:rsidR="00F34BF1" w:rsidP="00E2615D" w:rsidRDefault="00F34BF1" w14:paraId="679375B4" w14:textId="79343F11">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3</w:t>
            </w:r>
          </w:p>
        </w:tc>
        <w:tc>
          <w:tcPr>
            <w:tcW w:w="1056" w:type="dxa"/>
            <w:hideMark/>
          </w:tcPr>
          <w:p w:rsidRPr="00F76F4B" w:rsidR="00F34BF1" w:rsidP="00E2615D" w:rsidRDefault="00F34BF1" w14:paraId="1F177546" w14:textId="7C6DA9D8">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61FAD412" w14:textId="73EAA105">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625</w:t>
            </w:r>
          </w:p>
        </w:tc>
      </w:tr>
      <w:tr w:rsidRPr="00F76F4B" w:rsidR="00F34BF1" w:rsidTr="00F34BF1" w14:paraId="16F439BE" w14:textId="77777777">
        <w:trPr>
          <w:trHeight w:val="300"/>
        </w:trPr>
        <w:tc>
          <w:tcPr>
            <w:tcW w:w="1885" w:type="dxa"/>
          </w:tcPr>
          <w:p w:rsidRPr="00F76F4B" w:rsidR="00F34BF1" w:rsidP="00E2615D" w:rsidRDefault="00F34BF1" w14:paraId="034DAD9C" w14:textId="7B303ED6">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Annual Follow-up Surveys (Attachment 17)</w:t>
            </w:r>
          </w:p>
        </w:tc>
        <w:tc>
          <w:tcPr>
            <w:tcW w:w="2558" w:type="dxa"/>
            <w:hideMark/>
          </w:tcPr>
          <w:p w:rsidRPr="00F76F4B" w:rsidR="00F34BF1" w:rsidP="00E2615D" w:rsidRDefault="00F34BF1" w14:paraId="0A87222D" w14:textId="211F3085">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2022 mentee cohort</w:t>
            </w:r>
          </w:p>
        </w:tc>
        <w:tc>
          <w:tcPr>
            <w:tcW w:w="1350" w:type="dxa"/>
            <w:hideMark/>
          </w:tcPr>
          <w:p w:rsidRPr="00F76F4B" w:rsidR="00F34BF1" w:rsidP="00E2615D" w:rsidRDefault="00F34BF1" w14:paraId="7D36D1AA" w14:textId="34F9352D">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w:t>
            </w:r>
          </w:p>
        </w:tc>
        <w:tc>
          <w:tcPr>
            <w:tcW w:w="1201" w:type="dxa"/>
            <w:hideMark/>
          </w:tcPr>
          <w:p w:rsidRPr="00F76F4B" w:rsidR="00F34BF1" w:rsidP="00E2615D" w:rsidRDefault="00F34BF1" w14:paraId="3B16653D" w14:textId="779F42D7">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w:t>
            </w:r>
          </w:p>
        </w:tc>
        <w:tc>
          <w:tcPr>
            <w:tcW w:w="1056" w:type="dxa"/>
            <w:hideMark/>
          </w:tcPr>
          <w:p w:rsidRPr="00F76F4B" w:rsidR="00F34BF1" w:rsidP="00E2615D" w:rsidRDefault="00F34BF1" w14:paraId="6536A003" w14:textId="6E0DF8DB">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7BA57E89" w14:textId="06AE6924">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417</w:t>
            </w:r>
          </w:p>
        </w:tc>
      </w:tr>
      <w:tr w:rsidRPr="00F76F4B" w:rsidR="00F34BF1" w:rsidTr="00F34BF1" w14:paraId="3E2FF8A8" w14:textId="77777777">
        <w:trPr>
          <w:trHeight w:val="300"/>
        </w:trPr>
        <w:tc>
          <w:tcPr>
            <w:tcW w:w="1885" w:type="dxa"/>
          </w:tcPr>
          <w:p w:rsidRPr="00F76F4B" w:rsidR="00F34BF1" w:rsidP="00E2615D" w:rsidRDefault="00F34BF1" w14:paraId="58374152" w14:textId="04E78FB5">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Annual Follow-up Surveys (Attachment 17)</w:t>
            </w:r>
          </w:p>
        </w:tc>
        <w:tc>
          <w:tcPr>
            <w:tcW w:w="2558" w:type="dxa"/>
            <w:hideMark/>
          </w:tcPr>
          <w:p w:rsidRPr="00F76F4B" w:rsidR="00F34BF1" w:rsidP="00E2615D" w:rsidRDefault="00F34BF1" w14:paraId="3257FE1F" w14:textId="7CAE403E">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2020 mentor cohort</w:t>
            </w:r>
          </w:p>
        </w:tc>
        <w:tc>
          <w:tcPr>
            <w:tcW w:w="1350" w:type="dxa"/>
            <w:hideMark/>
          </w:tcPr>
          <w:p w:rsidRPr="00F76F4B" w:rsidR="00F34BF1" w:rsidP="00E2615D" w:rsidRDefault="00F34BF1" w14:paraId="74BCCBC4" w14:textId="09CCA4A6">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w:t>
            </w:r>
          </w:p>
        </w:tc>
        <w:tc>
          <w:tcPr>
            <w:tcW w:w="1201" w:type="dxa"/>
            <w:hideMark/>
          </w:tcPr>
          <w:p w:rsidRPr="00F76F4B" w:rsidR="00F34BF1" w:rsidP="00E2615D" w:rsidRDefault="00F34BF1" w14:paraId="09E21C9C" w14:textId="31A2AFF4">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3</w:t>
            </w:r>
          </w:p>
        </w:tc>
        <w:tc>
          <w:tcPr>
            <w:tcW w:w="1056" w:type="dxa"/>
            <w:hideMark/>
          </w:tcPr>
          <w:p w:rsidRPr="00F76F4B" w:rsidR="00F34BF1" w:rsidP="00E2615D" w:rsidRDefault="00F34BF1" w14:paraId="427050A2" w14:textId="7669CD1A">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69D22706" w14:textId="7B4A311E">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625</w:t>
            </w:r>
          </w:p>
        </w:tc>
      </w:tr>
      <w:tr w:rsidRPr="00F76F4B" w:rsidR="00F34BF1" w:rsidTr="00F34BF1" w14:paraId="43CEA7D8" w14:textId="77777777">
        <w:trPr>
          <w:trHeight w:val="300"/>
        </w:trPr>
        <w:tc>
          <w:tcPr>
            <w:tcW w:w="1885" w:type="dxa"/>
          </w:tcPr>
          <w:p w:rsidRPr="00F76F4B" w:rsidR="00F34BF1" w:rsidP="00E2615D" w:rsidRDefault="00F34BF1" w14:paraId="3C02D039" w14:textId="4280BEE3">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Annual Follow-up Surveys (Attachment 17)</w:t>
            </w:r>
          </w:p>
        </w:tc>
        <w:tc>
          <w:tcPr>
            <w:tcW w:w="2558" w:type="dxa"/>
            <w:hideMark/>
          </w:tcPr>
          <w:p w:rsidRPr="00F76F4B" w:rsidR="00F34BF1" w:rsidP="00E2615D" w:rsidRDefault="00F34BF1" w14:paraId="516318F3" w14:textId="2D655FBE">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2021 mentor cohort</w:t>
            </w:r>
          </w:p>
        </w:tc>
        <w:tc>
          <w:tcPr>
            <w:tcW w:w="1350" w:type="dxa"/>
            <w:hideMark/>
          </w:tcPr>
          <w:p w:rsidRPr="00F76F4B" w:rsidR="00F34BF1" w:rsidP="00E2615D" w:rsidRDefault="00F34BF1" w14:paraId="61C10CE6" w14:textId="73182A81">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w:t>
            </w:r>
          </w:p>
        </w:tc>
        <w:tc>
          <w:tcPr>
            <w:tcW w:w="1201" w:type="dxa"/>
            <w:hideMark/>
          </w:tcPr>
          <w:p w:rsidRPr="00F76F4B" w:rsidR="00F34BF1" w:rsidP="00E2615D" w:rsidRDefault="00F34BF1" w14:paraId="4618BF9A" w14:textId="4C33A6AF">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3</w:t>
            </w:r>
          </w:p>
        </w:tc>
        <w:tc>
          <w:tcPr>
            <w:tcW w:w="1056" w:type="dxa"/>
            <w:hideMark/>
          </w:tcPr>
          <w:p w:rsidRPr="00F76F4B" w:rsidR="00F34BF1" w:rsidP="00E2615D" w:rsidRDefault="00F34BF1" w14:paraId="3E7B4DF0" w14:textId="1801FCB4">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1B69C59C" w14:textId="322A5DC5">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625</w:t>
            </w:r>
          </w:p>
        </w:tc>
      </w:tr>
      <w:tr w:rsidRPr="00F76F4B" w:rsidR="00F34BF1" w:rsidTr="00F34BF1" w14:paraId="14DBEE64" w14:textId="77777777">
        <w:trPr>
          <w:trHeight w:val="300"/>
        </w:trPr>
        <w:tc>
          <w:tcPr>
            <w:tcW w:w="1885" w:type="dxa"/>
          </w:tcPr>
          <w:p w:rsidRPr="00F76F4B" w:rsidR="00F34BF1" w:rsidP="00E2615D" w:rsidRDefault="00F34BF1" w14:paraId="7CEF79C8" w14:textId="6027E3C7">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Annual Follow-up Surveys (Attachment 17)</w:t>
            </w:r>
          </w:p>
        </w:tc>
        <w:tc>
          <w:tcPr>
            <w:tcW w:w="2558" w:type="dxa"/>
            <w:hideMark/>
          </w:tcPr>
          <w:p w:rsidRPr="00F76F4B" w:rsidR="00F34BF1" w:rsidP="00E2615D" w:rsidRDefault="00F34BF1" w14:paraId="6A09EFD2" w14:textId="44952679">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NRMN 2022 mentor cohort</w:t>
            </w:r>
          </w:p>
        </w:tc>
        <w:tc>
          <w:tcPr>
            <w:tcW w:w="1350" w:type="dxa"/>
            <w:hideMark/>
          </w:tcPr>
          <w:p w:rsidRPr="00F76F4B" w:rsidR="00F34BF1" w:rsidP="00E2615D" w:rsidRDefault="00F34BF1" w14:paraId="1A4229C7" w14:textId="1501168E">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500</w:t>
            </w:r>
          </w:p>
        </w:tc>
        <w:tc>
          <w:tcPr>
            <w:tcW w:w="1201" w:type="dxa"/>
            <w:hideMark/>
          </w:tcPr>
          <w:p w:rsidRPr="00F76F4B" w:rsidR="00F34BF1" w:rsidP="00E2615D" w:rsidRDefault="00F34BF1" w14:paraId="77496CA4" w14:textId="393FCFC6">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w:t>
            </w:r>
          </w:p>
        </w:tc>
        <w:tc>
          <w:tcPr>
            <w:tcW w:w="1056" w:type="dxa"/>
            <w:hideMark/>
          </w:tcPr>
          <w:p w:rsidRPr="00F76F4B" w:rsidR="00F34BF1" w:rsidP="00E2615D" w:rsidRDefault="00F34BF1" w14:paraId="56D9B601" w14:textId="4A1625ED">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25/60</w:t>
            </w:r>
          </w:p>
        </w:tc>
        <w:tc>
          <w:tcPr>
            <w:tcW w:w="888" w:type="dxa"/>
            <w:hideMark/>
          </w:tcPr>
          <w:p w:rsidRPr="00F76F4B" w:rsidR="00F34BF1" w:rsidP="00E2615D" w:rsidRDefault="00F34BF1" w14:paraId="792829E3" w14:textId="4ABA4E0C">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417</w:t>
            </w:r>
          </w:p>
        </w:tc>
      </w:tr>
      <w:tr w:rsidRPr="00F76F4B" w:rsidR="00F34BF1" w:rsidTr="00F34BF1" w14:paraId="67E6997D" w14:textId="77777777">
        <w:trPr>
          <w:trHeight w:val="300"/>
        </w:trPr>
        <w:tc>
          <w:tcPr>
            <w:tcW w:w="1885" w:type="dxa"/>
          </w:tcPr>
          <w:p w:rsidRPr="00F76F4B" w:rsidR="00F34BF1" w:rsidP="00E2615D" w:rsidRDefault="00F34BF1" w14:paraId="076D71CE" w14:textId="77777777">
            <w:pPr>
              <w:rPr>
                <w:rFonts w:eastAsia="Times New Roman" w:asciiTheme="minorHAnsi" w:hAnsiTheme="minorHAnsi" w:cstheme="minorHAnsi"/>
                <w:sz w:val="18"/>
                <w:szCs w:val="18"/>
              </w:rPr>
            </w:pPr>
          </w:p>
        </w:tc>
        <w:tc>
          <w:tcPr>
            <w:tcW w:w="2558" w:type="dxa"/>
            <w:hideMark/>
          </w:tcPr>
          <w:p w:rsidRPr="00F76F4B" w:rsidR="00F34BF1" w:rsidP="00E2615D" w:rsidRDefault="00F34BF1" w14:paraId="54552ECB" w14:textId="060A80A7">
            <w:pP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Total</w:t>
            </w:r>
          </w:p>
        </w:tc>
        <w:tc>
          <w:tcPr>
            <w:tcW w:w="1350" w:type="dxa"/>
            <w:hideMark/>
          </w:tcPr>
          <w:p w:rsidRPr="00F76F4B" w:rsidR="00F34BF1" w:rsidP="00E2615D" w:rsidRDefault="00F34BF1" w14:paraId="62F111FD" w14:textId="0E66C308">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64,556</w:t>
            </w:r>
          </w:p>
        </w:tc>
        <w:tc>
          <w:tcPr>
            <w:tcW w:w="1201" w:type="dxa"/>
            <w:hideMark/>
          </w:tcPr>
          <w:p w:rsidRPr="00F76F4B" w:rsidR="00F34BF1" w:rsidP="00E2615D" w:rsidRDefault="00F34BF1" w14:paraId="554BF47F" w14:textId="2C000719">
            <w:pPr>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85,076</w:t>
            </w:r>
          </w:p>
        </w:tc>
        <w:tc>
          <w:tcPr>
            <w:tcW w:w="1056" w:type="dxa"/>
            <w:hideMark/>
          </w:tcPr>
          <w:p w:rsidRPr="00F76F4B" w:rsidR="00F34BF1" w:rsidP="00E2615D" w:rsidRDefault="00F34BF1" w14:paraId="5DEF80F4" w14:textId="181D1B15">
            <w:pPr>
              <w:jc w:val="center"/>
              <w:rPr>
                <w:rFonts w:eastAsia="Times New Roman" w:asciiTheme="minorHAnsi" w:hAnsiTheme="minorHAnsi" w:cstheme="minorHAnsi"/>
                <w:sz w:val="18"/>
                <w:szCs w:val="18"/>
              </w:rPr>
            </w:pPr>
          </w:p>
        </w:tc>
        <w:tc>
          <w:tcPr>
            <w:tcW w:w="888" w:type="dxa"/>
            <w:hideMark/>
          </w:tcPr>
          <w:p w:rsidRPr="00F76F4B" w:rsidR="00F34BF1" w:rsidP="00E2615D" w:rsidRDefault="00F34BF1" w14:paraId="48330228" w14:textId="520812EC">
            <w:pPr>
              <w:jc w:val="center"/>
              <w:rPr>
                <w:rFonts w:eastAsia="Times New Roman" w:asciiTheme="minorHAnsi" w:hAnsiTheme="minorHAnsi" w:cstheme="minorHAnsi"/>
                <w:sz w:val="18"/>
                <w:szCs w:val="18"/>
              </w:rPr>
            </w:pPr>
            <w:r w:rsidRPr="00A339E3">
              <w:rPr>
                <w:rFonts w:eastAsia="Times New Roman" w:asciiTheme="minorHAnsi" w:hAnsiTheme="minorHAnsi" w:cstheme="minorHAnsi"/>
                <w:sz w:val="18"/>
                <w:szCs w:val="18"/>
              </w:rPr>
              <w:t>55,13</w:t>
            </w:r>
            <w:r w:rsidRPr="00A339E3" w:rsidR="00BF269A">
              <w:rPr>
                <w:rFonts w:eastAsia="Times New Roman" w:asciiTheme="minorHAnsi" w:hAnsiTheme="minorHAnsi" w:cstheme="minorHAnsi"/>
                <w:sz w:val="18"/>
                <w:szCs w:val="18"/>
              </w:rPr>
              <w:t>2</w:t>
            </w:r>
          </w:p>
        </w:tc>
      </w:tr>
      <w:bookmarkEnd w:id="42"/>
    </w:tbl>
    <w:p w:rsidR="00EE245F" w:rsidP="0086248B" w:rsidRDefault="00EE245F" w14:paraId="12F83F36" w14:textId="77777777">
      <w:pPr>
        <w:spacing w:after="0" w:line="240" w:lineRule="auto"/>
        <w:rPr>
          <w:rFonts w:eastAsia="Times New Roman" w:cs="Times New Roman"/>
          <w:smallCaps/>
          <w:color w:val="000000" w:themeColor="text1"/>
        </w:rPr>
      </w:pPr>
    </w:p>
    <w:p w:rsidRPr="00F76F4B" w:rsidR="00FD284C" w:rsidP="00F76F4B" w:rsidRDefault="00FD284C" w14:paraId="5386E850" w14:textId="77777777">
      <w:pPr>
        <w:pStyle w:val="Heading2"/>
        <w:rPr>
          <w:rFonts w:asciiTheme="minorHAnsi" w:hAnsiTheme="minorHAnsi" w:cstheme="minorHAnsi"/>
          <w:b/>
          <w:color w:val="auto"/>
          <w:sz w:val="22"/>
          <w:szCs w:val="22"/>
        </w:rPr>
      </w:pPr>
      <w:bookmarkStart w:name="_Toc31096832" w:id="43"/>
      <w:r w:rsidRPr="00F76F4B">
        <w:rPr>
          <w:rFonts w:asciiTheme="minorHAnsi" w:hAnsiTheme="minorHAnsi" w:cstheme="minorHAnsi"/>
          <w:b/>
          <w:color w:val="auto"/>
          <w:sz w:val="22"/>
          <w:szCs w:val="22"/>
        </w:rPr>
        <w:t>A.12.2 Annualized Cost to Respondents</w:t>
      </w:r>
      <w:bookmarkEnd w:id="43"/>
    </w:p>
    <w:p w:rsidR="00FD284C" w:rsidP="00FD284C" w:rsidRDefault="00FD284C" w14:paraId="798B154F" w14:textId="77777777"/>
    <w:p w:rsidR="00FD284C" w:rsidP="00FD284C" w:rsidRDefault="00FD284C" w14:paraId="67BD6624" w14:textId="71321684">
      <w:r>
        <w:t xml:space="preserve">An hourly earning rate for undergraduate students was estimated by average </w:t>
      </w:r>
      <w:r w:rsidR="00C11817">
        <w:t xml:space="preserve">of </w:t>
      </w:r>
      <w:r>
        <w:t>the state minimum wage for the locations of the BUILD institutions ($8.73). The average hourly earnings for graduate students are $17.50 and $31.15 for post-doctoral students. An hourly earning rate for faculty was estimated using the American Association of University Professors’ Annual Report on the Economic Status of the Profession (https://www.aaup.org/report/annual-report-economic-status-profession-2018-19). The amount of average hourly earnings rate was based on the salary of full professors with doctorates. The estimated average hourly earnings for the faculty was calculated to be $64.34. The average hourly earnings rate for Institutional Research staff is estimated as the same as faculty.</w:t>
      </w:r>
    </w:p>
    <w:p w:rsidR="00FD284C" w:rsidP="00FD284C" w:rsidRDefault="00FD284C" w14:paraId="68046963" w14:textId="77777777"/>
    <w:p w:rsidR="002C5D4F" w:rsidP="00FD284C" w:rsidRDefault="00FD284C" w14:paraId="36D02200" w14:textId="0D7DAEA2">
      <w:r>
        <w:lastRenderedPageBreak/>
        <w:t xml:space="preserve">Table A.12.2 shows that the estimated annual cost for all respondents to participate in the Diversity </w:t>
      </w:r>
      <w:r w:rsidR="00C11817">
        <w:t xml:space="preserve">Program </w:t>
      </w:r>
      <w:r>
        <w:t xml:space="preserve">Consortium evaluation would equal approximately $863,395. This value is </w:t>
      </w:r>
      <w:r w:rsidR="00C11817">
        <w:t xml:space="preserve">less than that provided </w:t>
      </w:r>
      <w:r w:rsidR="00A339E3">
        <w:t>in the</w:t>
      </w:r>
      <w:r>
        <w:t xml:space="preserve"> first OMB application ($1,304, 459).</w:t>
      </w:r>
      <w:r w:rsidR="00CF36BD">
        <w:tab/>
        <w:t xml:space="preserve">     </w:t>
      </w:r>
      <w:r w:rsidR="00CF36BD">
        <w:tab/>
      </w:r>
    </w:p>
    <w:p w:rsidR="00237DE7" w:rsidP="00FD284C" w:rsidRDefault="00237DE7" w14:paraId="29A12B4F" w14:textId="77777777"/>
    <w:p w:rsidRPr="00237DE7" w:rsidR="002C5D4F" w:rsidP="00237DE7" w:rsidRDefault="00B93C77" w14:paraId="0EC0CC02" w14:textId="090AB61B">
      <w:pPr>
        <w:ind w:left="1440" w:firstLine="720"/>
      </w:pPr>
      <w:r>
        <w:t>Table 12-2 Annualized Cost to Respondents</w:t>
      </w:r>
    </w:p>
    <w:tbl>
      <w:tblPr>
        <w:tblStyle w:val="TableGrid1"/>
        <w:tblW w:w="8598" w:type="dxa"/>
        <w:tblLayout w:type="fixed"/>
        <w:tblLook w:val="01E0" w:firstRow="1" w:lastRow="1" w:firstColumn="1" w:lastColumn="1" w:noHBand="0" w:noVBand="0"/>
      </w:tblPr>
      <w:tblGrid>
        <w:gridCol w:w="2140"/>
        <w:gridCol w:w="2031"/>
        <w:gridCol w:w="2306"/>
        <w:gridCol w:w="2121"/>
      </w:tblGrid>
      <w:tr w:rsidRPr="00F76F4B" w:rsidR="002C5D4F" w:rsidTr="003A19B1" w14:paraId="624A29FC" w14:textId="77777777">
        <w:trPr>
          <w:trHeight w:val="708"/>
        </w:trPr>
        <w:tc>
          <w:tcPr>
            <w:tcW w:w="2140" w:type="dxa"/>
            <w:hideMark/>
          </w:tcPr>
          <w:p w:rsidRPr="00F76F4B" w:rsidR="002C5D4F" w:rsidP="002C5D4F" w:rsidRDefault="002C5D4F" w14:paraId="155F2C3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bookmarkStart w:name="_Hlk24469439" w:id="44"/>
            <w:r w:rsidRPr="00F76F4B">
              <w:rPr>
                <w:rFonts w:eastAsia="Times New Roman" w:asciiTheme="minorHAnsi" w:hAnsiTheme="minorHAnsi" w:cstheme="minorHAnsi"/>
                <w:sz w:val="18"/>
                <w:szCs w:val="18"/>
              </w:rPr>
              <w:t>Type of Respondents</w:t>
            </w:r>
          </w:p>
        </w:tc>
        <w:tc>
          <w:tcPr>
            <w:tcW w:w="2031" w:type="dxa"/>
            <w:hideMark/>
          </w:tcPr>
          <w:p w:rsidRPr="00F76F4B" w:rsidR="002C5D4F" w:rsidP="00190C83" w:rsidRDefault="00190C83" w14:paraId="7F30ECE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Total Annual Burden Hours</w:t>
            </w:r>
          </w:p>
        </w:tc>
        <w:tc>
          <w:tcPr>
            <w:tcW w:w="2306" w:type="dxa"/>
            <w:hideMark/>
          </w:tcPr>
          <w:p w:rsidRPr="00F76F4B" w:rsidR="002C5D4F" w:rsidP="002C5D4F" w:rsidRDefault="002C5D4F" w14:paraId="12FC9A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Hourly Respondent Wage Rate*</w:t>
            </w:r>
          </w:p>
        </w:tc>
        <w:tc>
          <w:tcPr>
            <w:tcW w:w="2121" w:type="dxa"/>
            <w:hideMark/>
          </w:tcPr>
          <w:p w:rsidRPr="00F76F4B" w:rsidR="002C5D4F" w:rsidP="002C5D4F" w:rsidRDefault="002C5D4F" w14:paraId="7FB874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eastAsia="Times New Roman" w:asciiTheme="minorHAnsi" w:hAnsiTheme="minorHAnsi" w:cstheme="minorHAnsi"/>
                <w:sz w:val="18"/>
                <w:szCs w:val="18"/>
              </w:rPr>
              <w:t>Respondent Cost</w:t>
            </w:r>
          </w:p>
        </w:tc>
      </w:tr>
      <w:tr w:rsidRPr="00F76F4B" w:rsidR="00FD284C" w:rsidTr="003A19B1" w14:paraId="0701C53B" w14:textId="77777777">
        <w:trPr>
          <w:trHeight w:val="791"/>
        </w:trPr>
        <w:tc>
          <w:tcPr>
            <w:tcW w:w="2140" w:type="dxa"/>
          </w:tcPr>
          <w:p w:rsidRPr="00F76F4B" w:rsidR="00FD284C" w:rsidP="00FD284C" w:rsidRDefault="00FD284C" w14:paraId="06B5BA53" w14:textId="0E7A2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 xml:space="preserve">BUILD and Non- BUILD Student - (Attachment </w:t>
            </w:r>
            <w:r w:rsidR="00C12263">
              <w:rPr>
                <w:rFonts w:asciiTheme="minorHAnsi" w:hAnsiTheme="minorHAnsi" w:cstheme="minorHAnsi"/>
                <w:sz w:val="18"/>
                <w:szCs w:val="18"/>
              </w:rPr>
              <w:t>12</w:t>
            </w:r>
            <w:r w:rsidRPr="00F76F4B">
              <w:rPr>
                <w:rFonts w:asciiTheme="minorHAnsi" w:hAnsiTheme="minorHAnsi" w:cstheme="minorHAnsi"/>
                <w:sz w:val="18"/>
                <w:szCs w:val="18"/>
              </w:rPr>
              <w:t>)</w:t>
            </w:r>
          </w:p>
        </w:tc>
        <w:tc>
          <w:tcPr>
            <w:tcW w:w="2031" w:type="dxa"/>
            <w:hideMark/>
          </w:tcPr>
          <w:p w:rsidRPr="00F76F4B" w:rsidR="00FD284C" w:rsidP="00FD284C" w:rsidRDefault="00FD284C" w14:paraId="04B9C25F" w14:textId="0A3374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11,250</w:t>
            </w:r>
          </w:p>
        </w:tc>
        <w:tc>
          <w:tcPr>
            <w:tcW w:w="2306" w:type="dxa"/>
            <w:hideMark/>
          </w:tcPr>
          <w:p w:rsidRPr="00F76F4B" w:rsidR="00FD284C" w:rsidP="00FD284C" w:rsidRDefault="00FD284C" w14:paraId="65625D2C" w14:textId="1FCAE7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 xml:space="preserve">$8.73 </w:t>
            </w:r>
          </w:p>
        </w:tc>
        <w:tc>
          <w:tcPr>
            <w:tcW w:w="2121" w:type="dxa"/>
            <w:hideMark/>
          </w:tcPr>
          <w:p w:rsidRPr="00F76F4B" w:rsidR="00FD284C" w:rsidP="00FD284C" w:rsidRDefault="00FD284C" w14:paraId="377462DF" w14:textId="4624FC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 xml:space="preserve">$98,213 </w:t>
            </w:r>
          </w:p>
        </w:tc>
      </w:tr>
      <w:tr w:rsidRPr="00F76F4B" w:rsidR="00FD284C" w:rsidTr="003A19B1" w14:paraId="05CDA1C2" w14:textId="77777777">
        <w:trPr>
          <w:trHeight w:val="658"/>
        </w:trPr>
        <w:tc>
          <w:tcPr>
            <w:tcW w:w="2140" w:type="dxa"/>
          </w:tcPr>
          <w:p w:rsidRPr="00F76F4B" w:rsidR="00FD284C" w:rsidP="00FD284C" w:rsidRDefault="00FD284C" w14:paraId="6D0BC082" w14:textId="7E742F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BUILD and Non-Build Student – (Attachment 1</w:t>
            </w:r>
            <w:r w:rsidR="00C12263">
              <w:rPr>
                <w:rFonts w:asciiTheme="minorHAnsi" w:hAnsiTheme="minorHAnsi" w:cstheme="minorHAnsi"/>
                <w:sz w:val="18"/>
                <w:szCs w:val="18"/>
              </w:rPr>
              <w:t>3</w:t>
            </w:r>
            <w:r w:rsidRPr="00F76F4B">
              <w:rPr>
                <w:rFonts w:asciiTheme="minorHAnsi" w:hAnsiTheme="minorHAnsi" w:cstheme="minorHAnsi"/>
                <w:sz w:val="18"/>
                <w:szCs w:val="18"/>
              </w:rPr>
              <w:t>)</w:t>
            </w:r>
          </w:p>
        </w:tc>
        <w:tc>
          <w:tcPr>
            <w:tcW w:w="2031" w:type="dxa"/>
            <w:hideMark/>
          </w:tcPr>
          <w:p w:rsidRPr="00F76F4B" w:rsidR="00FD284C" w:rsidP="00FD284C" w:rsidRDefault="00FD284C" w14:paraId="76E53CA0" w14:textId="66EA93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11,250</w:t>
            </w:r>
          </w:p>
        </w:tc>
        <w:tc>
          <w:tcPr>
            <w:tcW w:w="2306" w:type="dxa"/>
            <w:hideMark/>
          </w:tcPr>
          <w:p w:rsidRPr="00F76F4B" w:rsidR="00FD284C" w:rsidP="00FD284C" w:rsidRDefault="00FD284C" w14:paraId="5353BAA3" w14:textId="12756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 xml:space="preserve">$8.73 </w:t>
            </w:r>
          </w:p>
        </w:tc>
        <w:tc>
          <w:tcPr>
            <w:tcW w:w="2121" w:type="dxa"/>
            <w:hideMark/>
          </w:tcPr>
          <w:p w:rsidRPr="00F76F4B" w:rsidR="00FD284C" w:rsidP="00FD284C" w:rsidRDefault="00FD284C" w14:paraId="4E2BEA70" w14:textId="3E5941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 xml:space="preserve">$98,213 </w:t>
            </w:r>
          </w:p>
        </w:tc>
      </w:tr>
      <w:tr w:rsidRPr="00F76F4B" w:rsidR="00FD284C" w:rsidTr="003A19B1" w14:paraId="52D05753" w14:textId="77777777">
        <w:trPr>
          <w:trHeight w:val="236"/>
        </w:trPr>
        <w:tc>
          <w:tcPr>
            <w:tcW w:w="2140" w:type="dxa"/>
          </w:tcPr>
          <w:p w:rsidRPr="00F76F4B" w:rsidR="00FD284C" w:rsidP="00FD284C" w:rsidRDefault="00FD284C" w14:paraId="10F852BD" w14:textId="4A3FE6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BUILD and Non- BUILD Student – (Attachment 1</w:t>
            </w:r>
            <w:r w:rsidR="00C12263">
              <w:rPr>
                <w:rFonts w:asciiTheme="minorHAnsi" w:hAnsiTheme="minorHAnsi" w:cstheme="minorHAnsi"/>
                <w:sz w:val="18"/>
                <w:szCs w:val="18"/>
              </w:rPr>
              <w:t>4</w:t>
            </w:r>
            <w:r w:rsidRPr="00F76F4B">
              <w:rPr>
                <w:rFonts w:asciiTheme="minorHAnsi" w:hAnsiTheme="minorHAnsi" w:cstheme="minorHAnsi"/>
                <w:sz w:val="18"/>
                <w:szCs w:val="18"/>
              </w:rPr>
              <w:t>)</w:t>
            </w:r>
          </w:p>
        </w:tc>
        <w:tc>
          <w:tcPr>
            <w:tcW w:w="2031" w:type="dxa"/>
          </w:tcPr>
          <w:p w:rsidRPr="00F76F4B" w:rsidR="00FD284C" w:rsidP="00FD284C" w:rsidRDefault="00FD284C" w14:paraId="218AD143" w14:textId="6A4DC8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11,250</w:t>
            </w:r>
          </w:p>
        </w:tc>
        <w:tc>
          <w:tcPr>
            <w:tcW w:w="2306" w:type="dxa"/>
          </w:tcPr>
          <w:p w:rsidRPr="00F76F4B" w:rsidR="00FD284C" w:rsidP="00FD284C" w:rsidRDefault="00FD284C" w14:paraId="658ABE72" w14:textId="5B2A72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 xml:space="preserve">$8.73 </w:t>
            </w:r>
          </w:p>
        </w:tc>
        <w:tc>
          <w:tcPr>
            <w:tcW w:w="2121" w:type="dxa"/>
          </w:tcPr>
          <w:p w:rsidRPr="00F76F4B" w:rsidR="00FD284C" w:rsidP="00FD284C" w:rsidRDefault="00FD284C" w14:paraId="16B903B8" w14:textId="3E3EA1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 xml:space="preserve">$98,213 </w:t>
            </w:r>
          </w:p>
        </w:tc>
      </w:tr>
      <w:tr w:rsidRPr="00F76F4B" w:rsidR="00FD284C" w:rsidTr="003A19B1" w14:paraId="523C64DF" w14:textId="77777777">
        <w:trPr>
          <w:trHeight w:val="236"/>
        </w:trPr>
        <w:tc>
          <w:tcPr>
            <w:tcW w:w="2140" w:type="dxa"/>
          </w:tcPr>
          <w:p w:rsidRPr="00F76F4B" w:rsidR="00FD284C" w:rsidP="00FD284C" w:rsidRDefault="00FD284C" w14:paraId="7540BD97" w14:textId="107B29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2020 Student Cohort (Attachment 1</w:t>
            </w:r>
            <w:r w:rsidR="00C12263">
              <w:rPr>
                <w:rFonts w:asciiTheme="minorHAnsi" w:hAnsiTheme="minorHAnsi" w:cstheme="minorHAnsi"/>
                <w:sz w:val="18"/>
                <w:szCs w:val="18"/>
              </w:rPr>
              <w:t>3</w:t>
            </w:r>
            <w:r w:rsidRPr="00F76F4B">
              <w:rPr>
                <w:rFonts w:asciiTheme="minorHAnsi" w:hAnsiTheme="minorHAnsi" w:cstheme="minorHAnsi"/>
                <w:sz w:val="18"/>
                <w:szCs w:val="18"/>
              </w:rPr>
              <w:t>)</w:t>
            </w:r>
          </w:p>
        </w:tc>
        <w:tc>
          <w:tcPr>
            <w:tcW w:w="2031" w:type="dxa"/>
          </w:tcPr>
          <w:p w:rsidRPr="00F76F4B" w:rsidR="00FD284C" w:rsidP="00FD284C" w:rsidRDefault="00FD284C" w14:paraId="4FB651DA" w14:textId="1CDF8E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6,250</w:t>
            </w:r>
          </w:p>
        </w:tc>
        <w:tc>
          <w:tcPr>
            <w:tcW w:w="2306" w:type="dxa"/>
          </w:tcPr>
          <w:p w:rsidRPr="00F76F4B" w:rsidR="00FD284C" w:rsidP="00FD284C" w:rsidRDefault="00FD284C" w14:paraId="206EE5C0" w14:textId="476BC6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color w:val="FF0000"/>
                <w:sz w:val="18"/>
                <w:szCs w:val="18"/>
                <w:highlight w:val="yellow"/>
              </w:rPr>
            </w:pPr>
            <w:r w:rsidRPr="00F76F4B">
              <w:rPr>
                <w:rFonts w:asciiTheme="minorHAnsi" w:hAnsiTheme="minorHAnsi" w:cstheme="minorHAnsi"/>
                <w:sz w:val="18"/>
                <w:szCs w:val="18"/>
              </w:rPr>
              <w:t xml:space="preserve">$8.73 </w:t>
            </w:r>
          </w:p>
        </w:tc>
        <w:tc>
          <w:tcPr>
            <w:tcW w:w="2121" w:type="dxa"/>
          </w:tcPr>
          <w:p w:rsidRPr="00F76F4B" w:rsidR="00FD284C" w:rsidP="00FD284C" w:rsidRDefault="00FD284C" w14:paraId="5970AA26" w14:textId="0CB4C1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18"/>
                <w:szCs w:val="18"/>
              </w:rPr>
            </w:pPr>
            <w:r w:rsidRPr="00F76F4B">
              <w:rPr>
                <w:rFonts w:asciiTheme="minorHAnsi" w:hAnsiTheme="minorHAnsi" w:cstheme="minorHAnsi"/>
                <w:sz w:val="18"/>
                <w:szCs w:val="18"/>
              </w:rPr>
              <w:t xml:space="preserve">$54,563 </w:t>
            </w:r>
          </w:p>
        </w:tc>
      </w:tr>
      <w:tr w:rsidRPr="00F76F4B" w:rsidR="00FD284C" w:rsidTr="003A19B1" w14:paraId="55CE3DD1" w14:textId="77777777">
        <w:trPr>
          <w:trHeight w:val="236"/>
        </w:trPr>
        <w:tc>
          <w:tcPr>
            <w:tcW w:w="2140" w:type="dxa"/>
          </w:tcPr>
          <w:p w:rsidRPr="00F76F4B" w:rsidR="00FD284C" w:rsidP="00FD284C" w:rsidRDefault="00FD284C" w14:paraId="59BF91C6" w14:textId="5FEE1B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2021 Student Cohort (Attachment 1</w:t>
            </w:r>
            <w:r w:rsidR="00C12263">
              <w:rPr>
                <w:rFonts w:asciiTheme="minorHAnsi" w:hAnsiTheme="minorHAnsi" w:cstheme="minorHAnsi"/>
                <w:sz w:val="18"/>
                <w:szCs w:val="18"/>
              </w:rPr>
              <w:t>3</w:t>
            </w:r>
            <w:r w:rsidRPr="00F76F4B">
              <w:rPr>
                <w:rFonts w:asciiTheme="minorHAnsi" w:hAnsiTheme="minorHAnsi" w:cstheme="minorHAnsi"/>
                <w:sz w:val="18"/>
                <w:szCs w:val="18"/>
              </w:rPr>
              <w:t>)</w:t>
            </w:r>
          </w:p>
        </w:tc>
        <w:tc>
          <w:tcPr>
            <w:tcW w:w="2031" w:type="dxa"/>
          </w:tcPr>
          <w:p w:rsidRPr="00F76F4B" w:rsidR="00FD284C" w:rsidP="00FD284C" w:rsidRDefault="00FD284C" w14:paraId="25483757" w14:textId="2DBF92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4,167</w:t>
            </w:r>
          </w:p>
        </w:tc>
        <w:tc>
          <w:tcPr>
            <w:tcW w:w="2306" w:type="dxa"/>
          </w:tcPr>
          <w:p w:rsidRPr="00F76F4B" w:rsidR="00FD284C" w:rsidP="00FD284C" w:rsidRDefault="00FD284C" w14:paraId="5E7FD959" w14:textId="296AD6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$8.73 </w:t>
            </w:r>
          </w:p>
        </w:tc>
        <w:tc>
          <w:tcPr>
            <w:tcW w:w="2121" w:type="dxa"/>
          </w:tcPr>
          <w:p w:rsidRPr="00F76F4B" w:rsidR="00FD284C" w:rsidP="00FD284C" w:rsidRDefault="00FD284C" w14:paraId="69C215E1" w14:textId="02C35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$36,375 </w:t>
            </w:r>
          </w:p>
        </w:tc>
      </w:tr>
      <w:tr w:rsidRPr="00F76F4B" w:rsidR="00FD284C" w:rsidTr="003A19B1" w14:paraId="149C381A" w14:textId="77777777">
        <w:trPr>
          <w:trHeight w:val="236"/>
        </w:trPr>
        <w:tc>
          <w:tcPr>
            <w:tcW w:w="2140" w:type="dxa"/>
          </w:tcPr>
          <w:p w:rsidRPr="00F76F4B" w:rsidR="00FD284C" w:rsidP="00FD284C" w:rsidRDefault="00FD284C" w14:paraId="526E92A2" w14:textId="4CA35F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2022 Student Cohort (Attachment 1</w:t>
            </w:r>
            <w:r w:rsidR="00C12263">
              <w:rPr>
                <w:rFonts w:asciiTheme="minorHAnsi" w:hAnsiTheme="minorHAnsi" w:cstheme="minorHAnsi"/>
                <w:sz w:val="18"/>
                <w:szCs w:val="18"/>
              </w:rPr>
              <w:t>3</w:t>
            </w:r>
            <w:r w:rsidRPr="00F76F4B">
              <w:rPr>
                <w:rFonts w:asciiTheme="minorHAnsi" w:hAnsiTheme="minorHAnsi" w:cstheme="minorHAnsi"/>
                <w:sz w:val="18"/>
                <w:szCs w:val="18"/>
              </w:rPr>
              <w:t>)</w:t>
            </w:r>
          </w:p>
        </w:tc>
        <w:tc>
          <w:tcPr>
            <w:tcW w:w="2031" w:type="dxa"/>
          </w:tcPr>
          <w:p w:rsidRPr="00F76F4B" w:rsidR="00FD284C" w:rsidP="00FD284C" w:rsidRDefault="00FD284C" w14:paraId="76FC2478" w14:textId="33A1D5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2,083</w:t>
            </w:r>
          </w:p>
        </w:tc>
        <w:tc>
          <w:tcPr>
            <w:tcW w:w="2306" w:type="dxa"/>
          </w:tcPr>
          <w:p w:rsidRPr="00F76F4B" w:rsidR="00FD284C" w:rsidP="00FD284C" w:rsidRDefault="00FD284C" w14:paraId="421004B5" w14:textId="628B61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$8.73 </w:t>
            </w:r>
          </w:p>
        </w:tc>
        <w:tc>
          <w:tcPr>
            <w:tcW w:w="2121" w:type="dxa"/>
          </w:tcPr>
          <w:p w:rsidRPr="00F76F4B" w:rsidR="00FD284C" w:rsidP="00FD284C" w:rsidRDefault="00FD284C" w14:paraId="7B9169FE" w14:textId="18361F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$18,188 </w:t>
            </w:r>
          </w:p>
        </w:tc>
      </w:tr>
      <w:tr w:rsidRPr="00F76F4B" w:rsidR="00FD284C" w:rsidTr="003A19B1" w14:paraId="023F6C7C" w14:textId="77777777">
        <w:trPr>
          <w:trHeight w:val="236"/>
        </w:trPr>
        <w:tc>
          <w:tcPr>
            <w:tcW w:w="2140" w:type="dxa"/>
          </w:tcPr>
          <w:p w:rsidRPr="00F76F4B" w:rsidR="00FD284C" w:rsidP="00FD284C" w:rsidRDefault="00FD284C" w14:paraId="04395523" w14:textId="3299D1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BUILD and Non-BUILD Faculty  (Attachment 1</w:t>
            </w:r>
            <w:r w:rsidR="00C12263">
              <w:rPr>
                <w:rFonts w:asciiTheme="minorHAnsi" w:hAnsiTheme="minorHAnsi" w:cstheme="minorHAnsi"/>
                <w:sz w:val="18"/>
                <w:szCs w:val="18"/>
              </w:rPr>
              <w:t>5</w:t>
            </w:r>
            <w:r w:rsidRPr="00F76F4B">
              <w:rPr>
                <w:rFonts w:asciiTheme="minorHAnsi" w:hAnsiTheme="minorHAnsi" w:cstheme="minorHAnsi"/>
                <w:sz w:val="18"/>
                <w:szCs w:val="18"/>
              </w:rPr>
              <w:t>)</w:t>
            </w:r>
          </w:p>
        </w:tc>
        <w:tc>
          <w:tcPr>
            <w:tcW w:w="2031" w:type="dxa"/>
          </w:tcPr>
          <w:p w:rsidRPr="00F76F4B" w:rsidR="00FD284C" w:rsidP="00FD284C" w:rsidRDefault="00FD284C" w14:paraId="2683D67D" w14:textId="425FF5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208</w:t>
            </w:r>
          </w:p>
        </w:tc>
        <w:tc>
          <w:tcPr>
            <w:tcW w:w="2306" w:type="dxa"/>
          </w:tcPr>
          <w:p w:rsidRPr="00F76F4B" w:rsidR="00FD284C" w:rsidP="00FD284C" w:rsidRDefault="00FD284C" w14:paraId="2AC84AC9" w14:textId="765095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$64.34 </w:t>
            </w:r>
          </w:p>
        </w:tc>
        <w:tc>
          <w:tcPr>
            <w:tcW w:w="2121" w:type="dxa"/>
          </w:tcPr>
          <w:p w:rsidRPr="00F76F4B" w:rsidR="00FD284C" w:rsidP="00FD284C" w:rsidRDefault="00FD284C" w14:paraId="60E9BE89" w14:textId="0C90D0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$13,404 </w:t>
            </w:r>
          </w:p>
        </w:tc>
      </w:tr>
      <w:tr w:rsidRPr="00F76F4B" w:rsidR="00FD284C" w:rsidTr="003A19B1" w14:paraId="119FA900" w14:textId="77777777">
        <w:trPr>
          <w:trHeight w:val="236"/>
        </w:trPr>
        <w:tc>
          <w:tcPr>
            <w:tcW w:w="2140" w:type="dxa"/>
          </w:tcPr>
          <w:p w:rsidRPr="00F76F4B" w:rsidR="00FD284C" w:rsidP="00FD284C" w:rsidRDefault="00FD284C" w14:paraId="0C9EBD8A" w14:textId="51F8A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BUILD and Non-BUILD Faculty (Attachment 1</w:t>
            </w:r>
            <w:r w:rsidR="00C12263">
              <w:rPr>
                <w:rFonts w:asciiTheme="minorHAnsi" w:hAnsiTheme="minorHAnsi" w:cstheme="minorHAnsi"/>
                <w:sz w:val="18"/>
                <w:szCs w:val="18"/>
              </w:rPr>
              <w:t>6</w:t>
            </w:r>
            <w:r w:rsidRPr="00F76F4B">
              <w:rPr>
                <w:rFonts w:asciiTheme="minorHAnsi" w:hAnsiTheme="minorHAnsi" w:cstheme="minorHAnsi"/>
                <w:sz w:val="18"/>
                <w:szCs w:val="18"/>
              </w:rPr>
              <w:t>)</w:t>
            </w:r>
          </w:p>
        </w:tc>
        <w:tc>
          <w:tcPr>
            <w:tcW w:w="2031" w:type="dxa"/>
          </w:tcPr>
          <w:p w:rsidRPr="00F76F4B" w:rsidR="00FD284C" w:rsidP="00FD284C" w:rsidRDefault="00FD284C" w14:paraId="40DA1985" w14:textId="2088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417</w:t>
            </w:r>
          </w:p>
        </w:tc>
        <w:tc>
          <w:tcPr>
            <w:tcW w:w="2306" w:type="dxa"/>
          </w:tcPr>
          <w:p w:rsidRPr="00F76F4B" w:rsidR="00FD284C" w:rsidP="00FD284C" w:rsidRDefault="00FD284C" w14:paraId="0A11DA9D" w14:textId="29EA30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$64.34 </w:t>
            </w:r>
          </w:p>
        </w:tc>
        <w:tc>
          <w:tcPr>
            <w:tcW w:w="2121" w:type="dxa"/>
          </w:tcPr>
          <w:p w:rsidRPr="00F76F4B" w:rsidR="00FD284C" w:rsidP="00FD284C" w:rsidRDefault="00FD284C" w14:paraId="69FC5D99" w14:textId="18489B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$26,808 </w:t>
            </w:r>
          </w:p>
        </w:tc>
      </w:tr>
      <w:tr w:rsidRPr="00F76F4B" w:rsidR="00FD284C" w:rsidTr="003A19B1" w14:paraId="19CD65A1" w14:textId="77777777">
        <w:trPr>
          <w:trHeight w:val="236"/>
        </w:trPr>
        <w:tc>
          <w:tcPr>
            <w:tcW w:w="2140" w:type="dxa"/>
          </w:tcPr>
          <w:p w:rsidRPr="00F76F4B" w:rsidR="00FD284C" w:rsidP="00FD284C" w:rsidRDefault="003A19B1" w14:paraId="0A09F559" w14:textId="4B1FCD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Personnel and Administrators at BUILD Institutions</w:t>
            </w:r>
            <w:r w:rsidRPr="00F76F4B" w:rsidR="00FD284C">
              <w:rPr>
                <w:rFonts w:asciiTheme="minorHAnsi" w:hAnsiTheme="minorHAnsi" w:cstheme="minorHAnsi"/>
                <w:sz w:val="18"/>
                <w:szCs w:val="18"/>
              </w:rPr>
              <w:t xml:space="preserve"> (Attachment </w:t>
            </w:r>
            <w:r w:rsidR="00C12263">
              <w:rPr>
                <w:rFonts w:asciiTheme="minorHAnsi" w:hAnsiTheme="minorHAnsi" w:cstheme="minorHAnsi"/>
                <w:sz w:val="18"/>
                <w:szCs w:val="18"/>
              </w:rPr>
              <w:t>19</w:t>
            </w:r>
            <w:r w:rsidRPr="00F76F4B" w:rsidR="00FD284C">
              <w:rPr>
                <w:rFonts w:asciiTheme="minorHAnsi" w:hAnsiTheme="minorHAnsi" w:cstheme="minorHAnsi"/>
                <w:sz w:val="18"/>
                <w:szCs w:val="18"/>
              </w:rPr>
              <w:t>)</w:t>
            </w:r>
          </w:p>
        </w:tc>
        <w:tc>
          <w:tcPr>
            <w:tcW w:w="2031" w:type="dxa"/>
          </w:tcPr>
          <w:p w:rsidRPr="00F76F4B" w:rsidR="00FD284C" w:rsidP="00FD284C" w:rsidRDefault="00FD284C" w14:paraId="3B161526" w14:textId="2F860B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480</w:t>
            </w:r>
          </w:p>
        </w:tc>
        <w:tc>
          <w:tcPr>
            <w:tcW w:w="2306" w:type="dxa"/>
          </w:tcPr>
          <w:p w:rsidRPr="00F76F4B" w:rsidR="00FD284C" w:rsidP="00FD284C" w:rsidRDefault="00FD284C" w14:paraId="59362706" w14:textId="447CDB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$64.34 </w:t>
            </w:r>
          </w:p>
        </w:tc>
        <w:tc>
          <w:tcPr>
            <w:tcW w:w="2121" w:type="dxa"/>
          </w:tcPr>
          <w:p w:rsidRPr="00F76F4B" w:rsidR="00FD284C" w:rsidP="00FD284C" w:rsidRDefault="00FD284C" w14:paraId="0D83F151" w14:textId="050828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$30,883 </w:t>
            </w:r>
          </w:p>
        </w:tc>
      </w:tr>
      <w:tr w:rsidRPr="00F76F4B" w:rsidR="00FD284C" w:rsidTr="003A19B1" w14:paraId="2ADAB3F4" w14:textId="77777777">
        <w:trPr>
          <w:trHeight w:val="236"/>
        </w:trPr>
        <w:tc>
          <w:tcPr>
            <w:tcW w:w="2140" w:type="dxa"/>
          </w:tcPr>
          <w:p w:rsidRPr="00F76F4B" w:rsidR="00FD284C" w:rsidP="00FD284C" w:rsidRDefault="00FD284C" w14:paraId="1AA5A368" w14:textId="1E2E15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BUILD Students, Faculty, and Institution (Attachment </w:t>
            </w:r>
            <w:r w:rsidR="00C12263">
              <w:rPr>
                <w:rFonts w:asciiTheme="minorHAnsi" w:hAnsiTheme="minorHAnsi" w:cstheme="minorHAnsi"/>
                <w:sz w:val="18"/>
                <w:szCs w:val="18"/>
              </w:rPr>
              <w:t>18</w:t>
            </w:r>
            <w:r w:rsidRPr="00F76F4B">
              <w:rPr>
                <w:rFonts w:asciiTheme="minorHAnsi" w:hAnsiTheme="minorHAnsi" w:cstheme="minorHAnsi"/>
                <w:sz w:val="18"/>
                <w:szCs w:val="18"/>
              </w:rPr>
              <w:t>)</w:t>
            </w:r>
          </w:p>
        </w:tc>
        <w:tc>
          <w:tcPr>
            <w:tcW w:w="2031" w:type="dxa"/>
          </w:tcPr>
          <w:p w:rsidRPr="00F76F4B" w:rsidR="00FD284C" w:rsidP="00FD284C" w:rsidRDefault="00FD284C" w14:paraId="5F7A88B9" w14:textId="788186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2,880</w:t>
            </w:r>
          </w:p>
        </w:tc>
        <w:tc>
          <w:tcPr>
            <w:tcW w:w="2306" w:type="dxa"/>
          </w:tcPr>
          <w:p w:rsidRPr="00F76F4B" w:rsidR="00FD284C" w:rsidP="00FD284C" w:rsidRDefault="00FD284C" w14:paraId="7ADC0708" w14:textId="1C0AA0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$64.34 </w:t>
            </w:r>
          </w:p>
        </w:tc>
        <w:tc>
          <w:tcPr>
            <w:tcW w:w="2121" w:type="dxa"/>
          </w:tcPr>
          <w:p w:rsidRPr="00F76F4B" w:rsidR="00FD284C" w:rsidP="00FD284C" w:rsidRDefault="00FD284C" w14:paraId="6606B856" w14:textId="5EBE13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$185,299 </w:t>
            </w:r>
          </w:p>
        </w:tc>
      </w:tr>
      <w:tr w:rsidRPr="00F76F4B" w:rsidR="00FD284C" w:rsidTr="003A19B1" w14:paraId="528CC7BD" w14:textId="77777777">
        <w:trPr>
          <w:trHeight w:val="236"/>
        </w:trPr>
        <w:tc>
          <w:tcPr>
            <w:tcW w:w="2140" w:type="dxa"/>
          </w:tcPr>
          <w:p w:rsidRPr="00F76F4B" w:rsidR="00FD284C" w:rsidP="00FD284C" w:rsidRDefault="00FD284C" w14:paraId="7DC1ABCC" w14:textId="6906A6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BUILD Students, Faculty, and Institution (Attachment </w:t>
            </w:r>
            <w:r w:rsidR="00C12263">
              <w:rPr>
                <w:rFonts w:asciiTheme="minorHAnsi" w:hAnsiTheme="minorHAnsi" w:cstheme="minorHAnsi"/>
                <w:sz w:val="18"/>
                <w:szCs w:val="18"/>
              </w:rPr>
              <w:t>18</w:t>
            </w:r>
            <w:r w:rsidRPr="00F76F4B">
              <w:rPr>
                <w:rFonts w:asciiTheme="minorHAnsi" w:hAnsiTheme="minorHAnsi" w:cstheme="minorHAnsi"/>
                <w:sz w:val="18"/>
                <w:szCs w:val="18"/>
              </w:rPr>
              <w:t>)</w:t>
            </w:r>
          </w:p>
        </w:tc>
        <w:tc>
          <w:tcPr>
            <w:tcW w:w="2031" w:type="dxa"/>
          </w:tcPr>
          <w:p w:rsidRPr="00F76F4B" w:rsidR="00FD284C" w:rsidP="00FD284C" w:rsidRDefault="00FD284C" w14:paraId="09E89DFC" w14:textId="4FF045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960</w:t>
            </w:r>
          </w:p>
        </w:tc>
        <w:tc>
          <w:tcPr>
            <w:tcW w:w="2306" w:type="dxa"/>
          </w:tcPr>
          <w:p w:rsidRPr="00F76F4B" w:rsidR="00FD284C" w:rsidP="00FD284C" w:rsidRDefault="00FD284C" w14:paraId="3C017D2D" w14:textId="4FA9F4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$64.34 </w:t>
            </w:r>
          </w:p>
        </w:tc>
        <w:tc>
          <w:tcPr>
            <w:tcW w:w="2121" w:type="dxa"/>
          </w:tcPr>
          <w:p w:rsidRPr="00F76F4B" w:rsidR="00FD284C" w:rsidP="00FD284C" w:rsidRDefault="00FD284C" w14:paraId="202BFCC5" w14:textId="4609C2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$61,766 </w:t>
            </w:r>
          </w:p>
        </w:tc>
      </w:tr>
      <w:tr w:rsidRPr="00F76F4B" w:rsidR="00FD284C" w:rsidTr="003A19B1" w14:paraId="3BBF40EA" w14:textId="77777777">
        <w:trPr>
          <w:trHeight w:val="236"/>
        </w:trPr>
        <w:tc>
          <w:tcPr>
            <w:tcW w:w="2140" w:type="dxa"/>
          </w:tcPr>
          <w:p w:rsidRPr="00F76F4B" w:rsidR="00FD284C" w:rsidP="00FD284C" w:rsidRDefault="00FD284C" w14:paraId="640197D3" w14:textId="3F34E87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Undergraduate </w:t>
            </w:r>
            <w:r w:rsidRPr="00F76F4B" w:rsidR="003A19B1">
              <w:rPr>
                <w:rFonts w:asciiTheme="minorHAnsi" w:hAnsiTheme="minorHAnsi" w:cstheme="minorHAnsi"/>
                <w:sz w:val="18"/>
                <w:szCs w:val="18"/>
              </w:rPr>
              <w:t xml:space="preserve">BUILD </w:t>
            </w:r>
            <w:r w:rsidRPr="00F76F4B">
              <w:rPr>
                <w:rFonts w:asciiTheme="minorHAnsi" w:hAnsiTheme="minorHAnsi" w:cstheme="minorHAnsi"/>
                <w:sz w:val="18"/>
                <w:szCs w:val="18"/>
              </w:rPr>
              <w:t>Students</w:t>
            </w:r>
            <w:r w:rsidRPr="00F76F4B" w:rsidR="003A19B1">
              <w:rPr>
                <w:rFonts w:asciiTheme="minorHAnsi" w:hAnsiTheme="minorHAnsi" w:cstheme="minorHAnsi"/>
                <w:sz w:val="18"/>
                <w:szCs w:val="18"/>
              </w:rPr>
              <w:t xml:space="preserve"> (Attachment </w:t>
            </w:r>
            <w:r w:rsidR="00C12263">
              <w:rPr>
                <w:rFonts w:asciiTheme="minorHAnsi" w:hAnsiTheme="minorHAnsi" w:cstheme="minorHAnsi"/>
                <w:sz w:val="18"/>
                <w:szCs w:val="18"/>
              </w:rPr>
              <w:t>18</w:t>
            </w:r>
            <w:r w:rsidRPr="00F76F4B" w:rsidR="003A19B1">
              <w:rPr>
                <w:rFonts w:asciiTheme="minorHAnsi" w:hAnsiTheme="minorHAnsi" w:cstheme="minorHAnsi"/>
                <w:sz w:val="18"/>
                <w:szCs w:val="18"/>
              </w:rPr>
              <w:t>)</w:t>
            </w:r>
          </w:p>
        </w:tc>
        <w:tc>
          <w:tcPr>
            <w:tcW w:w="2031" w:type="dxa"/>
          </w:tcPr>
          <w:p w:rsidRPr="00F76F4B" w:rsidR="00FD284C" w:rsidP="00FD284C" w:rsidRDefault="00FD284C" w14:paraId="2C2A54EB" w14:textId="7316BF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255</w:t>
            </w:r>
          </w:p>
        </w:tc>
        <w:tc>
          <w:tcPr>
            <w:tcW w:w="2306" w:type="dxa"/>
          </w:tcPr>
          <w:p w:rsidRPr="00F76F4B" w:rsidR="00FD284C" w:rsidP="00FD284C" w:rsidRDefault="00FD284C" w14:paraId="6F0877FC" w14:textId="4ACBD2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$8.73 </w:t>
            </w:r>
          </w:p>
        </w:tc>
        <w:tc>
          <w:tcPr>
            <w:tcW w:w="2121" w:type="dxa"/>
          </w:tcPr>
          <w:p w:rsidRPr="00F76F4B" w:rsidR="00FD284C" w:rsidP="00FD284C" w:rsidRDefault="00FD284C" w14:paraId="32EFFCBA" w14:textId="0856B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$2,226 </w:t>
            </w:r>
          </w:p>
        </w:tc>
      </w:tr>
      <w:tr w:rsidRPr="00F76F4B" w:rsidR="00FD284C" w:rsidTr="003A19B1" w14:paraId="4DB22206" w14:textId="77777777">
        <w:trPr>
          <w:trHeight w:val="236"/>
        </w:trPr>
        <w:tc>
          <w:tcPr>
            <w:tcW w:w="2140" w:type="dxa"/>
          </w:tcPr>
          <w:p w:rsidRPr="00F76F4B" w:rsidR="00FD284C" w:rsidP="00FD284C" w:rsidRDefault="00FD284C" w14:paraId="72EB1CB7" w14:textId="6BC781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Graduate/post-doctoral </w:t>
            </w:r>
            <w:r w:rsidRPr="00F76F4B" w:rsidR="003A19B1">
              <w:rPr>
                <w:rFonts w:asciiTheme="minorHAnsi" w:hAnsiTheme="minorHAnsi" w:cstheme="minorHAnsi"/>
                <w:sz w:val="18"/>
                <w:szCs w:val="18"/>
              </w:rPr>
              <w:t xml:space="preserve">BUILD </w:t>
            </w:r>
            <w:r w:rsidRPr="00F76F4B">
              <w:rPr>
                <w:rFonts w:asciiTheme="minorHAnsi" w:hAnsiTheme="minorHAnsi" w:cstheme="minorHAnsi"/>
                <w:sz w:val="18"/>
                <w:szCs w:val="18"/>
              </w:rPr>
              <w:t>students</w:t>
            </w:r>
            <w:r w:rsidRPr="00F76F4B" w:rsidR="003A19B1">
              <w:rPr>
                <w:rFonts w:asciiTheme="minorHAnsi" w:hAnsiTheme="minorHAnsi" w:cstheme="minorHAnsi"/>
                <w:sz w:val="18"/>
                <w:szCs w:val="18"/>
              </w:rPr>
              <w:t xml:space="preserve"> (Attachment </w:t>
            </w:r>
            <w:r w:rsidR="00C12263">
              <w:rPr>
                <w:rFonts w:asciiTheme="minorHAnsi" w:hAnsiTheme="minorHAnsi" w:cstheme="minorHAnsi"/>
                <w:sz w:val="18"/>
                <w:szCs w:val="18"/>
              </w:rPr>
              <w:t>18</w:t>
            </w:r>
            <w:r w:rsidRPr="00F76F4B" w:rsidR="003A19B1">
              <w:rPr>
                <w:rFonts w:asciiTheme="minorHAnsi" w:hAnsiTheme="minorHAnsi" w:cstheme="minorHAnsi"/>
                <w:sz w:val="18"/>
                <w:szCs w:val="18"/>
              </w:rPr>
              <w:t>)</w:t>
            </w:r>
          </w:p>
        </w:tc>
        <w:tc>
          <w:tcPr>
            <w:tcW w:w="2031" w:type="dxa"/>
          </w:tcPr>
          <w:p w:rsidRPr="00F76F4B" w:rsidR="00FD284C" w:rsidP="00FD284C" w:rsidRDefault="00FD284C" w14:paraId="40B98DF8" w14:textId="5A2173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105</w:t>
            </w:r>
          </w:p>
        </w:tc>
        <w:tc>
          <w:tcPr>
            <w:tcW w:w="2306" w:type="dxa"/>
          </w:tcPr>
          <w:p w:rsidRPr="00F76F4B" w:rsidR="00FD284C" w:rsidP="00FD284C" w:rsidRDefault="00FD284C" w14:paraId="298835BE" w14:textId="5054CB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$17.40 </w:t>
            </w:r>
          </w:p>
        </w:tc>
        <w:tc>
          <w:tcPr>
            <w:tcW w:w="2121" w:type="dxa"/>
          </w:tcPr>
          <w:p w:rsidRPr="00F76F4B" w:rsidR="00FD284C" w:rsidP="00FD284C" w:rsidRDefault="00FD284C" w14:paraId="69827AE9" w14:textId="60061C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$1,827 </w:t>
            </w:r>
          </w:p>
        </w:tc>
      </w:tr>
      <w:tr w:rsidRPr="00F76F4B" w:rsidR="00FD284C" w:rsidTr="003A19B1" w14:paraId="72D7C26E" w14:textId="77777777">
        <w:trPr>
          <w:trHeight w:val="236"/>
        </w:trPr>
        <w:tc>
          <w:tcPr>
            <w:tcW w:w="2140" w:type="dxa"/>
          </w:tcPr>
          <w:p w:rsidRPr="00F76F4B" w:rsidR="00FD284C" w:rsidP="00FD284C" w:rsidRDefault="003A19B1" w14:paraId="5DFFB040" w14:textId="5FCFAF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BUILD </w:t>
            </w:r>
            <w:r w:rsidRPr="00F76F4B" w:rsidR="00FD284C">
              <w:rPr>
                <w:rFonts w:asciiTheme="minorHAnsi" w:hAnsiTheme="minorHAnsi" w:cstheme="minorHAnsi"/>
                <w:sz w:val="18"/>
                <w:szCs w:val="18"/>
              </w:rPr>
              <w:t>PI’s, Program Managers/Directors, &amp; Faculty</w:t>
            </w:r>
            <w:r w:rsidRPr="00F76F4B">
              <w:rPr>
                <w:rFonts w:asciiTheme="minorHAnsi" w:hAnsiTheme="minorHAnsi" w:cstheme="minorHAnsi"/>
                <w:sz w:val="18"/>
                <w:szCs w:val="18"/>
              </w:rPr>
              <w:t xml:space="preserve"> (Attachment </w:t>
            </w:r>
            <w:r w:rsidR="00C12263">
              <w:rPr>
                <w:rFonts w:asciiTheme="minorHAnsi" w:hAnsiTheme="minorHAnsi" w:cstheme="minorHAnsi"/>
                <w:sz w:val="18"/>
                <w:szCs w:val="18"/>
              </w:rPr>
              <w:t>18</w:t>
            </w:r>
            <w:r w:rsidRPr="00F76F4B">
              <w:rPr>
                <w:rFonts w:asciiTheme="minorHAnsi" w:hAnsiTheme="minorHAnsi" w:cstheme="minorHAnsi"/>
                <w:sz w:val="18"/>
                <w:szCs w:val="18"/>
              </w:rPr>
              <w:t>)</w:t>
            </w:r>
          </w:p>
        </w:tc>
        <w:tc>
          <w:tcPr>
            <w:tcW w:w="2031" w:type="dxa"/>
          </w:tcPr>
          <w:p w:rsidRPr="00F76F4B" w:rsidR="00FD284C" w:rsidP="00FD284C" w:rsidRDefault="00FD284C" w14:paraId="3519764B" w14:textId="06D5B1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243</w:t>
            </w:r>
          </w:p>
        </w:tc>
        <w:tc>
          <w:tcPr>
            <w:tcW w:w="2306" w:type="dxa"/>
          </w:tcPr>
          <w:p w:rsidRPr="00F76F4B" w:rsidR="00FD284C" w:rsidP="00FD284C" w:rsidRDefault="00FD284C" w14:paraId="2CDBFC6E" w14:textId="4F195E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$64.34 </w:t>
            </w:r>
          </w:p>
        </w:tc>
        <w:tc>
          <w:tcPr>
            <w:tcW w:w="2121" w:type="dxa"/>
          </w:tcPr>
          <w:p w:rsidRPr="00F76F4B" w:rsidR="00FD284C" w:rsidP="00FD284C" w:rsidRDefault="00FD284C" w14:paraId="0E6FD1FE" w14:textId="1B5C3A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$15,635 </w:t>
            </w:r>
          </w:p>
        </w:tc>
      </w:tr>
      <w:tr w:rsidRPr="00F76F4B" w:rsidR="00FD284C" w:rsidTr="003A19B1" w14:paraId="44BD6B17" w14:textId="77777777">
        <w:trPr>
          <w:trHeight w:val="236"/>
        </w:trPr>
        <w:tc>
          <w:tcPr>
            <w:tcW w:w="2140" w:type="dxa"/>
          </w:tcPr>
          <w:p w:rsidRPr="00F76F4B" w:rsidR="00FD284C" w:rsidP="00FD284C" w:rsidRDefault="003A19B1" w14:paraId="3A31F46B" w14:textId="6B0788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NRMN </w:t>
            </w:r>
            <w:r w:rsidRPr="00F76F4B" w:rsidR="00FD284C">
              <w:rPr>
                <w:rFonts w:asciiTheme="minorHAnsi" w:hAnsiTheme="minorHAnsi" w:cstheme="minorHAnsi"/>
                <w:sz w:val="18"/>
                <w:szCs w:val="18"/>
              </w:rPr>
              <w:t>2020 mentee cohort</w:t>
            </w:r>
            <w:r w:rsidRPr="00F76F4B">
              <w:rPr>
                <w:rFonts w:asciiTheme="minorHAnsi" w:hAnsiTheme="minorHAnsi" w:cstheme="minorHAnsi"/>
                <w:sz w:val="18"/>
                <w:szCs w:val="18"/>
              </w:rPr>
              <w:t xml:space="preserve"> (Attachment 17)</w:t>
            </w:r>
          </w:p>
        </w:tc>
        <w:tc>
          <w:tcPr>
            <w:tcW w:w="2031" w:type="dxa"/>
          </w:tcPr>
          <w:p w:rsidRPr="00F76F4B" w:rsidR="00FD284C" w:rsidP="00FD284C" w:rsidRDefault="00FD284C" w14:paraId="297A7A20" w14:textId="01506B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color w:val="000000"/>
                <w:sz w:val="18"/>
                <w:szCs w:val="18"/>
              </w:rPr>
              <w:t>625</w:t>
            </w:r>
          </w:p>
        </w:tc>
        <w:tc>
          <w:tcPr>
            <w:tcW w:w="2306" w:type="dxa"/>
          </w:tcPr>
          <w:p w:rsidRPr="00F76F4B" w:rsidR="00FD284C" w:rsidP="00FD284C" w:rsidRDefault="00FD284C" w14:paraId="5AABDB84" w14:textId="052DF61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color w:val="000000"/>
                <w:sz w:val="18"/>
                <w:szCs w:val="18"/>
              </w:rPr>
              <w:t xml:space="preserve">$8.73 </w:t>
            </w:r>
          </w:p>
        </w:tc>
        <w:tc>
          <w:tcPr>
            <w:tcW w:w="2121" w:type="dxa"/>
          </w:tcPr>
          <w:p w:rsidRPr="00F76F4B" w:rsidR="00FD284C" w:rsidP="00FD284C" w:rsidRDefault="00FD284C" w14:paraId="0E113225" w14:textId="4F45E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color w:val="000000"/>
                <w:sz w:val="18"/>
                <w:szCs w:val="18"/>
              </w:rPr>
              <w:t xml:space="preserve">$5,456 </w:t>
            </w:r>
          </w:p>
        </w:tc>
      </w:tr>
      <w:tr w:rsidRPr="00F76F4B" w:rsidR="00FD284C" w:rsidTr="003A19B1" w14:paraId="338967B1" w14:textId="77777777">
        <w:trPr>
          <w:trHeight w:val="236"/>
        </w:trPr>
        <w:tc>
          <w:tcPr>
            <w:tcW w:w="2140" w:type="dxa"/>
          </w:tcPr>
          <w:p w:rsidRPr="00F76F4B" w:rsidR="00FD284C" w:rsidP="00FD284C" w:rsidRDefault="003A19B1" w14:paraId="1C343B75" w14:textId="5A552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NRMN </w:t>
            </w:r>
            <w:r w:rsidRPr="00F76F4B" w:rsidR="00FD284C">
              <w:rPr>
                <w:rFonts w:asciiTheme="minorHAnsi" w:hAnsiTheme="minorHAnsi" w:cstheme="minorHAnsi"/>
                <w:sz w:val="18"/>
                <w:szCs w:val="18"/>
              </w:rPr>
              <w:t>2021 mentee cohort</w:t>
            </w:r>
            <w:r w:rsidRPr="00F76F4B">
              <w:rPr>
                <w:rFonts w:asciiTheme="minorHAnsi" w:hAnsiTheme="minorHAnsi" w:cstheme="minorHAnsi"/>
                <w:sz w:val="18"/>
                <w:szCs w:val="18"/>
              </w:rPr>
              <w:t xml:space="preserve"> (Attachment 17)</w:t>
            </w:r>
          </w:p>
        </w:tc>
        <w:tc>
          <w:tcPr>
            <w:tcW w:w="2031" w:type="dxa"/>
          </w:tcPr>
          <w:p w:rsidRPr="00F76F4B" w:rsidR="00FD284C" w:rsidP="00FD284C" w:rsidRDefault="00FD284C" w14:paraId="1AD9B2D0" w14:textId="11C7E3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625</w:t>
            </w:r>
          </w:p>
        </w:tc>
        <w:tc>
          <w:tcPr>
            <w:tcW w:w="2306" w:type="dxa"/>
          </w:tcPr>
          <w:p w:rsidRPr="00F76F4B" w:rsidR="00FD284C" w:rsidP="00FD284C" w:rsidRDefault="00FD284C" w14:paraId="2CAD9358" w14:textId="3C601A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$8.73 </w:t>
            </w:r>
          </w:p>
        </w:tc>
        <w:tc>
          <w:tcPr>
            <w:tcW w:w="2121" w:type="dxa"/>
          </w:tcPr>
          <w:p w:rsidRPr="00F76F4B" w:rsidR="00FD284C" w:rsidP="00FD284C" w:rsidRDefault="00FD284C" w14:paraId="19FA5486" w14:textId="4DF62F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$5,456 </w:t>
            </w:r>
          </w:p>
        </w:tc>
      </w:tr>
      <w:tr w:rsidRPr="00F76F4B" w:rsidR="00FD284C" w:rsidTr="003A19B1" w14:paraId="0219616F" w14:textId="77777777">
        <w:trPr>
          <w:trHeight w:val="236"/>
        </w:trPr>
        <w:tc>
          <w:tcPr>
            <w:tcW w:w="2140" w:type="dxa"/>
          </w:tcPr>
          <w:p w:rsidRPr="00F76F4B" w:rsidR="00FD284C" w:rsidP="00FD284C" w:rsidRDefault="003A19B1" w14:paraId="0EF1170B" w14:textId="15EF67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NRMN </w:t>
            </w:r>
            <w:r w:rsidRPr="00F76F4B" w:rsidR="00FD284C">
              <w:rPr>
                <w:rFonts w:asciiTheme="minorHAnsi" w:hAnsiTheme="minorHAnsi" w:cstheme="minorHAnsi"/>
                <w:sz w:val="18"/>
                <w:szCs w:val="18"/>
              </w:rPr>
              <w:t>2022 mentee cohort</w:t>
            </w:r>
            <w:r w:rsidRPr="00F76F4B">
              <w:rPr>
                <w:rFonts w:asciiTheme="minorHAnsi" w:hAnsiTheme="minorHAnsi" w:cstheme="minorHAnsi"/>
                <w:sz w:val="18"/>
                <w:szCs w:val="18"/>
              </w:rPr>
              <w:t xml:space="preserve"> (Attachment 17)</w:t>
            </w:r>
          </w:p>
        </w:tc>
        <w:tc>
          <w:tcPr>
            <w:tcW w:w="2031" w:type="dxa"/>
          </w:tcPr>
          <w:p w:rsidRPr="00F76F4B" w:rsidR="00FD284C" w:rsidP="00FD284C" w:rsidRDefault="00FD284C" w14:paraId="520DAB68" w14:textId="0F7D4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417</w:t>
            </w:r>
          </w:p>
        </w:tc>
        <w:tc>
          <w:tcPr>
            <w:tcW w:w="2306" w:type="dxa"/>
          </w:tcPr>
          <w:p w:rsidRPr="00F76F4B" w:rsidR="00FD284C" w:rsidP="00FD284C" w:rsidRDefault="00FD284C" w14:paraId="71758746" w14:textId="53DA3C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$8.73 </w:t>
            </w:r>
          </w:p>
        </w:tc>
        <w:tc>
          <w:tcPr>
            <w:tcW w:w="2121" w:type="dxa"/>
          </w:tcPr>
          <w:p w:rsidRPr="00F76F4B" w:rsidR="00FD284C" w:rsidP="00FD284C" w:rsidRDefault="00FD284C" w14:paraId="44D3881C" w14:textId="764B0E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$3,638 </w:t>
            </w:r>
          </w:p>
        </w:tc>
      </w:tr>
      <w:tr w:rsidRPr="00F76F4B" w:rsidR="00FD284C" w:rsidTr="003A19B1" w14:paraId="115E367E" w14:textId="77777777">
        <w:trPr>
          <w:trHeight w:val="236"/>
        </w:trPr>
        <w:tc>
          <w:tcPr>
            <w:tcW w:w="2140" w:type="dxa"/>
          </w:tcPr>
          <w:p w:rsidRPr="00F76F4B" w:rsidR="00FD284C" w:rsidP="00FD284C" w:rsidRDefault="003A19B1" w14:paraId="5B0F6BDC" w14:textId="4A36FD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NRMN </w:t>
            </w:r>
            <w:r w:rsidRPr="00F76F4B" w:rsidR="00FD284C">
              <w:rPr>
                <w:rFonts w:asciiTheme="minorHAnsi" w:hAnsiTheme="minorHAnsi" w:cstheme="minorHAnsi"/>
                <w:sz w:val="18"/>
                <w:szCs w:val="18"/>
              </w:rPr>
              <w:t>2020 mentor cohort</w:t>
            </w:r>
            <w:r w:rsidRPr="00F76F4B">
              <w:rPr>
                <w:rFonts w:asciiTheme="minorHAnsi" w:hAnsiTheme="minorHAnsi" w:cstheme="minorHAnsi"/>
                <w:sz w:val="18"/>
                <w:szCs w:val="18"/>
              </w:rPr>
              <w:t xml:space="preserve"> (Attachment 17)</w:t>
            </w:r>
          </w:p>
        </w:tc>
        <w:tc>
          <w:tcPr>
            <w:tcW w:w="2031" w:type="dxa"/>
          </w:tcPr>
          <w:p w:rsidRPr="00F76F4B" w:rsidR="00FD284C" w:rsidP="00FD284C" w:rsidRDefault="00FD284C" w14:paraId="79A9B64D" w14:textId="20A38E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625</w:t>
            </w:r>
          </w:p>
        </w:tc>
        <w:tc>
          <w:tcPr>
            <w:tcW w:w="2306" w:type="dxa"/>
          </w:tcPr>
          <w:p w:rsidRPr="00F76F4B" w:rsidR="00FD284C" w:rsidP="00FD284C" w:rsidRDefault="00FD284C" w14:paraId="7EC3B0F0" w14:textId="3D9E96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$64.34 </w:t>
            </w:r>
          </w:p>
        </w:tc>
        <w:tc>
          <w:tcPr>
            <w:tcW w:w="2121" w:type="dxa"/>
          </w:tcPr>
          <w:p w:rsidRPr="00F76F4B" w:rsidR="00FD284C" w:rsidP="00FD284C" w:rsidRDefault="00FD284C" w14:paraId="3467E8E4" w14:textId="0810AE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$40,213 </w:t>
            </w:r>
          </w:p>
        </w:tc>
      </w:tr>
      <w:tr w:rsidRPr="00F76F4B" w:rsidR="00FD284C" w:rsidTr="003A19B1" w14:paraId="116DA231" w14:textId="77777777">
        <w:trPr>
          <w:trHeight w:val="236"/>
        </w:trPr>
        <w:tc>
          <w:tcPr>
            <w:tcW w:w="2140" w:type="dxa"/>
          </w:tcPr>
          <w:p w:rsidRPr="00F76F4B" w:rsidR="00FD284C" w:rsidP="00FD284C" w:rsidRDefault="003A19B1" w14:paraId="129657C0" w14:textId="724D4E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lastRenderedPageBreak/>
              <w:t xml:space="preserve">NRMN </w:t>
            </w:r>
            <w:r w:rsidRPr="00F76F4B" w:rsidR="00FD284C">
              <w:rPr>
                <w:rFonts w:asciiTheme="minorHAnsi" w:hAnsiTheme="minorHAnsi" w:cstheme="minorHAnsi"/>
                <w:sz w:val="18"/>
                <w:szCs w:val="18"/>
              </w:rPr>
              <w:t>2021 mentor cohort</w:t>
            </w:r>
            <w:r w:rsidRPr="00F76F4B">
              <w:rPr>
                <w:rFonts w:asciiTheme="minorHAnsi" w:hAnsiTheme="minorHAnsi" w:cstheme="minorHAnsi"/>
                <w:sz w:val="18"/>
                <w:szCs w:val="18"/>
              </w:rPr>
              <w:t xml:space="preserve"> (Attachment 17)</w:t>
            </w:r>
          </w:p>
        </w:tc>
        <w:tc>
          <w:tcPr>
            <w:tcW w:w="2031" w:type="dxa"/>
          </w:tcPr>
          <w:p w:rsidRPr="00F76F4B" w:rsidR="00FD284C" w:rsidP="00FD284C" w:rsidRDefault="00FD284C" w14:paraId="2CB12097" w14:textId="6B7E46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625</w:t>
            </w:r>
          </w:p>
        </w:tc>
        <w:tc>
          <w:tcPr>
            <w:tcW w:w="2306" w:type="dxa"/>
          </w:tcPr>
          <w:p w:rsidRPr="00F76F4B" w:rsidR="00FD284C" w:rsidP="00FD284C" w:rsidRDefault="00FD284C" w14:paraId="223C1168" w14:textId="66556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$64.34 </w:t>
            </w:r>
          </w:p>
        </w:tc>
        <w:tc>
          <w:tcPr>
            <w:tcW w:w="2121" w:type="dxa"/>
          </w:tcPr>
          <w:p w:rsidRPr="00F76F4B" w:rsidR="00FD284C" w:rsidP="00FD284C" w:rsidRDefault="00FD284C" w14:paraId="7574805F" w14:textId="751B80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$40,213 </w:t>
            </w:r>
          </w:p>
        </w:tc>
      </w:tr>
      <w:tr w:rsidRPr="00F76F4B" w:rsidR="00FD284C" w:rsidTr="003A19B1" w14:paraId="2CFDC0BD" w14:textId="77777777">
        <w:trPr>
          <w:trHeight w:val="236"/>
        </w:trPr>
        <w:tc>
          <w:tcPr>
            <w:tcW w:w="2140" w:type="dxa"/>
          </w:tcPr>
          <w:p w:rsidRPr="00F76F4B" w:rsidR="00FD284C" w:rsidP="00FD284C" w:rsidRDefault="003A19B1" w14:paraId="0E4DEA98" w14:textId="71D895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sz w:val="18"/>
                <w:szCs w:val="18"/>
              </w:rPr>
              <w:t xml:space="preserve">NRMN </w:t>
            </w:r>
            <w:r w:rsidRPr="00F76F4B" w:rsidR="00FD284C">
              <w:rPr>
                <w:rFonts w:asciiTheme="minorHAnsi" w:hAnsiTheme="minorHAnsi" w:cstheme="minorHAnsi"/>
                <w:sz w:val="18"/>
                <w:szCs w:val="18"/>
              </w:rPr>
              <w:t>2022 mentor cohort</w:t>
            </w:r>
            <w:r w:rsidRPr="00F76F4B">
              <w:rPr>
                <w:rFonts w:asciiTheme="minorHAnsi" w:hAnsiTheme="minorHAnsi" w:cstheme="minorHAnsi"/>
                <w:sz w:val="18"/>
                <w:szCs w:val="18"/>
              </w:rPr>
              <w:t xml:space="preserve"> (Attachment 17)</w:t>
            </w:r>
          </w:p>
        </w:tc>
        <w:tc>
          <w:tcPr>
            <w:tcW w:w="2031" w:type="dxa"/>
          </w:tcPr>
          <w:p w:rsidRPr="00F76F4B" w:rsidR="00FD284C" w:rsidP="00FD284C" w:rsidRDefault="00FD284C" w14:paraId="5E2D78DF" w14:textId="7BA7C9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417</w:t>
            </w:r>
          </w:p>
        </w:tc>
        <w:tc>
          <w:tcPr>
            <w:tcW w:w="2306" w:type="dxa"/>
          </w:tcPr>
          <w:p w:rsidRPr="00F76F4B" w:rsidR="00FD284C" w:rsidP="00FD284C" w:rsidRDefault="00FD284C" w14:paraId="1182F0EF" w14:textId="6EEC8D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$64.34 </w:t>
            </w:r>
          </w:p>
        </w:tc>
        <w:tc>
          <w:tcPr>
            <w:tcW w:w="2121" w:type="dxa"/>
          </w:tcPr>
          <w:p w:rsidRPr="00F76F4B" w:rsidR="00FD284C" w:rsidP="00FD284C" w:rsidRDefault="00FD284C" w14:paraId="6761C635" w14:textId="0406E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color w:val="000000"/>
                <w:sz w:val="18"/>
                <w:szCs w:val="18"/>
              </w:rPr>
              <w:t xml:space="preserve">$26,808 </w:t>
            </w:r>
          </w:p>
        </w:tc>
      </w:tr>
      <w:tr w:rsidRPr="00F76F4B" w:rsidR="00FD284C" w:rsidTr="003A19B1" w14:paraId="495D76C3" w14:textId="77777777">
        <w:trPr>
          <w:trHeight w:val="236"/>
        </w:trPr>
        <w:tc>
          <w:tcPr>
            <w:tcW w:w="2140" w:type="dxa"/>
          </w:tcPr>
          <w:p w:rsidRPr="00F76F4B" w:rsidR="00FD284C" w:rsidP="00FD284C" w:rsidRDefault="00FD284C" w14:paraId="4AF0CB11" w14:textId="21A1EF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sz w:val="18"/>
                <w:szCs w:val="18"/>
              </w:rPr>
            </w:pPr>
            <w:r w:rsidRPr="00F76F4B">
              <w:rPr>
                <w:rFonts w:asciiTheme="minorHAnsi" w:hAnsiTheme="minorHAnsi" w:cstheme="minorHAnsi"/>
                <w:b/>
                <w:bCs/>
                <w:sz w:val="18"/>
                <w:szCs w:val="18"/>
              </w:rPr>
              <w:t>Total</w:t>
            </w:r>
          </w:p>
        </w:tc>
        <w:tc>
          <w:tcPr>
            <w:tcW w:w="2031" w:type="dxa"/>
          </w:tcPr>
          <w:p w:rsidRPr="00F76F4B" w:rsidR="00FD284C" w:rsidP="00FD284C" w:rsidRDefault="00FD284C" w14:paraId="12AB3786" w14:textId="3D8F4B7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b/>
                <w:bCs/>
                <w:color w:val="000000"/>
                <w:sz w:val="18"/>
                <w:szCs w:val="18"/>
              </w:rPr>
              <w:t>55,13</w:t>
            </w:r>
            <w:r w:rsidR="00045838">
              <w:rPr>
                <w:rFonts w:asciiTheme="minorHAnsi" w:hAnsiTheme="minorHAnsi" w:cstheme="minorHAnsi"/>
                <w:b/>
                <w:bCs/>
                <w:color w:val="000000"/>
                <w:sz w:val="18"/>
                <w:szCs w:val="18"/>
              </w:rPr>
              <w:t>2</w:t>
            </w:r>
          </w:p>
        </w:tc>
        <w:tc>
          <w:tcPr>
            <w:tcW w:w="2306" w:type="dxa"/>
          </w:tcPr>
          <w:p w:rsidRPr="00F76F4B" w:rsidR="00FD284C" w:rsidP="00FD284C" w:rsidRDefault="00FD284C" w14:paraId="4D7DDC2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p>
        </w:tc>
        <w:tc>
          <w:tcPr>
            <w:tcW w:w="2121" w:type="dxa"/>
          </w:tcPr>
          <w:p w:rsidRPr="00F76F4B" w:rsidR="00FD284C" w:rsidP="00FD284C" w:rsidRDefault="00FD284C" w14:paraId="7074BC01" w14:textId="26FCB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inorHAnsi" w:hAnsiTheme="minorHAnsi" w:cstheme="minorHAnsi"/>
                <w:color w:val="000000"/>
                <w:sz w:val="18"/>
                <w:szCs w:val="18"/>
              </w:rPr>
            </w:pPr>
            <w:r w:rsidRPr="00F76F4B">
              <w:rPr>
                <w:rFonts w:asciiTheme="minorHAnsi" w:hAnsiTheme="minorHAnsi" w:cstheme="minorHAnsi"/>
                <w:b/>
                <w:bCs/>
                <w:color w:val="000000"/>
                <w:sz w:val="18"/>
                <w:szCs w:val="18"/>
              </w:rPr>
              <w:t xml:space="preserve"> $863,395 </w:t>
            </w:r>
          </w:p>
        </w:tc>
      </w:tr>
      <w:bookmarkEnd w:id="44"/>
    </w:tbl>
    <w:p w:rsidR="00B93C77" w:rsidP="002C5D4F" w:rsidRDefault="00B93C77" w14:paraId="36349A2E" w14:textId="77777777">
      <w:pPr>
        <w:spacing w:after="0" w:line="240" w:lineRule="auto"/>
        <w:jc w:val="center"/>
        <w:rPr>
          <w:rFonts w:eastAsia="Times New Roman" w:cs="Times New Roman"/>
        </w:rPr>
      </w:pPr>
    </w:p>
    <w:p w:rsidRPr="00016477" w:rsidR="00B93C77" w:rsidP="00FF72FC" w:rsidRDefault="00B31022" w14:paraId="1B0B9DAC" w14:textId="55F13A2E">
      <w:pPr>
        <w:spacing w:after="0" w:line="240" w:lineRule="auto"/>
        <w:rPr>
          <w:rFonts w:ascii="Times New Roman" w:hAnsi="Times New Roman" w:eastAsia="Times New Roman" w:cs="Times New Roman"/>
          <w:sz w:val="16"/>
          <w:szCs w:val="16"/>
        </w:rPr>
      </w:pPr>
      <w:r w:rsidRPr="00016477">
        <w:rPr>
          <w:rFonts w:ascii="Times New Roman" w:hAnsi="Times New Roman" w:eastAsia="Times New Roman" w:cs="Times New Roman"/>
          <w:sz w:val="16"/>
          <w:szCs w:val="16"/>
        </w:rPr>
        <w:t>*</w:t>
      </w:r>
      <w:r w:rsidRPr="00016477" w:rsidR="002C5D4F">
        <w:rPr>
          <w:rFonts w:ascii="Times New Roman" w:hAnsi="Times New Roman" w:eastAsia="Times New Roman" w:cs="Times New Roman"/>
          <w:sz w:val="16"/>
          <w:szCs w:val="16"/>
        </w:rPr>
        <w:t xml:space="preserve">Bureau of Labor Statistics: The General Public rate was obtained from the </w:t>
      </w:r>
      <w:hyperlink w:history="1" w:anchor="00-0000" r:id="rId28">
        <w:r w:rsidRPr="00016477" w:rsidR="00B50D3C">
          <w:rPr>
            <w:rStyle w:val="Hyperlink"/>
            <w:rFonts w:ascii="Times New Roman" w:hAnsi="Times New Roman" w:eastAsia="Times New Roman" w:cs="Times New Roman"/>
            <w:sz w:val="16"/>
            <w:szCs w:val="16"/>
          </w:rPr>
          <w:t>http://www.bls.gov/oes/2018/may/oes_nat.htm#00-0000</w:t>
        </w:r>
      </w:hyperlink>
    </w:p>
    <w:p w:rsidRPr="00016477" w:rsidR="002C5D4F" w:rsidP="00FF72FC" w:rsidRDefault="002C5D4F" w14:paraId="27AC837D" w14:textId="77777777">
      <w:pPr>
        <w:spacing w:after="0" w:line="240" w:lineRule="auto"/>
        <w:rPr>
          <w:rFonts w:ascii="Times New Roman" w:hAnsi="Times New Roman" w:eastAsia="Times New Roman" w:cs="Times New Roman"/>
          <w:sz w:val="16"/>
          <w:szCs w:val="16"/>
        </w:rPr>
      </w:pPr>
    </w:p>
    <w:p w:rsidRPr="00016477" w:rsidR="002C5D4F" w:rsidP="00FF72FC" w:rsidRDefault="002C5D4F" w14:paraId="203D0823" w14:textId="31ADF8CE">
      <w:pPr>
        <w:spacing w:after="0" w:line="240" w:lineRule="auto"/>
        <w:rPr>
          <w:rFonts w:ascii="Times New Roman" w:hAnsi="Times New Roman" w:eastAsia="Times New Roman" w:cs="Times New Roman"/>
          <w:sz w:val="16"/>
          <w:szCs w:val="16"/>
        </w:rPr>
      </w:pPr>
      <w:r w:rsidRPr="00016477">
        <w:rPr>
          <w:rFonts w:ascii="Times New Roman" w:hAnsi="Times New Roman" w:eastAsia="Times New Roman" w:cs="Times New Roman"/>
          <w:sz w:val="16"/>
          <w:szCs w:val="16"/>
        </w:rPr>
        <w:t xml:space="preserve">The Health Professionals wage rate was obtained from </w:t>
      </w:r>
      <w:hyperlink w:history="1" r:id="rId29">
        <w:r w:rsidRPr="00016477" w:rsidR="002E5047">
          <w:rPr>
            <w:rStyle w:val="Hyperlink"/>
            <w:rFonts w:ascii="Times New Roman" w:hAnsi="Times New Roman" w:eastAsia="Times New Roman" w:cs="Times New Roman"/>
            <w:sz w:val="16"/>
            <w:szCs w:val="16"/>
          </w:rPr>
          <w:t>http://www.bls.gov/oes/2018/may/oes290000.htm</w:t>
        </w:r>
      </w:hyperlink>
    </w:p>
    <w:p w:rsidRPr="00B31022" w:rsidR="002C5D4F" w:rsidP="00FF72FC" w:rsidRDefault="002C5D4F" w14:paraId="606DE341" w14:textId="77777777">
      <w:pPr>
        <w:spacing w:after="0" w:line="240" w:lineRule="auto"/>
        <w:rPr>
          <w:rFonts w:ascii="Times New Roman" w:hAnsi="Times New Roman" w:eastAsia="Times New Roman" w:cs="Times New Roman"/>
          <w:sz w:val="16"/>
          <w:szCs w:val="16"/>
        </w:rPr>
      </w:pPr>
      <w:r w:rsidRPr="00016477">
        <w:rPr>
          <w:rFonts w:ascii="Times New Roman" w:hAnsi="Times New Roman" w:eastAsia="Times New Roman" w:cs="Times New Roman"/>
          <w:sz w:val="16"/>
          <w:szCs w:val="16"/>
        </w:rPr>
        <w:t xml:space="preserve"> Occupation title “Healthcare Practitioners and Technical Occupations”, occupation code 29-0000;</w:t>
      </w:r>
    </w:p>
    <w:p w:rsidRPr="00B31022" w:rsidR="002C5D4F" w:rsidP="00FF72FC" w:rsidRDefault="002C5D4F" w14:paraId="72B42BD2" w14:textId="77777777">
      <w:pPr>
        <w:spacing w:after="0" w:line="240" w:lineRule="auto"/>
        <w:rPr>
          <w:rFonts w:ascii="Times New Roman" w:hAnsi="Times New Roman" w:eastAsia="Times New Roman" w:cs="Times New Roman"/>
          <w:sz w:val="16"/>
          <w:szCs w:val="16"/>
        </w:rPr>
      </w:pPr>
    </w:p>
    <w:p w:rsidRPr="00F76F4B" w:rsidR="00FF72FC" w:rsidP="00F76F4B" w:rsidRDefault="00FF72FC" w14:paraId="72B19A1F" w14:textId="77777777">
      <w:pPr>
        <w:pStyle w:val="Heading1"/>
        <w:rPr>
          <w:rFonts w:asciiTheme="minorHAnsi" w:hAnsiTheme="minorHAnsi" w:cstheme="minorHAnsi"/>
          <w:b/>
          <w:color w:val="auto"/>
          <w:sz w:val="22"/>
          <w:szCs w:val="22"/>
        </w:rPr>
      </w:pPr>
      <w:bookmarkStart w:name="_Toc31096833" w:id="45"/>
      <w:r w:rsidRPr="00F76F4B">
        <w:rPr>
          <w:rFonts w:asciiTheme="minorHAnsi" w:hAnsiTheme="minorHAnsi" w:cstheme="minorHAnsi"/>
          <w:b/>
          <w:color w:val="auto"/>
          <w:sz w:val="22"/>
          <w:szCs w:val="22"/>
        </w:rPr>
        <w:t>A.13</w:t>
      </w:r>
      <w:r w:rsidRPr="00F76F4B">
        <w:rPr>
          <w:rFonts w:asciiTheme="minorHAnsi" w:hAnsiTheme="minorHAnsi" w:cstheme="minorHAnsi"/>
          <w:b/>
          <w:color w:val="auto"/>
          <w:sz w:val="22"/>
          <w:szCs w:val="22"/>
        </w:rPr>
        <w:tab/>
        <w:t>Estimate of Other Total Annual Cost Burden to Respondents or Record Keepers</w:t>
      </w:r>
      <w:bookmarkEnd w:id="45"/>
    </w:p>
    <w:p w:rsidR="003A19B1" w:rsidP="003A19B1" w:rsidRDefault="003A19B1" w14:paraId="01A5E8DC" w14:textId="21FB50FA">
      <w:r w:rsidRPr="003A19B1">
        <w:t>There are no capital, maintenance or operating costs to respondents.</w:t>
      </w:r>
    </w:p>
    <w:p w:rsidRPr="005C4013" w:rsidR="00FF72FC" w:rsidP="00F76F4B" w:rsidRDefault="00FF72FC" w14:paraId="5439FC4E" w14:textId="037D86B8">
      <w:pPr>
        <w:pStyle w:val="Heading1"/>
        <w:rPr>
          <w:rFonts w:asciiTheme="minorHAnsi" w:hAnsiTheme="minorHAnsi"/>
          <w:b/>
          <w:color w:val="auto"/>
          <w:sz w:val="22"/>
          <w:szCs w:val="22"/>
        </w:rPr>
      </w:pPr>
      <w:bookmarkStart w:name="_Toc31096834" w:id="46"/>
      <w:r w:rsidRPr="005C4013">
        <w:rPr>
          <w:rFonts w:asciiTheme="minorHAnsi" w:hAnsiTheme="minorHAnsi"/>
          <w:b/>
          <w:color w:val="auto"/>
          <w:sz w:val="22"/>
          <w:szCs w:val="22"/>
        </w:rPr>
        <w:t>A.14</w:t>
      </w:r>
      <w:r w:rsidRPr="005C4013">
        <w:rPr>
          <w:rFonts w:asciiTheme="minorHAnsi" w:hAnsiTheme="minorHAnsi"/>
          <w:b/>
          <w:color w:val="auto"/>
          <w:sz w:val="22"/>
          <w:szCs w:val="22"/>
        </w:rPr>
        <w:tab/>
        <w:t>Annualized Cost to the Federal Government</w:t>
      </w:r>
      <w:bookmarkEnd w:id="46"/>
      <w:r w:rsidRPr="005C4013">
        <w:rPr>
          <w:rFonts w:asciiTheme="minorHAnsi" w:hAnsiTheme="minorHAnsi"/>
          <w:b/>
          <w:color w:val="auto"/>
          <w:sz w:val="22"/>
          <w:szCs w:val="22"/>
        </w:rPr>
        <w:t xml:space="preserve">  </w:t>
      </w:r>
    </w:p>
    <w:p w:rsidR="00CD3EAB" w:rsidP="00CD3EAB" w:rsidRDefault="00CD3EAB" w14:paraId="6446E504" w14:textId="60BCE9A2">
      <w:pPr>
        <w:rPr>
          <w:szCs w:val="24"/>
        </w:rPr>
      </w:pPr>
      <w:r>
        <w:rPr>
          <w:szCs w:val="24"/>
        </w:rPr>
        <w:t xml:space="preserve">The annualized costs to the </w:t>
      </w:r>
      <w:r w:rsidRPr="00CA179B">
        <w:rPr>
          <w:szCs w:val="24"/>
        </w:rPr>
        <w:t xml:space="preserve">federal government </w:t>
      </w:r>
      <w:r>
        <w:rPr>
          <w:szCs w:val="24"/>
        </w:rPr>
        <w:t>for the administration of the entire Diversity Program Consortium is approximately</w:t>
      </w:r>
      <w:r w:rsidRPr="00CA179B">
        <w:rPr>
          <w:szCs w:val="24"/>
        </w:rPr>
        <w:t xml:space="preserve"> </w:t>
      </w:r>
      <w:r w:rsidRPr="00145725" w:rsidR="00145725">
        <w:rPr>
          <w:szCs w:val="24"/>
        </w:rPr>
        <w:t>$867,966.95</w:t>
      </w:r>
      <w:r>
        <w:rPr>
          <w:szCs w:val="24"/>
        </w:rPr>
        <w:t xml:space="preserve">. The funds include the salaries of the Program Staff, Grants Management, Contract and Support Staff, and travel costs to the Annual Meeting and Site Visits. </w:t>
      </w:r>
    </w:p>
    <w:p w:rsidRPr="0037291F" w:rsidR="0037291F" w:rsidP="0037291F" w:rsidRDefault="0037291F" w14:paraId="0DBBBAA0" w14:textId="77777777">
      <w:pPr>
        <w:widowControl w:val="0"/>
        <w:adjustRightInd w:val="0"/>
        <w:snapToGrid w:val="0"/>
        <w:spacing w:after="0" w:line="240" w:lineRule="auto"/>
        <w:jc w:val="center"/>
        <w:rPr>
          <w:rFonts w:ascii="Times New Roman" w:hAnsi="Times New Roman" w:eastAsia="Times New Roman" w:cs="Times New Roman"/>
          <w:color w:val="0000FF"/>
          <w:sz w:val="24"/>
          <w:szCs w:val="24"/>
        </w:rPr>
      </w:pPr>
    </w:p>
    <w:tbl>
      <w:tblPr>
        <w:tblStyle w:val="TableGrid"/>
        <w:tblW w:w="0" w:type="auto"/>
        <w:tblLook w:val="04A0" w:firstRow="1" w:lastRow="0" w:firstColumn="1" w:lastColumn="0" w:noHBand="0" w:noVBand="1"/>
      </w:tblPr>
      <w:tblGrid>
        <w:gridCol w:w="2610"/>
        <w:gridCol w:w="1119"/>
        <w:gridCol w:w="1214"/>
        <w:gridCol w:w="722"/>
        <w:gridCol w:w="1260"/>
        <w:gridCol w:w="1769"/>
      </w:tblGrid>
      <w:tr w:rsidRPr="00F45143" w:rsidR="00145725" w:rsidTr="00933EAA" w14:paraId="0CE9CDA7" w14:textId="77777777">
        <w:trPr>
          <w:trHeight w:val="290"/>
          <w:tblHeader/>
        </w:trPr>
        <w:tc>
          <w:tcPr>
            <w:tcW w:w="2610" w:type="dxa"/>
            <w:noWrap/>
            <w:hideMark/>
          </w:tcPr>
          <w:p w:rsidRPr="00F45143" w:rsidR="00145725" w:rsidP="00933EAA" w:rsidRDefault="00145725" w14:paraId="48CB2959" w14:textId="77777777">
            <w:pPr>
              <w:jc w:val="center"/>
              <w:rPr>
                <w:rFonts w:asciiTheme="minorHAnsi" w:hAnsiTheme="minorHAnsi" w:cstheme="minorHAnsi"/>
                <w:b/>
                <w:bCs/>
                <w:sz w:val="18"/>
              </w:rPr>
            </w:pPr>
            <w:r w:rsidRPr="00F45143">
              <w:rPr>
                <w:rFonts w:asciiTheme="minorHAnsi" w:hAnsiTheme="minorHAnsi" w:cstheme="minorHAnsi"/>
                <w:b/>
                <w:bCs/>
                <w:sz w:val="18"/>
              </w:rPr>
              <w:t>Cost Descriptions</w:t>
            </w:r>
          </w:p>
        </w:tc>
        <w:tc>
          <w:tcPr>
            <w:tcW w:w="1119" w:type="dxa"/>
            <w:noWrap/>
            <w:hideMark/>
          </w:tcPr>
          <w:p w:rsidRPr="00F45143" w:rsidR="00145725" w:rsidP="00933EAA" w:rsidRDefault="00145725" w14:paraId="34FE0AD5" w14:textId="77777777">
            <w:pPr>
              <w:jc w:val="center"/>
              <w:rPr>
                <w:rFonts w:asciiTheme="minorHAnsi" w:hAnsiTheme="minorHAnsi" w:cstheme="minorHAnsi"/>
                <w:b/>
                <w:bCs/>
                <w:sz w:val="18"/>
              </w:rPr>
            </w:pPr>
            <w:r w:rsidRPr="00F45143">
              <w:rPr>
                <w:rFonts w:asciiTheme="minorHAnsi" w:hAnsiTheme="minorHAnsi" w:cstheme="minorHAnsi"/>
                <w:b/>
                <w:bCs/>
                <w:sz w:val="18"/>
              </w:rPr>
              <w:t>Grade/Step</w:t>
            </w:r>
          </w:p>
        </w:tc>
        <w:tc>
          <w:tcPr>
            <w:tcW w:w="1214" w:type="dxa"/>
            <w:noWrap/>
            <w:hideMark/>
          </w:tcPr>
          <w:p w:rsidRPr="00F45143" w:rsidR="00145725" w:rsidP="00933EAA" w:rsidRDefault="00145725" w14:paraId="10F25C82" w14:textId="77777777">
            <w:pPr>
              <w:jc w:val="center"/>
              <w:rPr>
                <w:rFonts w:asciiTheme="minorHAnsi" w:hAnsiTheme="minorHAnsi" w:cstheme="minorHAnsi"/>
                <w:b/>
                <w:bCs/>
                <w:sz w:val="18"/>
              </w:rPr>
            </w:pPr>
            <w:r w:rsidRPr="00F45143">
              <w:rPr>
                <w:rFonts w:asciiTheme="minorHAnsi" w:hAnsiTheme="minorHAnsi" w:cstheme="minorHAnsi"/>
                <w:b/>
                <w:bCs/>
                <w:sz w:val="18"/>
              </w:rPr>
              <w:t>Salary*</w:t>
            </w:r>
          </w:p>
        </w:tc>
        <w:tc>
          <w:tcPr>
            <w:tcW w:w="722" w:type="dxa"/>
            <w:noWrap/>
            <w:hideMark/>
          </w:tcPr>
          <w:p w:rsidRPr="00F45143" w:rsidR="00145725" w:rsidP="00933EAA" w:rsidRDefault="00145725" w14:paraId="3CD39382" w14:textId="77777777">
            <w:pPr>
              <w:jc w:val="center"/>
              <w:rPr>
                <w:rFonts w:asciiTheme="minorHAnsi" w:hAnsiTheme="minorHAnsi" w:cstheme="minorHAnsi"/>
                <w:b/>
                <w:bCs/>
                <w:sz w:val="18"/>
              </w:rPr>
            </w:pPr>
            <w:r w:rsidRPr="00F45143">
              <w:rPr>
                <w:rFonts w:asciiTheme="minorHAnsi" w:hAnsiTheme="minorHAnsi" w:cstheme="minorHAnsi"/>
                <w:b/>
                <w:bCs/>
                <w:sz w:val="18"/>
              </w:rPr>
              <w:t>% of Effort</w:t>
            </w:r>
          </w:p>
        </w:tc>
        <w:tc>
          <w:tcPr>
            <w:tcW w:w="1260" w:type="dxa"/>
            <w:noWrap/>
            <w:hideMark/>
          </w:tcPr>
          <w:p w:rsidRPr="00F45143" w:rsidR="00145725" w:rsidP="00933EAA" w:rsidRDefault="00145725" w14:paraId="1BCEC97B" w14:textId="77777777">
            <w:pPr>
              <w:jc w:val="center"/>
              <w:rPr>
                <w:rFonts w:asciiTheme="minorHAnsi" w:hAnsiTheme="minorHAnsi" w:cstheme="minorHAnsi"/>
                <w:b/>
                <w:bCs/>
                <w:sz w:val="18"/>
              </w:rPr>
            </w:pPr>
            <w:r w:rsidRPr="00F45143">
              <w:rPr>
                <w:rFonts w:asciiTheme="minorHAnsi" w:hAnsiTheme="minorHAnsi" w:cstheme="minorHAnsi"/>
                <w:b/>
                <w:bCs/>
                <w:sz w:val="18"/>
              </w:rPr>
              <w:t>Fringe (if applicable)</w:t>
            </w:r>
          </w:p>
        </w:tc>
        <w:tc>
          <w:tcPr>
            <w:tcW w:w="1769" w:type="dxa"/>
            <w:noWrap/>
            <w:hideMark/>
          </w:tcPr>
          <w:p w:rsidRPr="00F45143" w:rsidR="00145725" w:rsidP="00933EAA" w:rsidRDefault="00145725" w14:paraId="671432B2" w14:textId="77777777">
            <w:pPr>
              <w:jc w:val="center"/>
              <w:rPr>
                <w:rFonts w:asciiTheme="minorHAnsi" w:hAnsiTheme="minorHAnsi" w:cstheme="minorHAnsi"/>
                <w:b/>
                <w:bCs/>
                <w:sz w:val="18"/>
              </w:rPr>
            </w:pPr>
            <w:r w:rsidRPr="00F45143">
              <w:rPr>
                <w:rFonts w:asciiTheme="minorHAnsi" w:hAnsiTheme="minorHAnsi" w:cstheme="minorHAnsi"/>
                <w:b/>
                <w:bCs/>
                <w:sz w:val="18"/>
              </w:rPr>
              <w:t>Total Cost to Gov’t</w:t>
            </w:r>
          </w:p>
        </w:tc>
      </w:tr>
      <w:tr w:rsidRPr="00F45143" w:rsidR="00145725" w:rsidTr="00933EAA" w14:paraId="77812918" w14:textId="77777777">
        <w:trPr>
          <w:trHeight w:val="290"/>
        </w:trPr>
        <w:tc>
          <w:tcPr>
            <w:tcW w:w="2610" w:type="dxa"/>
            <w:noWrap/>
            <w:hideMark/>
          </w:tcPr>
          <w:p w:rsidRPr="00F45143" w:rsidR="00145725" w:rsidP="00933EAA" w:rsidRDefault="00145725" w14:paraId="0083443B" w14:textId="77777777">
            <w:pPr>
              <w:rPr>
                <w:rFonts w:asciiTheme="minorHAnsi" w:hAnsiTheme="minorHAnsi" w:cstheme="minorHAnsi"/>
                <w:b/>
                <w:bCs/>
                <w:sz w:val="18"/>
              </w:rPr>
            </w:pPr>
            <w:r w:rsidRPr="00F45143">
              <w:rPr>
                <w:rFonts w:asciiTheme="minorHAnsi" w:hAnsiTheme="minorHAnsi" w:cstheme="minorHAnsi"/>
                <w:b/>
                <w:bCs/>
                <w:sz w:val="18"/>
              </w:rPr>
              <w:t>Federal Oversight</w:t>
            </w:r>
          </w:p>
        </w:tc>
        <w:tc>
          <w:tcPr>
            <w:tcW w:w="1119" w:type="dxa"/>
            <w:noWrap/>
            <w:hideMark/>
          </w:tcPr>
          <w:p w:rsidRPr="00F45143" w:rsidR="00145725" w:rsidP="00933EAA" w:rsidRDefault="00145725" w14:paraId="46DD46A0" w14:textId="77777777">
            <w:pPr>
              <w:jc w:val="center"/>
              <w:rPr>
                <w:rFonts w:asciiTheme="minorHAnsi" w:hAnsiTheme="minorHAnsi" w:cstheme="minorHAnsi"/>
                <w:b/>
                <w:bCs/>
                <w:sz w:val="18"/>
              </w:rPr>
            </w:pPr>
          </w:p>
        </w:tc>
        <w:tc>
          <w:tcPr>
            <w:tcW w:w="1214" w:type="dxa"/>
            <w:noWrap/>
            <w:hideMark/>
          </w:tcPr>
          <w:p w:rsidRPr="00F45143" w:rsidR="00145725" w:rsidP="00933EAA" w:rsidRDefault="00145725" w14:paraId="31EB5500" w14:textId="77777777">
            <w:pPr>
              <w:jc w:val="right"/>
              <w:rPr>
                <w:rFonts w:asciiTheme="minorHAnsi" w:hAnsiTheme="minorHAnsi" w:cstheme="minorHAnsi"/>
                <w:b/>
                <w:bCs/>
                <w:sz w:val="18"/>
              </w:rPr>
            </w:pPr>
            <w:r w:rsidRPr="00F45143">
              <w:rPr>
                <w:rFonts w:asciiTheme="minorHAnsi" w:hAnsiTheme="minorHAnsi" w:cstheme="minorHAnsi"/>
                <w:b/>
                <w:bCs/>
                <w:sz w:val="18"/>
              </w:rPr>
              <w:t> </w:t>
            </w:r>
          </w:p>
        </w:tc>
        <w:tc>
          <w:tcPr>
            <w:tcW w:w="722" w:type="dxa"/>
            <w:noWrap/>
            <w:hideMark/>
          </w:tcPr>
          <w:p w:rsidRPr="00F45143" w:rsidR="00145725" w:rsidP="00933EAA" w:rsidRDefault="00145725" w14:paraId="2C289D05" w14:textId="77777777">
            <w:pPr>
              <w:jc w:val="center"/>
              <w:rPr>
                <w:rFonts w:asciiTheme="minorHAnsi" w:hAnsiTheme="minorHAnsi" w:cstheme="minorHAnsi"/>
                <w:b/>
                <w:bCs/>
                <w:sz w:val="18"/>
              </w:rPr>
            </w:pPr>
          </w:p>
        </w:tc>
        <w:tc>
          <w:tcPr>
            <w:tcW w:w="1260" w:type="dxa"/>
            <w:noWrap/>
            <w:hideMark/>
          </w:tcPr>
          <w:p w:rsidRPr="00F45143" w:rsidR="00145725" w:rsidP="00933EAA" w:rsidRDefault="00145725" w14:paraId="2D1C8F40" w14:textId="77777777">
            <w:pPr>
              <w:rPr>
                <w:rFonts w:asciiTheme="minorHAnsi" w:hAnsiTheme="minorHAnsi" w:cstheme="minorHAnsi"/>
                <w:b/>
                <w:bCs/>
                <w:sz w:val="18"/>
              </w:rPr>
            </w:pPr>
            <w:r w:rsidRPr="00F45143">
              <w:rPr>
                <w:rFonts w:asciiTheme="minorHAnsi" w:hAnsiTheme="minorHAnsi" w:cstheme="minorHAnsi"/>
                <w:b/>
                <w:bCs/>
                <w:sz w:val="18"/>
              </w:rPr>
              <w:t> </w:t>
            </w:r>
          </w:p>
        </w:tc>
        <w:tc>
          <w:tcPr>
            <w:tcW w:w="1769" w:type="dxa"/>
            <w:noWrap/>
            <w:hideMark/>
          </w:tcPr>
          <w:p w:rsidRPr="00F45143" w:rsidR="00145725" w:rsidP="00933EAA" w:rsidRDefault="00145725" w14:paraId="3BB05A33" w14:textId="77777777">
            <w:pPr>
              <w:jc w:val="right"/>
              <w:rPr>
                <w:rFonts w:asciiTheme="minorHAnsi" w:hAnsiTheme="minorHAnsi" w:cstheme="minorHAnsi"/>
                <w:b/>
                <w:bCs/>
                <w:sz w:val="18"/>
              </w:rPr>
            </w:pPr>
            <w:r w:rsidRPr="00F45143">
              <w:rPr>
                <w:rFonts w:asciiTheme="minorHAnsi" w:hAnsiTheme="minorHAnsi" w:cstheme="minorHAnsi"/>
                <w:b/>
                <w:bCs/>
                <w:sz w:val="18"/>
              </w:rPr>
              <w:t> </w:t>
            </w:r>
          </w:p>
        </w:tc>
      </w:tr>
      <w:tr w:rsidRPr="00F45143" w:rsidR="00145725" w:rsidTr="00933EAA" w14:paraId="19EBE47C" w14:textId="77777777">
        <w:trPr>
          <w:trHeight w:val="290"/>
        </w:trPr>
        <w:tc>
          <w:tcPr>
            <w:tcW w:w="2610" w:type="dxa"/>
            <w:noWrap/>
            <w:hideMark/>
          </w:tcPr>
          <w:p w:rsidRPr="00F45143" w:rsidR="00145725" w:rsidP="00933EAA" w:rsidRDefault="00145725" w14:paraId="3112845E" w14:textId="77777777">
            <w:pPr>
              <w:rPr>
                <w:rFonts w:asciiTheme="minorHAnsi" w:hAnsiTheme="minorHAnsi" w:cstheme="minorHAnsi"/>
                <w:sz w:val="18"/>
              </w:rPr>
            </w:pPr>
            <w:r w:rsidRPr="00F45143">
              <w:rPr>
                <w:rFonts w:asciiTheme="minorHAnsi" w:hAnsiTheme="minorHAnsi" w:cstheme="minorHAnsi"/>
                <w:sz w:val="18"/>
              </w:rPr>
              <w:t xml:space="preserve">   Project Lead 1</w:t>
            </w:r>
          </w:p>
        </w:tc>
        <w:tc>
          <w:tcPr>
            <w:tcW w:w="1119" w:type="dxa"/>
            <w:noWrap/>
            <w:hideMark/>
          </w:tcPr>
          <w:p w:rsidRPr="00F45143" w:rsidR="00145725" w:rsidP="00933EAA" w:rsidRDefault="00145725" w14:paraId="2E6CCD5C" w14:textId="77777777">
            <w:pPr>
              <w:jc w:val="center"/>
              <w:rPr>
                <w:rFonts w:asciiTheme="minorHAnsi" w:hAnsiTheme="minorHAnsi" w:cstheme="minorHAnsi"/>
                <w:sz w:val="18"/>
              </w:rPr>
            </w:pPr>
            <w:r w:rsidRPr="00F45143">
              <w:rPr>
                <w:rFonts w:asciiTheme="minorHAnsi" w:hAnsiTheme="minorHAnsi" w:cstheme="minorHAnsi"/>
                <w:sz w:val="18"/>
              </w:rPr>
              <w:t>Title 42</w:t>
            </w:r>
          </w:p>
        </w:tc>
        <w:tc>
          <w:tcPr>
            <w:tcW w:w="1214" w:type="dxa"/>
            <w:noWrap/>
            <w:hideMark/>
          </w:tcPr>
          <w:p w:rsidRPr="00F45143" w:rsidR="00145725" w:rsidP="00933EAA" w:rsidRDefault="00145725" w14:paraId="1F0F19A4" w14:textId="77777777">
            <w:pPr>
              <w:jc w:val="right"/>
              <w:rPr>
                <w:rFonts w:asciiTheme="minorHAnsi" w:hAnsiTheme="minorHAnsi" w:cstheme="minorHAnsi"/>
                <w:sz w:val="18"/>
              </w:rPr>
            </w:pPr>
            <w:r w:rsidRPr="00F45143">
              <w:rPr>
                <w:rFonts w:asciiTheme="minorHAnsi" w:hAnsiTheme="minorHAnsi" w:cstheme="minorHAnsi"/>
                <w:sz w:val="18"/>
              </w:rPr>
              <w:t xml:space="preserve">$184,234.00 </w:t>
            </w:r>
          </w:p>
        </w:tc>
        <w:tc>
          <w:tcPr>
            <w:tcW w:w="722" w:type="dxa"/>
            <w:noWrap/>
            <w:hideMark/>
          </w:tcPr>
          <w:p w:rsidRPr="00F45143" w:rsidR="00145725" w:rsidP="00933EAA" w:rsidRDefault="00145725" w14:paraId="21576C8A" w14:textId="77777777">
            <w:pPr>
              <w:jc w:val="center"/>
              <w:rPr>
                <w:rFonts w:asciiTheme="minorHAnsi" w:hAnsiTheme="minorHAnsi" w:cstheme="minorHAnsi"/>
                <w:sz w:val="18"/>
              </w:rPr>
            </w:pPr>
            <w:r w:rsidRPr="00F45143">
              <w:rPr>
                <w:rFonts w:asciiTheme="minorHAnsi" w:hAnsiTheme="minorHAnsi" w:cstheme="minorHAnsi"/>
                <w:sz w:val="18"/>
              </w:rPr>
              <w:t>0.4</w:t>
            </w:r>
          </w:p>
        </w:tc>
        <w:tc>
          <w:tcPr>
            <w:tcW w:w="1260" w:type="dxa"/>
            <w:shd w:val="clear" w:color="auto" w:fill="D9D9D9" w:themeFill="background1" w:themeFillShade="D9"/>
            <w:noWrap/>
            <w:hideMark/>
          </w:tcPr>
          <w:p w:rsidRPr="00F45143" w:rsidR="00145725" w:rsidP="00933EAA" w:rsidRDefault="00145725" w14:paraId="31EBBA4F"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3B5729D0" w14:textId="77777777">
            <w:pPr>
              <w:jc w:val="right"/>
              <w:rPr>
                <w:rFonts w:asciiTheme="minorHAnsi" w:hAnsiTheme="minorHAnsi" w:cstheme="minorHAnsi"/>
                <w:sz w:val="18"/>
              </w:rPr>
            </w:pPr>
            <w:r w:rsidRPr="00F45143">
              <w:rPr>
                <w:rFonts w:asciiTheme="minorHAnsi" w:hAnsiTheme="minorHAnsi" w:cstheme="minorHAnsi"/>
                <w:sz w:val="18"/>
              </w:rPr>
              <w:t xml:space="preserve">$73,693.60 </w:t>
            </w:r>
          </w:p>
        </w:tc>
      </w:tr>
      <w:tr w:rsidRPr="00F45143" w:rsidR="00145725" w:rsidTr="00933EAA" w14:paraId="5049D3EE" w14:textId="77777777">
        <w:trPr>
          <w:trHeight w:val="290"/>
        </w:trPr>
        <w:tc>
          <w:tcPr>
            <w:tcW w:w="2610" w:type="dxa"/>
            <w:noWrap/>
            <w:hideMark/>
          </w:tcPr>
          <w:p w:rsidRPr="00F45143" w:rsidR="00145725" w:rsidP="00933EAA" w:rsidRDefault="00145725" w14:paraId="09A92D4F" w14:textId="77777777">
            <w:pPr>
              <w:rPr>
                <w:rFonts w:asciiTheme="minorHAnsi" w:hAnsiTheme="minorHAnsi" w:cstheme="minorHAnsi"/>
                <w:sz w:val="18"/>
              </w:rPr>
            </w:pPr>
            <w:r w:rsidRPr="00F45143">
              <w:rPr>
                <w:rFonts w:asciiTheme="minorHAnsi" w:hAnsiTheme="minorHAnsi" w:cstheme="minorHAnsi"/>
                <w:sz w:val="18"/>
              </w:rPr>
              <w:t xml:space="preserve">   Grants Management 1</w:t>
            </w:r>
          </w:p>
        </w:tc>
        <w:tc>
          <w:tcPr>
            <w:tcW w:w="1119" w:type="dxa"/>
            <w:noWrap/>
            <w:hideMark/>
          </w:tcPr>
          <w:p w:rsidRPr="00F45143" w:rsidR="00145725" w:rsidP="00933EAA" w:rsidRDefault="00145725" w14:paraId="3A3BF562" w14:textId="77777777">
            <w:pPr>
              <w:jc w:val="center"/>
              <w:rPr>
                <w:rFonts w:asciiTheme="minorHAnsi" w:hAnsiTheme="minorHAnsi" w:cstheme="minorHAnsi"/>
                <w:sz w:val="18"/>
              </w:rPr>
            </w:pPr>
            <w:r w:rsidRPr="00F45143">
              <w:rPr>
                <w:rFonts w:asciiTheme="minorHAnsi" w:hAnsiTheme="minorHAnsi" w:cstheme="minorHAnsi"/>
                <w:sz w:val="18"/>
              </w:rPr>
              <w:t>GS-13/10</w:t>
            </w:r>
          </w:p>
        </w:tc>
        <w:tc>
          <w:tcPr>
            <w:tcW w:w="1214" w:type="dxa"/>
            <w:noWrap/>
            <w:hideMark/>
          </w:tcPr>
          <w:p w:rsidRPr="00F45143" w:rsidR="00145725" w:rsidP="00933EAA" w:rsidRDefault="00145725" w14:paraId="29418798" w14:textId="77777777">
            <w:pPr>
              <w:jc w:val="right"/>
              <w:rPr>
                <w:rFonts w:asciiTheme="minorHAnsi" w:hAnsiTheme="minorHAnsi" w:cstheme="minorHAnsi"/>
                <w:sz w:val="18"/>
              </w:rPr>
            </w:pPr>
            <w:r w:rsidRPr="00F45143">
              <w:rPr>
                <w:rFonts w:asciiTheme="minorHAnsi" w:hAnsiTheme="minorHAnsi" w:cstheme="minorHAnsi"/>
                <w:sz w:val="18"/>
              </w:rPr>
              <w:t xml:space="preserve">$129,906.00 </w:t>
            </w:r>
          </w:p>
        </w:tc>
        <w:tc>
          <w:tcPr>
            <w:tcW w:w="722" w:type="dxa"/>
            <w:noWrap/>
            <w:hideMark/>
          </w:tcPr>
          <w:p w:rsidRPr="00F45143" w:rsidR="00145725" w:rsidP="00933EAA" w:rsidRDefault="00145725" w14:paraId="51FBA7A3" w14:textId="77777777">
            <w:pPr>
              <w:jc w:val="center"/>
              <w:rPr>
                <w:rFonts w:asciiTheme="minorHAnsi" w:hAnsiTheme="minorHAnsi" w:cstheme="minorHAnsi"/>
                <w:sz w:val="18"/>
              </w:rPr>
            </w:pPr>
            <w:r w:rsidRPr="00F45143">
              <w:rPr>
                <w:rFonts w:asciiTheme="minorHAnsi" w:hAnsiTheme="minorHAnsi" w:cstheme="minorHAnsi"/>
                <w:sz w:val="18"/>
              </w:rPr>
              <w:t>0.4</w:t>
            </w:r>
          </w:p>
        </w:tc>
        <w:tc>
          <w:tcPr>
            <w:tcW w:w="1260" w:type="dxa"/>
            <w:shd w:val="clear" w:color="auto" w:fill="D9D9D9" w:themeFill="background1" w:themeFillShade="D9"/>
            <w:noWrap/>
            <w:hideMark/>
          </w:tcPr>
          <w:p w:rsidRPr="00F45143" w:rsidR="00145725" w:rsidP="00933EAA" w:rsidRDefault="00145725" w14:paraId="3E5AF4C0"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426C501A" w14:textId="77777777">
            <w:pPr>
              <w:jc w:val="right"/>
              <w:rPr>
                <w:rFonts w:asciiTheme="minorHAnsi" w:hAnsiTheme="minorHAnsi" w:cstheme="minorHAnsi"/>
                <w:sz w:val="18"/>
              </w:rPr>
            </w:pPr>
            <w:r w:rsidRPr="00F45143">
              <w:rPr>
                <w:rFonts w:asciiTheme="minorHAnsi" w:hAnsiTheme="minorHAnsi" w:cstheme="minorHAnsi"/>
                <w:sz w:val="18"/>
              </w:rPr>
              <w:t xml:space="preserve">$51,962.40 </w:t>
            </w:r>
          </w:p>
        </w:tc>
      </w:tr>
      <w:tr w:rsidRPr="00F45143" w:rsidR="00145725" w:rsidTr="00933EAA" w14:paraId="3A4196A1" w14:textId="77777777">
        <w:trPr>
          <w:trHeight w:val="290"/>
        </w:trPr>
        <w:tc>
          <w:tcPr>
            <w:tcW w:w="2610" w:type="dxa"/>
            <w:noWrap/>
            <w:hideMark/>
          </w:tcPr>
          <w:p w:rsidRPr="00F45143" w:rsidR="00145725" w:rsidP="00933EAA" w:rsidRDefault="00145725" w14:paraId="3B542D2C" w14:textId="77777777">
            <w:pPr>
              <w:rPr>
                <w:rFonts w:asciiTheme="minorHAnsi" w:hAnsiTheme="minorHAnsi" w:cstheme="minorHAnsi"/>
                <w:sz w:val="18"/>
              </w:rPr>
            </w:pPr>
            <w:r w:rsidRPr="00F45143">
              <w:rPr>
                <w:rFonts w:asciiTheme="minorHAnsi" w:hAnsiTheme="minorHAnsi" w:cstheme="minorHAnsi"/>
                <w:sz w:val="18"/>
              </w:rPr>
              <w:t xml:space="preserve">   Grants Management 2</w:t>
            </w:r>
          </w:p>
        </w:tc>
        <w:tc>
          <w:tcPr>
            <w:tcW w:w="1119" w:type="dxa"/>
            <w:noWrap/>
            <w:hideMark/>
          </w:tcPr>
          <w:p w:rsidRPr="00F45143" w:rsidR="00145725" w:rsidP="00933EAA" w:rsidRDefault="00145725" w14:paraId="2755D76A" w14:textId="77777777">
            <w:pPr>
              <w:jc w:val="center"/>
              <w:rPr>
                <w:rFonts w:asciiTheme="minorHAnsi" w:hAnsiTheme="minorHAnsi" w:cstheme="minorHAnsi"/>
                <w:sz w:val="18"/>
              </w:rPr>
            </w:pPr>
            <w:r w:rsidRPr="00F45143">
              <w:rPr>
                <w:rFonts w:asciiTheme="minorHAnsi" w:hAnsiTheme="minorHAnsi" w:cstheme="minorHAnsi"/>
                <w:sz w:val="18"/>
              </w:rPr>
              <w:t>GS-13/10</w:t>
            </w:r>
          </w:p>
        </w:tc>
        <w:tc>
          <w:tcPr>
            <w:tcW w:w="1214" w:type="dxa"/>
            <w:noWrap/>
            <w:hideMark/>
          </w:tcPr>
          <w:p w:rsidRPr="00F45143" w:rsidR="00145725" w:rsidP="00933EAA" w:rsidRDefault="00145725" w14:paraId="2335BC99" w14:textId="77777777">
            <w:pPr>
              <w:jc w:val="right"/>
              <w:rPr>
                <w:rFonts w:asciiTheme="minorHAnsi" w:hAnsiTheme="minorHAnsi" w:cstheme="minorHAnsi"/>
                <w:sz w:val="18"/>
              </w:rPr>
            </w:pPr>
            <w:r w:rsidRPr="00F45143">
              <w:rPr>
                <w:rFonts w:asciiTheme="minorHAnsi" w:hAnsiTheme="minorHAnsi" w:cstheme="minorHAnsi"/>
                <w:sz w:val="18"/>
              </w:rPr>
              <w:t xml:space="preserve">$126,062.00 </w:t>
            </w:r>
          </w:p>
        </w:tc>
        <w:tc>
          <w:tcPr>
            <w:tcW w:w="722" w:type="dxa"/>
            <w:noWrap/>
            <w:hideMark/>
          </w:tcPr>
          <w:p w:rsidRPr="00F45143" w:rsidR="00145725" w:rsidP="00933EAA" w:rsidRDefault="00145725" w14:paraId="5F91112C" w14:textId="77777777">
            <w:pPr>
              <w:jc w:val="center"/>
              <w:rPr>
                <w:rFonts w:asciiTheme="minorHAnsi" w:hAnsiTheme="minorHAnsi" w:cstheme="minorHAnsi"/>
                <w:sz w:val="18"/>
              </w:rPr>
            </w:pPr>
            <w:r w:rsidRPr="00F45143">
              <w:rPr>
                <w:rFonts w:asciiTheme="minorHAnsi" w:hAnsiTheme="minorHAnsi" w:cstheme="minorHAnsi"/>
                <w:sz w:val="18"/>
              </w:rPr>
              <w:t>0.4</w:t>
            </w:r>
          </w:p>
        </w:tc>
        <w:tc>
          <w:tcPr>
            <w:tcW w:w="1260" w:type="dxa"/>
            <w:shd w:val="clear" w:color="auto" w:fill="D9D9D9" w:themeFill="background1" w:themeFillShade="D9"/>
            <w:noWrap/>
            <w:hideMark/>
          </w:tcPr>
          <w:p w:rsidRPr="00F45143" w:rsidR="00145725" w:rsidP="00933EAA" w:rsidRDefault="00145725" w14:paraId="5B4CABC9"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27671FF4" w14:textId="77777777">
            <w:pPr>
              <w:jc w:val="right"/>
              <w:rPr>
                <w:rFonts w:asciiTheme="minorHAnsi" w:hAnsiTheme="minorHAnsi" w:cstheme="minorHAnsi"/>
                <w:sz w:val="18"/>
              </w:rPr>
            </w:pPr>
            <w:r w:rsidRPr="00F45143">
              <w:rPr>
                <w:rFonts w:asciiTheme="minorHAnsi" w:hAnsiTheme="minorHAnsi" w:cstheme="minorHAnsi"/>
                <w:sz w:val="18"/>
              </w:rPr>
              <w:t xml:space="preserve">$50,424.80 </w:t>
            </w:r>
          </w:p>
        </w:tc>
      </w:tr>
      <w:tr w:rsidRPr="00F45143" w:rsidR="00145725" w:rsidTr="00933EAA" w14:paraId="260F763F" w14:textId="77777777">
        <w:trPr>
          <w:trHeight w:val="290"/>
        </w:trPr>
        <w:tc>
          <w:tcPr>
            <w:tcW w:w="2610" w:type="dxa"/>
            <w:noWrap/>
            <w:hideMark/>
          </w:tcPr>
          <w:p w:rsidRPr="00F45143" w:rsidR="00145725" w:rsidP="00933EAA" w:rsidRDefault="00145725" w14:paraId="013C60CE" w14:textId="77777777">
            <w:pPr>
              <w:rPr>
                <w:rFonts w:asciiTheme="minorHAnsi" w:hAnsiTheme="minorHAnsi" w:cstheme="minorHAnsi"/>
                <w:sz w:val="18"/>
              </w:rPr>
            </w:pPr>
            <w:r w:rsidRPr="00F45143">
              <w:rPr>
                <w:rFonts w:asciiTheme="minorHAnsi" w:hAnsiTheme="minorHAnsi" w:cstheme="minorHAnsi"/>
                <w:sz w:val="18"/>
              </w:rPr>
              <w:t xml:space="preserve">   Grants Management 3</w:t>
            </w:r>
          </w:p>
        </w:tc>
        <w:tc>
          <w:tcPr>
            <w:tcW w:w="1119" w:type="dxa"/>
            <w:noWrap/>
            <w:hideMark/>
          </w:tcPr>
          <w:p w:rsidRPr="00F45143" w:rsidR="00145725" w:rsidP="00933EAA" w:rsidRDefault="00145725" w14:paraId="045A68CD" w14:textId="77777777">
            <w:pPr>
              <w:jc w:val="center"/>
              <w:rPr>
                <w:rFonts w:asciiTheme="minorHAnsi" w:hAnsiTheme="minorHAnsi" w:cstheme="minorHAnsi"/>
                <w:sz w:val="18"/>
              </w:rPr>
            </w:pPr>
            <w:r w:rsidRPr="00F45143">
              <w:rPr>
                <w:rFonts w:asciiTheme="minorHAnsi" w:hAnsiTheme="minorHAnsi" w:cstheme="minorHAnsi"/>
                <w:sz w:val="18"/>
              </w:rPr>
              <w:t>GS-13/8</w:t>
            </w:r>
          </w:p>
        </w:tc>
        <w:tc>
          <w:tcPr>
            <w:tcW w:w="1214" w:type="dxa"/>
            <w:noWrap/>
            <w:hideMark/>
          </w:tcPr>
          <w:p w:rsidRPr="00F45143" w:rsidR="00145725" w:rsidP="00933EAA" w:rsidRDefault="00145725" w14:paraId="1B73292A" w14:textId="77777777">
            <w:pPr>
              <w:jc w:val="right"/>
              <w:rPr>
                <w:rFonts w:asciiTheme="minorHAnsi" w:hAnsiTheme="minorHAnsi" w:cstheme="minorHAnsi"/>
                <w:sz w:val="18"/>
              </w:rPr>
            </w:pPr>
            <w:r w:rsidRPr="00F45143">
              <w:rPr>
                <w:rFonts w:asciiTheme="minorHAnsi" w:hAnsiTheme="minorHAnsi" w:cstheme="minorHAnsi"/>
                <w:sz w:val="18"/>
              </w:rPr>
              <w:t xml:space="preserve">$119,597.00 </w:t>
            </w:r>
          </w:p>
        </w:tc>
        <w:tc>
          <w:tcPr>
            <w:tcW w:w="722" w:type="dxa"/>
            <w:noWrap/>
            <w:hideMark/>
          </w:tcPr>
          <w:p w:rsidRPr="00F45143" w:rsidR="00145725" w:rsidP="00933EAA" w:rsidRDefault="00145725" w14:paraId="2BFEE112" w14:textId="77777777">
            <w:pPr>
              <w:jc w:val="center"/>
              <w:rPr>
                <w:rFonts w:asciiTheme="minorHAnsi" w:hAnsiTheme="minorHAnsi" w:cstheme="minorHAnsi"/>
                <w:sz w:val="18"/>
              </w:rPr>
            </w:pPr>
            <w:r w:rsidRPr="00F45143">
              <w:rPr>
                <w:rFonts w:asciiTheme="minorHAnsi" w:hAnsiTheme="minorHAnsi" w:cstheme="minorHAnsi"/>
                <w:sz w:val="18"/>
              </w:rPr>
              <w:t>0.2</w:t>
            </w:r>
          </w:p>
        </w:tc>
        <w:tc>
          <w:tcPr>
            <w:tcW w:w="1260" w:type="dxa"/>
            <w:shd w:val="clear" w:color="auto" w:fill="D9D9D9" w:themeFill="background1" w:themeFillShade="D9"/>
            <w:noWrap/>
            <w:hideMark/>
          </w:tcPr>
          <w:p w:rsidRPr="00F45143" w:rsidR="00145725" w:rsidP="00933EAA" w:rsidRDefault="00145725" w14:paraId="6C0D3B8D"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52B287C5" w14:textId="77777777">
            <w:pPr>
              <w:jc w:val="right"/>
              <w:rPr>
                <w:rFonts w:asciiTheme="minorHAnsi" w:hAnsiTheme="minorHAnsi" w:cstheme="minorHAnsi"/>
                <w:sz w:val="18"/>
              </w:rPr>
            </w:pPr>
            <w:r w:rsidRPr="00F45143">
              <w:rPr>
                <w:rFonts w:asciiTheme="minorHAnsi" w:hAnsiTheme="minorHAnsi" w:cstheme="minorHAnsi"/>
                <w:sz w:val="18"/>
              </w:rPr>
              <w:t xml:space="preserve">$23,919.40 </w:t>
            </w:r>
          </w:p>
        </w:tc>
      </w:tr>
      <w:tr w:rsidRPr="00F45143" w:rsidR="00145725" w:rsidTr="00933EAA" w14:paraId="6AB6B9C9" w14:textId="77777777">
        <w:trPr>
          <w:trHeight w:val="290"/>
        </w:trPr>
        <w:tc>
          <w:tcPr>
            <w:tcW w:w="2610" w:type="dxa"/>
            <w:noWrap/>
            <w:hideMark/>
          </w:tcPr>
          <w:p w:rsidRPr="00F45143" w:rsidR="00145725" w:rsidP="00933EAA" w:rsidRDefault="00145725" w14:paraId="3A381505" w14:textId="77777777">
            <w:pPr>
              <w:rPr>
                <w:rFonts w:asciiTheme="minorHAnsi" w:hAnsiTheme="minorHAnsi" w:cstheme="minorHAnsi"/>
                <w:sz w:val="18"/>
              </w:rPr>
            </w:pPr>
            <w:r w:rsidRPr="00F45143">
              <w:rPr>
                <w:rFonts w:asciiTheme="minorHAnsi" w:hAnsiTheme="minorHAnsi" w:cstheme="minorHAnsi"/>
                <w:sz w:val="18"/>
              </w:rPr>
              <w:t xml:space="preserve">   Grants Management 4</w:t>
            </w:r>
          </w:p>
        </w:tc>
        <w:tc>
          <w:tcPr>
            <w:tcW w:w="1119" w:type="dxa"/>
            <w:noWrap/>
            <w:hideMark/>
          </w:tcPr>
          <w:p w:rsidRPr="00F45143" w:rsidR="00145725" w:rsidP="00933EAA" w:rsidRDefault="00145725" w14:paraId="148B3B42" w14:textId="77777777">
            <w:pPr>
              <w:jc w:val="center"/>
              <w:rPr>
                <w:rFonts w:asciiTheme="minorHAnsi" w:hAnsiTheme="minorHAnsi" w:cstheme="minorHAnsi"/>
                <w:sz w:val="18"/>
              </w:rPr>
            </w:pPr>
            <w:r w:rsidRPr="00F45143">
              <w:rPr>
                <w:rFonts w:asciiTheme="minorHAnsi" w:hAnsiTheme="minorHAnsi" w:cstheme="minorHAnsi"/>
                <w:sz w:val="18"/>
              </w:rPr>
              <w:t>GS-13/7</w:t>
            </w:r>
          </w:p>
        </w:tc>
        <w:tc>
          <w:tcPr>
            <w:tcW w:w="1214" w:type="dxa"/>
            <w:noWrap/>
            <w:hideMark/>
          </w:tcPr>
          <w:p w:rsidRPr="00F45143" w:rsidR="00145725" w:rsidP="00933EAA" w:rsidRDefault="00145725" w14:paraId="3C6D0FAB" w14:textId="77777777">
            <w:pPr>
              <w:jc w:val="right"/>
              <w:rPr>
                <w:rFonts w:asciiTheme="minorHAnsi" w:hAnsiTheme="minorHAnsi" w:cstheme="minorHAnsi"/>
                <w:sz w:val="18"/>
              </w:rPr>
            </w:pPr>
            <w:r w:rsidRPr="00F45143">
              <w:rPr>
                <w:rFonts w:asciiTheme="minorHAnsi" w:hAnsiTheme="minorHAnsi" w:cstheme="minorHAnsi"/>
                <w:sz w:val="18"/>
              </w:rPr>
              <w:t xml:space="preserve">$116,365.00 </w:t>
            </w:r>
          </w:p>
        </w:tc>
        <w:tc>
          <w:tcPr>
            <w:tcW w:w="722" w:type="dxa"/>
            <w:noWrap/>
            <w:hideMark/>
          </w:tcPr>
          <w:p w:rsidRPr="00F45143" w:rsidR="00145725" w:rsidP="00933EAA" w:rsidRDefault="00145725" w14:paraId="3EFEF1E8" w14:textId="77777777">
            <w:pPr>
              <w:jc w:val="center"/>
              <w:rPr>
                <w:rFonts w:asciiTheme="minorHAnsi" w:hAnsiTheme="minorHAnsi" w:cstheme="minorHAnsi"/>
                <w:sz w:val="18"/>
              </w:rPr>
            </w:pPr>
            <w:r w:rsidRPr="00F45143">
              <w:rPr>
                <w:rFonts w:asciiTheme="minorHAnsi" w:hAnsiTheme="minorHAnsi" w:cstheme="minorHAnsi"/>
                <w:sz w:val="18"/>
              </w:rPr>
              <w:t>0.3</w:t>
            </w:r>
          </w:p>
        </w:tc>
        <w:tc>
          <w:tcPr>
            <w:tcW w:w="1260" w:type="dxa"/>
            <w:shd w:val="clear" w:color="auto" w:fill="D9D9D9" w:themeFill="background1" w:themeFillShade="D9"/>
            <w:noWrap/>
            <w:hideMark/>
          </w:tcPr>
          <w:p w:rsidRPr="00F45143" w:rsidR="00145725" w:rsidP="00933EAA" w:rsidRDefault="00145725" w14:paraId="55932281"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089F84CF" w14:textId="77777777">
            <w:pPr>
              <w:jc w:val="right"/>
              <w:rPr>
                <w:rFonts w:asciiTheme="minorHAnsi" w:hAnsiTheme="minorHAnsi" w:cstheme="minorHAnsi"/>
                <w:sz w:val="18"/>
              </w:rPr>
            </w:pPr>
            <w:r w:rsidRPr="00F45143">
              <w:rPr>
                <w:rFonts w:asciiTheme="minorHAnsi" w:hAnsiTheme="minorHAnsi" w:cstheme="minorHAnsi"/>
                <w:sz w:val="18"/>
              </w:rPr>
              <w:t xml:space="preserve">$34,909.50 </w:t>
            </w:r>
          </w:p>
        </w:tc>
      </w:tr>
      <w:tr w:rsidRPr="00F45143" w:rsidR="00145725" w:rsidTr="00933EAA" w14:paraId="556FD003" w14:textId="77777777">
        <w:trPr>
          <w:trHeight w:val="290"/>
        </w:trPr>
        <w:tc>
          <w:tcPr>
            <w:tcW w:w="2610" w:type="dxa"/>
            <w:noWrap/>
            <w:hideMark/>
          </w:tcPr>
          <w:p w:rsidRPr="00F45143" w:rsidR="00145725" w:rsidP="00933EAA" w:rsidRDefault="00145725" w14:paraId="7F0243E2" w14:textId="77777777">
            <w:pPr>
              <w:rPr>
                <w:rFonts w:asciiTheme="minorHAnsi" w:hAnsiTheme="minorHAnsi" w:cstheme="minorHAnsi"/>
                <w:sz w:val="18"/>
              </w:rPr>
            </w:pPr>
            <w:r w:rsidRPr="00F45143">
              <w:rPr>
                <w:rFonts w:asciiTheme="minorHAnsi" w:hAnsiTheme="minorHAnsi" w:cstheme="minorHAnsi"/>
                <w:sz w:val="18"/>
              </w:rPr>
              <w:t xml:space="preserve">   Grants Management 5</w:t>
            </w:r>
          </w:p>
        </w:tc>
        <w:tc>
          <w:tcPr>
            <w:tcW w:w="1119" w:type="dxa"/>
            <w:noWrap/>
            <w:hideMark/>
          </w:tcPr>
          <w:p w:rsidRPr="00F45143" w:rsidR="00145725" w:rsidP="00933EAA" w:rsidRDefault="00145725" w14:paraId="14F33C93" w14:textId="77777777">
            <w:pPr>
              <w:jc w:val="center"/>
              <w:rPr>
                <w:rFonts w:asciiTheme="minorHAnsi" w:hAnsiTheme="minorHAnsi" w:cstheme="minorHAnsi"/>
                <w:sz w:val="18"/>
              </w:rPr>
            </w:pPr>
            <w:r w:rsidRPr="00F45143">
              <w:rPr>
                <w:rFonts w:asciiTheme="minorHAnsi" w:hAnsiTheme="minorHAnsi" w:cstheme="minorHAnsi"/>
                <w:sz w:val="18"/>
              </w:rPr>
              <w:t>GS-13/6</w:t>
            </w:r>
          </w:p>
        </w:tc>
        <w:tc>
          <w:tcPr>
            <w:tcW w:w="1214" w:type="dxa"/>
            <w:noWrap/>
            <w:hideMark/>
          </w:tcPr>
          <w:p w:rsidRPr="00F45143" w:rsidR="00145725" w:rsidP="00933EAA" w:rsidRDefault="00145725" w14:paraId="52679676" w14:textId="77777777">
            <w:pPr>
              <w:jc w:val="right"/>
              <w:rPr>
                <w:rFonts w:asciiTheme="minorHAnsi" w:hAnsiTheme="minorHAnsi" w:cstheme="minorHAnsi"/>
                <w:sz w:val="18"/>
              </w:rPr>
            </w:pPr>
            <w:r w:rsidRPr="00F45143">
              <w:rPr>
                <w:rFonts w:asciiTheme="minorHAnsi" w:hAnsiTheme="minorHAnsi" w:cstheme="minorHAnsi"/>
                <w:sz w:val="18"/>
              </w:rPr>
              <w:t xml:space="preserve">$113,132.00 </w:t>
            </w:r>
          </w:p>
        </w:tc>
        <w:tc>
          <w:tcPr>
            <w:tcW w:w="722" w:type="dxa"/>
            <w:noWrap/>
            <w:hideMark/>
          </w:tcPr>
          <w:p w:rsidRPr="00F45143" w:rsidR="00145725" w:rsidP="00933EAA" w:rsidRDefault="00145725" w14:paraId="6B041C82" w14:textId="77777777">
            <w:pPr>
              <w:jc w:val="center"/>
              <w:rPr>
                <w:rFonts w:asciiTheme="minorHAnsi" w:hAnsiTheme="minorHAnsi" w:cstheme="minorHAnsi"/>
                <w:sz w:val="18"/>
              </w:rPr>
            </w:pPr>
            <w:r w:rsidRPr="00F45143">
              <w:rPr>
                <w:rFonts w:asciiTheme="minorHAnsi" w:hAnsiTheme="minorHAnsi" w:cstheme="minorHAnsi"/>
                <w:sz w:val="18"/>
              </w:rPr>
              <w:t>0.3</w:t>
            </w:r>
          </w:p>
        </w:tc>
        <w:tc>
          <w:tcPr>
            <w:tcW w:w="1260" w:type="dxa"/>
            <w:shd w:val="clear" w:color="auto" w:fill="D9D9D9" w:themeFill="background1" w:themeFillShade="D9"/>
            <w:noWrap/>
            <w:hideMark/>
          </w:tcPr>
          <w:p w:rsidRPr="00F45143" w:rsidR="00145725" w:rsidP="00933EAA" w:rsidRDefault="00145725" w14:paraId="17C699CB"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3906D03F" w14:textId="77777777">
            <w:pPr>
              <w:jc w:val="right"/>
              <w:rPr>
                <w:rFonts w:asciiTheme="minorHAnsi" w:hAnsiTheme="minorHAnsi" w:cstheme="minorHAnsi"/>
                <w:sz w:val="18"/>
              </w:rPr>
            </w:pPr>
            <w:r w:rsidRPr="00F45143">
              <w:rPr>
                <w:rFonts w:asciiTheme="minorHAnsi" w:hAnsiTheme="minorHAnsi" w:cstheme="minorHAnsi"/>
                <w:sz w:val="18"/>
              </w:rPr>
              <w:t xml:space="preserve">$33,939.60 </w:t>
            </w:r>
          </w:p>
        </w:tc>
      </w:tr>
      <w:tr w:rsidRPr="00F45143" w:rsidR="00145725" w:rsidTr="00933EAA" w14:paraId="19DAECAA" w14:textId="77777777">
        <w:trPr>
          <w:trHeight w:val="290"/>
        </w:trPr>
        <w:tc>
          <w:tcPr>
            <w:tcW w:w="2610" w:type="dxa"/>
            <w:noWrap/>
            <w:hideMark/>
          </w:tcPr>
          <w:p w:rsidRPr="00F45143" w:rsidR="00145725" w:rsidP="00933EAA" w:rsidRDefault="00145725" w14:paraId="3D8BD5BC" w14:textId="77777777">
            <w:pPr>
              <w:rPr>
                <w:rFonts w:asciiTheme="minorHAnsi" w:hAnsiTheme="minorHAnsi" w:cstheme="minorHAnsi"/>
                <w:sz w:val="18"/>
              </w:rPr>
            </w:pPr>
            <w:r w:rsidRPr="00F45143">
              <w:rPr>
                <w:rFonts w:asciiTheme="minorHAnsi" w:hAnsiTheme="minorHAnsi" w:cstheme="minorHAnsi"/>
                <w:sz w:val="18"/>
              </w:rPr>
              <w:t xml:space="preserve">   Grants Management 6</w:t>
            </w:r>
          </w:p>
        </w:tc>
        <w:tc>
          <w:tcPr>
            <w:tcW w:w="1119" w:type="dxa"/>
            <w:noWrap/>
            <w:hideMark/>
          </w:tcPr>
          <w:p w:rsidRPr="00F45143" w:rsidR="00145725" w:rsidP="00933EAA" w:rsidRDefault="00145725" w14:paraId="3893748D" w14:textId="77777777">
            <w:pPr>
              <w:jc w:val="center"/>
              <w:rPr>
                <w:rFonts w:asciiTheme="minorHAnsi" w:hAnsiTheme="minorHAnsi" w:cstheme="minorHAnsi"/>
                <w:sz w:val="18"/>
              </w:rPr>
            </w:pPr>
            <w:r w:rsidRPr="00F45143">
              <w:rPr>
                <w:rFonts w:asciiTheme="minorHAnsi" w:hAnsiTheme="minorHAnsi" w:cstheme="minorHAnsi"/>
                <w:sz w:val="18"/>
              </w:rPr>
              <w:t>GS-13/4</w:t>
            </w:r>
          </w:p>
        </w:tc>
        <w:tc>
          <w:tcPr>
            <w:tcW w:w="1214" w:type="dxa"/>
            <w:noWrap/>
            <w:hideMark/>
          </w:tcPr>
          <w:p w:rsidRPr="00F45143" w:rsidR="00145725" w:rsidP="00933EAA" w:rsidRDefault="00145725" w14:paraId="0BEB043E" w14:textId="77777777">
            <w:pPr>
              <w:jc w:val="right"/>
              <w:rPr>
                <w:rFonts w:asciiTheme="minorHAnsi" w:hAnsiTheme="minorHAnsi" w:cstheme="minorHAnsi"/>
                <w:sz w:val="18"/>
              </w:rPr>
            </w:pPr>
            <w:r w:rsidRPr="00F45143">
              <w:rPr>
                <w:rFonts w:asciiTheme="minorHAnsi" w:hAnsiTheme="minorHAnsi" w:cstheme="minorHAnsi"/>
                <w:sz w:val="18"/>
              </w:rPr>
              <w:t xml:space="preserve">$106,668.00 </w:t>
            </w:r>
          </w:p>
        </w:tc>
        <w:tc>
          <w:tcPr>
            <w:tcW w:w="722" w:type="dxa"/>
            <w:noWrap/>
            <w:hideMark/>
          </w:tcPr>
          <w:p w:rsidRPr="00F45143" w:rsidR="00145725" w:rsidP="00933EAA" w:rsidRDefault="00145725" w14:paraId="520E68C8" w14:textId="77777777">
            <w:pPr>
              <w:jc w:val="center"/>
              <w:rPr>
                <w:rFonts w:asciiTheme="minorHAnsi" w:hAnsiTheme="minorHAnsi" w:cstheme="minorHAnsi"/>
                <w:sz w:val="18"/>
              </w:rPr>
            </w:pPr>
            <w:r w:rsidRPr="00F45143">
              <w:rPr>
                <w:rFonts w:asciiTheme="minorHAnsi" w:hAnsiTheme="minorHAnsi" w:cstheme="minorHAnsi"/>
                <w:sz w:val="18"/>
              </w:rPr>
              <w:t>0.2</w:t>
            </w:r>
          </w:p>
        </w:tc>
        <w:tc>
          <w:tcPr>
            <w:tcW w:w="1260" w:type="dxa"/>
            <w:shd w:val="clear" w:color="auto" w:fill="D9D9D9" w:themeFill="background1" w:themeFillShade="D9"/>
            <w:noWrap/>
            <w:hideMark/>
          </w:tcPr>
          <w:p w:rsidRPr="00F45143" w:rsidR="00145725" w:rsidP="00933EAA" w:rsidRDefault="00145725" w14:paraId="0DD6AB95"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7F812E52" w14:textId="77777777">
            <w:pPr>
              <w:jc w:val="right"/>
              <w:rPr>
                <w:rFonts w:asciiTheme="minorHAnsi" w:hAnsiTheme="minorHAnsi" w:cstheme="minorHAnsi"/>
                <w:sz w:val="18"/>
              </w:rPr>
            </w:pPr>
            <w:r w:rsidRPr="00F45143">
              <w:rPr>
                <w:rFonts w:asciiTheme="minorHAnsi" w:hAnsiTheme="minorHAnsi" w:cstheme="minorHAnsi"/>
                <w:sz w:val="18"/>
              </w:rPr>
              <w:t xml:space="preserve">$21,333.60 </w:t>
            </w:r>
          </w:p>
        </w:tc>
      </w:tr>
      <w:tr w:rsidRPr="00F45143" w:rsidR="00145725" w:rsidTr="00933EAA" w14:paraId="6CBEBCE3" w14:textId="77777777">
        <w:trPr>
          <w:trHeight w:val="290"/>
        </w:trPr>
        <w:tc>
          <w:tcPr>
            <w:tcW w:w="2610" w:type="dxa"/>
            <w:noWrap/>
            <w:hideMark/>
          </w:tcPr>
          <w:p w:rsidRPr="00F45143" w:rsidR="00145725" w:rsidP="00933EAA" w:rsidRDefault="00145725" w14:paraId="7EB5E662" w14:textId="77777777">
            <w:pPr>
              <w:rPr>
                <w:rFonts w:asciiTheme="minorHAnsi" w:hAnsiTheme="minorHAnsi" w:cstheme="minorHAnsi"/>
                <w:sz w:val="18"/>
              </w:rPr>
            </w:pPr>
            <w:r w:rsidRPr="00F45143">
              <w:rPr>
                <w:rFonts w:asciiTheme="minorHAnsi" w:hAnsiTheme="minorHAnsi" w:cstheme="minorHAnsi"/>
                <w:sz w:val="18"/>
              </w:rPr>
              <w:t xml:space="preserve">   Program Officer BUILD 1</w:t>
            </w:r>
          </w:p>
        </w:tc>
        <w:tc>
          <w:tcPr>
            <w:tcW w:w="1119" w:type="dxa"/>
            <w:noWrap/>
            <w:hideMark/>
          </w:tcPr>
          <w:p w:rsidRPr="00F45143" w:rsidR="00145725" w:rsidP="00933EAA" w:rsidRDefault="00145725" w14:paraId="23543963" w14:textId="77777777">
            <w:pPr>
              <w:jc w:val="center"/>
              <w:rPr>
                <w:rFonts w:asciiTheme="minorHAnsi" w:hAnsiTheme="minorHAnsi" w:cstheme="minorHAnsi"/>
                <w:sz w:val="18"/>
              </w:rPr>
            </w:pPr>
            <w:r w:rsidRPr="00F45143">
              <w:rPr>
                <w:rFonts w:asciiTheme="minorHAnsi" w:hAnsiTheme="minorHAnsi" w:cstheme="minorHAnsi"/>
                <w:sz w:val="18"/>
              </w:rPr>
              <w:t>GS-14/3</w:t>
            </w:r>
          </w:p>
        </w:tc>
        <w:tc>
          <w:tcPr>
            <w:tcW w:w="1214" w:type="dxa"/>
            <w:noWrap/>
            <w:hideMark/>
          </w:tcPr>
          <w:p w:rsidRPr="00F45143" w:rsidR="00145725" w:rsidP="00933EAA" w:rsidRDefault="00145725" w14:paraId="712A4123" w14:textId="77777777">
            <w:pPr>
              <w:jc w:val="right"/>
              <w:rPr>
                <w:rFonts w:asciiTheme="minorHAnsi" w:hAnsiTheme="minorHAnsi" w:cstheme="minorHAnsi"/>
                <w:sz w:val="18"/>
              </w:rPr>
            </w:pPr>
            <w:r w:rsidRPr="00F45143">
              <w:rPr>
                <w:rFonts w:asciiTheme="minorHAnsi" w:hAnsiTheme="minorHAnsi" w:cstheme="minorHAnsi"/>
                <w:sz w:val="18"/>
              </w:rPr>
              <w:t xml:space="preserve">$122,230.00 </w:t>
            </w:r>
          </w:p>
        </w:tc>
        <w:tc>
          <w:tcPr>
            <w:tcW w:w="722" w:type="dxa"/>
            <w:noWrap/>
            <w:hideMark/>
          </w:tcPr>
          <w:p w:rsidRPr="00F45143" w:rsidR="00145725" w:rsidP="00933EAA" w:rsidRDefault="00145725" w14:paraId="7D11C210" w14:textId="77777777">
            <w:pPr>
              <w:jc w:val="center"/>
              <w:rPr>
                <w:rFonts w:asciiTheme="minorHAnsi" w:hAnsiTheme="minorHAnsi" w:cstheme="minorHAnsi"/>
                <w:sz w:val="18"/>
              </w:rPr>
            </w:pPr>
            <w:r w:rsidRPr="00F45143">
              <w:rPr>
                <w:rFonts w:asciiTheme="minorHAnsi" w:hAnsiTheme="minorHAnsi" w:cstheme="minorHAnsi"/>
                <w:sz w:val="18"/>
              </w:rPr>
              <w:t>0.6</w:t>
            </w:r>
          </w:p>
        </w:tc>
        <w:tc>
          <w:tcPr>
            <w:tcW w:w="1260" w:type="dxa"/>
            <w:shd w:val="clear" w:color="auto" w:fill="D9D9D9" w:themeFill="background1" w:themeFillShade="D9"/>
            <w:noWrap/>
            <w:hideMark/>
          </w:tcPr>
          <w:p w:rsidRPr="00F45143" w:rsidR="00145725" w:rsidP="00933EAA" w:rsidRDefault="00145725" w14:paraId="2D4EE4D0"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46ACC2EC" w14:textId="77777777">
            <w:pPr>
              <w:jc w:val="right"/>
              <w:rPr>
                <w:rFonts w:asciiTheme="minorHAnsi" w:hAnsiTheme="minorHAnsi" w:cstheme="minorHAnsi"/>
                <w:sz w:val="18"/>
              </w:rPr>
            </w:pPr>
            <w:r w:rsidRPr="00F45143">
              <w:rPr>
                <w:rFonts w:asciiTheme="minorHAnsi" w:hAnsiTheme="minorHAnsi" w:cstheme="minorHAnsi"/>
                <w:sz w:val="18"/>
              </w:rPr>
              <w:t xml:space="preserve">$73,338.00 </w:t>
            </w:r>
          </w:p>
        </w:tc>
      </w:tr>
      <w:tr w:rsidRPr="00F45143" w:rsidR="00145725" w:rsidTr="00933EAA" w14:paraId="08273522" w14:textId="77777777">
        <w:trPr>
          <w:trHeight w:val="290"/>
        </w:trPr>
        <w:tc>
          <w:tcPr>
            <w:tcW w:w="2610" w:type="dxa"/>
            <w:noWrap/>
            <w:hideMark/>
          </w:tcPr>
          <w:p w:rsidRPr="00F45143" w:rsidR="00145725" w:rsidP="00933EAA" w:rsidRDefault="00145725" w14:paraId="6C61328B" w14:textId="77777777">
            <w:pPr>
              <w:rPr>
                <w:rFonts w:asciiTheme="minorHAnsi" w:hAnsiTheme="minorHAnsi" w:cstheme="minorHAnsi"/>
                <w:sz w:val="18"/>
              </w:rPr>
            </w:pPr>
            <w:r w:rsidRPr="00F45143">
              <w:rPr>
                <w:rFonts w:asciiTheme="minorHAnsi" w:hAnsiTheme="minorHAnsi" w:cstheme="minorHAnsi"/>
                <w:sz w:val="18"/>
              </w:rPr>
              <w:t xml:space="preserve">   Program Officer BUILD 2</w:t>
            </w:r>
          </w:p>
        </w:tc>
        <w:tc>
          <w:tcPr>
            <w:tcW w:w="1119" w:type="dxa"/>
            <w:noWrap/>
            <w:hideMark/>
          </w:tcPr>
          <w:p w:rsidRPr="00F45143" w:rsidR="00145725" w:rsidP="00933EAA" w:rsidRDefault="00145725" w14:paraId="67DCF5DB" w14:textId="77777777">
            <w:pPr>
              <w:jc w:val="center"/>
              <w:rPr>
                <w:rFonts w:asciiTheme="minorHAnsi" w:hAnsiTheme="minorHAnsi" w:cstheme="minorHAnsi"/>
                <w:sz w:val="18"/>
              </w:rPr>
            </w:pPr>
            <w:r w:rsidRPr="00F45143">
              <w:rPr>
                <w:rFonts w:asciiTheme="minorHAnsi" w:hAnsiTheme="minorHAnsi" w:cstheme="minorHAnsi"/>
                <w:sz w:val="18"/>
              </w:rPr>
              <w:t>GS-14/1</w:t>
            </w:r>
          </w:p>
        </w:tc>
        <w:tc>
          <w:tcPr>
            <w:tcW w:w="1214" w:type="dxa"/>
            <w:noWrap/>
            <w:hideMark/>
          </w:tcPr>
          <w:p w:rsidRPr="00F45143" w:rsidR="00145725" w:rsidP="00933EAA" w:rsidRDefault="00145725" w14:paraId="22D0BA09" w14:textId="77777777">
            <w:pPr>
              <w:jc w:val="right"/>
              <w:rPr>
                <w:rFonts w:asciiTheme="minorHAnsi" w:hAnsiTheme="minorHAnsi" w:cstheme="minorHAnsi"/>
                <w:sz w:val="18"/>
              </w:rPr>
            </w:pPr>
            <w:r w:rsidRPr="00F45143">
              <w:rPr>
                <w:rFonts w:asciiTheme="minorHAnsi" w:hAnsiTheme="minorHAnsi" w:cstheme="minorHAnsi"/>
                <w:sz w:val="18"/>
              </w:rPr>
              <w:t xml:space="preserve">$114,590.00 </w:t>
            </w:r>
          </w:p>
        </w:tc>
        <w:tc>
          <w:tcPr>
            <w:tcW w:w="722" w:type="dxa"/>
            <w:noWrap/>
            <w:hideMark/>
          </w:tcPr>
          <w:p w:rsidRPr="00F45143" w:rsidR="00145725" w:rsidP="00933EAA" w:rsidRDefault="00145725" w14:paraId="3C7DBF31" w14:textId="77777777">
            <w:pPr>
              <w:jc w:val="center"/>
              <w:rPr>
                <w:rFonts w:asciiTheme="minorHAnsi" w:hAnsiTheme="minorHAnsi" w:cstheme="minorHAnsi"/>
                <w:sz w:val="18"/>
              </w:rPr>
            </w:pPr>
            <w:r w:rsidRPr="00F45143">
              <w:rPr>
                <w:rFonts w:asciiTheme="minorHAnsi" w:hAnsiTheme="minorHAnsi" w:cstheme="minorHAnsi"/>
                <w:sz w:val="18"/>
              </w:rPr>
              <w:t>0.25</w:t>
            </w:r>
          </w:p>
        </w:tc>
        <w:tc>
          <w:tcPr>
            <w:tcW w:w="1260" w:type="dxa"/>
            <w:shd w:val="clear" w:color="auto" w:fill="D9D9D9" w:themeFill="background1" w:themeFillShade="D9"/>
            <w:noWrap/>
            <w:hideMark/>
          </w:tcPr>
          <w:p w:rsidRPr="00F45143" w:rsidR="00145725" w:rsidP="00933EAA" w:rsidRDefault="00145725" w14:paraId="3F1C7F10"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43434E7F" w14:textId="77777777">
            <w:pPr>
              <w:jc w:val="right"/>
              <w:rPr>
                <w:rFonts w:asciiTheme="minorHAnsi" w:hAnsiTheme="minorHAnsi" w:cstheme="minorHAnsi"/>
                <w:sz w:val="18"/>
              </w:rPr>
            </w:pPr>
            <w:r w:rsidRPr="00F45143">
              <w:rPr>
                <w:rFonts w:asciiTheme="minorHAnsi" w:hAnsiTheme="minorHAnsi" w:cstheme="minorHAnsi"/>
                <w:sz w:val="18"/>
              </w:rPr>
              <w:t xml:space="preserve">$28,647.50 </w:t>
            </w:r>
          </w:p>
        </w:tc>
      </w:tr>
      <w:tr w:rsidRPr="00F45143" w:rsidR="00145725" w:rsidTr="00933EAA" w14:paraId="0ADA4EB4" w14:textId="77777777">
        <w:trPr>
          <w:trHeight w:val="290"/>
        </w:trPr>
        <w:tc>
          <w:tcPr>
            <w:tcW w:w="2610" w:type="dxa"/>
            <w:noWrap/>
            <w:hideMark/>
          </w:tcPr>
          <w:p w:rsidRPr="00F45143" w:rsidR="00145725" w:rsidP="00933EAA" w:rsidRDefault="00145725" w14:paraId="632E0868" w14:textId="77777777">
            <w:pPr>
              <w:rPr>
                <w:rFonts w:asciiTheme="minorHAnsi" w:hAnsiTheme="minorHAnsi" w:cstheme="minorHAnsi"/>
                <w:sz w:val="18"/>
              </w:rPr>
            </w:pPr>
            <w:r w:rsidRPr="00F45143">
              <w:rPr>
                <w:rFonts w:asciiTheme="minorHAnsi" w:hAnsiTheme="minorHAnsi" w:cstheme="minorHAnsi"/>
                <w:sz w:val="18"/>
              </w:rPr>
              <w:t xml:space="preserve">   Program Officer BUILD 3</w:t>
            </w:r>
          </w:p>
        </w:tc>
        <w:tc>
          <w:tcPr>
            <w:tcW w:w="1119" w:type="dxa"/>
            <w:noWrap/>
            <w:hideMark/>
          </w:tcPr>
          <w:p w:rsidRPr="00F45143" w:rsidR="00145725" w:rsidP="00933EAA" w:rsidRDefault="00145725" w14:paraId="78055A51" w14:textId="77777777">
            <w:pPr>
              <w:jc w:val="center"/>
              <w:rPr>
                <w:rFonts w:asciiTheme="minorHAnsi" w:hAnsiTheme="minorHAnsi" w:cstheme="minorHAnsi"/>
                <w:sz w:val="18"/>
              </w:rPr>
            </w:pPr>
            <w:r w:rsidRPr="00F45143">
              <w:rPr>
                <w:rFonts w:asciiTheme="minorHAnsi" w:hAnsiTheme="minorHAnsi" w:cstheme="minorHAnsi"/>
                <w:sz w:val="18"/>
              </w:rPr>
              <w:t>GS-14/1</w:t>
            </w:r>
          </w:p>
        </w:tc>
        <w:tc>
          <w:tcPr>
            <w:tcW w:w="1214" w:type="dxa"/>
            <w:noWrap/>
            <w:hideMark/>
          </w:tcPr>
          <w:p w:rsidRPr="00F45143" w:rsidR="00145725" w:rsidP="00933EAA" w:rsidRDefault="00145725" w14:paraId="0066BBC8" w14:textId="77777777">
            <w:pPr>
              <w:jc w:val="right"/>
              <w:rPr>
                <w:rFonts w:asciiTheme="minorHAnsi" w:hAnsiTheme="minorHAnsi" w:cstheme="minorHAnsi"/>
                <w:sz w:val="18"/>
              </w:rPr>
            </w:pPr>
            <w:r w:rsidRPr="00F45143">
              <w:rPr>
                <w:rFonts w:asciiTheme="minorHAnsi" w:hAnsiTheme="minorHAnsi" w:cstheme="minorHAnsi"/>
                <w:sz w:val="18"/>
              </w:rPr>
              <w:t xml:space="preserve">$114,590.00 </w:t>
            </w:r>
          </w:p>
        </w:tc>
        <w:tc>
          <w:tcPr>
            <w:tcW w:w="722" w:type="dxa"/>
            <w:noWrap/>
            <w:hideMark/>
          </w:tcPr>
          <w:p w:rsidRPr="00F45143" w:rsidR="00145725" w:rsidP="00933EAA" w:rsidRDefault="00145725" w14:paraId="003E9FEE" w14:textId="77777777">
            <w:pPr>
              <w:jc w:val="center"/>
              <w:rPr>
                <w:rFonts w:asciiTheme="minorHAnsi" w:hAnsiTheme="minorHAnsi" w:cstheme="minorHAnsi"/>
                <w:sz w:val="18"/>
              </w:rPr>
            </w:pPr>
            <w:r w:rsidRPr="00F45143">
              <w:rPr>
                <w:rFonts w:asciiTheme="minorHAnsi" w:hAnsiTheme="minorHAnsi" w:cstheme="minorHAnsi"/>
                <w:sz w:val="18"/>
              </w:rPr>
              <w:t>0.1</w:t>
            </w:r>
          </w:p>
        </w:tc>
        <w:tc>
          <w:tcPr>
            <w:tcW w:w="1260" w:type="dxa"/>
            <w:shd w:val="clear" w:color="auto" w:fill="D9D9D9" w:themeFill="background1" w:themeFillShade="D9"/>
            <w:noWrap/>
            <w:hideMark/>
          </w:tcPr>
          <w:p w:rsidRPr="00F45143" w:rsidR="00145725" w:rsidP="00933EAA" w:rsidRDefault="00145725" w14:paraId="7D8A30BF"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397CFBF2" w14:textId="77777777">
            <w:pPr>
              <w:jc w:val="right"/>
              <w:rPr>
                <w:rFonts w:asciiTheme="minorHAnsi" w:hAnsiTheme="minorHAnsi" w:cstheme="minorHAnsi"/>
                <w:sz w:val="18"/>
              </w:rPr>
            </w:pPr>
            <w:r w:rsidRPr="00F45143">
              <w:rPr>
                <w:rFonts w:asciiTheme="minorHAnsi" w:hAnsiTheme="minorHAnsi" w:cstheme="minorHAnsi"/>
                <w:sz w:val="18"/>
              </w:rPr>
              <w:t xml:space="preserve">$11,459.00 </w:t>
            </w:r>
          </w:p>
        </w:tc>
      </w:tr>
      <w:tr w:rsidRPr="00F45143" w:rsidR="00145725" w:rsidTr="00933EAA" w14:paraId="0B406F9C" w14:textId="77777777">
        <w:trPr>
          <w:trHeight w:val="290"/>
        </w:trPr>
        <w:tc>
          <w:tcPr>
            <w:tcW w:w="2610" w:type="dxa"/>
            <w:noWrap/>
            <w:hideMark/>
          </w:tcPr>
          <w:p w:rsidRPr="00F45143" w:rsidR="00145725" w:rsidP="00933EAA" w:rsidRDefault="00145725" w14:paraId="740A166B" w14:textId="77777777">
            <w:pPr>
              <w:rPr>
                <w:rFonts w:asciiTheme="minorHAnsi" w:hAnsiTheme="minorHAnsi" w:cstheme="minorHAnsi"/>
                <w:sz w:val="18"/>
              </w:rPr>
            </w:pPr>
            <w:r w:rsidRPr="00F45143">
              <w:rPr>
                <w:rFonts w:asciiTheme="minorHAnsi" w:hAnsiTheme="minorHAnsi" w:cstheme="minorHAnsi"/>
                <w:sz w:val="18"/>
              </w:rPr>
              <w:t xml:space="preserve">   Program Officer BUILD 4</w:t>
            </w:r>
          </w:p>
        </w:tc>
        <w:tc>
          <w:tcPr>
            <w:tcW w:w="1119" w:type="dxa"/>
            <w:noWrap/>
            <w:hideMark/>
          </w:tcPr>
          <w:p w:rsidRPr="00F45143" w:rsidR="00145725" w:rsidP="00933EAA" w:rsidRDefault="00145725" w14:paraId="420B0E91" w14:textId="77777777">
            <w:pPr>
              <w:jc w:val="center"/>
              <w:rPr>
                <w:rFonts w:asciiTheme="minorHAnsi" w:hAnsiTheme="minorHAnsi" w:cstheme="minorHAnsi"/>
                <w:sz w:val="18"/>
              </w:rPr>
            </w:pPr>
            <w:r w:rsidRPr="00F45143">
              <w:rPr>
                <w:rFonts w:asciiTheme="minorHAnsi" w:hAnsiTheme="minorHAnsi" w:cstheme="minorHAnsi"/>
                <w:sz w:val="18"/>
              </w:rPr>
              <w:t>GS-13/2</w:t>
            </w:r>
          </w:p>
        </w:tc>
        <w:tc>
          <w:tcPr>
            <w:tcW w:w="1214" w:type="dxa"/>
            <w:noWrap/>
            <w:hideMark/>
          </w:tcPr>
          <w:p w:rsidRPr="00F45143" w:rsidR="00145725" w:rsidP="00933EAA" w:rsidRDefault="00145725" w14:paraId="3D3AA8B8" w14:textId="77777777">
            <w:pPr>
              <w:jc w:val="right"/>
              <w:rPr>
                <w:rFonts w:asciiTheme="minorHAnsi" w:hAnsiTheme="minorHAnsi" w:cstheme="minorHAnsi"/>
                <w:sz w:val="18"/>
              </w:rPr>
            </w:pPr>
            <w:r w:rsidRPr="00F45143">
              <w:rPr>
                <w:rFonts w:asciiTheme="minorHAnsi" w:hAnsiTheme="minorHAnsi" w:cstheme="minorHAnsi"/>
                <w:sz w:val="18"/>
              </w:rPr>
              <w:t xml:space="preserve">$100,203.00 </w:t>
            </w:r>
          </w:p>
        </w:tc>
        <w:tc>
          <w:tcPr>
            <w:tcW w:w="722" w:type="dxa"/>
            <w:noWrap/>
            <w:hideMark/>
          </w:tcPr>
          <w:p w:rsidRPr="00F45143" w:rsidR="00145725" w:rsidP="00933EAA" w:rsidRDefault="00145725" w14:paraId="0E675EBB" w14:textId="77777777">
            <w:pPr>
              <w:jc w:val="center"/>
              <w:rPr>
                <w:rFonts w:asciiTheme="minorHAnsi" w:hAnsiTheme="minorHAnsi" w:cstheme="minorHAnsi"/>
                <w:sz w:val="18"/>
              </w:rPr>
            </w:pPr>
            <w:r w:rsidRPr="00F45143">
              <w:rPr>
                <w:rFonts w:asciiTheme="minorHAnsi" w:hAnsiTheme="minorHAnsi" w:cstheme="minorHAnsi"/>
                <w:sz w:val="18"/>
              </w:rPr>
              <w:t>0.35</w:t>
            </w:r>
          </w:p>
        </w:tc>
        <w:tc>
          <w:tcPr>
            <w:tcW w:w="1260" w:type="dxa"/>
            <w:shd w:val="clear" w:color="auto" w:fill="D9D9D9" w:themeFill="background1" w:themeFillShade="D9"/>
            <w:noWrap/>
            <w:hideMark/>
          </w:tcPr>
          <w:p w:rsidRPr="00F45143" w:rsidR="00145725" w:rsidP="00933EAA" w:rsidRDefault="00145725" w14:paraId="2EA9F524"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492E2B50" w14:textId="77777777">
            <w:pPr>
              <w:jc w:val="right"/>
              <w:rPr>
                <w:rFonts w:asciiTheme="minorHAnsi" w:hAnsiTheme="minorHAnsi" w:cstheme="minorHAnsi"/>
                <w:sz w:val="18"/>
              </w:rPr>
            </w:pPr>
            <w:r w:rsidRPr="00F45143">
              <w:rPr>
                <w:rFonts w:asciiTheme="minorHAnsi" w:hAnsiTheme="minorHAnsi" w:cstheme="minorHAnsi"/>
                <w:sz w:val="18"/>
              </w:rPr>
              <w:t xml:space="preserve">$35,071.05 </w:t>
            </w:r>
          </w:p>
        </w:tc>
      </w:tr>
      <w:tr w:rsidRPr="00F45143" w:rsidR="00145725" w:rsidTr="00933EAA" w14:paraId="7BFD248D" w14:textId="77777777">
        <w:trPr>
          <w:trHeight w:val="290"/>
        </w:trPr>
        <w:tc>
          <w:tcPr>
            <w:tcW w:w="2610" w:type="dxa"/>
            <w:noWrap/>
            <w:hideMark/>
          </w:tcPr>
          <w:p w:rsidRPr="00F45143" w:rsidR="00145725" w:rsidP="00933EAA" w:rsidRDefault="00145725" w14:paraId="42067B74" w14:textId="77777777">
            <w:pPr>
              <w:rPr>
                <w:rFonts w:asciiTheme="minorHAnsi" w:hAnsiTheme="minorHAnsi" w:cstheme="minorHAnsi"/>
                <w:sz w:val="18"/>
              </w:rPr>
            </w:pPr>
            <w:r w:rsidRPr="00F45143">
              <w:rPr>
                <w:rFonts w:asciiTheme="minorHAnsi" w:hAnsiTheme="minorHAnsi" w:cstheme="minorHAnsi"/>
                <w:sz w:val="18"/>
              </w:rPr>
              <w:t xml:space="preserve">   Program Officer CEC 1</w:t>
            </w:r>
          </w:p>
        </w:tc>
        <w:tc>
          <w:tcPr>
            <w:tcW w:w="1119" w:type="dxa"/>
            <w:noWrap/>
            <w:hideMark/>
          </w:tcPr>
          <w:p w:rsidRPr="00F45143" w:rsidR="00145725" w:rsidP="00933EAA" w:rsidRDefault="00145725" w14:paraId="0DBAEB6F" w14:textId="77777777">
            <w:pPr>
              <w:jc w:val="center"/>
              <w:rPr>
                <w:rFonts w:asciiTheme="minorHAnsi" w:hAnsiTheme="minorHAnsi" w:cstheme="minorHAnsi"/>
                <w:sz w:val="18"/>
              </w:rPr>
            </w:pPr>
            <w:r w:rsidRPr="00F45143">
              <w:rPr>
                <w:rFonts w:asciiTheme="minorHAnsi" w:hAnsiTheme="minorHAnsi" w:cstheme="minorHAnsi"/>
                <w:sz w:val="18"/>
              </w:rPr>
              <w:t>GS-15/10</w:t>
            </w:r>
          </w:p>
        </w:tc>
        <w:tc>
          <w:tcPr>
            <w:tcW w:w="1214" w:type="dxa"/>
            <w:noWrap/>
            <w:hideMark/>
          </w:tcPr>
          <w:p w:rsidRPr="00F45143" w:rsidR="00145725" w:rsidP="00933EAA" w:rsidRDefault="00145725" w14:paraId="56E6B014" w14:textId="77777777">
            <w:pPr>
              <w:jc w:val="right"/>
              <w:rPr>
                <w:rFonts w:asciiTheme="minorHAnsi" w:hAnsiTheme="minorHAnsi" w:cstheme="minorHAnsi"/>
                <w:sz w:val="18"/>
              </w:rPr>
            </w:pPr>
            <w:r w:rsidRPr="00F45143">
              <w:rPr>
                <w:rFonts w:asciiTheme="minorHAnsi" w:hAnsiTheme="minorHAnsi" w:cstheme="minorHAnsi"/>
                <w:sz w:val="18"/>
              </w:rPr>
              <w:t xml:space="preserve">$164,200.00 </w:t>
            </w:r>
          </w:p>
        </w:tc>
        <w:tc>
          <w:tcPr>
            <w:tcW w:w="722" w:type="dxa"/>
            <w:noWrap/>
            <w:hideMark/>
          </w:tcPr>
          <w:p w:rsidRPr="00F45143" w:rsidR="00145725" w:rsidP="00933EAA" w:rsidRDefault="00145725" w14:paraId="6AFDD64A" w14:textId="77777777">
            <w:pPr>
              <w:jc w:val="center"/>
              <w:rPr>
                <w:rFonts w:asciiTheme="minorHAnsi" w:hAnsiTheme="minorHAnsi" w:cstheme="minorHAnsi"/>
                <w:sz w:val="18"/>
              </w:rPr>
            </w:pPr>
            <w:r w:rsidRPr="00F45143">
              <w:rPr>
                <w:rFonts w:asciiTheme="minorHAnsi" w:hAnsiTheme="minorHAnsi" w:cstheme="minorHAnsi"/>
                <w:sz w:val="18"/>
              </w:rPr>
              <w:t>0.1</w:t>
            </w:r>
          </w:p>
        </w:tc>
        <w:tc>
          <w:tcPr>
            <w:tcW w:w="1260" w:type="dxa"/>
            <w:shd w:val="clear" w:color="auto" w:fill="D9D9D9" w:themeFill="background1" w:themeFillShade="D9"/>
            <w:noWrap/>
            <w:hideMark/>
          </w:tcPr>
          <w:p w:rsidRPr="00F45143" w:rsidR="00145725" w:rsidP="00933EAA" w:rsidRDefault="00145725" w14:paraId="2712CBB9"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171E2EFC" w14:textId="77777777">
            <w:pPr>
              <w:jc w:val="right"/>
              <w:rPr>
                <w:rFonts w:asciiTheme="minorHAnsi" w:hAnsiTheme="minorHAnsi" w:cstheme="minorHAnsi"/>
                <w:sz w:val="18"/>
              </w:rPr>
            </w:pPr>
            <w:r w:rsidRPr="00F45143">
              <w:rPr>
                <w:rFonts w:asciiTheme="minorHAnsi" w:hAnsiTheme="minorHAnsi" w:cstheme="minorHAnsi"/>
                <w:sz w:val="18"/>
              </w:rPr>
              <w:t xml:space="preserve">$16,420.00 </w:t>
            </w:r>
          </w:p>
        </w:tc>
      </w:tr>
      <w:tr w:rsidRPr="00F45143" w:rsidR="00145725" w:rsidTr="00933EAA" w14:paraId="345DF142" w14:textId="77777777">
        <w:trPr>
          <w:trHeight w:val="290"/>
        </w:trPr>
        <w:tc>
          <w:tcPr>
            <w:tcW w:w="2610" w:type="dxa"/>
            <w:noWrap/>
            <w:hideMark/>
          </w:tcPr>
          <w:p w:rsidRPr="00F45143" w:rsidR="00145725" w:rsidP="00933EAA" w:rsidRDefault="00145725" w14:paraId="39703F77" w14:textId="77777777">
            <w:pPr>
              <w:rPr>
                <w:rFonts w:asciiTheme="minorHAnsi" w:hAnsiTheme="minorHAnsi" w:cstheme="minorHAnsi"/>
                <w:sz w:val="18"/>
              </w:rPr>
            </w:pPr>
            <w:r w:rsidRPr="00F45143">
              <w:rPr>
                <w:rFonts w:asciiTheme="minorHAnsi" w:hAnsiTheme="minorHAnsi" w:cstheme="minorHAnsi"/>
                <w:sz w:val="18"/>
              </w:rPr>
              <w:t xml:space="preserve">   Program Officer NRMN</w:t>
            </w:r>
          </w:p>
        </w:tc>
        <w:tc>
          <w:tcPr>
            <w:tcW w:w="1119" w:type="dxa"/>
            <w:noWrap/>
            <w:hideMark/>
          </w:tcPr>
          <w:p w:rsidRPr="00F45143" w:rsidR="00145725" w:rsidP="00933EAA" w:rsidRDefault="00145725" w14:paraId="223F9704" w14:textId="77777777">
            <w:pPr>
              <w:jc w:val="center"/>
              <w:rPr>
                <w:rFonts w:asciiTheme="minorHAnsi" w:hAnsiTheme="minorHAnsi" w:cstheme="minorHAnsi"/>
                <w:sz w:val="18"/>
              </w:rPr>
            </w:pPr>
            <w:r w:rsidRPr="00F45143">
              <w:rPr>
                <w:rFonts w:asciiTheme="minorHAnsi" w:hAnsiTheme="minorHAnsi" w:cstheme="minorHAnsi"/>
                <w:sz w:val="18"/>
              </w:rPr>
              <w:t>GS-14/9</w:t>
            </w:r>
          </w:p>
        </w:tc>
        <w:tc>
          <w:tcPr>
            <w:tcW w:w="1214" w:type="dxa"/>
            <w:noWrap/>
            <w:hideMark/>
          </w:tcPr>
          <w:p w:rsidRPr="00F45143" w:rsidR="00145725" w:rsidP="00933EAA" w:rsidRDefault="00145725" w14:paraId="7C9145AC" w14:textId="77777777">
            <w:pPr>
              <w:jc w:val="right"/>
              <w:rPr>
                <w:rFonts w:asciiTheme="minorHAnsi" w:hAnsiTheme="minorHAnsi" w:cstheme="minorHAnsi"/>
                <w:sz w:val="18"/>
              </w:rPr>
            </w:pPr>
            <w:r w:rsidRPr="00F45143">
              <w:rPr>
                <w:rFonts w:asciiTheme="minorHAnsi" w:hAnsiTheme="minorHAnsi" w:cstheme="minorHAnsi"/>
                <w:sz w:val="18"/>
              </w:rPr>
              <w:t xml:space="preserve">$145,148.00 </w:t>
            </w:r>
          </w:p>
        </w:tc>
        <w:tc>
          <w:tcPr>
            <w:tcW w:w="722" w:type="dxa"/>
            <w:noWrap/>
            <w:hideMark/>
          </w:tcPr>
          <w:p w:rsidRPr="00F45143" w:rsidR="00145725" w:rsidP="00933EAA" w:rsidRDefault="00145725" w14:paraId="6C2AD3CA" w14:textId="77777777">
            <w:pPr>
              <w:jc w:val="center"/>
              <w:rPr>
                <w:rFonts w:asciiTheme="minorHAnsi" w:hAnsiTheme="minorHAnsi" w:cstheme="minorHAnsi"/>
                <w:sz w:val="18"/>
              </w:rPr>
            </w:pPr>
            <w:r w:rsidRPr="00F45143">
              <w:rPr>
                <w:rFonts w:asciiTheme="minorHAnsi" w:hAnsiTheme="minorHAnsi" w:cstheme="minorHAnsi"/>
                <w:sz w:val="18"/>
              </w:rPr>
              <w:t>0.2</w:t>
            </w:r>
          </w:p>
        </w:tc>
        <w:tc>
          <w:tcPr>
            <w:tcW w:w="1260" w:type="dxa"/>
            <w:shd w:val="clear" w:color="auto" w:fill="D9D9D9" w:themeFill="background1" w:themeFillShade="D9"/>
            <w:noWrap/>
            <w:hideMark/>
          </w:tcPr>
          <w:p w:rsidRPr="00F45143" w:rsidR="00145725" w:rsidP="00933EAA" w:rsidRDefault="00145725" w14:paraId="420BD369"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5ABA33B1" w14:textId="77777777">
            <w:pPr>
              <w:jc w:val="right"/>
              <w:rPr>
                <w:rFonts w:asciiTheme="minorHAnsi" w:hAnsiTheme="minorHAnsi" w:cstheme="minorHAnsi"/>
                <w:sz w:val="18"/>
              </w:rPr>
            </w:pPr>
            <w:r w:rsidRPr="00F45143">
              <w:rPr>
                <w:rFonts w:asciiTheme="minorHAnsi" w:hAnsiTheme="minorHAnsi" w:cstheme="minorHAnsi"/>
                <w:sz w:val="18"/>
              </w:rPr>
              <w:t xml:space="preserve">$29,029.60 </w:t>
            </w:r>
          </w:p>
        </w:tc>
      </w:tr>
      <w:tr w:rsidRPr="00F45143" w:rsidR="00145725" w:rsidTr="00933EAA" w14:paraId="0B3F4FDA" w14:textId="77777777">
        <w:trPr>
          <w:trHeight w:val="290"/>
        </w:trPr>
        <w:tc>
          <w:tcPr>
            <w:tcW w:w="2610" w:type="dxa"/>
            <w:noWrap/>
            <w:hideMark/>
          </w:tcPr>
          <w:p w:rsidRPr="00F45143" w:rsidR="00145725" w:rsidP="00933EAA" w:rsidRDefault="00145725" w14:paraId="12FD304B" w14:textId="77777777">
            <w:pPr>
              <w:rPr>
                <w:rFonts w:asciiTheme="minorHAnsi" w:hAnsiTheme="minorHAnsi" w:cstheme="minorHAnsi"/>
                <w:sz w:val="18"/>
              </w:rPr>
            </w:pPr>
            <w:r w:rsidRPr="00F45143">
              <w:rPr>
                <w:rFonts w:asciiTheme="minorHAnsi" w:hAnsiTheme="minorHAnsi" w:cstheme="minorHAnsi"/>
                <w:sz w:val="18"/>
              </w:rPr>
              <w:t xml:space="preserve">   Project Scientist BUILD 1</w:t>
            </w:r>
          </w:p>
        </w:tc>
        <w:tc>
          <w:tcPr>
            <w:tcW w:w="1119" w:type="dxa"/>
            <w:noWrap/>
            <w:hideMark/>
          </w:tcPr>
          <w:p w:rsidRPr="00F45143" w:rsidR="00145725" w:rsidP="00933EAA" w:rsidRDefault="00145725" w14:paraId="16327362" w14:textId="77777777">
            <w:pPr>
              <w:jc w:val="center"/>
              <w:rPr>
                <w:rFonts w:asciiTheme="minorHAnsi" w:hAnsiTheme="minorHAnsi" w:cstheme="minorHAnsi"/>
                <w:sz w:val="18"/>
              </w:rPr>
            </w:pPr>
            <w:r w:rsidRPr="00F45143">
              <w:rPr>
                <w:rFonts w:asciiTheme="minorHAnsi" w:hAnsiTheme="minorHAnsi" w:cstheme="minorHAnsi"/>
                <w:sz w:val="18"/>
              </w:rPr>
              <w:t>GS-15/10</w:t>
            </w:r>
          </w:p>
        </w:tc>
        <w:tc>
          <w:tcPr>
            <w:tcW w:w="1214" w:type="dxa"/>
            <w:noWrap/>
            <w:hideMark/>
          </w:tcPr>
          <w:p w:rsidRPr="00F45143" w:rsidR="00145725" w:rsidP="00933EAA" w:rsidRDefault="00145725" w14:paraId="28812AAE" w14:textId="77777777">
            <w:pPr>
              <w:jc w:val="right"/>
              <w:rPr>
                <w:rFonts w:asciiTheme="minorHAnsi" w:hAnsiTheme="minorHAnsi" w:cstheme="minorHAnsi"/>
                <w:sz w:val="18"/>
              </w:rPr>
            </w:pPr>
            <w:r w:rsidRPr="00F45143">
              <w:rPr>
                <w:rFonts w:asciiTheme="minorHAnsi" w:hAnsiTheme="minorHAnsi" w:cstheme="minorHAnsi"/>
                <w:sz w:val="18"/>
              </w:rPr>
              <w:t xml:space="preserve">$164,200.00 </w:t>
            </w:r>
          </w:p>
        </w:tc>
        <w:tc>
          <w:tcPr>
            <w:tcW w:w="722" w:type="dxa"/>
            <w:noWrap/>
            <w:hideMark/>
          </w:tcPr>
          <w:p w:rsidRPr="00F45143" w:rsidR="00145725" w:rsidP="00933EAA" w:rsidRDefault="00145725" w14:paraId="7E4F11E6" w14:textId="77777777">
            <w:pPr>
              <w:jc w:val="center"/>
              <w:rPr>
                <w:rFonts w:asciiTheme="minorHAnsi" w:hAnsiTheme="minorHAnsi" w:cstheme="minorHAnsi"/>
                <w:sz w:val="18"/>
              </w:rPr>
            </w:pPr>
            <w:r w:rsidRPr="00F45143">
              <w:rPr>
                <w:rFonts w:asciiTheme="minorHAnsi" w:hAnsiTheme="minorHAnsi" w:cstheme="minorHAnsi"/>
                <w:sz w:val="18"/>
              </w:rPr>
              <w:t>0.2</w:t>
            </w:r>
          </w:p>
        </w:tc>
        <w:tc>
          <w:tcPr>
            <w:tcW w:w="1260" w:type="dxa"/>
            <w:shd w:val="clear" w:color="auto" w:fill="D9D9D9" w:themeFill="background1" w:themeFillShade="D9"/>
            <w:noWrap/>
            <w:hideMark/>
          </w:tcPr>
          <w:p w:rsidRPr="00F45143" w:rsidR="00145725" w:rsidP="00933EAA" w:rsidRDefault="00145725" w14:paraId="3A6EA9B4"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42712FB0" w14:textId="77777777">
            <w:pPr>
              <w:jc w:val="right"/>
              <w:rPr>
                <w:rFonts w:asciiTheme="minorHAnsi" w:hAnsiTheme="minorHAnsi" w:cstheme="minorHAnsi"/>
                <w:sz w:val="18"/>
              </w:rPr>
            </w:pPr>
            <w:r w:rsidRPr="00F45143">
              <w:rPr>
                <w:rFonts w:asciiTheme="minorHAnsi" w:hAnsiTheme="minorHAnsi" w:cstheme="minorHAnsi"/>
                <w:sz w:val="18"/>
              </w:rPr>
              <w:t xml:space="preserve">$32,840.00 </w:t>
            </w:r>
          </w:p>
        </w:tc>
      </w:tr>
      <w:tr w:rsidRPr="00F45143" w:rsidR="00145725" w:rsidTr="00933EAA" w14:paraId="16D87473" w14:textId="77777777">
        <w:trPr>
          <w:trHeight w:val="290"/>
        </w:trPr>
        <w:tc>
          <w:tcPr>
            <w:tcW w:w="2610" w:type="dxa"/>
            <w:noWrap/>
            <w:hideMark/>
          </w:tcPr>
          <w:p w:rsidRPr="00F45143" w:rsidR="00145725" w:rsidP="00933EAA" w:rsidRDefault="00145725" w14:paraId="16E71AAA" w14:textId="77777777">
            <w:pPr>
              <w:rPr>
                <w:rFonts w:asciiTheme="minorHAnsi" w:hAnsiTheme="minorHAnsi" w:cstheme="minorHAnsi"/>
                <w:sz w:val="18"/>
              </w:rPr>
            </w:pPr>
            <w:r w:rsidRPr="00F45143">
              <w:rPr>
                <w:rFonts w:asciiTheme="minorHAnsi" w:hAnsiTheme="minorHAnsi" w:cstheme="minorHAnsi"/>
                <w:sz w:val="18"/>
              </w:rPr>
              <w:t xml:space="preserve">   Project Scientist BUILD 2</w:t>
            </w:r>
          </w:p>
        </w:tc>
        <w:tc>
          <w:tcPr>
            <w:tcW w:w="1119" w:type="dxa"/>
            <w:noWrap/>
            <w:hideMark/>
          </w:tcPr>
          <w:p w:rsidRPr="00F45143" w:rsidR="00145725" w:rsidP="00933EAA" w:rsidRDefault="00145725" w14:paraId="3AF6B5A3" w14:textId="77777777">
            <w:pPr>
              <w:jc w:val="center"/>
              <w:rPr>
                <w:rFonts w:asciiTheme="minorHAnsi" w:hAnsiTheme="minorHAnsi" w:cstheme="minorHAnsi"/>
                <w:sz w:val="18"/>
              </w:rPr>
            </w:pPr>
            <w:r w:rsidRPr="00F45143">
              <w:rPr>
                <w:rFonts w:asciiTheme="minorHAnsi" w:hAnsiTheme="minorHAnsi" w:cstheme="minorHAnsi"/>
                <w:sz w:val="18"/>
              </w:rPr>
              <w:t>GS-15/10</w:t>
            </w:r>
          </w:p>
        </w:tc>
        <w:tc>
          <w:tcPr>
            <w:tcW w:w="1214" w:type="dxa"/>
            <w:noWrap/>
            <w:hideMark/>
          </w:tcPr>
          <w:p w:rsidRPr="00F45143" w:rsidR="00145725" w:rsidP="00933EAA" w:rsidRDefault="00145725" w14:paraId="25A30BCD" w14:textId="77777777">
            <w:pPr>
              <w:jc w:val="right"/>
              <w:rPr>
                <w:rFonts w:asciiTheme="minorHAnsi" w:hAnsiTheme="minorHAnsi" w:cstheme="minorHAnsi"/>
                <w:sz w:val="18"/>
              </w:rPr>
            </w:pPr>
            <w:r w:rsidRPr="00F45143">
              <w:rPr>
                <w:rFonts w:asciiTheme="minorHAnsi" w:hAnsiTheme="minorHAnsi" w:cstheme="minorHAnsi"/>
                <w:sz w:val="18"/>
              </w:rPr>
              <w:t xml:space="preserve">$164,200.00 </w:t>
            </w:r>
          </w:p>
        </w:tc>
        <w:tc>
          <w:tcPr>
            <w:tcW w:w="722" w:type="dxa"/>
            <w:noWrap/>
            <w:hideMark/>
          </w:tcPr>
          <w:p w:rsidRPr="00F45143" w:rsidR="00145725" w:rsidP="00933EAA" w:rsidRDefault="00145725" w14:paraId="7B088C4A" w14:textId="77777777">
            <w:pPr>
              <w:jc w:val="center"/>
              <w:rPr>
                <w:rFonts w:asciiTheme="minorHAnsi" w:hAnsiTheme="minorHAnsi" w:cstheme="minorHAnsi"/>
                <w:sz w:val="18"/>
              </w:rPr>
            </w:pPr>
            <w:r w:rsidRPr="00F45143">
              <w:rPr>
                <w:rFonts w:asciiTheme="minorHAnsi" w:hAnsiTheme="minorHAnsi" w:cstheme="minorHAnsi"/>
                <w:sz w:val="18"/>
              </w:rPr>
              <w:t>0.1</w:t>
            </w:r>
          </w:p>
        </w:tc>
        <w:tc>
          <w:tcPr>
            <w:tcW w:w="1260" w:type="dxa"/>
            <w:shd w:val="clear" w:color="auto" w:fill="D9D9D9" w:themeFill="background1" w:themeFillShade="D9"/>
            <w:noWrap/>
            <w:hideMark/>
          </w:tcPr>
          <w:p w:rsidRPr="00F45143" w:rsidR="00145725" w:rsidP="00933EAA" w:rsidRDefault="00145725" w14:paraId="11FAE467"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6118FE16" w14:textId="77777777">
            <w:pPr>
              <w:jc w:val="right"/>
              <w:rPr>
                <w:rFonts w:asciiTheme="minorHAnsi" w:hAnsiTheme="minorHAnsi" w:cstheme="minorHAnsi"/>
                <w:sz w:val="18"/>
              </w:rPr>
            </w:pPr>
            <w:r w:rsidRPr="00F45143">
              <w:rPr>
                <w:rFonts w:asciiTheme="minorHAnsi" w:hAnsiTheme="minorHAnsi" w:cstheme="minorHAnsi"/>
                <w:sz w:val="18"/>
              </w:rPr>
              <w:t xml:space="preserve">$16,420.00 </w:t>
            </w:r>
          </w:p>
        </w:tc>
      </w:tr>
      <w:tr w:rsidRPr="00F45143" w:rsidR="00145725" w:rsidTr="00933EAA" w14:paraId="42826F09" w14:textId="77777777">
        <w:trPr>
          <w:trHeight w:val="290"/>
        </w:trPr>
        <w:tc>
          <w:tcPr>
            <w:tcW w:w="2610" w:type="dxa"/>
            <w:noWrap/>
            <w:hideMark/>
          </w:tcPr>
          <w:p w:rsidRPr="00F45143" w:rsidR="00145725" w:rsidP="00933EAA" w:rsidRDefault="00145725" w14:paraId="08F82D2F" w14:textId="77777777">
            <w:pPr>
              <w:rPr>
                <w:rFonts w:asciiTheme="minorHAnsi" w:hAnsiTheme="minorHAnsi" w:cstheme="minorHAnsi"/>
                <w:sz w:val="18"/>
              </w:rPr>
            </w:pPr>
            <w:r w:rsidRPr="00F45143">
              <w:rPr>
                <w:rFonts w:asciiTheme="minorHAnsi" w:hAnsiTheme="minorHAnsi" w:cstheme="minorHAnsi"/>
                <w:sz w:val="18"/>
              </w:rPr>
              <w:t xml:space="preserve">   Project Scientist BUILD 3</w:t>
            </w:r>
          </w:p>
        </w:tc>
        <w:tc>
          <w:tcPr>
            <w:tcW w:w="1119" w:type="dxa"/>
            <w:noWrap/>
            <w:hideMark/>
          </w:tcPr>
          <w:p w:rsidRPr="00F45143" w:rsidR="00145725" w:rsidP="00933EAA" w:rsidRDefault="00145725" w14:paraId="33EA098A" w14:textId="77777777">
            <w:pPr>
              <w:jc w:val="center"/>
              <w:rPr>
                <w:rFonts w:asciiTheme="minorHAnsi" w:hAnsiTheme="minorHAnsi" w:cstheme="minorHAnsi"/>
                <w:sz w:val="18"/>
              </w:rPr>
            </w:pPr>
            <w:r w:rsidRPr="00F45143">
              <w:rPr>
                <w:rFonts w:asciiTheme="minorHAnsi" w:hAnsiTheme="minorHAnsi" w:cstheme="minorHAnsi"/>
                <w:sz w:val="18"/>
              </w:rPr>
              <w:t>GS-15/10</w:t>
            </w:r>
          </w:p>
        </w:tc>
        <w:tc>
          <w:tcPr>
            <w:tcW w:w="1214" w:type="dxa"/>
            <w:noWrap/>
            <w:hideMark/>
          </w:tcPr>
          <w:p w:rsidRPr="00F45143" w:rsidR="00145725" w:rsidP="00933EAA" w:rsidRDefault="00145725" w14:paraId="347CC614" w14:textId="77777777">
            <w:pPr>
              <w:jc w:val="right"/>
              <w:rPr>
                <w:rFonts w:asciiTheme="minorHAnsi" w:hAnsiTheme="minorHAnsi" w:cstheme="minorHAnsi"/>
                <w:sz w:val="18"/>
              </w:rPr>
            </w:pPr>
            <w:r w:rsidRPr="00F45143">
              <w:rPr>
                <w:rFonts w:asciiTheme="minorHAnsi" w:hAnsiTheme="minorHAnsi" w:cstheme="minorHAnsi"/>
                <w:sz w:val="18"/>
              </w:rPr>
              <w:t xml:space="preserve">$164,200.00 </w:t>
            </w:r>
          </w:p>
        </w:tc>
        <w:tc>
          <w:tcPr>
            <w:tcW w:w="722" w:type="dxa"/>
            <w:noWrap/>
            <w:hideMark/>
          </w:tcPr>
          <w:p w:rsidRPr="00F45143" w:rsidR="00145725" w:rsidP="00933EAA" w:rsidRDefault="00145725" w14:paraId="31C7CA07" w14:textId="77777777">
            <w:pPr>
              <w:jc w:val="center"/>
              <w:rPr>
                <w:rFonts w:asciiTheme="minorHAnsi" w:hAnsiTheme="minorHAnsi" w:cstheme="minorHAnsi"/>
                <w:sz w:val="18"/>
              </w:rPr>
            </w:pPr>
            <w:r w:rsidRPr="00F45143">
              <w:rPr>
                <w:rFonts w:asciiTheme="minorHAnsi" w:hAnsiTheme="minorHAnsi" w:cstheme="minorHAnsi"/>
                <w:sz w:val="18"/>
              </w:rPr>
              <w:t>0.2</w:t>
            </w:r>
          </w:p>
        </w:tc>
        <w:tc>
          <w:tcPr>
            <w:tcW w:w="1260" w:type="dxa"/>
            <w:shd w:val="clear" w:color="auto" w:fill="D9D9D9" w:themeFill="background1" w:themeFillShade="D9"/>
            <w:noWrap/>
            <w:hideMark/>
          </w:tcPr>
          <w:p w:rsidRPr="00F45143" w:rsidR="00145725" w:rsidP="00933EAA" w:rsidRDefault="00145725" w14:paraId="589E4370"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4A8DF1CF" w14:textId="77777777">
            <w:pPr>
              <w:jc w:val="right"/>
              <w:rPr>
                <w:rFonts w:asciiTheme="minorHAnsi" w:hAnsiTheme="minorHAnsi" w:cstheme="minorHAnsi"/>
                <w:sz w:val="18"/>
              </w:rPr>
            </w:pPr>
            <w:r w:rsidRPr="00F45143">
              <w:rPr>
                <w:rFonts w:asciiTheme="minorHAnsi" w:hAnsiTheme="minorHAnsi" w:cstheme="minorHAnsi"/>
                <w:sz w:val="18"/>
              </w:rPr>
              <w:t xml:space="preserve">$32,840.00 </w:t>
            </w:r>
          </w:p>
        </w:tc>
      </w:tr>
      <w:tr w:rsidRPr="00F45143" w:rsidR="00145725" w:rsidTr="00933EAA" w14:paraId="676D2526" w14:textId="77777777">
        <w:trPr>
          <w:trHeight w:val="290"/>
        </w:trPr>
        <w:tc>
          <w:tcPr>
            <w:tcW w:w="2610" w:type="dxa"/>
            <w:noWrap/>
            <w:hideMark/>
          </w:tcPr>
          <w:p w:rsidRPr="00F45143" w:rsidR="00145725" w:rsidP="00933EAA" w:rsidRDefault="00145725" w14:paraId="20EA8822" w14:textId="77777777">
            <w:pPr>
              <w:rPr>
                <w:rFonts w:asciiTheme="minorHAnsi" w:hAnsiTheme="minorHAnsi" w:cstheme="minorHAnsi"/>
                <w:sz w:val="18"/>
              </w:rPr>
            </w:pPr>
            <w:r w:rsidRPr="00F45143">
              <w:rPr>
                <w:rFonts w:asciiTheme="minorHAnsi" w:hAnsiTheme="minorHAnsi" w:cstheme="minorHAnsi"/>
                <w:sz w:val="18"/>
              </w:rPr>
              <w:t xml:space="preserve">   Project Scientist BUILD 4</w:t>
            </w:r>
          </w:p>
        </w:tc>
        <w:tc>
          <w:tcPr>
            <w:tcW w:w="1119" w:type="dxa"/>
            <w:noWrap/>
            <w:hideMark/>
          </w:tcPr>
          <w:p w:rsidRPr="00F45143" w:rsidR="00145725" w:rsidP="00933EAA" w:rsidRDefault="00145725" w14:paraId="60754E5A" w14:textId="77777777">
            <w:pPr>
              <w:jc w:val="center"/>
              <w:rPr>
                <w:rFonts w:asciiTheme="minorHAnsi" w:hAnsiTheme="minorHAnsi" w:cstheme="minorHAnsi"/>
                <w:sz w:val="18"/>
              </w:rPr>
            </w:pPr>
            <w:r w:rsidRPr="00F45143">
              <w:rPr>
                <w:rFonts w:asciiTheme="minorHAnsi" w:hAnsiTheme="minorHAnsi" w:cstheme="minorHAnsi"/>
                <w:sz w:val="18"/>
              </w:rPr>
              <w:t>GS-14/10</w:t>
            </w:r>
          </w:p>
        </w:tc>
        <w:tc>
          <w:tcPr>
            <w:tcW w:w="1214" w:type="dxa"/>
            <w:noWrap/>
            <w:hideMark/>
          </w:tcPr>
          <w:p w:rsidRPr="00F45143" w:rsidR="00145725" w:rsidP="00933EAA" w:rsidRDefault="00145725" w14:paraId="0F4BAFE9" w14:textId="77777777">
            <w:pPr>
              <w:jc w:val="right"/>
              <w:rPr>
                <w:rFonts w:asciiTheme="minorHAnsi" w:hAnsiTheme="minorHAnsi" w:cstheme="minorHAnsi"/>
                <w:sz w:val="18"/>
              </w:rPr>
            </w:pPr>
            <w:r w:rsidRPr="00F45143">
              <w:rPr>
                <w:rFonts w:asciiTheme="minorHAnsi" w:hAnsiTheme="minorHAnsi" w:cstheme="minorHAnsi"/>
                <w:sz w:val="18"/>
              </w:rPr>
              <w:t xml:space="preserve">$148,967.00 </w:t>
            </w:r>
          </w:p>
        </w:tc>
        <w:tc>
          <w:tcPr>
            <w:tcW w:w="722" w:type="dxa"/>
            <w:noWrap/>
            <w:hideMark/>
          </w:tcPr>
          <w:p w:rsidRPr="00F45143" w:rsidR="00145725" w:rsidP="00933EAA" w:rsidRDefault="00145725" w14:paraId="65A82F9F" w14:textId="77777777">
            <w:pPr>
              <w:jc w:val="center"/>
              <w:rPr>
                <w:rFonts w:asciiTheme="minorHAnsi" w:hAnsiTheme="minorHAnsi" w:cstheme="minorHAnsi"/>
                <w:sz w:val="18"/>
              </w:rPr>
            </w:pPr>
            <w:r w:rsidRPr="00F45143">
              <w:rPr>
                <w:rFonts w:asciiTheme="minorHAnsi" w:hAnsiTheme="minorHAnsi" w:cstheme="minorHAnsi"/>
                <w:sz w:val="18"/>
              </w:rPr>
              <w:t>0.2</w:t>
            </w:r>
          </w:p>
        </w:tc>
        <w:tc>
          <w:tcPr>
            <w:tcW w:w="1260" w:type="dxa"/>
            <w:shd w:val="clear" w:color="auto" w:fill="D9D9D9" w:themeFill="background1" w:themeFillShade="D9"/>
            <w:noWrap/>
            <w:hideMark/>
          </w:tcPr>
          <w:p w:rsidRPr="00F45143" w:rsidR="00145725" w:rsidP="00933EAA" w:rsidRDefault="00145725" w14:paraId="0037C686"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76C7BB66" w14:textId="77777777">
            <w:pPr>
              <w:jc w:val="right"/>
              <w:rPr>
                <w:rFonts w:asciiTheme="minorHAnsi" w:hAnsiTheme="minorHAnsi" w:cstheme="minorHAnsi"/>
                <w:sz w:val="18"/>
              </w:rPr>
            </w:pPr>
            <w:r w:rsidRPr="00F45143">
              <w:rPr>
                <w:rFonts w:asciiTheme="minorHAnsi" w:hAnsiTheme="minorHAnsi" w:cstheme="minorHAnsi"/>
                <w:sz w:val="18"/>
              </w:rPr>
              <w:t xml:space="preserve">$29,793.40 </w:t>
            </w:r>
          </w:p>
        </w:tc>
      </w:tr>
      <w:tr w:rsidRPr="00F45143" w:rsidR="00145725" w:rsidTr="00933EAA" w14:paraId="48350716" w14:textId="77777777">
        <w:trPr>
          <w:trHeight w:val="290"/>
        </w:trPr>
        <w:tc>
          <w:tcPr>
            <w:tcW w:w="2610" w:type="dxa"/>
            <w:noWrap/>
            <w:hideMark/>
          </w:tcPr>
          <w:p w:rsidRPr="00F45143" w:rsidR="00145725" w:rsidP="00933EAA" w:rsidRDefault="00145725" w14:paraId="61371D03" w14:textId="77777777">
            <w:pPr>
              <w:rPr>
                <w:rFonts w:asciiTheme="minorHAnsi" w:hAnsiTheme="minorHAnsi" w:cstheme="minorHAnsi"/>
                <w:sz w:val="18"/>
              </w:rPr>
            </w:pPr>
            <w:r w:rsidRPr="00F45143">
              <w:rPr>
                <w:rFonts w:asciiTheme="minorHAnsi" w:hAnsiTheme="minorHAnsi" w:cstheme="minorHAnsi"/>
                <w:sz w:val="18"/>
              </w:rPr>
              <w:t xml:space="preserve">   Project Scientist BUILD 5</w:t>
            </w:r>
          </w:p>
        </w:tc>
        <w:tc>
          <w:tcPr>
            <w:tcW w:w="1119" w:type="dxa"/>
            <w:noWrap/>
            <w:hideMark/>
          </w:tcPr>
          <w:p w:rsidRPr="00F45143" w:rsidR="00145725" w:rsidP="00933EAA" w:rsidRDefault="00145725" w14:paraId="1A60DFBF" w14:textId="77777777">
            <w:pPr>
              <w:jc w:val="center"/>
              <w:rPr>
                <w:rFonts w:asciiTheme="minorHAnsi" w:hAnsiTheme="minorHAnsi" w:cstheme="minorHAnsi"/>
                <w:sz w:val="18"/>
              </w:rPr>
            </w:pPr>
            <w:r w:rsidRPr="00F45143">
              <w:rPr>
                <w:rFonts w:asciiTheme="minorHAnsi" w:hAnsiTheme="minorHAnsi" w:cstheme="minorHAnsi"/>
                <w:sz w:val="18"/>
              </w:rPr>
              <w:t>GS-14/7</w:t>
            </w:r>
          </w:p>
        </w:tc>
        <w:tc>
          <w:tcPr>
            <w:tcW w:w="1214" w:type="dxa"/>
            <w:noWrap/>
            <w:hideMark/>
          </w:tcPr>
          <w:p w:rsidRPr="00F45143" w:rsidR="00145725" w:rsidP="00933EAA" w:rsidRDefault="00145725" w14:paraId="11746C32" w14:textId="77777777">
            <w:pPr>
              <w:jc w:val="right"/>
              <w:rPr>
                <w:rFonts w:asciiTheme="minorHAnsi" w:hAnsiTheme="minorHAnsi" w:cstheme="minorHAnsi"/>
                <w:sz w:val="18"/>
              </w:rPr>
            </w:pPr>
            <w:r w:rsidRPr="00F45143">
              <w:rPr>
                <w:rFonts w:asciiTheme="minorHAnsi" w:hAnsiTheme="minorHAnsi" w:cstheme="minorHAnsi"/>
                <w:sz w:val="18"/>
              </w:rPr>
              <w:t xml:space="preserve">$137,508.00 </w:t>
            </w:r>
          </w:p>
        </w:tc>
        <w:tc>
          <w:tcPr>
            <w:tcW w:w="722" w:type="dxa"/>
            <w:noWrap/>
            <w:hideMark/>
          </w:tcPr>
          <w:p w:rsidRPr="00F45143" w:rsidR="00145725" w:rsidP="00933EAA" w:rsidRDefault="00145725" w14:paraId="3A676A6B" w14:textId="77777777">
            <w:pPr>
              <w:jc w:val="center"/>
              <w:rPr>
                <w:rFonts w:asciiTheme="minorHAnsi" w:hAnsiTheme="minorHAnsi" w:cstheme="minorHAnsi"/>
                <w:sz w:val="18"/>
              </w:rPr>
            </w:pPr>
            <w:r w:rsidRPr="00F45143">
              <w:rPr>
                <w:rFonts w:asciiTheme="minorHAnsi" w:hAnsiTheme="minorHAnsi" w:cstheme="minorHAnsi"/>
                <w:sz w:val="18"/>
              </w:rPr>
              <w:t>0.2</w:t>
            </w:r>
          </w:p>
        </w:tc>
        <w:tc>
          <w:tcPr>
            <w:tcW w:w="1260" w:type="dxa"/>
            <w:shd w:val="clear" w:color="auto" w:fill="D9D9D9" w:themeFill="background1" w:themeFillShade="D9"/>
            <w:noWrap/>
            <w:hideMark/>
          </w:tcPr>
          <w:p w:rsidRPr="00F45143" w:rsidR="00145725" w:rsidP="00933EAA" w:rsidRDefault="00145725" w14:paraId="2C6A63D0"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0883ED58" w14:textId="77777777">
            <w:pPr>
              <w:jc w:val="right"/>
              <w:rPr>
                <w:rFonts w:asciiTheme="minorHAnsi" w:hAnsiTheme="minorHAnsi" w:cstheme="minorHAnsi"/>
                <w:sz w:val="18"/>
              </w:rPr>
            </w:pPr>
            <w:r w:rsidRPr="00F45143">
              <w:rPr>
                <w:rFonts w:asciiTheme="minorHAnsi" w:hAnsiTheme="minorHAnsi" w:cstheme="minorHAnsi"/>
                <w:sz w:val="18"/>
              </w:rPr>
              <w:t xml:space="preserve">$27,501.60 </w:t>
            </w:r>
          </w:p>
        </w:tc>
      </w:tr>
      <w:tr w:rsidRPr="00F45143" w:rsidR="00145725" w:rsidTr="00933EAA" w14:paraId="3DE1FBD7" w14:textId="77777777">
        <w:trPr>
          <w:trHeight w:val="290"/>
        </w:trPr>
        <w:tc>
          <w:tcPr>
            <w:tcW w:w="2610" w:type="dxa"/>
            <w:noWrap/>
            <w:hideMark/>
          </w:tcPr>
          <w:p w:rsidRPr="00F45143" w:rsidR="00145725" w:rsidP="00933EAA" w:rsidRDefault="00145725" w14:paraId="355DA0B9" w14:textId="77777777">
            <w:pPr>
              <w:rPr>
                <w:rFonts w:asciiTheme="minorHAnsi" w:hAnsiTheme="minorHAnsi" w:cstheme="minorHAnsi"/>
                <w:sz w:val="18"/>
              </w:rPr>
            </w:pPr>
            <w:r w:rsidRPr="00F45143">
              <w:rPr>
                <w:rFonts w:asciiTheme="minorHAnsi" w:hAnsiTheme="minorHAnsi" w:cstheme="minorHAnsi"/>
                <w:sz w:val="18"/>
              </w:rPr>
              <w:t xml:space="preserve">   Project Scientist BUILD 6</w:t>
            </w:r>
          </w:p>
        </w:tc>
        <w:tc>
          <w:tcPr>
            <w:tcW w:w="1119" w:type="dxa"/>
            <w:noWrap/>
            <w:hideMark/>
          </w:tcPr>
          <w:p w:rsidRPr="00F45143" w:rsidR="00145725" w:rsidP="00933EAA" w:rsidRDefault="00145725" w14:paraId="63EBA8DB" w14:textId="77777777">
            <w:pPr>
              <w:jc w:val="center"/>
              <w:rPr>
                <w:rFonts w:asciiTheme="minorHAnsi" w:hAnsiTheme="minorHAnsi" w:cstheme="minorHAnsi"/>
                <w:sz w:val="18"/>
              </w:rPr>
            </w:pPr>
            <w:r w:rsidRPr="00F45143">
              <w:rPr>
                <w:rFonts w:asciiTheme="minorHAnsi" w:hAnsiTheme="minorHAnsi" w:cstheme="minorHAnsi"/>
                <w:sz w:val="18"/>
              </w:rPr>
              <w:t>GS-14/4</w:t>
            </w:r>
          </w:p>
        </w:tc>
        <w:tc>
          <w:tcPr>
            <w:tcW w:w="1214" w:type="dxa"/>
            <w:noWrap/>
            <w:hideMark/>
          </w:tcPr>
          <w:p w:rsidRPr="00F45143" w:rsidR="00145725" w:rsidP="00933EAA" w:rsidRDefault="00145725" w14:paraId="62B9B69E" w14:textId="77777777">
            <w:pPr>
              <w:jc w:val="right"/>
              <w:rPr>
                <w:rFonts w:asciiTheme="minorHAnsi" w:hAnsiTheme="minorHAnsi" w:cstheme="minorHAnsi"/>
                <w:sz w:val="18"/>
              </w:rPr>
            </w:pPr>
            <w:r w:rsidRPr="00F45143">
              <w:rPr>
                <w:rFonts w:asciiTheme="minorHAnsi" w:hAnsiTheme="minorHAnsi" w:cstheme="minorHAnsi"/>
                <w:sz w:val="18"/>
              </w:rPr>
              <w:t xml:space="preserve">$126,049.00 </w:t>
            </w:r>
          </w:p>
        </w:tc>
        <w:tc>
          <w:tcPr>
            <w:tcW w:w="722" w:type="dxa"/>
            <w:noWrap/>
            <w:hideMark/>
          </w:tcPr>
          <w:p w:rsidRPr="00F45143" w:rsidR="00145725" w:rsidP="00933EAA" w:rsidRDefault="00145725" w14:paraId="099FBC2B" w14:textId="77777777">
            <w:pPr>
              <w:jc w:val="center"/>
              <w:rPr>
                <w:rFonts w:asciiTheme="minorHAnsi" w:hAnsiTheme="minorHAnsi" w:cstheme="minorHAnsi"/>
                <w:sz w:val="18"/>
              </w:rPr>
            </w:pPr>
            <w:r w:rsidRPr="00F45143">
              <w:rPr>
                <w:rFonts w:asciiTheme="minorHAnsi" w:hAnsiTheme="minorHAnsi" w:cstheme="minorHAnsi"/>
                <w:sz w:val="18"/>
              </w:rPr>
              <w:t>0.1</w:t>
            </w:r>
          </w:p>
        </w:tc>
        <w:tc>
          <w:tcPr>
            <w:tcW w:w="1260" w:type="dxa"/>
            <w:shd w:val="clear" w:color="auto" w:fill="D9D9D9" w:themeFill="background1" w:themeFillShade="D9"/>
            <w:noWrap/>
            <w:hideMark/>
          </w:tcPr>
          <w:p w:rsidRPr="00F45143" w:rsidR="00145725" w:rsidP="00933EAA" w:rsidRDefault="00145725" w14:paraId="50027F42"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0AD8E551" w14:textId="77777777">
            <w:pPr>
              <w:jc w:val="right"/>
              <w:rPr>
                <w:rFonts w:asciiTheme="minorHAnsi" w:hAnsiTheme="minorHAnsi" w:cstheme="minorHAnsi"/>
                <w:sz w:val="18"/>
              </w:rPr>
            </w:pPr>
            <w:r w:rsidRPr="00F45143">
              <w:rPr>
                <w:rFonts w:asciiTheme="minorHAnsi" w:hAnsiTheme="minorHAnsi" w:cstheme="minorHAnsi"/>
                <w:sz w:val="18"/>
              </w:rPr>
              <w:t xml:space="preserve">$12,604.90 </w:t>
            </w:r>
          </w:p>
        </w:tc>
      </w:tr>
      <w:tr w:rsidRPr="00F45143" w:rsidR="00145725" w:rsidTr="00933EAA" w14:paraId="6B8F5BBC" w14:textId="77777777">
        <w:trPr>
          <w:trHeight w:val="290"/>
        </w:trPr>
        <w:tc>
          <w:tcPr>
            <w:tcW w:w="2610" w:type="dxa"/>
            <w:noWrap/>
            <w:hideMark/>
          </w:tcPr>
          <w:p w:rsidRPr="00F45143" w:rsidR="00145725" w:rsidP="00933EAA" w:rsidRDefault="00145725" w14:paraId="21872F6A" w14:textId="77777777">
            <w:pPr>
              <w:rPr>
                <w:rFonts w:asciiTheme="minorHAnsi" w:hAnsiTheme="minorHAnsi" w:cstheme="minorHAnsi"/>
                <w:sz w:val="18"/>
              </w:rPr>
            </w:pPr>
            <w:r w:rsidRPr="00F45143">
              <w:rPr>
                <w:rFonts w:asciiTheme="minorHAnsi" w:hAnsiTheme="minorHAnsi" w:cstheme="minorHAnsi"/>
                <w:sz w:val="18"/>
              </w:rPr>
              <w:t xml:space="preserve">   Project Scientist CEC</w:t>
            </w:r>
          </w:p>
        </w:tc>
        <w:tc>
          <w:tcPr>
            <w:tcW w:w="1119" w:type="dxa"/>
            <w:noWrap/>
            <w:hideMark/>
          </w:tcPr>
          <w:p w:rsidRPr="00F45143" w:rsidR="00145725" w:rsidP="00933EAA" w:rsidRDefault="00145725" w14:paraId="5A32B3D9" w14:textId="77777777">
            <w:pPr>
              <w:jc w:val="center"/>
              <w:rPr>
                <w:rFonts w:asciiTheme="minorHAnsi" w:hAnsiTheme="minorHAnsi" w:cstheme="minorHAnsi"/>
                <w:sz w:val="18"/>
              </w:rPr>
            </w:pPr>
            <w:r w:rsidRPr="00F45143">
              <w:rPr>
                <w:rFonts w:asciiTheme="minorHAnsi" w:hAnsiTheme="minorHAnsi" w:cstheme="minorHAnsi"/>
                <w:sz w:val="18"/>
              </w:rPr>
              <w:t>GS-14/1</w:t>
            </w:r>
          </w:p>
        </w:tc>
        <w:tc>
          <w:tcPr>
            <w:tcW w:w="1214" w:type="dxa"/>
            <w:noWrap/>
            <w:hideMark/>
          </w:tcPr>
          <w:p w:rsidRPr="00F45143" w:rsidR="00145725" w:rsidP="00933EAA" w:rsidRDefault="00145725" w14:paraId="662A6A77" w14:textId="77777777">
            <w:pPr>
              <w:jc w:val="right"/>
              <w:rPr>
                <w:rFonts w:asciiTheme="minorHAnsi" w:hAnsiTheme="minorHAnsi" w:cstheme="minorHAnsi"/>
                <w:sz w:val="18"/>
              </w:rPr>
            </w:pPr>
            <w:r w:rsidRPr="00F45143">
              <w:rPr>
                <w:rFonts w:asciiTheme="minorHAnsi" w:hAnsiTheme="minorHAnsi" w:cstheme="minorHAnsi"/>
                <w:sz w:val="18"/>
              </w:rPr>
              <w:t xml:space="preserve">$114,590.00 </w:t>
            </w:r>
          </w:p>
        </w:tc>
        <w:tc>
          <w:tcPr>
            <w:tcW w:w="722" w:type="dxa"/>
            <w:noWrap/>
            <w:hideMark/>
          </w:tcPr>
          <w:p w:rsidRPr="00F45143" w:rsidR="00145725" w:rsidP="00933EAA" w:rsidRDefault="00145725" w14:paraId="044340E2" w14:textId="77777777">
            <w:pPr>
              <w:jc w:val="center"/>
              <w:rPr>
                <w:rFonts w:asciiTheme="minorHAnsi" w:hAnsiTheme="minorHAnsi" w:cstheme="minorHAnsi"/>
                <w:sz w:val="18"/>
              </w:rPr>
            </w:pPr>
            <w:r w:rsidRPr="00F45143">
              <w:rPr>
                <w:rFonts w:asciiTheme="minorHAnsi" w:hAnsiTheme="minorHAnsi" w:cstheme="minorHAnsi"/>
                <w:sz w:val="18"/>
              </w:rPr>
              <w:t>0.1</w:t>
            </w:r>
          </w:p>
        </w:tc>
        <w:tc>
          <w:tcPr>
            <w:tcW w:w="1260" w:type="dxa"/>
            <w:shd w:val="clear" w:color="auto" w:fill="D9D9D9" w:themeFill="background1" w:themeFillShade="D9"/>
            <w:noWrap/>
            <w:hideMark/>
          </w:tcPr>
          <w:p w:rsidRPr="00F45143" w:rsidR="00145725" w:rsidP="00933EAA" w:rsidRDefault="00145725" w14:paraId="231CD5ED"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2447A4F0" w14:textId="77777777">
            <w:pPr>
              <w:jc w:val="right"/>
              <w:rPr>
                <w:rFonts w:asciiTheme="minorHAnsi" w:hAnsiTheme="minorHAnsi" w:cstheme="minorHAnsi"/>
                <w:sz w:val="18"/>
              </w:rPr>
            </w:pPr>
            <w:r w:rsidRPr="00F45143">
              <w:rPr>
                <w:rFonts w:asciiTheme="minorHAnsi" w:hAnsiTheme="minorHAnsi" w:cstheme="minorHAnsi"/>
                <w:sz w:val="18"/>
              </w:rPr>
              <w:t xml:space="preserve">$11,459.00 </w:t>
            </w:r>
          </w:p>
        </w:tc>
      </w:tr>
      <w:tr w:rsidRPr="00F45143" w:rsidR="00145725" w:rsidTr="00933EAA" w14:paraId="27C30E7B" w14:textId="77777777">
        <w:trPr>
          <w:trHeight w:val="290"/>
        </w:trPr>
        <w:tc>
          <w:tcPr>
            <w:tcW w:w="2610" w:type="dxa"/>
            <w:noWrap/>
            <w:hideMark/>
          </w:tcPr>
          <w:p w:rsidRPr="00F45143" w:rsidR="00145725" w:rsidP="00933EAA" w:rsidRDefault="00145725" w14:paraId="75BF1F40" w14:textId="77777777">
            <w:pPr>
              <w:rPr>
                <w:rFonts w:asciiTheme="minorHAnsi" w:hAnsiTheme="minorHAnsi" w:cstheme="minorHAnsi"/>
                <w:sz w:val="18"/>
              </w:rPr>
            </w:pPr>
            <w:r w:rsidRPr="00F45143">
              <w:rPr>
                <w:rFonts w:asciiTheme="minorHAnsi" w:hAnsiTheme="minorHAnsi" w:cstheme="minorHAnsi"/>
                <w:sz w:val="18"/>
              </w:rPr>
              <w:t xml:space="preserve">   Project Scientist NRMN</w:t>
            </w:r>
          </w:p>
        </w:tc>
        <w:tc>
          <w:tcPr>
            <w:tcW w:w="1119" w:type="dxa"/>
            <w:noWrap/>
            <w:hideMark/>
          </w:tcPr>
          <w:p w:rsidRPr="00F45143" w:rsidR="00145725" w:rsidP="00933EAA" w:rsidRDefault="00145725" w14:paraId="401EC014" w14:textId="77777777">
            <w:pPr>
              <w:jc w:val="center"/>
              <w:rPr>
                <w:rFonts w:asciiTheme="minorHAnsi" w:hAnsiTheme="minorHAnsi" w:cstheme="minorHAnsi"/>
                <w:sz w:val="18"/>
              </w:rPr>
            </w:pPr>
            <w:r w:rsidRPr="00F45143">
              <w:rPr>
                <w:rFonts w:asciiTheme="minorHAnsi" w:hAnsiTheme="minorHAnsi" w:cstheme="minorHAnsi"/>
                <w:sz w:val="18"/>
              </w:rPr>
              <w:t>GS-15/10</w:t>
            </w:r>
          </w:p>
        </w:tc>
        <w:tc>
          <w:tcPr>
            <w:tcW w:w="1214" w:type="dxa"/>
            <w:noWrap/>
            <w:hideMark/>
          </w:tcPr>
          <w:p w:rsidRPr="00F45143" w:rsidR="00145725" w:rsidP="00933EAA" w:rsidRDefault="00145725" w14:paraId="76BB9368" w14:textId="77777777">
            <w:pPr>
              <w:jc w:val="right"/>
              <w:rPr>
                <w:rFonts w:asciiTheme="minorHAnsi" w:hAnsiTheme="minorHAnsi" w:cstheme="minorHAnsi"/>
                <w:sz w:val="18"/>
              </w:rPr>
            </w:pPr>
            <w:r w:rsidRPr="00F45143">
              <w:rPr>
                <w:rFonts w:asciiTheme="minorHAnsi" w:hAnsiTheme="minorHAnsi" w:cstheme="minorHAnsi"/>
                <w:sz w:val="18"/>
              </w:rPr>
              <w:t xml:space="preserve">$164,200.00 </w:t>
            </w:r>
          </w:p>
        </w:tc>
        <w:tc>
          <w:tcPr>
            <w:tcW w:w="722" w:type="dxa"/>
            <w:noWrap/>
            <w:hideMark/>
          </w:tcPr>
          <w:p w:rsidRPr="00F45143" w:rsidR="00145725" w:rsidP="00933EAA" w:rsidRDefault="00145725" w14:paraId="1512FC50" w14:textId="77777777">
            <w:pPr>
              <w:jc w:val="center"/>
              <w:rPr>
                <w:rFonts w:asciiTheme="minorHAnsi" w:hAnsiTheme="minorHAnsi" w:cstheme="minorHAnsi"/>
                <w:sz w:val="18"/>
              </w:rPr>
            </w:pPr>
            <w:r w:rsidRPr="00F45143">
              <w:rPr>
                <w:rFonts w:asciiTheme="minorHAnsi" w:hAnsiTheme="minorHAnsi" w:cstheme="minorHAnsi"/>
                <w:sz w:val="18"/>
              </w:rPr>
              <w:t>0.1</w:t>
            </w:r>
          </w:p>
        </w:tc>
        <w:tc>
          <w:tcPr>
            <w:tcW w:w="1260" w:type="dxa"/>
            <w:shd w:val="clear" w:color="auto" w:fill="D9D9D9" w:themeFill="background1" w:themeFillShade="D9"/>
            <w:noWrap/>
            <w:hideMark/>
          </w:tcPr>
          <w:p w:rsidRPr="00F45143" w:rsidR="00145725" w:rsidP="00933EAA" w:rsidRDefault="00145725" w14:paraId="14664289"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32134176" w14:textId="77777777">
            <w:pPr>
              <w:jc w:val="right"/>
              <w:rPr>
                <w:rFonts w:asciiTheme="minorHAnsi" w:hAnsiTheme="minorHAnsi" w:cstheme="minorHAnsi"/>
                <w:sz w:val="18"/>
              </w:rPr>
            </w:pPr>
            <w:r w:rsidRPr="00F45143">
              <w:rPr>
                <w:rFonts w:asciiTheme="minorHAnsi" w:hAnsiTheme="minorHAnsi" w:cstheme="minorHAnsi"/>
                <w:sz w:val="18"/>
              </w:rPr>
              <w:t xml:space="preserve">$16,420.00 </w:t>
            </w:r>
          </w:p>
        </w:tc>
      </w:tr>
      <w:tr w:rsidRPr="00F45143" w:rsidR="00145725" w:rsidTr="00933EAA" w14:paraId="40B5A91D" w14:textId="77777777">
        <w:trPr>
          <w:trHeight w:val="290"/>
        </w:trPr>
        <w:tc>
          <w:tcPr>
            <w:tcW w:w="2610" w:type="dxa"/>
            <w:noWrap/>
            <w:hideMark/>
          </w:tcPr>
          <w:p w:rsidRPr="00F45143" w:rsidR="00145725" w:rsidP="00933EAA" w:rsidRDefault="00145725" w14:paraId="010F4A85" w14:textId="77777777">
            <w:pPr>
              <w:rPr>
                <w:rFonts w:asciiTheme="minorHAnsi" w:hAnsiTheme="minorHAnsi" w:cstheme="minorHAnsi"/>
                <w:b/>
                <w:bCs/>
                <w:sz w:val="18"/>
              </w:rPr>
            </w:pPr>
            <w:r w:rsidRPr="00F45143">
              <w:rPr>
                <w:rFonts w:asciiTheme="minorHAnsi" w:hAnsiTheme="minorHAnsi" w:cstheme="minorHAnsi"/>
                <w:b/>
                <w:bCs/>
                <w:sz w:val="18"/>
              </w:rPr>
              <w:t>Contractor Costs</w:t>
            </w:r>
          </w:p>
        </w:tc>
        <w:tc>
          <w:tcPr>
            <w:tcW w:w="1119" w:type="dxa"/>
            <w:noWrap/>
            <w:hideMark/>
          </w:tcPr>
          <w:p w:rsidRPr="00F45143" w:rsidR="00145725" w:rsidP="00933EAA" w:rsidRDefault="00145725" w14:paraId="42AA8EE2" w14:textId="77777777">
            <w:pPr>
              <w:jc w:val="center"/>
              <w:rPr>
                <w:rFonts w:asciiTheme="minorHAnsi" w:hAnsiTheme="minorHAnsi" w:cstheme="minorHAnsi"/>
                <w:sz w:val="18"/>
              </w:rPr>
            </w:pPr>
          </w:p>
        </w:tc>
        <w:tc>
          <w:tcPr>
            <w:tcW w:w="1214" w:type="dxa"/>
            <w:noWrap/>
            <w:hideMark/>
          </w:tcPr>
          <w:p w:rsidRPr="00F45143" w:rsidR="00145725" w:rsidP="00933EAA" w:rsidRDefault="00145725" w14:paraId="24384148" w14:textId="77777777">
            <w:pPr>
              <w:jc w:val="right"/>
              <w:rPr>
                <w:rFonts w:asciiTheme="minorHAnsi" w:hAnsiTheme="minorHAnsi" w:cstheme="minorHAnsi"/>
                <w:sz w:val="18"/>
              </w:rPr>
            </w:pPr>
            <w:r w:rsidRPr="00F45143">
              <w:rPr>
                <w:rFonts w:asciiTheme="minorHAnsi" w:hAnsiTheme="minorHAnsi" w:cstheme="minorHAnsi"/>
                <w:sz w:val="18"/>
              </w:rPr>
              <w:t> </w:t>
            </w:r>
          </w:p>
        </w:tc>
        <w:tc>
          <w:tcPr>
            <w:tcW w:w="722" w:type="dxa"/>
            <w:noWrap/>
            <w:hideMark/>
          </w:tcPr>
          <w:p w:rsidRPr="00F45143" w:rsidR="00145725" w:rsidP="00933EAA" w:rsidRDefault="00145725" w14:paraId="1D2D298C" w14:textId="77777777">
            <w:pPr>
              <w:jc w:val="center"/>
              <w:rPr>
                <w:rFonts w:asciiTheme="minorHAnsi" w:hAnsiTheme="minorHAnsi" w:cstheme="minorHAnsi"/>
                <w:sz w:val="18"/>
              </w:rPr>
            </w:pPr>
          </w:p>
        </w:tc>
        <w:tc>
          <w:tcPr>
            <w:tcW w:w="1260" w:type="dxa"/>
            <w:noWrap/>
            <w:hideMark/>
          </w:tcPr>
          <w:p w:rsidRPr="00F45143" w:rsidR="00145725" w:rsidP="00933EAA" w:rsidRDefault="00145725" w14:paraId="689F90C9"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4C826050" w14:textId="77777777">
            <w:pPr>
              <w:jc w:val="right"/>
              <w:rPr>
                <w:rFonts w:asciiTheme="minorHAnsi" w:hAnsiTheme="minorHAnsi" w:cstheme="minorHAnsi"/>
                <w:sz w:val="18"/>
              </w:rPr>
            </w:pPr>
            <w:r w:rsidRPr="00F45143">
              <w:rPr>
                <w:rFonts w:asciiTheme="minorHAnsi" w:hAnsiTheme="minorHAnsi" w:cstheme="minorHAnsi"/>
                <w:sz w:val="18"/>
              </w:rPr>
              <w:t> </w:t>
            </w:r>
          </w:p>
        </w:tc>
      </w:tr>
      <w:tr w:rsidRPr="00F45143" w:rsidR="00145725" w:rsidTr="00933EAA" w14:paraId="79F629EF" w14:textId="77777777">
        <w:trPr>
          <w:trHeight w:val="290"/>
        </w:trPr>
        <w:tc>
          <w:tcPr>
            <w:tcW w:w="2610" w:type="dxa"/>
            <w:noWrap/>
            <w:hideMark/>
          </w:tcPr>
          <w:p w:rsidRPr="00F45143" w:rsidR="00145725" w:rsidP="00933EAA" w:rsidRDefault="00145725" w14:paraId="1425A564" w14:textId="77777777">
            <w:pPr>
              <w:rPr>
                <w:rFonts w:asciiTheme="minorHAnsi" w:hAnsiTheme="minorHAnsi" w:cstheme="minorHAnsi"/>
                <w:sz w:val="18"/>
              </w:rPr>
            </w:pPr>
            <w:r w:rsidRPr="00F45143">
              <w:rPr>
                <w:rFonts w:asciiTheme="minorHAnsi" w:hAnsiTheme="minorHAnsi" w:cstheme="minorHAnsi"/>
                <w:sz w:val="18"/>
              </w:rPr>
              <w:t xml:space="preserve">   Communications Specialist</w:t>
            </w:r>
          </w:p>
        </w:tc>
        <w:tc>
          <w:tcPr>
            <w:tcW w:w="1119" w:type="dxa"/>
            <w:shd w:val="clear" w:color="auto" w:fill="D9D9D9" w:themeFill="background1" w:themeFillShade="D9"/>
            <w:noWrap/>
            <w:hideMark/>
          </w:tcPr>
          <w:p w:rsidRPr="00F45143" w:rsidR="00145725" w:rsidP="00933EAA" w:rsidRDefault="00145725" w14:paraId="0346975E" w14:textId="77777777">
            <w:pPr>
              <w:jc w:val="center"/>
              <w:rPr>
                <w:rFonts w:asciiTheme="minorHAnsi" w:hAnsiTheme="minorHAnsi" w:cstheme="minorHAnsi"/>
                <w:sz w:val="18"/>
              </w:rPr>
            </w:pPr>
          </w:p>
        </w:tc>
        <w:tc>
          <w:tcPr>
            <w:tcW w:w="1214" w:type="dxa"/>
            <w:noWrap/>
            <w:hideMark/>
          </w:tcPr>
          <w:p w:rsidRPr="00F45143" w:rsidR="00145725" w:rsidP="00933EAA" w:rsidRDefault="00145725" w14:paraId="4629A0CE" w14:textId="77777777">
            <w:pPr>
              <w:jc w:val="right"/>
              <w:rPr>
                <w:rFonts w:asciiTheme="minorHAnsi" w:hAnsiTheme="minorHAnsi" w:cstheme="minorHAnsi"/>
                <w:sz w:val="18"/>
              </w:rPr>
            </w:pPr>
            <w:r w:rsidRPr="00F45143">
              <w:rPr>
                <w:rFonts w:asciiTheme="minorHAnsi" w:hAnsiTheme="minorHAnsi" w:cstheme="minorHAnsi"/>
                <w:sz w:val="18"/>
              </w:rPr>
              <w:t xml:space="preserve">$110,406.40 </w:t>
            </w:r>
          </w:p>
        </w:tc>
        <w:tc>
          <w:tcPr>
            <w:tcW w:w="722" w:type="dxa"/>
            <w:noWrap/>
            <w:hideMark/>
          </w:tcPr>
          <w:p w:rsidRPr="00F45143" w:rsidR="00145725" w:rsidP="00933EAA" w:rsidRDefault="00145725" w14:paraId="460AC665" w14:textId="77777777">
            <w:pPr>
              <w:jc w:val="center"/>
              <w:rPr>
                <w:rFonts w:asciiTheme="minorHAnsi" w:hAnsiTheme="minorHAnsi" w:cstheme="minorHAnsi"/>
                <w:sz w:val="18"/>
              </w:rPr>
            </w:pPr>
            <w:r w:rsidRPr="00F45143">
              <w:rPr>
                <w:rFonts w:asciiTheme="minorHAnsi" w:hAnsiTheme="minorHAnsi" w:cstheme="minorHAnsi"/>
                <w:sz w:val="18"/>
              </w:rPr>
              <w:t>1</w:t>
            </w:r>
          </w:p>
        </w:tc>
        <w:tc>
          <w:tcPr>
            <w:tcW w:w="1260" w:type="dxa"/>
            <w:noWrap/>
            <w:hideMark/>
          </w:tcPr>
          <w:p w:rsidRPr="00F45143" w:rsidR="00145725" w:rsidP="00933EAA" w:rsidRDefault="00145725" w14:paraId="2669ED14" w14:textId="77777777">
            <w:pPr>
              <w:jc w:val="right"/>
              <w:rPr>
                <w:rFonts w:asciiTheme="minorHAnsi" w:hAnsiTheme="minorHAnsi" w:cstheme="minorHAnsi"/>
                <w:sz w:val="18"/>
              </w:rPr>
            </w:pPr>
            <w:r w:rsidRPr="00F45143">
              <w:rPr>
                <w:rFonts w:asciiTheme="minorHAnsi" w:hAnsiTheme="minorHAnsi" w:cstheme="minorHAnsi"/>
                <w:sz w:val="18"/>
              </w:rPr>
              <w:t xml:space="preserve">$9,443.20 </w:t>
            </w:r>
          </w:p>
        </w:tc>
        <w:tc>
          <w:tcPr>
            <w:tcW w:w="1769" w:type="dxa"/>
            <w:noWrap/>
            <w:hideMark/>
          </w:tcPr>
          <w:p w:rsidRPr="00F45143" w:rsidR="00145725" w:rsidP="00933EAA" w:rsidRDefault="00145725" w14:paraId="48B8F0AE" w14:textId="77777777">
            <w:pPr>
              <w:jc w:val="right"/>
              <w:rPr>
                <w:rFonts w:asciiTheme="minorHAnsi" w:hAnsiTheme="minorHAnsi" w:cstheme="minorHAnsi"/>
                <w:sz w:val="18"/>
              </w:rPr>
            </w:pPr>
            <w:r w:rsidRPr="00F45143">
              <w:rPr>
                <w:rFonts w:asciiTheme="minorHAnsi" w:hAnsiTheme="minorHAnsi" w:cstheme="minorHAnsi"/>
                <w:sz w:val="18"/>
              </w:rPr>
              <w:t xml:space="preserve">$119,849.60 </w:t>
            </w:r>
          </w:p>
        </w:tc>
      </w:tr>
      <w:tr w:rsidRPr="00F45143" w:rsidR="00145725" w:rsidTr="00933EAA" w14:paraId="6F8D1E6D" w14:textId="77777777">
        <w:trPr>
          <w:trHeight w:val="290"/>
        </w:trPr>
        <w:tc>
          <w:tcPr>
            <w:tcW w:w="2610" w:type="dxa"/>
            <w:noWrap/>
            <w:hideMark/>
          </w:tcPr>
          <w:p w:rsidRPr="00F45143" w:rsidR="00145725" w:rsidP="00933EAA" w:rsidRDefault="00145725" w14:paraId="73B3B726" w14:textId="77777777">
            <w:pPr>
              <w:rPr>
                <w:rFonts w:asciiTheme="minorHAnsi" w:hAnsiTheme="minorHAnsi" w:cstheme="minorHAnsi"/>
                <w:sz w:val="18"/>
              </w:rPr>
            </w:pPr>
            <w:r w:rsidRPr="00F45143">
              <w:rPr>
                <w:rFonts w:asciiTheme="minorHAnsi" w:hAnsiTheme="minorHAnsi" w:cstheme="minorHAnsi"/>
                <w:sz w:val="18"/>
              </w:rPr>
              <w:lastRenderedPageBreak/>
              <w:t xml:space="preserve">   Analyst</w:t>
            </w:r>
          </w:p>
        </w:tc>
        <w:tc>
          <w:tcPr>
            <w:tcW w:w="1119" w:type="dxa"/>
            <w:shd w:val="clear" w:color="auto" w:fill="D9D9D9" w:themeFill="background1" w:themeFillShade="D9"/>
            <w:noWrap/>
            <w:hideMark/>
          </w:tcPr>
          <w:p w:rsidRPr="00F45143" w:rsidR="00145725" w:rsidP="00933EAA" w:rsidRDefault="00145725" w14:paraId="50861A6D" w14:textId="77777777">
            <w:pPr>
              <w:jc w:val="center"/>
              <w:rPr>
                <w:rFonts w:asciiTheme="minorHAnsi" w:hAnsiTheme="minorHAnsi" w:cstheme="minorHAnsi"/>
                <w:sz w:val="18"/>
              </w:rPr>
            </w:pPr>
          </w:p>
        </w:tc>
        <w:tc>
          <w:tcPr>
            <w:tcW w:w="1214" w:type="dxa"/>
            <w:noWrap/>
            <w:hideMark/>
          </w:tcPr>
          <w:p w:rsidRPr="00F45143" w:rsidR="00145725" w:rsidP="00933EAA" w:rsidRDefault="00145725" w14:paraId="43B0978C" w14:textId="77777777">
            <w:pPr>
              <w:jc w:val="right"/>
              <w:rPr>
                <w:rFonts w:asciiTheme="minorHAnsi" w:hAnsiTheme="minorHAnsi" w:cstheme="minorHAnsi"/>
                <w:sz w:val="18"/>
              </w:rPr>
            </w:pPr>
            <w:r w:rsidRPr="00F45143">
              <w:rPr>
                <w:rFonts w:asciiTheme="minorHAnsi" w:hAnsiTheme="minorHAnsi" w:cstheme="minorHAnsi"/>
                <w:sz w:val="18"/>
              </w:rPr>
              <w:t xml:space="preserve">$138,340.80 </w:t>
            </w:r>
          </w:p>
        </w:tc>
        <w:tc>
          <w:tcPr>
            <w:tcW w:w="722" w:type="dxa"/>
            <w:noWrap/>
            <w:hideMark/>
          </w:tcPr>
          <w:p w:rsidRPr="00F45143" w:rsidR="00145725" w:rsidP="00933EAA" w:rsidRDefault="00145725" w14:paraId="68B2A86E" w14:textId="77777777">
            <w:pPr>
              <w:jc w:val="center"/>
              <w:rPr>
                <w:rFonts w:asciiTheme="minorHAnsi" w:hAnsiTheme="minorHAnsi" w:cstheme="minorHAnsi"/>
                <w:sz w:val="18"/>
              </w:rPr>
            </w:pPr>
            <w:r w:rsidRPr="00F45143">
              <w:rPr>
                <w:rFonts w:asciiTheme="minorHAnsi" w:hAnsiTheme="minorHAnsi" w:cstheme="minorHAnsi"/>
                <w:sz w:val="18"/>
              </w:rPr>
              <w:t>1</w:t>
            </w:r>
          </w:p>
        </w:tc>
        <w:tc>
          <w:tcPr>
            <w:tcW w:w="1260" w:type="dxa"/>
            <w:noWrap/>
            <w:hideMark/>
          </w:tcPr>
          <w:p w:rsidRPr="00F45143" w:rsidR="00145725" w:rsidP="00933EAA" w:rsidRDefault="00145725" w14:paraId="28F4643F" w14:textId="77777777">
            <w:pPr>
              <w:jc w:val="right"/>
              <w:rPr>
                <w:rFonts w:asciiTheme="minorHAnsi" w:hAnsiTheme="minorHAnsi" w:cstheme="minorHAnsi"/>
                <w:sz w:val="18"/>
              </w:rPr>
            </w:pPr>
            <w:r w:rsidRPr="00F45143">
              <w:rPr>
                <w:rFonts w:asciiTheme="minorHAnsi" w:hAnsiTheme="minorHAnsi" w:cstheme="minorHAnsi"/>
                <w:sz w:val="18"/>
              </w:rPr>
              <w:t xml:space="preserve">$9,443.20 </w:t>
            </w:r>
          </w:p>
        </w:tc>
        <w:tc>
          <w:tcPr>
            <w:tcW w:w="1769" w:type="dxa"/>
            <w:noWrap/>
            <w:hideMark/>
          </w:tcPr>
          <w:p w:rsidRPr="00F45143" w:rsidR="00145725" w:rsidP="00933EAA" w:rsidRDefault="00145725" w14:paraId="42B68806" w14:textId="77777777">
            <w:pPr>
              <w:jc w:val="right"/>
              <w:rPr>
                <w:rFonts w:asciiTheme="minorHAnsi" w:hAnsiTheme="minorHAnsi" w:cstheme="minorHAnsi"/>
                <w:sz w:val="18"/>
              </w:rPr>
            </w:pPr>
            <w:r w:rsidRPr="00F45143">
              <w:rPr>
                <w:rFonts w:asciiTheme="minorHAnsi" w:hAnsiTheme="minorHAnsi" w:cstheme="minorHAnsi"/>
                <w:sz w:val="18"/>
              </w:rPr>
              <w:t xml:space="preserve">$147,784.00 </w:t>
            </w:r>
          </w:p>
        </w:tc>
      </w:tr>
      <w:tr w:rsidRPr="00F45143" w:rsidR="00145725" w:rsidTr="00933EAA" w14:paraId="6EECB0E0" w14:textId="77777777">
        <w:trPr>
          <w:trHeight w:val="290"/>
        </w:trPr>
        <w:tc>
          <w:tcPr>
            <w:tcW w:w="2610" w:type="dxa"/>
            <w:noWrap/>
            <w:hideMark/>
          </w:tcPr>
          <w:p w:rsidRPr="00F45143" w:rsidR="00145725" w:rsidP="00933EAA" w:rsidRDefault="00145725" w14:paraId="13D52A0C" w14:textId="77777777">
            <w:pPr>
              <w:rPr>
                <w:rFonts w:asciiTheme="minorHAnsi" w:hAnsiTheme="minorHAnsi" w:cstheme="minorHAnsi"/>
                <w:b/>
                <w:bCs/>
                <w:sz w:val="18"/>
              </w:rPr>
            </w:pPr>
            <w:r w:rsidRPr="00F45143">
              <w:rPr>
                <w:rFonts w:asciiTheme="minorHAnsi" w:hAnsiTheme="minorHAnsi" w:cstheme="minorHAnsi"/>
                <w:b/>
                <w:bCs/>
                <w:sz w:val="18"/>
              </w:rPr>
              <w:t>Travel</w:t>
            </w:r>
          </w:p>
        </w:tc>
        <w:tc>
          <w:tcPr>
            <w:tcW w:w="1119" w:type="dxa"/>
            <w:shd w:val="clear" w:color="auto" w:fill="D9D9D9" w:themeFill="background1" w:themeFillShade="D9"/>
            <w:noWrap/>
            <w:hideMark/>
          </w:tcPr>
          <w:p w:rsidRPr="00F45143" w:rsidR="00145725" w:rsidP="00933EAA" w:rsidRDefault="00145725" w14:paraId="73BAB7F1" w14:textId="77777777">
            <w:pPr>
              <w:jc w:val="center"/>
              <w:rPr>
                <w:rFonts w:asciiTheme="minorHAnsi" w:hAnsiTheme="minorHAnsi" w:cstheme="minorHAnsi"/>
                <w:sz w:val="18"/>
              </w:rPr>
            </w:pPr>
          </w:p>
        </w:tc>
        <w:tc>
          <w:tcPr>
            <w:tcW w:w="1214" w:type="dxa"/>
            <w:shd w:val="clear" w:color="auto" w:fill="D9D9D9" w:themeFill="background1" w:themeFillShade="D9"/>
            <w:noWrap/>
            <w:hideMark/>
          </w:tcPr>
          <w:p w:rsidRPr="00F45143" w:rsidR="00145725" w:rsidP="00933EAA" w:rsidRDefault="00145725" w14:paraId="5D2F917C" w14:textId="77777777">
            <w:pPr>
              <w:jc w:val="right"/>
              <w:rPr>
                <w:rFonts w:asciiTheme="minorHAnsi" w:hAnsiTheme="minorHAnsi" w:cstheme="minorHAnsi"/>
                <w:sz w:val="18"/>
              </w:rPr>
            </w:pPr>
            <w:r w:rsidRPr="00F45143">
              <w:rPr>
                <w:rFonts w:asciiTheme="minorHAnsi" w:hAnsiTheme="minorHAnsi" w:cstheme="minorHAnsi"/>
                <w:sz w:val="18"/>
              </w:rPr>
              <w:t> </w:t>
            </w:r>
          </w:p>
        </w:tc>
        <w:tc>
          <w:tcPr>
            <w:tcW w:w="722" w:type="dxa"/>
            <w:shd w:val="clear" w:color="auto" w:fill="D9D9D9" w:themeFill="background1" w:themeFillShade="D9"/>
            <w:noWrap/>
            <w:hideMark/>
          </w:tcPr>
          <w:p w:rsidRPr="00F45143" w:rsidR="00145725" w:rsidP="00933EAA" w:rsidRDefault="00145725" w14:paraId="04ED227C" w14:textId="77777777">
            <w:pPr>
              <w:jc w:val="center"/>
              <w:rPr>
                <w:rFonts w:asciiTheme="minorHAnsi" w:hAnsiTheme="minorHAnsi" w:cstheme="minorHAnsi"/>
                <w:sz w:val="18"/>
              </w:rPr>
            </w:pPr>
          </w:p>
        </w:tc>
        <w:tc>
          <w:tcPr>
            <w:tcW w:w="1260" w:type="dxa"/>
            <w:shd w:val="clear" w:color="auto" w:fill="D9D9D9" w:themeFill="background1" w:themeFillShade="D9"/>
            <w:noWrap/>
            <w:hideMark/>
          </w:tcPr>
          <w:p w:rsidRPr="00F45143" w:rsidR="00145725" w:rsidP="00933EAA" w:rsidRDefault="00145725" w14:paraId="185099C2" w14:textId="77777777">
            <w:pPr>
              <w:rPr>
                <w:rFonts w:asciiTheme="minorHAnsi" w:hAnsiTheme="minorHAnsi" w:cstheme="minorHAnsi"/>
                <w:sz w:val="18"/>
              </w:rPr>
            </w:pPr>
            <w:r w:rsidRPr="00F45143">
              <w:rPr>
                <w:rFonts w:asciiTheme="minorHAnsi" w:hAnsiTheme="minorHAnsi" w:cstheme="minorHAnsi"/>
                <w:sz w:val="18"/>
              </w:rPr>
              <w:t> </w:t>
            </w:r>
          </w:p>
        </w:tc>
        <w:tc>
          <w:tcPr>
            <w:tcW w:w="1769" w:type="dxa"/>
            <w:noWrap/>
            <w:hideMark/>
          </w:tcPr>
          <w:p w:rsidRPr="00F45143" w:rsidR="00145725" w:rsidP="00933EAA" w:rsidRDefault="00145725" w14:paraId="67276F7B" w14:textId="77777777">
            <w:pPr>
              <w:jc w:val="right"/>
              <w:rPr>
                <w:rFonts w:asciiTheme="minorHAnsi" w:hAnsiTheme="minorHAnsi" w:cstheme="minorHAnsi"/>
                <w:sz w:val="18"/>
              </w:rPr>
            </w:pPr>
            <w:r w:rsidRPr="00F45143">
              <w:rPr>
                <w:rFonts w:asciiTheme="minorHAnsi" w:hAnsiTheme="minorHAnsi" w:cstheme="minorHAnsi"/>
                <w:sz w:val="18"/>
              </w:rPr>
              <w:t xml:space="preserve">$10,000.00 </w:t>
            </w:r>
          </w:p>
        </w:tc>
      </w:tr>
      <w:tr w:rsidRPr="00F45143" w:rsidR="00145725" w:rsidTr="00933EAA" w14:paraId="777A5926" w14:textId="77777777">
        <w:trPr>
          <w:trHeight w:val="290"/>
        </w:trPr>
        <w:tc>
          <w:tcPr>
            <w:tcW w:w="2610" w:type="dxa"/>
            <w:noWrap/>
            <w:hideMark/>
          </w:tcPr>
          <w:p w:rsidRPr="00F45143" w:rsidR="00145725" w:rsidP="00933EAA" w:rsidRDefault="00145725" w14:paraId="094A707F" w14:textId="77777777">
            <w:pPr>
              <w:rPr>
                <w:rFonts w:asciiTheme="minorHAnsi" w:hAnsiTheme="minorHAnsi" w:cstheme="minorHAnsi"/>
                <w:b/>
                <w:bCs/>
                <w:sz w:val="18"/>
              </w:rPr>
            </w:pPr>
            <w:r w:rsidRPr="00F45143">
              <w:rPr>
                <w:rFonts w:asciiTheme="minorHAnsi" w:hAnsiTheme="minorHAnsi" w:cstheme="minorHAnsi"/>
                <w:b/>
                <w:bCs/>
                <w:sz w:val="18"/>
              </w:rPr>
              <w:t>Total</w:t>
            </w:r>
          </w:p>
        </w:tc>
        <w:tc>
          <w:tcPr>
            <w:tcW w:w="1119" w:type="dxa"/>
            <w:noWrap/>
            <w:hideMark/>
          </w:tcPr>
          <w:p w:rsidRPr="00F45143" w:rsidR="00145725" w:rsidP="00933EAA" w:rsidRDefault="00145725" w14:paraId="07CA7A01" w14:textId="77777777">
            <w:pPr>
              <w:jc w:val="center"/>
              <w:rPr>
                <w:rFonts w:asciiTheme="minorHAnsi" w:hAnsiTheme="minorHAnsi" w:cstheme="minorHAnsi"/>
                <w:b/>
                <w:bCs/>
                <w:sz w:val="18"/>
              </w:rPr>
            </w:pPr>
          </w:p>
        </w:tc>
        <w:tc>
          <w:tcPr>
            <w:tcW w:w="1214" w:type="dxa"/>
            <w:noWrap/>
            <w:hideMark/>
          </w:tcPr>
          <w:p w:rsidRPr="00F45143" w:rsidR="00145725" w:rsidP="00933EAA" w:rsidRDefault="00145725" w14:paraId="7DB71EDF" w14:textId="77777777">
            <w:pPr>
              <w:jc w:val="right"/>
              <w:rPr>
                <w:rFonts w:asciiTheme="minorHAnsi" w:hAnsiTheme="minorHAnsi" w:cstheme="minorHAnsi"/>
                <w:b/>
                <w:bCs/>
                <w:sz w:val="18"/>
              </w:rPr>
            </w:pPr>
            <w:r w:rsidRPr="00F45143">
              <w:rPr>
                <w:rFonts w:asciiTheme="minorHAnsi" w:hAnsiTheme="minorHAnsi" w:cstheme="minorHAnsi"/>
                <w:b/>
                <w:bCs/>
                <w:sz w:val="18"/>
              </w:rPr>
              <w:t> </w:t>
            </w:r>
          </w:p>
        </w:tc>
        <w:tc>
          <w:tcPr>
            <w:tcW w:w="722" w:type="dxa"/>
            <w:noWrap/>
            <w:hideMark/>
          </w:tcPr>
          <w:p w:rsidRPr="00F45143" w:rsidR="00145725" w:rsidP="00933EAA" w:rsidRDefault="00145725" w14:paraId="75285F26" w14:textId="77777777">
            <w:pPr>
              <w:jc w:val="center"/>
              <w:rPr>
                <w:rFonts w:asciiTheme="minorHAnsi" w:hAnsiTheme="minorHAnsi" w:cstheme="minorHAnsi"/>
                <w:b/>
                <w:bCs/>
                <w:sz w:val="18"/>
              </w:rPr>
            </w:pPr>
          </w:p>
        </w:tc>
        <w:tc>
          <w:tcPr>
            <w:tcW w:w="1260" w:type="dxa"/>
            <w:noWrap/>
            <w:hideMark/>
          </w:tcPr>
          <w:p w:rsidRPr="00F45143" w:rsidR="00145725" w:rsidP="00933EAA" w:rsidRDefault="00145725" w14:paraId="28D724AD" w14:textId="77777777">
            <w:pPr>
              <w:rPr>
                <w:rFonts w:asciiTheme="minorHAnsi" w:hAnsiTheme="minorHAnsi" w:cstheme="minorHAnsi"/>
                <w:b/>
                <w:bCs/>
                <w:sz w:val="18"/>
              </w:rPr>
            </w:pPr>
            <w:r w:rsidRPr="00F45143">
              <w:rPr>
                <w:rFonts w:asciiTheme="minorHAnsi" w:hAnsiTheme="minorHAnsi" w:cstheme="minorHAnsi"/>
                <w:b/>
                <w:bCs/>
                <w:sz w:val="18"/>
              </w:rPr>
              <w:t> </w:t>
            </w:r>
          </w:p>
        </w:tc>
        <w:tc>
          <w:tcPr>
            <w:tcW w:w="1769" w:type="dxa"/>
            <w:noWrap/>
            <w:hideMark/>
          </w:tcPr>
          <w:p w:rsidRPr="00F45143" w:rsidR="00145725" w:rsidP="00933EAA" w:rsidRDefault="00145725" w14:paraId="60A6BBAA" w14:textId="77777777">
            <w:pPr>
              <w:jc w:val="right"/>
              <w:rPr>
                <w:rFonts w:asciiTheme="minorHAnsi" w:hAnsiTheme="minorHAnsi" w:cstheme="minorHAnsi"/>
                <w:b/>
                <w:bCs/>
                <w:sz w:val="18"/>
              </w:rPr>
            </w:pPr>
            <w:r w:rsidRPr="00F45143">
              <w:rPr>
                <w:rFonts w:asciiTheme="minorHAnsi" w:hAnsiTheme="minorHAnsi" w:cstheme="minorHAnsi"/>
                <w:b/>
                <w:bCs/>
                <w:sz w:val="18"/>
              </w:rPr>
              <w:t xml:space="preserve">$867,966.95 </w:t>
            </w:r>
          </w:p>
        </w:tc>
      </w:tr>
    </w:tbl>
    <w:p w:rsidR="006B624F" w:rsidP="006B624F" w:rsidRDefault="009747F4" w14:paraId="27799FEF" w14:textId="77777777">
      <w:pPr>
        <w:rPr>
          <w:color w:val="002060"/>
        </w:rPr>
      </w:pPr>
      <w:r>
        <w:t>*</w:t>
      </w:r>
      <w:r w:rsidRPr="00337708">
        <w:t xml:space="preserve">the Salary in table above is cited from </w:t>
      </w:r>
      <w:hyperlink w:history="1" r:id="rId30">
        <w:r w:rsidRPr="00337708" w:rsidR="006B624F">
          <w:rPr>
            <w:rStyle w:val="Hyperlink"/>
          </w:rPr>
          <w:t>https://www.opm.gov/policy-data-oversight/pay-leave/salaries-wages/salary-tables/18Tables/html/DCB.aspx</w:t>
        </w:r>
      </w:hyperlink>
    </w:p>
    <w:p w:rsidRPr="00F76F4B" w:rsidR="00FF72FC" w:rsidP="00F76F4B" w:rsidRDefault="00FF72FC" w14:paraId="4551EBE8" w14:textId="77777777">
      <w:pPr>
        <w:pStyle w:val="Heading1"/>
        <w:rPr>
          <w:rFonts w:asciiTheme="minorHAnsi" w:hAnsiTheme="minorHAnsi" w:cstheme="minorHAnsi"/>
          <w:b/>
          <w:color w:val="auto"/>
          <w:sz w:val="22"/>
          <w:szCs w:val="22"/>
        </w:rPr>
      </w:pPr>
      <w:bookmarkStart w:name="_Toc31096835" w:id="47"/>
      <w:r w:rsidRPr="00F76F4B">
        <w:rPr>
          <w:rFonts w:asciiTheme="minorHAnsi" w:hAnsiTheme="minorHAnsi" w:cstheme="minorHAnsi"/>
          <w:b/>
          <w:color w:val="auto"/>
          <w:sz w:val="22"/>
          <w:szCs w:val="22"/>
        </w:rPr>
        <w:t>A.15</w:t>
      </w:r>
      <w:r w:rsidRPr="00F76F4B">
        <w:rPr>
          <w:rFonts w:asciiTheme="minorHAnsi" w:hAnsiTheme="minorHAnsi" w:cstheme="minorHAnsi"/>
          <w:b/>
          <w:color w:val="auto"/>
          <w:sz w:val="22"/>
          <w:szCs w:val="22"/>
        </w:rPr>
        <w:tab/>
        <w:t>Explanation for Program Changes or Adjustments</w:t>
      </w:r>
      <w:bookmarkEnd w:id="47"/>
    </w:p>
    <w:p w:rsidR="00B84B20" w:rsidP="00B84B20" w:rsidRDefault="00CD3EAB" w14:paraId="5989D187" w14:textId="77777777">
      <w:pPr>
        <w:rPr>
          <w:szCs w:val="24"/>
        </w:rPr>
      </w:pPr>
      <w:bookmarkStart w:name="_Toc443881759" w:id="48"/>
      <w:bookmarkStart w:name="_Toc451592246" w:id="49"/>
      <w:bookmarkStart w:name="_Toc5610287" w:id="50"/>
      <w:bookmarkStart w:name="_Toc99178793" w:id="51"/>
      <w:r>
        <w:rPr>
          <w:szCs w:val="24"/>
        </w:rPr>
        <w:t>Although the consortium-wide evaluation plan is highly similar to the first submission, some adjustments have been made</w:t>
      </w:r>
      <w:r w:rsidR="00437361">
        <w:rPr>
          <w:szCs w:val="24"/>
        </w:rPr>
        <w:t xml:space="preserve">. </w:t>
      </w:r>
      <w:r w:rsidR="00B84B20">
        <w:rPr>
          <w:szCs w:val="24"/>
        </w:rPr>
        <w:t>They are described below.</w:t>
      </w:r>
    </w:p>
    <w:p w:rsidRPr="00091824" w:rsidR="00B84B20" w:rsidP="00B84B20" w:rsidRDefault="00B84B20" w14:paraId="5BEA1DFB" w14:textId="77777777">
      <w:pPr>
        <w:rPr>
          <w:b/>
          <w:szCs w:val="24"/>
        </w:rPr>
      </w:pPr>
      <w:r w:rsidRPr="00091824">
        <w:rPr>
          <w:b/>
          <w:szCs w:val="24"/>
        </w:rPr>
        <w:t>Inclusion of the latest funding announcements</w:t>
      </w:r>
    </w:p>
    <w:p w:rsidR="00B84B20" w:rsidP="00B84B20" w:rsidRDefault="00B84B20" w14:paraId="1E549185" w14:textId="4A5BD101">
      <w:pPr>
        <w:rPr>
          <w:szCs w:val="24"/>
        </w:rPr>
      </w:pPr>
      <w:r>
        <w:rPr>
          <w:szCs w:val="24"/>
        </w:rPr>
        <w:t>New f</w:t>
      </w:r>
      <w:r w:rsidR="00EC7C41">
        <w:rPr>
          <w:szCs w:val="24"/>
        </w:rPr>
        <w:t>unding announcements</w:t>
      </w:r>
      <w:r w:rsidR="00205854">
        <w:rPr>
          <w:szCs w:val="24"/>
        </w:rPr>
        <w:t xml:space="preserve"> (RFAs)</w:t>
      </w:r>
      <w:r w:rsidR="00EC7C41">
        <w:rPr>
          <w:szCs w:val="24"/>
        </w:rPr>
        <w:t xml:space="preserve"> were issued to solicit applications for the </w:t>
      </w:r>
      <w:r w:rsidR="007B5960">
        <w:rPr>
          <w:szCs w:val="24"/>
        </w:rPr>
        <w:t xml:space="preserve">program’s </w:t>
      </w:r>
      <w:r w:rsidR="00EC7C41">
        <w:rPr>
          <w:szCs w:val="24"/>
        </w:rPr>
        <w:t>second 5-year phase (see Attachment</w:t>
      </w:r>
      <w:r>
        <w:rPr>
          <w:szCs w:val="24"/>
        </w:rPr>
        <w:t>s</w:t>
      </w:r>
      <w:r w:rsidR="00EC7C41">
        <w:rPr>
          <w:szCs w:val="24"/>
        </w:rPr>
        <w:t xml:space="preserve"> 2 an</w:t>
      </w:r>
      <w:r>
        <w:rPr>
          <w:szCs w:val="24"/>
        </w:rPr>
        <w:t xml:space="preserve">d </w:t>
      </w:r>
      <w:r w:rsidR="00EC7C41">
        <w:rPr>
          <w:szCs w:val="24"/>
        </w:rPr>
        <w:t>5).</w:t>
      </w:r>
      <w:r>
        <w:rPr>
          <w:szCs w:val="24"/>
        </w:rPr>
        <w:t xml:space="preserve"> The funding announcements </w:t>
      </w:r>
      <w:r w:rsidR="007B5960">
        <w:rPr>
          <w:szCs w:val="24"/>
        </w:rPr>
        <w:t>from the program’s first 5-year phase</w:t>
      </w:r>
      <w:r w:rsidR="00A60302">
        <w:rPr>
          <w:szCs w:val="24"/>
        </w:rPr>
        <w:t xml:space="preserve"> that were part of the original submission</w:t>
      </w:r>
      <w:r w:rsidR="007B5960">
        <w:rPr>
          <w:szCs w:val="24"/>
        </w:rPr>
        <w:t xml:space="preserve"> </w:t>
      </w:r>
      <w:r>
        <w:rPr>
          <w:szCs w:val="24"/>
        </w:rPr>
        <w:t xml:space="preserve">are </w:t>
      </w:r>
      <w:r w:rsidR="00A60302">
        <w:rPr>
          <w:szCs w:val="24"/>
        </w:rPr>
        <w:t xml:space="preserve">also </w:t>
      </w:r>
      <w:r>
        <w:rPr>
          <w:szCs w:val="24"/>
        </w:rPr>
        <w:t>included</w:t>
      </w:r>
      <w:r w:rsidR="00A60302">
        <w:rPr>
          <w:szCs w:val="24"/>
        </w:rPr>
        <w:t xml:space="preserve"> (see</w:t>
      </w:r>
      <w:r>
        <w:rPr>
          <w:szCs w:val="24"/>
        </w:rPr>
        <w:t xml:space="preserve"> Attachments 1, 3</w:t>
      </w:r>
      <w:r w:rsidR="007B5960">
        <w:rPr>
          <w:szCs w:val="24"/>
        </w:rPr>
        <w:t>,</w:t>
      </w:r>
      <w:r>
        <w:rPr>
          <w:szCs w:val="24"/>
        </w:rPr>
        <w:t xml:space="preserve"> and 4</w:t>
      </w:r>
      <w:r w:rsidR="00A60302">
        <w:rPr>
          <w:szCs w:val="24"/>
        </w:rPr>
        <w:t>)</w:t>
      </w:r>
      <w:r>
        <w:rPr>
          <w:szCs w:val="24"/>
        </w:rPr>
        <w:t>.</w:t>
      </w:r>
    </w:p>
    <w:p w:rsidRPr="00091824" w:rsidR="00B84B20" w:rsidP="00B84B20" w:rsidRDefault="00B84B20" w14:paraId="4166597B" w14:textId="5B17A591">
      <w:pPr>
        <w:rPr>
          <w:b/>
          <w:szCs w:val="24"/>
        </w:rPr>
      </w:pPr>
      <w:r>
        <w:rPr>
          <w:b/>
          <w:szCs w:val="24"/>
        </w:rPr>
        <w:t>E</w:t>
      </w:r>
      <w:r w:rsidRPr="00577B0E">
        <w:rPr>
          <w:b/>
          <w:szCs w:val="24"/>
        </w:rPr>
        <w:t xml:space="preserve">liminating </w:t>
      </w:r>
      <w:r>
        <w:rPr>
          <w:b/>
          <w:szCs w:val="24"/>
        </w:rPr>
        <w:t xml:space="preserve">or consolidating </w:t>
      </w:r>
      <w:r w:rsidRPr="00577B0E">
        <w:rPr>
          <w:b/>
          <w:szCs w:val="24"/>
        </w:rPr>
        <w:t>certain surveys</w:t>
      </w:r>
    </w:p>
    <w:p w:rsidR="00B84B20" w:rsidP="00B84B20" w:rsidRDefault="00205854" w14:paraId="2BF0126D" w14:textId="2B50AEAD">
      <w:pPr>
        <w:rPr>
          <w:szCs w:val="24"/>
        </w:rPr>
      </w:pPr>
      <w:r w:rsidRPr="00656A8F">
        <w:rPr>
          <w:szCs w:val="24"/>
          <w:highlight w:val="yellow"/>
        </w:rPr>
        <w:t xml:space="preserve">Four surveys </w:t>
      </w:r>
      <w:r w:rsidRPr="00656A8F" w:rsidR="00A60302">
        <w:rPr>
          <w:szCs w:val="24"/>
          <w:highlight w:val="yellow"/>
        </w:rPr>
        <w:t>are being</w:t>
      </w:r>
      <w:r w:rsidRPr="00656A8F">
        <w:rPr>
          <w:szCs w:val="24"/>
          <w:highlight w:val="yellow"/>
        </w:rPr>
        <w:t xml:space="preserve"> eliminated or consolidated</w:t>
      </w:r>
      <w:r w:rsidRPr="00656A8F" w:rsidR="00A60302">
        <w:rPr>
          <w:szCs w:val="24"/>
          <w:highlight w:val="yellow"/>
        </w:rPr>
        <w:t xml:space="preserve"> from the program</w:t>
      </w:r>
      <w:r w:rsidRPr="00656A8F">
        <w:rPr>
          <w:szCs w:val="24"/>
          <w:highlight w:val="yellow"/>
        </w:rPr>
        <w:t>.</w:t>
      </w:r>
      <w:r>
        <w:rPr>
          <w:szCs w:val="24"/>
        </w:rPr>
        <w:t xml:space="preserve"> </w:t>
      </w:r>
      <w:r w:rsidR="00B84B20">
        <w:rPr>
          <w:szCs w:val="24"/>
        </w:rPr>
        <w:t xml:space="preserve">In the original submission, transfer students took the </w:t>
      </w:r>
      <w:r w:rsidRPr="00B84B20" w:rsidR="003811A1">
        <w:rPr>
          <w:szCs w:val="24"/>
        </w:rPr>
        <w:t xml:space="preserve">CIRP </w:t>
      </w:r>
      <w:r w:rsidRPr="00091824">
        <w:rPr>
          <w:szCs w:val="24"/>
        </w:rPr>
        <w:t>HERI Transfer Student Survey</w:t>
      </w:r>
      <w:r w:rsidR="0036406E">
        <w:rPr>
          <w:szCs w:val="24"/>
        </w:rPr>
        <w:t xml:space="preserve"> (Attachment 9 in the original submission)</w:t>
      </w:r>
      <w:r w:rsidRPr="00B84B20" w:rsidR="00B84B20">
        <w:rPr>
          <w:szCs w:val="24"/>
        </w:rPr>
        <w:t xml:space="preserve">. </w:t>
      </w:r>
      <w:r w:rsidRPr="00656A8F" w:rsidR="00134C97">
        <w:rPr>
          <w:szCs w:val="24"/>
          <w:highlight w:val="yellow"/>
        </w:rPr>
        <w:t>In this submission, t</w:t>
      </w:r>
      <w:r w:rsidRPr="00656A8F" w:rsidR="00B84B20">
        <w:rPr>
          <w:szCs w:val="24"/>
          <w:highlight w:val="yellow"/>
        </w:rPr>
        <w:t>h</w:t>
      </w:r>
      <w:r w:rsidRPr="00656A8F" w:rsidR="0036406E">
        <w:rPr>
          <w:szCs w:val="24"/>
          <w:highlight w:val="yellow"/>
        </w:rPr>
        <w:t>e transfer student</w:t>
      </w:r>
      <w:r w:rsidRPr="00656A8F" w:rsidR="00B84B20">
        <w:rPr>
          <w:szCs w:val="24"/>
          <w:highlight w:val="yellow"/>
        </w:rPr>
        <w:t xml:space="preserve"> </w:t>
      </w:r>
      <w:r w:rsidRPr="00656A8F" w:rsidR="00134C97">
        <w:rPr>
          <w:szCs w:val="24"/>
          <w:highlight w:val="yellow"/>
        </w:rPr>
        <w:t xml:space="preserve">survey </w:t>
      </w:r>
      <w:r w:rsidRPr="00656A8F" w:rsidR="00B84B20">
        <w:rPr>
          <w:szCs w:val="24"/>
          <w:highlight w:val="yellow"/>
        </w:rPr>
        <w:t xml:space="preserve">has been eliminated because transfer students now take </w:t>
      </w:r>
      <w:r w:rsidRPr="00656A8F" w:rsidR="00A60302">
        <w:rPr>
          <w:szCs w:val="24"/>
          <w:highlight w:val="yellow"/>
        </w:rPr>
        <w:t>t</w:t>
      </w:r>
      <w:r w:rsidRPr="00656A8F" w:rsidR="00B84B20">
        <w:rPr>
          <w:szCs w:val="24"/>
          <w:highlight w:val="yellow"/>
        </w:rPr>
        <w:t xml:space="preserve">he CIRP HERI Freshman Survey </w:t>
      </w:r>
      <w:r w:rsidRPr="00656A8F">
        <w:rPr>
          <w:szCs w:val="24"/>
          <w:highlight w:val="yellow"/>
        </w:rPr>
        <w:t>(see Attachment 12).</w:t>
      </w:r>
      <w:r w:rsidRPr="00B84B20" w:rsidR="003811A1">
        <w:rPr>
          <w:szCs w:val="24"/>
        </w:rPr>
        <w:t xml:space="preserve"> In the original submission, two versions of the CIRP HERI Freshman Survey were submitted: CIRP HERI Freshman Survey </w:t>
      </w:r>
      <w:r w:rsidRPr="00091824" w:rsidR="003811A1">
        <w:rPr>
          <w:color w:val="212121"/>
          <w:szCs w:val="24"/>
        </w:rPr>
        <w:t>On-line Version and the CIRP HERI Freshman Survey Paper Version</w:t>
      </w:r>
      <w:r w:rsidR="0036406E">
        <w:rPr>
          <w:color w:val="212121"/>
          <w:szCs w:val="24"/>
        </w:rPr>
        <w:t xml:space="preserve"> (Attachment 8a and 8b in the original submission)</w:t>
      </w:r>
      <w:r w:rsidRPr="00091824" w:rsidR="003811A1">
        <w:rPr>
          <w:color w:val="212121"/>
          <w:szCs w:val="24"/>
        </w:rPr>
        <w:t xml:space="preserve">. </w:t>
      </w:r>
      <w:r w:rsidRPr="00656A8F" w:rsidR="00134C97">
        <w:rPr>
          <w:color w:val="212121"/>
          <w:szCs w:val="24"/>
          <w:highlight w:val="yellow"/>
        </w:rPr>
        <w:t>In this submission, b</w:t>
      </w:r>
      <w:r w:rsidRPr="00656A8F" w:rsidR="00B84B20">
        <w:rPr>
          <w:color w:val="212121"/>
          <w:szCs w:val="24"/>
          <w:highlight w:val="yellow"/>
        </w:rPr>
        <w:t>ecause the online and paper versions of this survey are the same</w:t>
      </w:r>
      <w:r w:rsidRPr="00656A8F" w:rsidR="00134C97">
        <w:rPr>
          <w:color w:val="212121"/>
          <w:szCs w:val="24"/>
          <w:highlight w:val="yellow"/>
        </w:rPr>
        <w:t>,</w:t>
      </w:r>
      <w:r w:rsidRPr="00656A8F" w:rsidR="00B84B20">
        <w:rPr>
          <w:color w:val="212121"/>
          <w:szCs w:val="24"/>
          <w:highlight w:val="yellow"/>
        </w:rPr>
        <w:t xml:space="preserve"> and t</w:t>
      </w:r>
      <w:r w:rsidRPr="00656A8F" w:rsidR="003811A1">
        <w:rPr>
          <w:szCs w:val="24"/>
          <w:highlight w:val="yellow"/>
        </w:rPr>
        <w:t>o reduce redundancy</w:t>
      </w:r>
      <w:r w:rsidRPr="00656A8F" w:rsidR="00B84B20">
        <w:rPr>
          <w:szCs w:val="24"/>
          <w:highlight w:val="yellow"/>
        </w:rPr>
        <w:t>,</w:t>
      </w:r>
      <w:r w:rsidRPr="00656A8F" w:rsidR="003811A1">
        <w:rPr>
          <w:szCs w:val="24"/>
          <w:highlight w:val="yellow"/>
        </w:rPr>
        <w:t xml:space="preserve"> the CIRP HERI Freshmen Survey On-line Version </w:t>
      </w:r>
      <w:r w:rsidRPr="00656A8F" w:rsidR="00134C97">
        <w:rPr>
          <w:szCs w:val="24"/>
          <w:highlight w:val="yellow"/>
        </w:rPr>
        <w:t>is not included</w:t>
      </w:r>
      <w:r w:rsidRPr="00656A8F" w:rsidR="003811A1">
        <w:rPr>
          <w:szCs w:val="24"/>
          <w:highlight w:val="yellow"/>
        </w:rPr>
        <w:t>.</w:t>
      </w:r>
      <w:r w:rsidR="003811A1">
        <w:rPr>
          <w:szCs w:val="24"/>
        </w:rPr>
        <w:t xml:space="preserve"> </w:t>
      </w:r>
      <w:r w:rsidR="00B84B20">
        <w:rPr>
          <w:szCs w:val="24"/>
        </w:rPr>
        <w:t>In the original submission, the HERI Your First College Year survey was administered</w:t>
      </w:r>
      <w:r w:rsidR="0036406E">
        <w:rPr>
          <w:szCs w:val="24"/>
        </w:rPr>
        <w:t xml:space="preserve"> (Attachment 10 in the original submission)</w:t>
      </w:r>
      <w:r w:rsidR="00B84B20">
        <w:rPr>
          <w:szCs w:val="24"/>
        </w:rPr>
        <w:t xml:space="preserve">. </w:t>
      </w:r>
      <w:r w:rsidRPr="00656A8F" w:rsidR="00134C97">
        <w:rPr>
          <w:szCs w:val="24"/>
          <w:highlight w:val="yellow"/>
        </w:rPr>
        <w:t xml:space="preserve">In this submission, </w:t>
      </w:r>
      <w:r w:rsidRPr="00656A8F" w:rsidR="00B84B20">
        <w:rPr>
          <w:szCs w:val="24"/>
          <w:highlight w:val="yellow"/>
        </w:rPr>
        <w:t xml:space="preserve">pertinent questions from the HERI Your First College Year survey were added to the </w:t>
      </w:r>
      <w:r w:rsidRPr="00656A8F" w:rsidR="00134C97">
        <w:rPr>
          <w:szCs w:val="24"/>
          <w:highlight w:val="yellow"/>
        </w:rPr>
        <w:t xml:space="preserve">existing </w:t>
      </w:r>
      <w:r w:rsidRPr="00656A8F" w:rsidR="00B84B20">
        <w:rPr>
          <w:szCs w:val="24"/>
          <w:highlight w:val="yellow"/>
        </w:rPr>
        <w:t>Student Annual Follow-up Survey (Attachment 13)</w:t>
      </w:r>
      <w:r w:rsidRPr="00656A8F" w:rsidR="0036406E">
        <w:rPr>
          <w:szCs w:val="24"/>
          <w:highlight w:val="yellow"/>
        </w:rPr>
        <w:t xml:space="preserve"> and the Your First College Year survey is discontinued</w:t>
      </w:r>
      <w:r w:rsidRPr="00656A8F" w:rsidR="00B84B20">
        <w:rPr>
          <w:szCs w:val="24"/>
          <w:highlight w:val="yellow"/>
        </w:rPr>
        <w:t>.</w:t>
      </w:r>
      <w:r w:rsidR="00134C97">
        <w:rPr>
          <w:szCs w:val="24"/>
        </w:rPr>
        <w:t xml:space="preserve"> In the original submission, separate surveys were administered to NRMN faculty mentors and student mentees</w:t>
      </w:r>
      <w:r w:rsidR="0036406E">
        <w:rPr>
          <w:szCs w:val="24"/>
        </w:rPr>
        <w:t xml:space="preserve"> (Attachments </w:t>
      </w:r>
      <w:r w:rsidR="009F372E">
        <w:rPr>
          <w:szCs w:val="24"/>
        </w:rPr>
        <w:t>15, 17, 18, 19, 20, and 21 from the original submission)</w:t>
      </w:r>
      <w:r w:rsidR="00134C97">
        <w:rPr>
          <w:szCs w:val="24"/>
        </w:rPr>
        <w:t xml:space="preserve">. </w:t>
      </w:r>
      <w:r w:rsidRPr="00656A8F" w:rsidR="00134C97">
        <w:rPr>
          <w:szCs w:val="24"/>
          <w:highlight w:val="yellow"/>
        </w:rPr>
        <w:t>In this submission, items from those surveys have been consolidated into a single survey</w:t>
      </w:r>
      <w:r w:rsidRPr="00656A8F" w:rsidR="00EE4323">
        <w:rPr>
          <w:szCs w:val="24"/>
          <w:highlight w:val="yellow"/>
        </w:rPr>
        <w:t>:</w:t>
      </w:r>
      <w:r w:rsidRPr="00656A8F" w:rsidR="00134C97">
        <w:rPr>
          <w:szCs w:val="24"/>
          <w:highlight w:val="yellow"/>
        </w:rPr>
        <w:t xml:space="preserve"> the NRMN Follow-up Survey (see Attachment 17).</w:t>
      </w:r>
    </w:p>
    <w:p w:rsidRPr="00091824" w:rsidR="00134C97" w:rsidP="00091824" w:rsidRDefault="00134C97" w14:paraId="362C1157" w14:textId="77777777">
      <w:pPr>
        <w:rPr>
          <w:b/>
        </w:rPr>
      </w:pPr>
      <w:r w:rsidRPr="00091824">
        <w:rPr>
          <w:b/>
        </w:rPr>
        <w:t>Improving the documentation of the evaluation components</w:t>
      </w:r>
    </w:p>
    <w:p w:rsidR="00134C97" w:rsidRDefault="00134C97" w14:paraId="58EDB4E4" w14:textId="526D4A4B">
      <w:r>
        <w:t>Steps were taken to improve the documentation of the evaluation components. The Hallmarks of Success (outcomes referenced in Section A</w:t>
      </w:r>
      <w:r w:rsidR="009F372E">
        <w:t>.</w:t>
      </w:r>
      <w:r>
        <w:t xml:space="preserve">1) </w:t>
      </w:r>
      <w:r w:rsidRPr="00C050E8">
        <w:t>represent key factors at each stage of a biomedical research career that contribute to development of a successful career in the biomedical research workforce</w:t>
      </w:r>
      <w:r>
        <w:t xml:space="preserve">. </w:t>
      </w:r>
      <w:r w:rsidRPr="00656A8F">
        <w:rPr>
          <w:highlight w:val="yellow"/>
        </w:rPr>
        <w:t xml:space="preserve">Attachment 6 is an updated </w:t>
      </w:r>
      <w:r w:rsidRPr="00656A8F" w:rsidR="007B0BEC">
        <w:rPr>
          <w:highlight w:val="yellow"/>
        </w:rPr>
        <w:t>document</w:t>
      </w:r>
      <w:r w:rsidRPr="00656A8F">
        <w:rPr>
          <w:highlight w:val="yellow"/>
        </w:rPr>
        <w:t xml:space="preserve"> of the Hallmarks of Success. Attachment 7 is a new document that maps the Hallmarks of Success to the </w:t>
      </w:r>
      <w:r w:rsidRPr="00656A8F" w:rsidR="007B0BEC">
        <w:rPr>
          <w:highlight w:val="yellow"/>
        </w:rPr>
        <w:t>administered surveys.</w:t>
      </w:r>
      <w:r w:rsidRPr="00656A8F">
        <w:rPr>
          <w:highlight w:val="yellow"/>
        </w:rPr>
        <w:t xml:space="preserve"> </w:t>
      </w:r>
      <w:r w:rsidRPr="00656A8F" w:rsidR="007B0BEC">
        <w:rPr>
          <w:highlight w:val="yellow"/>
        </w:rPr>
        <w:t xml:space="preserve">Attachment 8 is a new document that outlines high-priority evaluation products (e.g., data briefs and </w:t>
      </w:r>
      <w:r w:rsidRPr="00656A8F" w:rsidR="00442D46">
        <w:rPr>
          <w:highlight w:val="yellow"/>
        </w:rPr>
        <w:t>journal articles</w:t>
      </w:r>
      <w:r w:rsidRPr="00656A8F" w:rsidR="007B0BEC">
        <w:rPr>
          <w:highlight w:val="yellow"/>
        </w:rPr>
        <w:t>) that correspond to each of the Hallmarks of Success. Attachment 9 is an updated document that provides a high-level view of the main interventions being implemented by each of the 10 BUILD institutions. Attachment 10 is an updated document of the BUILD logic models pertaining to student-, faculty-, and institutional-level interventions. Attachment 11 is an updated document of the NRMN logic models pertaining to their key interventions and outcomes for mentors and mentees.</w:t>
      </w:r>
      <w:r w:rsidRPr="00656A8F" w:rsidR="00D51DF6">
        <w:rPr>
          <w:highlight w:val="yellow"/>
        </w:rPr>
        <w:t xml:space="preserve"> Attachment 18 is an updated document of the BUILD site visit and case studies </w:t>
      </w:r>
      <w:r w:rsidRPr="00656A8F" w:rsidR="00D51DF6">
        <w:rPr>
          <w:highlight w:val="yellow"/>
        </w:rPr>
        <w:lastRenderedPageBreak/>
        <w:t>protocol</w:t>
      </w:r>
      <w:r w:rsidRPr="00656A8F" w:rsidR="00433A85">
        <w:rPr>
          <w:highlight w:val="yellow"/>
        </w:rPr>
        <w:t xml:space="preserve">. </w:t>
      </w:r>
      <w:r w:rsidRPr="00656A8F" w:rsidR="00984D73">
        <w:rPr>
          <w:highlight w:val="yellow"/>
        </w:rPr>
        <w:t>Attachment 2</w:t>
      </w:r>
      <w:r w:rsidRPr="00656A8F" w:rsidR="00933EAA">
        <w:rPr>
          <w:highlight w:val="yellow"/>
        </w:rPr>
        <w:t>5</w:t>
      </w:r>
      <w:r w:rsidRPr="00656A8F" w:rsidR="00984D73">
        <w:rPr>
          <w:highlight w:val="yellow"/>
        </w:rPr>
        <w:t xml:space="preserve"> is a new document that is t</w:t>
      </w:r>
      <w:r w:rsidRPr="00656A8F" w:rsidR="00B44AF3">
        <w:rPr>
          <w:highlight w:val="yellow"/>
        </w:rPr>
        <w:t>he Data Sharing Agreement applicable to the second phase of this program</w:t>
      </w:r>
      <w:r w:rsidRPr="00656A8F" w:rsidR="00984D73">
        <w:rPr>
          <w:highlight w:val="yellow"/>
        </w:rPr>
        <w:t xml:space="preserve">. </w:t>
      </w:r>
      <w:r w:rsidRPr="00656A8F" w:rsidR="00B44AF3">
        <w:rPr>
          <w:highlight w:val="yellow"/>
        </w:rPr>
        <w:t>The Data Sharing Agreement outlines the policies governing access to the different types of data collected as part of the evaluation. Attachment 2</w:t>
      </w:r>
      <w:r w:rsidRPr="00656A8F" w:rsidR="00933EAA">
        <w:rPr>
          <w:highlight w:val="yellow"/>
        </w:rPr>
        <w:t>6</w:t>
      </w:r>
      <w:r w:rsidRPr="00656A8F" w:rsidR="00B44AF3">
        <w:rPr>
          <w:highlight w:val="yellow"/>
        </w:rPr>
        <w:t xml:space="preserve"> is a new document that provides guidance on statistical methods for analyzing survey data.</w:t>
      </w:r>
    </w:p>
    <w:p w:rsidR="00C93CF7" w:rsidP="00B84B20" w:rsidRDefault="00C93CF7" w14:paraId="01129271" w14:textId="7B64A383">
      <w:pPr>
        <w:rPr>
          <w:b/>
          <w:szCs w:val="24"/>
        </w:rPr>
      </w:pPr>
      <w:r w:rsidRPr="00577B0E">
        <w:rPr>
          <w:b/>
          <w:szCs w:val="24"/>
        </w:rPr>
        <w:t>Discontinuing new participants for NRMN (eliminating the baseline surveys)</w:t>
      </w:r>
    </w:p>
    <w:p w:rsidRPr="00656A8F" w:rsidR="00A60302" w:rsidP="00B44AF3" w:rsidRDefault="00A60302" w14:paraId="63C8B07E" w14:textId="22C7FDF9">
      <w:pPr>
        <w:spacing w:after="0" w:line="240" w:lineRule="auto"/>
        <w:rPr>
          <w:szCs w:val="24"/>
          <w:highlight w:val="yellow"/>
        </w:rPr>
      </w:pPr>
      <w:r>
        <w:rPr>
          <w:szCs w:val="24"/>
        </w:rPr>
        <w:t xml:space="preserve">Based on the program’s second phase restructuring of the NRMN initiative, participants will no longer be asked to complete surveys that were required during the first phase. </w:t>
      </w:r>
      <w:r w:rsidRPr="00656A8F" w:rsidR="00153DC8">
        <w:rPr>
          <w:szCs w:val="24"/>
          <w:highlight w:val="yellow"/>
        </w:rPr>
        <w:t xml:space="preserve">This eliminates the need for the following surveys from the original submission: </w:t>
      </w:r>
    </w:p>
    <w:p w:rsidRPr="00656A8F" w:rsidR="00153DC8" w:rsidP="00091824" w:rsidRDefault="009F372E" w14:paraId="3269E52E" w14:textId="421C364B">
      <w:pPr>
        <w:pStyle w:val="ListParagraph"/>
        <w:numPr>
          <w:ilvl w:val="0"/>
          <w:numId w:val="22"/>
        </w:numPr>
        <w:spacing w:after="0" w:line="240" w:lineRule="auto"/>
        <w:rPr>
          <w:szCs w:val="24"/>
          <w:highlight w:val="yellow"/>
        </w:rPr>
      </w:pPr>
      <w:r w:rsidRPr="00656A8F">
        <w:rPr>
          <w:szCs w:val="24"/>
          <w:highlight w:val="yellow"/>
        </w:rPr>
        <w:t>Attachment 15-</w:t>
      </w:r>
      <w:r w:rsidRPr="00656A8F" w:rsidR="00153DC8">
        <w:rPr>
          <w:szCs w:val="24"/>
          <w:highlight w:val="yellow"/>
        </w:rPr>
        <w:t xml:space="preserve">Mentee Mentor Assessment </w:t>
      </w:r>
    </w:p>
    <w:p w:rsidRPr="00656A8F" w:rsidR="00153DC8" w:rsidP="00C10AF4" w:rsidRDefault="009F372E" w14:paraId="2389D69A" w14:textId="458D5485">
      <w:pPr>
        <w:pStyle w:val="ListParagraph"/>
        <w:numPr>
          <w:ilvl w:val="0"/>
          <w:numId w:val="22"/>
        </w:numPr>
        <w:spacing w:after="0" w:line="240" w:lineRule="auto"/>
        <w:rPr>
          <w:szCs w:val="24"/>
          <w:highlight w:val="yellow"/>
        </w:rPr>
      </w:pPr>
      <w:r w:rsidRPr="00656A8F">
        <w:rPr>
          <w:szCs w:val="24"/>
          <w:highlight w:val="yellow"/>
        </w:rPr>
        <w:t>Attachment 16-</w:t>
      </w:r>
      <w:r w:rsidRPr="00656A8F" w:rsidR="00153DC8">
        <w:rPr>
          <w:szCs w:val="24"/>
          <w:highlight w:val="yellow"/>
        </w:rPr>
        <w:t>NRMN Data Warehouse Baseline Data</w:t>
      </w:r>
    </w:p>
    <w:p w:rsidRPr="00656A8F" w:rsidR="00153DC8" w:rsidP="00091824" w:rsidRDefault="009F372E" w14:paraId="79FA90F5" w14:textId="5D1041CF">
      <w:pPr>
        <w:pStyle w:val="ListParagraph"/>
        <w:numPr>
          <w:ilvl w:val="0"/>
          <w:numId w:val="22"/>
        </w:numPr>
        <w:spacing w:after="0" w:line="240" w:lineRule="auto"/>
        <w:rPr>
          <w:szCs w:val="24"/>
          <w:highlight w:val="yellow"/>
        </w:rPr>
      </w:pPr>
      <w:r w:rsidRPr="00656A8F">
        <w:rPr>
          <w:szCs w:val="24"/>
          <w:highlight w:val="yellow"/>
        </w:rPr>
        <w:t>Attachment 18-</w:t>
      </w:r>
      <w:r w:rsidRPr="00656A8F" w:rsidR="00153DC8">
        <w:rPr>
          <w:szCs w:val="24"/>
          <w:highlight w:val="yellow"/>
        </w:rPr>
        <w:t>NRMN Student/Mentee Core Follow-up Survey</w:t>
      </w:r>
    </w:p>
    <w:p w:rsidRPr="00656A8F" w:rsidR="00153DC8" w:rsidP="00091824" w:rsidRDefault="009F372E" w14:paraId="1C97FDFE" w14:textId="1000447A">
      <w:pPr>
        <w:pStyle w:val="ListParagraph"/>
        <w:numPr>
          <w:ilvl w:val="0"/>
          <w:numId w:val="22"/>
        </w:numPr>
        <w:spacing w:after="0" w:line="240" w:lineRule="auto"/>
        <w:rPr>
          <w:szCs w:val="24"/>
          <w:highlight w:val="yellow"/>
        </w:rPr>
      </w:pPr>
      <w:r w:rsidRPr="00656A8F">
        <w:rPr>
          <w:szCs w:val="24"/>
          <w:highlight w:val="yellow"/>
        </w:rPr>
        <w:t>Attachment 19-</w:t>
      </w:r>
      <w:r w:rsidRPr="00656A8F" w:rsidR="00153DC8">
        <w:rPr>
          <w:szCs w:val="24"/>
          <w:highlight w:val="yellow"/>
        </w:rPr>
        <w:t>NRMN Mentor Skills Module</w:t>
      </w:r>
    </w:p>
    <w:p w:rsidRPr="00656A8F" w:rsidR="00153DC8" w:rsidP="00091824" w:rsidRDefault="009F372E" w14:paraId="0DF7BDD6" w14:textId="3CA9504D">
      <w:pPr>
        <w:pStyle w:val="ListParagraph"/>
        <w:numPr>
          <w:ilvl w:val="0"/>
          <w:numId w:val="22"/>
        </w:numPr>
        <w:spacing w:after="0" w:line="240" w:lineRule="auto"/>
        <w:rPr>
          <w:szCs w:val="24"/>
          <w:highlight w:val="yellow"/>
        </w:rPr>
      </w:pPr>
      <w:r w:rsidRPr="00656A8F">
        <w:rPr>
          <w:szCs w:val="24"/>
          <w:highlight w:val="yellow"/>
        </w:rPr>
        <w:t>Attachment 20-</w:t>
      </w:r>
      <w:r w:rsidRPr="00656A8F" w:rsidR="00153DC8">
        <w:rPr>
          <w:szCs w:val="24"/>
          <w:highlight w:val="yellow"/>
        </w:rPr>
        <w:t>NRMN Research &amp; Grant Writing Module</w:t>
      </w:r>
    </w:p>
    <w:p w:rsidRPr="00656A8F" w:rsidR="00153DC8" w:rsidP="00091824" w:rsidRDefault="009F372E" w14:paraId="743A75EF" w14:textId="60302176">
      <w:pPr>
        <w:pStyle w:val="ListParagraph"/>
        <w:numPr>
          <w:ilvl w:val="0"/>
          <w:numId w:val="22"/>
        </w:numPr>
        <w:spacing w:after="0" w:line="240" w:lineRule="auto"/>
        <w:rPr>
          <w:szCs w:val="24"/>
          <w:highlight w:val="yellow"/>
        </w:rPr>
      </w:pPr>
      <w:r w:rsidRPr="00656A8F">
        <w:rPr>
          <w:szCs w:val="24"/>
          <w:highlight w:val="yellow"/>
        </w:rPr>
        <w:t>Attachment 21-</w:t>
      </w:r>
      <w:r w:rsidRPr="00656A8F" w:rsidR="00153DC8">
        <w:rPr>
          <w:szCs w:val="24"/>
          <w:highlight w:val="yellow"/>
        </w:rPr>
        <w:t>NRMN Coaching Training Module</w:t>
      </w:r>
    </w:p>
    <w:p w:rsidRPr="00656A8F" w:rsidR="00153DC8" w:rsidP="00C10AF4" w:rsidRDefault="009F372E" w14:paraId="01CB3EB3" w14:textId="2C1D30D7">
      <w:pPr>
        <w:pStyle w:val="ListParagraph"/>
        <w:numPr>
          <w:ilvl w:val="0"/>
          <w:numId w:val="22"/>
        </w:numPr>
        <w:spacing w:after="0" w:line="240" w:lineRule="auto"/>
        <w:rPr>
          <w:szCs w:val="24"/>
          <w:highlight w:val="yellow"/>
        </w:rPr>
      </w:pPr>
      <w:r w:rsidRPr="00656A8F">
        <w:rPr>
          <w:szCs w:val="24"/>
          <w:highlight w:val="yellow"/>
        </w:rPr>
        <w:t>Attachment 22-</w:t>
      </w:r>
      <w:r w:rsidRPr="00656A8F" w:rsidR="00153DC8">
        <w:rPr>
          <w:szCs w:val="24"/>
          <w:highlight w:val="yellow"/>
        </w:rPr>
        <w:t>NRMN Institutional Context Module</w:t>
      </w:r>
    </w:p>
    <w:p w:rsidRPr="00091824" w:rsidR="00C10AF4" w:rsidP="00091824" w:rsidRDefault="00C10AF4" w14:paraId="33454F29" w14:textId="77777777">
      <w:pPr>
        <w:spacing w:after="0" w:line="240" w:lineRule="auto"/>
        <w:rPr>
          <w:szCs w:val="24"/>
        </w:rPr>
      </w:pPr>
    </w:p>
    <w:p w:rsidRPr="006D1695" w:rsidR="00C10AF4" w:rsidP="00091824" w:rsidRDefault="00C10AF4" w14:paraId="509845AD" w14:textId="7CB5ECF7">
      <w:r>
        <w:rPr>
          <w:b/>
        </w:rPr>
        <w:t>Discontinuing NRMN Site Visits and Case Studies</w:t>
      </w:r>
    </w:p>
    <w:p w:rsidR="00C10AF4" w:rsidP="00C10AF4" w:rsidRDefault="00C10AF4" w14:paraId="13F3B6B7" w14:textId="0412AA51">
      <w:pPr>
        <w:rPr>
          <w:szCs w:val="24"/>
        </w:rPr>
      </w:pPr>
      <w:r>
        <w:rPr>
          <w:szCs w:val="24"/>
        </w:rPr>
        <w:t xml:space="preserve">Based on the program’s second phase restructuring of the NRMN initiative, </w:t>
      </w:r>
      <w:r w:rsidR="00984D73">
        <w:rPr>
          <w:szCs w:val="24"/>
        </w:rPr>
        <w:t xml:space="preserve">NRMN </w:t>
      </w:r>
      <w:r>
        <w:rPr>
          <w:szCs w:val="24"/>
        </w:rPr>
        <w:t xml:space="preserve">site visits and case studies will no longer be included in the evaluation components. </w:t>
      </w:r>
      <w:r w:rsidRPr="00656A8F">
        <w:rPr>
          <w:szCs w:val="24"/>
          <w:highlight w:val="yellow"/>
        </w:rPr>
        <w:t>This eliminates the need for the NRMN Site Visit &amp; Case Studies Protocol, which was included in the original submission</w:t>
      </w:r>
      <w:r w:rsidRPr="00656A8F" w:rsidR="00EA11BC">
        <w:rPr>
          <w:szCs w:val="24"/>
          <w:highlight w:val="yellow"/>
        </w:rPr>
        <w:t xml:space="preserve"> (Attachment 24 in the original submission)</w:t>
      </w:r>
      <w:r w:rsidRPr="00656A8F">
        <w:rPr>
          <w:szCs w:val="24"/>
          <w:highlight w:val="yellow"/>
        </w:rPr>
        <w:t>.</w:t>
      </w:r>
    </w:p>
    <w:p w:rsidR="00C10AF4" w:rsidP="00C10AF4" w:rsidRDefault="00C10AF4" w14:paraId="501C45E8" w14:textId="71834EA1">
      <w:pPr>
        <w:rPr>
          <w:szCs w:val="24"/>
        </w:rPr>
      </w:pPr>
      <w:r>
        <w:rPr>
          <w:b/>
          <w:szCs w:val="24"/>
        </w:rPr>
        <w:t>Phasing out reports no longer needed in Phase II</w:t>
      </w:r>
    </w:p>
    <w:p w:rsidRPr="00091824" w:rsidR="00C10AF4" w:rsidP="00091824" w:rsidRDefault="00C10AF4" w14:paraId="4E2E5BD6" w14:textId="5B1C8FFC">
      <w:pPr>
        <w:rPr>
          <w:szCs w:val="24"/>
        </w:rPr>
      </w:pPr>
      <w:r w:rsidRPr="00656A8F">
        <w:rPr>
          <w:szCs w:val="24"/>
          <w:highlight w:val="yellow"/>
        </w:rPr>
        <w:t>To reduce administrative burden on program participants, the BUILD Implementation Reports will no longer be required in the second phase.</w:t>
      </w:r>
      <w:r>
        <w:rPr>
          <w:szCs w:val="24"/>
        </w:rPr>
        <w:t xml:space="preserve"> Originally, each </w:t>
      </w:r>
      <w:r w:rsidRPr="009B13F4">
        <w:rPr>
          <w:szCs w:val="24"/>
        </w:rPr>
        <w:t>BUILD program w</w:t>
      </w:r>
      <w:r>
        <w:rPr>
          <w:szCs w:val="24"/>
        </w:rPr>
        <w:t>as</w:t>
      </w:r>
      <w:r w:rsidRPr="009B13F4">
        <w:rPr>
          <w:szCs w:val="24"/>
        </w:rPr>
        <w:t xml:space="preserve"> asked to complete an implementation report annually, providing information on BUILD activities that were implemented</w:t>
      </w:r>
      <w:r w:rsidR="00984D73">
        <w:rPr>
          <w:szCs w:val="24"/>
        </w:rPr>
        <w:t xml:space="preserve"> and</w:t>
      </w:r>
      <w:r w:rsidRPr="009B13F4">
        <w:rPr>
          <w:szCs w:val="24"/>
        </w:rPr>
        <w:t xml:space="preserve"> numbers of participants</w:t>
      </w:r>
      <w:r w:rsidR="00EA11BC">
        <w:rPr>
          <w:szCs w:val="24"/>
        </w:rPr>
        <w:t xml:space="preserve"> (Attachment 26 in the original submission)</w:t>
      </w:r>
      <w:r>
        <w:rPr>
          <w:szCs w:val="24"/>
        </w:rPr>
        <w:t>.</w:t>
      </w:r>
    </w:p>
    <w:p w:rsidRPr="00C10AF4" w:rsidR="00513D77" w:rsidP="00091824" w:rsidRDefault="00513D77" w14:paraId="6EB726D8" w14:textId="471C6822">
      <w:pPr>
        <w:rPr>
          <w:b/>
          <w:szCs w:val="24"/>
        </w:rPr>
      </w:pPr>
      <w:r>
        <w:rPr>
          <w:b/>
          <w:szCs w:val="24"/>
        </w:rPr>
        <w:t>Updating the external advisors</w:t>
      </w:r>
    </w:p>
    <w:p w:rsidRPr="00091824" w:rsidR="00EA11BC" w:rsidP="00091824" w:rsidRDefault="00292423" w14:paraId="2DA3C8C9" w14:textId="28B0E8AE">
      <w:pPr>
        <w:rPr>
          <w:b/>
          <w:color w:val="FF0000"/>
          <w:szCs w:val="24"/>
        </w:rPr>
      </w:pPr>
      <w:r w:rsidRPr="00292423">
        <w:rPr>
          <w:szCs w:val="24"/>
        </w:rPr>
        <w:t xml:space="preserve">The Advisory Committee to the Director (ACD) Working Group on Diversity (WGD) was formed in response to the ACD Working Group on Diversity in the Biomedical Research Workforce (WGDBRW) recommendations. The WGD is a permanent working group of the ACD and has been charged with providing regular advice to the to the ACD and National Institutes of Health Director on effective strategies to increase the representation of diverse individuals underrepresented nationally in biomedical research and to reduce disparities in research awards from diverse applicants underrepresented nationally in biomedical research. </w:t>
      </w:r>
      <w:r w:rsidRPr="00B31E36">
        <w:rPr>
          <w:szCs w:val="24"/>
          <w:highlight w:val="yellow"/>
        </w:rPr>
        <w:t>The roster of current ACDWGD members is included in Attachment 22</w:t>
      </w:r>
      <w:r w:rsidRPr="00B31E36" w:rsidR="00D3091D">
        <w:rPr>
          <w:szCs w:val="24"/>
          <w:highlight w:val="yellow"/>
        </w:rPr>
        <w:t xml:space="preserve">, and the roster of advisors from the original </w:t>
      </w:r>
      <w:r w:rsidRPr="00B31E36" w:rsidR="006E4839">
        <w:rPr>
          <w:szCs w:val="24"/>
          <w:highlight w:val="yellow"/>
        </w:rPr>
        <w:t>ACD WGDBRW</w:t>
      </w:r>
      <w:r w:rsidRPr="00B31E36" w:rsidR="00D3091D">
        <w:rPr>
          <w:szCs w:val="24"/>
          <w:highlight w:val="yellow"/>
        </w:rPr>
        <w:t xml:space="preserve"> is included in Attachment 21</w:t>
      </w:r>
      <w:r w:rsidRPr="00B31E36">
        <w:rPr>
          <w:szCs w:val="24"/>
          <w:highlight w:val="yellow"/>
        </w:rPr>
        <w:t xml:space="preserve">. The </w:t>
      </w:r>
      <w:r w:rsidRPr="00B31E36" w:rsidR="006E4839">
        <w:rPr>
          <w:szCs w:val="24"/>
          <w:highlight w:val="yellow"/>
        </w:rPr>
        <w:t>D</w:t>
      </w:r>
      <w:r w:rsidR="005879AE">
        <w:rPr>
          <w:szCs w:val="24"/>
          <w:highlight w:val="yellow"/>
        </w:rPr>
        <w:t xml:space="preserve">iversity </w:t>
      </w:r>
      <w:r w:rsidRPr="00B31E36" w:rsidR="006E4839">
        <w:rPr>
          <w:szCs w:val="24"/>
          <w:highlight w:val="yellow"/>
        </w:rPr>
        <w:t>P</w:t>
      </w:r>
      <w:r w:rsidR="005879AE">
        <w:rPr>
          <w:szCs w:val="24"/>
          <w:highlight w:val="yellow"/>
        </w:rPr>
        <w:t xml:space="preserve">rogram </w:t>
      </w:r>
      <w:r w:rsidRPr="00B31E36" w:rsidR="006E4839">
        <w:rPr>
          <w:szCs w:val="24"/>
          <w:highlight w:val="yellow"/>
        </w:rPr>
        <w:t>C</w:t>
      </w:r>
      <w:r w:rsidR="005879AE">
        <w:rPr>
          <w:szCs w:val="24"/>
          <w:highlight w:val="yellow"/>
        </w:rPr>
        <w:t>onsortium</w:t>
      </w:r>
      <w:r w:rsidRPr="00B31E36" w:rsidR="006E4839">
        <w:rPr>
          <w:szCs w:val="24"/>
          <w:highlight w:val="yellow"/>
        </w:rPr>
        <w:t xml:space="preserve"> </w:t>
      </w:r>
      <w:r w:rsidRPr="00B31E36">
        <w:rPr>
          <w:szCs w:val="24"/>
          <w:highlight w:val="yellow"/>
        </w:rPr>
        <w:t xml:space="preserve">subcommittee of the ACDWGD </w:t>
      </w:r>
      <w:r w:rsidRPr="00B31E36" w:rsidR="00D3091D">
        <w:rPr>
          <w:szCs w:val="24"/>
          <w:highlight w:val="yellow"/>
        </w:rPr>
        <w:t xml:space="preserve">was formed to </w:t>
      </w:r>
      <w:r w:rsidRPr="00B31E36">
        <w:rPr>
          <w:szCs w:val="24"/>
          <w:highlight w:val="yellow"/>
        </w:rPr>
        <w:t xml:space="preserve">provide </w:t>
      </w:r>
      <w:r w:rsidRPr="00B31E36" w:rsidR="002217F9">
        <w:rPr>
          <w:szCs w:val="24"/>
          <w:highlight w:val="yellow"/>
        </w:rPr>
        <w:t xml:space="preserve">external input </w:t>
      </w:r>
      <w:r w:rsidRPr="00B31E36">
        <w:rPr>
          <w:szCs w:val="24"/>
          <w:highlight w:val="yellow"/>
        </w:rPr>
        <w:t xml:space="preserve">specific to this program. The roster of current </w:t>
      </w:r>
      <w:r w:rsidRPr="00B31E36" w:rsidR="006E4839">
        <w:rPr>
          <w:szCs w:val="24"/>
          <w:highlight w:val="yellow"/>
        </w:rPr>
        <w:t>D</w:t>
      </w:r>
      <w:r w:rsidR="005879AE">
        <w:rPr>
          <w:szCs w:val="24"/>
          <w:highlight w:val="yellow"/>
        </w:rPr>
        <w:t xml:space="preserve">iversity </w:t>
      </w:r>
      <w:r w:rsidRPr="00B31E36" w:rsidR="006E4839">
        <w:rPr>
          <w:szCs w:val="24"/>
          <w:highlight w:val="yellow"/>
        </w:rPr>
        <w:t>P</w:t>
      </w:r>
      <w:r w:rsidR="005879AE">
        <w:rPr>
          <w:szCs w:val="24"/>
          <w:highlight w:val="yellow"/>
        </w:rPr>
        <w:t xml:space="preserve">rogram </w:t>
      </w:r>
      <w:r w:rsidRPr="00B31E36" w:rsidR="006E4839">
        <w:rPr>
          <w:szCs w:val="24"/>
          <w:highlight w:val="yellow"/>
        </w:rPr>
        <w:t>C</w:t>
      </w:r>
      <w:r w:rsidR="005879AE">
        <w:rPr>
          <w:szCs w:val="24"/>
          <w:highlight w:val="yellow"/>
        </w:rPr>
        <w:t>onsortium</w:t>
      </w:r>
      <w:r w:rsidRPr="00B31E36" w:rsidR="006E4839">
        <w:rPr>
          <w:szCs w:val="24"/>
          <w:highlight w:val="yellow"/>
        </w:rPr>
        <w:t xml:space="preserve"> </w:t>
      </w:r>
      <w:r w:rsidRPr="00B31E36">
        <w:rPr>
          <w:szCs w:val="24"/>
          <w:highlight w:val="yellow"/>
        </w:rPr>
        <w:t>subcommittee members is included in Attachment 23.</w:t>
      </w:r>
    </w:p>
    <w:p w:rsidRPr="00573407" w:rsidR="00AB3312" w:rsidP="00C10AF4" w:rsidRDefault="00AB3312" w14:paraId="52FDA019" w14:textId="249ABAAA">
      <w:pPr>
        <w:rPr>
          <w:b/>
          <w:color w:val="212121"/>
          <w:szCs w:val="24"/>
        </w:rPr>
      </w:pPr>
      <w:r w:rsidRPr="00091824">
        <w:rPr>
          <w:b/>
          <w:color w:val="212121"/>
          <w:szCs w:val="24"/>
        </w:rPr>
        <w:t xml:space="preserve">Adjustments </w:t>
      </w:r>
      <w:r w:rsidR="001F475E">
        <w:rPr>
          <w:b/>
          <w:color w:val="212121"/>
          <w:szCs w:val="24"/>
        </w:rPr>
        <w:t xml:space="preserve">of payment or </w:t>
      </w:r>
      <w:r w:rsidRPr="00091824">
        <w:rPr>
          <w:b/>
          <w:color w:val="212121"/>
          <w:szCs w:val="24"/>
        </w:rPr>
        <w:t>gift to respondents</w:t>
      </w:r>
    </w:p>
    <w:p w:rsidRPr="00091824" w:rsidR="00CD3EAB" w:rsidP="00091824" w:rsidRDefault="00AB3312" w14:paraId="63066C2B" w14:textId="4EFF130E">
      <w:pPr>
        <w:rPr>
          <w:rFonts w:asciiTheme="majorHAnsi" w:hAnsiTheme="majorHAnsi" w:eastAsiaTheme="majorEastAsia" w:cstheme="majorBidi"/>
          <w:i/>
          <w:color w:val="244061" w:themeColor="accent1" w:themeShade="80"/>
          <w:sz w:val="36"/>
          <w:szCs w:val="24"/>
        </w:rPr>
      </w:pPr>
      <w:r w:rsidRPr="00091824">
        <w:rPr>
          <w:color w:val="212121"/>
          <w:szCs w:val="24"/>
        </w:rPr>
        <w:t xml:space="preserve">In </w:t>
      </w:r>
      <w:r w:rsidR="001F475E">
        <w:rPr>
          <w:color w:val="212121"/>
          <w:szCs w:val="24"/>
        </w:rPr>
        <w:t>the</w:t>
      </w:r>
      <w:r w:rsidRPr="00091824">
        <w:rPr>
          <w:color w:val="212121"/>
          <w:szCs w:val="24"/>
        </w:rPr>
        <w:t xml:space="preserve"> </w:t>
      </w:r>
      <w:r w:rsidR="00573407">
        <w:rPr>
          <w:color w:val="212121"/>
          <w:szCs w:val="24"/>
        </w:rPr>
        <w:t xml:space="preserve">original submission, </w:t>
      </w:r>
      <w:r w:rsidR="001F475E">
        <w:rPr>
          <w:color w:val="212121"/>
          <w:szCs w:val="24"/>
        </w:rPr>
        <w:t xml:space="preserve">participants who completed surveys were offered gift card incentives through a raffle. </w:t>
      </w:r>
      <w:r w:rsidR="001F475E">
        <w:t>The incentives included</w:t>
      </w:r>
      <w:r w:rsidRPr="00F023FD" w:rsidR="001F475E">
        <w:t xml:space="preserve"> </w:t>
      </w:r>
      <w:r w:rsidR="001F475E">
        <w:t xml:space="preserve">15 </w:t>
      </w:r>
      <w:r w:rsidRPr="0038671E" w:rsidR="001F475E">
        <w:t>$</w:t>
      </w:r>
      <w:r w:rsidR="001F475E">
        <w:t>100</w:t>
      </w:r>
      <w:r w:rsidRPr="00F023FD" w:rsidR="001F475E">
        <w:t xml:space="preserve"> </w:t>
      </w:r>
      <w:r w:rsidR="001F475E">
        <w:t>gift cards</w:t>
      </w:r>
      <w:r w:rsidRPr="0038671E" w:rsidR="001F475E">
        <w:t xml:space="preserve"> </w:t>
      </w:r>
      <w:r w:rsidR="001F475E">
        <w:t>raffled to</w:t>
      </w:r>
      <w:r w:rsidRPr="0038671E" w:rsidR="001F475E">
        <w:t xml:space="preserve"> </w:t>
      </w:r>
      <w:r w:rsidR="001F475E">
        <w:t>each set of 50 pa</w:t>
      </w:r>
      <w:r w:rsidRPr="0038671E" w:rsidR="001F475E">
        <w:t xml:space="preserve">rticipating faculty </w:t>
      </w:r>
      <w:r w:rsidR="001F475E">
        <w:t xml:space="preserve">at each of the 10 BUILD institutions; </w:t>
      </w:r>
      <w:r w:rsidRPr="0038671E" w:rsidR="001F475E">
        <w:t xml:space="preserve">75 $20 </w:t>
      </w:r>
      <w:r w:rsidR="001F475E">
        <w:t>gift cards raffled to</w:t>
      </w:r>
      <w:r w:rsidRPr="0038671E" w:rsidR="001F475E">
        <w:t xml:space="preserve"> each set of 500 participating students </w:t>
      </w:r>
      <w:r w:rsidR="001F475E">
        <w:t xml:space="preserve">at each BUILD </w:t>
      </w:r>
      <w:r w:rsidR="001F475E">
        <w:lastRenderedPageBreak/>
        <w:t>institution, and 200 $100</w:t>
      </w:r>
      <w:r w:rsidRPr="004260F7" w:rsidR="001F475E">
        <w:t xml:space="preserve"> </w:t>
      </w:r>
      <w:r w:rsidR="001F475E">
        <w:t>gift cards raffled to the overall pool of NRMN participants each year. The use of a raffle at the time of the original submission was based on budget constraints and available funds. Since that time, the budget has changed to allow for survey participants to receive $25 gift cards for each completed survey.</w:t>
      </w:r>
    </w:p>
    <w:p w:rsidRPr="005C4013" w:rsidR="00FF72FC" w:rsidP="00F76F4B" w:rsidRDefault="00FF72FC" w14:paraId="4912A666" w14:textId="1B9E7627">
      <w:pPr>
        <w:pStyle w:val="Heading1"/>
        <w:rPr>
          <w:rFonts w:asciiTheme="minorHAnsi" w:hAnsiTheme="minorHAnsi"/>
          <w:b/>
          <w:color w:val="auto"/>
          <w:sz w:val="22"/>
          <w:szCs w:val="22"/>
        </w:rPr>
      </w:pPr>
      <w:bookmarkStart w:name="_Toc31096836" w:id="52"/>
      <w:r w:rsidRPr="005C4013">
        <w:rPr>
          <w:rFonts w:asciiTheme="minorHAnsi" w:hAnsiTheme="minorHAnsi"/>
          <w:b/>
          <w:color w:val="auto"/>
          <w:sz w:val="22"/>
          <w:szCs w:val="22"/>
        </w:rPr>
        <w:t>A.16</w:t>
      </w:r>
      <w:r w:rsidRPr="005C4013">
        <w:rPr>
          <w:rFonts w:asciiTheme="minorHAnsi" w:hAnsiTheme="minorHAnsi"/>
          <w:b/>
          <w:color w:val="auto"/>
          <w:sz w:val="22"/>
          <w:szCs w:val="22"/>
        </w:rPr>
        <w:tab/>
        <w:t>Plans for Tabulation and Publication and Project Time Schedule</w:t>
      </w:r>
      <w:bookmarkEnd w:id="48"/>
      <w:bookmarkEnd w:id="49"/>
      <w:bookmarkEnd w:id="50"/>
      <w:bookmarkEnd w:id="51"/>
      <w:bookmarkEnd w:id="52"/>
    </w:p>
    <w:p w:rsidRPr="00995CDD" w:rsidR="00995CDD" w:rsidP="00995CDD" w:rsidRDefault="00995CDD" w14:paraId="591491F0" w14:textId="14452BB6">
      <w:r w:rsidRPr="00995CDD">
        <w:t>The data collection and analysis are conducted by the UCLA CEC with oversight from the NIH Project Lead, Program Officer and Project Scientist. The Project Scientist and the Principal Investigators at the CEC meet weekly by phone to ensure progress. The CEC and NIH officials meet monthly by conference call to discuss participation rates, strategies for increasing participation, and progress. During the survey administration period, all members of the consortium are notified of participation rates. Documents, including a detailed implementation calendar, memos, surveys, and response rates are posted on the Diversity Program Consortium intranet.</w:t>
      </w:r>
    </w:p>
    <w:p w:rsidRPr="00E35DD1" w:rsidR="00FF72FC" w:rsidP="00FF72FC" w:rsidRDefault="00FF72FC" w14:paraId="6B867EAE" w14:textId="5D928566"/>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08"/>
        <w:gridCol w:w="3780"/>
      </w:tblGrid>
      <w:tr w:rsidRPr="00A21EF6" w:rsidR="00364E97" w:rsidTr="00437361" w14:paraId="490A73A8" w14:textId="77777777">
        <w:trPr>
          <w:tblHeader/>
        </w:trPr>
        <w:tc>
          <w:tcPr>
            <w:tcW w:w="5508" w:type="dxa"/>
            <w:shd w:val="clear" w:color="auto" w:fill="auto"/>
          </w:tcPr>
          <w:p w:rsidRPr="00211679" w:rsidR="00364E97" w:rsidP="00437361" w:rsidRDefault="00364E97" w14:paraId="114D08A0" w14:textId="77777777">
            <w:pPr>
              <w:pStyle w:val="BodyText2"/>
              <w:tabs>
                <w:tab w:val="left" w:pos="9990"/>
              </w:tabs>
              <w:ind w:right="0"/>
              <w:jc w:val="center"/>
              <w:rPr>
                <w:b/>
                <w:bCs/>
                <w:szCs w:val="24"/>
              </w:rPr>
            </w:pPr>
            <w:r w:rsidRPr="00211679">
              <w:rPr>
                <w:b/>
                <w:bCs/>
                <w:szCs w:val="24"/>
              </w:rPr>
              <w:t>Activity</w:t>
            </w:r>
          </w:p>
        </w:tc>
        <w:tc>
          <w:tcPr>
            <w:tcW w:w="3780" w:type="dxa"/>
            <w:shd w:val="clear" w:color="auto" w:fill="auto"/>
          </w:tcPr>
          <w:p w:rsidR="00364E97" w:rsidP="00437361" w:rsidRDefault="00364E97" w14:paraId="53508B69" w14:textId="77777777">
            <w:pPr>
              <w:pStyle w:val="BodyText2"/>
              <w:tabs>
                <w:tab w:val="left" w:pos="9990"/>
              </w:tabs>
              <w:ind w:right="0"/>
              <w:jc w:val="center"/>
              <w:rPr>
                <w:b/>
                <w:bCs/>
                <w:szCs w:val="24"/>
              </w:rPr>
            </w:pPr>
            <w:r w:rsidRPr="00211679">
              <w:rPr>
                <w:b/>
                <w:bCs/>
                <w:szCs w:val="24"/>
              </w:rPr>
              <w:t>Time Schedule</w:t>
            </w:r>
          </w:p>
          <w:p w:rsidRPr="00211679" w:rsidR="00364E97" w:rsidP="00437361" w:rsidRDefault="00364E97" w14:paraId="54011834" w14:textId="77777777">
            <w:pPr>
              <w:pStyle w:val="BodyText2"/>
              <w:tabs>
                <w:tab w:val="left" w:pos="9990"/>
              </w:tabs>
              <w:ind w:right="0"/>
              <w:jc w:val="center"/>
              <w:rPr>
                <w:b/>
                <w:bCs/>
                <w:szCs w:val="24"/>
              </w:rPr>
            </w:pPr>
          </w:p>
        </w:tc>
      </w:tr>
      <w:tr w:rsidRPr="00A21EF6" w:rsidR="00364E97" w:rsidTr="00437361" w14:paraId="7F2C014C" w14:textId="77777777">
        <w:tc>
          <w:tcPr>
            <w:tcW w:w="5508" w:type="dxa"/>
            <w:shd w:val="clear" w:color="auto" w:fill="auto"/>
          </w:tcPr>
          <w:p w:rsidRPr="002A336E" w:rsidR="00364E97" w:rsidP="00437361" w:rsidRDefault="00364E97" w14:paraId="3103DC08" w14:textId="77777777">
            <w:pPr>
              <w:pStyle w:val="BodyText2"/>
              <w:tabs>
                <w:tab w:val="left" w:pos="9990"/>
              </w:tabs>
              <w:ind w:right="0"/>
              <w:rPr>
                <w:b/>
                <w:szCs w:val="24"/>
              </w:rPr>
            </w:pPr>
            <w:r w:rsidRPr="002A336E">
              <w:rPr>
                <w:b/>
                <w:szCs w:val="24"/>
              </w:rPr>
              <w:t>BUILD</w:t>
            </w:r>
          </w:p>
        </w:tc>
        <w:tc>
          <w:tcPr>
            <w:tcW w:w="3780" w:type="dxa"/>
            <w:shd w:val="clear" w:color="auto" w:fill="auto"/>
          </w:tcPr>
          <w:p w:rsidR="00364E97" w:rsidP="00437361" w:rsidRDefault="00364E97" w14:paraId="7C1CFD3D" w14:textId="77777777">
            <w:pPr>
              <w:pStyle w:val="BodyText2"/>
              <w:tabs>
                <w:tab w:val="left" w:pos="9990"/>
              </w:tabs>
              <w:ind w:right="0"/>
              <w:rPr>
                <w:szCs w:val="24"/>
              </w:rPr>
            </w:pPr>
          </w:p>
        </w:tc>
      </w:tr>
      <w:tr w:rsidRPr="00A21EF6" w:rsidR="00364E97" w:rsidTr="00437361" w14:paraId="65B2696C" w14:textId="77777777">
        <w:tc>
          <w:tcPr>
            <w:tcW w:w="5508" w:type="dxa"/>
            <w:shd w:val="clear" w:color="auto" w:fill="auto"/>
          </w:tcPr>
          <w:p w:rsidRPr="00A21EF6" w:rsidR="00364E97" w:rsidP="00437361" w:rsidRDefault="00D51C1D" w14:paraId="563AAF6D" w14:textId="475DC050">
            <w:pPr>
              <w:pStyle w:val="BodyText2"/>
              <w:tabs>
                <w:tab w:val="left" w:pos="9990"/>
              </w:tabs>
              <w:ind w:left="248" w:right="0"/>
              <w:rPr>
                <w:szCs w:val="24"/>
              </w:rPr>
            </w:pPr>
            <w:r>
              <w:rPr>
                <w:szCs w:val="24"/>
              </w:rPr>
              <w:t>CIR</w:t>
            </w:r>
            <w:r w:rsidR="004028CD">
              <w:rPr>
                <w:szCs w:val="24"/>
              </w:rPr>
              <w:t>P</w:t>
            </w:r>
            <w:r>
              <w:rPr>
                <w:szCs w:val="24"/>
              </w:rPr>
              <w:t xml:space="preserve"> </w:t>
            </w:r>
            <w:r w:rsidRPr="00211679" w:rsidR="00364E97">
              <w:rPr>
                <w:szCs w:val="24"/>
              </w:rPr>
              <w:t>HERI The Freshman Survey (TFS)</w:t>
            </w:r>
          </w:p>
        </w:tc>
        <w:tc>
          <w:tcPr>
            <w:tcW w:w="3780" w:type="dxa"/>
            <w:shd w:val="clear" w:color="auto" w:fill="auto"/>
          </w:tcPr>
          <w:p w:rsidRPr="00A21EF6" w:rsidR="00364E97" w:rsidP="00437361" w:rsidRDefault="00364E97" w14:paraId="2468DB51" w14:textId="77777777">
            <w:pPr>
              <w:pStyle w:val="BodyText2"/>
              <w:tabs>
                <w:tab w:val="left" w:pos="9990"/>
              </w:tabs>
              <w:ind w:right="0"/>
              <w:rPr>
                <w:szCs w:val="24"/>
              </w:rPr>
            </w:pPr>
            <w:r>
              <w:rPr>
                <w:szCs w:val="24"/>
              </w:rPr>
              <w:t>Fall, Annually</w:t>
            </w:r>
          </w:p>
        </w:tc>
      </w:tr>
      <w:tr w:rsidRPr="00A21EF6" w:rsidR="00364E97" w:rsidTr="00437361" w14:paraId="1EAD6AA5" w14:textId="77777777">
        <w:tc>
          <w:tcPr>
            <w:tcW w:w="5508" w:type="dxa"/>
            <w:shd w:val="clear" w:color="auto" w:fill="auto"/>
          </w:tcPr>
          <w:p w:rsidRPr="00A21EF6" w:rsidR="00364E97" w:rsidP="00437361" w:rsidRDefault="00364E97" w14:paraId="08833A84" w14:textId="3CAAB42B">
            <w:pPr>
              <w:pStyle w:val="BodyText2"/>
              <w:tabs>
                <w:tab w:val="left" w:pos="9990"/>
              </w:tabs>
              <w:ind w:left="248" w:right="0"/>
              <w:rPr>
                <w:szCs w:val="24"/>
              </w:rPr>
            </w:pPr>
            <w:r w:rsidRPr="002A336E">
              <w:rPr>
                <w:szCs w:val="24"/>
              </w:rPr>
              <w:t>College Senior Survey (CSS)</w:t>
            </w:r>
          </w:p>
        </w:tc>
        <w:tc>
          <w:tcPr>
            <w:tcW w:w="3780" w:type="dxa"/>
            <w:shd w:val="clear" w:color="auto" w:fill="auto"/>
          </w:tcPr>
          <w:p w:rsidRPr="00A21EF6" w:rsidR="00364E97" w:rsidP="00437361" w:rsidRDefault="00364E97" w14:paraId="2D688B1C" w14:textId="77777777">
            <w:pPr>
              <w:pStyle w:val="BodyText2"/>
              <w:tabs>
                <w:tab w:val="left" w:pos="9990"/>
              </w:tabs>
              <w:ind w:right="0"/>
              <w:rPr>
                <w:szCs w:val="24"/>
              </w:rPr>
            </w:pPr>
            <w:r>
              <w:rPr>
                <w:szCs w:val="24"/>
              </w:rPr>
              <w:t>Spring/Summer, Annually</w:t>
            </w:r>
          </w:p>
        </w:tc>
      </w:tr>
      <w:tr w:rsidRPr="00A21EF6" w:rsidR="00364E97" w:rsidTr="00437361" w14:paraId="2ADCF324" w14:textId="77777777">
        <w:tc>
          <w:tcPr>
            <w:tcW w:w="5508" w:type="dxa"/>
            <w:shd w:val="clear" w:color="auto" w:fill="auto"/>
          </w:tcPr>
          <w:p w:rsidRPr="00A21EF6" w:rsidR="00364E97" w:rsidP="00437361" w:rsidRDefault="00364E97" w14:paraId="7DE0FBA1" w14:textId="7BCEA14C">
            <w:pPr>
              <w:pStyle w:val="BodyText2"/>
              <w:tabs>
                <w:tab w:val="left" w:pos="9990"/>
              </w:tabs>
              <w:ind w:left="248" w:right="0"/>
              <w:rPr>
                <w:szCs w:val="24"/>
              </w:rPr>
            </w:pPr>
            <w:r w:rsidRPr="002A336E">
              <w:rPr>
                <w:szCs w:val="24"/>
              </w:rPr>
              <w:t>Student Annual Follow-up Survey (SAFS)</w:t>
            </w:r>
          </w:p>
        </w:tc>
        <w:tc>
          <w:tcPr>
            <w:tcW w:w="3780" w:type="dxa"/>
            <w:shd w:val="clear" w:color="auto" w:fill="auto"/>
          </w:tcPr>
          <w:p w:rsidRPr="00A21EF6" w:rsidR="00364E97" w:rsidP="00437361" w:rsidRDefault="00364E97" w14:paraId="3B223877" w14:textId="77777777">
            <w:pPr>
              <w:pStyle w:val="BodyText2"/>
              <w:tabs>
                <w:tab w:val="left" w:pos="9990"/>
              </w:tabs>
              <w:ind w:right="0"/>
              <w:rPr>
                <w:szCs w:val="24"/>
              </w:rPr>
            </w:pPr>
            <w:r>
              <w:rPr>
                <w:szCs w:val="24"/>
              </w:rPr>
              <w:t>Spring/Summer, Annually</w:t>
            </w:r>
          </w:p>
        </w:tc>
      </w:tr>
      <w:tr w:rsidRPr="00A21EF6" w:rsidR="00364E97" w:rsidTr="00437361" w14:paraId="188F1918" w14:textId="77777777">
        <w:tc>
          <w:tcPr>
            <w:tcW w:w="5508" w:type="dxa"/>
            <w:shd w:val="clear" w:color="auto" w:fill="auto"/>
          </w:tcPr>
          <w:p w:rsidRPr="002A336E" w:rsidR="00364E97" w:rsidP="00437361" w:rsidRDefault="004028CD" w14:paraId="7968719C" w14:textId="410ECBFB">
            <w:pPr>
              <w:pStyle w:val="BodyText2"/>
              <w:tabs>
                <w:tab w:val="left" w:pos="9990"/>
              </w:tabs>
              <w:ind w:left="248" w:right="0"/>
              <w:rPr>
                <w:szCs w:val="24"/>
              </w:rPr>
            </w:pPr>
            <w:r>
              <w:rPr>
                <w:szCs w:val="24"/>
              </w:rPr>
              <w:t xml:space="preserve">HERI </w:t>
            </w:r>
            <w:r w:rsidRPr="002A336E" w:rsidR="00364E97">
              <w:rPr>
                <w:szCs w:val="24"/>
              </w:rPr>
              <w:t>Faculty Survey</w:t>
            </w:r>
          </w:p>
        </w:tc>
        <w:tc>
          <w:tcPr>
            <w:tcW w:w="3780" w:type="dxa"/>
            <w:shd w:val="clear" w:color="auto" w:fill="auto"/>
          </w:tcPr>
          <w:p w:rsidR="00364E97" w:rsidP="00437361" w:rsidRDefault="00364E97" w14:paraId="36DB5D17" w14:textId="77777777">
            <w:pPr>
              <w:pStyle w:val="BodyText2"/>
              <w:tabs>
                <w:tab w:val="left" w:pos="9990"/>
              </w:tabs>
              <w:ind w:right="0"/>
              <w:rPr>
                <w:szCs w:val="24"/>
              </w:rPr>
            </w:pPr>
            <w:r>
              <w:rPr>
                <w:szCs w:val="24"/>
              </w:rPr>
              <w:t>Spring, Annually</w:t>
            </w:r>
          </w:p>
        </w:tc>
      </w:tr>
      <w:tr w:rsidRPr="00A21EF6" w:rsidR="00364E97" w:rsidTr="00437361" w14:paraId="153E0020" w14:textId="77777777">
        <w:tc>
          <w:tcPr>
            <w:tcW w:w="5508" w:type="dxa"/>
            <w:shd w:val="clear" w:color="auto" w:fill="auto"/>
          </w:tcPr>
          <w:p w:rsidRPr="00A21EF6" w:rsidR="00364E97" w:rsidP="00437361" w:rsidRDefault="00364E97" w14:paraId="44C26A1C" w14:textId="6FB44142">
            <w:pPr>
              <w:pStyle w:val="BodyText2"/>
              <w:tabs>
                <w:tab w:val="left" w:pos="9990"/>
              </w:tabs>
              <w:ind w:left="248" w:right="0"/>
              <w:rPr>
                <w:szCs w:val="24"/>
              </w:rPr>
            </w:pPr>
            <w:r w:rsidRPr="002A336E">
              <w:rPr>
                <w:szCs w:val="24"/>
              </w:rPr>
              <w:t>Faculty Annual Follow-up Survey (FAFS)</w:t>
            </w:r>
          </w:p>
        </w:tc>
        <w:tc>
          <w:tcPr>
            <w:tcW w:w="3780" w:type="dxa"/>
            <w:shd w:val="clear" w:color="auto" w:fill="auto"/>
          </w:tcPr>
          <w:p w:rsidRPr="00A21EF6" w:rsidR="00364E97" w:rsidP="00437361" w:rsidRDefault="00364E97" w14:paraId="716D9D72" w14:textId="77777777">
            <w:pPr>
              <w:pStyle w:val="BodyText2"/>
              <w:tabs>
                <w:tab w:val="left" w:pos="9990"/>
              </w:tabs>
              <w:ind w:right="0"/>
              <w:rPr>
                <w:szCs w:val="24"/>
              </w:rPr>
            </w:pPr>
            <w:r>
              <w:rPr>
                <w:szCs w:val="24"/>
              </w:rPr>
              <w:t xml:space="preserve">Winter, </w:t>
            </w:r>
            <w:r w:rsidRPr="008D0D07">
              <w:rPr>
                <w:szCs w:val="24"/>
              </w:rPr>
              <w:t>Annually</w:t>
            </w:r>
          </w:p>
        </w:tc>
      </w:tr>
      <w:tr w:rsidRPr="00A21EF6" w:rsidR="00364E97" w:rsidTr="00437361" w14:paraId="2E35C229" w14:textId="77777777">
        <w:tc>
          <w:tcPr>
            <w:tcW w:w="5508" w:type="dxa"/>
            <w:shd w:val="clear" w:color="auto" w:fill="auto"/>
          </w:tcPr>
          <w:p w:rsidRPr="00A21EF6" w:rsidR="00364E97" w:rsidP="00437361" w:rsidRDefault="004028CD" w14:paraId="069779B6" w14:textId="1679CF6F">
            <w:pPr>
              <w:pStyle w:val="BodyText2"/>
              <w:tabs>
                <w:tab w:val="left" w:pos="9990"/>
              </w:tabs>
              <w:ind w:left="248" w:right="0"/>
              <w:rPr>
                <w:szCs w:val="24"/>
              </w:rPr>
            </w:pPr>
            <w:r>
              <w:rPr>
                <w:szCs w:val="24"/>
              </w:rPr>
              <w:t xml:space="preserve">BUILD </w:t>
            </w:r>
            <w:r w:rsidRPr="002A336E" w:rsidR="00364E97">
              <w:rPr>
                <w:szCs w:val="24"/>
              </w:rPr>
              <w:t>Institutional Records Data</w:t>
            </w:r>
          </w:p>
        </w:tc>
        <w:tc>
          <w:tcPr>
            <w:tcW w:w="3780" w:type="dxa"/>
            <w:shd w:val="clear" w:color="auto" w:fill="auto"/>
          </w:tcPr>
          <w:p w:rsidRPr="00A21EF6" w:rsidR="00364E97" w:rsidP="00437361" w:rsidRDefault="00364E97" w14:paraId="7C24E36D" w14:textId="77777777">
            <w:pPr>
              <w:pStyle w:val="BodyText2"/>
              <w:tabs>
                <w:tab w:val="left" w:pos="9990"/>
              </w:tabs>
              <w:ind w:right="0"/>
              <w:rPr>
                <w:szCs w:val="24"/>
              </w:rPr>
            </w:pPr>
            <w:r>
              <w:rPr>
                <w:szCs w:val="24"/>
              </w:rPr>
              <w:t>Fall, A</w:t>
            </w:r>
            <w:r w:rsidRPr="008D0D07">
              <w:rPr>
                <w:szCs w:val="24"/>
              </w:rPr>
              <w:t>nnually</w:t>
            </w:r>
          </w:p>
        </w:tc>
      </w:tr>
      <w:tr w:rsidRPr="00A21EF6" w:rsidR="00364E97" w:rsidTr="00437361" w14:paraId="482350B4" w14:textId="77777777">
        <w:tc>
          <w:tcPr>
            <w:tcW w:w="5508" w:type="dxa"/>
            <w:shd w:val="clear" w:color="auto" w:fill="auto"/>
          </w:tcPr>
          <w:p w:rsidRPr="002A336E" w:rsidR="00364E97" w:rsidP="00437361" w:rsidRDefault="00364E97" w14:paraId="5F667895" w14:textId="77777777">
            <w:pPr>
              <w:pStyle w:val="BodyText2"/>
              <w:tabs>
                <w:tab w:val="left" w:pos="9990"/>
              </w:tabs>
              <w:ind w:left="248" w:right="0"/>
              <w:rPr>
                <w:szCs w:val="24"/>
              </w:rPr>
            </w:pPr>
            <w:r w:rsidRPr="002A336E">
              <w:rPr>
                <w:szCs w:val="24"/>
              </w:rPr>
              <w:t>Participation Data (Tracker Rosters)</w:t>
            </w:r>
          </w:p>
        </w:tc>
        <w:tc>
          <w:tcPr>
            <w:tcW w:w="3780" w:type="dxa"/>
            <w:shd w:val="clear" w:color="auto" w:fill="auto"/>
          </w:tcPr>
          <w:p w:rsidR="00364E97" w:rsidP="00437361" w:rsidRDefault="00364E97" w14:paraId="792CD639" w14:textId="77777777">
            <w:pPr>
              <w:pStyle w:val="BodyText2"/>
              <w:tabs>
                <w:tab w:val="left" w:pos="9990"/>
              </w:tabs>
              <w:ind w:right="0"/>
              <w:rPr>
                <w:szCs w:val="24"/>
              </w:rPr>
            </w:pPr>
            <w:r>
              <w:rPr>
                <w:szCs w:val="24"/>
              </w:rPr>
              <w:t>Spring, Annually</w:t>
            </w:r>
          </w:p>
        </w:tc>
      </w:tr>
      <w:tr w:rsidRPr="00A21EF6" w:rsidR="00364E97" w:rsidTr="00437361" w14:paraId="1925AF22" w14:textId="77777777">
        <w:tc>
          <w:tcPr>
            <w:tcW w:w="5508" w:type="dxa"/>
            <w:shd w:val="clear" w:color="auto" w:fill="auto"/>
          </w:tcPr>
          <w:p w:rsidRPr="009438AB" w:rsidR="00364E97" w:rsidP="00437361" w:rsidRDefault="00364E97" w14:paraId="0DDBD6F2" w14:textId="77777777">
            <w:pPr>
              <w:pStyle w:val="BodyText2"/>
              <w:tabs>
                <w:tab w:val="left" w:pos="9990"/>
              </w:tabs>
              <w:ind w:left="248" w:right="0"/>
              <w:rPr>
                <w:szCs w:val="24"/>
              </w:rPr>
            </w:pPr>
            <w:r>
              <w:rPr>
                <w:szCs w:val="24"/>
              </w:rPr>
              <w:t xml:space="preserve">BUILD </w:t>
            </w:r>
            <w:r w:rsidRPr="009438AB">
              <w:rPr>
                <w:szCs w:val="24"/>
              </w:rPr>
              <w:t>Site visits</w:t>
            </w:r>
          </w:p>
        </w:tc>
        <w:tc>
          <w:tcPr>
            <w:tcW w:w="3780" w:type="dxa"/>
            <w:shd w:val="clear" w:color="auto" w:fill="auto"/>
          </w:tcPr>
          <w:p w:rsidRPr="009438AB" w:rsidR="00364E97" w:rsidP="00437361" w:rsidRDefault="00364E97" w14:paraId="45D1B551" w14:textId="77777777">
            <w:pPr>
              <w:pStyle w:val="BodyText2"/>
              <w:tabs>
                <w:tab w:val="left" w:pos="9990"/>
              </w:tabs>
              <w:ind w:right="0"/>
              <w:rPr>
                <w:szCs w:val="24"/>
              </w:rPr>
            </w:pPr>
            <w:r>
              <w:rPr>
                <w:szCs w:val="24"/>
              </w:rPr>
              <w:t>Spring (if needed)</w:t>
            </w:r>
          </w:p>
        </w:tc>
      </w:tr>
      <w:tr w:rsidRPr="00A21EF6" w:rsidR="00364E97" w:rsidTr="00437361" w14:paraId="3863C9F8" w14:textId="77777777">
        <w:tc>
          <w:tcPr>
            <w:tcW w:w="5508" w:type="dxa"/>
            <w:shd w:val="clear" w:color="auto" w:fill="auto"/>
          </w:tcPr>
          <w:p w:rsidRPr="009438AB" w:rsidR="00364E97" w:rsidP="00437361" w:rsidRDefault="00364E97" w14:paraId="55BC627F" w14:textId="77777777">
            <w:pPr>
              <w:pStyle w:val="BodyText2"/>
              <w:tabs>
                <w:tab w:val="left" w:pos="9990"/>
              </w:tabs>
              <w:ind w:left="248" w:right="0"/>
              <w:rPr>
                <w:szCs w:val="24"/>
              </w:rPr>
            </w:pPr>
            <w:r>
              <w:rPr>
                <w:szCs w:val="24"/>
              </w:rPr>
              <w:t xml:space="preserve">BUILD </w:t>
            </w:r>
            <w:r w:rsidRPr="009438AB">
              <w:rPr>
                <w:szCs w:val="24"/>
              </w:rPr>
              <w:t>Case studies</w:t>
            </w:r>
          </w:p>
        </w:tc>
        <w:tc>
          <w:tcPr>
            <w:tcW w:w="3780" w:type="dxa"/>
            <w:shd w:val="clear" w:color="auto" w:fill="auto"/>
          </w:tcPr>
          <w:p w:rsidRPr="00A21EF6" w:rsidR="00364E97" w:rsidP="00437361" w:rsidRDefault="00364E97" w14:paraId="371B965A" w14:textId="77777777">
            <w:pPr>
              <w:pStyle w:val="BodyText2"/>
              <w:tabs>
                <w:tab w:val="left" w:pos="9990"/>
              </w:tabs>
              <w:ind w:right="0"/>
              <w:rPr>
                <w:szCs w:val="24"/>
              </w:rPr>
            </w:pPr>
            <w:r>
              <w:rPr>
                <w:szCs w:val="24"/>
              </w:rPr>
              <w:t>Spring (one in Phase II)</w:t>
            </w:r>
          </w:p>
        </w:tc>
      </w:tr>
      <w:tr w:rsidRPr="00A21EF6" w:rsidR="00364E97" w:rsidTr="00437361" w14:paraId="360E3DB0" w14:textId="77777777">
        <w:tc>
          <w:tcPr>
            <w:tcW w:w="5508" w:type="dxa"/>
            <w:shd w:val="clear" w:color="auto" w:fill="auto"/>
          </w:tcPr>
          <w:p w:rsidRPr="00316C7A" w:rsidR="00364E97" w:rsidP="00437361" w:rsidRDefault="00364E97" w14:paraId="67480FAD" w14:textId="77777777">
            <w:pPr>
              <w:pStyle w:val="BodyText2"/>
              <w:tabs>
                <w:tab w:val="left" w:pos="9990"/>
              </w:tabs>
              <w:ind w:right="0"/>
              <w:rPr>
                <w:b/>
                <w:szCs w:val="24"/>
              </w:rPr>
            </w:pPr>
            <w:r w:rsidRPr="00316C7A">
              <w:rPr>
                <w:b/>
                <w:szCs w:val="24"/>
              </w:rPr>
              <w:t>NRMN</w:t>
            </w:r>
          </w:p>
        </w:tc>
        <w:tc>
          <w:tcPr>
            <w:tcW w:w="3780" w:type="dxa"/>
            <w:shd w:val="clear" w:color="auto" w:fill="auto"/>
          </w:tcPr>
          <w:p w:rsidR="00364E97" w:rsidP="00437361" w:rsidRDefault="00364E97" w14:paraId="528E3EDB" w14:textId="77777777">
            <w:pPr>
              <w:pStyle w:val="BodyText2"/>
              <w:tabs>
                <w:tab w:val="left" w:pos="9990"/>
              </w:tabs>
              <w:ind w:right="0"/>
              <w:rPr>
                <w:szCs w:val="24"/>
              </w:rPr>
            </w:pPr>
          </w:p>
        </w:tc>
      </w:tr>
      <w:tr w:rsidRPr="00A21EF6" w:rsidR="00364E97" w:rsidTr="00437361" w14:paraId="170143D9" w14:textId="77777777">
        <w:tc>
          <w:tcPr>
            <w:tcW w:w="5508" w:type="dxa"/>
            <w:shd w:val="clear" w:color="auto" w:fill="auto"/>
          </w:tcPr>
          <w:p w:rsidR="00364E97" w:rsidP="00437361" w:rsidRDefault="00364E97" w14:paraId="5B615284" w14:textId="77777777">
            <w:pPr>
              <w:pStyle w:val="BodyText2"/>
              <w:tabs>
                <w:tab w:val="left" w:pos="9990"/>
              </w:tabs>
              <w:ind w:left="248" w:right="0"/>
              <w:rPr>
                <w:szCs w:val="24"/>
              </w:rPr>
            </w:pPr>
            <w:r>
              <w:rPr>
                <w:szCs w:val="24"/>
              </w:rPr>
              <w:t>NRMN</w:t>
            </w:r>
            <w:r w:rsidRPr="00AF46D6">
              <w:rPr>
                <w:szCs w:val="24"/>
              </w:rPr>
              <w:t xml:space="preserve"> Annual Follow-up Survey </w:t>
            </w:r>
          </w:p>
        </w:tc>
        <w:tc>
          <w:tcPr>
            <w:tcW w:w="3780" w:type="dxa"/>
            <w:shd w:val="clear" w:color="auto" w:fill="auto"/>
          </w:tcPr>
          <w:p w:rsidR="00364E97" w:rsidP="00437361" w:rsidRDefault="00364E97" w14:paraId="3FA77A07" w14:textId="77777777">
            <w:pPr>
              <w:pStyle w:val="BodyText2"/>
              <w:tabs>
                <w:tab w:val="left" w:pos="9990"/>
              </w:tabs>
              <w:ind w:right="0"/>
              <w:rPr>
                <w:szCs w:val="24"/>
              </w:rPr>
            </w:pPr>
            <w:r>
              <w:rPr>
                <w:szCs w:val="24"/>
              </w:rPr>
              <w:t>Winter, Annually</w:t>
            </w:r>
          </w:p>
        </w:tc>
      </w:tr>
    </w:tbl>
    <w:p w:rsidRPr="00E35DD1" w:rsidR="00FF72FC" w:rsidP="00FF72FC" w:rsidRDefault="00FF72FC" w14:paraId="6FE438DD" w14:textId="77777777"/>
    <w:p w:rsidRPr="00F76F4B" w:rsidR="00FF72FC" w:rsidP="00F76F4B" w:rsidRDefault="00FF72FC" w14:paraId="216672D1" w14:textId="77777777">
      <w:pPr>
        <w:pStyle w:val="Heading1"/>
        <w:rPr>
          <w:rFonts w:asciiTheme="minorHAnsi" w:hAnsiTheme="minorHAnsi" w:cstheme="minorHAnsi"/>
          <w:b/>
          <w:color w:val="auto"/>
          <w:sz w:val="22"/>
          <w:szCs w:val="22"/>
        </w:rPr>
      </w:pPr>
      <w:bookmarkStart w:name="_Toc31096837" w:id="53"/>
      <w:r w:rsidRPr="00F76F4B">
        <w:rPr>
          <w:rFonts w:asciiTheme="minorHAnsi" w:hAnsiTheme="minorHAnsi" w:cstheme="minorHAnsi"/>
          <w:b/>
          <w:color w:val="auto"/>
          <w:sz w:val="22"/>
          <w:szCs w:val="22"/>
        </w:rPr>
        <w:t>A.17</w:t>
      </w:r>
      <w:r w:rsidRPr="00F76F4B">
        <w:rPr>
          <w:rFonts w:asciiTheme="minorHAnsi" w:hAnsiTheme="minorHAnsi" w:cstheme="minorHAnsi"/>
          <w:b/>
          <w:color w:val="auto"/>
          <w:sz w:val="22"/>
          <w:szCs w:val="22"/>
        </w:rPr>
        <w:tab/>
        <w:t>Reason(s) Display of OMB Expiration Date is Inappropriate</w:t>
      </w:r>
      <w:bookmarkEnd w:id="53"/>
    </w:p>
    <w:p w:rsidRPr="00F76F4B" w:rsidR="004716CF" w:rsidP="00FF72FC" w:rsidRDefault="00995CDD" w14:paraId="724F9191" w14:textId="6F0710AE">
      <w:pPr>
        <w:rPr>
          <w:szCs w:val="24"/>
        </w:rPr>
      </w:pPr>
      <w:r w:rsidRPr="00E63D56">
        <w:rPr>
          <w:szCs w:val="24"/>
        </w:rPr>
        <w:t>No exceptions are sought.</w:t>
      </w:r>
    </w:p>
    <w:p w:rsidRPr="007F34C9" w:rsidR="0057480E" w:rsidP="00F76F4B" w:rsidRDefault="00FF72FC" w14:paraId="7190591D" w14:textId="77777777">
      <w:pPr>
        <w:pStyle w:val="Heading1"/>
        <w:rPr>
          <w:rFonts w:asciiTheme="minorHAnsi" w:hAnsiTheme="minorHAnsi" w:cstheme="minorHAnsi"/>
          <w:b/>
          <w:color w:val="auto"/>
          <w:sz w:val="22"/>
          <w:szCs w:val="22"/>
        </w:rPr>
      </w:pPr>
      <w:bookmarkStart w:name="_Toc31096838" w:id="54"/>
      <w:r w:rsidRPr="007F34C9">
        <w:rPr>
          <w:rFonts w:asciiTheme="minorHAnsi" w:hAnsiTheme="minorHAnsi" w:cstheme="minorHAnsi"/>
          <w:b/>
          <w:color w:val="auto"/>
          <w:sz w:val="22"/>
          <w:szCs w:val="22"/>
        </w:rPr>
        <w:t>A.18</w:t>
      </w:r>
      <w:r w:rsidRPr="007F34C9">
        <w:rPr>
          <w:rFonts w:asciiTheme="minorHAnsi" w:hAnsiTheme="minorHAnsi" w:cstheme="minorHAnsi"/>
          <w:b/>
          <w:color w:val="auto"/>
          <w:sz w:val="22"/>
          <w:szCs w:val="22"/>
        </w:rPr>
        <w:tab/>
        <w:t>Exceptions to Certification for Paperwork Reduction Act Submissions</w:t>
      </w:r>
      <w:bookmarkEnd w:id="54"/>
    </w:p>
    <w:p w:rsidRPr="00237DE7" w:rsidR="00FF72FC" w:rsidP="00FF72FC" w:rsidRDefault="00995CDD" w14:paraId="49B7AE09" w14:textId="7AF8CE72">
      <w:pPr>
        <w:rPr>
          <w:szCs w:val="24"/>
        </w:rPr>
      </w:pPr>
      <w:r w:rsidRPr="00E63D56">
        <w:rPr>
          <w:szCs w:val="24"/>
        </w:rPr>
        <w:t>No exceptions are sought.</w:t>
      </w:r>
    </w:p>
    <w:sectPr w:rsidRPr="00237DE7" w:rsidR="00FF72FC" w:rsidSect="00FE6EA5">
      <w:headerReference w:type="default" r:id="rId31"/>
      <w:footerReference w:type="even" r:id="rId32"/>
      <w:footerReference w:type="default" r:id="rId33"/>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72A6" w14:textId="77777777" w:rsidR="0091754D" w:rsidRDefault="0091754D">
      <w:pPr>
        <w:spacing w:after="0" w:line="240" w:lineRule="auto"/>
      </w:pPr>
      <w:r>
        <w:separator/>
      </w:r>
    </w:p>
  </w:endnote>
  <w:endnote w:type="continuationSeparator" w:id="0">
    <w:p w14:paraId="7AB1B777" w14:textId="77777777" w:rsidR="0091754D" w:rsidRDefault="0091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343B" w14:textId="77777777" w:rsidR="00214B5A" w:rsidRDefault="00214B5A" w:rsidP="00E26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214B5A" w:rsidRDefault="00214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2C7C" w14:textId="5418AB8E" w:rsidR="00214B5A" w:rsidRDefault="00214B5A" w:rsidP="00E26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4873CE1" w14:textId="77777777" w:rsidR="00214B5A" w:rsidRDefault="00214B5A" w:rsidP="00E261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F114" w14:textId="77777777" w:rsidR="0091754D" w:rsidRDefault="0091754D">
      <w:pPr>
        <w:spacing w:after="0" w:line="240" w:lineRule="auto"/>
      </w:pPr>
      <w:r>
        <w:separator/>
      </w:r>
    </w:p>
  </w:footnote>
  <w:footnote w:type="continuationSeparator" w:id="0">
    <w:p w14:paraId="269F2DEC" w14:textId="77777777" w:rsidR="0091754D" w:rsidRDefault="0091754D">
      <w:pPr>
        <w:spacing w:after="0" w:line="240" w:lineRule="auto"/>
      </w:pPr>
      <w:r>
        <w:continuationSeparator/>
      </w:r>
    </w:p>
  </w:footnote>
  <w:footnote w:id="1">
    <w:p w14:paraId="0CA51313" w14:textId="5C6D7A51" w:rsidR="00214B5A" w:rsidRDefault="00214B5A">
      <w:pPr>
        <w:pStyle w:val="FootnoteText"/>
      </w:pPr>
      <w:r>
        <w:rPr>
          <w:rStyle w:val="FootnoteReference"/>
        </w:rPr>
        <w:footnoteRef/>
      </w:r>
      <w:r>
        <w:t xml:space="preserve"> </w:t>
      </w:r>
      <w:r w:rsidRPr="00796E2D">
        <w:t>Wilder, EL, Tabak, LE, Pettigrew, RI, Collins, FS. Biomedical Research: Strength from Diversity. Science, 2013; 342, p. 798.</w:t>
      </w:r>
    </w:p>
  </w:footnote>
  <w:footnote w:id="2">
    <w:p w14:paraId="31C67079" w14:textId="06A33FD1" w:rsidR="00214B5A" w:rsidRDefault="00214B5A" w:rsidP="007C2B3F">
      <w:pPr>
        <w:pStyle w:val="FootnoteText"/>
      </w:pPr>
      <w:r>
        <w:rPr>
          <w:rStyle w:val="FootnoteReference"/>
        </w:rPr>
        <w:footnoteRef/>
      </w:r>
      <w:r>
        <w:t xml:space="preserve"> Ginther DK, Schaffer WT, Schnell J, </w:t>
      </w:r>
      <w:proofErr w:type="spellStart"/>
      <w:r>
        <w:t>Masimore</w:t>
      </w:r>
      <w:proofErr w:type="spellEnd"/>
      <w:r>
        <w:t xml:space="preserve"> B, Liu F, </w:t>
      </w:r>
      <w:proofErr w:type="spellStart"/>
      <w:r>
        <w:t>Haak</w:t>
      </w:r>
      <w:proofErr w:type="spellEnd"/>
      <w:r>
        <w:t xml:space="preserve"> LL, Kington R. Race, ethnicity, and NIH research awards. Science, 2011 Aug 19; 333(6045):1015-9. </w:t>
      </w:r>
      <w:proofErr w:type="spellStart"/>
      <w:r>
        <w:t>doi</w:t>
      </w:r>
      <w:proofErr w:type="spellEnd"/>
      <w:r>
        <w:t>: 10.1126/science.1196783. PubMed PMID: 21852498; PubMed Central PMCID: PMC3412416.</w:t>
      </w:r>
    </w:p>
  </w:footnote>
  <w:footnote w:id="3">
    <w:p w14:paraId="3F53CB6B" w14:textId="77897131" w:rsidR="00214B5A" w:rsidRDefault="00214B5A" w:rsidP="007C2B3F">
      <w:pPr>
        <w:pStyle w:val="FootnoteText"/>
      </w:pPr>
      <w:r>
        <w:rPr>
          <w:rStyle w:val="FootnoteReference"/>
        </w:rPr>
        <w:footnoteRef/>
      </w:r>
      <w:r>
        <w:t xml:space="preserve"> Ginther DK, Schaffer WT, Schnell J, </w:t>
      </w:r>
      <w:proofErr w:type="spellStart"/>
      <w:r>
        <w:t>Masimore</w:t>
      </w:r>
      <w:proofErr w:type="spellEnd"/>
      <w:r>
        <w:t xml:space="preserve"> B, Liu F, </w:t>
      </w:r>
      <w:proofErr w:type="spellStart"/>
      <w:r>
        <w:t>Haak</w:t>
      </w:r>
      <w:proofErr w:type="spellEnd"/>
      <w:r>
        <w:t xml:space="preserve"> LL, Kington R. Race, ethnicity, and NIH research awards. Science, 2011 Aug 19; 333(6045):1015-9. </w:t>
      </w:r>
      <w:proofErr w:type="spellStart"/>
      <w:r>
        <w:t>doi</w:t>
      </w:r>
      <w:proofErr w:type="spellEnd"/>
      <w:r>
        <w:t>: 10.1126/science.1196783. PubMed PMID: 21852498; PubMed Central PMCID: PMC3412416.</w:t>
      </w:r>
    </w:p>
  </w:footnote>
  <w:footnote w:id="4">
    <w:p w14:paraId="7DFB12A6" w14:textId="23C9DD92" w:rsidR="00214B5A" w:rsidRDefault="00214B5A">
      <w:pPr>
        <w:pStyle w:val="FootnoteText"/>
      </w:pPr>
      <w:r>
        <w:rPr>
          <w:rStyle w:val="FootnoteReference"/>
        </w:rPr>
        <w:footnoteRef/>
      </w:r>
      <w:r>
        <w:t xml:space="preserve"> </w:t>
      </w:r>
      <w:r w:rsidRPr="00796E2D">
        <w:t>NIH Advisory Committee to the Director, Diversity in the Biomedical Workforce Working Group Report. NIH, Bethesda, MD. 2012.</w:t>
      </w:r>
    </w:p>
  </w:footnote>
  <w:footnote w:id="5">
    <w:p w14:paraId="2AC79445" w14:textId="77777777" w:rsidR="00214B5A" w:rsidRDefault="00214B5A" w:rsidP="007C2B3F">
      <w:pPr>
        <w:pStyle w:val="FootnoteText"/>
      </w:pPr>
      <w:r>
        <w:rPr>
          <w:rStyle w:val="FootnoteReference"/>
        </w:rPr>
        <w:footnoteRef/>
      </w:r>
      <w:r>
        <w:t xml:space="preserve"> Porter, SR, Whitcomb ME. Non-Response in Students Surveys: </w:t>
      </w:r>
      <w:proofErr w:type="gramStart"/>
      <w:r>
        <w:t>the</w:t>
      </w:r>
      <w:proofErr w:type="gramEnd"/>
      <w:r>
        <w:t xml:space="preserve"> Role of Demographics, Engagement and </w:t>
      </w:r>
    </w:p>
    <w:p w14:paraId="5E501881" w14:textId="1E011677" w:rsidR="00214B5A" w:rsidRDefault="00214B5A" w:rsidP="007C2B3F">
      <w:pPr>
        <w:pStyle w:val="FootnoteText"/>
        <w:ind w:firstLine="720"/>
      </w:pPr>
      <w:r>
        <w:t>Personality. Research in Higher Education, 2005, 46:127-152.</w:t>
      </w:r>
    </w:p>
    <w:p w14:paraId="3CC4D033" w14:textId="77777777" w:rsidR="00214B5A" w:rsidRDefault="00214B5A" w:rsidP="007C2B3F">
      <w:pPr>
        <w:pStyle w:val="FootnoteText"/>
      </w:pPr>
      <w:proofErr w:type="spellStart"/>
      <w:r>
        <w:t>Sharkness</w:t>
      </w:r>
      <w:proofErr w:type="spellEnd"/>
      <w:r>
        <w:t xml:space="preserve">, J. Why Don’t They Respond?  An Investigation of Longitudinal Survey nonresponse Among College Students </w:t>
      </w:r>
    </w:p>
    <w:p w14:paraId="5F1705F2" w14:textId="458FE805" w:rsidR="00214B5A" w:rsidRDefault="00214B5A" w:rsidP="007C2B3F">
      <w:pPr>
        <w:pStyle w:val="FootnoteText"/>
        <w:ind w:firstLine="720"/>
      </w:pPr>
      <w:r>
        <w:t>Attending Four-Year Institutions. Electronic Thesis and Dissertations, UCLA, 2012.</w:t>
      </w:r>
    </w:p>
  </w:footnote>
  <w:footnote w:id="6">
    <w:p w14:paraId="3353E4A3" w14:textId="1A3A592C" w:rsidR="00214B5A" w:rsidRDefault="00214B5A">
      <w:pPr>
        <w:pStyle w:val="FootnoteText"/>
      </w:pPr>
      <w:r>
        <w:rPr>
          <w:rStyle w:val="FootnoteReference"/>
        </w:rPr>
        <w:footnoteRef/>
      </w:r>
      <w:r>
        <w:t xml:space="preserve"> </w:t>
      </w:r>
      <w:r w:rsidRPr="007C2B3F">
        <w:t xml:space="preserve">Singer E &amp; Ye C. The use and effects of incentives in surveys. Ann Am </w:t>
      </w:r>
      <w:proofErr w:type="spellStart"/>
      <w:r w:rsidRPr="007C2B3F">
        <w:t>Acad</w:t>
      </w:r>
      <w:proofErr w:type="spellEnd"/>
      <w:r w:rsidRPr="007C2B3F">
        <w:t xml:space="preserve"> Polit Soc Sci, 2013; 645: 112-141.</w:t>
      </w:r>
    </w:p>
  </w:footnote>
  <w:footnote w:id="7">
    <w:p w14:paraId="450B3617" w14:textId="18D47B18" w:rsidR="00214B5A" w:rsidRDefault="00214B5A" w:rsidP="007C2B3F">
      <w:pPr>
        <w:pStyle w:val="FootnoteText"/>
      </w:pPr>
      <w:r>
        <w:rPr>
          <w:rStyle w:val="FootnoteReference"/>
        </w:rPr>
        <w:footnoteRef/>
      </w:r>
      <w:r>
        <w:t xml:space="preserve"> Estrada M, Woodcock A, Schultz PW. Tailored Panel Management: A Theory-Based Approach to Building and </w:t>
      </w:r>
    </w:p>
    <w:p w14:paraId="22325455" w14:textId="742831CB" w:rsidR="00214B5A" w:rsidRDefault="00214B5A" w:rsidP="007C2B3F">
      <w:pPr>
        <w:pStyle w:val="FootnoteText"/>
        <w:ind w:firstLine="720"/>
      </w:pPr>
      <w:r>
        <w:t>Maintaining Participant Commitment to a Longitudinal Study. Evaluation Review, 2014; 38: pp 3-28.</w:t>
      </w:r>
    </w:p>
    <w:p w14:paraId="1F97ACFF" w14:textId="77777777" w:rsidR="00214B5A" w:rsidRDefault="00214B5A" w:rsidP="007C2B3F">
      <w:pPr>
        <w:pStyle w:val="FootnoteText"/>
      </w:pPr>
      <w:r>
        <w:t xml:space="preserve">LaRose R &amp; Tsai HS. Completion rates and non-response error in online surveys: Comparing sweepstakes and pre-paid </w:t>
      </w:r>
    </w:p>
    <w:p w14:paraId="40A676CD" w14:textId="5A26DA75" w:rsidR="00214B5A" w:rsidRDefault="00214B5A" w:rsidP="007C2B3F">
      <w:pPr>
        <w:pStyle w:val="FootnoteText"/>
        <w:ind w:firstLine="720"/>
      </w:pPr>
      <w:r>
        <w:t xml:space="preserve">cash incentives in studies of online behavior. 2014. Comp Hum </w:t>
      </w:r>
      <w:proofErr w:type="spellStart"/>
      <w:r>
        <w:t>Beh</w:t>
      </w:r>
      <w:proofErr w:type="spellEnd"/>
      <w:r>
        <w:t>, 34: 110-119.</w:t>
      </w:r>
    </w:p>
    <w:p w14:paraId="781608E4" w14:textId="009BCD86" w:rsidR="00214B5A" w:rsidRDefault="00214B5A" w:rsidP="007C2B3F">
      <w:pPr>
        <w:pStyle w:val="FootnoteText"/>
      </w:pPr>
      <w:r w:rsidRPr="007C2B3F">
        <w:t xml:space="preserve">Singer E &amp; Ye C. The use and effects of incentives in surveys. Ann Am </w:t>
      </w:r>
      <w:proofErr w:type="spellStart"/>
      <w:r w:rsidRPr="007C2B3F">
        <w:t>Acad</w:t>
      </w:r>
      <w:proofErr w:type="spellEnd"/>
      <w:r w:rsidRPr="007C2B3F">
        <w:t xml:space="preserve"> Polit Soc Sci, 2013; 645: 112-141.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6FAA" w14:textId="1E797A2A" w:rsidR="00214B5A" w:rsidRDefault="00214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95F"/>
    <w:multiLevelType w:val="hybridMultilevel"/>
    <w:tmpl w:val="FB80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3725"/>
    <w:multiLevelType w:val="hybridMultilevel"/>
    <w:tmpl w:val="97DA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CBF7609"/>
    <w:multiLevelType w:val="hybridMultilevel"/>
    <w:tmpl w:val="E91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C1986"/>
    <w:multiLevelType w:val="hybridMultilevel"/>
    <w:tmpl w:val="A962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FF2CA6"/>
    <w:multiLevelType w:val="hybridMultilevel"/>
    <w:tmpl w:val="558435A0"/>
    <w:lvl w:ilvl="0" w:tplc="EB023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A4360"/>
    <w:multiLevelType w:val="hybridMultilevel"/>
    <w:tmpl w:val="B2085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15D39"/>
    <w:multiLevelType w:val="hybridMultilevel"/>
    <w:tmpl w:val="4DE4A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86A42"/>
    <w:multiLevelType w:val="hybridMultilevel"/>
    <w:tmpl w:val="929E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F078BE"/>
    <w:multiLevelType w:val="hybridMultilevel"/>
    <w:tmpl w:val="2DAA2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4B1835"/>
    <w:multiLevelType w:val="hybridMultilevel"/>
    <w:tmpl w:val="B842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53906"/>
    <w:multiLevelType w:val="hybridMultilevel"/>
    <w:tmpl w:val="9400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2"/>
  </w:num>
  <w:num w:numId="5">
    <w:abstractNumId w:val="9"/>
  </w:num>
  <w:num w:numId="6">
    <w:abstractNumId w:val="6"/>
  </w:num>
  <w:num w:numId="7">
    <w:abstractNumId w:val="12"/>
  </w:num>
  <w:num w:numId="8">
    <w:abstractNumId w:val="14"/>
  </w:num>
  <w:num w:numId="9">
    <w:abstractNumId w:val="13"/>
  </w:num>
  <w:num w:numId="10">
    <w:abstractNumId w:val="18"/>
  </w:num>
  <w:num w:numId="11">
    <w:abstractNumId w:val="4"/>
  </w:num>
  <w:num w:numId="12">
    <w:abstractNumId w:val="21"/>
  </w:num>
  <w:num w:numId="13">
    <w:abstractNumId w:val="1"/>
  </w:num>
  <w:num w:numId="14">
    <w:abstractNumId w:val="0"/>
  </w:num>
  <w:num w:numId="15">
    <w:abstractNumId w:val="19"/>
  </w:num>
  <w:num w:numId="16">
    <w:abstractNumId w:val="8"/>
  </w:num>
  <w:num w:numId="17">
    <w:abstractNumId w:val="7"/>
  </w:num>
  <w:num w:numId="18">
    <w:abstractNumId w:val="11"/>
  </w:num>
  <w:num w:numId="19">
    <w:abstractNumId w:val="15"/>
  </w:num>
  <w:num w:numId="20">
    <w:abstractNumId w:val="10"/>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14D5B"/>
    <w:rsid w:val="00016477"/>
    <w:rsid w:val="00024899"/>
    <w:rsid w:val="00045838"/>
    <w:rsid w:val="00091824"/>
    <w:rsid w:val="00095C92"/>
    <w:rsid w:val="000A139A"/>
    <w:rsid w:val="000C15A0"/>
    <w:rsid w:val="000C440E"/>
    <w:rsid w:val="000D2DC8"/>
    <w:rsid w:val="000F3043"/>
    <w:rsid w:val="00114539"/>
    <w:rsid w:val="00134C97"/>
    <w:rsid w:val="00144394"/>
    <w:rsid w:val="00145725"/>
    <w:rsid w:val="00153DC8"/>
    <w:rsid w:val="00170EC9"/>
    <w:rsid w:val="00190C83"/>
    <w:rsid w:val="00193A18"/>
    <w:rsid w:val="00193A8A"/>
    <w:rsid w:val="00195414"/>
    <w:rsid w:val="00195731"/>
    <w:rsid w:val="001A42EF"/>
    <w:rsid w:val="001D0218"/>
    <w:rsid w:val="001F475E"/>
    <w:rsid w:val="00205854"/>
    <w:rsid w:val="00214B5A"/>
    <w:rsid w:val="00220A7D"/>
    <w:rsid w:val="002217F9"/>
    <w:rsid w:val="00237DE7"/>
    <w:rsid w:val="0024781D"/>
    <w:rsid w:val="00255F7C"/>
    <w:rsid w:val="002670CD"/>
    <w:rsid w:val="002770FA"/>
    <w:rsid w:val="00286704"/>
    <w:rsid w:val="00291B8C"/>
    <w:rsid w:val="00292423"/>
    <w:rsid w:val="00296BEC"/>
    <w:rsid w:val="002C3AF2"/>
    <w:rsid w:val="002C5D4F"/>
    <w:rsid w:val="002E5047"/>
    <w:rsid w:val="002F2D2E"/>
    <w:rsid w:val="002F4317"/>
    <w:rsid w:val="00312856"/>
    <w:rsid w:val="00337708"/>
    <w:rsid w:val="0036208F"/>
    <w:rsid w:val="00363C92"/>
    <w:rsid w:val="0036406E"/>
    <w:rsid w:val="00364334"/>
    <w:rsid w:val="00364E97"/>
    <w:rsid w:val="0037291F"/>
    <w:rsid w:val="00376FBD"/>
    <w:rsid w:val="003811A1"/>
    <w:rsid w:val="003A19B1"/>
    <w:rsid w:val="004028CD"/>
    <w:rsid w:val="00433A85"/>
    <w:rsid w:val="00437361"/>
    <w:rsid w:val="00442AB0"/>
    <w:rsid w:val="00442B5B"/>
    <w:rsid w:val="00442D46"/>
    <w:rsid w:val="00465753"/>
    <w:rsid w:val="004716CF"/>
    <w:rsid w:val="00497B81"/>
    <w:rsid w:val="004B086A"/>
    <w:rsid w:val="004B40FF"/>
    <w:rsid w:val="004C4B9F"/>
    <w:rsid w:val="004E1B43"/>
    <w:rsid w:val="00501C05"/>
    <w:rsid w:val="00503052"/>
    <w:rsid w:val="00513D77"/>
    <w:rsid w:val="005150E7"/>
    <w:rsid w:val="005315C3"/>
    <w:rsid w:val="00536C12"/>
    <w:rsid w:val="00543B20"/>
    <w:rsid w:val="00560617"/>
    <w:rsid w:val="00573407"/>
    <w:rsid w:val="0057480E"/>
    <w:rsid w:val="005879AE"/>
    <w:rsid w:val="005A078B"/>
    <w:rsid w:val="005C4013"/>
    <w:rsid w:val="005F4A54"/>
    <w:rsid w:val="00641209"/>
    <w:rsid w:val="006420A5"/>
    <w:rsid w:val="00644341"/>
    <w:rsid w:val="00647793"/>
    <w:rsid w:val="0065235F"/>
    <w:rsid w:val="00655C67"/>
    <w:rsid w:val="00656A8F"/>
    <w:rsid w:val="00681F63"/>
    <w:rsid w:val="00685B30"/>
    <w:rsid w:val="006A3DD6"/>
    <w:rsid w:val="006A45F9"/>
    <w:rsid w:val="006B624F"/>
    <w:rsid w:val="006E4839"/>
    <w:rsid w:val="0070015F"/>
    <w:rsid w:val="00703A8B"/>
    <w:rsid w:val="007063F8"/>
    <w:rsid w:val="00714BFA"/>
    <w:rsid w:val="00717158"/>
    <w:rsid w:val="00732423"/>
    <w:rsid w:val="00756DDA"/>
    <w:rsid w:val="00761741"/>
    <w:rsid w:val="00767C53"/>
    <w:rsid w:val="007915CB"/>
    <w:rsid w:val="00796E2D"/>
    <w:rsid w:val="007A0CA3"/>
    <w:rsid w:val="007B0BEC"/>
    <w:rsid w:val="007B5960"/>
    <w:rsid w:val="007C2B3F"/>
    <w:rsid w:val="007D11BF"/>
    <w:rsid w:val="007D2D13"/>
    <w:rsid w:val="007D402F"/>
    <w:rsid w:val="007F34C9"/>
    <w:rsid w:val="00810321"/>
    <w:rsid w:val="00813320"/>
    <w:rsid w:val="008359FA"/>
    <w:rsid w:val="00845DEE"/>
    <w:rsid w:val="008561C1"/>
    <w:rsid w:val="0086248B"/>
    <w:rsid w:val="00877CB6"/>
    <w:rsid w:val="00890995"/>
    <w:rsid w:val="00894FF4"/>
    <w:rsid w:val="008D6F5D"/>
    <w:rsid w:val="0091754D"/>
    <w:rsid w:val="00933EAA"/>
    <w:rsid w:val="00941822"/>
    <w:rsid w:val="009648C0"/>
    <w:rsid w:val="009747F4"/>
    <w:rsid w:val="00976490"/>
    <w:rsid w:val="0097710B"/>
    <w:rsid w:val="00984D73"/>
    <w:rsid w:val="00986FBC"/>
    <w:rsid w:val="00995CDD"/>
    <w:rsid w:val="009C3E9D"/>
    <w:rsid w:val="009C72AF"/>
    <w:rsid w:val="009F372E"/>
    <w:rsid w:val="009F5B11"/>
    <w:rsid w:val="009F5FE1"/>
    <w:rsid w:val="00A00CF8"/>
    <w:rsid w:val="00A027FC"/>
    <w:rsid w:val="00A11A41"/>
    <w:rsid w:val="00A14962"/>
    <w:rsid w:val="00A205B8"/>
    <w:rsid w:val="00A339E3"/>
    <w:rsid w:val="00A359BB"/>
    <w:rsid w:val="00A4200E"/>
    <w:rsid w:val="00A54B55"/>
    <w:rsid w:val="00A60302"/>
    <w:rsid w:val="00A62A72"/>
    <w:rsid w:val="00A6350F"/>
    <w:rsid w:val="00A801CD"/>
    <w:rsid w:val="00AB3312"/>
    <w:rsid w:val="00AB736C"/>
    <w:rsid w:val="00B00EB3"/>
    <w:rsid w:val="00B03736"/>
    <w:rsid w:val="00B2767E"/>
    <w:rsid w:val="00B31022"/>
    <w:rsid w:val="00B31E36"/>
    <w:rsid w:val="00B32A1D"/>
    <w:rsid w:val="00B44AF3"/>
    <w:rsid w:val="00B50D3C"/>
    <w:rsid w:val="00B66B43"/>
    <w:rsid w:val="00B70C76"/>
    <w:rsid w:val="00B84B20"/>
    <w:rsid w:val="00B93C77"/>
    <w:rsid w:val="00B96691"/>
    <w:rsid w:val="00BC4C88"/>
    <w:rsid w:val="00BE5EFA"/>
    <w:rsid w:val="00BE76A7"/>
    <w:rsid w:val="00BF269A"/>
    <w:rsid w:val="00BF491C"/>
    <w:rsid w:val="00C02C97"/>
    <w:rsid w:val="00C050E8"/>
    <w:rsid w:val="00C06039"/>
    <w:rsid w:val="00C10AF4"/>
    <w:rsid w:val="00C11817"/>
    <w:rsid w:val="00C12263"/>
    <w:rsid w:val="00C17E3F"/>
    <w:rsid w:val="00C2428A"/>
    <w:rsid w:val="00C24877"/>
    <w:rsid w:val="00C40F61"/>
    <w:rsid w:val="00C4161B"/>
    <w:rsid w:val="00C46EB8"/>
    <w:rsid w:val="00C64AE5"/>
    <w:rsid w:val="00C76797"/>
    <w:rsid w:val="00C76FE2"/>
    <w:rsid w:val="00C925F8"/>
    <w:rsid w:val="00C93CF7"/>
    <w:rsid w:val="00CA6015"/>
    <w:rsid w:val="00CC1902"/>
    <w:rsid w:val="00CD3EAB"/>
    <w:rsid w:val="00CF36BD"/>
    <w:rsid w:val="00D075E4"/>
    <w:rsid w:val="00D3091D"/>
    <w:rsid w:val="00D34BE5"/>
    <w:rsid w:val="00D51C1D"/>
    <w:rsid w:val="00D51DF6"/>
    <w:rsid w:val="00D672B2"/>
    <w:rsid w:val="00D7280E"/>
    <w:rsid w:val="00D96B88"/>
    <w:rsid w:val="00DB1217"/>
    <w:rsid w:val="00DE5570"/>
    <w:rsid w:val="00DF7E19"/>
    <w:rsid w:val="00E03967"/>
    <w:rsid w:val="00E2615D"/>
    <w:rsid w:val="00E27D11"/>
    <w:rsid w:val="00E35DD1"/>
    <w:rsid w:val="00E35FDA"/>
    <w:rsid w:val="00E56374"/>
    <w:rsid w:val="00E653F2"/>
    <w:rsid w:val="00E67B10"/>
    <w:rsid w:val="00E72390"/>
    <w:rsid w:val="00E941FD"/>
    <w:rsid w:val="00EA11BC"/>
    <w:rsid w:val="00EA37D2"/>
    <w:rsid w:val="00EA44A0"/>
    <w:rsid w:val="00EB0D30"/>
    <w:rsid w:val="00EB7E3E"/>
    <w:rsid w:val="00EC7C41"/>
    <w:rsid w:val="00EE245F"/>
    <w:rsid w:val="00EE4323"/>
    <w:rsid w:val="00EE5A75"/>
    <w:rsid w:val="00F116EE"/>
    <w:rsid w:val="00F12886"/>
    <w:rsid w:val="00F33485"/>
    <w:rsid w:val="00F34BF1"/>
    <w:rsid w:val="00F76F4B"/>
    <w:rsid w:val="00F97D9D"/>
    <w:rsid w:val="00FB346E"/>
    <w:rsid w:val="00FD284C"/>
    <w:rsid w:val="00FE6EA5"/>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uiPriority w:val="99"/>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uiPriority w:val="59"/>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TOC2">
    <w:name w:val="toc 2"/>
    <w:basedOn w:val="Normal"/>
    <w:next w:val="Normal"/>
    <w:autoRedefine/>
    <w:uiPriority w:val="39"/>
    <w:unhideWhenUsed/>
    <w:rsid w:val="0065235F"/>
    <w:pPr>
      <w:spacing w:after="100"/>
      <w:ind w:left="220"/>
    </w:pPr>
  </w:style>
  <w:style w:type="table" w:customStyle="1" w:styleId="TableGrid1">
    <w:name w:val="Table Grid1"/>
    <w:basedOn w:val="TableNormal"/>
    <w:next w:val="TableGrid"/>
    <w:uiPriority w:val="59"/>
    <w:rsid w:val="00E2615D"/>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03052"/>
    <w:pPr>
      <w:spacing w:after="100"/>
    </w:pPr>
  </w:style>
  <w:style w:type="paragraph" w:styleId="BodyText2">
    <w:name w:val="Body Text 2"/>
    <w:basedOn w:val="Normal"/>
    <w:link w:val="BodyText2Char"/>
    <w:rsid w:val="00364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right="1440"/>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364E97"/>
    <w:rPr>
      <w:rFonts w:ascii="Times New Roman" w:eastAsia="Times New Roman" w:hAnsi="Times New Roman" w:cs="Times New Roman"/>
      <w:snapToGrid w:val="0"/>
      <w:sz w:val="24"/>
      <w:szCs w:val="20"/>
    </w:rPr>
  </w:style>
  <w:style w:type="paragraph" w:styleId="TOC3">
    <w:name w:val="toc 3"/>
    <w:basedOn w:val="Normal"/>
    <w:next w:val="Normal"/>
    <w:autoRedefine/>
    <w:uiPriority w:val="39"/>
    <w:unhideWhenUsed/>
    <w:rsid w:val="00F116EE"/>
    <w:pPr>
      <w:spacing w:after="100"/>
      <w:ind w:left="440"/>
    </w:pPr>
    <w:rPr>
      <w:rFonts w:cs="Times New Roman"/>
    </w:rPr>
  </w:style>
  <w:style w:type="paragraph" w:styleId="FootnoteText">
    <w:name w:val="footnote text"/>
    <w:basedOn w:val="Normal"/>
    <w:link w:val="FootnoteTextChar"/>
    <w:uiPriority w:val="99"/>
    <w:semiHidden/>
    <w:unhideWhenUsed/>
    <w:rsid w:val="008561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1C1"/>
    <w:rPr>
      <w:sz w:val="20"/>
      <w:szCs w:val="20"/>
    </w:rPr>
  </w:style>
  <w:style w:type="character" w:styleId="FootnoteReference">
    <w:name w:val="footnote reference"/>
    <w:basedOn w:val="DefaultParagraphFont"/>
    <w:uiPriority w:val="99"/>
    <w:semiHidden/>
    <w:unhideWhenUsed/>
    <w:rsid w:val="008561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5740">
      <w:bodyDiv w:val="1"/>
      <w:marLeft w:val="0"/>
      <w:marRight w:val="0"/>
      <w:marTop w:val="0"/>
      <w:marBottom w:val="0"/>
      <w:divBdr>
        <w:top w:val="none" w:sz="0" w:space="0" w:color="auto"/>
        <w:left w:val="none" w:sz="0" w:space="0" w:color="auto"/>
        <w:bottom w:val="none" w:sz="0" w:space="0" w:color="auto"/>
        <w:right w:val="none" w:sz="0" w:space="0" w:color="auto"/>
      </w:divBdr>
    </w:div>
    <w:div w:id="398796863">
      <w:bodyDiv w:val="1"/>
      <w:marLeft w:val="0"/>
      <w:marRight w:val="0"/>
      <w:marTop w:val="0"/>
      <w:marBottom w:val="0"/>
      <w:divBdr>
        <w:top w:val="none" w:sz="0" w:space="0" w:color="auto"/>
        <w:left w:val="none" w:sz="0" w:space="0" w:color="auto"/>
        <w:bottom w:val="none" w:sz="0" w:space="0" w:color="auto"/>
        <w:right w:val="none" w:sz="0" w:space="0" w:color="auto"/>
      </w:divBdr>
    </w:div>
    <w:div w:id="497960289">
      <w:bodyDiv w:val="1"/>
      <w:marLeft w:val="0"/>
      <w:marRight w:val="0"/>
      <w:marTop w:val="0"/>
      <w:marBottom w:val="0"/>
      <w:divBdr>
        <w:top w:val="none" w:sz="0" w:space="0" w:color="auto"/>
        <w:left w:val="none" w:sz="0" w:space="0" w:color="auto"/>
        <w:bottom w:val="none" w:sz="0" w:space="0" w:color="auto"/>
        <w:right w:val="none" w:sz="0" w:space="0" w:color="auto"/>
      </w:divBdr>
    </w:div>
    <w:div w:id="601374709">
      <w:bodyDiv w:val="1"/>
      <w:marLeft w:val="0"/>
      <w:marRight w:val="0"/>
      <w:marTop w:val="0"/>
      <w:marBottom w:val="0"/>
      <w:divBdr>
        <w:top w:val="none" w:sz="0" w:space="0" w:color="auto"/>
        <w:left w:val="none" w:sz="0" w:space="0" w:color="auto"/>
        <w:bottom w:val="none" w:sz="0" w:space="0" w:color="auto"/>
        <w:right w:val="none" w:sz="0" w:space="0" w:color="auto"/>
      </w:divBdr>
    </w:div>
    <w:div w:id="699824388">
      <w:bodyDiv w:val="1"/>
      <w:marLeft w:val="0"/>
      <w:marRight w:val="0"/>
      <w:marTop w:val="0"/>
      <w:marBottom w:val="0"/>
      <w:divBdr>
        <w:top w:val="none" w:sz="0" w:space="0" w:color="auto"/>
        <w:left w:val="none" w:sz="0" w:space="0" w:color="auto"/>
        <w:bottom w:val="none" w:sz="0" w:space="0" w:color="auto"/>
        <w:right w:val="none" w:sz="0" w:space="0" w:color="auto"/>
      </w:divBdr>
    </w:div>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061714027">
      <w:bodyDiv w:val="1"/>
      <w:marLeft w:val="0"/>
      <w:marRight w:val="0"/>
      <w:marTop w:val="0"/>
      <w:marBottom w:val="0"/>
      <w:divBdr>
        <w:top w:val="none" w:sz="0" w:space="0" w:color="auto"/>
        <w:left w:val="none" w:sz="0" w:space="0" w:color="auto"/>
        <w:bottom w:val="none" w:sz="0" w:space="0" w:color="auto"/>
        <w:right w:val="none" w:sz="0" w:space="0" w:color="auto"/>
      </w:divBdr>
    </w:div>
    <w:div w:id="1142455764">
      <w:bodyDiv w:val="1"/>
      <w:marLeft w:val="0"/>
      <w:marRight w:val="0"/>
      <w:marTop w:val="0"/>
      <w:marBottom w:val="0"/>
      <w:divBdr>
        <w:top w:val="none" w:sz="0" w:space="0" w:color="auto"/>
        <w:left w:val="none" w:sz="0" w:space="0" w:color="auto"/>
        <w:bottom w:val="none" w:sz="0" w:space="0" w:color="auto"/>
        <w:right w:val="none" w:sz="0" w:space="0" w:color="auto"/>
      </w:divBdr>
    </w:div>
    <w:div w:id="1172377447">
      <w:bodyDiv w:val="1"/>
      <w:marLeft w:val="0"/>
      <w:marRight w:val="0"/>
      <w:marTop w:val="0"/>
      <w:marBottom w:val="0"/>
      <w:divBdr>
        <w:top w:val="none" w:sz="0" w:space="0" w:color="auto"/>
        <w:left w:val="none" w:sz="0" w:space="0" w:color="auto"/>
        <w:bottom w:val="none" w:sz="0" w:space="0" w:color="auto"/>
        <w:right w:val="none" w:sz="0" w:space="0" w:color="auto"/>
      </w:divBdr>
    </w:div>
    <w:div w:id="1429502439">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523779589">
      <w:bodyDiv w:val="1"/>
      <w:marLeft w:val="0"/>
      <w:marRight w:val="0"/>
      <w:marTop w:val="0"/>
      <w:marBottom w:val="0"/>
      <w:divBdr>
        <w:top w:val="none" w:sz="0" w:space="0" w:color="auto"/>
        <w:left w:val="none" w:sz="0" w:space="0" w:color="auto"/>
        <w:bottom w:val="none" w:sz="0" w:space="0" w:color="auto"/>
        <w:right w:val="none" w:sz="0" w:space="0" w:color="auto"/>
      </w:divBdr>
    </w:div>
    <w:div w:id="1997104345">
      <w:bodyDiv w:val="1"/>
      <w:marLeft w:val="0"/>
      <w:marRight w:val="0"/>
      <w:marTop w:val="0"/>
      <w:marBottom w:val="0"/>
      <w:divBdr>
        <w:top w:val="none" w:sz="0" w:space="0" w:color="auto"/>
        <w:left w:val="none" w:sz="0" w:space="0" w:color="auto"/>
        <w:bottom w:val="none" w:sz="0" w:space="0" w:color="auto"/>
        <w:right w:val="none" w:sz="0" w:space="0" w:color="auto"/>
      </w:divBdr>
    </w:div>
    <w:div w:id="20680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cornell.edu/uscode/html/uscode42/usc_sup_01_42_10_6A_20_III_30_B.html)" TargetMode="External"/><Relationship Id="rId18" Type="http://schemas.openxmlformats.org/officeDocument/2006/relationships/hyperlink" Target="mailto:farinkamangar@gmail.com" TargetMode="External"/><Relationship Id="rId26" Type="http://schemas.openxmlformats.org/officeDocument/2006/relationships/hyperlink" Target="https://acd.od.nih.gov/working-groups/wgd.html" TargetMode="External"/><Relationship Id="rId3" Type="http://schemas.openxmlformats.org/officeDocument/2006/relationships/numbering" Target="numbering.xml"/><Relationship Id="rId21" Type="http://schemas.openxmlformats.org/officeDocument/2006/relationships/hyperlink" Target="mailto:khueffer@alaska.ed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whitehouse.gov/sites/default/files/omb/assets/performance_pdfs/eo13450.pdf" TargetMode="External"/><Relationship Id="rId17" Type="http://schemas.openxmlformats.org/officeDocument/2006/relationships/hyperlink" Target="mailto:kuleckga@udmercy.edu" TargetMode="External"/><Relationship Id="rId25" Type="http://schemas.openxmlformats.org/officeDocument/2006/relationships/hyperlink" Target="mailto:David.burgess@bc.ed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rist.khachikian@csun.edu" TargetMode="External"/><Relationship Id="rId20" Type="http://schemas.openxmlformats.org/officeDocument/2006/relationships/hyperlink" Target="mailto:marquez@sfsu.edu" TargetMode="External"/><Relationship Id="rId29" Type="http://schemas.openxmlformats.org/officeDocument/2006/relationships/hyperlink" Target="http://www.bls.gov/oes/2018/may/oes29000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son.gammie@nih.gov" TargetMode="External"/><Relationship Id="rId24" Type="http://schemas.openxmlformats.org/officeDocument/2006/relationships/hyperlink" Target="mailto:gdamour@xula.ed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aura.kingsford@csulb.edu" TargetMode="External"/><Relationship Id="rId23" Type="http://schemas.openxmlformats.org/officeDocument/2006/relationships/hyperlink" Target="mailto:Lourdes@utep.edu" TargetMode="External"/><Relationship Id="rId28" Type="http://schemas.openxmlformats.org/officeDocument/2006/relationships/hyperlink" Target="http://www.bls.gov/oes/2018/may/oes_nat.htm" TargetMode="External"/><Relationship Id="rId10" Type="http://schemas.openxmlformats.org/officeDocument/2006/relationships/image" Target="media/image2.svg"/><Relationship Id="rId19" Type="http://schemas.openxmlformats.org/officeDocument/2006/relationships/hyperlink" Target="mailto:ccrespo@pdx.ed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ederalregister.gov/documents/2019/12/03/2019-26087/proposed-collection-60-day-comment-request-evaluation-of-the-enhancing-diversity-of-the-nih-funded" TargetMode="External"/><Relationship Id="rId22" Type="http://schemas.openxmlformats.org/officeDocument/2006/relationships/hyperlink" Target="mailto:rous@umbc.edu" TargetMode="External"/><Relationship Id="rId27" Type="http://schemas.openxmlformats.org/officeDocument/2006/relationships/hyperlink" Target="https://acd.od.nih.gov/working-groups/dpcsub.html" TargetMode="External"/><Relationship Id="rId30" Type="http://schemas.openxmlformats.org/officeDocument/2006/relationships/hyperlink" Target="https://www.opm.gov/policy-data-oversight/pay-leave/salaries-wages/salary-tables/18Tables/html/DCB.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B6C109-11D6-4A62-A747-D68B592D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25</Pages>
  <Words>10376</Words>
  <Characters>59149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69387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Abdelmouti, Tawanda (NIH/OD) [E]</cp:lastModifiedBy>
  <cp:revision>5</cp:revision>
  <dcterms:created xsi:type="dcterms:W3CDTF">2020-02-05T21:58:00Z</dcterms:created>
  <dcterms:modified xsi:type="dcterms:W3CDTF">2020-02-06T16:46:00Z</dcterms:modified>
</cp:coreProperties>
</file>