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9239AA" w:rsidR="00E50293" w:rsidP="00434E33" w:rsidRDefault="00BB73E8" w14:paraId="1038A88E" w14:textId="6BB6700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6162C84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886E3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5A2D2B" w:rsidR="00B07575" w:rsidP="005A2D2B" w:rsidRDefault="00AB0A87" w14:paraId="68A716D7" w14:textId="05DA0ED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NIMH</w:t>
      </w:r>
      <w:r w:rsidR="00AA4A02">
        <w:rPr>
          <w:rFonts w:ascii="Times New Roman" w:hAnsi="Times New Roman" w:cs="Times New Roman"/>
        </w:rPr>
        <w:t xml:space="preserve"> and NIMHD</w:t>
      </w:r>
      <w:r w:rsidRPr="00747F4E" w:rsidR="00747F4E">
        <w:rPr>
          <w:rFonts w:ascii="Times New Roman" w:hAnsi="Times New Roman" w:cs="Times New Roman"/>
        </w:rPr>
        <w:t xml:space="preserve"> Virtual Workshop</w:t>
      </w:r>
      <w:r w:rsidR="00D124C8">
        <w:rPr>
          <w:rFonts w:ascii="Times New Roman" w:hAnsi="Times New Roman" w:cs="Times New Roman"/>
        </w:rPr>
        <w:t xml:space="preserve"> on Mental Health Disparities</w:t>
      </w:r>
      <w:r w:rsidRPr="00747F4E" w:rsidR="00747F4E">
        <w:rPr>
          <w:rFonts w:ascii="Times New Roman" w:hAnsi="Times New Roman" w:cs="Times New Roman"/>
        </w:rPr>
        <w:t xml:space="preserve"> Registration</w:t>
      </w:r>
    </w:p>
    <w:p w:rsidR="005E714A" w:rsidRDefault="005E714A" w14:paraId="6D242C57" w14:textId="77777777"/>
    <w:p w:rsidR="001B0AAA" w:rsidRDefault="00F15956" w14:paraId="1FC5F7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Default="001A420C" w14:paraId="5EA1CDCA" w14:textId="0FAFBB88">
      <w:r w:rsidRPr="001A420C">
        <w:rPr>
          <w:snapToGrid w:val="0"/>
        </w:rPr>
        <w:t xml:space="preserve">Collect preliminary information from participants in the </w:t>
      </w:r>
      <w:r w:rsidR="00F1145F">
        <w:rPr>
          <w:snapToGrid w:val="0"/>
        </w:rPr>
        <w:t>NIMH</w:t>
      </w:r>
      <w:r w:rsidRPr="001A420C">
        <w:rPr>
          <w:snapToGrid w:val="0"/>
        </w:rPr>
        <w:t xml:space="preserve"> </w:t>
      </w:r>
      <w:r w:rsidR="00D124C8">
        <w:rPr>
          <w:snapToGrid w:val="0"/>
        </w:rPr>
        <w:t>and NIMHD Virtual Workshop on Mental Health Disparities</w:t>
      </w:r>
      <w:r w:rsidRPr="001A420C">
        <w:rPr>
          <w:snapToGrid w:val="0"/>
        </w:rPr>
        <w:t>.</w:t>
      </w:r>
    </w:p>
    <w:p w:rsidR="00C8488C" w:rsidRDefault="00C8488C" w14:paraId="00609FCB" w14:textId="77777777"/>
    <w:p w:rsidRPr="00D97378" w:rsidR="00434E33" w:rsidP="00434E33" w:rsidRDefault="00434E33" w14:paraId="15DEE75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97378">
        <w:rPr>
          <w:b/>
        </w:rPr>
        <w:t>DESCRIPTION OF RESPONDENTS</w:t>
      </w:r>
      <w:r w:rsidRPr="00D97378">
        <w:t xml:space="preserve">: </w:t>
      </w:r>
    </w:p>
    <w:p w:rsidR="00C8488C" w:rsidRDefault="001A420C" w14:paraId="3F136F90" w14:textId="336A5D42">
      <w:r w:rsidRPr="00D97378">
        <w:t>Participants of the workshop include community, academic and federal researchers in the field</w:t>
      </w:r>
      <w:r w:rsidRPr="00D97378" w:rsidR="00D124C8">
        <w:t xml:space="preserve"> of </w:t>
      </w:r>
      <w:r w:rsidRPr="00D97378" w:rsidR="002A7434">
        <w:t xml:space="preserve">mental </w:t>
      </w:r>
      <w:r w:rsidRPr="00D97378" w:rsidR="00D124C8">
        <w:t>health disparities</w:t>
      </w:r>
      <w:r w:rsidRPr="00D97378">
        <w:t>.</w:t>
      </w:r>
    </w:p>
    <w:p w:rsidR="00E26329" w:rsidRDefault="00E26329" w14:paraId="3FE7ABD4" w14:textId="77777777">
      <w:pPr>
        <w:rPr>
          <w:b/>
        </w:rPr>
      </w:pPr>
    </w:p>
    <w:p w:rsidRPr="00DA7B4C" w:rsidR="00F06866" w:rsidRDefault="00F06866" w14:paraId="35B7B2C4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B0757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proofErr w:type="gramStart"/>
      <w:r w:rsidRPr="00DA7B4C" w:rsidR="00F06866">
        <w:rPr>
          <w:bCs/>
          <w:sz w:val="24"/>
        </w:rPr>
        <w:t>[ ]</w:t>
      </w:r>
      <w:proofErr w:type="gramEnd"/>
      <w:r w:rsidRPr="00DA7B4C" w:rsidR="00F06866">
        <w:rPr>
          <w:bCs/>
          <w:sz w:val="24"/>
        </w:rPr>
        <w:t xml:space="preserve">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9EDE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3CE6BC6" w14:textId="77777777">
      <w:pPr>
        <w:rPr>
          <w:sz w:val="16"/>
          <w:szCs w:val="16"/>
        </w:rPr>
      </w:pPr>
    </w:p>
    <w:p w:rsidRPr="009C13B9" w:rsidR="008101A5" w:rsidP="008101A5" w:rsidRDefault="008101A5" w14:paraId="11095CC1" w14:textId="77777777">
      <w:r>
        <w:t xml:space="preserve">I certify the following to be true: </w:t>
      </w:r>
    </w:p>
    <w:p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70D20B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936F465" w14:textId="77777777"/>
    <w:p w:rsidR="009C13B9" w:rsidP="009C13B9" w:rsidRDefault="009C13B9" w14:paraId="5C4A9F08" w14:textId="29D1B650">
      <w:r w:rsidRPr="001D5124">
        <w:t>Name:</w:t>
      </w:r>
      <w:r w:rsidRPr="001D5124" w:rsidR="00B07575">
        <w:tab/>
      </w:r>
      <w:r w:rsidRPr="001D5124" w:rsidR="001D5124">
        <w:rPr>
          <w:u w:val="single"/>
        </w:rPr>
        <w:t>Sandra Molina</w:t>
      </w:r>
      <w:r w:rsidRPr="001D5124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Yes  [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>] Yes [ ]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>Is an incentive (e.g., money or reimbursement of expenses, token of appreciation) provided to participants?  [ ]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4945DD" w:rsidRDefault="004945DD" w14:paraId="72B6D58A" w14:textId="1388C489">
      <w:pPr>
        <w:rPr>
          <w:b/>
        </w:rPr>
      </w:pPr>
    </w:p>
    <w:p w:rsidR="00940932" w:rsidRDefault="00940932" w14:paraId="00E87984" w14:textId="77777777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E8151D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E8151D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5B2FD1" w14:paraId="3B0D8EE9" w14:textId="63346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Federal </w:t>
            </w:r>
            <w:r w:rsidR="00556F21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overnment</w:t>
            </w:r>
          </w:p>
        </w:tc>
        <w:tc>
          <w:tcPr>
            <w:tcW w:w="962" w:type="pct"/>
            <w:vAlign w:val="center"/>
          </w:tcPr>
          <w:p w:rsidRPr="000A1FEB" w:rsidR="003668D6" w:rsidP="0097631D" w:rsidRDefault="00613983" w14:paraId="12305EAF" w14:textId="783FD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A1FEB" w:rsidR="003A7E3F">
              <w:rPr>
                <w:sz w:val="22"/>
                <w:szCs w:val="22"/>
              </w:rPr>
              <w:t>00</w:t>
            </w:r>
          </w:p>
        </w:tc>
        <w:tc>
          <w:tcPr>
            <w:tcW w:w="1050" w:type="pct"/>
            <w:vAlign w:val="center"/>
          </w:tcPr>
          <w:p w:rsidRPr="000A1FEB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0A1FEB" w:rsidR="003668D6" w:rsidP="0097631D" w:rsidRDefault="00B870A0" w14:paraId="5E844E1C" w14:textId="4AFEFED0">
            <w:pPr>
              <w:jc w:val="center"/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1</w:t>
            </w:r>
            <w:r w:rsidRPr="000A1FEB" w:rsidR="00B07575">
              <w:rPr>
                <w:sz w:val="22"/>
                <w:szCs w:val="22"/>
              </w:rPr>
              <w:t>/60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613983" w14:paraId="14B56B61" w14:textId="03D81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Pr="00FD7FD7" w:rsidR="003668D6" w:rsidTr="00E8151D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2153FE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FD7FD7" w:rsidR="003668D6" w:rsidP="0097631D" w:rsidRDefault="00F510B6" w14:paraId="485E8DDA" w14:textId="5373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bookmarkStart w:name="_GoBack" w:id="0"/>
            <w:bookmarkEnd w:id="0"/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135D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613983" w14:paraId="0F43B59A" w14:textId="09DB82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B07575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B07575" w:rsidP="00F70DC4" w:rsidRDefault="00925A4A" w14:paraId="7174696D" w14:textId="2BE40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Federal </w:t>
            </w:r>
            <w:r w:rsidR="00556F21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overnment</w:t>
            </w:r>
          </w:p>
        </w:tc>
        <w:tc>
          <w:tcPr>
            <w:tcW w:w="1172" w:type="pct"/>
            <w:vAlign w:val="center"/>
          </w:tcPr>
          <w:p w:rsidRPr="000F4021" w:rsidR="00B07575" w:rsidP="0097631D" w:rsidRDefault="00613983" w14:paraId="19FD75EF" w14:textId="4FFAF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4" w:type="pct"/>
            <w:vAlign w:val="center"/>
          </w:tcPr>
          <w:p w:rsidRPr="00FD7FD7" w:rsidR="00B07575" w:rsidP="0097631D" w:rsidRDefault="00E23E7E" w14:paraId="2BA204B4" w14:textId="048EABA6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$</w:t>
            </w:r>
            <w:r w:rsidR="0008613B">
              <w:rPr>
                <w:sz w:val="22"/>
                <w:szCs w:val="22"/>
              </w:rPr>
              <w:t>41</w:t>
            </w:r>
            <w:r w:rsidRPr="00FD7FD7">
              <w:rPr>
                <w:sz w:val="22"/>
                <w:szCs w:val="22"/>
              </w:rPr>
              <w:t>.</w:t>
            </w:r>
            <w:r w:rsidR="0008613B">
              <w:rPr>
                <w:sz w:val="22"/>
                <w:szCs w:val="22"/>
              </w:rPr>
              <w:t>2</w:t>
            </w:r>
            <w:r w:rsidRPr="00FD7FD7">
              <w:rPr>
                <w:sz w:val="22"/>
                <w:szCs w:val="22"/>
              </w:rPr>
              <w:t>9/hr</w:t>
            </w:r>
          </w:p>
        </w:tc>
        <w:tc>
          <w:tcPr>
            <w:tcW w:w="1060" w:type="pct"/>
            <w:vAlign w:val="center"/>
          </w:tcPr>
          <w:p w:rsidRPr="00FD7FD7" w:rsidR="00B07575" w:rsidP="0097631D" w:rsidRDefault="00BA63EA" w14:paraId="019B2DAF" w14:textId="715A8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613983">
              <w:rPr>
                <w:sz w:val="22"/>
                <w:szCs w:val="22"/>
              </w:rPr>
              <w:t>83</w:t>
            </w:r>
          </w:p>
        </w:tc>
      </w:tr>
      <w:tr w:rsidRPr="00FD7FD7" w:rsidR="00DB6C6E" w:rsidTr="00115F22" w14:paraId="3B76FC66" w14:textId="77777777">
        <w:trPr>
          <w:trHeight w:val="215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6C9DF3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3C2C5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FD7FD7" w:rsidR="00DB6C6E" w:rsidP="00DB6C6E" w:rsidRDefault="00FD1F7F" w14:paraId="42E738B3" w14:textId="0CD8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613983">
              <w:rPr>
                <w:sz w:val="22"/>
                <w:szCs w:val="22"/>
              </w:rPr>
              <w:t>83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19F4E0B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FD7FD7">
        <w:t xml:space="preserve"> </w:t>
      </w:r>
      <w:r w:rsidRPr="00FD7FD7" w:rsidR="00FD7FD7">
        <w:rPr>
          <w:u w:val="single"/>
        </w:rPr>
        <w:t>1</w:t>
      </w:r>
      <w:r w:rsidR="00F55676">
        <w:rPr>
          <w:u w:val="single"/>
        </w:rPr>
        <w:t>2</w:t>
      </w:r>
      <w:r w:rsidR="00E64EFD">
        <w:rPr>
          <w:u w:val="single"/>
        </w:rPr>
        <w:t>3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1096"/>
        <w:gridCol w:w="1041"/>
        <w:gridCol w:w="791"/>
        <w:gridCol w:w="1833"/>
        <w:gridCol w:w="1674"/>
      </w:tblGrid>
      <w:tr w:rsidRPr="00476DE5" w:rsidR="009A036B" w:rsidTr="00CA70C9" w14:paraId="6B479689" w14:textId="77777777">
        <w:trPr>
          <w:trHeight w:val="367"/>
        </w:trPr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5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CA70C9" w14:paraId="174147F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175E3AFE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2388" w:rsidR="009A036B" w:rsidP="009A036B" w:rsidRDefault="00F55676" w14:paraId="3E728DBF" w14:textId="4C688460">
            <w:pPr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Health Scientist Administrator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B2388" w:rsidR="009A036B" w:rsidP="00476DE5" w:rsidRDefault="00F55676" w14:paraId="4BB4A902" w14:textId="72A69AEE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1</w:t>
            </w:r>
            <w:r w:rsidRPr="005B2388" w:rsidR="000F4021">
              <w:rPr>
                <w:sz w:val="22"/>
                <w:szCs w:val="22"/>
              </w:rPr>
              <w:t>3</w:t>
            </w:r>
            <w:r w:rsidRPr="005B2388" w:rsidR="000F7731">
              <w:rPr>
                <w:sz w:val="22"/>
                <w:szCs w:val="22"/>
              </w:rPr>
              <w:t>/</w:t>
            </w:r>
            <w:r w:rsidRPr="005B2388" w:rsidR="000F4021">
              <w:rPr>
                <w:sz w:val="22"/>
                <w:szCs w:val="22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2388" w:rsidR="009A036B" w:rsidP="00476DE5" w:rsidRDefault="000F7731" w14:paraId="6CC49CA6" w14:textId="4788ABA2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$12</w:t>
            </w:r>
            <w:r w:rsidRPr="005B2388" w:rsidR="00A358FA">
              <w:rPr>
                <w:sz w:val="22"/>
                <w:szCs w:val="22"/>
              </w:rPr>
              <w:t>3</w:t>
            </w:r>
            <w:r w:rsidRPr="005B2388">
              <w:rPr>
                <w:sz w:val="22"/>
                <w:szCs w:val="22"/>
              </w:rPr>
              <w:t>,</w:t>
            </w:r>
            <w:r w:rsidRPr="005B2388" w:rsidR="00A358FA">
              <w:rPr>
                <w:sz w:val="22"/>
                <w:szCs w:val="22"/>
              </w:rPr>
              <w:t>198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2388" w:rsidR="009A036B" w:rsidP="00476DE5" w:rsidRDefault="000F7731" w14:paraId="4DBA6DDC" w14:textId="218650B1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.</w:t>
            </w:r>
            <w:r w:rsidRPr="005B2388" w:rsidR="00F55676">
              <w:rPr>
                <w:sz w:val="22"/>
                <w:szCs w:val="22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5B2388" w:rsidR="009A036B" w:rsidP="00476DE5" w:rsidRDefault="009A036B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B2388" w:rsidR="009A036B" w:rsidP="00476DE5" w:rsidRDefault="00FD7FD7" w14:paraId="478D6B67" w14:textId="0260744F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$</w:t>
            </w:r>
            <w:r w:rsidRPr="005B2388" w:rsidR="00F55676">
              <w:rPr>
                <w:sz w:val="22"/>
                <w:szCs w:val="22"/>
              </w:rPr>
              <w:t>12</w:t>
            </w:r>
            <w:r w:rsidRPr="005B2388" w:rsidR="005B2388">
              <w:rPr>
                <w:sz w:val="22"/>
                <w:szCs w:val="22"/>
              </w:rPr>
              <w:t>3</w:t>
            </w:r>
          </w:p>
        </w:tc>
      </w:tr>
      <w:tr w:rsidRPr="00476DE5" w:rsidR="009A036B" w:rsidTr="00CA70C9" w14:paraId="27B00A3A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9E70F42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04145A6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319AFA5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B742B93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D7B210E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3290972B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7851B87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E93DE2E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9BF751D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5353026B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75420D64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064EBA7C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0EC6E4B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554C89E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3F8FE813" w14:textId="77777777">
            <w:pPr>
              <w:rPr>
                <w:sz w:val="22"/>
                <w:szCs w:val="22"/>
              </w:rPr>
            </w:pPr>
          </w:p>
        </w:tc>
      </w:tr>
      <w:tr w:rsidRPr="00476DE5" w:rsidR="00CA70C9" w:rsidTr="00CA70C9" w14:paraId="31E68F7B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A70C9" w:rsidR="00CA70C9" w:rsidP="0086763A" w:rsidRDefault="00CA70C9" w14:paraId="6CAE9FD4" w14:textId="5239444C">
            <w:pPr>
              <w:rPr>
                <w:b/>
                <w:bCs/>
                <w:sz w:val="22"/>
                <w:szCs w:val="22"/>
              </w:rPr>
            </w:pPr>
            <w:r w:rsidRPr="00CA70C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CA70C9" w:rsidP="0086763A" w:rsidRDefault="00CA70C9" w14:paraId="02366C33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CA70C9" w:rsidP="0086763A" w:rsidRDefault="00CA70C9" w14:paraId="7CE18E74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CA70C9" w:rsidP="0086763A" w:rsidRDefault="00CA70C9" w14:paraId="7423059B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CA70C9" w:rsidP="0086763A" w:rsidRDefault="00CA70C9" w14:paraId="7E9AF9D3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CA70C9" w:rsidP="00E64EFD" w:rsidRDefault="00E64EFD" w14:paraId="1A6F10DC" w14:textId="481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$123</w:t>
            </w:r>
          </w:p>
        </w:tc>
      </w:tr>
    </w:tbl>
    <w:p w:rsidRPr="00E23E7E" w:rsidR="009A036B" w:rsidP="009A036B" w:rsidRDefault="00155CB5" w14:paraId="1226591A" w14:textId="4300F2AF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E23E7E" w:rsid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3E21EAB1">
      <w:pPr>
        <w:pStyle w:val="ColorfulList-Accent11"/>
      </w:pPr>
      <w:r w:rsidRPr="00295699">
        <w:t>We will send an email announcement about the workshop (with registration link) to NIMH</w:t>
      </w:r>
      <w:r w:rsidRPr="00295699" w:rsidR="00DD7CAD">
        <w:t xml:space="preserve"> and NIMHD</w:t>
      </w:r>
      <w:r w:rsidRPr="00295699">
        <w:t xml:space="preserve"> listserv</w:t>
      </w:r>
      <w:r w:rsidRPr="00295699" w:rsidR="00DD7CAD">
        <w:t>s</w:t>
      </w:r>
      <w:r w:rsidRPr="00295699">
        <w:t xml:space="preserve"> of </w:t>
      </w:r>
      <w:r w:rsidRPr="00295699" w:rsidR="00D34D9A">
        <w:t>employees</w:t>
      </w:r>
      <w:r w:rsidRPr="00295699">
        <w:t xml:space="preserve"> and encourage them to forward as well. The workshop is open to the public so anyone who completes the registration form will be able to participate as an attendee</w:t>
      </w:r>
      <w:r w:rsidR="008E3D6E">
        <w:t>, capacity permitting</w:t>
      </w:r>
      <w:r w:rsidRPr="00295699">
        <w:t>.</w:t>
      </w:r>
      <w:r w:rsidRPr="008E3D6E" w:rsidR="008E3D6E">
        <w:t xml:space="preserve"> Registrations are considered on a first-come, first-served basis until the</w:t>
      </w:r>
      <w:r w:rsidR="008E3D6E">
        <w:t xml:space="preserve"> virtual workshop</w:t>
      </w:r>
      <w:r w:rsidRPr="008E3D6E" w:rsidR="008E3D6E">
        <w:t xml:space="preserve"> reaches capacity</w:t>
      </w:r>
      <w:r w:rsidR="008E3D6E">
        <w:t>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lastRenderedPageBreak/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DA7B4C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547E6" w14:textId="77777777" w:rsidR="00C22694" w:rsidRDefault="00C22694">
      <w:r>
        <w:separator/>
      </w:r>
    </w:p>
  </w:endnote>
  <w:endnote w:type="continuationSeparator" w:id="0">
    <w:p w14:paraId="6D0AFC09" w14:textId="77777777" w:rsidR="00C22694" w:rsidRDefault="00C2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25AA" w14:textId="77777777" w:rsidR="00C22694" w:rsidRDefault="00C22694">
      <w:r>
        <w:separator/>
      </w:r>
    </w:p>
  </w:footnote>
  <w:footnote w:type="continuationSeparator" w:id="0">
    <w:p w14:paraId="2DAC5396" w14:textId="77777777" w:rsidR="00C22694" w:rsidRDefault="00C2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40EB"/>
    <w:rsid w:val="00035FB8"/>
    <w:rsid w:val="000458F3"/>
    <w:rsid w:val="00047A64"/>
    <w:rsid w:val="00063F20"/>
    <w:rsid w:val="00067329"/>
    <w:rsid w:val="000722CE"/>
    <w:rsid w:val="000752F7"/>
    <w:rsid w:val="0008613B"/>
    <w:rsid w:val="000913EC"/>
    <w:rsid w:val="000A1FEB"/>
    <w:rsid w:val="000B0BCC"/>
    <w:rsid w:val="000B2838"/>
    <w:rsid w:val="000D44CA"/>
    <w:rsid w:val="000E200B"/>
    <w:rsid w:val="000F4021"/>
    <w:rsid w:val="000F68BE"/>
    <w:rsid w:val="000F7731"/>
    <w:rsid w:val="00106DE8"/>
    <w:rsid w:val="00115F22"/>
    <w:rsid w:val="0013139D"/>
    <w:rsid w:val="00155CB5"/>
    <w:rsid w:val="00162F83"/>
    <w:rsid w:val="001855D1"/>
    <w:rsid w:val="001927A4"/>
    <w:rsid w:val="00194AC6"/>
    <w:rsid w:val="001A23B0"/>
    <w:rsid w:val="001A25CC"/>
    <w:rsid w:val="001A420C"/>
    <w:rsid w:val="001A6D71"/>
    <w:rsid w:val="001B0AAA"/>
    <w:rsid w:val="001C39F7"/>
    <w:rsid w:val="001C516E"/>
    <w:rsid w:val="001D5124"/>
    <w:rsid w:val="00237B48"/>
    <w:rsid w:val="0024521E"/>
    <w:rsid w:val="00253C26"/>
    <w:rsid w:val="00263C3D"/>
    <w:rsid w:val="00274D0B"/>
    <w:rsid w:val="00284110"/>
    <w:rsid w:val="00295699"/>
    <w:rsid w:val="002A7434"/>
    <w:rsid w:val="002B3C95"/>
    <w:rsid w:val="002D0B92"/>
    <w:rsid w:val="002D26E2"/>
    <w:rsid w:val="002E2062"/>
    <w:rsid w:val="002E6D94"/>
    <w:rsid w:val="00323382"/>
    <w:rsid w:val="00330E50"/>
    <w:rsid w:val="00335E28"/>
    <w:rsid w:val="003668D6"/>
    <w:rsid w:val="00382FD8"/>
    <w:rsid w:val="003A7074"/>
    <w:rsid w:val="003A7E3F"/>
    <w:rsid w:val="003D5BBE"/>
    <w:rsid w:val="003E3C61"/>
    <w:rsid w:val="003F0BA2"/>
    <w:rsid w:val="003F1C5B"/>
    <w:rsid w:val="00417046"/>
    <w:rsid w:val="00431EB1"/>
    <w:rsid w:val="00434E33"/>
    <w:rsid w:val="00441434"/>
    <w:rsid w:val="0044710D"/>
    <w:rsid w:val="0045264C"/>
    <w:rsid w:val="00472DF1"/>
    <w:rsid w:val="00476DE5"/>
    <w:rsid w:val="004876EC"/>
    <w:rsid w:val="004945DD"/>
    <w:rsid w:val="004B2C8B"/>
    <w:rsid w:val="004D6E14"/>
    <w:rsid w:val="004E0B52"/>
    <w:rsid w:val="004E46C8"/>
    <w:rsid w:val="004E48BF"/>
    <w:rsid w:val="004E56D6"/>
    <w:rsid w:val="004F0C9C"/>
    <w:rsid w:val="005009B0"/>
    <w:rsid w:val="00510997"/>
    <w:rsid w:val="00540CFA"/>
    <w:rsid w:val="005451A5"/>
    <w:rsid w:val="005516E6"/>
    <w:rsid w:val="00556F21"/>
    <w:rsid w:val="005609E2"/>
    <w:rsid w:val="005A1006"/>
    <w:rsid w:val="005A2D2B"/>
    <w:rsid w:val="005A772A"/>
    <w:rsid w:val="005B2388"/>
    <w:rsid w:val="005B2FD1"/>
    <w:rsid w:val="005E0981"/>
    <w:rsid w:val="005E0E15"/>
    <w:rsid w:val="005E714A"/>
    <w:rsid w:val="0061146C"/>
    <w:rsid w:val="00613983"/>
    <w:rsid w:val="0061398D"/>
    <w:rsid w:val="006140A0"/>
    <w:rsid w:val="00633F74"/>
    <w:rsid w:val="00636621"/>
    <w:rsid w:val="00642B49"/>
    <w:rsid w:val="006733CF"/>
    <w:rsid w:val="006832D9"/>
    <w:rsid w:val="00686301"/>
    <w:rsid w:val="0069403B"/>
    <w:rsid w:val="006A04B8"/>
    <w:rsid w:val="006A0D31"/>
    <w:rsid w:val="006D4068"/>
    <w:rsid w:val="006D5F47"/>
    <w:rsid w:val="006D61A1"/>
    <w:rsid w:val="006E7380"/>
    <w:rsid w:val="006F3DDE"/>
    <w:rsid w:val="006F46AA"/>
    <w:rsid w:val="006F6856"/>
    <w:rsid w:val="00704678"/>
    <w:rsid w:val="00714D99"/>
    <w:rsid w:val="00722E38"/>
    <w:rsid w:val="007425E7"/>
    <w:rsid w:val="00747F4E"/>
    <w:rsid w:val="00753CA4"/>
    <w:rsid w:val="00766D95"/>
    <w:rsid w:val="0077703F"/>
    <w:rsid w:val="00790FAA"/>
    <w:rsid w:val="00791B2F"/>
    <w:rsid w:val="007B19D3"/>
    <w:rsid w:val="007C157A"/>
    <w:rsid w:val="00802607"/>
    <w:rsid w:val="008101A5"/>
    <w:rsid w:val="00822664"/>
    <w:rsid w:val="008242DD"/>
    <w:rsid w:val="00843796"/>
    <w:rsid w:val="00882F94"/>
    <w:rsid w:val="00890408"/>
    <w:rsid w:val="00895229"/>
    <w:rsid w:val="008956A8"/>
    <w:rsid w:val="008E1AEB"/>
    <w:rsid w:val="008E3D6E"/>
    <w:rsid w:val="008F0203"/>
    <w:rsid w:val="008F50D4"/>
    <w:rsid w:val="00917EB3"/>
    <w:rsid w:val="009238DF"/>
    <w:rsid w:val="009239AA"/>
    <w:rsid w:val="00925A4A"/>
    <w:rsid w:val="00935ADA"/>
    <w:rsid w:val="00935CDC"/>
    <w:rsid w:val="00940932"/>
    <w:rsid w:val="0094269D"/>
    <w:rsid w:val="00946B6C"/>
    <w:rsid w:val="00955A71"/>
    <w:rsid w:val="00956282"/>
    <w:rsid w:val="0096108F"/>
    <w:rsid w:val="0097631D"/>
    <w:rsid w:val="00987C40"/>
    <w:rsid w:val="009A036B"/>
    <w:rsid w:val="009C13B9"/>
    <w:rsid w:val="009D01A2"/>
    <w:rsid w:val="009E4D2F"/>
    <w:rsid w:val="009F5923"/>
    <w:rsid w:val="00A229F1"/>
    <w:rsid w:val="00A358FA"/>
    <w:rsid w:val="00A37C1D"/>
    <w:rsid w:val="00A403BB"/>
    <w:rsid w:val="00A674DF"/>
    <w:rsid w:val="00A805E3"/>
    <w:rsid w:val="00A81E3B"/>
    <w:rsid w:val="00A83AA6"/>
    <w:rsid w:val="00AA4A02"/>
    <w:rsid w:val="00AB0A87"/>
    <w:rsid w:val="00AC5AC7"/>
    <w:rsid w:val="00AC60E8"/>
    <w:rsid w:val="00AE14B1"/>
    <w:rsid w:val="00AE1809"/>
    <w:rsid w:val="00B01CEC"/>
    <w:rsid w:val="00B07575"/>
    <w:rsid w:val="00B80D76"/>
    <w:rsid w:val="00B870A0"/>
    <w:rsid w:val="00B90AD9"/>
    <w:rsid w:val="00B9460E"/>
    <w:rsid w:val="00BA2105"/>
    <w:rsid w:val="00BA63EA"/>
    <w:rsid w:val="00BA7E06"/>
    <w:rsid w:val="00BB43B5"/>
    <w:rsid w:val="00BB6219"/>
    <w:rsid w:val="00BB73E8"/>
    <w:rsid w:val="00BC676D"/>
    <w:rsid w:val="00BD290F"/>
    <w:rsid w:val="00BD453F"/>
    <w:rsid w:val="00BD4927"/>
    <w:rsid w:val="00BE02F4"/>
    <w:rsid w:val="00BF0486"/>
    <w:rsid w:val="00BF0779"/>
    <w:rsid w:val="00C14CC4"/>
    <w:rsid w:val="00C22694"/>
    <w:rsid w:val="00C33C52"/>
    <w:rsid w:val="00C40D8B"/>
    <w:rsid w:val="00C8407A"/>
    <w:rsid w:val="00C84793"/>
    <w:rsid w:val="00C8488C"/>
    <w:rsid w:val="00C86E91"/>
    <w:rsid w:val="00CA19A3"/>
    <w:rsid w:val="00CA2010"/>
    <w:rsid w:val="00CA2650"/>
    <w:rsid w:val="00CA70C9"/>
    <w:rsid w:val="00CB1078"/>
    <w:rsid w:val="00CC6FAF"/>
    <w:rsid w:val="00CD5612"/>
    <w:rsid w:val="00CF72B8"/>
    <w:rsid w:val="00D124C8"/>
    <w:rsid w:val="00D24698"/>
    <w:rsid w:val="00D34D9A"/>
    <w:rsid w:val="00D461D8"/>
    <w:rsid w:val="00D6383F"/>
    <w:rsid w:val="00D97378"/>
    <w:rsid w:val="00DA5B49"/>
    <w:rsid w:val="00DA7B4C"/>
    <w:rsid w:val="00DB4A58"/>
    <w:rsid w:val="00DB59D0"/>
    <w:rsid w:val="00DB6C6E"/>
    <w:rsid w:val="00DC2A7E"/>
    <w:rsid w:val="00DC33D3"/>
    <w:rsid w:val="00DD7CAD"/>
    <w:rsid w:val="00E23E7E"/>
    <w:rsid w:val="00E26329"/>
    <w:rsid w:val="00E40B50"/>
    <w:rsid w:val="00E50293"/>
    <w:rsid w:val="00E64EFD"/>
    <w:rsid w:val="00E65FFC"/>
    <w:rsid w:val="00E80951"/>
    <w:rsid w:val="00E8151D"/>
    <w:rsid w:val="00E86CC6"/>
    <w:rsid w:val="00EB56B3"/>
    <w:rsid w:val="00EC03CA"/>
    <w:rsid w:val="00ED6492"/>
    <w:rsid w:val="00EF2095"/>
    <w:rsid w:val="00EF3C2A"/>
    <w:rsid w:val="00F06866"/>
    <w:rsid w:val="00F1145F"/>
    <w:rsid w:val="00F15956"/>
    <w:rsid w:val="00F24CFC"/>
    <w:rsid w:val="00F3170F"/>
    <w:rsid w:val="00F510B6"/>
    <w:rsid w:val="00F52EDC"/>
    <w:rsid w:val="00F54960"/>
    <w:rsid w:val="00F55676"/>
    <w:rsid w:val="00F55E23"/>
    <w:rsid w:val="00F70DC4"/>
    <w:rsid w:val="00F753EB"/>
    <w:rsid w:val="00F976B0"/>
    <w:rsid w:val="00FA6DE7"/>
    <w:rsid w:val="00FB7807"/>
    <w:rsid w:val="00FC0A8E"/>
    <w:rsid w:val="00FD1F7F"/>
    <w:rsid w:val="00FD7FD7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44519-C4DD-410A-B86E-2F7263AC8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F4D0F0-4FC2-44FB-B4A9-600F019B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4030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3</cp:revision>
  <cp:lastPrinted>2016-05-26T17:45:00Z</cp:lastPrinted>
  <dcterms:created xsi:type="dcterms:W3CDTF">2020-10-07T20:50:00Z</dcterms:created>
  <dcterms:modified xsi:type="dcterms:W3CDTF">2020-10-07T21:12:00Z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