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5157" w:rsidR="00870D59" w:rsidP="00CD6C65" w:rsidRDefault="00870D59" w14:paraId="691ECC92" w14:textId="77777777">
      <w:pPr>
        <w:pStyle w:val="HeadingMain"/>
      </w:pPr>
      <w:r w:rsidRPr="00455157">
        <w:t>Supporting Statement – Part A</w:t>
      </w:r>
    </w:p>
    <w:p w:rsidRPr="00455157" w:rsidR="004804FE" w:rsidP="00CD6C65" w:rsidRDefault="00110B7B" w14:paraId="5D9AFAB1" w14:textId="22698FF0">
      <w:pPr>
        <w:pStyle w:val="HeadingMain"/>
      </w:pPr>
      <w:r w:rsidRPr="00455157">
        <w:t>Program Integrity Portal</w:t>
      </w:r>
      <w:r w:rsidRPr="00455157" w:rsidR="00E25ED5">
        <w:t xml:space="preserve"> </w:t>
      </w:r>
      <w:r w:rsidRPr="00455157" w:rsidR="00A70DC0">
        <w:t>FWA Reporting Module -</w:t>
      </w:r>
      <w:r w:rsidR="007B7BF1">
        <w:t xml:space="preserve"> </w:t>
      </w:r>
      <w:r w:rsidRPr="00455157" w:rsidR="00E25ED5">
        <w:t>Part C Plan</w:t>
      </w:r>
      <w:r w:rsidRPr="00455157" w:rsidR="00A70DC0">
        <w:t>s</w:t>
      </w:r>
    </w:p>
    <w:p w:rsidRPr="00455157" w:rsidR="00870D59" w:rsidP="00CD6C65" w:rsidRDefault="004804FE" w14:paraId="1D904998" w14:textId="77777777">
      <w:pPr>
        <w:pStyle w:val="HeadingMain"/>
      </w:pPr>
      <w:r w:rsidRPr="00455157">
        <w:t>CMS-</w:t>
      </w:r>
      <w:r w:rsidRPr="00455157" w:rsidR="00E25ED5">
        <w:t xml:space="preserve"> 10724</w:t>
      </w:r>
      <w:r w:rsidRPr="00455157">
        <w:t xml:space="preserve"> (OMB </w:t>
      </w:r>
      <w:r w:rsidRPr="00455157" w:rsidR="00E25ED5">
        <w:t>0938-TBD</w:t>
      </w:r>
      <w:r w:rsidRPr="00455157">
        <w:t>)</w:t>
      </w:r>
    </w:p>
    <w:p w:rsidRPr="00455157" w:rsidR="008F1EB4" w:rsidRDefault="008F1EB4" w14:paraId="436418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8F1EB4" w:rsidP="00CD6C65" w:rsidRDefault="008F1EB4" w14:paraId="7203F6EA" w14:textId="00FD62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455157">
        <w:rPr>
          <w:b/>
          <w:bCs/>
          <w:sz w:val="24"/>
        </w:rPr>
        <w:t>Background</w:t>
      </w:r>
      <w:r w:rsidRPr="00455157" w:rsidR="00A36F69">
        <w:rPr>
          <w:sz w:val="24"/>
        </w:rPr>
        <w:t xml:space="preserve"> </w:t>
      </w:r>
    </w:p>
    <w:p w:rsidRPr="00455157" w:rsidR="00A36F69" w:rsidP="00A36F69" w:rsidRDefault="00A36F69" w14:paraId="1D2465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AB75C1" w:rsidP="00B30C64" w:rsidRDefault="00AB75C1" w14:paraId="18610CA9" w14:textId="0DB458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lang w:val="en"/>
        </w:rPr>
      </w:pPr>
      <w:r w:rsidRPr="00455157">
        <w:rPr>
          <w:snapToGrid w:val="0"/>
          <w:sz w:val="24"/>
        </w:rPr>
        <w:t xml:space="preserve">CMS’s role in overseeing the Medicare program is to ensure that payments are made correctly and that fraud, waste, and abuse are prevented and detected.  Failure to do so endangers the Trust Funds and can even result in harm to beneficiaries.  CMS has established various regulations over the years to address potentially fraudulent and abusive behavior in </w:t>
      </w:r>
      <w:r w:rsidRPr="00455157" w:rsidR="006E595C">
        <w:rPr>
          <w:snapToGrid w:val="0"/>
          <w:sz w:val="24"/>
        </w:rPr>
        <w:t xml:space="preserve">the </w:t>
      </w:r>
      <w:r w:rsidRPr="00455157">
        <w:rPr>
          <w:snapToGrid w:val="0"/>
          <w:sz w:val="24"/>
        </w:rPr>
        <w:t>Medicare Parts C and D</w:t>
      </w:r>
      <w:r w:rsidRPr="00455157" w:rsidR="006E595C">
        <w:rPr>
          <w:snapToGrid w:val="0"/>
          <w:sz w:val="24"/>
        </w:rPr>
        <w:t xml:space="preserve"> programs</w:t>
      </w:r>
      <w:r w:rsidRPr="00455157">
        <w:rPr>
          <w:snapToGrid w:val="0"/>
          <w:sz w:val="24"/>
        </w:rPr>
        <w:t xml:space="preserve">.  For instance, 42 CFR 424.535(a)(14)(i) addresses improper prescribing practices and permits CMS to revoke a </w:t>
      </w:r>
      <w:r w:rsidRPr="00455157">
        <w:rPr>
          <w:snapToGrid w:val="0"/>
          <w:sz w:val="24"/>
          <w:lang w:val="en"/>
        </w:rPr>
        <w:t>physician’s or other eligible professional’s enrollment if he or she has a pattern or practice of prescribing Part D drugs that is abusive or represents a threat to the health and safety of Medicare beneficiaries or both.</w:t>
      </w:r>
    </w:p>
    <w:p w:rsidRPr="00455157" w:rsidR="00AB75C1" w:rsidP="00B30C64" w:rsidRDefault="00AB75C1" w14:paraId="5E2F7D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lang w:val="en"/>
        </w:rPr>
      </w:pPr>
    </w:p>
    <w:p w:rsidRPr="00455157" w:rsidR="00AB75C1" w:rsidP="00B30C64" w:rsidRDefault="00AB75C1" w14:paraId="5EFE87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lang w:val="en"/>
        </w:rPr>
      </w:pPr>
      <w:r w:rsidRPr="00455157">
        <w:rPr>
          <w:snapToGrid w:val="0"/>
          <w:sz w:val="24"/>
          <w:lang w:val="en"/>
        </w:rPr>
        <w:t>O</w:t>
      </w:r>
      <w:r w:rsidRPr="00455157">
        <w:rPr>
          <w:snapToGrid w:val="0"/>
          <w:sz w:val="24"/>
        </w:rPr>
        <w:t>pioid use disorder (OUD) and deaths from prescription and illegal opioid overdoses have reached alarming levels.  The CDC estimated 47,000 overdose deaths were from opioids in 2017, and 36 percent of those deaths involved prescription opioids.</w:t>
      </w:r>
      <w:r w:rsidRPr="00455157">
        <w:rPr>
          <w:snapToGrid w:val="0"/>
          <w:sz w:val="24"/>
          <w:vertAlign w:val="superscript"/>
        </w:rPr>
        <w:footnoteReference w:id="2"/>
      </w:r>
      <w:r w:rsidRPr="00455157">
        <w:rPr>
          <w:snapToGrid w:val="0"/>
          <w:sz w:val="24"/>
        </w:rPr>
        <w:t xml:space="preserve">  On October 26, 2017, Acting Health and Human Services Secretary, Eric D. Hargan, declared a nationwide public health emergency on the opioid crisis as requested by President Donald Trump.</w:t>
      </w:r>
      <w:r w:rsidRPr="00455157">
        <w:rPr>
          <w:snapToGrid w:val="0"/>
          <w:sz w:val="24"/>
          <w:vertAlign w:val="superscript"/>
        </w:rPr>
        <w:footnoteReference w:id="3"/>
      </w:r>
      <w:r w:rsidRPr="00455157">
        <w:rPr>
          <w:snapToGrid w:val="0"/>
          <w:sz w:val="24"/>
        </w:rPr>
        <w:t xml:space="preserve">  This public health emergency has since been renewed several times by Secretary Alex M. Azar II </w:t>
      </w:r>
      <w:r w:rsidRPr="00455157">
        <w:rPr>
          <w:snapToGrid w:val="0"/>
          <w:sz w:val="24"/>
          <w:shd w:val="clear" w:color="auto" w:fill="FFFFFF"/>
          <w:vertAlign w:val="superscript"/>
        </w:rPr>
        <w:footnoteReference w:id="4"/>
      </w:r>
      <w:r w:rsidRPr="00455157">
        <w:rPr>
          <w:snapToGrid w:val="0"/>
          <w:sz w:val="24"/>
        </w:rPr>
        <w:t>.</w:t>
      </w:r>
    </w:p>
    <w:p w:rsidRPr="00455157" w:rsidR="005E2727" w:rsidP="005E2727" w:rsidRDefault="005E2727" w14:paraId="65B423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55157">
        <w:rPr>
          <w:sz w:val="24"/>
        </w:rPr>
        <w:tab/>
      </w:r>
    </w:p>
    <w:p w:rsidRPr="00455157" w:rsidR="00A01AA0" w:rsidP="00A01AA0" w:rsidRDefault="005E2727" w14:paraId="21FB73F7" w14:textId="51466F2D">
      <w:pPr>
        <w:ind w:left="446"/>
        <w:rPr>
          <w:sz w:val="24"/>
        </w:rPr>
      </w:pPr>
      <w:r w:rsidRPr="00455157">
        <w:rPr>
          <w:sz w:val="24"/>
        </w:rPr>
        <w:t xml:space="preserve">We are requesting OMB approval </w:t>
      </w:r>
      <w:r w:rsidRPr="00455157" w:rsidR="00CB7CE9">
        <w:rPr>
          <w:sz w:val="24"/>
        </w:rPr>
        <w:t>to</w:t>
      </w:r>
      <w:r w:rsidRPr="00455157">
        <w:rPr>
          <w:sz w:val="24"/>
        </w:rPr>
        <w:t xml:space="preserve"> reflect the information collection requirements referenced in the </w:t>
      </w:r>
      <w:r w:rsidRPr="00455157" w:rsidR="002F22EE">
        <w:rPr>
          <w:sz w:val="24"/>
        </w:rPr>
        <w:t>our p</w:t>
      </w:r>
      <w:r w:rsidRPr="00455157">
        <w:rPr>
          <w:sz w:val="24"/>
        </w:rPr>
        <w:t xml:space="preserve">roposed </w:t>
      </w:r>
      <w:r w:rsidRPr="00455157" w:rsidR="002F22EE">
        <w:rPr>
          <w:sz w:val="24"/>
        </w:rPr>
        <w:t>r</w:t>
      </w:r>
      <w:r w:rsidRPr="00455157">
        <w:rPr>
          <w:sz w:val="24"/>
        </w:rPr>
        <w:t>ule</w:t>
      </w:r>
      <w:r w:rsidRPr="00455157" w:rsidR="002F22EE">
        <w:rPr>
          <w:sz w:val="24"/>
        </w:rPr>
        <w:t>, “</w:t>
      </w:r>
      <w:r w:rsidRPr="00455157" w:rsidR="000F05B7">
        <w:rPr>
          <w:sz w:val="24"/>
        </w:rPr>
        <w:t>Contract Year 2021 Policy and Technical Changes to the Medicare Advantage</w:t>
      </w:r>
      <w:r w:rsidRPr="00455157" w:rsidR="006E595C">
        <w:rPr>
          <w:sz w:val="24"/>
        </w:rPr>
        <w:t xml:space="preserve"> (MA</w:t>
      </w:r>
      <w:r w:rsidRPr="00455157" w:rsidR="0062647D">
        <w:rPr>
          <w:sz w:val="24"/>
        </w:rPr>
        <w:t>/Part C</w:t>
      </w:r>
      <w:r w:rsidRPr="00455157" w:rsidR="006E595C">
        <w:rPr>
          <w:sz w:val="24"/>
        </w:rPr>
        <w:t>)</w:t>
      </w:r>
      <w:r w:rsidRPr="00455157" w:rsidR="000F05B7">
        <w:rPr>
          <w:sz w:val="24"/>
        </w:rPr>
        <w:t xml:space="preserve"> </w:t>
      </w:r>
      <w:r w:rsidRPr="00455157" w:rsidR="002F22EE">
        <w:rPr>
          <w:sz w:val="24"/>
        </w:rPr>
        <w:t>P</w:t>
      </w:r>
      <w:r w:rsidRPr="00455157" w:rsidR="000F05B7">
        <w:rPr>
          <w:sz w:val="24"/>
        </w:rPr>
        <w:t>rogram, Medicare Prescription Drug</w:t>
      </w:r>
      <w:r w:rsidRPr="00455157" w:rsidR="006E595C">
        <w:rPr>
          <w:sz w:val="24"/>
        </w:rPr>
        <w:t xml:space="preserve"> (Part D)</w:t>
      </w:r>
      <w:r w:rsidRPr="00455157" w:rsidR="000F05B7">
        <w:rPr>
          <w:sz w:val="24"/>
        </w:rPr>
        <w:t xml:space="preserve"> </w:t>
      </w:r>
      <w:r w:rsidRPr="00455157" w:rsidR="002F22EE">
        <w:rPr>
          <w:sz w:val="24"/>
        </w:rPr>
        <w:t>P</w:t>
      </w:r>
      <w:r w:rsidRPr="00455157" w:rsidR="000F05B7">
        <w:rPr>
          <w:sz w:val="24"/>
        </w:rPr>
        <w:t>rogram and Programs of All-Inclusive Care for the Elderly</w:t>
      </w:r>
      <w:r w:rsidRPr="00455157" w:rsidR="002F22EE">
        <w:rPr>
          <w:sz w:val="24"/>
        </w:rPr>
        <w:t xml:space="preserve">” (CMS-4190-P, </w:t>
      </w:r>
      <w:r w:rsidRPr="00455157" w:rsidR="000810BF">
        <w:rPr>
          <w:sz w:val="24"/>
        </w:rPr>
        <w:t>RIN 0938-AT97)</w:t>
      </w:r>
      <w:r w:rsidRPr="00455157" w:rsidR="000F05B7">
        <w:rPr>
          <w:sz w:val="24"/>
        </w:rPr>
        <w:t xml:space="preserve">. </w:t>
      </w:r>
      <w:r w:rsidRPr="00455157" w:rsidR="006E595C">
        <w:rPr>
          <w:sz w:val="24"/>
        </w:rPr>
        <w:t xml:space="preserve"> </w:t>
      </w:r>
      <w:r w:rsidRPr="00455157" w:rsidR="000F05B7">
        <w:rPr>
          <w:sz w:val="24"/>
        </w:rPr>
        <w:t>Th</w:t>
      </w:r>
      <w:r w:rsidRPr="00455157" w:rsidR="00CB7CE9">
        <w:rPr>
          <w:sz w:val="24"/>
        </w:rPr>
        <w:t xml:space="preserve">e collection instrument that requires OMB approval concerns the reporting requirements for MA and Part D plan sponsors and CMS to communicate information related to fraud, waste and abuse as stated in </w:t>
      </w:r>
      <w:r w:rsidRPr="00455157" w:rsidR="00A01AA0">
        <w:rPr>
          <w:sz w:val="24"/>
        </w:rPr>
        <w:t xml:space="preserve">42 CFR 405.370, 422.500, 422.503, 423.4, 423.504, and 455.2.  </w:t>
      </w:r>
    </w:p>
    <w:p w:rsidRPr="00455157" w:rsidR="00AB75C1" w:rsidP="00A01AA0" w:rsidRDefault="00AB75C1" w14:paraId="469C9AAE"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napToGrid w:val="0"/>
          <w:sz w:val="24"/>
          <w:lang w:val="en"/>
        </w:rPr>
      </w:pPr>
    </w:p>
    <w:p w:rsidRPr="00455157" w:rsidR="008F1EB4" w:rsidP="00CD6C65" w:rsidRDefault="00642989" w14:paraId="00E6D7C9" w14:textId="35F008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455157">
        <w:rPr>
          <w:b/>
          <w:bCs/>
          <w:sz w:val="24"/>
        </w:rPr>
        <w:t>A</w:t>
      </w:r>
      <w:r w:rsidRPr="00455157" w:rsidR="008F1EB4">
        <w:rPr>
          <w:b/>
          <w:bCs/>
          <w:sz w:val="24"/>
        </w:rPr>
        <w:t>.</w:t>
      </w:r>
      <w:r w:rsidRPr="00455157" w:rsidR="008F1EB4">
        <w:rPr>
          <w:b/>
          <w:bCs/>
          <w:sz w:val="24"/>
        </w:rPr>
        <w:tab/>
        <w:t>Justification</w:t>
      </w:r>
    </w:p>
    <w:p w:rsidRPr="00455157" w:rsidR="008F1EB4" w:rsidRDefault="008F1EB4" w14:paraId="32F0F3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8F1EB4" w:rsidP="00CD6C65" w:rsidRDefault="006B1B7D" w14:paraId="60CB27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hanging="432"/>
        <w:outlineLvl w:val="1"/>
        <w:rPr>
          <w:sz w:val="24"/>
        </w:rPr>
      </w:pPr>
      <w:r w:rsidRPr="00455157">
        <w:rPr>
          <w:sz w:val="24"/>
        </w:rPr>
        <w:t>1</w:t>
      </w:r>
      <w:r w:rsidRPr="00455157" w:rsidR="008F1EB4">
        <w:rPr>
          <w:sz w:val="24"/>
        </w:rPr>
        <w:t>.</w:t>
      </w:r>
      <w:r w:rsidRPr="00455157" w:rsidR="008F1EB4">
        <w:rPr>
          <w:sz w:val="24"/>
        </w:rPr>
        <w:tab/>
      </w:r>
      <w:r w:rsidRPr="00455157" w:rsidR="008F1EB4">
        <w:rPr>
          <w:sz w:val="24"/>
          <w:u w:val="single"/>
        </w:rPr>
        <w:t>Need and Legal Basis</w:t>
      </w:r>
    </w:p>
    <w:p w:rsidRPr="00455157" w:rsidR="008F1EB4" w:rsidRDefault="008F1EB4" w14:paraId="6CBE66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404E76" w:rsidP="00CD6C65" w:rsidRDefault="00404E76" w14:paraId="5F7644B4" w14:textId="77777777">
      <w:pPr>
        <w:ind w:left="720"/>
        <w:rPr>
          <w:sz w:val="24"/>
        </w:rPr>
      </w:pPr>
      <w:r w:rsidRPr="00455157">
        <w:rPr>
          <w:sz w:val="24"/>
        </w:rPr>
        <w:t xml:space="preserve">This Paperwork Reduction Act request is a </w:t>
      </w:r>
      <w:r w:rsidRPr="00455157" w:rsidR="00E25ED5">
        <w:rPr>
          <w:sz w:val="24"/>
        </w:rPr>
        <w:t>new application for information collection</w:t>
      </w:r>
      <w:r w:rsidRPr="00455157" w:rsidR="003E6E52">
        <w:rPr>
          <w:sz w:val="24"/>
        </w:rPr>
        <w:t>.</w:t>
      </w:r>
    </w:p>
    <w:p w:rsidRPr="00455157" w:rsidR="00404E76" w:rsidP="003E6E52" w:rsidRDefault="00404E76" w14:paraId="5736946A" w14:textId="77777777">
      <w:pPr>
        <w:ind w:left="360"/>
        <w:rPr>
          <w:sz w:val="24"/>
        </w:rPr>
      </w:pPr>
    </w:p>
    <w:p w:rsidRPr="00455157" w:rsidR="00173004" w:rsidP="00CD6C65" w:rsidRDefault="00976503" w14:paraId="63E89D58" w14:textId="61AB6889">
      <w:pPr>
        <w:ind w:left="720"/>
      </w:pPr>
      <w:r w:rsidRPr="00455157">
        <w:rPr>
          <w:sz w:val="24"/>
        </w:rPr>
        <w:t>CMS has a need to</w:t>
      </w:r>
      <w:r w:rsidRPr="00455157" w:rsidR="00635793">
        <w:rPr>
          <w:sz w:val="24"/>
        </w:rPr>
        <w:t xml:space="preserve"> </w:t>
      </w:r>
      <w:r w:rsidRPr="00455157" w:rsidR="00E4342F">
        <w:rPr>
          <w:sz w:val="24"/>
        </w:rPr>
        <w:t>better i</w:t>
      </w:r>
      <w:r w:rsidRPr="00455157" w:rsidR="008B1666">
        <w:rPr>
          <w:sz w:val="24"/>
        </w:rPr>
        <w:t>dentify drug diversion and enhance the detection and prevention</w:t>
      </w:r>
      <w:r w:rsidRPr="00455157" w:rsidR="00DB0458">
        <w:rPr>
          <w:sz w:val="24"/>
        </w:rPr>
        <w:t xml:space="preserve"> of fraud, waste</w:t>
      </w:r>
      <w:r w:rsidRPr="00455157">
        <w:rPr>
          <w:sz w:val="24"/>
        </w:rPr>
        <w:t xml:space="preserve"> </w:t>
      </w:r>
      <w:r w:rsidRPr="00455157" w:rsidR="00DB0458">
        <w:rPr>
          <w:sz w:val="24"/>
        </w:rPr>
        <w:t xml:space="preserve">and abuse </w:t>
      </w:r>
      <w:r w:rsidRPr="00455157" w:rsidR="00635793">
        <w:rPr>
          <w:sz w:val="24"/>
        </w:rPr>
        <w:t>in the</w:t>
      </w:r>
      <w:r w:rsidRPr="00455157" w:rsidR="008B1666">
        <w:rPr>
          <w:sz w:val="24"/>
        </w:rPr>
        <w:t xml:space="preserve"> Medicare Part D pro</w:t>
      </w:r>
      <w:r w:rsidRPr="00455157" w:rsidR="00635793">
        <w:rPr>
          <w:sz w:val="24"/>
        </w:rPr>
        <w:t>gram</w:t>
      </w:r>
      <w:r w:rsidRPr="00455157" w:rsidR="008B1666">
        <w:rPr>
          <w:sz w:val="24"/>
        </w:rPr>
        <w:t xml:space="preserve">. </w:t>
      </w:r>
      <w:r w:rsidRPr="00455157" w:rsidR="00404E76">
        <w:rPr>
          <w:sz w:val="24"/>
        </w:rPr>
        <w:t xml:space="preserve"> </w:t>
      </w:r>
      <w:r w:rsidRPr="00455157" w:rsidR="00C06445">
        <w:rPr>
          <w:sz w:val="24"/>
        </w:rPr>
        <w:t xml:space="preserve">In order to ensure the protection of the Medicare Trust Fund, CMS </w:t>
      </w:r>
      <w:r w:rsidRPr="00455157">
        <w:rPr>
          <w:sz w:val="24"/>
        </w:rPr>
        <w:t xml:space="preserve">contracts and works with </w:t>
      </w:r>
      <w:r w:rsidRPr="00455157" w:rsidR="001660F4">
        <w:rPr>
          <w:sz w:val="24"/>
        </w:rPr>
        <w:t xml:space="preserve">our program integrity contractors (the NBI MEDIC and the I-MEDIC) </w:t>
      </w:r>
      <w:r w:rsidRPr="00455157" w:rsidR="00C06445">
        <w:rPr>
          <w:sz w:val="24"/>
        </w:rPr>
        <w:t xml:space="preserve">to support CMS’ audit, oversight </w:t>
      </w:r>
      <w:r w:rsidRPr="00455157" w:rsidR="00C06445">
        <w:rPr>
          <w:sz w:val="24"/>
        </w:rPr>
        <w:lastRenderedPageBreak/>
        <w:t xml:space="preserve">and antifraud and abuse efforts associated with the </w:t>
      </w:r>
      <w:r w:rsidRPr="00455157" w:rsidR="00C363F0">
        <w:rPr>
          <w:sz w:val="24"/>
        </w:rPr>
        <w:t xml:space="preserve">MA /Part C and </w:t>
      </w:r>
      <w:r w:rsidRPr="00455157" w:rsidR="00C06445">
        <w:rPr>
          <w:sz w:val="24"/>
        </w:rPr>
        <w:t xml:space="preserve">Prescription Drug (Part D) </w:t>
      </w:r>
      <w:r w:rsidRPr="00455157" w:rsidR="00C363F0">
        <w:rPr>
          <w:sz w:val="24"/>
        </w:rPr>
        <w:t>p</w:t>
      </w:r>
      <w:r w:rsidRPr="00455157" w:rsidR="00C06445">
        <w:rPr>
          <w:sz w:val="24"/>
        </w:rPr>
        <w:t>rogram</w:t>
      </w:r>
      <w:r w:rsidRPr="00455157" w:rsidR="00C363F0">
        <w:rPr>
          <w:sz w:val="24"/>
        </w:rPr>
        <w:t>s</w:t>
      </w:r>
      <w:r w:rsidRPr="00455157" w:rsidR="00C06445">
        <w:rPr>
          <w:sz w:val="24"/>
        </w:rPr>
        <w:t>.</w:t>
      </w:r>
      <w:r w:rsidRPr="00455157" w:rsidR="0062647D">
        <w:rPr>
          <w:sz w:val="24"/>
        </w:rPr>
        <w:t xml:space="preserve"> </w:t>
      </w:r>
      <w:r w:rsidRPr="00455157" w:rsidR="002958C4">
        <w:rPr>
          <w:sz w:val="24"/>
        </w:rPr>
        <w:t xml:space="preserve"> </w:t>
      </w:r>
      <w:r w:rsidRPr="00455157" w:rsidR="00C61206">
        <w:rPr>
          <w:sz w:val="24"/>
        </w:rPr>
        <w:t xml:space="preserve">As stated at </w:t>
      </w:r>
      <w:r w:rsidRPr="00455157" w:rsidR="004D7799">
        <w:rPr>
          <w:sz w:val="24"/>
        </w:rPr>
        <w:t xml:space="preserve">422.503(b)(4)(vi)(G)(3) and </w:t>
      </w:r>
      <w:r w:rsidRPr="00455157" w:rsidR="00C61206">
        <w:rPr>
          <w:snapToGrid w:val="0"/>
          <w:sz w:val="24"/>
        </w:rPr>
        <w:t xml:space="preserve">423.504(b)(4)(vi)(G)(3), plan sponsors should have procedures to voluntarily self-report potential fraud or misconduct related to the MA and Part D programs, respectively, to CMS or its designee.  </w:t>
      </w:r>
      <w:r w:rsidRPr="00455157" w:rsidR="00404E76">
        <w:rPr>
          <w:sz w:val="24"/>
        </w:rPr>
        <w:t>CMS</w:t>
      </w:r>
      <w:r w:rsidRPr="00455157" w:rsidR="00404E76">
        <w:rPr>
          <w:snapToGrid w:val="0"/>
          <w:sz w:val="24"/>
        </w:rPr>
        <w:t xml:space="preserve"> plans to utilize a module within the Health Plan Management System (HPMS) as a program integrity portal for information collection and dissemination.  </w:t>
      </w:r>
      <w:r w:rsidRPr="00455157" w:rsidR="00404E76">
        <w:rPr>
          <w:sz w:val="24"/>
        </w:rPr>
        <w:t>The Health Plan Management System (HPMS) is a web-enabled information system that serves a critical role in the ongoing operations of the MA</w:t>
      </w:r>
      <w:r w:rsidRPr="00455157" w:rsidR="0062647D">
        <w:rPr>
          <w:sz w:val="24"/>
        </w:rPr>
        <w:t xml:space="preserve"> </w:t>
      </w:r>
      <w:r w:rsidRPr="00455157" w:rsidR="00404E76">
        <w:rPr>
          <w:sz w:val="24"/>
        </w:rPr>
        <w:t xml:space="preserve">and Part D programs.  HPMS services the MA and Part D programs in two central ways. </w:t>
      </w:r>
      <w:r w:rsidRPr="00455157" w:rsidR="0062647D">
        <w:rPr>
          <w:sz w:val="24"/>
        </w:rPr>
        <w:t xml:space="preserve"> </w:t>
      </w:r>
      <w:r w:rsidRPr="00455157" w:rsidR="00404E76">
        <w:rPr>
          <w:sz w:val="24"/>
        </w:rPr>
        <w:t xml:space="preserve">First, HPMS functionality facilitates the numerous data collection and reporting activities mandated for these entities by legislation. </w:t>
      </w:r>
      <w:r w:rsidRPr="00455157" w:rsidR="0062647D">
        <w:rPr>
          <w:sz w:val="24"/>
        </w:rPr>
        <w:t xml:space="preserve"> </w:t>
      </w:r>
      <w:r w:rsidRPr="00455157" w:rsidR="00404E76">
        <w:rPr>
          <w:sz w:val="24"/>
        </w:rPr>
        <w:t>Second, HPMS provides support for the ongoing operations of the plan enrollment and plan compliance business functions as well as for longer-term strategic planning and program analysis.</w:t>
      </w:r>
    </w:p>
    <w:p w:rsidRPr="00455157" w:rsidR="00173004" w:rsidP="003E6E52" w:rsidRDefault="00173004" w14:paraId="6DE915F4" w14:textId="77777777">
      <w:pPr>
        <w:ind w:left="360"/>
      </w:pPr>
    </w:p>
    <w:p w:rsidRPr="00455157" w:rsidR="00E25ED5" w:rsidP="00CD6C65" w:rsidRDefault="00173004" w14:paraId="21FC1B71" w14:textId="7C3F1B42">
      <w:pPr>
        <w:tabs>
          <w:tab w:val="left" w:pos="-2160"/>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sz w:val="24"/>
        </w:rPr>
      </w:pPr>
      <w:r w:rsidRPr="00455157">
        <w:rPr>
          <w:snapToGrid w:val="0"/>
          <w:sz w:val="24"/>
        </w:rPr>
        <w:t>The Substance Use</w:t>
      </w:r>
      <w:r w:rsidRPr="00455157">
        <w:rPr>
          <w:snapToGrid w:val="0"/>
          <w:sz w:val="24"/>
        </w:rPr>
        <w:noBreakHyphen/>
        <w:t>Disorder Prevention that Promotes Opioid Recovery and Treatment for Patients and Communities Act (the SUPPORT Act) (</w:t>
      </w:r>
      <w:r w:rsidRPr="00455157">
        <w:rPr>
          <w:color w:val="000000" w:themeColor="text1"/>
          <w:sz w:val="24"/>
        </w:rPr>
        <w:t xml:space="preserve">Public Law 115-271) </w:t>
      </w:r>
      <w:r w:rsidRPr="00455157">
        <w:rPr>
          <w:snapToGrid w:val="0"/>
          <w:sz w:val="24"/>
        </w:rPr>
        <w:t xml:space="preserve">was signed into law on October 24, 2018.  </w:t>
      </w:r>
      <w:r w:rsidRPr="00455157" w:rsidR="00E25ED5">
        <w:rPr>
          <w:snapToGrid w:val="0"/>
          <w:sz w:val="24"/>
        </w:rPr>
        <w:t>Section 6063 of the SUPPORT Act requires the Secretary of HHS to establish a secure web-based program integrity portal (or other successor technology) that would allow secure communication among the Secretary, MA and Part D plan sponsors, as well as eligible entities with a contract under section 1893, such as Medicare program integrity contractors.  The purpose is to enable, through the portal:  t</w:t>
      </w:r>
      <w:r w:rsidRPr="00455157" w:rsidR="00E25ED5">
        <w:rPr>
          <w:sz w:val="24"/>
        </w:rPr>
        <w:t>he referral by such plans of substantiated or suspicious activities (as defined by the Secretary) of a provider of services (including a prescriber) or supplier related to fraud, waste, and abuse for the purpose of initiating or assisting investigations conducted by the eligible entity; and data sharing among such MA plans, prescription drug plans, and the Secretary.    CMS</w:t>
      </w:r>
      <w:r w:rsidRPr="00455157" w:rsidR="00E25ED5">
        <w:rPr>
          <w:snapToGrid w:val="0"/>
          <w:sz w:val="24"/>
        </w:rPr>
        <w:t xml:space="preserve"> plans to utilize a module within the HPMS</w:t>
      </w:r>
      <w:r w:rsidRPr="00455157" w:rsidR="0062647D">
        <w:rPr>
          <w:snapToGrid w:val="0"/>
          <w:sz w:val="24"/>
        </w:rPr>
        <w:t xml:space="preserve"> application</w:t>
      </w:r>
      <w:r w:rsidRPr="00455157" w:rsidR="00E25ED5">
        <w:rPr>
          <w:snapToGrid w:val="0"/>
          <w:sz w:val="24"/>
        </w:rPr>
        <w:t xml:space="preserve"> as the program integrity portal for information collection and dissemination.</w:t>
      </w:r>
    </w:p>
    <w:p w:rsidRPr="00455157" w:rsidR="00E25ED5" w:rsidP="001F65D2" w:rsidRDefault="00E25ED5" w14:paraId="5FB583CF" w14:textId="77777777">
      <w:pPr>
        <w:tabs>
          <w:tab w:val="left" w:pos="-2160"/>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rPr>
          <w:snapToGrid w:val="0"/>
          <w:sz w:val="24"/>
        </w:rPr>
      </w:pPr>
    </w:p>
    <w:p w:rsidRPr="00455157" w:rsidR="00E25ED5" w:rsidP="00CD6C65" w:rsidRDefault="00E25ED5" w14:paraId="518E7A29" w14:textId="77777777">
      <w:pPr>
        <w:tabs>
          <w:tab w:val="left" w:pos="-2160"/>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sz w:val="24"/>
        </w:rPr>
      </w:pPr>
      <w:r w:rsidRPr="00455157">
        <w:rPr>
          <w:snapToGrid w:val="0"/>
          <w:sz w:val="24"/>
        </w:rPr>
        <w:t xml:space="preserve">Section 6063 also </w:t>
      </w:r>
      <w:r w:rsidRPr="00455157">
        <w:rPr>
          <w:sz w:val="24"/>
        </w:rPr>
        <w:t>requires MA and Part D plan sponsors to submit to the Secretary, information on investigations, credible evidence of suspicious activities of a provider of services (including a prescriber) or supplier related to fraud, and other actions taken by such plans, related to inappropriate prescribing of opioids.</w:t>
      </w:r>
    </w:p>
    <w:p w:rsidRPr="00455157" w:rsidR="00E25ED5" w:rsidP="001F65D2" w:rsidRDefault="00E25ED5" w14:paraId="61F14831" w14:textId="77777777">
      <w:pPr>
        <w:tabs>
          <w:tab w:val="left" w:pos="-2160"/>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rPr>
          <w:snapToGrid w:val="0"/>
          <w:sz w:val="24"/>
        </w:rPr>
      </w:pPr>
    </w:p>
    <w:p w:rsidRPr="00455157" w:rsidR="00250881" w:rsidP="00CD6C65" w:rsidRDefault="001F65D2" w14:paraId="006B5CB7" w14:textId="77777777">
      <w:pPr>
        <w:tabs>
          <w:tab w:val="left" w:pos="-2160"/>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sz w:val="24"/>
        </w:rPr>
      </w:pPr>
      <w:r w:rsidRPr="00455157">
        <w:rPr>
          <w:snapToGrid w:val="0"/>
          <w:sz w:val="24"/>
        </w:rPr>
        <w:t>The required data shall be submitted via the program integrity portal</w:t>
      </w:r>
      <w:r w:rsidRPr="00455157" w:rsidR="003406D7">
        <w:rPr>
          <w:snapToGrid w:val="0"/>
          <w:sz w:val="24"/>
        </w:rPr>
        <w:t xml:space="preserve">.  </w:t>
      </w:r>
      <w:r w:rsidRPr="00455157" w:rsidR="00404E76">
        <w:rPr>
          <w:snapToGrid w:val="0"/>
          <w:sz w:val="24"/>
        </w:rPr>
        <w:t>Such data and the regular submission and dissemination of this important information would</w:t>
      </w:r>
      <w:r w:rsidRPr="00455157" w:rsidR="00EA0709">
        <w:rPr>
          <w:snapToGrid w:val="0"/>
          <w:sz w:val="24"/>
        </w:rPr>
        <w:t xml:space="preserve"> </w:t>
      </w:r>
      <w:r w:rsidRPr="00455157" w:rsidR="00404E76">
        <w:rPr>
          <w:snapToGrid w:val="0"/>
          <w:sz w:val="24"/>
        </w:rPr>
        <w:t xml:space="preserve">strengthen CMS’ ability to oversee plan sponsors’ efforts to maintain an effective fraud, waste, and abuse program.   </w:t>
      </w:r>
    </w:p>
    <w:p w:rsidRPr="00455157" w:rsidR="00263CC3" w:rsidP="003E6E52" w:rsidRDefault="00263CC3" w14:paraId="31D094F3" w14:textId="77777777">
      <w:pPr>
        <w:ind w:left="450"/>
        <w:rPr>
          <w:snapToGrid w:val="0"/>
          <w:sz w:val="24"/>
        </w:rPr>
      </w:pPr>
    </w:p>
    <w:p w:rsidRPr="00455157" w:rsidR="00404E76" w:rsidP="00CD6C65" w:rsidRDefault="00155CBD" w14:paraId="29EEF829" w14:textId="77777777">
      <w:pPr>
        <w:tabs>
          <w:tab w:val="left" w:pos="9000"/>
        </w:tabs>
        <w:ind w:left="720"/>
        <w:rPr>
          <w:snapToGrid w:val="0"/>
          <w:color w:val="000000"/>
          <w:sz w:val="24"/>
        </w:rPr>
      </w:pPr>
      <w:r w:rsidRPr="00455157">
        <w:rPr>
          <w:snapToGrid w:val="0"/>
          <w:sz w:val="24"/>
        </w:rPr>
        <w:t>D</w:t>
      </w:r>
      <w:r w:rsidRPr="00455157" w:rsidR="00404E76">
        <w:rPr>
          <w:snapToGrid w:val="0"/>
          <w:sz w:val="24"/>
        </w:rPr>
        <w:t xml:space="preserve">ata sharing via use of a portal would, in conjunction with our proposals, help accomplish the following objectives in our efforts to alleviate the opioid epidemic: enable CMS to perform data analysis to identify fraud schemes; </w:t>
      </w:r>
      <w:r w:rsidRPr="00455157" w:rsidR="00404E76">
        <w:rPr>
          <w:snapToGrid w:val="0"/>
          <w:color w:val="000000"/>
          <w:sz w:val="24"/>
        </w:rPr>
        <w:t xml:space="preserve">facilitate transparency among CMS and plan sponsors through the exchange of information; </w:t>
      </w:r>
      <w:r w:rsidRPr="00455157" w:rsidR="00404E76">
        <w:rPr>
          <w:snapToGrid w:val="0"/>
          <w:sz w:val="24"/>
        </w:rPr>
        <w:t xml:space="preserve">provide better information and education to plan sponsors on potential fraud, waste, and abuse issues, thus enabling plan sponsors to investigate and take action based on such data; improve fraud detection across </w:t>
      </w:r>
      <w:r w:rsidRPr="00455157" w:rsidR="00404E76">
        <w:rPr>
          <w:snapToGrid w:val="0"/>
          <w:sz w:val="24"/>
        </w:rPr>
        <w:lastRenderedPageBreak/>
        <w:t>the Medicare program, accordingly allowing for increased recovery of taxpayer funds and enrollee expenditures (for example, premiums, co-insurance, other plan cost sharing); provide more effective support, including leads, to plan sponsors and law enforcement.; increase beneficiary safety through increased oversight measures.</w:t>
      </w:r>
    </w:p>
    <w:p w:rsidRPr="00455157" w:rsidR="00404E76" w:rsidP="003E6E52" w:rsidRDefault="00404E76" w14:paraId="4FB2FF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455157" w:rsidR="002958C4" w:rsidP="00CD6C65" w:rsidRDefault="002958C4" w14:paraId="210533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The program integrity provisions throughout the  Affordable Care Act</w:t>
      </w:r>
      <w:r w:rsidRPr="00455157" w:rsidR="00C363F0">
        <w:rPr>
          <w:sz w:val="24"/>
        </w:rPr>
        <w:t xml:space="preserve"> of 2010</w:t>
      </w:r>
      <w:r w:rsidRPr="00455157">
        <w:rPr>
          <w:bCs/>
          <w:sz w:val="24"/>
        </w:rPr>
        <w:t xml:space="preserve"> (</w:t>
      </w:r>
      <w:r w:rsidRPr="00455157">
        <w:rPr>
          <w:sz w:val="24"/>
        </w:rPr>
        <w:t>ACA), and particularly in Title VI, outline expectations for proactive detection and prevention of fraud, waste, and abuse, as well as robust program management, performance measurement, and reporting.</w:t>
      </w:r>
    </w:p>
    <w:p w:rsidRPr="00455157" w:rsidR="00976503" w:rsidP="00404E76" w:rsidRDefault="00976503" w14:paraId="5FA397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55157" w:rsidR="00635793" w:rsidP="00CD6C65" w:rsidRDefault="00635793" w14:paraId="21EB76C9" w14:textId="1C05A4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Title I of the Medicare Prescription Drug, Improvement and Modernization Act of 2003 (MMA) (P.L. 108-173) was signed into law on December 8, 2003.  The MMA established a new voluntary outpatient prescription drug benefit under Part D of Title XVIII of the Social Security Act (the Act).  The prescription drug benefit, referred to as Medicare Part D, as well as an employer subsidy for qualified retiree health plans, began on January 1, 2006.</w:t>
      </w:r>
    </w:p>
    <w:p w:rsidRPr="00455157" w:rsidR="00635793" w:rsidP="00635793" w:rsidRDefault="00635793" w14:paraId="6138C3E6" w14:textId="77777777">
      <w:pPr>
        <w:rPr>
          <w:sz w:val="24"/>
        </w:rPr>
      </w:pPr>
    </w:p>
    <w:p w:rsidRPr="00455157" w:rsidR="00C363F0" w:rsidP="00CD6C65" w:rsidRDefault="00635793" w14:paraId="59C04850" w14:textId="77777777">
      <w:pPr>
        <w:pStyle w:val="CommentText"/>
        <w:ind w:left="720"/>
        <w:rPr>
          <w:sz w:val="24"/>
        </w:rPr>
      </w:pPr>
      <w:r w:rsidRPr="00455157">
        <w:rPr>
          <w:sz w:val="24"/>
        </w:rPr>
        <w:t xml:space="preserve">The final rule establishing and regulating the Medicare Advantage (MA) program </w:t>
      </w:r>
      <w:r w:rsidRPr="00455157" w:rsidR="003406D7">
        <w:rPr>
          <w:sz w:val="24"/>
        </w:rPr>
        <w:t xml:space="preserve">was </w:t>
      </w:r>
      <w:r w:rsidRPr="00455157">
        <w:rPr>
          <w:sz w:val="24"/>
        </w:rPr>
        <w:t xml:space="preserve">published in the </w:t>
      </w:r>
      <w:r w:rsidRPr="00455157">
        <w:rPr>
          <w:sz w:val="24"/>
          <w:u w:val="single"/>
        </w:rPr>
        <w:t>Federal Register</w:t>
      </w:r>
      <w:r w:rsidRPr="00455157" w:rsidR="00EE3076">
        <w:rPr>
          <w:sz w:val="24"/>
        </w:rPr>
        <w:t xml:space="preserve"> on Friday, January 28, 2005 (</w:t>
      </w:r>
      <w:r w:rsidRPr="00455157" w:rsidR="00EE3076">
        <w:rPr>
          <w:color w:val="333333"/>
          <w:sz w:val="24"/>
          <w:szCs w:val="24"/>
        </w:rPr>
        <w:t>70 FR 4587).</w:t>
      </w:r>
    </w:p>
    <w:p w:rsidRPr="00455157" w:rsidR="00635793" w:rsidP="00635793" w:rsidRDefault="00635793" w14:paraId="40A30545" w14:textId="77777777">
      <w:pPr>
        <w:rPr>
          <w:sz w:val="24"/>
        </w:rPr>
      </w:pPr>
    </w:p>
    <w:p w:rsidRPr="00455157" w:rsidR="00635793" w:rsidP="00CD6C65" w:rsidRDefault="00635793" w14:paraId="490E0A99" w14:textId="4B898C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The Patient Protection and Affordable Care Act</w:t>
      </w:r>
      <w:r w:rsidRPr="00455157">
        <w:rPr>
          <w:bCs/>
          <w:sz w:val="24"/>
        </w:rPr>
        <w:t xml:space="preserve"> (P.L. 111-148) was enacted on March 23, 2010</w:t>
      </w:r>
      <w:r w:rsidRPr="00455157">
        <w:rPr>
          <w:rFonts w:eastAsia="Calibri"/>
          <w:sz w:val="24"/>
        </w:rPr>
        <w:t xml:space="preserve">.  The Health Care and Education Reconciliation Act (P.L. 111-152) was enacted on March 30, 2010 and modified a number of Medicare provisions in </w:t>
      </w:r>
      <w:r w:rsidRPr="00455157">
        <w:rPr>
          <w:bCs/>
          <w:sz w:val="24"/>
        </w:rPr>
        <w:t>P.L. 111-148</w:t>
      </w:r>
      <w:r w:rsidRPr="00455157">
        <w:rPr>
          <w:rFonts w:eastAsia="Calibri"/>
          <w:sz w:val="24"/>
        </w:rPr>
        <w:t xml:space="preserve"> and added several new provisions.  The </w:t>
      </w:r>
      <w:r w:rsidRPr="00455157">
        <w:rPr>
          <w:sz w:val="24"/>
        </w:rPr>
        <w:t>Patient Protection and Affordable Care Act</w:t>
      </w:r>
      <w:r w:rsidRPr="00455157">
        <w:rPr>
          <w:bCs/>
          <w:sz w:val="24"/>
        </w:rPr>
        <w:t xml:space="preserve"> (P.L. 111</w:t>
      </w:r>
      <w:r w:rsidRPr="00455157">
        <w:rPr>
          <w:bCs/>
          <w:sz w:val="24"/>
        </w:rPr>
        <w:noBreakHyphen/>
        <w:t>148) and t</w:t>
      </w:r>
      <w:r w:rsidRPr="00455157">
        <w:rPr>
          <w:rFonts w:eastAsia="Calibri"/>
          <w:sz w:val="24"/>
        </w:rPr>
        <w:t>he Health Care and Education Reconciliation Act (P.L.</w:t>
      </w:r>
      <w:r w:rsidRPr="00455157">
        <w:rPr>
          <w:rFonts w:eastAsia="Calibri"/>
          <w:b/>
          <w:sz w:val="24"/>
        </w:rPr>
        <w:t> </w:t>
      </w:r>
      <w:r w:rsidRPr="00455157">
        <w:rPr>
          <w:rFonts w:eastAsia="Calibri"/>
          <w:sz w:val="24"/>
        </w:rPr>
        <w:t>111-152) are collectively referred to as the Affordable Care Act of 2010 (ACA).</w:t>
      </w:r>
      <w:r w:rsidRPr="00455157">
        <w:rPr>
          <w:sz w:val="24"/>
        </w:rPr>
        <w:t xml:space="preserve">  The ACA includes significant reforms of the private health insurance industry as well as the Medicare and Medicaid programs.  The ACA strengthens program integrity efforts across Medicare, including Part C</w:t>
      </w:r>
      <w:r w:rsidRPr="00455157" w:rsidR="002958C4">
        <w:rPr>
          <w:sz w:val="24"/>
        </w:rPr>
        <w:t xml:space="preserve"> and Part D</w:t>
      </w:r>
      <w:r w:rsidRPr="00455157" w:rsidR="0011347A">
        <w:rPr>
          <w:sz w:val="24"/>
        </w:rPr>
        <w:t xml:space="preserve"> </w:t>
      </w:r>
      <w:r w:rsidRPr="00455157">
        <w:rPr>
          <w:sz w:val="24"/>
        </w:rPr>
        <w:t>program</w:t>
      </w:r>
      <w:r w:rsidRPr="00455157" w:rsidR="00C363F0">
        <w:rPr>
          <w:sz w:val="24"/>
        </w:rPr>
        <w:t>s</w:t>
      </w:r>
      <w:r w:rsidRPr="00455157">
        <w:rPr>
          <w:sz w:val="24"/>
        </w:rPr>
        <w:t>.</w:t>
      </w:r>
    </w:p>
    <w:p w:rsidRPr="00455157" w:rsidR="008F1EB4" w:rsidRDefault="008F1EB4" w14:paraId="753C4F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8F1EB4" w:rsidP="00CD6C65" w:rsidRDefault="008F1EB4" w14:paraId="25BCDC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2.</w:t>
      </w:r>
      <w:r w:rsidRPr="00455157">
        <w:rPr>
          <w:sz w:val="24"/>
        </w:rPr>
        <w:tab/>
      </w:r>
      <w:r w:rsidRPr="00455157">
        <w:rPr>
          <w:sz w:val="24"/>
          <w:u w:val="single"/>
        </w:rPr>
        <w:t>Information Users</w:t>
      </w:r>
    </w:p>
    <w:p w:rsidRPr="00455157" w:rsidR="008F1EB4" w:rsidRDefault="008F1EB4" w14:paraId="5969CB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11347A" w:rsidP="00CD6C65" w:rsidRDefault="0096360C" w14:paraId="4B7F4302" w14:textId="7A5D5C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 xml:space="preserve">CMS, </w:t>
      </w:r>
      <w:r w:rsidRPr="00455157" w:rsidR="00133536">
        <w:rPr>
          <w:sz w:val="24"/>
        </w:rPr>
        <w:t>Program Integrity Contractors,</w:t>
      </w:r>
      <w:r w:rsidRPr="00455157">
        <w:rPr>
          <w:sz w:val="24"/>
        </w:rPr>
        <w:t xml:space="preserve"> </w:t>
      </w:r>
      <w:r w:rsidRPr="00455157" w:rsidR="002B3AB8">
        <w:rPr>
          <w:sz w:val="24"/>
        </w:rPr>
        <w:t xml:space="preserve">Medicare Part </w:t>
      </w:r>
      <w:r w:rsidRPr="00455157" w:rsidR="00133536">
        <w:rPr>
          <w:sz w:val="24"/>
        </w:rPr>
        <w:t xml:space="preserve">C and </w:t>
      </w:r>
      <w:r w:rsidRPr="00455157" w:rsidR="002B3AB8">
        <w:rPr>
          <w:sz w:val="24"/>
        </w:rPr>
        <w:t>D plan s</w:t>
      </w:r>
      <w:r w:rsidRPr="00455157" w:rsidR="008B1666">
        <w:rPr>
          <w:sz w:val="24"/>
        </w:rPr>
        <w:t>ponsors</w:t>
      </w:r>
      <w:r w:rsidRPr="00455157" w:rsidR="009F4B2E">
        <w:rPr>
          <w:sz w:val="24"/>
        </w:rPr>
        <w:t>,</w:t>
      </w:r>
      <w:r w:rsidRPr="00455157" w:rsidR="008B1666">
        <w:rPr>
          <w:sz w:val="24"/>
        </w:rPr>
        <w:t xml:space="preserve"> and </w:t>
      </w:r>
      <w:r w:rsidRPr="00455157" w:rsidR="00112466">
        <w:rPr>
          <w:sz w:val="24"/>
        </w:rPr>
        <w:t>law e</w:t>
      </w:r>
      <w:r w:rsidRPr="00455157" w:rsidR="008B1666">
        <w:rPr>
          <w:sz w:val="24"/>
        </w:rPr>
        <w:t xml:space="preserve">nforcement will be able to review national </w:t>
      </w:r>
      <w:r w:rsidRPr="00455157" w:rsidR="003A2D9B">
        <w:rPr>
          <w:sz w:val="24"/>
        </w:rPr>
        <w:t xml:space="preserve">summary </w:t>
      </w:r>
      <w:r w:rsidRPr="00455157" w:rsidR="008B1666">
        <w:rPr>
          <w:sz w:val="24"/>
        </w:rPr>
        <w:t xml:space="preserve">data </w:t>
      </w:r>
      <w:r w:rsidRPr="00455157" w:rsidR="00A72184">
        <w:rPr>
          <w:sz w:val="24"/>
        </w:rPr>
        <w:t>and</w:t>
      </w:r>
      <w:r w:rsidRPr="00455157" w:rsidR="008B1666">
        <w:rPr>
          <w:sz w:val="24"/>
        </w:rPr>
        <w:t xml:space="preserve"> actions taken against Part</w:t>
      </w:r>
      <w:r w:rsidRPr="00455157" w:rsidR="00133536">
        <w:rPr>
          <w:sz w:val="24"/>
        </w:rPr>
        <w:t xml:space="preserve"> C &amp;</w:t>
      </w:r>
      <w:r w:rsidRPr="00455157" w:rsidR="008B1666">
        <w:rPr>
          <w:sz w:val="24"/>
        </w:rPr>
        <w:t xml:space="preserve"> D providers. </w:t>
      </w:r>
      <w:r w:rsidRPr="00455157" w:rsidR="00133536">
        <w:rPr>
          <w:sz w:val="24"/>
        </w:rPr>
        <w:t xml:space="preserve">Medicare Advantage and Prescription Drug Plans   </w:t>
      </w:r>
      <w:r w:rsidRPr="00455157" w:rsidR="00C459A6">
        <w:rPr>
          <w:sz w:val="24"/>
        </w:rPr>
        <w:t>will</w:t>
      </w:r>
      <w:r w:rsidRPr="00455157" w:rsidR="00E70A02">
        <w:rPr>
          <w:sz w:val="24"/>
        </w:rPr>
        <w:t xml:space="preserve"> be required </w:t>
      </w:r>
      <w:r w:rsidRPr="00455157" w:rsidR="00133536">
        <w:rPr>
          <w:sz w:val="24"/>
        </w:rPr>
        <w:t xml:space="preserve">to submit information related to fraud, waste and abuse </w:t>
      </w:r>
      <w:r w:rsidRPr="00455157" w:rsidR="00EE3076">
        <w:rPr>
          <w:sz w:val="24"/>
        </w:rPr>
        <w:t xml:space="preserve">through the portal, </w:t>
      </w:r>
      <w:r w:rsidRPr="00455157" w:rsidR="00133536">
        <w:rPr>
          <w:sz w:val="24"/>
        </w:rPr>
        <w:t xml:space="preserve">as </w:t>
      </w:r>
      <w:r w:rsidRPr="00455157" w:rsidR="00E70A02">
        <w:rPr>
          <w:sz w:val="24"/>
        </w:rPr>
        <w:t>specified</w:t>
      </w:r>
      <w:r w:rsidRPr="00455157" w:rsidR="00133536">
        <w:rPr>
          <w:sz w:val="24"/>
        </w:rPr>
        <w:t xml:space="preserve"> in CMS 4190-P.  </w:t>
      </w:r>
      <w:r w:rsidRPr="00455157" w:rsidR="008B1666">
        <w:rPr>
          <w:sz w:val="24"/>
        </w:rPr>
        <w:t xml:space="preserve">This will enable them to </w:t>
      </w:r>
      <w:r w:rsidRPr="00455157" w:rsidR="00623ADB">
        <w:rPr>
          <w:sz w:val="24"/>
        </w:rPr>
        <w:t xml:space="preserve">detect </w:t>
      </w:r>
      <w:r w:rsidRPr="00455157" w:rsidR="00C52144">
        <w:rPr>
          <w:sz w:val="24"/>
        </w:rPr>
        <w:t>wh</w:t>
      </w:r>
      <w:r w:rsidRPr="00455157" w:rsidR="006006FE">
        <w:rPr>
          <w:sz w:val="24"/>
        </w:rPr>
        <w:t>ich</w:t>
      </w:r>
      <w:r w:rsidRPr="00455157" w:rsidR="00C52144">
        <w:rPr>
          <w:sz w:val="24"/>
        </w:rPr>
        <w:t xml:space="preserve"> providers are most at risk for Medicare Part</w:t>
      </w:r>
      <w:r w:rsidRPr="00455157" w:rsidR="00CD6C65">
        <w:rPr>
          <w:sz w:val="24"/>
        </w:rPr>
        <w:t xml:space="preserve"> C and</w:t>
      </w:r>
      <w:r w:rsidRPr="00455157" w:rsidR="00C52144">
        <w:rPr>
          <w:sz w:val="24"/>
        </w:rPr>
        <w:t xml:space="preserve"> D fraud, w</w:t>
      </w:r>
      <w:r w:rsidRPr="00455157" w:rsidR="001E29F3">
        <w:rPr>
          <w:sz w:val="24"/>
        </w:rPr>
        <w:t xml:space="preserve">aste, and abuse </w:t>
      </w:r>
      <w:r w:rsidRPr="00455157" w:rsidR="006006FE">
        <w:rPr>
          <w:sz w:val="24"/>
        </w:rPr>
        <w:t>in order to</w:t>
      </w:r>
      <w:r w:rsidRPr="00455157" w:rsidR="001E29F3">
        <w:rPr>
          <w:sz w:val="24"/>
        </w:rPr>
        <w:t xml:space="preserve"> take</w:t>
      </w:r>
      <w:r w:rsidRPr="00455157" w:rsidR="00C52144">
        <w:rPr>
          <w:sz w:val="24"/>
        </w:rPr>
        <w:t xml:space="preserve"> </w:t>
      </w:r>
      <w:r w:rsidRPr="00455157" w:rsidR="00CD6C65">
        <w:rPr>
          <w:sz w:val="24"/>
        </w:rPr>
        <w:t xml:space="preserve">appropriate </w:t>
      </w:r>
      <w:r w:rsidRPr="00455157" w:rsidR="00C52144">
        <w:rPr>
          <w:sz w:val="24"/>
        </w:rPr>
        <w:t xml:space="preserve">actions against the </w:t>
      </w:r>
      <w:r w:rsidRPr="00455157" w:rsidR="006006FE">
        <w:rPr>
          <w:sz w:val="24"/>
        </w:rPr>
        <w:t xml:space="preserve">identified </w:t>
      </w:r>
      <w:r w:rsidRPr="00455157" w:rsidR="00C52144">
        <w:rPr>
          <w:sz w:val="24"/>
        </w:rPr>
        <w:t>provider</w:t>
      </w:r>
      <w:r w:rsidRPr="00455157" w:rsidR="00180B79">
        <w:rPr>
          <w:sz w:val="24"/>
        </w:rPr>
        <w:t>s</w:t>
      </w:r>
      <w:r w:rsidRPr="00455157" w:rsidR="00C52144">
        <w:rPr>
          <w:sz w:val="24"/>
        </w:rPr>
        <w:t>.</w:t>
      </w:r>
    </w:p>
    <w:p w:rsidRPr="00455157" w:rsidR="008F1EB4" w:rsidP="00CD6C65" w:rsidRDefault="008F1EB4" w14:paraId="4AC069EF" w14:textId="76E6C7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455157" w:rsidR="008F1EB4" w:rsidP="00CD6C65" w:rsidRDefault="008F1EB4" w14:paraId="52ACC9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3.</w:t>
      </w:r>
      <w:r w:rsidRPr="00455157">
        <w:rPr>
          <w:sz w:val="24"/>
        </w:rPr>
        <w:tab/>
      </w:r>
      <w:r w:rsidRPr="00455157">
        <w:rPr>
          <w:sz w:val="24"/>
          <w:u w:val="single"/>
        </w:rPr>
        <w:t>Use of Information Technology</w:t>
      </w:r>
    </w:p>
    <w:p w:rsidRPr="00455157" w:rsidR="00E93708" w:rsidRDefault="00E93708" w14:paraId="49C748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55157" w:rsidR="00E93708" w:rsidP="00CD6C65" w:rsidRDefault="00C459A6" w14:paraId="7D35D7E0" w14:textId="0E76CC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 xml:space="preserve">The Program Integrity Portal that will be utilized via </w:t>
      </w:r>
      <w:r w:rsidRPr="00455157" w:rsidR="00EE3076">
        <w:rPr>
          <w:sz w:val="24"/>
        </w:rPr>
        <w:t>the CMS Health Plan Management System (</w:t>
      </w:r>
      <w:r w:rsidRPr="00455157">
        <w:rPr>
          <w:sz w:val="24"/>
        </w:rPr>
        <w:t>HPMS</w:t>
      </w:r>
      <w:r w:rsidRPr="00455157" w:rsidR="00EE3076">
        <w:rPr>
          <w:sz w:val="24"/>
        </w:rPr>
        <w:t>)</w:t>
      </w:r>
      <w:r w:rsidRPr="00455157">
        <w:rPr>
          <w:sz w:val="24"/>
        </w:rPr>
        <w:t xml:space="preserve"> is </w:t>
      </w:r>
      <w:r w:rsidRPr="00455157" w:rsidR="00E93708">
        <w:rPr>
          <w:sz w:val="24"/>
        </w:rPr>
        <w:t>100% electronic</w:t>
      </w:r>
      <w:r w:rsidRPr="00455157" w:rsidR="006006FE">
        <w:rPr>
          <w:sz w:val="24"/>
        </w:rPr>
        <w:t>,</w:t>
      </w:r>
      <w:r w:rsidRPr="00455157" w:rsidR="00E93708">
        <w:rPr>
          <w:sz w:val="24"/>
        </w:rPr>
        <w:t xml:space="preserve"> as the site for collecting the data is</w:t>
      </w:r>
      <w:r w:rsidRPr="00455157" w:rsidR="00E70A02">
        <w:rPr>
          <w:sz w:val="24"/>
        </w:rPr>
        <w:t xml:space="preserve"> </w:t>
      </w:r>
      <w:r w:rsidRPr="00455157" w:rsidR="00E93708">
        <w:rPr>
          <w:sz w:val="24"/>
        </w:rPr>
        <w:t>web-based.</w:t>
      </w:r>
    </w:p>
    <w:p w:rsidRPr="00455157" w:rsidR="008F1EB4" w:rsidRDefault="008F1EB4" w14:paraId="15A7AA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8F1EB4" w:rsidP="00CD6C65" w:rsidRDefault="008F1EB4" w14:paraId="5C359F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*To comply with the Government Paperwork Elimination Act (GPEA), you must also include the following information in this section:</w:t>
      </w:r>
    </w:p>
    <w:p w:rsidRPr="00455157" w:rsidR="000F3AF4" w:rsidRDefault="008F1EB4" w14:paraId="10426A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sz w:val="24"/>
        </w:rPr>
      </w:pPr>
      <w:r w:rsidRPr="00455157">
        <w:rPr>
          <w:i/>
          <w:sz w:val="24"/>
        </w:rPr>
        <w:t xml:space="preserve">- Is this collection currently available for completion electronically?  </w:t>
      </w:r>
    </w:p>
    <w:p w:rsidRPr="00455157" w:rsidR="003F75F6" w:rsidRDefault="003F75F6" w14:paraId="5EF9B7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455157">
        <w:rPr>
          <w:sz w:val="24"/>
        </w:rPr>
        <w:t>Yes</w:t>
      </w:r>
      <w:r w:rsidRPr="00455157" w:rsidR="005479DF">
        <w:rPr>
          <w:sz w:val="24"/>
        </w:rPr>
        <w:t>, all information is electronic.</w:t>
      </w:r>
    </w:p>
    <w:p w:rsidRPr="00455157" w:rsidR="008F1EB4" w:rsidRDefault="008F1EB4" w14:paraId="2D049C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
          <w:sz w:val="24"/>
        </w:rPr>
      </w:pPr>
      <w:r w:rsidRPr="00455157">
        <w:rPr>
          <w:i/>
          <w:sz w:val="24"/>
        </w:rPr>
        <w:t xml:space="preserve">-  Does this collection require a signature from the respondent(s)?  </w:t>
      </w:r>
    </w:p>
    <w:p w:rsidRPr="00455157" w:rsidR="003F75F6" w:rsidRDefault="003F75F6" w14:paraId="24FE78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455157">
        <w:rPr>
          <w:sz w:val="24"/>
        </w:rPr>
        <w:t>No</w:t>
      </w:r>
      <w:r w:rsidRPr="00455157" w:rsidR="005479DF">
        <w:rPr>
          <w:sz w:val="24"/>
        </w:rPr>
        <w:t>, a signature is not required from the respondents.</w:t>
      </w:r>
    </w:p>
    <w:p w:rsidRPr="00455157" w:rsidR="008F1EB4" w:rsidP="00CD6C65" w:rsidRDefault="008F1EB4" w14:paraId="516EE3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455157">
        <w:rPr>
          <w:i/>
          <w:sz w:val="24"/>
        </w:rPr>
        <w:t>-  If CMS had the capability of accepting electronic signature(s), could this collection be made available electronically?</w:t>
      </w:r>
    </w:p>
    <w:p w:rsidRPr="00455157" w:rsidR="003F75F6" w:rsidRDefault="003F75F6" w14:paraId="261737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455157">
        <w:rPr>
          <w:sz w:val="24"/>
        </w:rPr>
        <w:t>Yes</w:t>
      </w:r>
      <w:r w:rsidRPr="00455157" w:rsidR="005479DF">
        <w:rPr>
          <w:sz w:val="24"/>
        </w:rPr>
        <w:t>, this collection could be made available electronically.</w:t>
      </w:r>
    </w:p>
    <w:p w:rsidRPr="00455157" w:rsidR="008F1EB4" w:rsidP="00CD6C65" w:rsidRDefault="008F1EB4" w14:paraId="63B4E8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455157">
        <w:rPr>
          <w:i/>
          <w:sz w:val="24"/>
        </w:rPr>
        <w:t xml:space="preserve">- If this collection isn’t currently electronic but will be made electronic in the future, please give a date (month </w:t>
      </w:r>
      <w:r w:rsidRPr="00455157" w:rsidR="00EF36AF">
        <w:rPr>
          <w:i/>
          <w:sz w:val="24"/>
        </w:rPr>
        <w:t xml:space="preserve">and </w:t>
      </w:r>
      <w:r w:rsidRPr="00455157">
        <w:rPr>
          <w:i/>
          <w:sz w:val="24"/>
        </w:rPr>
        <w:t>year) as to when this will be available electronically and explain why it can’t be done sooner.</w:t>
      </w:r>
    </w:p>
    <w:p w:rsidRPr="00455157" w:rsidR="003F75F6" w:rsidRDefault="003F75F6" w14:paraId="2E35E8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455157">
        <w:rPr>
          <w:sz w:val="24"/>
        </w:rPr>
        <w:t>N</w:t>
      </w:r>
      <w:r w:rsidRPr="00455157" w:rsidR="005479DF">
        <w:rPr>
          <w:sz w:val="24"/>
        </w:rPr>
        <w:t>ot applicable</w:t>
      </w:r>
      <w:r w:rsidRPr="00455157" w:rsidR="00CF5473">
        <w:rPr>
          <w:sz w:val="24"/>
        </w:rPr>
        <w:t>. T</w:t>
      </w:r>
      <w:r w:rsidRPr="00455157" w:rsidR="00E93708">
        <w:rPr>
          <w:sz w:val="24"/>
        </w:rPr>
        <w:t>he collection tool is entirely electronic.</w:t>
      </w:r>
    </w:p>
    <w:p w:rsidRPr="00455157" w:rsidR="008F1EB4" w:rsidP="00CD6C65" w:rsidRDefault="008F1EB4" w14:paraId="6532AF49" w14:textId="0A5CCD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4"/>
        </w:rPr>
      </w:pPr>
      <w:r w:rsidRPr="00455157">
        <w:rPr>
          <w:i/>
          <w:sz w:val="24"/>
        </w:rPr>
        <w:t xml:space="preserve">-  If this collection cannot be made electronic or if it isn’t cost beneficial to make it </w:t>
      </w:r>
      <w:r w:rsidRPr="00455157" w:rsidR="0011347A">
        <w:rPr>
          <w:i/>
          <w:sz w:val="24"/>
        </w:rPr>
        <w:t xml:space="preserve">   </w:t>
      </w:r>
      <w:r w:rsidRPr="00455157">
        <w:rPr>
          <w:i/>
          <w:sz w:val="24"/>
        </w:rPr>
        <w:t>electronic, please explain.</w:t>
      </w:r>
    </w:p>
    <w:p w:rsidRPr="00455157" w:rsidR="003F75F6" w:rsidRDefault="00CF5473" w14:paraId="647B77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r w:rsidRPr="00455157">
        <w:rPr>
          <w:sz w:val="24"/>
        </w:rPr>
        <w:t>Not applicable. T</w:t>
      </w:r>
      <w:r w:rsidRPr="00455157" w:rsidR="005479DF">
        <w:rPr>
          <w:sz w:val="24"/>
        </w:rPr>
        <w:t>he</w:t>
      </w:r>
      <w:r w:rsidRPr="00455157" w:rsidR="00E93708">
        <w:rPr>
          <w:sz w:val="24"/>
        </w:rPr>
        <w:t xml:space="preserve"> collection tool is entirely electronic. </w:t>
      </w:r>
    </w:p>
    <w:p w:rsidRPr="00455157" w:rsidR="008F1EB4" w:rsidRDefault="008F1EB4" w14:paraId="6F9BF7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8F1EB4" w:rsidP="00CD6C65" w:rsidRDefault="008F1EB4" w14:paraId="4D6CE4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4.</w:t>
      </w:r>
      <w:r w:rsidRPr="00455157">
        <w:rPr>
          <w:sz w:val="24"/>
        </w:rPr>
        <w:tab/>
      </w:r>
      <w:r w:rsidRPr="00455157">
        <w:rPr>
          <w:sz w:val="24"/>
          <w:u w:val="single"/>
        </w:rPr>
        <w:t>Duplication of Efforts</w:t>
      </w:r>
    </w:p>
    <w:p w:rsidRPr="00455157" w:rsidR="008F1EB4" w:rsidRDefault="008F1EB4" w14:paraId="657E54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4C73B9" w:rsidP="00CD6C65" w:rsidRDefault="00E76E9A" w14:paraId="3A8180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 xml:space="preserve">This information collection does not duplicate any other effort and the information cannot be obtained from any other source. </w:t>
      </w:r>
    </w:p>
    <w:p w:rsidRPr="00455157" w:rsidR="008F1EB4" w:rsidRDefault="008F1EB4" w14:paraId="1525CA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8F1EB4" w:rsidP="00CD6C65" w:rsidRDefault="008F1EB4" w14:paraId="65DDEBD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5.</w:t>
      </w:r>
      <w:r w:rsidRPr="00455157">
        <w:rPr>
          <w:sz w:val="24"/>
        </w:rPr>
        <w:tab/>
      </w:r>
      <w:r w:rsidRPr="00455157">
        <w:rPr>
          <w:sz w:val="24"/>
          <w:u w:val="single"/>
        </w:rPr>
        <w:t>Small Businesses</w:t>
      </w:r>
    </w:p>
    <w:p w:rsidRPr="00455157" w:rsidR="003878AC" w:rsidP="00CD6C65" w:rsidRDefault="003878AC" w14:paraId="146A0D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455157" w:rsidR="00D559FD" w:rsidP="00CD6C65" w:rsidRDefault="00635C41" w14:paraId="0556F43E" w14:textId="33DBD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 xml:space="preserve">Program Integrity </w:t>
      </w:r>
      <w:r w:rsidRPr="00455157" w:rsidR="00AB6F6E">
        <w:rPr>
          <w:sz w:val="24"/>
        </w:rPr>
        <w:t>P</w:t>
      </w:r>
      <w:r w:rsidRPr="00455157">
        <w:rPr>
          <w:sz w:val="24"/>
        </w:rPr>
        <w:t xml:space="preserve">ortal will </w:t>
      </w:r>
      <w:r w:rsidRPr="00455157" w:rsidR="005479DF">
        <w:rPr>
          <w:sz w:val="24"/>
        </w:rPr>
        <w:t xml:space="preserve">provide smaller </w:t>
      </w:r>
      <w:r w:rsidRPr="00455157">
        <w:rPr>
          <w:sz w:val="24"/>
        </w:rPr>
        <w:t xml:space="preserve">plan sponsors </w:t>
      </w:r>
      <w:r w:rsidRPr="00455157" w:rsidR="005479DF">
        <w:rPr>
          <w:sz w:val="24"/>
        </w:rPr>
        <w:t xml:space="preserve">with data </w:t>
      </w:r>
      <w:r w:rsidRPr="00455157" w:rsidR="00E70A02">
        <w:rPr>
          <w:sz w:val="24"/>
        </w:rPr>
        <w:t xml:space="preserve">that will assist with oversight of fraud, waste and abuse. </w:t>
      </w:r>
      <w:r w:rsidRPr="00455157" w:rsidR="005479DF">
        <w:rPr>
          <w:sz w:val="24"/>
        </w:rPr>
        <w:t xml:space="preserve"> </w:t>
      </w:r>
    </w:p>
    <w:p w:rsidRPr="00455157" w:rsidR="008F1EB4" w:rsidRDefault="008F1EB4" w14:paraId="73E4A7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D559FD" w:rsidP="00CD6C65" w:rsidRDefault="008F1EB4" w14:paraId="25F0E2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6.</w:t>
      </w:r>
      <w:r w:rsidRPr="00455157">
        <w:rPr>
          <w:sz w:val="24"/>
        </w:rPr>
        <w:tab/>
      </w:r>
      <w:r w:rsidRPr="00455157">
        <w:rPr>
          <w:sz w:val="24"/>
          <w:u w:val="single"/>
        </w:rPr>
        <w:t>Less Frequent Collection</w:t>
      </w:r>
    </w:p>
    <w:p w:rsidRPr="00455157" w:rsidR="00EF36AF" w:rsidRDefault="00EF36AF" w14:paraId="2532B3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55157" w:rsidR="00D559FD" w:rsidP="00CD6C65" w:rsidRDefault="00AB6F6E" w14:paraId="251253CC" w14:textId="6DE802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The information will be collected</w:t>
      </w:r>
      <w:r w:rsidRPr="00455157" w:rsidR="00E70A02">
        <w:rPr>
          <w:sz w:val="24"/>
        </w:rPr>
        <w:t xml:space="preserve"> quarterly. </w:t>
      </w:r>
      <w:r w:rsidRPr="00455157" w:rsidR="00E03ABB">
        <w:rPr>
          <w:sz w:val="24"/>
        </w:rPr>
        <w:t xml:space="preserve"> </w:t>
      </w:r>
      <w:r w:rsidRPr="00455157" w:rsidR="00D559FD">
        <w:rPr>
          <w:sz w:val="24"/>
        </w:rPr>
        <w:t>This data collection is to aid in</w:t>
      </w:r>
      <w:r w:rsidRPr="00455157" w:rsidR="003A4486">
        <w:rPr>
          <w:sz w:val="24"/>
        </w:rPr>
        <w:t xml:space="preserve"> </w:t>
      </w:r>
      <w:r w:rsidRPr="00455157" w:rsidR="00B1264A">
        <w:rPr>
          <w:sz w:val="24"/>
        </w:rPr>
        <w:t xml:space="preserve">the </w:t>
      </w:r>
      <w:r w:rsidRPr="00455157" w:rsidR="003A4486">
        <w:rPr>
          <w:sz w:val="24"/>
        </w:rPr>
        <w:t>more efficient</w:t>
      </w:r>
      <w:r w:rsidRPr="00455157" w:rsidR="00D559FD">
        <w:rPr>
          <w:sz w:val="24"/>
        </w:rPr>
        <w:t xml:space="preserve"> identif</w:t>
      </w:r>
      <w:r w:rsidRPr="00455157" w:rsidR="00B1264A">
        <w:rPr>
          <w:sz w:val="24"/>
        </w:rPr>
        <w:t>ication</w:t>
      </w:r>
      <w:r w:rsidRPr="00455157" w:rsidR="00D559FD">
        <w:rPr>
          <w:sz w:val="24"/>
        </w:rPr>
        <w:t>, and prevent</w:t>
      </w:r>
      <w:r w:rsidRPr="00455157" w:rsidR="003E3041">
        <w:rPr>
          <w:sz w:val="24"/>
        </w:rPr>
        <w:t>i</w:t>
      </w:r>
      <w:r w:rsidRPr="00455157" w:rsidR="00B1264A">
        <w:rPr>
          <w:sz w:val="24"/>
        </w:rPr>
        <w:t>on of</w:t>
      </w:r>
      <w:r w:rsidRPr="00455157" w:rsidR="00D559FD">
        <w:rPr>
          <w:sz w:val="24"/>
        </w:rPr>
        <w:t xml:space="preserve"> Medicare Part </w:t>
      </w:r>
      <w:r w:rsidRPr="00455157" w:rsidR="00635C41">
        <w:rPr>
          <w:sz w:val="24"/>
        </w:rPr>
        <w:t xml:space="preserve">C and </w:t>
      </w:r>
      <w:r w:rsidRPr="00455157" w:rsidR="00D559FD">
        <w:rPr>
          <w:sz w:val="24"/>
        </w:rPr>
        <w:t xml:space="preserve">D fraud, waste, and abuse. </w:t>
      </w:r>
      <w:r w:rsidRPr="00455157" w:rsidR="00635C41">
        <w:rPr>
          <w:sz w:val="24"/>
        </w:rPr>
        <w:t xml:space="preserve"> </w:t>
      </w:r>
    </w:p>
    <w:p w:rsidRPr="00455157" w:rsidR="008F1EB4" w:rsidRDefault="008F1EB4" w14:paraId="76F43A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8F1EB4" w:rsidP="00CD6C65" w:rsidRDefault="008F1EB4" w14:paraId="127365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7.</w:t>
      </w:r>
      <w:r w:rsidRPr="00455157">
        <w:rPr>
          <w:sz w:val="24"/>
        </w:rPr>
        <w:tab/>
      </w:r>
      <w:r w:rsidRPr="00455157">
        <w:rPr>
          <w:sz w:val="24"/>
          <w:u w:val="single"/>
        </w:rPr>
        <w:t>Special Circumstances</w:t>
      </w:r>
    </w:p>
    <w:p w:rsidRPr="00455157" w:rsidR="008F1EB4" w:rsidRDefault="008F1EB4" w14:paraId="6FF8C01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4A13B2" w:rsidP="00CD6C65" w:rsidRDefault="004A13B2" w14:paraId="3751C1FF" w14:textId="7E9013DA">
      <w:pPr>
        <w:pStyle w:val="BodyText"/>
        <w:spacing w:before="8"/>
        <w:ind w:left="720"/>
        <w:rPr>
          <w:sz w:val="23"/>
        </w:rPr>
      </w:pPr>
      <w:r w:rsidRPr="00455157">
        <w:rPr>
          <w:sz w:val="23"/>
        </w:rPr>
        <w:t>There are no special circumstances that would require an information collection to be conducted in</w:t>
      </w:r>
      <w:r w:rsidRPr="00455157" w:rsidR="003878AC">
        <w:rPr>
          <w:sz w:val="23"/>
        </w:rPr>
        <w:t xml:space="preserve"> </w:t>
      </w:r>
      <w:r w:rsidRPr="00455157">
        <w:rPr>
          <w:sz w:val="23"/>
        </w:rPr>
        <w:t>a manner that requires respondents to:</w:t>
      </w:r>
    </w:p>
    <w:p w:rsidRPr="00455157" w:rsidR="004A13B2" w:rsidP="00CD6C65" w:rsidRDefault="004A13B2" w14:paraId="568C2336" w14:textId="77777777">
      <w:pPr>
        <w:pStyle w:val="BodyText"/>
        <w:numPr>
          <w:ilvl w:val="1"/>
          <w:numId w:val="10"/>
        </w:numPr>
        <w:rPr>
          <w:sz w:val="23"/>
        </w:rPr>
      </w:pPr>
      <w:r w:rsidRPr="00455157">
        <w:rPr>
          <w:sz w:val="23"/>
        </w:rPr>
        <w:t>Report information to the agency more often than quarterly;</w:t>
      </w:r>
    </w:p>
    <w:p w:rsidRPr="00455157" w:rsidR="004A13B2" w:rsidP="00CD6C65" w:rsidRDefault="004A13B2" w14:paraId="13CEA8A5" w14:textId="2B3B5063">
      <w:pPr>
        <w:pStyle w:val="BodyText"/>
        <w:numPr>
          <w:ilvl w:val="1"/>
          <w:numId w:val="10"/>
        </w:numPr>
        <w:rPr>
          <w:sz w:val="23"/>
        </w:rPr>
      </w:pPr>
      <w:r w:rsidRPr="00455157">
        <w:rPr>
          <w:sz w:val="23"/>
        </w:rPr>
        <w:t>Prepare a written response to a collection of information in fewer than 30 days after receipt of</w:t>
      </w:r>
      <w:r w:rsidRPr="00455157" w:rsidR="003878AC">
        <w:rPr>
          <w:sz w:val="23"/>
        </w:rPr>
        <w:t xml:space="preserve"> it;</w:t>
      </w:r>
    </w:p>
    <w:p w:rsidRPr="00455157" w:rsidR="004A13B2" w:rsidP="00CD6C65" w:rsidRDefault="004A13B2" w14:paraId="7A288333" w14:textId="77777777">
      <w:pPr>
        <w:pStyle w:val="BodyText"/>
        <w:numPr>
          <w:ilvl w:val="1"/>
          <w:numId w:val="10"/>
        </w:numPr>
        <w:rPr>
          <w:sz w:val="23"/>
        </w:rPr>
      </w:pPr>
      <w:r w:rsidRPr="00455157">
        <w:rPr>
          <w:sz w:val="23"/>
        </w:rPr>
        <w:t>Submit more than an original and two copies of any document;</w:t>
      </w:r>
    </w:p>
    <w:p w:rsidRPr="00455157" w:rsidR="003878AC" w:rsidP="00CD6C65" w:rsidRDefault="004A13B2" w14:paraId="12B9D8EC" w14:textId="1D87BC82">
      <w:pPr>
        <w:pStyle w:val="BodyText"/>
        <w:numPr>
          <w:ilvl w:val="1"/>
          <w:numId w:val="10"/>
        </w:numPr>
        <w:rPr>
          <w:sz w:val="23"/>
        </w:rPr>
      </w:pPr>
      <w:r w:rsidRPr="00455157">
        <w:rPr>
          <w:sz w:val="23"/>
        </w:rPr>
        <w:t>Retain records, other than health, medical, government contract, grant-in-aid, or tax records</w:t>
      </w:r>
      <w:r w:rsidRPr="00455157" w:rsidR="003878AC">
        <w:rPr>
          <w:sz w:val="23"/>
        </w:rPr>
        <w:t xml:space="preserve"> </w:t>
      </w:r>
      <w:r w:rsidRPr="00455157">
        <w:rPr>
          <w:sz w:val="23"/>
        </w:rPr>
        <w:t>for more than three years;</w:t>
      </w:r>
    </w:p>
    <w:p w:rsidRPr="00455157" w:rsidR="004A13B2" w:rsidP="00EC3D5E" w:rsidRDefault="004A13B2" w14:paraId="2DA4B79A" w14:textId="7A7C0D3E">
      <w:pPr>
        <w:pStyle w:val="BodyText"/>
        <w:numPr>
          <w:ilvl w:val="1"/>
          <w:numId w:val="10"/>
        </w:numPr>
        <w:rPr>
          <w:sz w:val="23"/>
        </w:rPr>
      </w:pPr>
      <w:r w:rsidRPr="00455157">
        <w:rPr>
          <w:sz w:val="23"/>
        </w:rPr>
        <w:t xml:space="preserve">Collect data in connection with a statistical survey that is not designed to produce valid </w:t>
      </w:r>
      <w:r w:rsidRPr="00455157">
        <w:rPr>
          <w:sz w:val="23"/>
        </w:rPr>
        <w:lastRenderedPageBreak/>
        <w:t>and</w:t>
      </w:r>
      <w:r w:rsidRPr="00455157" w:rsidR="00051ED5">
        <w:rPr>
          <w:sz w:val="23"/>
        </w:rPr>
        <w:t xml:space="preserve"> </w:t>
      </w:r>
      <w:r w:rsidRPr="00455157">
        <w:rPr>
          <w:sz w:val="23"/>
        </w:rPr>
        <w:t>reliable results that can be generalized to the universe of study,</w:t>
      </w:r>
    </w:p>
    <w:p w:rsidRPr="00455157" w:rsidR="004A13B2" w:rsidP="00CD6C65" w:rsidRDefault="004A13B2" w14:paraId="23245E4C" w14:textId="77777777">
      <w:pPr>
        <w:pStyle w:val="BodyText"/>
        <w:numPr>
          <w:ilvl w:val="1"/>
          <w:numId w:val="10"/>
        </w:numPr>
        <w:rPr>
          <w:sz w:val="23"/>
        </w:rPr>
      </w:pPr>
      <w:r w:rsidRPr="00455157">
        <w:rPr>
          <w:sz w:val="23"/>
        </w:rPr>
        <w:t>Use a statistical data classification that has not been reviewed and approved by OMB;</w:t>
      </w:r>
    </w:p>
    <w:p w:rsidRPr="00455157" w:rsidR="004A13B2" w:rsidP="00CD6C65" w:rsidRDefault="004A13B2" w14:paraId="2CE0F223" w14:textId="255921C7">
      <w:pPr>
        <w:pStyle w:val="BodyText"/>
        <w:numPr>
          <w:ilvl w:val="1"/>
          <w:numId w:val="10"/>
        </w:numPr>
        <w:rPr>
          <w:sz w:val="23"/>
        </w:rPr>
      </w:pPr>
      <w:r w:rsidRPr="00455157">
        <w:rPr>
          <w:sz w:val="23"/>
        </w:rPr>
        <w:t>Include a pledge of confidentiality that is not supported by authority established in statute or</w:t>
      </w:r>
      <w:r w:rsidRPr="00455157" w:rsidR="003878AC">
        <w:rPr>
          <w:sz w:val="23"/>
        </w:rPr>
        <w:t xml:space="preserve"> </w:t>
      </w:r>
      <w:r w:rsidRPr="00455157">
        <w:rPr>
          <w:sz w:val="23"/>
        </w:rPr>
        <w:t>regulation that is not supported by disclosure and data security policies that are consistent with</w:t>
      </w:r>
      <w:r w:rsidRPr="00455157" w:rsidR="003878AC">
        <w:rPr>
          <w:sz w:val="23"/>
        </w:rPr>
        <w:t xml:space="preserve"> </w:t>
      </w:r>
      <w:r w:rsidRPr="00455157">
        <w:rPr>
          <w:sz w:val="23"/>
        </w:rPr>
        <w:t>the pledge, or which unnecessarily impedes sharing of data with other agencies for compatible</w:t>
      </w:r>
      <w:r w:rsidRPr="00455157" w:rsidR="003878AC">
        <w:rPr>
          <w:sz w:val="23"/>
        </w:rPr>
        <w:t xml:space="preserve"> </w:t>
      </w:r>
      <w:r w:rsidRPr="00455157">
        <w:rPr>
          <w:sz w:val="23"/>
        </w:rPr>
        <w:t>confidential use; or</w:t>
      </w:r>
    </w:p>
    <w:p w:rsidRPr="00455157" w:rsidR="004A13B2" w:rsidP="00777AFD" w:rsidRDefault="004A13B2" w14:paraId="6F76A58C" w14:textId="0151E652">
      <w:pPr>
        <w:pStyle w:val="BodyText"/>
        <w:numPr>
          <w:ilvl w:val="1"/>
          <w:numId w:val="10"/>
        </w:numPr>
        <w:rPr>
          <w:sz w:val="23"/>
        </w:rPr>
      </w:pPr>
      <w:r w:rsidRPr="00455157">
        <w:rPr>
          <w:sz w:val="23"/>
        </w:rPr>
        <w:t>Submit proprietary trade secret, or other confidential information unless the agency can</w:t>
      </w:r>
      <w:r w:rsidRPr="00455157" w:rsidR="000F7C72">
        <w:rPr>
          <w:sz w:val="23"/>
        </w:rPr>
        <w:t xml:space="preserve"> </w:t>
      </w:r>
      <w:r w:rsidRPr="00455157">
        <w:rPr>
          <w:sz w:val="23"/>
        </w:rPr>
        <w:t>demonstrate that it has instituted procedures to protect the information's confidentiality to the</w:t>
      </w:r>
      <w:r w:rsidRPr="00455157" w:rsidR="00D61252">
        <w:rPr>
          <w:sz w:val="23"/>
        </w:rPr>
        <w:t xml:space="preserve"> </w:t>
      </w:r>
      <w:r w:rsidRPr="00455157">
        <w:rPr>
          <w:sz w:val="23"/>
        </w:rPr>
        <w:t>extent permitted by law.</w:t>
      </w:r>
    </w:p>
    <w:p w:rsidRPr="00455157" w:rsidR="004A13B2" w:rsidP="00756571" w:rsidRDefault="004A13B2" w14:paraId="35B9E7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55157" w:rsidR="008F1EB4" w:rsidP="00CD6C65" w:rsidRDefault="008F1EB4" w14:paraId="37EFBB9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8.</w:t>
      </w:r>
      <w:r w:rsidRPr="00455157">
        <w:rPr>
          <w:sz w:val="24"/>
        </w:rPr>
        <w:tab/>
      </w:r>
      <w:r w:rsidRPr="00455157">
        <w:rPr>
          <w:sz w:val="24"/>
          <w:u w:val="single"/>
        </w:rPr>
        <w:t>Federal Register/Outside Consultation</w:t>
      </w:r>
    </w:p>
    <w:p w:rsidRPr="00455157" w:rsidR="008F1EB4" w:rsidRDefault="008F1EB4" w14:paraId="02FBF0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8F1EB4" w:rsidP="00450D6A" w:rsidRDefault="00285F43" w14:paraId="2493F9FE" w14:textId="2A991E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Serving as the 60-day notice, the proposed rule (CMS-4190-P, RIN 0938-AT97) filed for public inspection on February 5, 2020</w:t>
      </w:r>
      <w:r w:rsidR="00971929">
        <w:rPr>
          <w:sz w:val="24"/>
        </w:rPr>
        <w:t xml:space="preserve"> and published on February 18 (85 FR 9002)</w:t>
      </w:r>
      <w:bookmarkStart w:name="_GoBack" w:id="0"/>
      <w:bookmarkEnd w:id="0"/>
      <w:r w:rsidRPr="00455157">
        <w:rPr>
          <w:sz w:val="24"/>
        </w:rPr>
        <w:t xml:space="preserve">. Comments are due by </w:t>
      </w:r>
      <w:r w:rsidRPr="00455157" w:rsidR="00450D6A">
        <w:rPr>
          <w:sz w:val="24"/>
        </w:rPr>
        <w:t>April 6, 2020.</w:t>
      </w:r>
    </w:p>
    <w:p w:rsidRPr="00455157" w:rsidR="00285F43" w:rsidRDefault="00285F43" w14:paraId="20A077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8F1EB4" w:rsidP="00CD6C65" w:rsidRDefault="008F1EB4" w14:paraId="5BEA47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9.</w:t>
      </w:r>
      <w:r w:rsidRPr="00455157">
        <w:rPr>
          <w:sz w:val="24"/>
        </w:rPr>
        <w:tab/>
      </w:r>
      <w:r w:rsidRPr="00455157">
        <w:rPr>
          <w:sz w:val="24"/>
          <w:u w:val="single"/>
        </w:rPr>
        <w:t>Payments/Gifts to Respondents</w:t>
      </w:r>
    </w:p>
    <w:p w:rsidRPr="00455157" w:rsidR="008F1EB4" w:rsidRDefault="008F1EB4" w14:paraId="45C3561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CB6B41" w:rsidP="00CD6C65" w:rsidRDefault="00CB6B41" w14:paraId="71C9EE31" w14:textId="3483B5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 xml:space="preserve">No payment or gifts </w:t>
      </w:r>
      <w:r w:rsidRPr="00455157" w:rsidR="00197E08">
        <w:rPr>
          <w:sz w:val="24"/>
        </w:rPr>
        <w:t xml:space="preserve">will be provided </w:t>
      </w:r>
      <w:r w:rsidRPr="00455157">
        <w:rPr>
          <w:sz w:val="24"/>
        </w:rPr>
        <w:t>to respondents.</w:t>
      </w:r>
    </w:p>
    <w:p w:rsidRPr="00455157" w:rsidR="008F1EB4" w:rsidP="00197E08" w:rsidRDefault="008F1EB4" w14:paraId="6AC3BF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55157" w:rsidR="008F1EB4" w:rsidP="00CD6C65" w:rsidRDefault="008F1EB4" w14:paraId="7286C7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10.</w:t>
      </w:r>
      <w:r w:rsidRPr="00455157">
        <w:rPr>
          <w:sz w:val="24"/>
        </w:rPr>
        <w:tab/>
      </w:r>
      <w:r w:rsidRPr="00455157">
        <w:rPr>
          <w:sz w:val="24"/>
          <w:u w:val="single"/>
        </w:rPr>
        <w:t>Confidentiality</w:t>
      </w:r>
    </w:p>
    <w:p w:rsidRPr="00455157" w:rsidR="000F3AF4" w:rsidRDefault="000F3AF4" w14:paraId="37AAB8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55157" w:rsidR="004D7799" w:rsidP="00CD6C65" w:rsidRDefault="00E9210B" w14:paraId="2B71B16C" w14:textId="73ADBA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 xml:space="preserve">Information will be confidential except as required under </w:t>
      </w:r>
      <w:r w:rsidRPr="00455157" w:rsidR="00480A13">
        <w:rPr>
          <w:sz w:val="24"/>
        </w:rPr>
        <w:t>CMS-</w:t>
      </w:r>
      <w:r w:rsidRPr="00455157">
        <w:rPr>
          <w:sz w:val="24"/>
        </w:rPr>
        <w:t>4190</w:t>
      </w:r>
      <w:r w:rsidRPr="00455157" w:rsidR="00480A13">
        <w:rPr>
          <w:sz w:val="24"/>
        </w:rPr>
        <w:t>-</w:t>
      </w:r>
      <w:r w:rsidRPr="00455157">
        <w:rPr>
          <w:sz w:val="24"/>
        </w:rPr>
        <w:t xml:space="preserve">P- communication and sharing of information with related entities. </w:t>
      </w:r>
      <w:r w:rsidRPr="00455157" w:rsidR="004D7799">
        <w:rPr>
          <w:sz w:val="24"/>
        </w:rPr>
        <w:t xml:space="preserve">The Program Integrity Portal is specific to data for an individual contract.  </w:t>
      </w:r>
      <w:r w:rsidRPr="00455157" w:rsidR="004D7799">
        <w:rPr>
          <w:snapToGrid w:val="0"/>
          <w:color w:val="333333"/>
          <w:sz w:val="24"/>
        </w:rPr>
        <w:t>T</w:t>
      </w:r>
      <w:r w:rsidRPr="00455157" w:rsidR="004D7799">
        <w:rPr>
          <w:snapToGrid w:val="0"/>
          <w:sz w:val="24"/>
        </w:rPr>
        <w:t xml:space="preserve">he Secretary must make available to the plans, not less frequently than quarterly, information on fraud, waste, and abuse schemes and trends in identifying suspicious activity.  The reports must include </w:t>
      </w:r>
      <w:r w:rsidRPr="00455157" w:rsidR="004D7799">
        <w:rPr>
          <w:sz w:val="24"/>
        </w:rPr>
        <w:t>administrative actions, pertinent information related to opioid overprescribing, and other data determined appropriate by the Secretary in consultation with stakeholders.  Although the national summary data described above will be shared, the information must be anonymized data submitted by plans without identifying the source of such information.</w:t>
      </w:r>
    </w:p>
    <w:p w:rsidRPr="00455157" w:rsidR="008F1EB4" w:rsidRDefault="008F1EB4" w14:paraId="5AA739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8F1EB4" w:rsidP="00CD6C65" w:rsidRDefault="008F1EB4" w14:paraId="5C4F38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11.</w:t>
      </w:r>
      <w:r w:rsidRPr="00455157">
        <w:rPr>
          <w:sz w:val="24"/>
        </w:rPr>
        <w:tab/>
      </w:r>
      <w:r w:rsidRPr="00455157">
        <w:rPr>
          <w:sz w:val="24"/>
          <w:u w:val="single"/>
        </w:rPr>
        <w:t>Sensitive Questions</w:t>
      </w:r>
    </w:p>
    <w:p w:rsidRPr="00455157" w:rsidR="008F1EB4" w:rsidP="00CD6C65" w:rsidRDefault="008F1EB4" w14:paraId="6624A5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55157" w:rsidR="008F1EB4" w:rsidP="00CD6C65" w:rsidRDefault="001D7195" w14:paraId="26EF0F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There are no questions of a sensitive nature, such as sexual behavior and attitudes, religious beliefs, and other matters that are commonly considered private.</w:t>
      </w:r>
    </w:p>
    <w:p w:rsidRPr="00455157" w:rsidR="001D7195" w:rsidRDefault="001D7195" w14:paraId="3C2310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8F1EB4" w:rsidP="00CD6C65" w:rsidRDefault="008F1EB4" w14:paraId="5C6171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12.</w:t>
      </w:r>
      <w:r w:rsidRPr="00455157">
        <w:rPr>
          <w:sz w:val="24"/>
        </w:rPr>
        <w:tab/>
      </w:r>
      <w:r w:rsidRPr="00455157">
        <w:rPr>
          <w:sz w:val="24"/>
          <w:u w:val="single"/>
        </w:rPr>
        <w:t>Burden Estimates</w:t>
      </w:r>
    </w:p>
    <w:p w:rsidRPr="00455157" w:rsidR="008F1EB4" w:rsidP="003F1942" w:rsidRDefault="008F1EB4" w14:paraId="215D84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406BB6" w:rsidP="00CD6C65" w:rsidRDefault="00406BB6" w14:paraId="1BB484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2"/>
        <w:rPr>
          <w:i/>
          <w:sz w:val="24"/>
        </w:rPr>
      </w:pPr>
      <w:r w:rsidRPr="00455157">
        <w:rPr>
          <w:i/>
          <w:sz w:val="24"/>
        </w:rPr>
        <w:t>Wage Estimates</w:t>
      </w:r>
    </w:p>
    <w:p w:rsidRPr="00455157" w:rsidR="00406BB6" w:rsidP="00B147CB" w:rsidRDefault="00406BB6" w14:paraId="77548E50" w14:textId="77777777">
      <w:pPr>
        <w:tabs>
          <w:tab w:val="left" w:pos="432"/>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sz w:val="24"/>
        </w:rPr>
      </w:pPr>
    </w:p>
    <w:p w:rsidRPr="00455157" w:rsidR="003F1942" w:rsidP="00CD6C65" w:rsidRDefault="003F1942" w14:paraId="01E47C7E" w14:textId="77777777">
      <w:pPr>
        <w:tabs>
          <w:tab w:val="left" w:pos="540"/>
        </w:tabs>
        <w:ind w:left="720"/>
        <w:rPr>
          <w:snapToGrid w:val="0"/>
          <w:sz w:val="24"/>
        </w:rPr>
      </w:pPr>
      <w:r w:rsidRPr="00455157">
        <w:rPr>
          <w:snapToGrid w:val="0"/>
          <w:sz w:val="24"/>
        </w:rPr>
        <w:t>To derive average costs we used data from the U.S. Bureau of Labor Statistics’ (BLS’s) May 2018 National Occupational Employment and Wage Estimates for all salary estimates (</w:t>
      </w:r>
      <w:hyperlink w:history="1" r:id="rId8">
        <w:r w:rsidRPr="00455157">
          <w:rPr>
            <w:rStyle w:val="Hyperlink"/>
            <w:snapToGrid w:val="0"/>
            <w:sz w:val="24"/>
          </w:rPr>
          <w:t>http://www.bls.gov/oes/current/oes_nat.htm</w:t>
        </w:r>
      </w:hyperlink>
      <w:r w:rsidRPr="00455157">
        <w:rPr>
          <w:snapToGrid w:val="0"/>
          <w:sz w:val="24"/>
        </w:rPr>
        <w:t xml:space="preserve">).  In this regard, the following table presents </w:t>
      </w:r>
      <w:r w:rsidRPr="00455157">
        <w:rPr>
          <w:snapToGrid w:val="0"/>
          <w:sz w:val="24"/>
        </w:rPr>
        <w:lastRenderedPageBreak/>
        <w:t>the mean hourly wage, the cost of fringe benefits and overhead (calculated at 100 percent of salary), and the adjusted hourly wage.</w:t>
      </w:r>
    </w:p>
    <w:p w:rsidRPr="00455157" w:rsidR="003F1942" w:rsidP="00780B65" w:rsidRDefault="003F1942" w14:paraId="358890C4" w14:textId="77777777">
      <w:pPr>
        <w:rPr>
          <w:snapToGrid w:val="0"/>
          <w:sz w:val="24"/>
        </w:rPr>
      </w:pPr>
    </w:p>
    <w:p w:rsidRPr="00455157" w:rsidR="003F1942" w:rsidP="003F1942" w:rsidRDefault="00F57D4D" w14:paraId="5326826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sz w:val="24"/>
        </w:rPr>
      </w:pPr>
      <w:r w:rsidRPr="00455157">
        <w:rPr>
          <w:bCs/>
          <w:snapToGrid w:val="0"/>
          <w:sz w:val="24"/>
        </w:rPr>
        <w:t>National Occupational Employment and Wage Estimates</w:t>
      </w:r>
      <w:r w:rsidRPr="00455157" w:rsidR="003F1942">
        <w:rPr>
          <w:b/>
          <w:bCs/>
          <w:snapToGrid w:val="0"/>
          <w:sz w:val="24"/>
        </w:rPr>
        <w:t xml:space="preserve"> </w:t>
      </w:r>
    </w:p>
    <w:tbl>
      <w:tblPr>
        <w:tblW w:w="6900" w:type="dxa"/>
        <w:jc w:val="center"/>
        <w:tblLook w:val="04A0" w:firstRow="1" w:lastRow="0" w:firstColumn="1" w:lastColumn="0" w:noHBand="0" w:noVBand="1"/>
      </w:tblPr>
      <w:tblGrid>
        <w:gridCol w:w="2464"/>
        <w:gridCol w:w="1205"/>
        <w:gridCol w:w="960"/>
        <w:gridCol w:w="1105"/>
        <w:gridCol w:w="1166"/>
      </w:tblGrid>
      <w:tr w:rsidRPr="00455157" w:rsidR="003F1942" w:rsidTr="00466F52" w14:paraId="423BB7BA" w14:textId="77777777">
        <w:trPr>
          <w:trHeight w:val="1020"/>
          <w:jc w:val="center"/>
        </w:trPr>
        <w:tc>
          <w:tcPr>
            <w:tcW w:w="246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55157" w:rsidR="003F1942" w:rsidP="003F1942" w:rsidRDefault="003F1942" w14:paraId="07647F2F" w14:textId="77777777">
            <w:pPr>
              <w:rPr>
                <w:bCs/>
                <w:color w:val="000000"/>
                <w:szCs w:val="20"/>
              </w:rPr>
            </w:pPr>
            <w:r w:rsidRPr="00455157">
              <w:rPr>
                <w:bCs/>
                <w:color w:val="000000"/>
                <w:szCs w:val="20"/>
              </w:rPr>
              <w:t>Occupation Title</w:t>
            </w:r>
          </w:p>
        </w:tc>
        <w:tc>
          <w:tcPr>
            <w:tcW w:w="1205"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455157" w:rsidR="003F1942" w:rsidP="003F1942" w:rsidRDefault="003F1942" w14:paraId="356FED8A" w14:textId="77777777">
            <w:pPr>
              <w:rPr>
                <w:bCs/>
                <w:color w:val="000000"/>
                <w:szCs w:val="20"/>
              </w:rPr>
            </w:pPr>
            <w:r w:rsidRPr="00455157">
              <w:rPr>
                <w:bCs/>
                <w:color w:val="000000"/>
                <w:szCs w:val="20"/>
              </w:rPr>
              <w:t>Occupation Code</w:t>
            </w:r>
          </w:p>
        </w:tc>
        <w:tc>
          <w:tcPr>
            <w:tcW w:w="960"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455157" w:rsidR="003F1942" w:rsidP="00CE29D0" w:rsidRDefault="003F1942" w14:paraId="21F89B34" w14:textId="77777777">
            <w:pPr>
              <w:rPr>
                <w:bCs/>
                <w:color w:val="000000"/>
                <w:szCs w:val="20"/>
              </w:rPr>
            </w:pPr>
            <w:r w:rsidRPr="00455157">
              <w:rPr>
                <w:bCs/>
                <w:color w:val="000000"/>
                <w:szCs w:val="20"/>
              </w:rPr>
              <w:t>Mean Hourly Wage</w:t>
            </w:r>
          </w:p>
          <w:p w:rsidRPr="00455157" w:rsidR="003F1942" w:rsidP="00CE29D0" w:rsidRDefault="003F1942" w14:paraId="5966EC16" w14:textId="77777777">
            <w:pPr>
              <w:rPr>
                <w:bCs/>
                <w:color w:val="000000"/>
                <w:szCs w:val="20"/>
              </w:rPr>
            </w:pPr>
            <w:r w:rsidRPr="00455157">
              <w:rPr>
                <w:bCs/>
                <w:color w:val="000000"/>
                <w:szCs w:val="20"/>
              </w:rPr>
              <w:t xml:space="preserve">($/hr) </w:t>
            </w:r>
          </w:p>
        </w:tc>
        <w:tc>
          <w:tcPr>
            <w:tcW w:w="1105"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455157" w:rsidR="003F1942" w:rsidP="00CE29D0" w:rsidRDefault="003F1942" w14:paraId="5C7BEBCC" w14:textId="77777777">
            <w:pPr>
              <w:rPr>
                <w:bCs/>
                <w:color w:val="000000"/>
                <w:szCs w:val="20"/>
              </w:rPr>
            </w:pPr>
            <w:r w:rsidRPr="00455157">
              <w:rPr>
                <w:bCs/>
                <w:color w:val="000000"/>
                <w:szCs w:val="20"/>
              </w:rPr>
              <w:t>Fringe Benefits and Overhead</w:t>
            </w:r>
          </w:p>
          <w:p w:rsidRPr="00455157" w:rsidR="003F1942" w:rsidP="00CE29D0" w:rsidRDefault="003F1942" w14:paraId="1911C8DA" w14:textId="77777777">
            <w:pPr>
              <w:rPr>
                <w:bCs/>
                <w:color w:val="000000"/>
                <w:szCs w:val="20"/>
              </w:rPr>
            </w:pPr>
            <w:r w:rsidRPr="00455157">
              <w:rPr>
                <w:bCs/>
                <w:color w:val="000000"/>
                <w:szCs w:val="20"/>
              </w:rPr>
              <w:t>($/hr)</w:t>
            </w:r>
          </w:p>
        </w:tc>
        <w:tc>
          <w:tcPr>
            <w:tcW w:w="1166" w:type="dxa"/>
            <w:tcBorders>
              <w:top w:val="single" w:color="auto" w:sz="4" w:space="0"/>
              <w:left w:val="nil"/>
              <w:bottom w:val="single" w:color="auto" w:sz="4" w:space="0"/>
              <w:right w:val="single" w:color="auto" w:sz="4" w:space="0"/>
            </w:tcBorders>
            <w:shd w:val="clear" w:color="auto" w:fill="D9D9D9" w:themeFill="background1" w:themeFillShade="D9"/>
            <w:vAlign w:val="center"/>
            <w:hideMark/>
          </w:tcPr>
          <w:p w:rsidRPr="00455157" w:rsidR="003F1942" w:rsidP="00CE29D0" w:rsidRDefault="003F1942" w14:paraId="5A532192" w14:textId="77777777">
            <w:pPr>
              <w:rPr>
                <w:bCs/>
                <w:color w:val="000000"/>
                <w:szCs w:val="20"/>
              </w:rPr>
            </w:pPr>
            <w:r w:rsidRPr="00455157">
              <w:rPr>
                <w:bCs/>
                <w:color w:val="000000"/>
                <w:szCs w:val="20"/>
              </w:rPr>
              <w:t>Adjusted Hourly Wage ($/hr)</w:t>
            </w:r>
          </w:p>
        </w:tc>
      </w:tr>
      <w:tr w:rsidRPr="00455157" w:rsidR="00CE29D0" w:rsidTr="00466F52" w14:paraId="06CA4CEA" w14:textId="77777777">
        <w:trPr>
          <w:trHeight w:val="315"/>
          <w:jc w:val="center"/>
        </w:trPr>
        <w:tc>
          <w:tcPr>
            <w:tcW w:w="2464" w:type="dxa"/>
            <w:tcBorders>
              <w:top w:val="single" w:color="auto" w:sz="4" w:space="0"/>
              <w:left w:val="single" w:color="auto" w:sz="4" w:space="0"/>
              <w:bottom w:val="single" w:color="auto" w:sz="4" w:space="0"/>
              <w:right w:val="single" w:color="auto" w:sz="4" w:space="0"/>
            </w:tcBorders>
            <w:shd w:val="clear" w:color="auto" w:fill="auto"/>
            <w:vAlign w:val="center"/>
          </w:tcPr>
          <w:p w:rsidRPr="00455157" w:rsidR="00CE29D0" w:rsidP="00C82DF3" w:rsidRDefault="00CE29D0" w14:paraId="080444AC" w14:textId="77777777">
            <w:pPr>
              <w:rPr>
                <w:color w:val="000000"/>
                <w:szCs w:val="20"/>
              </w:rPr>
            </w:pPr>
            <w:r w:rsidRPr="00455157">
              <w:rPr>
                <w:color w:val="000000"/>
                <w:szCs w:val="20"/>
              </w:rPr>
              <w:t xml:space="preserve">Management </w:t>
            </w:r>
            <w:r w:rsidRPr="00455157" w:rsidR="00C82DF3">
              <w:rPr>
                <w:color w:val="000000"/>
                <w:szCs w:val="20"/>
              </w:rPr>
              <w:t>A</w:t>
            </w:r>
            <w:r w:rsidRPr="00455157">
              <w:rPr>
                <w:color w:val="000000"/>
                <w:szCs w:val="20"/>
              </w:rPr>
              <w:t>nalyst</w:t>
            </w:r>
          </w:p>
        </w:tc>
        <w:tc>
          <w:tcPr>
            <w:tcW w:w="1205" w:type="dxa"/>
            <w:tcBorders>
              <w:top w:val="single" w:color="auto" w:sz="4" w:space="0"/>
              <w:left w:val="nil"/>
              <w:bottom w:val="single" w:color="auto" w:sz="4" w:space="0"/>
              <w:right w:val="single" w:color="auto" w:sz="4" w:space="0"/>
            </w:tcBorders>
            <w:shd w:val="clear" w:color="auto" w:fill="auto"/>
            <w:vAlign w:val="center"/>
          </w:tcPr>
          <w:p w:rsidRPr="00455157" w:rsidR="00CE29D0" w:rsidP="00500151" w:rsidRDefault="00CE29D0" w14:paraId="26CB35C1" w14:textId="77777777">
            <w:pPr>
              <w:jc w:val="center"/>
              <w:rPr>
                <w:color w:val="000000"/>
                <w:szCs w:val="20"/>
              </w:rPr>
            </w:pPr>
            <w:r w:rsidRPr="00455157">
              <w:rPr>
                <w:color w:val="000000"/>
                <w:szCs w:val="20"/>
              </w:rPr>
              <w:t>13-1111</w:t>
            </w:r>
          </w:p>
        </w:tc>
        <w:tc>
          <w:tcPr>
            <w:tcW w:w="960" w:type="dxa"/>
            <w:tcBorders>
              <w:top w:val="single" w:color="auto" w:sz="4" w:space="0"/>
              <w:left w:val="nil"/>
              <w:bottom w:val="single" w:color="auto" w:sz="4" w:space="0"/>
              <w:right w:val="single" w:color="auto" w:sz="4" w:space="0"/>
            </w:tcBorders>
            <w:shd w:val="clear" w:color="auto" w:fill="auto"/>
            <w:vAlign w:val="center"/>
          </w:tcPr>
          <w:p w:rsidRPr="00455157" w:rsidR="00CE29D0" w:rsidP="00500151" w:rsidRDefault="00CE29D0" w14:paraId="5CD9FA96" w14:textId="77777777">
            <w:pPr>
              <w:jc w:val="center"/>
              <w:rPr>
                <w:color w:val="000000"/>
                <w:szCs w:val="20"/>
              </w:rPr>
            </w:pPr>
            <w:r w:rsidRPr="00455157">
              <w:rPr>
                <w:color w:val="000000"/>
                <w:szCs w:val="20"/>
              </w:rPr>
              <w:t>45.38</w:t>
            </w:r>
          </w:p>
        </w:tc>
        <w:tc>
          <w:tcPr>
            <w:tcW w:w="1105" w:type="dxa"/>
            <w:tcBorders>
              <w:top w:val="single" w:color="auto" w:sz="4" w:space="0"/>
              <w:left w:val="nil"/>
              <w:bottom w:val="single" w:color="auto" w:sz="4" w:space="0"/>
              <w:right w:val="single" w:color="auto" w:sz="4" w:space="0"/>
            </w:tcBorders>
            <w:shd w:val="clear" w:color="auto" w:fill="auto"/>
            <w:vAlign w:val="center"/>
          </w:tcPr>
          <w:p w:rsidRPr="00455157" w:rsidR="00CE29D0" w:rsidP="00500151" w:rsidRDefault="00CE29D0" w14:paraId="316F45A7" w14:textId="77777777">
            <w:pPr>
              <w:jc w:val="center"/>
              <w:rPr>
                <w:color w:val="000000"/>
                <w:szCs w:val="20"/>
              </w:rPr>
            </w:pPr>
            <w:r w:rsidRPr="00455157">
              <w:rPr>
                <w:color w:val="000000"/>
                <w:szCs w:val="20"/>
              </w:rPr>
              <w:t>45.38</w:t>
            </w:r>
          </w:p>
        </w:tc>
        <w:tc>
          <w:tcPr>
            <w:tcW w:w="1166" w:type="dxa"/>
            <w:tcBorders>
              <w:top w:val="single" w:color="auto" w:sz="4" w:space="0"/>
              <w:left w:val="nil"/>
              <w:bottom w:val="single" w:color="auto" w:sz="4" w:space="0"/>
              <w:right w:val="single" w:color="auto" w:sz="4" w:space="0"/>
            </w:tcBorders>
            <w:shd w:val="clear" w:color="auto" w:fill="auto"/>
            <w:noWrap/>
            <w:vAlign w:val="center"/>
          </w:tcPr>
          <w:p w:rsidRPr="00455157" w:rsidR="00CE29D0" w:rsidP="00500151" w:rsidRDefault="00CE29D0" w14:paraId="14CFE67F" w14:textId="77777777">
            <w:pPr>
              <w:jc w:val="center"/>
              <w:rPr>
                <w:color w:val="000000"/>
                <w:szCs w:val="20"/>
              </w:rPr>
            </w:pPr>
            <w:r w:rsidRPr="00455157">
              <w:rPr>
                <w:color w:val="000000"/>
                <w:szCs w:val="20"/>
              </w:rPr>
              <w:t>90.76</w:t>
            </w:r>
          </w:p>
        </w:tc>
      </w:tr>
    </w:tbl>
    <w:p w:rsidRPr="00455157" w:rsidR="003F1942" w:rsidP="00466F52" w:rsidRDefault="003F1942" w14:paraId="19F55805" w14:textId="77777777">
      <w:pPr>
        <w:keepNext/>
        <w:rPr>
          <w:snapToGrid w:val="0"/>
          <w:szCs w:val="20"/>
        </w:rPr>
      </w:pPr>
    </w:p>
    <w:p w:rsidRPr="00455157" w:rsidR="003F1942" w:rsidP="00CD6C65" w:rsidRDefault="003F1942" w14:paraId="743E7554" w14:textId="114F1960">
      <w:pPr>
        <w:keepNext/>
        <w:ind w:left="720"/>
        <w:rPr>
          <w:snapToGrid w:val="0"/>
          <w:sz w:val="24"/>
        </w:rPr>
      </w:pPr>
      <w:r w:rsidRPr="00455157">
        <w:rPr>
          <w:snapToGrid w:val="0"/>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w:t>
      </w:r>
      <w:r w:rsidRPr="00455157" w:rsidR="006B701E">
        <w:rPr>
          <w:snapToGrid w:val="0"/>
          <w:sz w:val="24"/>
        </w:rPr>
        <w:t>.</w:t>
      </w:r>
    </w:p>
    <w:p w:rsidRPr="00455157" w:rsidR="00406BB6" w:rsidP="003F1942" w:rsidRDefault="00406BB6" w14:paraId="1B281C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406BB6" w:rsidP="00CD6C65" w:rsidRDefault="00406BB6" w14:paraId="6CDD971B" w14:textId="77777777">
      <w:pPr>
        <w:pStyle w:val="BodyText"/>
        <w:ind w:left="432"/>
        <w:outlineLvl w:val="2"/>
        <w:rPr>
          <w:i/>
        </w:rPr>
      </w:pPr>
      <w:r w:rsidRPr="00455157">
        <w:rPr>
          <w:i/>
        </w:rPr>
        <w:t>Collection of Information Requirements and Associated Burden Estimates</w:t>
      </w:r>
    </w:p>
    <w:p w:rsidRPr="00455157" w:rsidR="00406BB6" w:rsidRDefault="00406BB6" w14:paraId="0BFAE7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6B701E" w:rsidP="00CD6C65" w:rsidRDefault="00F243DC" w14:paraId="549C136B" w14:textId="28B11A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The following</w:t>
      </w:r>
      <w:r w:rsidRPr="00455157" w:rsidR="003A1842">
        <w:rPr>
          <w:sz w:val="24"/>
        </w:rPr>
        <w:t xml:space="preserve"> proposed</w:t>
      </w:r>
      <w:r w:rsidRPr="00455157">
        <w:rPr>
          <w:sz w:val="24"/>
        </w:rPr>
        <w:t xml:space="preserve"> requirements and</w:t>
      </w:r>
      <w:r w:rsidRPr="00455157" w:rsidR="00041B14">
        <w:rPr>
          <w:sz w:val="24"/>
        </w:rPr>
        <w:t xml:space="preserve"> burden estimates reflect the planned program integrity portal and the new data </w:t>
      </w:r>
      <w:r w:rsidRPr="00455157" w:rsidR="003A1842">
        <w:rPr>
          <w:sz w:val="24"/>
        </w:rPr>
        <w:t xml:space="preserve">set out </w:t>
      </w:r>
      <w:r w:rsidRPr="00455157" w:rsidR="00197E08">
        <w:rPr>
          <w:sz w:val="24"/>
        </w:rPr>
        <w:t xml:space="preserve">in </w:t>
      </w:r>
      <w:r w:rsidRPr="00455157" w:rsidR="003A1842">
        <w:rPr>
          <w:sz w:val="24"/>
        </w:rPr>
        <w:t xml:space="preserve">our CMS-4190-P </w:t>
      </w:r>
      <w:r w:rsidRPr="00455157" w:rsidR="00480A13">
        <w:rPr>
          <w:sz w:val="24"/>
        </w:rPr>
        <w:t xml:space="preserve">proposed </w:t>
      </w:r>
      <w:r w:rsidRPr="00455157" w:rsidR="00197E08">
        <w:rPr>
          <w:sz w:val="24"/>
        </w:rPr>
        <w:t>regulation</w:t>
      </w:r>
      <w:r w:rsidRPr="00455157" w:rsidR="00041B14">
        <w:rPr>
          <w:sz w:val="24"/>
        </w:rPr>
        <w:t>.</w:t>
      </w:r>
    </w:p>
    <w:p w:rsidRPr="00455157" w:rsidR="008534D1" w:rsidP="00CD6C65" w:rsidRDefault="008534D1" w14:paraId="3385CF86" w14:textId="1BFE96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455157" w:rsidR="008534D1" w:rsidP="00CD6C65" w:rsidRDefault="008534D1" w14:paraId="2F7722A5" w14:textId="01C1A5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4"/>
        </w:rPr>
      </w:pPr>
      <w:r w:rsidRPr="00455157">
        <w:rPr>
          <w:sz w:val="24"/>
        </w:rPr>
        <w:t xml:space="preserve">The source for our estimates is a </w:t>
      </w:r>
      <w:r w:rsidRPr="00455157">
        <w:rPr>
          <w:snapToGrid w:val="0"/>
          <w:sz w:val="24"/>
        </w:rPr>
        <w:t xml:space="preserve">pilot program that the Agency initiated in December 2016 with six plan sponsors to test the effectiveness of mandatory reporting of fraud, waste and abuse.  The pilot program collected all </w:t>
      </w:r>
      <w:r w:rsidRPr="00455157">
        <w:rPr>
          <w:rFonts w:eastAsia="Calibri"/>
          <w:snapToGrid w:val="0"/>
          <w:sz w:val="24"/>
        </w:rPr>
        <w:t xml:space="preserve">external or internal Medicare complaints and referrals submitted to the plan’s Special Investigations Unit (SIU).  </w:t>
      </w:r>
      <w:r w:rsidRPr="00455157">
        <w:rPr>
          <w:rFonts w:eastAsia="Calibri"/>
          <w:snapToGrid w:val="0"/>
          <w:sz w:val="24"/>
          <w:szCs w:val="20"/>
        </w:rPr>
        <w:t xml:space="preserve">The data collected as part of the pilot program was time limited, but broader than the scope of reporting required by sections 2008 and 6063 of the SUPPORT Act.  The scope of that pilot tested the reporting of all types of health care fraud, waste, and abuse that the plan sponsors could encounter in their operations and, therefore, could be utilized as a reasonable estimate of burden involved with the quarterly plan reporting to CMS that CMS will use to implement sections 2008 and 6063 of the SUPPORT Act.  </w:t>
      </w:r>
      <w:r w:rsidRPr="00455157">
        <w:rPr>
          <w:snapToGrid w:val="0"/>
          <w:sz w:val="24"/>
        </w:rPr>
        <w:t>The pilot program analyzed information that was reported from five of six plan participants on time spent collecting three quarterly data submissions.</w:t>
      </w:r>
    </w:p>
    <w:p w:rsidRPr="00455157" w:rsidR="006B701E" w:rsidRDefault="006B701E" w14:paraId="0878DB0D" w14:textId="19C6CB65">
      <w:pPr>
        <w:widowControl/>
        <w:autoSpaceDE/>
        <w:autoSpaceDN/>
        <w:adjustRightInd/>
        <w:rPr>
          <w:snapToGrid w:val="0"/>
          <w:sz w:val="24"/>
        </w:rPr>
      </w:pPr>
    </w:p>
    <w:p w:rsidRPr="00455157" w:rsidR="002241EE" w:rsidP="00CD6C65" w:rsidRDefault="00041B14" w14:paraId="1F7843A9" w14:textId="5C69C6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napToGrid w:val="0"/>
          <w:sz w:val="24"/>
        </w:rPr>
        <w:t xml:space="preserve">Based on the results of the pilot study, if every plan reported, we estimate it would take </w:t>
      </w:r>
      <w:r w:rsidRPr="00455157" w:rsidR="00B147CB">
        <w:rPr>
          <w:snapToGrid w:val="0"/>
          <w:sz w:val="24"/>
        </w:rPr>
        <w:t>6</w:t>
      </w:r>
      <w:r w:rsidRPr="00455157" w:rsidR="008534D1">
        <w:rPr>
          <w:snapToGrid w:val="0"/>
          <w:sz w:val="24"/>
        </w:rPr>
        <w:t>05</w:t>
      </w:r>
      <w:r w:rsidRPr="00455157" w:rsidR="00B147CB">
        <w:rPr>
          <w:snapToGrid w:val="0"/>
          <w:sz w:val="24"/>
        </w:rPr>
        <w:t xml:space="preserve"> Part </w:t>
      </w:r>
      <w:r w:rsidRPr="00455157" w:rsidR="008534D1">
        <w:rPr>
          <w:snapToGrid w:val="0"/>
          <w:sz w:val="24"/>
        </w:rPr>
        <w:t>C</w:t>
      </w:r>
      <w:r w:rsidRPr="00455157" w:rsidR="00F94CE4">
        <w:rPr>
          <w:snapToGrid w:val="0"/>
          <w:sz w:val="24"/>
        </w:rPr>
        <w:t xml:space="preserve"> </w:t>
      </w:r>
      <w:r w:rsidRPr="00455157" w:rsidR="00B147CB">
        <w:rPr>
          <w:snapToGrid w:val="0"/>
          <w:sz w:val="24"/>
        </w:rPr>
        <w:t>plans 1</w:t>
      </w:r>
      <w:r w:rsidRPr="00455157" w:rsidR="00F94CE4">
        <w:rPr>
          <w:snapToGrid w:val="0"/>
          <w:sz w:val="24"/>
        </w:rPr>
        <w:t>49,435</w:t>
      </w:r>
      <w:r w:rsidRPr="00455157">
        <w:rPr>
          <w:snapToGrid w:val="0"/>
          <w:sz w:val="24"/>
        </w:rPr>
        <w:t xml:space="preserve"> </w:t>
      </w:r>
      <w:r w:rsidRPr="00455157" w:rsidR="00F94CE4">
        <w:rPr>
          <w:snapToGrid w:val="0"/>
          <w:sz w:val="24"/>
        </w:rPr>
        <w:t xml:space="preserve">hours </w:t>
      </w:r>
      <w:r w:rsidRPr="00455157" w:rsidR="00B147CB">
        <w:rPr>
          <w:snapToGrid w:val="0"/>
          <w:sz w:val="24"/>
        </w:rPr>
        <w:t>(Total number of plans (6</w:t>
      </w:r>
      <w:r w:rsidRPr="00455157" w:rsidR="00F94CE4">
        <w:rPr>
          <w:snapToGrid w:val="0"/>
          <w:sz w:val="24"/>
        </w:rPr>
        <w:t>05</w:t>
      </w:r>
      <w:r w:rsidRPr="00455157">
        <w:rPr>
          <w:snapToGrid w:val="0"/>
          <w:sz w:val="24"/>
        </w:rPr>
        <w:t xml:space="preserve">) X Average Reported Hours Per Plan Required to Comply (247)) </w:t>
      </w:r>
      <w:r w:rsidRPr="00455157" w:rsidR="00B147CB">
        <w:rPr>
          <w:snapToGrid w:val="0"/>
          <w:sz w:val="24"/>
        </w:rPr>
        <w:t>at a cost of $</w:t>
      </w:r>
      <w:r w:rsidRPr="00455157" w:rsidR="00B147CB">
        <w:rPr>
          <w:color w:val="000000"/>
          <w:sz w:val="24"/>
        </w:rPr>
        <w:t>1</w:t>
      </w:r>
      <w:r w:rsidRPr="00455157" w:rsidR="00F94CE4">
        <w:rPr>
          <w:color w:val="000000"/>
          <w:sz w:val="24"/>
        </w:rPr>
        <w:t>3,562,721</w:t>
      </w:r>
      <w:r w:rsidRPr="00455157">
        <w:rPr>
          <w:snapToGrid w:val="0"/>
          <w:sz w:val="24"/>
        </w:rPr>
        <w:t xml:space="preserve"> (T</w:t>
      </w:r>
      <w:r w:rsidRPr="00455157" w:rsidR="00B147CB">
        <w:rPr>
          <w:snapToGrid w:val="0"/>
          <w:sz w:val="24"/>
        </w:rPr>
        <w:t>ime Burden Estimate for Part</w:t>
      </w:r>
      <w:r w:rsidRPr="00455157">
        <w:rPr>
          <w:snapToGrid w:val="0"/>
          <w:sz w:val="24"/>
        </w:rPr>
        <w:t xml:space="preserve"> D Plans (</w:t>
      </w:r>
      <w:r w:rsidRPr="00455157" w:rsidR="00B147CB">
        <w:rPr>
          <w:rFonts w:eastAsia="Calibri"/>
          <w:sz w:val="24"/>
        </w:rPr>
        <w:t>15,561</w:t>
      </w:r>
      <w:r w:rsidRPr="00455157">
        <w:rPr>
          <w:rFonts w:eastAsia="Calibri"/>
          <w:sz w:val="24"/>
        </w:rPr>
        <w:t>)</w:t>
      </w:r>
      <w:r w:rsidRPr="00455157">
        <w:rPr>
          <w:snapToGrid w:val="0"/>
          <w:sz w:val="24"/>
        </w:rPr>
        <w:t xml:space="preserve"> X Wage Rate For a Management Analyst ($90.76)) to fulfill the proposed reporting and procedure preparation in the first year. </w:t>
      </w:r>
      <w:r w:rsidRPr="00455157" w:rsidR="00B147CB">
        <w:rPr>
          <w:snapToGrid w:val="0"/>
          <w:sz w:val="24"/>
        </w:rPr>
        <w:t xml:space="preserve"> </w:t>
      </w:r>
      <w:r w:rsidRPr="00455157">
        <w:rPr>
          <w:snapToGrid w:val="0"/>
          <w:sz w:val="24"/>
        </w:rPr>
        <w:t xml:space="preserve">In subsequent years, we estimate an annual burden of </w:t>
      </w:r>
      <w:r w:rsidRPr="00455157" w:rsidR="00F94CE4">
        <w:rPr>
          <w:snapToGrid w:val="0"/>
          <w:sz w:val="24"/>
        </w:rPr>
        <w:t>94,380</w:t>
      </w:r>
      <w:r w:rsidRPr="00455157">
        <w:rPr>
          <w:snapToGrid w:val="0"/>
          <w:sz w:val="24"/>
        </w:rPr>
        <w:t xml:space="preserve"> h</w:t>
      </w:r>
      <w:r w:rsidRPr="00455157" w:rsidR="00B147CB">
        <w:rPr>
          <w:snapToGrid w:val="0"/>
          <w:sz w:val="24"/>
        </w:rPr>
        <w:t>ours (Total number of plans (6</w:t>
      </w:r>
      <w:r w:rsidRPr="00455157" w:rsidR="00F94CE4">
        <w:rPr>
          <w:snapToGrid w:val="0"/>
          <w:sz w:val="24"/>
        </w:rPr>
        <w:t>05</w:t>
      </w:r>
      <w:r w:rsidRPr="00455157">
        <w:rPr>
          <w:snapToGrid w:val="0"/>
          <w:sz w:val="24"/>
        </w:rPr>
        <w:t>) X Average Reported Hours Pe</w:t>
      </w:r>
      <w:r w:rsidRPr="00455157" w:rsidR="00B147CB">
        <w:rPr>
          <w:snapToGrid w:val="0"/>
          <w:sz w:val="24"/>
        </w:rPr>
        <w:t>r Plan Required to Comply (156)</w:t>
      </w:r>
      <w:r w:rsidRPr="00455157">
        <w:rPr>
          <w:snapToGrid w:val="0"/>
          <w:sz w:val="24"/>
        </w:rPr>
        <w:t xml:space="preserve">) at a cost of </w:t>
      </w:r>
      <w:r w:rsidRPr="00455157" w:rsidR="00B147CB">
        <w:rPr>
          <w:snapToGrid w:val="0"/>
          <w:sz w:val="24"/>
        </w:rPr>
        <w:t>$</w:t>
      </w:r>
      <w:r w:rsidRPr="00455157" w:rsidR="00F94CE4">
        <w:rPr>
          <w:snapToGrid w:val="0"/>
          <w:sz w:val="24"/>
        </w:rPr>
        <w:t>8,565,929</w:t>
      </w:r>
      <w:r w:rsidRPr="00455157">
        <w:rPr>
          <w:snapToGrid w:val="0"/>
          <w:sz w:val="24"/>
        </w:rPr>
        <w:t xml:space="preserve"> (Time Burden Estimate for </w:t>
      </w:r>
      <w:r w:rsidRPr="00455157" w:rsidR="00F94CE4">
        <w:rPr>
          <w:snapToGrid w:val="0"/>
          <w:sz w:val="24"/>
        </w:rPr>
        <w:t>C</w:t>
      </w:r>
      <w:r w:rsidRPr="00455157" w:rsidR="00BB46CF">
        <w:rPr>
          <w:snapToGrid w:val="0"/>
          <w:sz w:val="24"/>
        </w:rPr>
        <w:t xml:space="preserve"> Plans (9</w:t>
      </w:r>
      <w:r w:rsidRPr="00455157" w:rsidR="00F94CE4">
        <w:rPr>
          <w:snapToGrid w:val="0"/>
          <w:sz w:val="24"/>
        </w:rPr>
        <w:t>4,380</w:t>
      </w:r>
      <w:r w:rsidRPr="00455157" w:rsidR="00BB46CF">
        <w:rPr>
          <w:snapToGrid w:val="0"/>
          <w:sz w:val="24"/>
        </w:rPr>
        <w:t>)</w:t>
      </w:r>
      <w:r w:rsidRPr="00455157">
        <w:rPr>
          <w:snapToGrid w:val="0"/>
          <w:sz w:val="24"/>
        </w:rPr>
        <w:t xml:space="preserve"> X Wage Rate For a Management Analyst ($90.76)). </w:t>
      </w:r>
      <w:r w:rsidRPr="00455157" w:rsidR="006B701E">
        <w:rPr>
          <w:snapToGrid w:val="0"/>
          <w:sz w:val="24"/>
        </w:rPr>
        <w:t xml:space="preserve"> </w:t>
      </w:r>
      <w:r w:rsidRPr="00455157">
        <w:rPr>
          <w:snapToGrid w:val="0"/>
          <w:sz w:val="24"/>
        </w:rPr>
        <w:t xml:space="preserve">The first-year costs consist of the time and effort needed to prepare the procedures and report </w:t>
      </w:r>
      <w:r w:rsidRPr="00455157">
        <w:rPr>
          <w:snapToGrid w:val="0"/>
          <w:sz w:val="24"/>
        </w:rPr>
        <w:lastRenderedPageBreak/>
        <w:t xml:space="preserve">the inappropriate prescribing information. </w:t>
      </w:r>
      <w:r w:rsidRPr="00455157" w:rsidR="006B701E">
        <w:rPr>
          <w:snapToGrid w:val="0"/>
          <w:sz w:val="24"/>
        </w:rPr>
        <w:t xml:space="preserve"> </w:t>
      </w:r>
      <w:r w:rsidRPr="00455157">
        <w:rPr>
          <w:snapToGrid w:val="0"/>
          <w:sz w:val="24"/>
        </w:rPr>
        <w:t xml:space="preserve">Subsequent effort consists solely of the ongoing time and cost to report the inappropriate prescribing information to CMS. </w:t>
      </w:r>
      <w:r w:rsidRPr="00455157" w:rsidR="006B701E">
        <w:rPr>
          <w:snapToGrid w:val="0"/>
          <w:sz w:val="24"/>
        </w:rPr>
        <w:t xml:space="preserve"> </w:t>
      </w:r>
      <w:r w:rsidRPr="00455157">
        <w:rPr>
          <w:snapToGrid w:val="0"/>
          <w:sz w:val="24"/>
        </w:rPr>
        <w:t>We cannot anticipate how many plans will need to report any payment suspension to pharmacies in the plans’ network or information on inappropriate opioid prescribing to CMS.</w:t>
      </w:r>
    </w:p>
    <w:p w:rsidRPr="00455157" w:rsidR="008534D1" w:rsidP="002241EE" w:rsidRDefault="008534D1" w14:paraId="63C87E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55157" w:rsidR="008534D1" w:rsidP="00CD6C65" w:rsidRDefault="008534D1" w14:paraId="1D9FCDD1" w14:textId="60EBDCB6">
      <w:pPr>
        <w:keepNext/>
        <w:keepLines/>
        <w:ind w:left="720"/>
        <w:rPr>
          <w:rFonts w:eastAsia="Calibri"/>
          <w:color w:val="000000"/>
          <w:sz w:val="24"/>
        </w:rPr>
      </w:pPr>
      <w:r w:rsidRPr="00455157">
        <w:rPr>
          <w:rFonts w:eastAsia="Calibri"/>
          <w:color w:val="000000"/>
          <w:sz w:val="24"/>
        </w:rPr>
        <w:t xml:space="preserve">Utilizing the pilot as a basis for the burden calculation, it should be noted that a higher level of effort (plan burden) was required for the first data submission as plan sponsors became familiar with the data fields and mapped their data.  </w:t>
      </w:r>
      <w:r w:rsidRPr="00455157" w:rsidR="006B701E">
        <w:rPr>
          <w:rFonts w:eastAsia="Calibri"/>
          <w:color w:val="000000"/>
          <w:sz w:val="24"/>
        </w:rPr>
        <w:t xml:space="preserve"> </w:t>
      </w:r>
      <w:r w:rsidRPr="00455157">
        <w:rPr>
          <w:rFonts w:eastAsia="Calibri"/>
          <w:color w:val="000000"/>
          <w:sz w:val="24"/>
        </w:rPr>
        <w:t xml:space="preserve">However, the following data submissions required a significantly reduced level of effort.  </w:t>
      </w:r>
      <w:r w:rsidRPr="00455157" w:rsidR="006B701E">
        <w:rPr>
          <w:rFonts w:eastAsia="Calibri"/>
          <w:color w:val="000000"/>
          <w:sz w:val="24"/>
        </w:rPr>
        <w:t xml:space="preserve"> </w:t>
      </w:r>
      <w:r w:rsidRPr="00455157">
        <w:rPr>
          <w:rFonts w:eastAsia="Calibri"/>
          <w:color w:val="000000"/>
          <w:sz w:val="24"/>
        </w:rPr>
        <w:t>The first year as previously shown reflects that higher level of effort, 247 hours per plan.  For each future year, the estimate is shown at 156 hours per plan.</w:t>
      </w:r>
    </w:p>
    <w:p w:rsidRPr="00455157" w:rsidR="008534D1" w:rsidP="008534D1" w:rsidRDefault="008534D1" w14:paraId="16A794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napToGrid w:val="0"/>
          <w:sz w:val="24"/>
        </w:rPr>
      </w:pPr>
    </w:p>
    <w:p w:rsidRPr="00455157" w:rsidR="008534D1" w:rsidP="00CD6C65" w:rsidRDefault="008534D1" w14:paraId="3601A0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napToGrid w:val="0"/>
          <w:sz w:val="24"/>
        </w:rPr>
        <w:t xml:space="preserve">We would note that the updated estimates of cost assumed that a management analyst (BLS </w:t>
      </w:r>
      <w:r w:rsidRPr="00455157">
        <w:rPr>
          <w:rFonts w:eastAsia="Calibri"/>
          <w:sz w:val="24"/>
        </w:rPr>
        <w:t xml:space="preserve">Occupational title 13-1111) would be the typical staff person who would be involved in collecting and or reporting the required data.  This assumption reflected the information we requested from plans on that subject during the pilot program.   It is also important to note that the </w:t>
      </w:r>
      <w:r w:rsidRPr="00455157">
        <w:rPr>
          <w:snapToGrid w:val="0"/>
          <w:sz w:val="24"/>
        </w:rPr>
        <w:t>t</w:t>
      </w:r>
      <w:r w:rsidRPr="00455157">
        <w:rPr>
          <w:rFonts w:eastAsia="Calibri"/>
          <w:color w:val="000000"/>
          <w:sz w:val="24"/>
        </w:rPr>
        <w:t>otal number of Part C</w:t>
      </w:r>
      <w:r w:rsidRPr="00455157" w:rsidR="00256DAE">
        <w:rPr>
          <w:rFonts w:eastAsia="Calibri"/>
          <w:color w:val="000000"/>
          <w:sz w:val="24"/>
        </w:rPr>
        <w:t xml:space="preserve"> </w:t>
      </w:r>
      <w:r w:rsidRPr="00455157">
        <w:rPr>
          <w:rFonts w:eastAsia="Calibri"/>
          <w:color w:val="000000"/>
          <w:sz w:val="24"/>
        </w:rPr>
        <w:t>plans in 2020 (605) was determined through a review of HPMS; the total number excludes PACE plans who are not required to report via HPMS.</w:t>
      </w:r>
    </w:p>
    <w:p w:rsidRPr="00455157" w:rsidR="002241EE" w:rsidP="002241EE" w:rsidRDefault="002241EE" w14:paraId="77791A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55157" w:rsidR="00BE6C3A" w:rsidP="00481219" w:rsidRDefault="00BE6C3A" w14:paraId="7BED8808" w14:textId="77777777">
      <w:pPr>
        <w:pStyle w:val="BodyText"/>
        <w:ind w:left="720"/>
        <w:outlineLvl w:val="2"/>
        <w:rPr>
          <w:i/>
        </w:rPr>
      </w:pPr>
      <w:r w:rsidRPr="00455157">
        <w:rPr>
          <w:i/>
        </w:rPr>
        <w:t>Burden Summary</w:t>
      </w:r>
    </w:p>
    <w:p w:rsidRPr="00455157" w:rsidR="00AA5CFF" w:rsidP="00AA5CFF" w:rsidRDefault="00AA5CFF" w14:paraId="5FE256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11700" w:type="dxa"/>
        <w:tblInd w:w="-1175" w:type="dxa"/>
        <w:tblLayout w:type="fixed"/>
        <w:tblLook w:val="04A0" w:firstRow="1" w:lastRow="0" w:firstColumn="1" w:lastColumn="0" w:noHBand="0" w:noVBand="1"/>
      </w:tblPr>
      <w:tblGrid>
        <w:gridCol w:w="1080"/>
        <w:gridCol w:w="2340"/>
        <w:gridCol w:w="990"/>
        <w:gridCol w:w="1350"/>
        <w:gridCol w:w="1080"/>
        <w:gridCol w:w="990"/>
        <w:gridCol w:w="1071"/>
        <w:gridCol w:w="1426"/>
        <w:gridCol w:w="1373"/>
      </w:tblGrid>
      <w:tr w:rsidRPr="00455157" w:rsidR="00AA5CFF" w:rsidTr="001B7F2B" w14:paraId="5EBF7AB1" w14:textId="77777777">
        <w:trPr>
          <w:trHeight w:val="1290"/>
        </w:trPr>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55157" w:rsidR="00AA5CFF" w:rsidP="00EF7936" w:rsidRDefault="00EF7936" w14:paraId="092D9738" w14:textId="2EAFF455">
            <w:pPr>
              <w:jc w:val="center"/>
              <w:rPr>
                <w:b/>
                <w:color w:val="000000"/>
                <w:szCs w:val="20"/>
              </w:rPr>
            </w:pPr>
            <w:r>
              <w:rPr>
                <w:b/>
                <w:color w:val="000000"/>
                <w:szCs w:val="20"/>
              </w:rPr>
              <w:t>Subject</w:t>
            </w:r>
          </w:p>
        </w:tc>
        <w:tc>
          <w:tcPr>
            <w:tcW w:w="2340" w:type="dxa"/>
            <w:tcBorders>
              <w:top w:val="single" w:color="auto" w:sz="4" w:space="0"/>
              <w:left w:val="nil"/>
              <w:bottom w:val="single" w:color="auto" w:sz="4" w:space="0"/>
              <w:right w:val="single" w:color="auto" w:sz="4" w:space="0"/>
            </w:tcBorders>
            <w:shd w:val="clear" w:color="auto" w:fill="auto"/>
            <w:vAlign w:val="bottom"/>
            <w:hideMark/>
          </w:tcPr>
          <w:p w:rsidRPr="00455157" w:rsidR="00AA5CFF" w:rsidP="001B7F2B" w:rsidRDefault="00AA5CFF" w14:paraId="350F0002" w14:textId="77777777">
            <w:pPr>
              <w:jc w:val="center"/>
              <w:rPr>
                <w:b/>
                <w:color w:val="000000"/>
                <w:szCs w:val="20"/>
              </w:rPr>
            </w:pPr>
            <w:r w:rsidRPr="00455157">
              <w:rPr>
                <w:b/>
                <w:color w:val="000000"/>
                <w:szCs w:val="20"/>
              </w:rPr>
              <w:t>Regulatory Citation</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455157" w:rsidR="00AA5CFF" w:rsidP="001B7F2B" w:rsidRDefault="00EF7936" w14:paraId="1B801D34" w14:textId="3F57A2FC">
            <w:pPr>
              <w:jc w:val="center"/>
              <w:rPr>
                <w:b/>
                <w:color w:val="000000"/>
                <w:szCs w:val="20"/>
              </w:rPr>
            </w:pPr>
            <w:r w:rsidRPr="00455157">
              <w:rPr>
                <w:b/>
                <w:color w:val="000000"/>
                <w:szCs w:val="20"/>
              </w:rPr>
              <w:t>Number of Respondents</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455157" w:rsidR="00AA5CFF" w:rsidP="001B7F2B" w:rsidRDefault="00AA5CFF" w14:paraId="1CED0A84" w14:textId="77777777">
            <w:pPr>
              <w:jc w:val="center"/>
              <w:rPr>
                <w:b/>
                <w:color w:val="000000"/>
                <w:szCs w:val="20"/>
              </w:rPr>
            </w:pPr>
            <w:r w:rsidRPr="00455157">
              <w:rPr>
                <w:b/>
                <w:color w:val="000000"/>
                <w:szCs w:val="20"/>
              </w:rPr>
              <w:t>Number of Respondents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455157" w:rsidR="00AA5CFF" w:rsidP="001B7F2B" w:rsidRDefault="00AA5CFF" w14:paraId="4CB92D63" w14:textId="77777777">
            <w:pPr>
              <w:jc w:val="center"/>
              <w:rPr>
                <w:b/>
                <w:color w:val="000000"/>
                <w:szCs w:val="20"/>
              </w:rPr>
            </w:pPr>
            <w:r w:rsidRPr="00455157">
              <w:rPr>
                <w:b/>
                <w:color w:val="000000"/>
                <w:szCs w:val="20"/>
              </w:rPr>
              <w:t>Time per Response (hr)</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455157" w:rsidR="00AA5CFF" w:rsidP="001B7F2B" w:rsidRDefault="00AA5CFF" w14:paraId="770F1B15" w14:textId="77777777">
            <w:pPr>
              <w:jc w:val="center"/>
              <w:rPr>
                <w:b/>
                <w:color w:val="000000"/>
                <w:szCs w:val="20"/>
              </w:rPr>
            </w:pPr>
            <w:r w:rsidRPr="00455157">
              <w:rPr>
                <w:b/>
                <w:color w:val="000000"/>
                <w:szCs w:val="20"/>
              </w:rPr>
              <w:t>Total Time (hr)</w:t>
            </w:r>
          </w:p>
        </w:tc>
        <w:tc>
          <w:tcPr>
            <w:tcW w:w="1071" w:type="dxa"/>
            <w:tcBorders>
              <w:top w:val="single" w:color="auto" w:sz="4" w:space="0"/>
              <w:left w:val="nil"/>
              <w:bottom w:val="single" w:color="auto" w:sz="4" w:space="0"/>
              <w:right w:val="single" w:color="auto" w:sz="4" w:space="0"/>
            </w:tcBorders>
            <w:shd w:val="clear" w:color="auto" w:fill="auto"/>
            <w:vAlign w:val="bottom"/>
            <w:hideMark/>
          </w:tcPr>
          <w:p w:rsidRPr="00455157" w:rsidR="00AA5CFF" w:rsidP="001B7F2B" w:rsidRDefault="00AA5CFF" w14:paraId="198EF8F4" w14:textId="77777777">
            <w:pPr>
              <w:jc w:val="center"/>
              <w:rPr>
                <w:b/>
                <w:color w:val="000000"/>
                <w:szCs w:val="20"/>
              </w:rPr>
            </w:pPr>
            <w:r w:rsidRPr="00455157">
              <w:rPr>
                <w:b/>
                <w:color w:val="000000"/>
                <w:szCs w:val="20"/>
              </w:rPr>
              <w:t>Labor Cost ($/hr)</w:t>
            </w:r>
          </w:p>
        </w:tc>
        <w:tc>
          <w:tcPr>
            <w:tcW w:w="1426" w:type="dxa"/>
            <w:tcBorders>
              <w:top w:val="single" w:color="auto" w:sz="4" w:space="0"/>
              <w:left w:val="nil"/>
              <w:bottom w:val="single" w:color="auto" w:sz="4" w:space="0"/>
              <w:right w:val="single" w:color="auto" w:sz="4" w:space="0"/>
            </w:tcBorders>
            <w:shd w:val="clear" w:color="auto" w:fill="auto"/>
            <w:vAlign w:val="bottom"/>
            <w:hideMark/>
          </w:tcPr>
          <w:p w:rsidRPr="00455157" w:rsidR="00AA5CFF" w:rsidP="001B7F2B" w:rsidRDefault="00AA5CFF" w14:paraId="1CF17A17" w14:textId="77777777">
            <w:pPr>
              <w:jc w:val="center"/>
              <w:rPr>
                <w:b/>
                <w:color w:val="000000"/>
                <w:szCs w:val="20"/>
              </w:rPr>
            </w:pPr>
            <w:r w:rsidRPr="00455157">
              <w:rPr>
                <w:b/>
                <w:color w:val="000000"/>
                <w:szCs w:val="20"/>
              </w:rPr>
              <w:t>Total Cost in 1</w:t>
            </w:r>
            <w:r w:rsidRPr="00455157">
              <w:rPr>
                <w:b/>
                <w:color w:val="000000"/>
                <w:szCs w:val="20"/>
                <w:vertAlign w:val="superscript"/>
              </w:rPr>
              <w:t>st</w:t>
            </w:r>
            <w:r w:rsidRPr="00455157">
              <w:rPr>
                <w:b/>
                <w:color w:val="000000"/>
                <w:szCs w:val="20"/>
              </w:rPr>
              <w:t xml:space="preserve"> Year ($)</w:t>
            </w:r>
          </w:p>
        </w:tc>
        <w:tc>
          <w:tcPr>
            <w:tcW w:w="1373" w:type="dxa"/>
            <w:tcBorders>
              <w:top w:val="single" w:color="auto" w:sz="4" w:space="0"/>
              <w:left w:val="nil"/>
              <w:bottom w:val="single" w:color="auto" w:sz="4" w:space="0"/>
              <w:right w:val="single" w:color="auto" w:sz="4" w:space="0"/>
            </w:tcBorders>
            <w:shd w:val="clear" w:color="auto" w:fill="auto"/>
            <w:vAlign w:val="bottom"/>
            <w:hideMark/>
          </w:tcPr>
          <w:p w:rsidRPr="00455157" w:rsidR="00AA5CFF" w:rsidP="001B7F2B" w:rsidRDefault="00AA5CFF" w14:paraId="76E588D6" w14:textId="77777777">
            <w:pPr>
              <w:jc w:val="center"/>
              <w:rPr>
                <w:b/>
                <w:color w:val="000000"/>
                <w:szCs w:val="20"/>
              </w:rPr>
            </w:pPr>
            <w:r w:rsidRPr="00455157">
              <w:rPr>
                <w:b/>
                <w:color w:val="000000"/>
                <w:szCs w:val="20"/>
              </w:rPr>
              <w:t>Total Cost in Subsequent Years ($)</w:t>
            </w:r>
          </w:p>
        </w:tc>
      </w:tr>
      <w:tr w:rsidRPr="00455157" w:rsidR="00AA5CFF" w:rsidTr="001B7F2B" w14:paraId="0B7A4BA2" w14:textId="77777777">
        <w:trPr>
          <w:trHeight w:val="780"/>
        </w:trPr>
        <w:tc>
          <w:tcPr>
            <w:tcW w:w="1080" w:type="dxa"/>
            <w:tcBorders>
              <w:top w:val="nil"/>
              <w:left w:val="single" w:color="auto" w:sz="4" w:space="0"/>
              <w:bottom w:val="single" w:color="auto" w:sz="4" w:space="0"/>
              <w:right w:val="single" w:color="auto" w:sz="4" w:space="0"/>
            </w:tcBorders>
            <w:shd w:val="clear" w:color="auto" w:fill="auto"/>
            <w:vAlign w:val="bottom"/>
            <w:hideMark/>
          </w:tcPr>
          <w:p w:rsidRPr="00455157" w:rsidR="00AA5CFF" w:rsidP="001B7F2B" w:rsidRDefault="00AA5CFF" w14:paraId="72D2C95D" w14:textId="2E3CC1BC">
            <w:pPr>
              <w:rPr>
                <w:color w:val="000000"/>
                <w:szCs w:val="20"/>
              </w:rPr>
            </w:pPr>
            <w:r w:rsidRPr="00455157">
              <w:rPr>
                <w:color w:val="000000"/>
                <w:szCs w:val="20"/>
              </w:rPr>
              <w:t>Fraud &amp; Abuse Pt C</w:t>
            </w:r>
            <w:r w:rsidR="00EF7936">
              <w:rPr>
                <w:color w:val="000000"/>
                <w:szCs w:val="20"/>
              </w:rPr>
              <w:t>: Initial Year</w:t>
            </w:r>
          </w:p>
        </w:tc>
        <w:tc>
          <w:tcPr>
            <w:tcW w:w="2340" w:type="dxa"/>
            <w:tcBorders>
              <w:top w:val="nil"/>
              <w:left w:val="nil"/>
              <w:bottom w:val="single" w:color="auto" w:sz="4" w:space="0"/>
              <w:right w:val="single" w:color="auto" w:sz="4" w:space="0"/>
            </w:tcBorders>
            <w:shd w:val="clear" w:color="auto" w:fill="auto"/>
            <w:vAlign w:val="bottom"/>
            <w:hideMark/>
          </w:tcPr>
          <w:p w:rsidRPr="00455157" w:rsidR="00AA5CFF" w:rsidP="001B7F2B" w:rsidRDefault="00AA5CFF" w14:paraId="1B83F8A9" w14:textId="77777777">
            <w:pPr>
              <w:rPr>
                <w:color w:val="000000"/>
                <w:szCs w:val="20"/>
              </w:rPr>
            </w:pPr>
            <w:r w:rsidRPr="00455157">
              <w:rPr>
                <w:color w:val="000000"/>
                <w:szCs w:val="20"/>
              </w:rPr>
              <w:t>§ 422.503(b)(4)(vi)(G)(</w:t>
            </w:r>
            <w:r w:rsidRPr="00455157">
              <w:rPr>
                <w:i/>
                <w:color w:val="000000"/>
                <w:szCs w:val="20"/>
              </w:rPr>
              <w:t>4</w:t>
            </w:r>
            <w:r w:rsidRPr="00455157">
              <w:rPr>
                <w:color w:val="000000"/>
                <w:szCs w:val="20"/>
              </w:rPr>
              <w:t>)</w:t>
            </w:r>
          </w:p>
        </w:tc>
        <w:tc>
          <w:tcPr>
            <w:tcW w:w="990" w:type="dxa"/>
            <w:tcBorders>
              <w:top w:val="nil"/>
              <w:left w:val="nil"/>
              <w:bottom w:val="single" w:color="auto" w:sz="4" w:space="0"/>
              <w:right w:val="single" w:color="auto" w:sz="4" w:space="0"/>
            </w:tcBorders>
            <w:shd w:val="clear" w:color="auto" w:fill="auto"/>
            <w:vAlign w:val="bottom"/>
            <w:hideMark/>
          </w:tcPr>
          <w:p w:rsidRPr="00455157" w:rsidR="00AA5CFF" w:rsidP="001B7F2B" w:rsidRDefault="00EF7936" w14:paraId="30E7393F" w14:textId="208D83F3">
            <w:pPr>
              <w:rPr>
                <w:color w:val="000000"/>
                <w:szCs w:val="20"/>
              </w:rPr>
            </w:pPr>
            <w:r>
              <w:rPr>
                <w:color w:val="000000"/>
                <w:szCs w:val="20"/>
              </w:rPr>
              <w:t>605</w:t>
            </w:r>
          </w:p>
        </w:tc>
        <w:tc>
          <w:tcPr>
            <w:tcW w:w="1350" w:type="dxa"/>
            <w:tcBorders>
              <w:top w:val="nil"/>
              <w:left w:val="nil"/>
              <w:bottom w:val="single" w:color="auto" w:sz="4" w:space="0"/>
              <w:right w:val="single" w:color="auto" w:sz="4" w:space="0"/>
            </w:tcBorders>
            <w:shd w:val="clear" w:color="auto" w:fill="auto"/>
            <w:vAlign w:val="bottom"/>
            <w:hideMark/>
          </w:tcPr>
          <w:p w:rsidRPr="00455157" w:rsidR="00AA5CFF" w:rsidP="003F7E77" w:rsidRDefault="00AA5CFF" w14:paraId="318BF529" w14:textId="77777777">
            <w:pPr>
              <w:jc w:val="center"/>
              <w:rPr>
                <w:color w:val="000000"/>
                <w:szCs w:val="20"/>
              </w:rPr>
            </w:pPr>
            <w:r w:rsidRPr="00455157">
              <w:rPr>
                <w:color w:val="000000"/>
                <w:szCs w:val="20"/>
              </w:rPr>
              <w:t>605</w:t>
            </w:r>
          </w:p>
        </w:tc>
        <w:tc>
          <w:tcPr>
            <w:tcW w:w="1080" w:type="dxa"/>
            <w:tcBorders>
              <w:top w:val="nil"/>
              <w:left w:val="nil"/>
              <w:bottom w:val="single" w:color="auto" w:sz="4" w:space="0"/>
              <w:right w:val="single" w:color="auto" w:sz="4" w:space="0"/>
            </w:tcBorders>
            <w:shd w:val="clear" w:color="auto" w:fill="auto"/>
            <w:vAlign w:val="bottom"/>
            <w:hideMark/>
          </w:tcPr>
          <w:p w:rsidRPr="00455157" w:rsidR="00AA5CFF" w:rsidP="003F7E77" w:rsidRDefault="00AA5CFF" w14:paraId="6149067A" w14:textId="77777777">
            <w:pPr>
              <w:jc w:val="center"/>
              <w:rPr>
                <w:color w:val="000000"/>
                <w:szCs w:val="20"/>
              </w:rPr>
            </w:pPr>
            <w:r w:rsidRPr="00455157">
              <w:rPr>
                <w:color w:val="000000"/>
                <w:szCs w:val="20"/>
              </w:rPr>
              <w:t>247</w:t>
            </w:r>
          </w:p>
        </w:tc>
        <w:tc>
          <w:tcPr>
            <w:tcW w:w="990" w:type="dxa"/>
            <w:tcBorders>
              <w:top w:val="nil"/>
              <w:left w:val="nil"/>
              <w:bottom w:val="single" w:color="auto" w:sz="4" w:space="0"/>
              <w:right w:val="single" w:color="auto" w:sz="4" w:space="0"/>
            </w:tcBorders>
            <w:shd w:val="clear" w:color="auto" w:fill="auto"/>
            <w:vAlign w:val="bottom"/>
            <w:hideMark/>
          </w:tcPr>
          <w:p w:rsidRPr="00455157" w:rsidR="00AA5CFF" w:rsidP="00F824D7" w:rsidRDefault="00AA5CFF" w14:paraId="498A5554" w14:textId="0C251D03">
            <w:pPr>
              <w:jc w:val="center"/>
              <w:rPr>
                <w:color w:val="000000"/>
                <w:szCs w:val="20"/>
              </w:rPr>
            </w:pPr>
            <w:r w:rsidRPr="00455157">
              <w:rPr>
                <w:color w:val="000000"/>
                <w:szCs w:val="20"/>
              </w:rPr>
              <w:t>149,</w:t>
            </w:r>
            <w:r w:rsidR="00F824D7">
              <w:rPr>
                <w:color w:val="000000"/>
                <w:szCs w:val="20"/>
              </w:rPr>
              <w:t>4</w:t>
            </w:r>
            <w:r w:rsidRPr="00455157">
              <w:rPr>
                <w:color w:val="000000"/>
                <w:szCs w:val="20"/>
              </w:rPr>
              <w:t>35</w:t>
            </w:r>
          </w:p>
        </w:tc>
        <w:tc>
          <w:tcPr>
            <w:tcW w:w="1071" w:type="dxa"/>
            <w:tcBorders>
              <w:top w:val="nil"/>
              <w:left w:val="nil"/>
              <w:bottom w:val="single" w:color="auto" w:sz="4" w:space="0"/>
              <w:right w:val="single" w:color="auto" w:sz="4" w:space="0"/>
            </w:tcBorders>
            <w:shd w:val="clear" w:color="auto" w:fill="auto"/>
            <w:vAlign w:val="bottom"/>
            <w:hideMark/>
          </w:tcPr>
          <w:p w:rsidRPr="00455157" w:rsidR="00AA5CFF" w:rsidP="003F7E77" w:rsidRDefault="00AA5CFF" w14:paraId="5AF85DA4" w14:textId="77777777">
            <w:pPr>
              <w:jc w:val="center"/>
              <w:rPr>
                <w:color w:val="000000"/>
                <w:szCs w:val="20"/>
              </w:rPr>
            </w:pPr>
            <w:r w:rsidRPr="00455157">
              <w:rPr>
                <w:color w:val="000000"/>
                <w:szCs w:val="20"/>
              </w:rPr>
              <w:t>90.76</w:t>
            </w:r>
          </w:p>
        </w:tc>
        <w:tc>
          <w:tcPr>
            <w:tcW w:w="1426" w:type="dxa"/>
            <w:tcBorders>
              <w:top w:val="nil"/>
              <w:left w:val="nil"/>
              <w:bottom w:val="single" w:color="auto" w:sz="4" w:space="0"/>
              <w:right w:val="single" w:color="auto" w:sz="4" w:space="0"/>
            </w:tcBorders>
            <w:shd w:val="clear" w:color="auto" w:fill="auto"/>
            <w:vAlign w:val="bottom"/>
            <w:hideMark/>
          </w:tcPr>
          <w:p w:rsidRPr="00455157" w:rsidR="00AA5CFF" w:rsidP="001A07A4" w:rsidRDefault="00AA5CFF" w14:paraId="052D4C86" w14:textId="62338C00">
            <w:pPr>
              <w:jc w:val="center"/>
              <w:rPr>
                <w:color w:val="000000"/>
                <w:szCs w:val="20"/>
              </w:rPr>
            </w:pPr>
            <w:r w:rsidRPr="00455157">
              <w:rPr>
                <w:color w:val="000000"/>
                <w:szCs w:val="20"/>
              </w:rPr>
              <w:t>13</w:t>
            </w:r>
            <w:r w:rsidR="001A07A4">
              <w:rPr>
                <w:color w:val="000000"/>
                <w:szCs w:val="20"/>
              </w:rPr>
              <w:t>,</w:t>
            </w:r>
            <w:r w:rsidRPr="00455157">
              <w:rPr>
                <w:color w:val="000000"/>
                <w:szCs w:val="20"/>
              </w:rPr>
              <w:t>562,721</w:t>
            </w:r>
          </w:p>
        </w:tc>
        <w:tc>
          <w:tcPr>
            <w:tcW w:w="1373" w:type="dxa"/>
            <w:tcBorders>
              <w:top w:val="nil"/>
              <w:left w:val="nil"/>
              <w:bottom w:val="single" w:color="auto" w:sz="4" w:space="0"/>
              <w:right w:val="single" w:color="auto" w:sz="4" w:space="0"/>
            </w:tcBorders>
            <w:shd w:val="clear" w:color="auto" w:fill="auto"/>
            <w:vAlign w:val="bottom"/>
            <w:hideMark/>
          </w:tcPr>
          <w:p w:rsidRPr="00455157" w:rsidR="00AA5CFF" w:rsidP="003F7E77" w:rsidRDefault="00AA5CFF" w14:paraId="35DD7265" w14:textId="77777777">
            <w:pPr>
              <w:jc w:val="center"/>
              <w:rPr>
                <w:color w:val="000000"/>
                <w:szCs w:val="20"/>
              </w:rPr>
            </w:pPr>
            <w:r w:rsidRPr="00455157">
              <w:rPr>
                <w:color w:val="000000"/>
                <w:szCs w:val="20"/>
              </w:rPr>
              <w:t>N/A</w:t>
            </w:r>
          </w:p>
        </w:tc>
      </w:tr>
      <w:tr w:rsidRPr="00455157" w:rsidR="00AA5CFF" w:rsidTr="001B7F2B" w14:paraId="0E6D1F8E" w14:textId="77777777">
        <w:trPr>
          <w:trHeight w:val="780"/>
        </w:trPr>
        <w:tc>
          <w:tcPr>
            <w:tcW w:w="1080" w:type="dxa"/>
            <w:tcBorders>
              <w:top w:val="nil"/>
              <w:left w:val="single" w:color="auto" w:sz="4" w:space="0"/>
              <w:bottom w:val="single" w:color="auto" w:sz="4" w:space="0"/>
              <w:right w:val="single" w:color="auto" w:sz="4" w:space="0"/>
            </w:tcBorders>
            <w:shd w:val="clear" w:color="auto" w:fill="auto"/>
            <w:vAlign w:val="bottom"/>
          </w:tcPr>
          <w:p w:rsidRPr="00455157" w:rsidR="00AA5CFF" w:rsidP="001B7F2B" w:rsidRDefault="00AA5CFF" w14:paraId="6DB44F81" w14:textId="409ADB8E">
            <w:pPr>
              <w:rPr>
                <w:color w:val="000000"/>
                <w:szCs w:val="20"/>
              </w:rPr>
            </w:pPr>
            <w:r w:rsidRPr="00455157">
              <w:rPr>
                <w:color w:val="000000"/>
                <w:szCs w:val="20"/>
              </w:rPr>
              <w:t>Fraud &amp; Abuse Pt C</w:t>
            </w:r>
            <w:r w:rsidR="00EF7936">
              <w:rPr>
                <w:color w:val="000000"/>
                <w:szCs w:val="20"/>
              </w:rPr>
              <w:t>: Subsequent Years</w:t>
            </w:r>
          </w:p>
        </w:tc>
        <w:tc>
          <w:tcPr>
            <w:tcW w:w="2340" w:type="dxa"/>
            <w:tcBorders>
              <w:top w:val="nil"/>
              <w:left w:val="nil"/>
              <w:bottom w:val="single" w:color="auto" w:sz="4" w:space="0"/>
              <w:right w:val="single" w:color="auto" w:sz="4" w:space="0"/>
            </w:tcBorders>
            <w:shd w:val="clear" w:color="auto" w:fill="auto"/>
            <w:vAlign w:val="bottom"/>
          </w:tcPr>
          <w:p w:rsidRPr="00455157" w:rsidR="00AA5CFF" w:rsidP="001B7F2B" w:rsidRDefault="00AA5CFF" w14:paraId="395AF6E8" w14:textId="77777777">
            <w:pPr>
              <w:rPr>
                <w:color w:val="000000"/>
                <w:szCs w:val="20"/>
              </w:rPr>
            </w:pPr>
            <w:r w:rsidRPr="00455157">
              <w:rPr>
                <w:color w:val="000000"/>
                <w:szCs w:val="20"/>
              </w:rPr>
              <w:t>§ 422.503(b)(4)(vi)(G)(</w:t>
            </w:r>
            <w:r w:rsidRPr="00455157">
              <w:rPr>
                <w:i/>
                <w:color w:val="000000"/>
                <w:szCs w:val="20"/>
              </w:rPr>
              <w:t>4</w:t>
            </w:r>
            <w:r w:rsidRPr="00455157">
              <w:rPr>
                <w:color w:val="000000"/>
                <w:szCs w:val="20"/>
              </w:rPr>
              <w:t>)</w:t>
            </w:r>
          </w:p>
        </w:tc>
        <w:tc>
          <w:tcPr>
            <w:tcW w:w="990" w:type="dxa"/>
            <w:tcBorders>
              <w:top w:val="nil"/>
              <w:left w:val="nil"/>
              <w:bottom w:val="single" w:color="auto" w:sz="4" w:space="0"/>
              <w:right w:val="single" w:color="auto" w:sz="4" w:space="0"/>
            </w:tcBorders>
            <w:shd w:val="clear" w:color="auto" w:fill="auto"/>
            <w:vAlign w:val="bottom"/>
          </w:tcPr>
          <w:p w:rsidRPr="00455157" w:rsidR="00AA5CFF" w:rsidP="001B7F2B" w:rsidRDefault="00EF7936" w14:paraId="71BF039C" w14:textId="6CDF6B72">
            <w:pPr>
              <w:rPr>
                <w:color w:val="000000"/>
                <w:szCs w:val="20"/>
              </w:rPr>
            </w:pPr>
            <w:r>
              <w:rPr>
                <w:color w:val="000000"/>
                <w:szCs w:val="20"/>
              </w:rPr>
              <w:t>605</w:t>
            </w:r>
          </w:p>
        </w:tc>
        <w:tc>
          <w:tcPr>
            <w:tcW w:w="1350" w:type="dxa"/>
            <w:tcBorders>
              <w:top w:val="nil"/>
              <w:left w:val="nil"/>
              <w:bottom w:val="single" w:color="auto" w:sz="4" w:space="0"/>
              <w:right w:val="single" w:color="auto" w:sz="4" w:space="0"/>
            </w:tcBorders>
            <w:shd w:val="clear" w:color="auto" w:fill="auto"/>
            <w:vAlign w:val="bottom"/>
          </w:tcPr>
          <w:p w:rsidRPr="00455157" w:rsidR="00AA5CFF" w:rsidP="003F7E77" w:rsidRDefault="00AA5CFF" w14:paraId="47FA7600" w14:textId="77777777">
            <w:pPr>
              <w:jc w:val="center"/>
              <w:rPr>
                <w:color w:val="000000"/>
                <w:szCs w:val="20"/>
              </w:rPr>
            </w:pPr>
            <w:r w:rsidRPr="00455157">
              <w:rPr>
                <w:color w:val="000000"/>
                <w:szCs w:val="20"/>
              </w:rPr>
              <w:t>605</w:t>
            </w:r>
          </w:p>
        </w:tc>
        <w:tc>
          <w:tcPr>
            <w:tcW w:w="1080" w:type="dxa"/>
            <w:tcBorders>
              <w:top w:val="nil"/>
              <w:left w:val="nil"/>
              <w:bottom w:val="single" w:color="auto" w:sz="4" w:space="0"/>
              <w:right w:val="single" w:color="auto" w:sz="4" w:space="0"/>
            </w:tcBorders>
            <w:shd w:val="clear" w:color="auto" w:fill="auto"/>
            <w:vAlign w:val="bottom"/>
          </w:tcPr>
          <w:p w:rsidRPr="00455157" w:rsidR="00AA5CFF" w:rsidP="003F7E77" w:rsidRDefault="00AA5CFF" w14:paraId="6E8DC16D" w14:textId="77777777">
            <w:pPr>
              <w:jc w:val="center"/>
              <w:rPr>
                <w:color w:val="000000"/>
                <w:szCs w:val="20"/>
              </w:rPr>
            </w:pPr>
            <w:r w:rsidRPr="00455157">
              <w:rPr>
                <w:color w:val="000000"/>
                <w:szCs w:val="20"/>
              </w:rPr>
              <w:t>156</w:t>
            </w:r>
          </w:p>
        </w:tc>
        <w:tc>
          <w:tcPr>
            <w:tcW w:w="990" w:type="dxa"/>
            <w:tcBorders>
              <w:top w:val="nil"/>
              <w:left w:val="nil"/>
              <w:bottom w:val="single" w:color="auto" w:sz="4" w:space="0"/>
              <w:right w:val="single" w:color="auto" w:sz="4" w:space="0"/>
            </w:tcBorders>
            <w:shd w:val="clear" w:color="auto" w:fill="auto"/>
            <w:vAlign w:val="bottom"/>
          </w:tcPr>
          <w:p w:rsidRPr="00455157" w:rsidR="00AA5CFF" w:rsidP="003F7E77" w:rsidRDefault="00AA5CFF" w14:paraId="4F427439" w14:textId="76D407BF">
            <w:pPr>
              <w:jc w:val="center"/>
              <w:rPr>
                <w:color w:val="000000"/>
                <w:szCs w:val="20"/>
              </w:rPr>
            </w:pPr>
            <w:r w:rsidRPr="00455157">
              <w:rPr>
                <w:color w:val="000000"/>
                <w:szCs w:val="20"/>
              </w:rPr>
              <w:t>94,380</w:t>
            </w:r>
          </w:p>
        </w:tc>
        <w:tc>
          <w:tcPr>
            <w:tcW w:w="1071" w:type="dxa"/>
            <w:tcBorders>
              <w:top w:val="nil"/>
              <w:left w:val="nil"/>
              <w:bottom w:val="single" w:color="auto" w:sz="4" w:space="0"/>
              <w:right w:val="single" w:color="auto" w:sz="4" w:space="0"/>
            </w:tcBorders>
            <w:shd w:val="clear" w:color="auto" w:fill="auto"/>
            <w:vAlign w:val="bottom"/>
          </w:tcPr>
          <w:p w:rsidRPr="00455157" w:rsidR="00AA5CFF" w:rsidP="003F7E77" w:rsidRDefault="00AA5CFF" w14:paraId="437191D6" w14:textId="77777777">
            <w:pPr>
              <w:jc w:val="center"/>
              <w:rPr>
                <w:color w:val="000000"/>
                <w:szCs w:val="20"/>
              </w:rPr>
            </w:pPr>
            <w:r w:rsidRPr="00455157">
              <w:rPr>
                <w:color w:val="000000"/>
                <w:szCs w:val="20"/>
              </w:rPr>
              <w:t>90.76</w:t>
            </w:r>
          </w:p>
        </w:tc>
        <w:tc>
          <w:tcPr>
            <w:tcW w:w="1426" w:type="dxa"/>
            <w:tcBorders>
              <w:top w:val="nil"/>
              <w:left w:val="nil"/>
              <w:bottom w:val="single" w:color="auto" w:sz="4" w:space="0"/>
              <w:right w:val="single" w:color="auto" w:sz="4" w:space="0"/>
            </w:tcBorders>
            <w:shd w:val="clear" w:color="auto" w:fill="auto"/>
            <w:vAlign w:val="bottom"/>
          </w:tcPr>
          <w:p w:rsidRPr="00455157" w:rsidR="00AA5CFF" w:rsidP="003F7E77" w:rsidRDefault="00AA5CFF" w14:paraId="76F4A47E" w14:textId="77777777">
            <w:pPr>
              <w:jc w:val="center"/>
              <w:rPr>
                <w:color w:val="000000"/>
                <w:szCs w:val="20"/>
              </w:rPr>
            </w:pPr>
            <w:r w:rsidRPr="00455157">
              <w:rPr>
                <w:color w:val="000000"/>
                <w:szCs w:val="20"/>
              </w:rPr>
              <w:t>N/A</w:t>
            </w:r>
          </w:p>
        </w:tc>
        <w:tc>
          <w:tcPr>
            <w:tcW w:w="1373" w:type="dxa"/>
            <w:tcBorders>
              <w:top w:val="nil"/>
              <w:left w:val="nil"/>
              <w:bottom w:val="single" w:color="auto" w:sz="4" w:space="0"/>
              <w:right w:val="single" w:color="auto" w:sz="4" w:space="0"/>
            </w:tcBorders>
            <w:shd w:val="clear" w:color="auto" w:fill="auto"/>
            <w:vAlign w:val="bottom"/>
          </w:tcPr>
          <w:p w:rsidRPr="00455157" w:rsidR="00AA5CFF" w:rsidP="003F7E77" w:rsidRDefault="00AA5CFF" w14:paraId="2257693D" w14:textId="77777777">
            <w:pPr>
              <w:jc w:val="center"/>
              <w:rPr>
                <w:color w:val="000000"/>
                <w:szCs w:val="20"/>
              </w:rPr>
            </w:pPr>
            <w:r w:rsidRPr="00455157">
              <w:rPr>
                <w:color w:val="000000"/>
                <w:szCs w:val="20"/>
              </w:rPr>
              <w:t>8,565,929</w:t>
            </w:r>
          </w:p>
        </w:tc>
      </w:tr>
      <w:tr w:rsidRPr="00455157" w:rsidR="00AA5CFF" w:rsidTr="001B7F2B" w14:paraId="60847CB9" w14:textId="77777777">
        <w:trPr>
          <w:trHeight w:val="300"/>
        </w:trPr>
        <w:tc>
          <w:tcPr>
            <w:tcW w:w="4410" w:type="dxa"/>
            <w:gridSpan w:val="3"/>
            <w:tcBorders>
              <w:top w:val="nil"/>
              <w:left w:val="single" w:color="auto" w:sz="4" w:space="0"/>
              <w:bottom w:val="single" w:color="auto" w:sz="4" w:space="0"/>
              <w:right w:val="single" w:color="auto" w:sz="4" w:space="0"/>
            </w:tcBorders>
            <w:shd w:val="clear" w:color="auto" w:fill="auto"/>
            <w:vAlign w:val="bottom"/>
            <w:hideMark/>
          </w:tcPr>
          <w:p w:rsidRPr="00455157" w:rsidR="00AA5CFF" w:rsidP="001B7F2B" w:rsidRDefault="00AA5CFF" w14:paraId="0B604EA0" w14:textId="77777777">
            <w:pPr>
              <w:rPr>
                <w:color w:val="000000"/>
                <w:szCs w:val="20"/>
              </w:rPr>
            </w:pPr>
            <w:r w:rsidRPr="00455157">
              <w:rPr>
                <w:color w:val="000000"/>
                <w:szCs w:val="20"/>
              </w:rPr>
              <w:t>TOTAL</w:t>
            </w:r>
          </w:p>
        </w:tc>
        <w:tc>
          <w:tcPr>
            <w:tcW w:w="1350" w:type="dxa"/>
            <w:tcBorders>
              <w:top w:val="nil"/>
              <w:left w:val="nil"/>
              <w:bottom w:val="single" w:color="auto" w:sz="4" w:space="0"/>
              <w:right w:val="single" w:color="auto" w:sz="4" w:space="0"/>
            </w:tcBorders>
            <w:shd w:val="clear" w:color="auto" w:fill="auto"/>
            <w:vAlign w:val="bottom"/>
          </w:tcPr>
          <w:p w:rsidRPr="00455157" w:rsidR="00AA5CFF" w:rsidP="003F7E77" w:rsidRDefault="00EF7936" w14:paraId="08B500E8" w14:textId="6D8A53AA">
            <w:pPr>
              <w:jc w:val="center"/>
              <w:rPr>
                <w:color w:val="000000"/>
                <w:szCs w:val="20"/>
              </w:rPr>
            </w:pPr>
            <w:r>
              <w:rPr>
                <w:color w:val="000000"/>
                <w:szCs w:val="20"/>
              </w:rPr>
              <w:t>1,210</w:t>
            </w:r>
          </w:p>
        </w:tc>
        <w:tc>
          <w:tcPr>
            <w:tcW w:w="1080" w:type="dxa"/>
            <w:tcBorders>
              <w:top w:val="nil"/>
              <w:left w:val="nil"/>
              <w:bottom w:val="single" w:color="auto" w:sz="4" w:space="0"/>
              <w:right w:val="single" w:color="auto" w:sz="4" w:space="0"/>
            </w:tcBorders>
            <w:shd w:val="clear" w:color="auto" w:fill="auto"/>
            <w:vAlign w:val="bottom"/>
            <w:hideMark/>
          </w:tcPr>
          <w:p w:rsidRPr="00455157" w:rsidR="00AA5CFF" w:rsidP="003F7E77" w:rsidRDefault="003F7E77" w14:paraId="22F08146" w14:textId="59EFF797">
            <w:pPr>
              <w:jc w:val="center"/>
              <w:rPr>
                <w:color w:val="000000"/>
                <w:szCs w:val="20"/>
              </w:rPr>
            </w:pPr>
            <w:r w:rsidRPr="00455157">
              <w:rPr>
                <w:color w:val="000000"/>
                <w:szCs w:val="20"/>
              </w:rPr>
              <w:t>varies</w:t>
            </w:r>
          </w:p>
        </w:tc>
        <w:tc>
          <w:tcPr>
            <w:tcW w:w="990" w:type="dxa"/>
            <w:tcBorders>
              <w:top w:val="nil"/>
              <w:left w:val="nil"/>
              <w:bottom w:val="single" w:color="auto" w:sz="4" w:space="0"/>
              <w:right w:val="single" w:color="auto" w:sz="4" w:space="0"/>
            </w:tcBorders>
            <w:shd w:val="clear" w:color="auto" w:fill="auto"/>
            <w:vAlign w:val="bottom"/>
          </w:tcPr>
          <w:p w:rsidRPr="00455157" w:rsidR="00AA5CFF" w:rsidP="005329DC" w:rsidRDefault="003F7E77" w14:paraId="7F9C2EB8" w14:textId="64B3F021">
            <w:pPr>
              <w:jc w:val="center"/>
              <w:rPr>
                <w:color w:val="000000"/>
                <w:szCs w:val="20"/>
              </w:rPr>
            </w:pPr>
            <w:r w:rsidRPr="00455157">
              <w:rPr>
                <w:color w:val="000000"/>
                <w:szCs w:val="20"/>
              </w:rPr>
              <w:t>243</w:t>
            </w:r>
            <w:r w:rsidR="003C1952">
              <w:rPr>
                <w:color w:val="000000"/>
                <w:szCs w:val="20"/>
              </w:rPr>
              <w:t>,</w:t>
            </w:r>
            <w:r w:rsidR="005329DC">
              <w:rPr>
                <w:color w:val="000000"/>
                <w:szCs w:val="20"/>
              </w:rPr>
              <w:t>8</w:t>
            </w:r>
            <w:r w:rsidRPr="00455157">
              <w:rPr>
                <w:color w:val="000000"/>
                <w:szCs w:val="20"/>
              </w:rPr>
              <w:t>15</w:t>
            </w:r>
          </w:p>
        </w:tc>
        <w:tc>
          <w:tcPr>
            <w:tcW w:w="1071" w:type="dxa"/>
            <w:tcBorders>
              <w:top w:val="nil"/>
              <w:left w:val="nil"/>
              <w:bottom w:val="single" w:color="auto" w:sz="4" w:space="0"/>
              <w:right w:val="single" w:color="auto" w:sz="4" w:space="0"/>
            </w:tcBorders>
            <w:shd w:val="clear" w:color="auto" w:fill="auto"/>
            <w:vAlign w:val="bottom"/>
            <w:hideMark/>
          </w:tcPr>
          <w:p w:rsidRPr="00455157" w:rsidR="00AA5CFF" w:rsidP="003F7E77" w:rsidRDefault="003F7E77" w14:paraId="25B9564F" w14:textId="2A8BF10D">
            <w:pPr>
              <w:jc w:val="center"/>
              <w:rPr>
                <w:color w:val="000000"/>
                <w:szCs w:val="20"/>
              </w:rPr>
            </w:pPr>
            <w:r w:rsidRPr="00455157">
              <w:rPr>
                <w:color w:val="000000"/>
                <w:szCs w:val="20"/>
              </w:rPr>
              <w:t>90.76</w:t>
            </w:r>
          </w:p>
        </w:tc>
        <w:tc>
          <w:tcPr>
            <w:tcW w:w="1426" w:type="dxa"/>
            <w:tcBorders>
              <w:top w:val="nil"/>
              <w:left w:val="nil"/>
              <w:bottom w:val="single" w:color="auto" w:sz="4" w:space="0"/>
              <w:right w:val="single" w:color="auto" w:sz="4" w:space="0"/>
            </w:tcBorders>
            <w:shd w:val="clear" w:color="auto" w:fill="auto"/>
            <w:vAlign w:val="bottom"/>
          </w:tcPr>
          <w:p w:rsidRPr="00455157" w:rsidR="00AA5CFF" w:rsidP="001A07A4" w:rsidRDefault="003F7E77" w14:paraId="5230EC24" w14:textId="17951325">
            <w:pPr>
              <w:jc w:val="center"/>
              <w:rPr>
                <w:color w:val="000000"/>
                <w:szCs w:val="20"/>
              </w:rPr>
            </w:pPr>
            <w:r w:rsidRPr="00455157">
              <w:rPr>
                <w:color w:val="000000"/>
                <w:szCs w:val="20"/>
              </w:rPr>
              <w:t>13</w:t>
            </w:r>
            <w:r w:rsidR="001A07A4">
              <w:rPr>
                <w:color w:val="000000"/>
                <w:szCs w:val="20"/>
              </w:rPr>
              <w:t>,</w:t>
            </w:r>
            <w:r w:rsidRPr="00455157">
              <w:rPr>
                <w:color w:val="000000"/>
                <w:szCs w:val="20"/>
              </w:rPr>
              <w:t>562,721</w:t>
            </w:r>
          </w:p>
        </w:tc>
        <w:tc>
          <w:tcPr>
            <w:tcW w:w="1373" w:type="dxa"/>
            <w:tcBorders>
              <w:top w:val="nil"/>
              <w:left w:val="nil"/>
              <w:bottom w:val="single" w:color="auto" w:sz="4" w:space="0"/>
              <w:right w:val="single" w:color="auto" w:sz="4" w:space="0"/>
            </w:tcBorders>
            <w:shd w:val="clear" w:color="auto" w:fill="auto"/>
            <w:vAlign w:val="bottom"/>
          </w:tcPr>
          <w:p w:rsidRPr="00455157" w:rsidR="00AA5CFF" w:rsidP="003F7E77" w:rsidRDefault="003F7E77" w14:paraId="39DFF9F2" w14:textId="716E19D8">
            <w:pPr>
              <w:jc w:val="center"/>
              <w:rPr>
                <w:color w:val="000000"/>
                <w:szCs w:val="20"/>
              </w:rPr>
            </w:pPr>
            <w:r w:rsidRPr="00455157">
              <w:rPr>
                <w:color w:val="000000"/>
                <w:szCs w:val="20"/>
              </w:rPr>
              <w:t>8,565,929</w:t>
            </w:r>
          </w:p>
        </w:tc>
      </w:tr>
    </w:tbl>
    <w:p w:rsidRPr="00455157" w:rsidR="00AA5CFF" w:rsidP="002D6D34" w:rsidRDefault="00AA5CFF" w14:paraId="27E15E7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55157" w:rsidR="00BE6C3A" w:rsidP="00481219" w:rsidRDefault="00BE6C3A" w14:paraId="492014AF" w14:textId="77777777">
      <w:pPr>
        <w:pStyle w:val="Body3"/>
        <w:ind w:left="720"/>
        <w:outlineLvl w:val="2"/>
        <w:rPr>
          <w:rFonts w:cs="Times New Roman"/>
          <w:i/>
        </w:rPr>
      </w:pPr>
      <w:r w:rsidRPr="00455157">
        <w:rPr>
          <w:rFonts w:cs="Times New Roman"/>
          <w:i/>
        </w:rPr>
        <w:t>Collection of Information Instruments and Instruction/Guidance Documents</w:t>
      </w:r>
    </w:p>
    <w:p w:rsidR="008F1EB4" w:rsidP="001149AF" w:rsidRDefault="008F1EB4" w14:paraId="6EC656A9" w14:textId="69ED93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1149AF" w:rsidP="001149AF" w:rsidRDefault="001149AF" w14:paraId="5A419A27" w14:textId="5BC3D0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1149AF">
        <w:rPr>
          <w:sz w:val="24"/>
        </w:rPr>
        <w:t>The Program Integrity Portal will collect the data elements for Medicare Part C as specified in the proposed rule CMS-4190</w:t>
      </w:r>
      <w:r>
        <w:rPr>
          <w:sz w:val="24"/>
        </w:rPr>
        <w:t>-P</w:t>
      </w:r>
      <w:r w:rsidRPr="001149AF">
        <w:rPr>
          <w:sz w:val="24"/>
        </w:rPr>
        <w:t>.  The data elements can be found in 42 CFR 422.503(b)(4)(vi)(G)(</w:t>
      </w:r>
      <w:r w:rsidRPr="001149AF">
        <w:rPr>
          <w:i/>
          <w:sz w:val="24"/>
        </w:rPr>
        <w:t>4</w:t>
      </w:r>
      <w:r w:rsidRPr="001149AF">
        <w:rPr>
          <w:sz w:val="24"/>
        </w:rPr>
        <w:t>) through (</w:t>
      </w:r>
      <w:r w:rsidRPr="001149AF">
        <w:rPr>
          <w:i/>
          <w:sz w:val="24"/>
        </w:rPr>
        <w:t>6</w:t>
      </w:r>
      <w:r w:rsidRPr="001149AF">
        <w:rPr>
          <w:sz w:val="24"/>
        </w:rPr>
        <w:t>).</w:t>
      </w:r>
    </w:p>
    <w:p w:rsidRPr="00455157" w:rsidR="00060BBC" w:rsidP="001149AF" w:rsidRDefault="00060BBC" w14:paraId="574AEF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455157" w:rsidR="008F1EB4" w:rsidP="00CD6C65" w:rsidRDefault="008F1EB4" w14:paraId="57BA9E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13.</w:t>
      </w:r>
      <w:r w:rsidRPr="00455157">
        <w:rPr>
          <w:sz w:val="24"/>
        </w:rPr>
        <w:tab/>
      </w:r>
      <w:r w:rsidRPr="00455157">
        <w:rPr>
          <w:sz w:val="24"/>
          <w:u w:val="single"/>
        </w:rPr>
        <w:t>Capital Costs</w:t>
      </w:r>
    </w:p>
    <w:p w:rsidRPr="00455157" w:rsidR="008F1EB4" w:rsidRDefault="008F1EB4" w14:paraId="2D64E8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B07C21" w:rsidP="00CD6C65" w:rsidRDefault="00B07C21" w14:paraId="133A1D13" w14:textId="1E71E2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455157">
        <w:rPr>
          <w:sz w:val="24"/>
        </w:rPr>
        <w:t xml:space="preserve">There are no foreseen capital costs to respondents as they are not requested to record or store information that is collected. </w:t>
      </w:r>
      <w:r w:rsidRPr="00455157" w:rsidR="006B701E">
        <w:rPr>
          <w:sz w:val="24"/>
        </w:rPr>
        <w:t xml:space="preserve"> </w:t>
      </w:r>
      <w:r w:rsidRPr="00455157" w:rsidR="009B2B19">
        <w:rPr>
          <w:sz w:val="24"/>
        </w:rPr>
        <w:t xml:space="preserve">The Program Integrity Portal </w:t>
      </w:r>
      <w:r w:rsidRPr="00455157" w:rsidR="00894B41">
        <w:rPr>
          <w:sz w:val="24"/>
        </w:rPr>
        <w:t xml:space="preserve">is a </w:t>
      </w:r>
      <w:r w:rsidRPr="00455157" w:rsidR="00CB12EA">
        <w:rPr>
          <w:sz w:val="24"/>
        </w:rPr>
        <w:t>web-based tool</w:t>
      </w:r>
      <w:r w:rsidRPr="00455157" w:rsidR="009B2B19">
        <w:rPr>
          <w:sz w:val="24"/>
        </w:rPr>
        <w:t xml:space="preserve"> based in </w:t>
      </w:r>
      <w:r w:rsidRPr="00455157" w:rsidR="00256DAE">
        <w:rPr>
          <w:sz w:val="24"/>
        </w:rPr>
        <w:t xml:space="preserve">the </w:t>
      </w:r>
      <w:r w:rsidRPr="00455157" w:rsidR="009B2B19">
        <w:rPr>
          <w:sz w:val="24"/>
        </w:rPr>
        <w:t>HPMS</w:t>
      </w:r>
      <w:r w:rsidRPr="00455157" w:rsidR="006B701E">
        <w:rPr>
          <w:sz w:val="24"/>
        </w:rPr>
        <w:t xml:space="preserve"> application</w:t>
      </w:r>
      <w:r w:rsidRPr="00455157" w:rsidR="00CB12EA">
        <w:rPr>
          <w:sz w:val="24"/>
        </w:rPr>
        <w:t xml:space="preserve"> for Part </w:t>
      </w:r>
      <w:r w:rsidRPr="00455157" w:rsidR="008534D1">
        <w:rPr>
          <w:sz w:val="24"/>
        </w:rPr>
        <w:t>C</w:t>
      </w:r>
      <w:r w:rsidRPr="00455157" w:rsidR="00CB12EA">
        <w:rPr>
          <w:sz w:val="24"/>
        </w:rPr>
        <w:t xml:space="preserve"> plan sponsors</w:t>
      </w:r>
      <w:r w:rsidRPr="00455157" w:rsidR="009B2B19">
        <w:rPr>
          <w:sz w:val="24"/>
        </w:rPr>
        <w:t xml:space="preserve">, program integrity contractors </w:t>
      </w:r>
      <w:r w:rsidRPr="00455157" w:rsidR="00CB12EA">
        <w:rPr>
          <w:sz w:val="24"/>
        </w:rPr>
        <w:t>and law enforcement</w:t>
      </w:r>
      <w:r w:rsidRPr="00455157" w:rsidR="009B2B19">
        <w:rPr>
          <w:sz w:val="24"/>
        </w:rPr>
        <w:t xml:space="preserve">. </w:t>
      </w:r>
      <w:r w:rsidRPr="00455157">
        <w:rPr>
          <w:sz w:val="24"/>
        </w:rPr>
        <w:t xml:space="preserve"> The</w:t>
      </w:r>
      <w:r w:rsidRPr="00455157" w:rsidR="00CB12EA">
        <w:rPr>
          <w:sz w:val="24"/>
        </w:rPr>
        <w:t xml:space="preserve"> Part </w:t>
      </w:r>
      <w:r w:rsidRPr="00455157" w:rsidR="008534D1">
        <w:rPr>
          <w:sz w:val="24"/>
        </w:rPr>
        <w:t>C</w:t>
      </w:r>
      <w:r w:rsidRPr="00455157" w:rsidR="00CB12EA">
        <w:rPr>
          <w:sz w:val="24"/>
        </w:rPr>
        <w:t xml:space="preserve"> plan sponsors</w:t>
      </w:r>
      <w:r w:rsidRPr="00455157" w:rsidR="00646786">
        <w:rPr>
          <w:sz w:val="24"/>
        </w:rPr>
        <w:t xml:space="preserve"> will already possess</w:t>
      </w:r>
      <w:r w:rsidRPr="00455157">
        <w:rPr>
          <w:sz w:val="24"/>
        </w:rPr>
        <w:t xml:space="preserve"> the necessary equipment, such as computer and </w:t>
      </w:r>
      <w:r w:rsidRPr="00455157" w:rsidR="009F4B2E">
        <w:rPr>
          <w:sz w:val="24"/>
        </w:rPr>
        <w:t>I</w:t>
      </w:r>
      <w:r w:rsidRPr="00455157">
        <w:rPr>
          <w:sz w:val="24"/>
        </w:rPr>
        <w:t>nternet access</w:t>
      </w:r>
      <w:r w:rsidRPr="00455157" w:rsidR="004D7799">
        <w:rPr>
          <w:sz w:val="24"/>
        </w:rPr>
        <w:t>.</w:t>
      </w:r>
      <w:r w:rsidRPr="00455157">
        <w:rPr>
          <w:sz w:val="24"/>
        </w:rPr>
        <w:t xml:space="preserve"> </w:t>
      </w:r>
      <w:r w:rsidRPr="00455157" w:rsidR="006B701E">
        <w:rPr>
          <w:sz w:val="24"/>
        </w:rPr>
        <w:t xml:space="preserve"> </w:t>
      </w:r>
      <w:r w:rsidRPr="00455157" w:rsidR="00AB371C">
        <w:rPr>
          <w:sz w:val="24"/>
        </w:rPr>
        <w:t xml:space="preserve">This will give them the advantage of obtaining national data without </w:t>
      </w:r>
      <w:r w:rsidRPr="00455157" w:rsidR="00646786">
        <w:rPr>
          <w:sz w:val="24"/>
        </w:rPr>
        <w:t xml:space="preserve">any </w:t>
      </w:r>
      <w:r w:rsidRPr="00455157" w:rsidR="002539F6">
        <w:rPr>
          <w:sz w:val="24"/>
        </w:rPr>
        <w:t xml:space="preserve">capital </w:t>
      </w:r>
      <w:r w:rsidRPr="00455157" w:rsidR="00AB371C">
        <w:rPr>
          <w:sz w:val="24"/>
        </w:rPr>
        <w:t>cost</w:t>
      </w:r>
      <w:r w:rsidRPr="00455157" w:rsidR="002539F6">
        <w:rPr>
          <w:sz w:val="24"/>
        </w:rPr>
        <w:t>s</w:t>
      </w:r>
      <w:r w:rsidRPr="00455157" w:rsidR="00AB371C">
        <w:rPr>
          <w:sz w:val="24"/>
        </w:rPr>
        <w:t xml:space="preserve"> to them.</w:t>
      </w:r>
    </w:p>
    <w:p w:rsidRPr="00455157" w:rsidR="00642989" w:rsidP="00CD6C65" w:rsidRDefault="00642989" w14:paraId="12075F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455157" w:rsidR="008F1EB4" w:rsidP="00222AF0" w:rsidRDefault="008F1EB4" w14:paraId="65924DDE" w14:textId="77777777">
      <w:pPr>
        <w:widowControl/>
        <w:autoSpaceDE/>
        <w:autoSpaceDN/>
        <w:adjustRightInd/>
        <w:rPr>
          <w:sz w:val="24"/>
        </w:rPr>
      </w:pPr>
      <w:r w:rsidRPr="00455157">
        <w:rPr>
          <w:sz w:val="24"/>
        </w:rPr>
        <w:t>14.</w:t>
      </w:r>
      <w:r w:rsidRPr="00455157">
        <w:rPr>
          <w:sz w:val="24"/>
        </w:rPr>
        <w:tab/>
      </w:r>
      <w:r w:rsidRPr="00455157">
        <w:rPr>
          <w:sz w:val="24"/>
          <w:u w:val="single"/>
        </w:rPr>
        <w:t>Cost to Federal Government</w:t>
      </w:r>
    </w:p>
    <w:p w:rsidRPr="00455157" w:rsidR="008F1EB4" w:rsidP="00CD6C65" w:rsidRDefault="008F1EB4" w14:paraId="38C234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sz w:val="24"/>
        </w:rPr>
      </w:pPr>
    </w:p>
    <w:p w:rsidRPr="00455157" w:rsidR="00C8798C" w:rsidP="00CD6C65" w:rsidRDefault="00E5095F" w14:paraId="0D55F6AF" w14:textId="0B498355">
      <w:pPr>
        <w:tabs>
          <w:tab w:val="right" w:pos="1440"/>
          <w:tab w:val="left" w:pos="2160"/>
        </w:tabs>
        <w:ind w:left="864"/>
        <w:rPr>
          <w:iCs/>
          <w:sz w:val="24"/>
        </w:rPr>
      </w:pPr>
      <w:r w:rsidRPr="00455157">
        <w:rPr>
          <w:sz w:val="24"/>
        </w:rPr>
        <w:t xml:space="preserve">CMS contractor will develop a Program Integrity Portal in the Health Plan Management System </w:t>
      </w:r>
      <w:r w:rsidRPr="00455157" w:rsidR="00A01AA0">
        <w:rPr>
          <w:sz w:val="24"/>
        </w:rPr>
        <w:t xml:space="preserve">(HPMS) </w:t>
      </w:r>
      <w:r w:rsidRPr="00455157">
        <w:rPr>
          <w:sz w:val="24"/>
        </w:rPr>
        <w:t xml:space="preserve">that will be used by organizations to report fraud, waste and abuse and used by CMS to track and analyze suspected fraud, waste and abuse activity in Medicare Advantage and Prescription Drug Programs. </w:t>
      </w:r>
      <w:r w:rsidRPr="00455157" w:rsidR="004B4748">
        <w:rPr>
          <w:sz w:val="24"/>
        </w:rPr>
        <w:t xml:space="preserve"> </w:t>
      </w:r>
      <w:r w:rsidRPr="00455157" w:rsidR="00A01AA0">
        <w:rPr>
          <w:sz w:val="24"/>
        </w:rPr>
        <w:t>The procurement cost to develop the module in HPMS and determine the business requirements for the system was $1,000,000.  While there will be operation and maintenance costs once the system is operational, those costs have not been specified prior to production.</w:t>
      </w:r>
    </w:p>
    <w:p w:rsidRPr="00455157" w:rsidR="00C8798C" w:rsidP="00C8798C" w:rsidRDefault="00C8798C" w14:paraId="35E549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Pr="00455157" w:rsidR="00C8798C" w:rsidP="00CD6C65" w:rsidRDefault="00C8798C" w14:paraId="38380680" w14:textId="1E3FFA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1"/>
        <w:rPr>
          <w:sz w:val="24"/>
        </w:rPr>
      </w:pPr>
      <w:r w:rsidRPr="00455157">
        <w:rPr>
          <w:sz w:val="24"/>
        </w:rPr>
        <w:t>15.</w:t>
      </w:r>
      <w:r w:rsidRPr="00455157" w:rsidR="0059457E">
        <w:rPr>
          <w:sz w:val="24"/>
        </w:rPr>
        <w:t xml:space="preserve"> </w:t>
      </w:r>
      <w:r w:rsidRPr="00455157">
        <w:rPr>
          <w:sz w:val="24"/>
          <w:u w:val="single"/>
        </w:rPr>
        <w:t>Changes to Burden</w:t>
      </w:r>
    </w:p>
    <w:p w:rsidRPr="00455157" w:rsidR="00C8798C" w:rsidP="00C8798C" w:rsidRDefault="00C8798C" w14:paraId="585E25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631277" w:rsidP="00A00D36" w:rsidRDefault="00C8798C" w14:paraId="2ED955FD" w14:textId="67302B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rPr>
          <w:sz w:val="24"/>
        </w:rPr>
      </w:pPr>
      <w:r w:rsidRPr="00455157">
        <w:rPr>
          <w:sz w:val="24"/>
        </w:rPr>
        <w:t>Not applicable.</w:t>
      </w:r>
      <w:r w:rsidRPr="00455157" w:rsidR="00AA5CFF">
        <w:rPr>
          <w:sz w:val="24"/>
        </w:rPr>
        <w:t xml:space="preserve"> This is a new collection of information request.</w:t>
      </w:r>
    </w:p>
    <w:p w:rsidRPr="00455157" w:rsidR="002730E7" w:rsidP="00C8798C" w:rsidRDefault="002730E7" w14:paraId="1A9F787E" w14:textId="7C9B42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C8798C" w:rsidP="00CD6C65" w:rsidRDefault="00C8798C" w14:paraId="72DE37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16.</w:t>
      </w:r>
      <w:r w:rsidRPr="00455157">
        <w:rPr>
          <w:sz w:val="24"/>
        </w:rPr>
        <w:tab/>
      </w:r>
      <w:r w:rsidRPr="00455157">
        <w:rPr>
          <w:sz w:val="24"/>
          <w:u w:val="single"/>
        </w:rPr>
        <w:t>Publication/Tabulation Dates</w:t>
      </w:r>
    </w:p>
    <w:p w:rsidRPr="00455157" w:rsidR="00C8798C" w:rsidP="00C8798C" w:rsidRDefault="00C8798C" w14:paraId="520D2F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55157" w:rsidR="00C8798C" w:rsidP="00CD6C65" w:rsidRDefault="00C8798C" w14:paraId="5EF03CF7" w14:textId="6D68F0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rPr>
          <w:sz w:val="24"/>
        </w:rPr>
      </w:pPr>
      <w:r w:rsidRPr="00455157">
        <w:rPr>
          <w:sz w:val="24"/>
        </w:rPr>
        <w:t>Not applicable. No information will be published.</w:t>
      </w:r>
    </w:p>
    <w:p w:rsidRPr="00455157" w:rsidR="00C8798C" w:rsidP="00C8798C" w:rsidRDefault="00C8798C" w14:paraId="415FB9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C8798C" w:rsidP="00CD6C65" w:rsidRDefault="00C8798C" w14:paraId="106E9B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17.</w:t>
      </w:r>
      <w:r w:rsidRPr="00455157">
        <w:rPr>
          <w:sz w:val="24"/>
        </w:rPr>
        <w:tab/>
      </w:r>
      <w:r w:rsidRPr="00455157">
        <w:rPr>
          <w:sz w:val="24"/>
          <w:u w:val="single"/>
        </w:rPr>
        <w:t>Expiration Date</w:t>
      </w:r>
    </w:p>
    <w:p w:rsidRPr="00455157" w:rsidR="00C8798C" w:rsidP="00C8798C" w:rsidRDefault="00C8798C" w14:paraId="7E4C10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455157" w:rsidR="00635793" w:rsidP="00CD6C65" w:rsidRDefault="00635793" w14:paraId="472437DC" w14:textId="044D40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rPr>
          <w:sz w:val="24"/>
        </w:rPr>
      </w:pPr>
      <w:r w:rsidRPr="00455157">
        <w:rPr>
          <w:sz w:val="24"/>
        </w:rPr>
        <w:t xml:space="preserve">CMS does not have any objection to displaying the expiration date. </w:t>
      </w:r>
      <w:r w:rsidRPr="00455157" w:rsidR="0059457E">
        <w:rPr>
          <w:sz w:val="24"/>
        </w:rPr>
        <w:t xml:space="preserve"> </w:t>
      </w:r>
      <w:r w:rsidRPr="00455157">
        <w:rPr>
          <w:sz w:val="24"/>
        </w:rPr>
        <w:t xml:space="preserve">The </w:t>
      </w:r>
      <w:r w:rsidRPr="00455157" w:rsidR="004D7799">
        <w:rPr>
          <w:sz w:val="24"/>
        </w:rPr>
        <w:t xml:space="preserve">Program Integrity Portal </w:t>
      </w:r>
      <w:r w:rsidRPr="00455157">
        <w:rPr>
          <w:sz w:val="24"/>
        </w:rPr>
        <w:t xml:space="preserve">application </w:t>
      </w:r>
      <w:r w:rsidRPr="00455157" w:rsidR="00C06445">
        <w:rPr>
          <w:sz w:val="24"/>
        </w:rPr>
        <w:t>web</w:t>
      </w:r>
      <w:r w:rsidRPr="00455157">
        <w:rPr>
          <w:sz w:val="24"/>
        </w:rPr>
        <w:t>site will display the OMB approval number and the expiration date for the OMB approval.</w:t>
      </w:r>
    </w:p>
    <w:p w:rsidRPr="00455157" w:rsidR="00C8798C" w:rsidP="00C8798C" w:rsidRDefault="00C8798C" w14:paraId="537FBA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157" w:rsidR="00C8798C" w:rsidP="00CD6C65" w:rsidRDefault="00C8798C" w14:paraId="662D45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outlineLvl w:val="1"/>
        <w:rPr>
          <w:sz w:val="24"/>
        </w:rPr>
      </w:pPr>
      <w:r w:rsidRPr="00455157">
        <w:rPr>
          <w:sz w:val="24"/>
        </w:rPr>
        <w:t>18.</w:t>
      </w:r>
      <w:r w:rsidRPr="00455157">
        <w:rPr>
          <w:sz w:val="24"/>
        </w:rPr>
        <w:tab/>
      </w:r>
      <w:r w:rsidRPr="00455157">
        <w:rPr>
          <w:sz w:val="24"/>
          <w:u w:val="single"/>
        </w:rPr>
        <w:t>Certification Statement</w:t>
      </w:r>
    </w:p>
    <w:p w:rsidRPr="00455157" w:rsidR="00C8798C" w:rsidP="00C8798C" w:rsidRDefault="00C8798C" w14:paraId="71D203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P="00CD6C65" w:rsidRDefault="00C8798C" w14:paraId="20D262BF" w14:textId="3D303E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432"/>
        <w:rPr>
          <w:sz w:val="24"/>
        </w:rPr>
      </w:pPr>
      <w:r w:rsidRPr="00455157">
        <w:rPr>
          <w:sz w:val="24"/>
        </w:rPr>
        <w:t>Not applicable.</w:t>
      </w:r>
    </w:p>
    <w:p w:rsidR="006E145A" w:rsidRDefault="006E145A" w14:paraId="422306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6E145A">
      <w:footerReference w:type="default" r:id="rId9"/>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A248B" w14:textId="77777777" w:rsidR="00055023" w:rsidRDefault="00055023">
      <w:r>
        <w:separator/>
      </w:r>
    </w:p>
  </w:endnote>
  <w:endnote w:type="continuationSeparator" w:id="0">
    <w:p w14:paraId="68BE1827" w14:textId="77777777" w:rsidR="00055023" w:rsidRDefault="00055023">
      <w:r>
        <w:continuationSeparator/>
      </w:r>
    </w:p>
  </w:endnote>
  <w:endnote w:type="continuationNotice" w:id="1">
    <w:p w14:paraId="34B55AF8" w14:textId="77777777" w:rsidR="00055023" w:rsidRDefault="00055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10628" w14:textId="77777777" w:rsidR="00ED7DA2" w:rsidRDefault="00ED7DA2">
    <w:pPr>
      <w:spacing w:line="240" w:lineRule="exact"/>
    </w:pPr>
  </w:p>
  <w:p w14:paraId="2975FDD5" w14:textId="0309C778" w:rsidR="00ED7DA2" w:rsidRDefault="00ED7DA2">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71929">
      <w:rPr>
        <w:noProof/>
        <w:sz w:val="24"/>
      </w:rPr>
      <w:t>4</w:t>
    </w:r>
    <w:r>
      <w:rPr>
        <w:sz w:val="24"/>
      </w:rPr>
      <w:fldChar w:fldCharType="end"/>
    </w:r>
  </w:p>
  <w:p w14:paraId="2E978AEE" w14:textId="77777777" w:rsidR="00ED7DA2" w:rsidRDefault="00ED7DA2">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BA57" w14:textId="77777777" w:rsidR="00055023" w:rsidRDefault="00055023">
      <w:r>
        <w:separator/>
      </w:r>
    </w:p>
  </w:footnote>
  <w:footnote w:type="continuationSeparator" w:id="0">
    <w:p w14:paraId="781BAA7E" w14:textId="77777777" w:rsidR="00055023" w:rsidRDefault="00055023">
      <w:r>
        <w:continuationSeparator/>
      </w:r>
    </w:p>
  </w:footnote>
  <w:footnote w:type="continuationNotice" w:id="1">
    <w:p w14:paraId="42E8AE3D" w14:textId="77777777" w:rsidR="00055023" w:rsidRDefault="00055023"/>
  </w:footnote>
  <w:footnote w:id="2">
    <w:p w14:paraId="65FFD330" w14:textId="77777777" w:rsidR="00ED7DA2" w:rsidRPr="00D772DE" w:rsidRDefault="00ED7DA2" w:rsidP="00AB75C1">
      <w:pPr>
        <w:pStyle w:val="CommentText"/>
        <w:rPr>
          <w:sz w:val="18"/>
          <w:szCs w:val="18"/>
        </w:rPr>
      </w:pPr>
      <w:r w:rsidRPr="00D772DE">
        <w:rPr>
          <w:rStyle w:val="FootnoteReference"/>
          <w:sz w:val="18"/>
          <w:szCs w:val="18"/>
        </w:rPr>
        <w:footnoteRef/>
      </w:r>
      <w:r w:rsidRPr="00D772DE">
        <w:rPr>
          <w:sz w:val="18"/>
          <w:szCs w:val="18"/>
        </w:rPr>
        <w:t xml:space="preserve"> </w:t>
      </w:r>
      <w:hyperlink r:id="rId1" w:history="1">
        <w:r w:rsidRPr="00D772DE">
          <w:rPr>
            <w:rStyle w:val="Hyperlink"/>
            <w:sz w:val="18"/>
            <w:szCs w:val="18"/>
          </w:rPr>
          <w:t>https://www.cdc.gov/drugoverdose/data/index.html</w:t>
        </w:r>
      </w:hyperlink>
      <w:r w:rsidRPr="00D772DE">
        <w:rPr>
          <w:rStyle w:val="Hyperlink"/>
          <w:sz w:val="18"/>
          <w:szCs w:val="18"/>
        </w:rPr>
        <w:t>.</w:t>
      </w:r>
    </w:p>
  </w:footnote>
  <w:footnote w:id="3">
    <w:p w14:paraId="2255D39F" w14:textId="77777777" w:rsidR="00ED7DA2" w:rsidRPr="00D772DE" w:rsidRDefault="00ED7DA2" w:rsidP="00AB75C1">
      <w:pPr>
        <w:pStyle w:val="FootnoteText"/>
        <w:rPr>
          <w:sz w:val="18"/>
          <w:szCs w:val="18"/>
        </w:rPr>
      </w:pPr>
      <w:r w:rsidRPr="00D772DE">
        <w:rPr>
          <w:rStyle w:val="FootnoteReference"/>
          <w:sz w:val="18"/>
          <w:szCs w:val="18"/>
        </w:rPr>
        <w:footnoteRef/>
      </w:r>
      <w:r w:rsidRPr="00D772DE">
        <w:rPr>
          <w:sz w:val="18"/>
          <w:szCs w:val="18"/>
        </w:rPr>
        <w:t xml:space="preserve"> </w:t>
      </w:r>
      <w:hyperlink r:id="rId2" w:history="1">
        <w:r w:rsidRPr="00D772DE">
          <w:rPr>
            <w:rStyle w:val="Hyperlink"/>
            <w:sz w:val="18"/>
            <w:szCs w:val="18"/>
          </w:rPr>
          <w:t>https://www.hhs.gov/about/news/2017/10/26/hhs-acting-secretary-declares-public-health-emergency-address-national-opioid-crisis.html</w:t>
        </w:r>
      </w:hyperlink>
      <w:r w:rsidRPr="00D772DE">
        <w:rPr>
          <w:rStyle w:val="Hyperlink"/>
          <w:sz w:val="18"/>
          <w:szCs w:val="18"/>
        </w:rPr>
        <w:t>.</w:t>
      </w:r>
    </w:p>
  </w:footnote>
  <w:footnote w:id="4">
    <w:p w14:paraId="51A445EA" w14:textId="77777777" w:rsidR="00ED7DA2" w:rsidRPr="00D772DE" w:rsidRDefault="00ED7DA2" w:rsidP="00AB75C1">
      <w:pPr>
        <w:pStyle w:val="FootnoteText"/>
        <w:rPr>
          <w:sz w:val="18"/>
          <w:szCs w:val="18"/>
        </w:rPr>
      </w:pPr>
      <w:r w:rsidRPr="00D772DE">
        <w:rPr>
          <w:rStyle w:val="FootnoteReference"/>
          <w:sz w:val="18"/>
          <w:szCs w:val="18"/>
        </w:rPr>
        <w:footnoteRef/>
      </w:r>
      <w:r w:rsidRPr="00D772DE">
        <w:rPr>
          <w:sz w:val="18"/>
          <w:szCs w:val="18"/>
        </w:rPr>
        <w:t xml:space="preserve"> </w:t>
      </w:r>
      <w:hyperlink r:id="rId3" w:history="1">
        <w:r w:rsidRPr="00D772DE">
          <w:rPr>
            <w:rStyle w:val="Hyperlink"/>
            <w:sz w:val="18"/>
            <w:szCs w:val="18"/>
          </w:rPr>
          <w:t>https://www.phe.gov/emergency/news/healthactions/phe/Pages/opioid-19apr2019.aspx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8C0"/>
    <w:multiLevelType w:val="hybridMultilevel"/>
    <w:tmpl w:val="570E1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02A95"/>
    <w:multiLevelType w:val="hybridMultilevel"/>
    <w:tmpl w:val="9F7E4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1210C"/>
    <w:multiLevelType w:val="hybridMultilevel"/>
    <w:tmpl w:val="EA72B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FE67EA"/>
    <w:multiLevelType w:val="hybridMultilevel"/>
    <w:tmpl w:val="D9DE9A8E"/>
    <w:lvl w:ilvl="0" w:tplc="04090001">
      <w:start w:val="1"/>
      <w:numFmt w:val="bullet"/>
      <w:lvlText w:val=""/>
      <w:lvlJc w:val="left"/>
      <w:pPr>
        <w:ind w:left="729" w:hanging="360"/>
      </w:pPr>
      <w:rPr>
        <w:rFonts w:ascii="Symbol" w:hAnsi="Symbol" w:hint="default"/>
      </w:rPr>
    </w:lvl>
    <w:lvl w:ilvl="1" w:tplc="04090003">
      <w:start w:val="1"/>
      <w:numFmt w:val="bullet"/>
      <w:lvlText w:val="o"/>
      <w:lvlJc w:val="left"/>
      <w:pPr>
        <w:ind w:left="1449" w:hanging="360"/>
      </w:pPr>
      <w:rPr>
        <w:rFonts w:ascii="Courier New" w:hAnsi="Courier New" w:cs="Courier New" w:hint="default"/>
      </w:rPr>
    </w:lvl>
    <w:lvl w:ilvl="2" w:tplc="04090005">
      <w:start w:val="1"/>
      <w:numFmt w:val="bullet"/>
      <w:lvlText w:val=""/>
      <w:lvlJc w:val="left"/>
      <w:pPr>
        <w:ind w:left="2169" w:hanging="360"/>
      </w:pPr>
      <w:rPr>
        <w:rFonts w:ascii="Wingdings" w:hAnsi="Wingdings" w:hint="default"/>
      </w:rPr>
    </w:lvl>
    <w:lvl w:ilvl="3" w:tplc="0409000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4" w15:restartNumberingAfterBreak="0">
    <w:nsid w:val="4D0E558B"/>
    <w:multiLevelType w:val="hybridMultilevel"/>
    <w:tmpl w:val="D73E01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005C83"/>
    <w:multiLevelType w:val="hybridMultilevel"/>
    <w:tmpl w:val="A70A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83955"/>
    <w:multiLevelType w:val="hybridMultilevel"/>
    <w:tmpl w:val="53624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6411C"/>
    <w:multiLevelType w:val="hybridMultilevel"/>
    <w:tmpl w:val="8D22D4E0"/>
    <w:lvl w:ilvl="0" w:tplc="E75E8FC6">
      <w:numFmt w:val="bullet"/>
      <w:lvlText w:val="•"/>
      <w:lvlJc w:val="left"/>
      <w:pPr>
        <w:ind w:left="939" w:hanging="358"/>
      </w:pPr>
      <w:rPr>
        <w:rFonts w:ascii="Arial" w:eastAsia="Arial" w:hAnsi="Arial" w:cs="Arial" w:hint="default"/>
        <w:w w:val="98"/>
        <w:sz w:val="24"/>
        <w:szCs w:val="24"/>
      </w:rPr>
    </w:lvl>
    <w:lvl w:ilvl="1" w:tplc="45007478">
      <w:numFmt w:val="bullet"/>
      <w:lvlText w:val=""/>
      <w:lvlJc w:val="left"/>
      <w:pPr>
        <w:ind w:left="1039" w:hanging="288"/>
      </w:pPr>
      <w:rPr>
        <w:rFonts w:ascii="Symbol" w:eastAsia="Symbol" w:hAnsi="Symbol" w:cs="Symbol" w:hint="default"/>
        <w:w w:val="100"/>
        <w:sz w:val="24"/>
        <w:szCs w:val="24"/>
      </w:rPr>
    </w:lvl>
    <w:lvl w:ilvl="2" w:tplc="990020F2">
      <w:numFmt w:val="bullet"/>
      <w:lvlText w:val="•"/>
      <w:lvlJc w:val="left"/>
      <w:pPr>
        <w:ind w:left="1986" w:hanging="288"/>
      </w:pPr>
      <w:rPr>
        <w:rFonts w:hint="default"/>
      </w:rPr>
    </w:lvl>
    <w:lvl w:ilvl="3" w:tplc="2BD27B7A">
      <w:numFmt w:val="bullet"/>
      <w:lvlText w:val="•"/>
      <w:lvlJc w:val="left"/>
      <w:pPr>
        <w:ind w:left="2933" w:hanging="288"/>
      </w:pPr>
      <w:rPr>
        <w:rFonts w:hint="default"/>
      </w:rPr>
    </w:lvl>
    <w:lvl w:ilvl="4" w:tplc="6978A2B0">
      <w:numFmt w:val="bullet"/>
      <w:lvlText w:val="•"/>
      <w:lvlJc w:val="left"/>
      <w:pPr>
        <w:ind w:left="3880" w:hanging="288"/>
      </w:pPr>
      <w:rPr>
        <w:rFonts w:hint="default"/>
      </w:rPr>
    </w:lvl>
    <w:lvl w:ilvl="5" w:tplc="DBB09CB2">
      <w:numFmt w:val="bullet"/>
      <w:lvlText w:val="•"/>
      <w:lvlJc w:val="left"/>
      <w:pPr>
        <w:ind w:left="4826" w:hanging="288"/>
      </w:pPr>
      <w:rPr>
        <w:rFonts w:hint="default"/>
      </w:rPr>
    </w:lvl>
    <w:lvl w:ilvl="6" w:tplc="C30E7064">
      <w:numFmt w:val="bullet"/>
      <w:lvlText w:val="•"/>
      <w:lvlJc w:val="left"/>
      <w:pPr>
        <w:ind w:left="5773" w:hanging="288"/>
      </w:pPr>
      <w:rPr>
        <w:rFonts w:hint="default"/>
      </w:rPr>
    </w:lvl>
    <w:lvl w:ilvl="7" w:tplc="242CF5AC">
      <w:numFmt w:val="bullet"/>
      <w:lvlText w:val="•"/>
      <w:lvlJc w:val="left"/>
      <w:pPr>
        <w:ind w:left="6720" w:hanging="288"/>
      </w:pPr>
      <w:rPr>
        <w:rFonts w:hint="default"/>
      </w:rPr>
    </w:lvl>
    <w:lvl w:ilvl="8" w:tplc="7DD266A0">
      <w:numFmt w:val="bullet"/>
      <w:lvlText w:val="•"/>
      <w:lvlJc w:val="left"/>
      <w:pPr>
        <w:ind w:left="7666" w:hanging="288"/>
      </w:pPr>
      <w:rPr>
        <w:rFonts w:hint="default"/>
      </w:rPr>
    </w:lvl>
  </w:abstractNum>
  <w:abstractNum w:abstractNumId="8" w15:restartNumberingAfterBreak="0">
    <w:nsid w:val="64A0187A"/>
    <w:multiLevelType w:val="hybridMultilevel"/>
    <w:tmpl w:val="31365C6E"/>
    <w:lvl w:ilvl="0" w:tplc="0409000B">
      <w:start w:val="9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52C38"/>
    <w:multiLevelType w:val="hybridMultilevel"/>
    <w:tmpl w:val="30E6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2"/>
  </w:num>
  <w:num w:numId="5">
    <w:abstractNumId w:val="3"/>
  </w:num>
  <w:num w:numId="6">
    <w:abstractNumId w:val="0"/>
  </w:num>
  <w:num w:numId="7">
    <w:abstractNumId w:val="8"/>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3F21"/>
    <w:rsid w:val="00004023"/>
    <w:rsid w:val="000370E1"/>
    <w:rsid w:val="00041B14"/>
    <w:rsid w:val="00046F1B"/>
    <w:rsid w:val="00051ED5"/>
    <w:rsid w:val="0005369D"/>
    <w:rsid w:val="00055023"/>
    <w:rsid w:val="00060BBC"/>
    <w:rsid w:val="00063393"/>
    <w:rsid w:val="0006646F"/>
    <w:rsid w:val="0007694F"/>
    <w:rsid w:val="00077A69"/>
    <w:rsid w:val="000810BF"/>
    <w:rsid w:val="00081D66"/>
    <w:rsid w:val="00082DB2"/>
    <w:rsid w:val="0008614E"/>
    <w:rsid w:val="0009541A"/>
    <w:rsid w:val="000B37DE"/>
    <w:rsid w:val="000D070D"/>
    <w:rsid w:val="000D64A8"/>
    <w:rsid w:val="000E071B"/>
    <w:rsid w:val="000F05B7"/>
    <w:rsid w:val="000F3AF4"/>
    <w:rsid w:val="000F7C72"/>
    <w:rsid w:val="001038DA"/>
    <w:rsid w:val="00110B7B"/>
    <w:rsid w:val="00111621"/>
    <w:rsid w:val="00112466"/>
    <w:rsid w:val="0011347A"/>
    <w:rsid w:val="00113781"/>
    <w:rsid w:val="001149AF"/>
    <w:rsid w:val="00116964"/>
    <w:rsid w:val="00127891"/>
    <w:rsid w:val="00133536"/>
    <w:rsid w:val="00147121"/>
    <w:rsid w:val="00155CBD"/>
    <w:rsid w:val="001660F4"/>
    <w:rsid w:val="00171811"/>
    <w:rsid w:val="00173004"/>
    <w:rsid w:val="00175B2D"/>
    <w:rsid w:val="00175EAE"/>
    <w:rsid w:val="00176123"/>
    <w:rsid w:val="00180B79"/>
    <w:rsid w:val="0019441C"/>
    <w:rsid w:val="00197E08"/>
    <w:rsid w:val="001A07A4"/>
    <w:rsid w:val="001A5D91"/>
    <w:rsid w:val="001C59ED"/>
    <w:rsid w:val="001C5AE2"/>
    <w:rsid w:val="001C64D6"/>
    <w:rsid w:val="001D7195"/>
    <w:rsid w:val="001E29F3"/>
    <w:rsid w:val="001F644B"/>
    <w:rsid w:val="001F65D2"/>
    <w:rsid w:val="00201125"/>
    <w:rsid w:val="002113AE"/>
    <w:rsid w:val="0021319F"/>
    <w:rsid w:val="0021371A"/>
    <w:rsid w:val="00213CA8"/>
    <w:rsid w:val="002167F6"/>
    <w:rsid w:val="00222AF0"/>
    <w:rsid w:val="002241EE"/>
    <w:rsid w:val="002245ED"/>
    <w:rsid w:val="00226F8A"/>
    <w:rsid w:val="00237D64"/>
    <w:rsid w:val="00240773"/>
    <w:rsid w:val="00250881"/>
    <w:rsid w:val="002539F6"/>
    <w:rsid w:val="00253B7F"/>
    <w:rsid w:val="00256DAE"/>
    <w:rsid w:val="002614EE"/>
    <w:rsid w:val="0026321D"/>
    <w:rsid w:val="00263CC3"/>
    <w:rsid w:val="00267D02"/>
    <w:rsid w:val="002730E7"/>
    <w:rsid w:val="00285F43"/>
    <w:rsid w:val="002877DC"/>
    <w:rsid w:val="002958C4"/>
    <w:rsid w:val="002B3AB8"/>
    <w:rsid w:val="002C6849"/>
    <w:rsid w:val="002C7CF3"/>
    <w:rsid w:val="002D3F01"/>
    <w:rsid w:val="002D6D34"/>
    <w:rsid w:val="002F1886"/>
    <w:rsid w:val="002F22EE"/>
    <w:rsid w:val="0031501D"/>
    <w:rsid w:val="003155CA"/>
    <w:rsid w:val="00324B73"/>
    <w:rsid w:val="00333053"/>
    <w:rsid w:val="00333CB5"/>
    <w:rsid w:val="003406D7"/>
    <w:rsid w:val="00346399"/>
    <w:rsid w:val="0035170D"/>
    <w:rsid w:val="003601B6"/>
    <w:rsid w:val="00370416"/>
    <w:rsid w:val="00373F0C"/>
    <w:rsid w:val="0037564D"/>
    <w:rsid w:val="00381843"/>
    <w:rsid w:val="00381CA0"/>
    <w:rsid w:val="003878AC"/>
    <w:rsid w:val="003926E8"/>
    <w:rsid w:val="003958A3"/>
    <w:rsid w:val="003971BE"/>
    <w:rsid w:val="003975F0"/>
    <w:rsid w:val="003A0325"/>
    <w:rsid w:val="003A1842"/>
    <w:rsid w:val="003A2D9B"/>
    <w:rsid w:val="003A4486"/>
    <w:rsid w:val="003A5D71"/>
    <w:rsid w:val="003B3423"/>
    <w:rsid w:val="003B70C5"/>
    <w:rsid w:val="003C1952"/>
    <w:rsid w:val="003D14E0"/>
    <w:rsid w:val="003D6311"/>
    <w:rsid w:val="003D6BA1"/>
    <w:rsid w:val="003D6BC4"/>
    <w:rsid w:val="003E3041"/>
    <w:rsid w:val="003E3217"/>
    <w:rsid w:val="003E6E52"/>
    <w:rsid w:val="003F1942"/>
    <w:rsid w:val="003F6C57"/>
    <w:rsid w:val="003F75F6"/>
    <w:rsid w:val="003F7E77"/>
    <w:rsid w:val="00404E76"/>
    <w:rsid w:val="00406BB6"/>
    <w:rsid w:val="004141E1"/>
    <w:rsid w:val="0043713C"/>
    <w:rsid w:val="0044007D"/>
    <w:rsid w:val="00442F20"/>
    <w:rsid w:val="00450D6A"/>
    <w:rsid w:val="00455157"/>
    <w:rsid w:val="00460373"/>
    <w:rsid w:val="00465E7D"/>
    <w:rsid w:val="00466F52"/>
    <w:rsid w:val="00471F02"/>
    <w:rsid w:val="00473AC7"/>
    <w:rsid w:val="004804FE"/>
    <w:rsid w:val="00480A13"/>
    <w:rsid w:val="00481219"/>
    <w:rsid w:val="004854D7"/>
    <w:rsid w:val="004A13B2"/>
    <w:rsid w:val="004B2A8C"/>
    <w:rsid w:val="004B4748"/>
    <w:rsid w:val="004C73B9"/>
    <w:rsid w:val="004D5B1B"/>
    <w:rsid w:val="004D5CDE"/>
    <w:rsid w:val="004D7799"/>
    <w:rsid w:val="004E05E6"/>
    <w:rsid w:val="004F4B82"/>
    <w:rsid w:val="004F61D2"/>
    <w:rsid w:val="004F6E7B"/>
    <w:rsid w:val="00500151"/>
    <w:rsid w:val="00500E5C"/>
    <w:rsid w:val="00526283"/>
    <w:rsid w:val="00530BD5"/>
    <w:rsid w:val="0053148E"/>
    <w:rsid w:val="005329DC"/>
    <w:rsid w:val="00532BE6"/>
    <w:rsid w:val="005336C7"/>
    <w:rsid w:val="005479DF"/>
    <w:rsid w:val="00547DD6"/>
    <w:rsid w:val="005645D4"/>
    <w:rsid w:val="00564BD5"/>
    <w:rsid w:val="00581135"/>
    <w:rsid w:val="00591EBD"/>
    <w:rsid w:val="0059457E"/>
    <w:rsid w:val="00594BEA"/>
    <w:rsid w:val="00596BCE"/>
    <w:rsid w:val="005A3F68"/>
    <w:rsid w:val="005B2DFD"/>
    <w:rsid w:val="005C5EB9"/>
    <w:rsid w:val="005C72AC"/>
    <w:rsid w:val="005E2727"/>
    <w:rsid w:val="005E3AFF"/>
    <w:rsid w:val="005F2A96"/>
    <w:rsid w:val="005F76BF"/>
    <w:rsid w:val="006006FE"/>
    <w:rsid w:val="00601AC0"/>
    <w:rsid w:val="006215B8"/>
    <w:rsid w:val="00622E49"/>
    <w:rsid w:val="00623ADB"/>
    <w:rsid w:val="006263C8"/>
    <w:rsid w:val="0062647D"/>
    <w:rsid w:val="00630F49"/>
    <w:rsid w:val="00631277"/>
    <w:rsid w:val="006348AF"/>
    <w:rsid w:val="00635793"/>
    <w:rsid w:val="00635C41"/>
    <w:rsid w:val="00642989"/>
    <w:rsid w:val="00646786"/>
    <w:rsid w:val="006477AA"/>
    <w:rsid w:val="00661459"/>
    <w:rsid w:val="00662D7E"/>
    <w:rsid w:val="006679B9"/>
    <w:rsid w:val="00673803"/>
    <w:rsid w:val="00687E8B"/>
    <w:rsid w:val="006B1B7D"/>
    <w:rsid w:val="006B701E"/>
    <w:rsid w:val="006C005B"/>
    <w:rsid w:val="006C1B0B"/>
    <w:rsid w:val="006C6CA4"/>
    <w:rsid w:val="006D1E37"/>
    <w:rsid w:val="006D3A52"/>
    <w:rsid w:val="006E0B56"/>
    <w:rsid w:val="006E145A"/>
    <w:rsid w:val="006E595C"/>
    <w:rsid w:val="006F5406"/>
    <w:rsid w:val="007379CE"/>
    <w:rsid w:val="00752FBA"/>
    <w:rsid w:val="00756571"/>
    <w:rsid w:val="00776305"/>
    <w:rsid w:val="00780B65"/>
    <w:rsid w:val="00795C5A"/>
    <w:rsid w:val="00795D8C"/>
    <w:rsid w:val="0079784D"/>
    <w:rsid w:val="007A57F9"/>
    <w:rsid w:val="007B7BF1"/>
    <w:rsid w:val="007C1E03"/>
    <w:rsid w:val="007D467D"/>
    <w:rsid w:val="007D4DAA"/>
    <w:rsid w:val="007D4ED0"/>
    <w:rsid w:val="007F02E3"/>
    <w:rsid w:val="007F10AE"/>
    <w:rsid w:val="0081413F"/>
    <w:rsid w:val="008157BD"/>
    <w:rsid w:val="0082330E"/>
    <w:rsid w:val="00831123"/>
    <w:rsid w:val="00831C47"/>
    <w:rsid w:val="00831C5B"/>
    <w:rsid w:val="00846EF1"/>
    <w:rsid w:val="008503BB"/>
    <w:rsid w:val="008534D1"/>
    <w:rsid w:val="00854CFC"/>
    <w:rsid w:val="008668B8"/>
    <w:rsid w:val="008671EF"/>
    <w:rsid w:val="00870D59"/>
    <w:rsid w:val="008772F7"/>
    <w:rsid w:val="00885425"/>
    <w:rsid w:val="00894B41"/>
    <w:rsid w:val="008A2B58"/>
    <w:rsid w:val="008A7005"/>
    <w:rsid w:val="008B1666"/>
    <w:rsid w:val="008B51AF"/>
    <w:rsid w:val="008C3BE2"/>
    <w:rsid w:val="008D5A07"/>
    <w:rsid w:val="008E2127"/>
    <w:rsid w:val="008F1EB4"/>
    <w:rsid w:val="008F719F"/>
    <w:rsid w:val="00904F88"/>
    <w:rsid w:val="00905DCE"/>
    <w:rsid w:val="00910E2F"/>
    <w:rsid w:val="00922740"/>
    <w:rsid w:val="0092394C"/>
    <w:rsid w:val="0095418F"/>
    <w:rsid w:val="0096303C"/>
    <w:rsid w:val="0096360C"/>
    <w:rsid w:val="00971929"/>
    <w:rsid w:val="00976503"/>
    <w:rsid w:val="0098269E"/>
    <w:rsid w:val="00984D81"/>
    <w:rsid w:val="00985B50"/>
    <w:rsid w:val="0099194D"/>
    <w:rsid w:val="00997AC6"/>
    <w:rsid w:val="009B1E3E"/>
    <w:rsid w:val="009B20CE"/>
    <w:rsid w:val="009B2B19"/>
    <w:rsid w:val="009B2B68"/>
    <w:rsid w:val="009C0EF1"/>
    <w:rsid w:val="009C291F"/>
    <w:rsid w:val="009C3F74"/>
    <w:rsid w:val="009E38F3"/>
    <w:rsid w:val="009E625E"/>
    <w:rsid w:val="009F4B2E"/>
    <w:rsid w:val="00A00D36"/>
    <w:rsid w:val="00A01AA0"/>
    <w:rsid w:val="00A05463"/>
    <w:rsid w:val="00A05551"/>
    <w:rsid w:val="00A14B2E"/>
    <w:rsid w:val="00A2540A"/>
    <w:rsid w:val="00A25D93"/>
    <w:rsid w:val="00A36F69"/>
    <w:rsid w:val="00A41348"/>
    <w:rsid w:val="00A613EE"/>
    <w:rsid w:val="00A63D84"/>
    <w:rsid w:val="00A640B4"/>
    <w:rsid w:val="00A70DC0"/>
    <w:rsid w:val="00A72184"/>
    <w:rsid w:val="00A7784D"/>
    <w:rsid w:val="00A8139F"/>
    <w:rsid w:val="00A81F38"/>
    <w:rsid w:val="00A91CFF"/>
    <w:rsid w:val="00AA5CFF"/>
    <w:rsid w:val="00AB22DA"/>
    <w:rsid w:val="00AB371C"/>
    <w:rsid w:val="00AB6F6E"/>
    <w:rsid w:val="00AB75C1"/>
    <w:rsid w:val="00AC264D"/>
    <w:rsid w:val="00AC2AF5"/>
    <w:rsid w:val="00AC745C"/>
    <w:rsid w:val="00AD49AE"/>
    <w:rsid w:val="00AE58CD"/>
    <w:rsid w:val="00AE743F"/>
    <w:rsid w:val="00AF0C4A"/>
    <w:rsid w:val="00AF3288"/>
    <w:rsid w:val="00B07C21"/>
    <w:rsid w:val="00B1264A"/>
    <w:rsid w:val="00B12EB5"/>
    <w:rsid w:val="00B13D04"/>
    <w:rsid w:val="00B147CB"/>
    <w:rsid w:val="00B30C64"/>
    <w:rsid w:val="00B51ED7"/>
    <w:rsid w:val="00B55E97"/>
    <w:rsid w:val="00B56EFE"/>
    <w:rsid w:val="00B5719D"/>
    <w:rsid w:val="00B65D12"/>
    <w:rsid w:val="00B71FEC"/>
    <w:rsid w:val="00B873E4"/>
    <w:rsid w:val="00BA540F"/>
    <w:rsid w:val="00BB46CF"/>
    <w:rsid w:val="00BB6BA5"/>
    <w:rsid w:val="00BC368C"/>
    <w:rsid w:val="00BC6FE7"/>
    <w:rsid w:val="00BD3B37"/>
    <w:rsid w:val="00BD75FB"/>
    <w:rsid w:val="00BE16D0"/>
    <w:rsid w:val="00BE2383"/>
    <w:rsid w:val="00BE2598"/>
    <w:rsid w:val="00BE5982"/>
    <w:rsid w:val="00BE6C3A"/>
    <w:rsid w:val="00BF629A"/>
    <w:rsid w:val="00C06445"/>
    <w:rsid w:val="00C27FB4"/>
    <w:rsid w:val="00C32C25"/>
    <w:rsid w:val="00C34CFD"/>
    <w:rsid w:val="00C363F0"/>
    <w:rsid w:val="00C459A6"/>
    <w:rsid w:val="00C52144"/>
    <w:rsid w:val="00C533FF"/>
    <w:rsid w:val="00C61206"/>
    <w:rsid w:val="00C61380"/>
    <w:rsid w:val="00C64618"/>
    <w:rsid w:val="00C653C0"/>
    <w:rsid w:val="00C7381E"/>
    <w:rsid w:val="00C810B3"/>
    <w:rsid w:val="00C82DF3"/>
    <w:rsid w:val="00C8798C"/>
    <w:rsid w:val="00C93422"/>
    <w:rsid w:val="00CB12EA"/>
    <w:rsid w:val="00CB5021"/>
    <w:rsid w:val="00CB6B41"/>
    <w:rsid w:val="00CB7CE9"/>
    <w:rsid w:val="00CD0774"/>
    <w:rsid w:val="00CD6C65"/>
    <w:rsid w:val="00CE10B7"/>
    <w:rsid w:val="00CE28F4"/>
    <w:rsid w:val="00CE29D0"/>
    <w:rsid w:val="00CE42EF"/>
    <w:rsid w:val="00CF5473"/>
    <w:rsid w:val="00D029CE"/>
    <w:rsid w:val="00D066F8"/>
    <w:rsid w:val="00D10FE0"/>
    <w:rsid w:val="00D12ADC"/>
    <w:rsid w:val="00D1550E"/>
    <w:rsid w:val="00D17106"/>
    <w:rsid w:val="00D34D2B"/>
    <w:rsid w:val="00D3705C"/>
    <w:rsid w:val="00D41824"/>
    <w:rsid w:val="00D52C4F"/>
    <w:rsid w:val="00D559FD"/>
    <w:rsid w:val="00D56426"/>
    <w:rsid w:val="00D61252"/>
    <w:rsid w:val="00D702B2"/>
    <w:rsid w:val="00D74724"/>
    <w:rsid w:val="00D75D50"/>
    <w:rsid w:val="00D82415"/>
    <w:rsid w:val="00D85D67"/>
    <w:rsid w:val="00DA4A3C"/>
    <w:rsid w:val="00DA55FF"/>
    <w:rsid w:val="00DB0458"/>
    <w:rsid w:val="00DB2AAB"/>
    <w:rsid w:val="00DE284E"/>
    <w:rsid w:val="00DF0364"/>
    <w:rsid w:val="00E03ABB"/>
    <w:rsid w:val="00E14FBB"/>
    <w:rsid w:val="00E1692A"/>
    <w:rsid w:val="00E217D4"/>
    <w:rsid w:val="00E24A77"/>
    <w:rsid w:val="00E25ED5"/>
    <w:rsid w:val="00E31B1B"/>
    <w:rsid w:val="00E4342F"/>
    <w:rsid w:val="00E43AD9"/>
    <w:rsid w:val="00E5095F"/>
    <w:rsid w:val="00E56DDD"/>
    <w:rsid w:val="00E605E3"/>
    <w:rsid w:val="00E65FB7"/>
    <w:rsid w:val="00E70A02"/>
    <w:rsid w:val="00E75181"/>
    <w:rsid w:val="00E76E9A"/>
    <w:rsid w:val="00E85ED2"/>
    <w:rsid w:val="00E9210B"/>
    <w:rsid w:val="00E93708"/>
    <w:rsid w:val="00EA0335"/>
    <w:rsid w:val="00EA0709"/>
    <w:rsid w:val="00EA7ADF"/>
    <w:rsid w:val="00EB405E"/>
    <w:rsid w:val="00EC14C6"/>
    <w:rsid w:val="00EC270F"/>
    <w:rsid w:val="00EC2A82"/>
    <w:rsid w:val="00ED7DA2"/>
    <w:rsid w:val="00EE1B6F"/>
    <w:rsid w:val="00EE3076"/>
    <w:rsid w:val="00EF36AF"/>
    <w:rsid w:val="00EF7936"/>
    <w:rsid w:val="00EF7F23"/>
    <w:rsid w:val="00F11E08"/>
    <w:rsid w:val="00F243DC"/>
    <w:rsid w:val="00F30B5B"/>
    <w:rsid w:val="00F41F47"/>
    <w:rsid w:val="00F57969"/>
    <w:rsid w:val="00F57D4D"/>
    <w:rsid w:val="00F65546"/>
    <w:rsid w:val="00F67B01"/>
    <w:rsid w:val="00F67BE4"/>
    <w:rsid w:val="00F7689C"/>
    <w:rsid w:val="00F824D7"/>
    <w:rsid w:val="00F82538"/>
    <w:rsid w:val="00F82C86"/>
    <w:rsid w:val="00F91AE5"/>
    <w:rsid w:val="00F94CE4"/>
    <w:rsid w:val="00FA7650"/>
    <w:rsid w:val="00FB5A3C"/>
    <w:rsid w:val="00FC116F"/>
    <w:rsid w:val="00FC7C92"/>
    <w:rsid w:val="00FD1135"/>
    <w:rsid w:val="00FE1B99"/>
    <w:rsid w:val="00FE7382"/>
    <w:rsid w:val="00FF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BCADE"/>
  <w15:docId w15:val="{A40F5A4E-8D43-4E0B-8AA7-6E6F8AE1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uiPriority w:val="99"/>
    <w:qFormat/>
  </w:style>
  <w:style w:type="paragraph" w:styleId="Header">
    <w:name w:val="header"/>
    <w:basedOn w:val="Normal"/>
    <w:link w:val="HeaderChar"/>
    <w:rsid w:val="009B1E3E"/>
    <w:pPr>
      <w:tabs>
        <w:tab w:val="center" w:pos="4680"/>
        <w:tab w:val="right" w:pos="9360"/>
      </w:tabs>
    </w:pPr>
    <w:rPr>
      <w:lang w:val="x-none" w:eastAsia="x-none"/>
    </w:rPr>
  </w:style>
  <w:style w:type="character" w:customStyle="1" w:styleId="HeaderChar">
    <w:name w:val="Header Char"/>
    <w:link w:val="Header"/>
    <w:rsid w:val="009B1E3E"/>
    <w:rPr>
      <w:szCs w:val="24"/>
    </w:rPr>
  </w:style>
  <w:style w:type="paragraph" w:styleId="Footer">
    <w:name w:val="footer"/>
    <w:basedOn w:val="Normal"/>
    <w:link w:val="FooterChar"/>
    <w:rsid w:val="009B1E3E"/>
    <w:pPr>
      <w:tabs>
        <w:tab w:val="center" w:pos="4680"/>
        <w:tab w:val="right" w:pos="9360"/>
      </w:tabs>
    </w:pPr>
    <w:rPr>
      <w:lang w:val="x-none" w:eastAsia="x-none"/>
    </w:rPr>
  </w:style>
  <w:style w:type="character" w:customStyle="1" w:styleId="FooterChar">
    <w:name w:val="Footer Char"/>
    <w:link w:val="Footer"/>
    <w:rsid w:val="009B1E3E"/>
    <w:rPr>
      <w:szCs w:val="24"/>
    </w:rPr>
  </w:style>
  <w:style w:type="paragraph" w:styleId="BalloonText">
    <w:name w:val="Balloon Text"/>
    <w:basedOn w:val="Normal"/>
    <w:link w:val="BalloonTextChar"/>
    <w:uiPriority w:val="99"/>
    <w:rsid w:val="00904F88"/>
    <w:rPr>
      <w:rFonts w:ascii="Tahoma" w:hAnsi="Tahoma"/>
      <w:sz w:val="16"/>
      <w:szCs w:val="16"/>
      <w:lang w:val="x-none" w:eastAsia="x-none"/>
    </w:rPr>
  </w:style>
  <w:style w:type="character" w:customStyle="1" w:styleId="BalloonTextChar">
    <w:name w:val="Balloon Text Char"/>
    <w:link w:val="BalloonText"/>
    <w:uiPriority w:val="99"/>
    <w:rsid w:val="00904F88"/>
    <w:rPr>
      <w:rFonts w:ascii="Tahoma" w:hAnsi="Tahoma" w:cs="Tahoma"/>
      <w:sz w:val="16"/>
      <w:szCs w:val="16"/>
    </w:rPr>
  </w:style>
  <w:style w:type="character" w:styleId="CommentReference">
    <w:name w:val="annotation reference"/>
    <w:uiPriority w:val="99"/>
    <w:rsid w:val="00904F88"/>
    <w:rPr>
      <w:sz w:val="16"/>
      <w:szCs w:val="16"/>
    </w:rPr>
  </w:style>
  <w:style w:type="paragraph" w:styleId="CommentText">
    <w:name w:val="annotation text"/>
    <w:aliases w:val="t,Times New Roman"/>
    <w:basedOn w:val="Normal"/>
    <w:link w:val="CommentTextChar"/>
    <w:uiPriority w:val="99"/>
    <w:qFormat/>
    <w:rsid w:val="00904F88"/>
    <w:rPr>
      <w:szCs w:val="20"/>
    </w:rPr>
  </w:style>
  <w:style w:type="character" w:customStyle="1" w:styleId="CommentTextChar">
    <w:name w:val="Comment Text Char"/>
    <w:aliases w:val="t Char,Times New Roman Char"/>
    <w:basedOn w:val="DefaultParagraphFont"/>
    <w:link w:val="CommentText"/>
    <w:uiPriority w:val="99"/>
    <w:rsid w:val="00904F88"/>
  </w:style>
  <w:style w:type="paragraph" w:styleId="CommentSubject">
    <w:name w:val="annotation subject"/>
    <w:basedOn w:val="CommentText"/>
    <w:next w:val="CommentText"/>
    <w:link w:val="CommentSubjectChar"/>
    <w:rsid w:val="00904F88"/>
    <w:rPr>
      <w:b/>
      <w:bCs/>
      <w:lang w:val="x-none" w:eastAsia="x-none"/>
    </w:rPr>
  </w:style>
  <w:style w:type="character" w:customStyle="1" w:styleId="CommentSubjectChar">
    <w:name w:val="Comment Subject Char"/>
    <w:link w:val="CommentSubject"/>
    <w:rsid w:val="00904F88"/>
    <w:rPr>
      <w:b/>
      <w:bCs/>
    </w:rPr>
  </w:style>
  <w:style w:type="character" w:customStyle="1" w:styleId="redline1">
    <w:name w:val="redline1"/>
    <w:rsid w:val="00635793"/>
    <w:rPr>
      <w:b w:val="0"/>
      <w:bCs w:val="0"/>
      <w:i/>
      <w:iCs/>
      <w:color w:val="FF0000"/>
      <w:shd w:val="clear" w:color="auto" w:fill="auto"/>
    </w:rPr>
  </w:style>
  <w:style w:type="character" w:styleId="Hyperlink">
    <w:name w:val="Hyperlink"/>
    <w:rsid w:val="00C363F0"/>
    <w:rPr>
      <w:color w:val="0000FF"/>
      <w:u w:val="single"/>
    </w:rPr>
  </w:style>
  <w:style w:type="paragraph" w:styleId="Revision">
    <w:name w:val="Revision"/>
    <w:hidden/>
    <w:uiPriority w:val="99"/>
    <w:semiHidden/>
    <w:rsid w:val="006E145A"/>
    <w:rPr>
      <w:szCs w:val="24"/>
    </w:rPr>
  </w:style>
  <w:style w:type="paragraph" w:styleId="BodyText">
    <w:name w:val="Body Text"/>
    <w:basedOn w:val="Normal"/>
    <w:link w:val="BodyTextChar"/>
    <w:uiPriority w:val="1"/>
    <w:qFormat/>
    <w:rsid w:val="006E0B56"/>
    <w:pPr>
      <w:adjustRightInd/>
    </w:pPr>
    <w:rPr>
      <w:sz w:val="24"/>
    </w:rPr>
  </w:style>
  <w:style w:type="character" w:customStyle="1" w:styleId="BodyTextChar">
    <w:name w:val="Body Text Char"/>
    <w:basedOn w:val="DefaultParagraphFont"/>
    <w:link w:val="BodyText"/>
    <w:uiPriority w:val="1"/>
    <w:rsid w:val="006E0B56"/>
    <w:rPr>
      <w:sz w:val="24"/>
      <w:szCs w:val="24"/>
    </w:rPr>
  </w:style>
  <w:style w:type="paragraph" w:customStyle="1" w:styleId="Body3">
    <w:name w:val="Body 3"/>
    <w:basedOn w:val="Normal"/>
    <w:qFormat/>
    <w:rsid w:val="00BE6C3A"/>
    <w:pPr>
      <w:widowControl/>
      <w:autoSpaceDE/>
      <w:autoSpaceDN/>
      <w:adjustRightInd/>
    </w:pPr>
    <w:rPr>
      <w:rFonts w:cs="Arial"/>
      <w:sz w:val="24"/>
    </w:rPr>
  </w:style>
  <w:style w:type="paragraph" w:customStyle="1" w:styleId="TableParagraph">
    <w:name w:val="Table Paragraph"/>
    <w:basedOn w:val="Normal"/>
    <w:uiPriority w:val="1"/>
    <w:qFormat/>
    <w:rsid w:val="00333CB5"/>
    <w:pPr>
      <w:adjustRightInd/>
      <w:ind w:left="103"/>
    </w:pPr>
    <w:rPr>
      <w:sz w:val="22"/>
      <w:szCs w:val="22"/>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F7F23"/>
    <w:pPr>
      <w:ind w:left="720"/>
      <w:contextualSpacing/>
    </w:pPr>
  </w:style>
  <w:style w:type="paragraph" w:styleId="FootnoteText">
    <w:name w:val="footnote text"/>
    <w:basedOn w:val="Normal"/>
    <w:link w:val="FootnoteTextChar"/>
    <w:uiPriority w:val="99"/>
    <w:semiHidden/>
    <w:unhideWhenUsed/>
    <w:rsid w:val="00AB75C1"/>
    <w:pPr>
      <w:widowControl/>
      <w:autoSpaceDE/>
      <w:autoSpaceDN/>
      <w:adjustRightInd/>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AB75C1"/>
    <w:rPr>
      <w:rFonts w:asciiTheme="minorHAnsi" w:eastAsiaTheme="minorHAnsi" w:hAnsiTheme="minorHAnsi" w:cstheme="minorBidi"/>
    </w:rPr>
  </w:style>
  <w:style w:type="paragraph" w:styleId="NormalWeb">
    <w:name w:val="Normal (Web)"/>
    <w:basedOn w:val="Normal"/>
    <w:uiPriority w:val="99"/>
    <w:semiHidden/>
    <w:unhideWhenUsed/>
    <w:rsid w:val="00081D66"/>
    <w:pPr>
      <w:widowControl/>
      <w:autoSpaceDE/>
      <w:autoSpaceDN/>
      <w:adjustRightInd/>
      <w:spacing w:after="288"/>
    </w:pPr>
    <w:rPr>
      <w:sz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basedOn w:val="DefaultParagraphFont"/>
    <w:link w:val="ListParagraph"/>
    <w:uiPriority w:val="34"/>
    <w:rsid w:val="009B2B68"/>
    <w:rPr>
      <w:szCs w:val="24"/>
    </w:rPr>
  </w:style>
  <w:style w:type="paragraph" w:customStyle="1" w:styleId="HeadingMain">
    <w:name w:val="Heading Main"/>
    <w:basedOn w:val="Normal"/>
    <w:link w:val="HeadingMainChar"/>
    <w:qFormat/>
    <w:rsid w:val="006E59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sz w:val="24"/>
    </w:rPr>
  </w:style>
  <w:style w:type="character" w:customStyle="1" w:styleId="HeadingMainChar">
    <w:name w:val="Heading Main Char"/>
    <w:basedOn w:val="DefaultParagraphFont"/>
    <w:link w:val="HeadingMain"/>
    <w:rsid w:val="006E595C"/>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567620">
      <w:bodyDiv w:val="1"/>
      <w:marLeft w:val="0"/>
      <w:marRight w:val="0"/>
      <w:marTop w:val="0"/>
      <w:marBottom w:val="0"/>
      <w:divBdr>
        <w:top w:val="none" w:sz="0" w:space="0" w:color="auto"/>
        <w:left w:val="none" w:sz="0" w:space="0" w:color="auto"/>
        <w:bottom w:val="none" w:sz="0" w:space="0" w:color="auto"/>
        <w:right w:val="none" w:sz="0" w:space="0" w:color="auto"/>
      </w:divBdr>
    </w:div>
    <w:div w:id="777913270">
      <w:bodyDiv w:val="1"/>
      <w:marLeft w:val="0"/>
      <w:marRight w:val="0"/>
      <w:marTop w:val="0"/>
      <w:marBottom w:val="0"/>
      <w:divBdr>
        <w:top w:val="none" w:sz="0" w:space="0" w:color="auto"/>
        <w:left w:val="none" w:sz="0" w:space="0" w:color="auto"/>
        <w:bottom w:val="none" w:sz="0" w:space="0" w:color="auto"/>
        <w:right w:val="none" w:sz="0" w:space="0" w:color="auto"/>
      </w:divBdr>
    </w:div>
    <w:div w:id="940062671">
      <w:bodyDiv w:val="1"/>
      <w:marLeft w:val="0"/>
      <w:marRight w:val="0"/>
      <w:marTop w:val="0"/>
      <w:marBottom w:val="0"/>
      <w:divBdr>
        <w:top w:val="none" w:sz="0" w:space="0" w:color="auto"/>
        <w:left w:val="none" w:sz="0" w:space="0" w:color="auto"/>
        <w:bottom w:val="none" w:sz="0" w:space="0" w:color="auto"/>
        <w:right w:val="none" w:sz="0" w:space="0" w:color="auto"/>
      </w:divBdr>
    </w:div>
    <w:div w:id="1368413248">
      <w:bodyDiv w:val="1"/>
      <w:marLeft w:val="0"/>
      <w:marRight w:val="0"/>
      <w:marTop w:val="0"/>
      <w:marBottom w:val="0"/>
      <w:divBdr>
        <w:top w:val="none" w:sz="0" w:space="0" w:color="auto"/>
        <w:left w:val="none" w:sz="0" w:space="0" w:color="auto"/>
        <w:bottom w:val="none" w:sz="0" w:space="0" w:color="auto"/>
        <w:right w:val="none" w:sz="0" w:space="0" w:color="auto"/>
      </w:divBdr>
    </w:div>
    <w:div w:id="2060590001">
      <w:bodyDiv w:val="1"/>
      <w:marLeft w:val="0"/>
      <w:marRight w:val="0"/>
      <w:marTop w:val="0"/>
      <w:marBottom w:val="0"/>
      <w:divBdr>
        <w:top w:val="none" w:sz="0" w:space="0" w:color="auto"/>
        <w:left w:val="none" w:sz="0" w:space="0" w:color="auto"/>
        <w:bottom w:val="none" w:sz="0" w:space="0" w:color="auto"/>
        <w:right w:val="none" w:sz="0" w:space="0" w:color="auto"/>
      </w:divBdr>
      <w:divsChild>
        <w:div w:id="1639648323">
          <w:marLeft w:val="0"/>
          <w:marRight w:val="0"/>
          <w:marTop w:val="0"/>
          <w:marBottom w:val="0"/>
          <w:divBdr>
            <w:top w:val="none" w:sz="0" w:space="0" w:color="auto"/>
            <w:left w:val="none" w:sz="0" w:space="0" w:color="auto"/>
            <w:bottom w:val="none" w:sz="0" w:space="0" w:color="auto"/>
            <w:right w:val="none" w:sz="0" w:space="0" w:color="auto"/>
          </w:divBdr>
          <w:divsChild>
            <w:div w:id="2025738418">
              <w:marLeft w:val="0"/>
              <w:marRight w:val="0"/>
              <w:marTop w:val="0"/>
              <w:marBottom w:val="0"/>
              <w:divBdr>
                <w:top w:val="none" w:sz="0" w:space="0" w:color="auto"/>
                <w:left w:val="none" w:sz="0" w:space="0" w:color="auto"/>
                <w:bottom w:val="none" w:sz="0" w:space="0" w:color="auto"/>
                <w:right w:val="none" w:sz="0" w:space="0" w:color="auto"/>
              </w:divBdr>
              <w:divsChild>
                <w:div w:id="1901817877">
                  <w:marLeft w:val="0"/>
                  <w:marRight w:val="0"/>
                  <w:marTop w:val="0"/>
                  <w:marBottom w:val="0"/>
                  <w:divBdr>
                    <w:top w:val="none" w:sz="0" w:space="0" w:color="auto"/>
                    <w:left w:val="none" w:sz="0" w:space="0" w:color="auto"/>
                    <w:bottom w:val="none" w:sz="0" w:space="0" w:color="auto"/>
                    <w:right w:val="none" w:sz="0" w:space="0" w:color="auto"/>
                  </w:divBdr>
                  <w:divsChild>
                    <w:div w:id="1753119839">
                      <w:marLeft w:val="0"/>
                      <w:marRight w:val="0"/>
                      <w:marTop w:val="0"/>
                      <w:marBottom w:val="0"/>
                      <w:divBdr>
                        <w:top w:val="none" w:sz="0" w:space="0" w:color="auto"/>
                        <w:left w:val="none" w:sz="0" w:space="0" w:color="auto"/>
                        <w:bottom w:val="none" w:sz="0" w:space="0" w:color="auto"/>
                        <w:right w:val="none" w:sz="0" w:space="0" w:color="auto"/>
                      </w:divBdr>
                      <w:divsChild>
                        <w:div w:id="2111849322">
                          <w:marLeft w:val="0"/>
                          <w:marRight w:val="0"/>
                          <w:marTop w:val="0"/>
                          <w:marBottom w:val="0"/>
                          <w:divBdr>
                            <w:top w:val="none" w:sz="0" w:space="0" w:color="auto"/>
                            <w:left w:val="none" w:sz="0" w:space="0" w:color="auto"/>
                            <w:bottom w:val="none" w:sz="0" w:space="0" w:color="auto"/>
                            <w:right w:val="none" w:sz="0" w:space="0" w:color="auto"/>
                          </w:divBdr>
                          <w:divsChild>
                            <w:div w:id="739523144">
                              <w:marLeft w:val="-240"/>
                              <w:marRight w:val="-240"/>
                              <w:marTop w:val="0"/>
                              <w:marBottom w:val="0"/>
                              <w:divBdr>
                                <w:top w:val="none" w:sz="0" w:space="0" w:color="auto"/>
                                <w:left w:val="none" w:sz="0" w:space="0" w:color="auto"/>
                                <w:bottom w:val="none" w:sz="0" w:space="0" w:color="auto"/>
                                <w:right w:val="none" w:sz="0" w:space="0" w:color="auto"/>
                              </w:divBdr>
                              <w:divsChild>
                                <w:div w:id="1902255774">
                                  <w:marLeft w:val="0"/>
                                  <w:marRight w:val="0"/>
                                  <w:marTop w:val="0"/>
                                  <w:marBottom w:val="0"/>
                                  <w:divBdr>
                                    <w:top w:val="none" w:sz="0" w:space="0" w:color="auto"/>
                                    <w:left w:val="none" w:sz="0" w:space="0" w:color="auto"/>
                                    <w:bottom w:val="none" w:sz="0" w:space="0" w:color="auto"/>
                                    <w:right w:val="none" w:sz="0" w:space="0" w:color="auto"/>
                                  </w:divBdr>
                                  <w:divsChild>
                                    <w:div w:id="152527645">
                                      <w:marLeft w:val="0"/>
                                      <w:marRight w:val="0"/>
                                      <w:marTop w:val="0"/>
                                      <w:marBottom w:val="0"/>
                                      <w:divBdr>
                                        <w:top w:val="none" w:sz="0" w:space="0" w:color="auto"/>
                                        <w:left w:val="none" w:sz="0" w:space="0" w:color="auto"/>
                                        <w:bottom w:val="none" w:sz="0" w:space="0" w:color="auto"/>
                                        <w:right w:val="none" w:sz="0" w:space="0" w:color="auto"/>
                                      </w:divBdr>
                                      <w:divsChild>
                                        <w:div w:id="632098123">
                                          <w:marLeft w:val="0"/>
                                          <w:marRight w:val="0"/>
                                          <w:marTop w:val="0"/>
                                          <w:marBottom w:val="0"/>
                                          <w:divBdr>
                                            <w:top w:val="none" w:sz="0" w:space="0" w:color="auto"/>
                                            <w:left w:val="none" w:sz="0" w:space="0" w:color="auto"/>
                                            <w:bottom w:val="none" w:sz="0" w:space="0" w:color="auto"/>
                                            <w:right w:val="none" w:sz="0" w:space="0" w:color="auto"/>
                                          </w:divBdr>
                                          <w:divsChild>
                                            <w:div w:id="1880971865">
                                              <w:marLeft w:val="0"/>
                                              <w:marRight w:val="0"/>
                                              <w:marTop w:val="0"/>
                                              <w:marBottom w:val="0"/>
                                              <w:divBdr>
                                                <w:top w:val="none" w:sz="0" w:space="0" w:color="auto"/>
                                                <w:left w:val="none" w:sz="0" w:space="0" w:color="auto"/>
                                                <w:bottom w:val="none" w:sz="0" w:space="0" w:color="auto"/>
                                                <w:right w:val="none" w:sz="0" w:space="0" w:color="auto"/>
                                              </w:divBdr>
                                              <w:divsChild>
                                                <w:div w:id="1432705256">
                                                  <w:marLeft w:val="0"/>
                                                  <w:marRight w:val="0"/>
                                                  <w:marTop w:val="0"/>
                                                  <w:marBottom w:val="0"/>
                                                  <w:divBdr>
                                                    <w:top w:val="none" w:sz="0" w:space="0" w:color="auto"/>
                                                    <w:left w:val="none" w:sz="0" w:space="0" w:color="auto"/>
                                                    <w:bottom w:val="none" w:sz="0" w:space="0" w:color="auto"/>
                                                    <w:right w:val="none" w:sz="0" w:space="0" w:color="auto"/>
                                                  </w:divBdr>
                                                  <w:divsChild>
                                                    <w:div w:id="726876083">
                                                      <w:marLeft w:val="0"/>
                                                      <w:marRight w:val="0"/>
                                                      <w:marTop w:val="150"/>
                                                      <w:marBottom w:val="0"/>
                                                      <w:divBdr>
                                                        <w:top w:val="none" w:sz="0" w:space="0" w:color="auto"/>
                                                        <w:left w:val="none" w:sz="0" w:space="0" w:color="auto"/>
                                                        <w:bottom w:val="none" w:sz="0" w:space="0" w:color="auto"/>
                                                        <w:right w:val="none" w:sz="0" w:space="0" w:color="auto"/>
                                                      </w:divBdr>
                                                      <w:divsChild>
                                                        <w:div w:id="77291431">
                                                          <w:marLeft w:val="0"/>
                                                          <w:marRight w:val="0"/>
                                                          <w:marTop w:val="0"/>
                                                          <w:marBottom w:val="0"/>
                                                          <w:divBdr>
                                                            <w:top w:val="none" w:sz="0" w:space="0" w:color="auto"/>
                                                            <w:left w:val="none" w:sz="0" w:space="0" w:color="auto"/>
                                                            <w:bottom w:val="none" w:sz="0" w:space="0" w:color="auto"/>
                                                            <w:right w:val="none" w:sz="0" w:space="0" w:color="auto"/>
                                                          </w:divBdr>
                                                          <w:divsChild>
                                                            <w:div w:id="9561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phe.gov/emergency/news/healthactions/phe/Pages/opioid-19apr2019.aspx" TargetMode="External"/><Relationship Id="rId2" Type="http://schemas.openxmlformats.org/officeDocument/2006/relationships/hyperlink" Target="https://www.hhs.gov/about/news/2017/10/26/hhs-acting-secretary-declares-public-health-emergency-address-national-opioid-crisis.html" TargetMode="External"/><Relationship Id="rId1" Type="http://schemas.openxmlformats.org/officeDocument/2006/relationships/hyperlink" Target="https://www.cdc.gov/drugoverdose/dat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193E-8E4E-4E34-982C-9F2BA11B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19371</CharactersWithSpaces>
  <SharedDoc>false</SharedDoc>
  <HLinks>
    <vt:vector size="6" baseType="variant">
      <vt:variant>
        <vt:i4>4456519</vt:i4>
      </vt:variant>
      <vt:variant>
        <vt:i4>0</vt:i4>
      </vt:variant>
      <vt:variant>
        <vt:i4>0</vt:i4>
      </vt:variant>
      <vt:variant>
        <vt:i4>5</vt:i4>
      </vt:variant>
      <vt:variant>
        <vt:lpwstr>https://www.federalregister.gov/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4</cp:revision>
  <dcterms:created xsi:type="dcterms:W3CDTF">2020-02-19T18:26:00Z</dcterms:created>
  <dcterms:modified xsi:type="dcterms:W3CDTF">2020-02-20T12:01:00Z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-309398028</vt:i4>
  </property>
  <property fmtid="{D5CDD505-2E9C-101B-9397-08002B2CF9AE}" pid="4" name="_EmailSubject">
    <vt:lpwstr>PRA Docs for posting CMS 4190-P</vt:lpwstr>
  </property>
  <property fmtid="{D5CDD505-2E9C-101B-9397-08002B2CF9AE}" pid="5" name="_AuthorEmail">
    <vt:lpwstr>paul.hughes2@cms.hhs.gov</vt:lpwstr>
  </property>
  <property fmtid="{D5CDD505-2E9C-101B-9397-08002B2CF9AE}" pid="6" name="_AuthorEmailDisplayName">
    <vt:lpwstr>Hughes, Paul J. (CMS/CPI)</vt:lpwstr>
  </property>
  <property fmtid="{D5CDD505-2E9C-101B-9397-08002B2CF9AE}" pid="7" name="_ReviewingToolsShownOnce">
    <vt:lpwstr/>
  </property>
</Properties>
</file>