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60621" w:rsidR="00160621" w:rsidP="006D1B96" w:rsidRDefault="006D1B96" w14:paraId="39336BB3" w14:textId="1E640A67">
      <w:pPr>
        <w:pStyle w:val="ReportCover-Title"/>
        <w:jc w:val="center"/>
        <w:rPr>
          <w:rFonts w:ascii="Arial" w:hAnsi="Arial" w:cs="Arial"/>
          <w:color w:val="auto"/>
        </w:rPr>
      </w:pPr>
      <w:r w:rsidRPr="006D1B96">
        <w:rPr>
          <w:rFonts w:ascii="Arial" w:hAnsi="Arial" w:eastAsia="Arial Unicode MS" w:cs="Arial"/>
          <w:noProof/>
          <w:color w:val="auto"/>
        </w:rPr>
        <w:t>Child Care and Development Fund (CCDF) Consumer Education Website and Reports of Serious Injuries and Death</w:t>
      </w: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11BC20FC">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6D1B96">
        <w:rPr>
          <w:rFonts w:ascii="Arial" w:hAnsi="Arial" w:cs="Arial"/>
          <w:color w:val="auto"/>
          <w:sz w:val="32"/>
          <w:szCs w:val="32"/>
        </w:rPr>
        <w:t>0473</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 xml:space="preserve">Part </w:t>
      </w:r>
      <w:proofErr w:type="gramStart"/>
      <w:r w:rsidRPr="00160621">
        <w:rPr>
          <w:rFonts w:ascii="Arial" w:hAnsi="Arial" w:cs="Arial"/>
          <w:color w:val="auto"/>
          <w:sz w:val="48"/>
          <w:szCs w:val="48"/>
        </w:rPr>
        <w:t>A</w:t>
      </w:r>
      <w:proofErr w:type="gramEnd"/>
      <w:r>
        <w:rPr>
          <w:rFonts w:ascii="Arial" w:hAnsi="Arial" w:cs="Arial"/>
          <w:color w:val="auto"/>
          <w:sz w:val="48"/>
          <w:szCs w:val="48"/>
        </w:rPr>
        <w:t xml:space="preserve"> - Justification</w:t>
      </w:r>
    </w:p>
    <w:p w:rsidRPr="00160621" w:rsidR="00160621" w:rsidP="00160621" w:rsidRDefault="006D1B96" w14:paraId="76FA23BE" w14:textId="376977CD">
      <w:pPr>
        <w:pStyle w:val="ReportCover-Date"/>
        <w:jc w:val="center"/>
        <w:rPr>
          <w:rFonts w:ascii="Arial" w:hAnsi="Arial" w:cs="Arial"/>
          <w:color w:val="auto"/>
        </w:rPr>
      </w:pPr>
      <w:r>
        <w:rPr>
          <w:rFonts w:ascii="Arial" w:hAnsi="Arial" w:cs="Arial"/>
          <w:color w:val="auto"/>
        </w:rPr>
        <w:t>February 2020</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00597E7F" w:rsidP="00160621" w:rsidRDefault="00597E7F" w14:paraId="7AAAF468" w14:textId="77777777">
      <w:pPr>
        <w:jc w:val="center"/>
        <w:rPr>
          <w:rFonts w:ascii="Arial" w:hAnsi="Arial" w:cs="Arial"/>
        </w:rPr>
      </w:pPr>
    </w:p>
    <w:p w:rsidR="00597E7F" w:rsidP="00160621" w:rsidRDefault="00597E7F" w14:paraId="0B6F308C" w14:textId="77777777">
      <w:pPr>
        <w:jc w:val="center"/>
        <w:rPr>
          <w:rFonts w:ascii="Arial" w:hAnsi="Arial" w:cs="Arial"/>
        </w:rPr>
      </w:pPr>
    </w:p>
    <w:p w:rsidR="00597E7F" w:rsidP="00160621" w:rsidRDefault="00597E7F" w14:paraId="43A61A97" w14:textId="77777777">
      <w:pPr>
        <w:jc w:val="center"/>
        <w:rPr>
          <w:rFonts w:ascii="Arial" w:hAnsi="Arial" w:cs="Arial"/>
        </w:rPr>
      </w:pPr>
    </w:p>
    <w:p w:rsidRPr="00160621" w:rsidR="00597E7F" w:rsidP="00160621" w:rsidRDefault="00597E7F" w14:paraId="5656E161" w14:textId="77777777">
      <w:pPr>
        <w:jc w:val="center"/>
        <w:rPr>
          <w:rFonts w:ascii="Arial" w:hAnsi="Arial" w:cs="Arial"/>
        </w:rPr>
      </w:pPr>
    </w:p>
    <w:p w:rsidRPr="00160621" w:rsidR="00160621" w:rsidP="00160621" w:rsidRDefault="00160621" w14:paraId="5E112DDD" w14:textId="77777777">
      <w:pPr>
        <w:jc w:val="center"/>
        <w:rPr>
          <w:rFonts w:ascii="Arial" w:hAnsi="Arial" w:cs="Arial"/>
        </w:rPr>
      </w:pPr>
      <w:r w:rsidRPr="00160621">
        <w:rPr>
          <w:rFonts w:ascii="Arial" w:hAnsi="Arial" w:cs="Arial"/>
        </w:rPr>
        <w:t>Submitted By:</w:t>
      </w:r>
    </w:p>
    <w:p w:rsidRPr="00160621" w:rsidR="00160621" w:rsidP="00160621" w:rsidRDefault="006D1B96" w14:paraId="54195924" w14:textId="25A1504C">
      <w:pPr>
        <w:jc w:val="center"/>
        <w:rPr>
          <w:rFonts w:ascii="Arial" w:hAnsi="Arial" w:cs="Arial"/>
        </w:rPr>
      </w:pPr>
      <w:r>
        <w:rPr>
          <w:rFonts w:ascii="Arial" w:hAnsi="Arial" w:cs="Arial"/>
        </w:rPr>
        <w:t>Office of Child Care</w:t>
      </w:r>
    </w:p>
    <w:p w:rsidRPr="00160621" w:rsidR="00160621" w:rsidP="00160621" w:rsidRDefault="00160621" w14:paraId="6B7D9C7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CE8214D"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005256ED" w14:textId="77777777">
      <w:pPr>
        <w:jc w:val="center"/>
        <w:rPr>
          <w:rFonts w:ascii="Arial" w:hAnsi="Arial" w:cs="Arial"/>
        </w:rPr>
      </w:pPr>
    </w:p>
    <w:p w:rsidR="00160621" w:rsidP="00160621" w:rsidRDefault="00160621" w14:paraId="71DD6E4D" w14:textId="77777777">
      <w:pPr>
        <w:jc w:val="center"/>
        <w:rPr>
          <w:rFonts w:ascii="Arial" w:hAnsi="Arial" w:cs="Arial"/>
        </w:rPr>
      </w:pPr>
    </w:p>
    <w:p w:rsidR="00160621" w:rsidP="00160621" w:rsidRDefault="00160621" w14:paraId="56DD869F" w14:textId="77777777">
      <w:pPr>
        <w:jc w:val="center"/>
        <w:rPr>
          <w:rFonts w:ascii="Arial" w:hAnsi="Arial" w:cs="Arial"/>
        </w:rPr>
      </w:pPr>
    </w:p>
    <w:p w:rsidR="00160621" w:rsidP="00160621" w:rsidRDefault="00160621" w14:paraId="0B82535D" w14:textId="77777777">
      <w:pPr>
        <w:jc w:val="center"/>
        <w:rPr>
          <w:rFonts w:ascii="Arial" w:hAnsi="Arial" w:cs="Arial"/>
        </w:rPr>
      </w:pPr>
    </w:p>
    <w:p w:rsidR="00160621" w:rsidP="00160621" w:rsidRDefault="00160621" w14:paraId="21C4C2D8" w14:textId="77777777">
      <w:pPr>
        <w:jc w:val="center"/>
        <w:rPr>
          <w:rFonts w:ascii="Arial" w:hAnsi="Arial" w:cs="Arial"/>
        </w:rPr>
      </w:pPr>
    </w:p>
    <w:p w:rsidR="00160621" w:rsidP="00160621" w:rsidRDefault="00160621" w14:paraId="1473AAD1" w14:textId="77777777">
      <w:pPr>
        <w:jc w:val="center"/>
        <w:rPr>
          <w:rFonts w:ascii="Arial" w:hAnsi="Arial" w:cs="Arial"/>
        </w:rPr>
      </w:pPr>
    </w:p>
    <w:p w:rsidR="00160621" w:rsidP="00160621" w:rsidRDefault="00160621" w14:paraId="346CDF4E" w14:textId="42EE07F2">
      <w:pPr>
        <w:jc w:val="center"/>
        <w:rPr>
          <w:rFonts w:ascii="Arial" w:hAnsi="Arial" w:cs="Arial"/>
        </w:rPr>
      </w:pPr>
    </w:p>
    <w:p w:rsidR="008524E2" w:rsidP="00160621" w:rsidRDefault="008524E2" w14:paraId="40B39A84" w14:textId="2BE54375">
      <w:pPr>
        <w:jc w:val="center"/>
        <w:rPr>
          <w:rFonts w:ascii="Arial" w:hAnsi="Arial" w:cs="Arial"/>
        </w:rPr>
      </w:pPr>
    </w:p>
    <w:p w:rsidR="008524E2" w:rsidP="00160621" w:rsidRDefault="008524E2" w14:paraId="1559B5C0" w14:textId="421FEA19">
      <w:pPr>
        <w:jc w:val="center"/>
        <w:rPr>
          <w:rFonts w:ascii="Arial" w:hAnsi="Arial" w:cs="Arial"/>
        </w:rPr>
      </w:pPr>
    </w:p>
    <w:p w:rsidR="008524E2" w:rsidP="00160621" w:rsidRDefault="008524E2" w14:paraId="5D649753" w14:textId="3FBEF0A4">
      <w:pPr>
        <w:jc w:val="center"/>
        <w:rPr>
          <w:rFonts w:ascii="Arial" w:hAnsi="Arial" w:cs="Arial"/>
        </w:rPr>
      </w:pPr>
    </w:p>
    <w:p w:rsidR="008524E2" w:rsidP="00160621" w:rsidRDefault="008524E2" w14:paraId="1B22AC2E" w14:textId="3B3B74DA">
      <w:pPr>
        <w:jc w:val="center"/>
        <w:rPr>
          <w:rFonts w:ascii="Arial" w:hAnsi="Arial" w:cs="Arial"/>
        </w:rPr>
      </w:pPr>
    </w:p>
    <w:p w:rsidR="008524E2" w:rsidP="00160621" w:rsidRDefault="008524E2" w14:paraId="72FE9EB1" w14:textId="4904B143">
      <w:pPr>
        <w:jc w:val="center"/>
        <w:rPr>
          <w:rFonts w:ascii="Arial" w:hAnsi="Arial" w:cs="Arial"/>
        </w:rPr>
      </w:pPr>
    </w:p>
    <w:p w:rsidR="008524E2" w:rsidP="00160621" w:rsidRDefault="008524E2" w14:paraId="54114209" w14:textId="47C8294D">
      <w:pPr>
        <w:jc w:val="center"/>
        <w:rPr>
          <w:rFonts w:ascii="Arial" w:hAnsi="Arial" w:cs="Arial"/>
        </w:rPr>
      </w:pPr>
    </w:p>
    <w:p w:rsidRPr="002C4F75" w:rsidR="008524E2" w:rsidP="00160621" w:rsidRDefault="008524E2" w14:paraId="64E556BF" w14:textId="77777777">
      <w:pPr>
        <w:jc w:val="center"/>
        <w:rPr>
          <w:rFonts w:ascii="Arial" w:hAnsi="Arial" w:cs="Arial"/>
        </w:rPr>
      </w:pPr>
    </w:p>
    <w:p w:rsidRPr="008524E2" w:rsidR="00160621" w:rsidP="00160621" w:rsidRDefault="00160621" w14:paraId="4FBF82D6" w14:textId="77777777">
      <w:pPr>
        <w:widowControl/>
        <w:ind w:left="360" w:hanging="360"/>
        <w:jc w:val="center"/>
        <w:rPr>
          <w:rFonts w:ascii="Times New Roman" w:hAnsi="Times New Roman"/>
          <w:b/>
          <w:sz w:val="24"/>
          <w:szCs w:val="24"/>
        </w:rPr>
      </w:pPr>
      <w:r w:rsidRPr="008524E2">
        <w:rPr>
          <w:rFonts w:ascii="Times New Roman" w:hAnsi="Times New Roman"/>
          <w:b/>
          <w:sz w:val="24"/>
          <w:szCs w:val="24"/>
        </w:rPr>
        <w:lastRenderedPageBreak/>
        <w:t>SUPPORTING STATEMENT A – JUSTIFICATION</w:t>
      </w:r>
    </w:p>
    <w:p w:rsidRPr="008524E2" w:rsidR="00160621" w:rsidP="00160621" w:rsidRDefault="00160621" w14:paraId="010B1ADF" w14:textId="77777777">
      <w:pPr>
        <w:widowControl/>
        <w:ind w:left="360" w:hanging="360"/>
        <w:jc w:val="center"/>
        <w:rPr>
          <w:rFonts w:ascii="Times New Roman" w:hAnsi="Times New Roman"/>
          <w:snapToGrid/>
          <w:sz w:val="24"/>
          <w:szCs w:val="24"/>
        </w:rPr>
      </w:pPr>
    </w:p>
    <w:p w:rsidRPr="008524E2" w:rsidR="00160621" w:rsidP="00CE6182" w:rsidRDefault="00160621" w14:paraId="2212894C" w14:textId="77777777">
      <w:pPr>
        <w:widowControl/>
        <w:ind w:left="360" w:hanging="360"/>
        <w:jc w:val="center"/>
        <w:rPr>
          <w:rFonts w:ascii="Times New Roman" w:hAnsi="Times New Roman"/>
          <w:b/>
          <w:snapToGrid/>
          <w:sz w:val="24"/>
          <w:szCs w:val="24"/>
        </w:rPr>
      </w:pPr>
      <w:r w:rsidRPr="008524E2">
        <w:rPr>
          <w:rFonts w:ascii="Times New Roman" w:hAnsi="Times New Roman"/>
          <w:b/>
          <w:snapToGrid/>
          <w:sz w:val="24"/>
          <w:szCs w:val="24"/>
        </w:rPr>
        <w:t>Summary</w:t>
      </w:r>
    </w:p>
    <w:p w:rsidR="00CE6182" w:rsidP="00160621" w:rsidRDefault="00CE6182" w14:paraId="3C29E980" w14:textId="45D3CD32">
      <w:pPr>
        <w:widowControl/>
        <w:ind w:left="360"/>
        <w:rPr>
          <w:rFonts w:ascii="Times New Roman" w:hAnsi="Times New Roman"/>
          <w:snapToGrid/>
          <w:sz w:val="24"/>
          <w:szCs w:val="24"/>
        </w:rPr>
      </w:pPr>
    </w:p>
    <w:p w:rsidRPr="0039522A" w:rsidR="00FA4DE6" w:rsidP="0039522A" w:rsidRDefault="00FA4DE6" w14:paraId="6973C191" w14:textId="21E2ECB9">
      <w:pPr>
        <w:widowControl/>
        <w:rPr>
          <w:rFonts w:ascii="Times New Roman" w:hAnsi="Times New Roman"/>
          <w:b/>
          <w:snapToGrid/>
          <w:sz w:val="24"/>
          <w:szCs w:val="24"/>
        </w:rPr>
      </w:pPr>
      <w:r>
        <w:rPr>
          <w:rFonts w:ascii="Times New Roman" w:hAnsi="Times New Roman"/>
          <w:snapToGrid/>
          <w:sz w:val="24"/>
          <w:szCs w:val="24"/>
        </w:rPr>
        <w:t xml:space="preserve">ACF is seeking minor revisions to the reporting requirements for the Consumer Education Website and an extension with no changes to the reporting requirements for the </w:t>
      </w:r>
      <w:r w:rsidRPr="00FA4DE6">
        <w:rPr>
          <w:rFonts w:ascii="Times New Roman" w:hAnsi="Times New Roman"/>
          <w:sz w:val="24"/>
          <w:szCs w:val="24"/>
        </w:rPr>
        <w:t>Reporting of Serious Deaths and Injuries in Child Care.</w:t>
      </w:r>
      <w:r>
        <w:rPr>
          <w:rFonts w:ascii="Times New Roman" w:hAnsi="Times New Roman"/>
          <w:b/>
          <w:sz w:val="24"/>
          <w:szCs w:val="24"/>
        </w:rPr>
        <w:t xml:space="preserve"> </w:t>
      </w:r>
      <w:r w:rsidRPr="008524E2" w:rsidR="0039522A">
        <w:rPr>
          <w:rFonts w:ascii="Times New Roman" w:hAnsi="Times New Roman"/>
          <w:sz w:val="24"/>
          <w:szCs w:val="24"/>
        </w:rPr>
        <w:t xml:space="preserve">These collections do not involve Federal forms. </w:t>
      </w:r>
    </w:p>
    <w:p w:rsidRPr="008524E2" w:rsidR="00FA4DE6" w:rsidP="00160621" w:rsidRDefault="00FA4DE6" w14:paraId="4403DBE5" w14:textId="77777777">
      <w:pPr>
        <w:widowControl/>
        <w:ind w:left="360"/>
        <w:rPr>
          <w:rFonts w:ascii="Times New Roman" w:hAnsi="Times New Roman"/>
          <w:snapToGrid/>
          <w:sz w:val="24"/>
          <w:szCs w:val="24"/>
        </w:rPr>
      </w:pPr>
    </w:p>
    <w:p w:rsidRPr="008524E2" w:rsidR="002C3C4F" w:rsidP="00075889" w:rsidRDefault="002C3C4F" w14:paraId="2EEF9E04" w14:textId="5E43EB04">
      <w:pPr>
        <w:widowControl/>
        <w:numPr>
          <w:ilvl w:val="0"/>
          <w:numId w:val="3"/>
        </w:numPr>
        <w:tabs>
          <w:tab w:val="num" w:pos="360"/>
        </w:tabs>
        <w:spacing w:after="120"/>
        <w:ind w:left="360"/>
        <w:rPr>
          <w:rFonts w:ascii="Times New Roman" w:hAnsi="Times New Roman"/>
          <w:b/>
          <w:snapToGrid/>
          <w:sz w:val="24"/>
          <w:szCs w:val="24"/>
        </w:rPr>
      </w:pPr>
      <w:r w:rsidRPr="008524E2">
        <w:rPr>
          <w:rFonts w:ascii="Times New Roman" w:hAnsi="Times New Roman"/>
          <w:b/>
          <w:snapToGrid/>
          <w:sz w:val="24"/>
          <w:szCs w:val="24"/>
        </w:rPr>
        <w:t xml:space="preserve">Circumstances Making the Collection of Information Necessary </w:t>
      </w:r>
    </w:p>
    <w:p w:rsidRPr="008524E2" w:rsidR="00D74251" w:rsidP="00D74251" w:rsidRDefault="00D74251" w14:paraId="788D3706" w14:textId="231B4B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524E2">
        <w:rPr>
          <w:rFonts w:ascii="Times New Roman" w:hAnsi="Times New Roman"/>
          <w:b/>
          <w:sz w:val="24"/>
          <w:szCs w:val="24"/>
        </w:rPr>
        <w:t>Consumer Education Website:</w:t>
      </w:r>
      <w:r w:rsidRPr="008524E2">
        <w:rPr>
          <w:rFonts w:ascii="Times New Roman" w:hAnsi="Times New Roman"/>
          <w:sz w:val="24"/>
          <w:szCs w:val="24"/>
        </w:rPr>
        <w:t xml:space="preserve"> The reporting requirement described in Section 45 CFR 98.43 of the Child Care and Development Fund (CCDF) Final Rule, published September 30, 2016, provided general guidelines around the type of background check-related information that state and territory lead agencies must include on their consumer education websites and was developed to reflect the reauthorization of the Child Care and Development Block Grant (CCDBG) Act of 2014: </w:t>
      </w:r>
    </w:p>
    <w:p w:rsidRPr="0039522A" w:rsidR="00D74251" w:rsidP="00D74251" w:rsidRDefault="00D74251" w14:paraId="3A5F1A67"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2"/>
          <w:szCs w:val="24"/>
        </w:rPr>
      </w:pPr>
    </w:p>
    <w:p w:rsidRPr="008524E2" w:rsidR="00D74251" w:rsidP="00D74251" w:rsidRDefault="00D74251" w14:paraId="5C84D17F" w14:textId="77777777">
      <w:pPr>
        <w:pStyle w:val="ListParagraph"/>
        <w:widowControl/>
        <w:numPr>
          <w:ilvl w:val="0"/>
          <w:numId w:val="2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sz w:val="24"/>
          <w:szCs w:val="24"/>
        </w:rPr>
      </w:pPr>
      <w:r w:rsidRPr="008524E2">
        <w:rPr>
          <w:rFonts w:ascii="Times New Roman" w:hAnsi="Times New Roman"/>
          <w:sz w:val="24"/>
          <w:szCs w:val="24"/>
        </w:rPr>
        <w:t xml:space="preserve">Section 45 CFR 98.43(a)(1)(iii) of the Final Rule requires Lead Agencies to have requirements, policies, and procedures in place to respond as expeditiously as possible to other States’, Territories’, and Tribes’ requests for background check results in order to accommodate the 45 day timeframe. </w:t>
      </w:r>
    </w:p>
    <w:p w:rsidRPr="0039522A" w:rsidR="00D74251" w:rsidP="00D74251" w:rsidRDefault="00D74251" w14:paraId="6E65D9C3"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2"/>
          <w:szCs w:val="24"/>
        </w:rPr>
      </w:pPr>
    </w:p>
    <w:p w:rsidRPr="008524E2" w:rsidR="00D74251" w:rsidP="00D74251" w:rsidRDefault="00D74251" w14:paraId="54600BDE" w14:textId="77777777">
      <w:pPr>
        <w:pStyle w:val="ListParagraph"/>
        <w:widowControl/>
        <w:numPr>
          <w:ilvl w:val="0"/>
          <w:numId w:val="2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sz w:val="24"/>
          <w:szCs w:val="24"/>
        </w:rPr>
      </w:pPr>
      <w:r w:rsidRPr="008524E2">
        <w:rPr>
          <w:rFonts w:ascii="Times New Roman" w:hAnsi="Times New Roman"/>
          <w:sz w:val="24"/>
          <w:szCs w:val="24"/>
        </w:rPr>
        <w:t xml:space="preserve">Section 45 CFR 98.43(g) of the Final Rule also requires Lead Agencies to include the process by which another Lead Agency may submit a background check request on the Lead Agency’s Consumer Education Website, along with all of the other background check policies and procedures. </w:t>
      </w:r>
    </w:p>
    <w:p w:rsidRPr="008524E2" w:rsidR="00D74251" w:rsidP="00D74251" w:rsidRDefault="00D74251" w14:paraId="03B43192" w14:textId="77777777">
      <w:pPr>
        <w:pStyle w:val="ListParagraph"/>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Pr="008524E2" w:rsidR="00D74251" w:rsidP="00D74251" w:rsidRDefault="00D74251" w14:paraId="32DE736C" w14:textId="12738D5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524E2">
        <w:rPr>
          <w:rFonts w:ascii="Times New Roman" w:hAnsi="Times New Roman"/>
          <w:sz w:val="24"/>
          <w:szCs w:val="24"/>
        </w:rPr>
        <w:t xml:space="preserve">Since 2014, States have faced challenges meeting the requirements because requesting and responding to interstate background check requests is largely a manual process that varies from state to state. </w:t>
      </w:r>
      <w:r w:rsidR="00FA4DE6">
        <w:rPr>
          <w:rFonts w:ascii="Times New Roman" w:hAnsi="Times New Roman"/>
          <w:sz w:val="24"/>
          <w:szCs w:val="24"/>
        </w:rPr>
        <w:t xml:space="preserve">This revision request includes updates </w:t>
      </w:r>
      <w:r w:rsidRPr="008524E2">
        <w:rPr>
          <w:rFonts w:ascii="Times New Roman" w:hAnsi="Times New Roman"/>
          <w:sz w:val="24"/>
          <w:szCs w:val="24"/>
        </w:rPr>
        <w:t xml:space="preserve">to the consumer education website </w:t>
      </w:r>
      <w:r w:rsidR="00FA4DE6">
        <w:rPr>
          <w:rFonts w:ascii="Times New Roman" w:hAnsi="Times New Roman"/>
          <w:sz w:val="24"/>
          <w:szCs w:val="24"/>
        </w:rPr>
        <w:t>reporting requirements to</w:t>
      </w:r>
      <w:r w:rsidRPr="008524E2">
        <w:rPr>
          <w:rFonts w:ascii="Times New Roman" w:hAnsi="Times New Roman"/>
          <w:sz w:val="24"/>
          <w:szCs w:val="24"/>
        </w:rPr>
        <w:t xml:space="preserve"> now define the specific information elements that state and territory lead agencies will need to include on their websites to satisfy these requirements to encourage efficiency and transparency around the interstate background check process. </w:t>
      </w:r>
    </w:p>
    <w:p w:rsidRPr="008524E2" w:rsidR="00D74251" w:rsidP="00D74251" w:rsidRDefault="00D74251" w14:paraId="1AFED7B8"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Pr="008524E2" w:rsidR="00D74251" w:rsidP="00D74251" w:rsidRDefault="00D74251" w14:paraId="3DA66D62" w14:textId="0BDC58A5">
      <w:pPr>
        <w:jc w:val="both"/>
        <w:rPr>
          <w:rFonts w:ascii="Times New Roman" w:hAnsi="Times New Roman"/>
          <w:sz w:val="24"/>
          <w:szCs w:val="24"/>
        </w:rPr>
      </w:pPr>
      <w:r w:rsidRPr="008524E2">
        <w:rPr>
          <w:rFonts w:ascii="Times New Roman" w:hAnsi="Times New Roman"/>
          <w:b/>
          <w:sz w:val="24"/>
          <w:szCs w:val="24"/>
        </w:rPr>
        <w:t>Reporting of Serious Deaths and Injuries in Child Care:</w:t>
      </w:r>
      <w:r w:rsidRPr="008524E2">
        <w:rPr>
          <w:rFonts w:ascii="Times New Roman" w:hAnsi="Times New Roman"/>
          <w:sz w:val="24"/>
          <w:szCs w:val="24"/>
        </w:rPr>
        <w:t xml:space="preserve"> ACF is also seeking renewal of the </w:t>
      </w:r>
      <w:r w:rsidR="0039522A">
        <w:rPr>
          <w:rFonts w:ascii="Times New Roman" w:hAnsi="Times New Roman"/>
          <w:sz w:val="24"/>
          <w:szCs w:val="24"/>
        </w:rPr>
        <w:t xml:space="preserve">reporting </w:t>
      </w:r>
      <w:r w:rsidR="00167379">
        <w:rPr>
          <w:rFonts w:ascii="Times New Roman" w:hAnsi="Times New Roman"/>
          <w:sz w:val="24"/>
          <w:szCs w:val="24"/>
        </w:rPr>
        <w:t>requirements</w:t>
      </w:r>
      <w:r w:rsidRPr="008524E2">
        <w:rPr>
          <w:rFonts w:ascii="Times New Roman" w:hAnsi="Times New Roman"/>
          <w:sz w:val="24"/>
          <w:szCs w:val="24"/>
        </w:rPr>
        <w:t xml:space="preserve"> in Section 45 CFR 98.42(b</w:t>
      </w:r>
      <w:proofErr w:type="gramStart"/>
      <w:r w:rsidRPr="008524E2">
        <w:rPr>
          <w:rFonts w:ascii="Times New Roman" w:hAnsi="Times New Roman"/>
          <w:sz w:val="24"/>
          <w:szCs w:val="24"/>
        </w:rPr>
        <w:t>)(</w:t>
      </w:r>
      <w:proofErr w:type="gramEnd"/>
      <w:r w:rsidRPr="008524E2">
        <w:rPr>
          <w:rFonts w:ascii="Times New Roman" w:hAnsi="Times New Roman"/>
          <w:sz w:val="24"/>
          <w:szCs w:val="24"/>
        </w:rPr>
        <w:t xml:space="preserve">4) of the CCDF Final Rule that was published September 30, 2016. This provision requires </w:t>
      </w:r>
      <w:r w:rsidRPr="008524E2">
        <w:rPr>
          <w:rFonts w:ascii="Times New Roman" w:hAnsi="Times New Roman"/>
          <w:color w:val="000000"/>
          <w:sz w:val="24"/>
          <w:szCs w:val="24"/>
        </w:rPr>
        <w:t xml:space="preserve">CCDF lead </w:t>
      </w:r>
      <w:r w:rsidRPr="008524E2">
        <w:rPr>
          <w:rFonts w:ascii="Times New Roman" w:hAnsi="Times New Roman"/>
          <w:sz w:val="24"/>
          <w:szCs w:val="24"/>
        </w:rPr>
        <w:t>agencies to establish procedures that require child care providers ca</w:t>
      </w:r>
      <w:r w:rsidRPr="008524E2">
        <w:rPr>
          <w:rFonts w:ascii="Times New Roman" w:hAnsi="Times New Roman"/>
          <w:color w:val="000000"/>
          <w:sz w:val="24"/>
          <w:szCs w:val="24"/>
        </w:rPr>
        <w:t>ring f</w:t>
      </w:r>
      <w:r w:rsidRPr="008524E2">
        <w:rPr>
          <w:rFonts w:ascii="Times New Roman" w:hAnsi="Times New Roman"/>
          <w:sz w:val="24"/>
          <w:szCs w:val="24"/>
        </w:rPr>
        <w:t>or child</w:t>
      </w:r>
      <w:r w:rsidRPr="008524E2">
        <w:rPr>
          <w:rFonts w:ascii="Times New Roman" w:hAnsi="Times New Roman"/>
          <w:color w:val="000000"/>
          <w:sz w:val="24"/>
          <w:szCs w:val="24"/>
        </w:rPr>
        <w:t>ren who are r</w:t>
      </w:r>
      <w:r w:rsidRPr="008524E2">
        <w:rPr>
          <w:rFonts w:ascii="Times New Roman" w:hAnsi="Times New Roman"/>
          <w:sz w:val="24"/>
          <w:szCs w:val="24"/>
        </w:rPr>
        <w:t xml:space="preserve">eceiving CCDF subsidies to report any serious injuries or deaths of children occurring in a child care setting to a designated state, </w:t>
      </w:r>
      <w:r w:rsidRPr="008524E2">
        <w:rPr>
          <w:rFonts w:ascii="Times New Roman" w:hAnsi="Times New Roman"/>
          <w:color w:val="1F497D"/>
          <w:sz w:val="24"/>
          <w:szCs w:val="24"/>
        </w:rPr>
        <w:t>t</w:t>
      </w:r>
      <w:r w:rsidRPr="008524E2">
        <w:rPr>
          <w:rFonts w:ascii="Times New Roman" w:hAnsi="Times New Roman"/>
          <w:sz w:val="24"/>
          <w:szCs w:val="24"/>
        </w:rPr>
        <w:t xml:space="preserve">erritorial, or </w:t>
      </w:r>
      <w:r w:rsidRPr="008524E2">
        <w:rPr>
          <w:rFonts w:ascii="Times New Roman" w:hAnsi="Times New Roman"/>
          <w:color w:val="1F497D"/>
          <w:sz w:val="24"/>
          <w:szCs w:val="24"/>
        </w:rPr>
        <w:t>t</w:t>
      </w:r>
      <w:r w:rsidRPr="008524E2">
        <w:rPr>
          <w:rFonts w:ascii="Times New Roman" w:hAnsi="Times New Roman"/>
          <w:sz w:val="24"/>
          <w:szCs w:val="24"/>
        </w:rPr>
        <w:t>ribal entity. </w:t>
      </w:r>
    </w:p>
    <w:p w:rsidRPr="008524E2" w:rsidR="00D74251" w:rsidP="00D74251" w:rsidRDefault="00D74251" w14:paraId="34BF23A4" w14:textId="77777777">
      <w:pPr>
        <w:jc w:val="both"/>
        <w:rPr>
          <w:rFonts w:ascii="Times New Roman" w:hAnsi="Times New Roman"/>
          <w:sz w:val="24"/>
          <w:szCs w:val="24"/>
        </w:rPr>
      </w:pPr>
    </w:p>
    <w:p w:rsidR="00D74251" w:rsidP="0039522A" w:rsidRDefault="00D74251" w14:paraId="2809A2D9" w14:textId="4CA092FB">
      <w:pPr>
        <w:jc w:val="both"/>
        <w:rPr>
          <w:rFonts w:ascii="Times New Roman" w:hAnsi="Times New Roman"/>
          <w:sz w:val="24"/>
          <w:szCs w:val="24"/>
        </w:rPr>
      </w:pPr>
      <w:r w:rsidRPr="008524E2">
        <w:rPr>
          <w:rFonts w:ascii="Times New Roman" w:hAnsi="Times New Roman"/>
          <w:sz w:val="24"/>
          <w:szCs w:val="24"/>
        </w:rPr>
        <w:t>This reporting requirement was developed in order to protect the health and safety of children in child care, and to help parents make informed consumer choices.  ACF is not proposing any revisions to this information colle</w:t>
      </w:r>
      <w:r w:rsidRPr="008524E2">
        <w:rPr>
          <w:rFonts w:ascii="Times New Roman" w:hAnsi="Times New Roman"/>
          <w:color w:val="000000"/>
          <w:sz w:val="24"/>
          <w:szCs w:val="24"/>
        </w:rPr>
        <w:t>ction.</w:t>
      </w:r>
    </w:p>
    <w:p w:rsidRPr="008524E2" w:rsidR="0039522A" w:rsidP="0039522A" w:rsidRDefault="0039522A" w14:paraId="47338ECF" w14:textId="77777777">
      <w:pPr>
        <w:jc w:val="both"/>
        <w:rPr>
          <w:rFonts w:ascii="Times New Roman" w:hAnsi="Times New Roman"/>
          <w:sz w:val="24"/>
          <w:szCs w:val="24"/>
        </w:rPr>
      </w:pPr>
    </w:p>
    <w:p w:rsidR="008524E2" w:rsidP="00167379" w:rsidRDefault="00D74251" w14:paraId="7540B287" w14:textId="229ABC63">
      <w:pPr>
        <w:widowControl/>
        <w:rPr>
          <w:rFonts w:ascii="Times New Roman" w:hAnsi="Times New Roman"/>
          <w:b/>
          <w:snapToGrid/>
          <w:sz w:val="24"/>
          <w:szCs w:val="24"/>
        </w:rPr>
      </w:pPr>
      <w:r w:rsidRPr="008524E2">
        <w:rPr>
          <w:rFonts w:ascii="Times New Roman" w:hAnsi="Times New Roman"/>
          <w:sz w:val="24"/>
          <w:szCs w:val="24"/>
        </w:rPr>
        <w:t xml:space="preserve">These collections do not involve Federal forms. </w:t>
      </w:r>
    </w:p>
    <w:p w:rsidR="008524E2" w:rsidP="0039522A" w:rsidRDefault="008524E2" w14:paraId="2539EEEB" w14:textId="0BB567B0">
      <w:pPr>
        <w:widowControl/>
        <w:spacing w:after="120"/>
        <w:rPr>
          <w:rFonts w:ascii="Times New Roman" w:hAnsi="Times New Roman"/>
          <w:b/>
          <w:snapToGrid/>
          <w:sz w:val="24"/>
          <w:szCs w:val="24"/>
        </w:rPr>
      </w:pPr>
    </w:p>
    <w:p w:rsidRPr="008524E2" w:rsidR="008524E2" w:rsidP="0039522A" w:rsidRDefault="008524E2" w14:paraId="495789F4" w14:textId="77777777">
      <w:pPr>
        <w:widowControl/>
        <w:spacing w:after="120"/>
        <w:rPr>
          <w:rFonts w:ascii="Times New Roman" w:hAnsi="Times New Roman"/>
          <w:b/>
          <w:snapToGrid/>
          <w:sz w:val="24"/>
          <w:szCs w:val="24"/>
        </w:rPr>
      </w:pPr>
    </w:p>
    <w:p w:rsidRPr="008524E2" w:rsidR="00790D2C" w:rsidP="008524E2" w:rsidRDefault="00790D2C" w14:paraId="4C1BFBD8" w14:textId="5684C2BD">
      <w:pPr>
        <w:widowControl/>
        <w:numPr>
          <w:ilvl w:val="0"/>
          <w:numId w:val="3"/>
        </w:numPr>
        <w:tabs>
          <w:tab w:val="num" w:pos="0"/>
          <w:tab w:val="num" w:pos="360"/>
        </w:tabs>
        <w:spacing w:after="120"/>
        <w:ind w:left="360"/>
        <w:rPr>
          <w:rFonts w:ascii="Times New Roman" w:hAnsi="Times New Roman"/>
          <w:b/>
          <w:snapToGrid/>
          <w:sz w:val="24"/>
          <w:szCs w:val="24"/>
        </w:rPr>
      </w:pPr>
      <w:r w:rsidRPr="008524E2">
        <w:rPr>
          <w:rFonts w:ascii="Times New Roman" w:hAnsi="Times New Roman"/>
          <w:b/>
          <w:snapToGrid/>
          <w:sz w:val="24"/>
          <w:szCs w:val="24"/>
        </w:rPr>
        <w:t>P</w:t>
      </w:r>
      <w:r w:rsidRPr="008524E2" w:rsidR="002C3C4F">
        <w:rPr>
          <w:rFonts w:ascii="Times New Roman" w:hAnsi="Times New Roman"/>
          <w:b/>
          <w:snapToGrid/>
          <w:sz w:val="24"/>
          <w:szCs w:val="24"/>
        </w:rPr>
        <w:t xml:space="preserve">urpose and Use of the Information Collection </w:t>
      </w:r>
    </w:p>
    <w:p w:rsidRPr="008524E2" w:rsidR="00D74251" w:rsidP="00D74251" w:rsidRDefault="00D74251" w14:paraId="2F2556DB" w14:textId="1021FEA6">
      <w:pPr>
        <w:widowControl/>
        <w:tabs>
          <w:tab w:val="num" w:pos="360"/>
        </w:tabs>
        <w:ind w:left="360"/>
        <w:rPr>
          <w:rFonts w:ascii="Times New Roman" w:hAnsi="Times New Roman"/>
          <w:snapToGrid/>
          <w:sz w:val="24"/>
          <w:szCs w:val="24"/>
        </w:rPr>
      </w:pPr>
      <w:r w:rsidRPr="008524E2">
        <w:rPr>
          <w:rFonts w:ascii="Times New Roman" w:hAnsi="Times New Roman"/>
          <w:b/>
          <w:snapToGrid/>
          <w:sz w:val="24"/>
          <w:szCs w:val="24"/>
        </w:rPr>
        <w:t>Consumer Education Website</w:t>
      </w:r>
      <w:r w:rsidRPr="008524E2">
        <w:rPr>
          <w:rFonts w:ascii="Times New Roman" w:hAnsi="Times New Roman"/>
          <w:snapToGrid/>
          <w:sz w:val="24"/>
          <w:szCs w:val="24"/>
        </w:rPr>
        <w:t>: Section 45 CFR 98.33 of the Final Rule requires State and Territory Lead Agencies administering the CCDF program to provide consumer education information through a consumer-friendly and easily accessible website.  OCC proposes revisions to the reporting requirements related to the Consumer Education Website to:</w:t>
      </w:r>
    </w:p>
    <w:p w:rsidRPr="008524E2" w:rsidR="00D74251" w:rsidP="00D74251" w:rsidRDefault="00D74251" w14:paraId="0332E373" w14:textId="77777777">
      <w:pPr>
        <w:widowControl/>
        <w:tabs>
          <w:tab w:val="num" w:pos="360"/>
        </w:tabs>
        <w:ind w:left="360"/>
        <w:rPr>
          <w:rFonts w:ascii="Times New Roman" w:hAnsi="Times New Roman"/>
          <w:snapToGrid/>
          <w:sz w:val="24"/>
          <w:szCs w:val="24"/>
        </w:rPr>
      </w:pPr>
    </w:p>
    <w:p w:rsidRPr="008524E2" w:rsidR="00D74251" w:rsidP="00D74251" w:rsidRDefault="00D74251" w14:paraId="4681CB20" w14:textId="77777777">
      <w:pPr>
        <w:widowControl/>
        <w:numPr>
          <w:ilvl w:val="0"/>
          <w:numId w:val="22"/>
        </w:numPr>
        <w:tabs>
          <w:tab w:val="num" w:pos="360"/>
        </w:tabs>
        <w:rPr>
          <w:rFonts w:ascii="Times New Roman" w:hAnsi="Times New Roman"/>
          <w:snapToGrid/>
          <w:sz w:val="24"/>
          <w:szCs w:val="24"/>
        </w:rPr>
      </w:pPr>
      <w:r w:rsidRPr="008524E2">
        <w:rPr>
          <w:rFonts w:ascii="Times New Roman" w:hAnsi="Times New Roman"/>
          <w:snapToGrid/>
          <w:sz w:val="24"/>
          <w:szCs w:val="24"/>
        </w:rPr>
        <w:t>Minimize confusion about the correct contact information and state-specific instructions needed to initiate interstate background check requests.</w:t>
      </w:r>
    </w:p>
    <w:p w:rsidRPr="008524E2" w:rsidR="00D74251" w:rsidP="00D74251" w:rsidRDefault="00D74251" w14:paraId="7C5A73F9" w14:textId="77777777">
      <w:pPr>
        <w:widowControl/>
        <w:numPr>
          <w:ilvl w:val="0"/>
          <w:numId w:val="22"/>
        </w:numPr>
        <w:tabs>
          <w:tab w:val="num" w:pos="360"/>
        </w:tabs>
        <w:rPr>
          <w:rFonts w:ascii="Times New Roman" w:hAnsi="Times New Roman"/>
          <w:snapToGrid/>
          <w:sz w:val="24"/>
          <w:szCs w:val="24"/>
        </w:rPr>
      </w:pPr>
      <w:r w:rsidRPr="008524E2">
        <w:rPr>
          <w:rFonts w:ascii="Times New Roman" w:hAnsi="Times New Roman"/>
          <w:snapToGrid/>
          <w:sz w:val="24"/>
          <w:szCs w:val="24"/>
        </w:rPr>
        <w:t>Encourage the transparency needed to allow states and territories to exchange information and to and to ensure that there are processes in place for timely responses.</w:t>
      </w:r>
    </w:p>
    <w:p w:rsidRPr="008524E2" w:rsidR="00D74251" w:rsidP="00D74251" w:rsidRDefault="00D74251" w14:paraId="35200022" w14:textId="77777777">
      <w:pPr>
        <w:widowControl/>
        <w:numPr>
          <w:ilvl w:val="0"/>
          <w:numId w:val="22"/>
        </w:numPr>
        <w:tabs>
          <w:tab w:val="num" w:pos="360"/>
        </w:tabs>
        <w:rPr>
          <w:rFonts w:ascii="Times New Roman" w:hAnsi="Times New Roman"/>
          <w:snapToGrid/>
          <w:sz w:val="24"/>
          <w:szCs w:val="24"/>
        </w:rPr>
      </w:pPr>
      <w:r w:rsidRPr="008524E2">
        <w:rPr>
          <w:rFonts w:ascii="Times New Roman" w:hAnsi="Times New Roman"/>
          <w:snapToGrid/>
          <w:sz w:val="24"/>
          <w:szCs w:val="24"/>
        </w:rPr>
        <w:t>Help ensure compliance with existing background check requirements in the CCDBG Act and CCDF Final Rule.</w:t>
      </w:r>
    </w:p>
    <w:p w:rsidRPr="008524E2" w:rsidR="00D74251" w:rsidP="00D74251" w:rsidRDefault="00D74251" w14:paraId="27B1E8C0" w14:textId="77777777">
      <w:pPr>
        <w:widowControl/>
        <w:tabs>
          <w:tab w:val="num" w:pos="360"/>
        </w:tabs>
        <w:ind w:left="360"/>
        <w:rPr>
          <w:rFonts w:ascii="Times New Roman" w:hAnsi="Times New Roman"/>
          <w:snapToGrid/>
          <w:sz w:val="24"/>
          <w:szCs w:val="24"/>
        </w:rPr>
      </w:pPr>
    </w:p>
    <w:p w:rsidRPr="008524E2" w:rsidR="00D74251" w:rsidP="00D74251" w:rsidRDefault="00D74251" w14:paraId="6F3AE3C4" w14:textId="77777777">
      <w:pPr>
        <w:widowControl/>
        <w:tabs>
          <w:tab w:val="num" w:pos="360"/>
        </w:tabs>
        <w:ind w:left="360"/>
        <w:rPr>
          <w:rFonts w:ascii="Times New Roman" w:hAnsi="Times New Roman"/>
          <w:snapToGrid/>
          <w:sz w:val="24"/>
          <w:szCs w:val="24"/>
        </w:rPr>
      </w:pPr>
      <w:r w:rsidRPr="008524E2">
        <w:rPr>
          <w:rFonts w:ascii="Times New Roman" w:hAnsi="Times New Roman"/>
          <w:snapToGrid/>
          <w:sz w:val="24"/>
          <w:szCs w:val="24"/>
        </w:rPr>
        <w:t xml:space="preserve">The revised reporting requirements would require State and Territory Lead Agencies to post specific information and resources pertaining to their interstate background check processes and procedures on their Consumer Education Website. </w:t>
      </w:r>
    </w:p>
    <w:p w:rsidRPr="008524E2" w:rsidR="00D74251" w:rsidP="00D74251" w:rsidRDefault="00D74251" w14:paraId="4140C420" w14:textId="77777777">
      <w:pPr>
        <w:widowControl/>
        <w:tabs>
          <w:tab w:val="num" w:pos="360"/>
        </w:tabs>
        <w:ind w:left="360"/>
        <w:rPr>
          <w:rFonts w:ascii="Times New Roman" w:hAnsi="Times New Roman"/>
          <w:snapToGrid/>
          <w:sz w:val="24"/>
          <w:szCs w:val="24"/>
        </w:rPr>
      </w:pPr>
    </w:p>
    <w:p w:rsidRPr="008524E2" w:rsidR="00D74251" w:rsidP="00D74251" w:rsidRDefault="00D74251" w14:paraId="6CB0C515" w14:textId="77777777">
      <w:pPr>
        <w:widowControl/>
        <w:tabs>
          <w:tab w:val="num" w:pos="360"/>
        </w:tabs>
        <w:ind w:left="360"/>
        <w:rPr>
          <w:rFonts w:ascii="Times New Roman" w:hAnsi="Times New Roman"/>
          <w:snapToGrid/>
          <w:sz w:val="24"/>
          <w:szCs w:val="24"/>
        </w:rPr>
      </w:pPr>
      <w:r w:rsidRPr="008524E2">
        <w:rPr>
          <w:rFonts w:ascii="Times New Roman" w:hAnsi="Times New Roman"/>
          <w:snapToGrid/>
          <w:sz w:val="24"/>
          <w:szCs w:val="24"/>
        </w:rPr>
        <w:t xml:space="preserve">OCC will use this information provided as a result of the revised reporting requirements to help ensure compliance with existing background check requirements in the Act and Final Rule.  This website requirement applies to the 50 States, District of Columbia, and five Territories that receive CCDF grants.  </w:t>
      </w:r>
    </w:p>
    <w:p w:rsidRPr="008524E2" w:rsidR="00D74251" w:rsidP="00D74251" w:rsidRDefault="00D74251" w14:paraId="54859F14" w14:textId="77777777">
      <w:pPr>
        <w:widowControl/>
        <w:tabs>
          <w:tab w:val="num" w:pos="360"/>
        </w:tabs>
        <w:ind w:left="360"/>
        <w:rPr>
          <w:rFonts w:ascii="Times New Roman" w:hAnsi="Times New Roman"/>
          <w:snapToGrid/>
          <w:sz w:val="24"/>
          <w:szCs w:val="24"/>
        </w:rPr>
      </w:pPr>
    </w:p>
    <w:p w:rsidRPr="008524E2" w:rsidR="00D74251" w:rsidP="00D74251" w:rsidRDefault="00D74251" w14:paraId="2534A433" w14:textId="77777777">
      <w:pPr>
        <w:widowControl/>
        <w:tabs>
          <w:tab w:val="num" w:pos="360"/>
        </w:tabs>
        <w:ind w:left="360"/>
        <w:rPr>
          <w:rFonts w:ascii="Times New Roman" w:hAnsi="Times New Roman"/>
          <w:snapToGrid/>
          <w:sz w:val="24"/>
          <w:szCs w:val="24"/>
        </w:rPr>
      </w:pPr>
      <w:r w:rsidRPr="008524E2">
        <w:rPr>
          <w:rFonts w:ascii="Times New Roman" w:hAnsi="Times New Roman"/>
          <w:b/>
          <w:snapToGrid/>
          <w:sz w:val="24"/>
          <w:szCs w:val="24"/>
        </w:rPr>
        <w:t>Reporting of Serious Injuries and Deaths in Child Care:</w:t>
      </w:r>
      <w:r w:rsidRPr="008524E2">
        <w:rPr>
          <w:rFonts w:ascii="Times New Roman" w:hAnsi="Times New Roman"/>
          <w:snapToGrid/>
          <w:sz w:val="24"/>
          <w:szCs w:val="24"/>
        </w:rPr>
        <w:t xml:space="preserve"> Section 45 CFR 98.42 of the final rule requires Lead Agencies administering the CCDF program to establish procedures that require child care providers that care for children receiving CCDF subsidies to report to a designated State, territorial, or tribal entity any serious injuries or deaths of children occurring in child care.  This is necessary in order for States to make this information available to the public, and to be able to examine the circumstances leading to serious injury or death of children in child care, and, if necessary, make changes to health and safety requirements and enforcement of those requirements in order to prevent any future tragedies.  The requirement applies to the nearly 260,000 child care providers who serve children receiving CCDF subsidies, but only a portion of these providers will need to report, since our burden estimate assumes that no report is required in the absence of serious injury or death.  Using currently available aggregate data on child deaths and injuries, we estimated the average number of provider respondents would be approximately 10,000 annually.</w:t>
      </w:r>
    </w:p>
    <w:p w:rsidRPr="008524E2" w:rsidR="00D74251" w:rsidP="00D74251" w:rsidRDefault="00D74251" w14:paraId="6F8BFB83" w14:textId="77777777">
      <w:pPr>
        <w:widowControl/>
        <w:tabs>
          <w:tab w:val="num" w:pos="360"/>
        </w:tabs>
        <w:ind w:left="360"/>
        <w:rPr>
          <w:rFonts w:ascii="Times New Roman" w:hAnsi="Times New Roman"/>
          <w:snapToGrid/>
          <w:sz w:val="24"/>
          <w:szCs w:val="24"/>
        </w:rPr>
      </w:pPr>
    </w:p>
    <w:p w:rsidRPr="008524E2" w:rsidR="00D60543" w:rsidP="00D74251" w:rsidRDefault="00D74251" w14:paraId="3C8C4501" w14:textId="5FBA6CD0">
      <w:pPr>
        <w:widowControl/>
        <w:tabs>
          <w:tab w:val="num" w:pos="360"/>
        </w:tabs>
        <w:ind w:left="360"/>
        <w:rPr>
          <w:rFonts w:ascii="Times New Roman" w:hAnsi="Times New Roman"/>
          <w:snapToGrid/>
          <w:sz w:val="24"/>
          <w:szCs w:val="24"/>
        </w:rPr>
      </w:pPr>
      <w:r w:rsidRPr="008524E2">
        <w:rPr>
          <w:rFonts w:ascii="Times New Roman" w:hAnsi="Times New Roman"/>
          <w:snapToGrid/>
          <w:sz w:val="24"/>
          <w:szCs w:val="24"/>
        </w:rPr>
        <w:t>The existing Reporting of Serious Injuries and Death reporting requirement (described above) will not be modified.</w:t>
      </w:r>
    </w:p>
    <w:p w:rsidR="0039522A" w:rsidP="00D7443D" w:rsidRDefault="0039522A" w14:paraId="6D107CEF" w14:textId="79C3BC06">
      <w:pPr>
        <w:widowControl/>
        <w:tabs>
          <w:tab w:val="num" w:pos="360"/>
        </w:tabs>
        <w:ind w:left="360"/>
        <w:rPr>
          <w:rFonts w:ascii="Times New Roman" w:hAnsi="Times New Roman"/>
          <w:snapToGrid/>
          <w:sz w:val="24"/>
          <w:szCs w:val="24"/>
        </w:rPr>
      </w:pPr>
    </w:p>
    <w:p w:rsidRPr="008524E2" w:rsidR="0039522A" w:rsidP="00D7443D" w:rsidRDefault="0039522A" w14:paraId="67035D86" w14:textId="77777777">
      <w:pPr>
        <w:widowControl/>
        <w:tabs>
          <w:tab w:val="num" w:pos="360"/>
        </w:tabs>
        <w:ind w:left="360"/>
        <w:rPr>
          <w:rFonts w:ascii="Times New Roman" w:hAnsi="Times New Roman"/>
          <w:snapToGrid/>
          <w:sz w:val="24"/>
          <w:szCs w:val="24"/>
        </w:rPr>
      </w:pPr>
    </w:p>
    <w:p w:rsidRPr="008524E2" w:rsidR="002C3C4F" w:rsidP="00075889" w:rsidRDefault="002C3C4F"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8524E2">
        <w:rPr>
          <w:rFonts w:ascii="Times New Roman" w:hAnsi="Times New Roman"/>
          <w:b/>
          <w:snapToGrid/>
          <w:sz w:val="24"/>
          <w:szCs w:val="24"/>
        </w:rPr>
        <w:t xml:space="preserve">Use of Improved Information Technology and Burden Reduction </w:t>
      </w:r>
    </w:p>
    <w:p w:rsidRPr="008524E2" w:rsidR="00D74251" w:rsidP="00D74251" w:rsidRDefault="00D74251" w14:paraId="74D2125C" w14:textId="77777777">
      <w:pPr>
        <w:widowControl/>
        <w:tabs>
          <w:tab w:val="num" w:pos="360"/>
        </w:tabs>
        <w:ind w:left="360"/>
        <w:rPr>
          <w:rFonts w:ascii="Times New Roman" w:hAnsi="Times New Roman"/>
          <w:snapToGrid/>
          <w:sz w:val="24"/>
          <w:szCs w:val="24"/>
        </w:rPr>
      </w:pPr>
      <w:r w:rsidRPr="008524E2">
        <w:rPr>
          <w:rFonts w:ascii="Times New Roman" w:hAnsi="Times New Roman"/>
          <w:snapToGrid/>
          <w:sz w:val="24"/>
          <w:szCs w:val="24"/>
        </w:rPr>
        <w:t xml:space="preserve">Consumer Education Website: This revised reporting requirement ensures that the information needed to initiate an interstate check will be readily available to states and territories.   States and territories will have some flexibility regarding how to implement this provision and each State will determine its own tailored approach based on existing practices, available resources, and other circumstances.  </w:t>
      </w:r>
    </w:p>
    <w:p w:rsidRPr="008524E2" w:rsidR="00D74251" w:rsidP="00D74251" w:rsidRDefault="00D74251" w14:paraId="3A1754AD" w14:textId="77777777">
      <w:pPr>
        <w:widowControl/>
        <w:tabs>
          <w:tab w:val="num" w:pos="360"/>
        </w:tabs>
        <w:ind w:left="360"/>
        <w:rPr>
          <w:rFonts w:ascii="Times New Roman" w:hAnsi="Times New Roman"/>
          <w:snapToGrid/>
          <w:sz w:val="24"/>
          <w:szCs w:val="24"/>
        </w:rPr>
      </w:pPr>
    </w:p>
    <w:p w:rsidR="00D74251" w:rsidP="00D74251" w:rsidRDefault="00D74251" w14:paraId="2C183110" w14:textId="7F13E653">
      <w:pPr>
        <w:widowControl/>
        <w:tabs>
          <w:tab w:val="num" w:pos="360"/>
        </w:tabs>
        <w:ind w:left="360"/>
        <w:rPr>
          <w:rFonts w:ascii="Times New Roman" w:hAnsi="Times New Roman"/>
          <w:snapToGrid/>
          <w:sz w:val="24"/>
          <w:szCs w:val="24"/>
        </w:rPr>
      </w:pPr>
      <w:r w:rsidRPr="008524E2">
        <w:rPr>
          <w:rFonts w:ascii="Times New Roman" w:hAnsi="Times New Roman"/>
          <w:snapToGrid/>
          <w:sz w:val="24"/>
          <w:szCs w:val="24"/>
        </w:rPr>
        <w:t xml:space="preserve">Reporting of Serious Injuries and Deaths:  States, Territories and Tribes will continue to have flexibility in specifying the particular reporting requirements, such as timeframes and which serious injuries must be reported.  While the reporting procedures will vary by jurisdiction, we anticipate that most providers will need to complete a form or otherwise provide written information.  We encourage States to use information technology, such as electronic transmission, to ease the reporting burden.  </w:t>
      </w:r>
    </w:p>
    <w:p w:rsidRPr="008524E2" w:rsidR="004B0599" w:rsidP="00D74251" w:rsidRDefault="004B0599" w14:paraId="397804E0" w14:textId="77777777">
      <w:pPr>
        <w:widowControl/>
        <w:tabs>
          <w:tab w:val="num" w:pos="360"/>
        </w:tabs>
        <w:ind w:left="360"/>
        <w:rPr>
          <w:rFonts w:ascii="Times New Roman" w:hAnsi="Times New Roman"/>
          <w:snapToGrid/>
          <w:sz w:val="24"/>
          <w:szCs w:val="24"/>
        </w:rPr>
      </w:pPr>
    </w:p>
    <w:p w:rsidRPr="008524E2" w:rsidR="00D60543" w:rsidP="00022586" w:rsidRDefault="00D60543" w14:paraId="61323458" w14:textId="25280D46">
      <w:pPr>
        <w:widowControl/>
        <w:tabs>
          <w:tab w:val="num" w:pos="360"/>
        </w:tabs>
        <w:ind w:left="360"/>
        <w:rPr>
          <w:rFonts w:ascii="Times New Roman" w:hAnsi="Times New Roman"/>
          <w:snapToGrid/>
          <w:sz w:val="24"/>
          <w:szCs w:val="24"/>
        </w:rPr>
      </w:pPr>
    </w:p>
    <w:p w:rsidRPr="008524E2" w:rsidR="002C3C4F" w:rsidP="00075889" w:rsidRDefault="002C3C4F"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8524E2">
        <w:rPr>
          <w:rFonts w:ascii="Times New Roman" w:hAnsi="Times New Roman"/>
          <w:b/>
          <w:snapToGrid/>
          <w:sz w:val="24"/>
          <w:szCs w:val="24"/>
        </w:rPr>
        <w:t xml:space="preserve">Efforts to Identify Duplication and Use of Similar Information </w:t>
      </w:r>
    </w:p>
    <w:p w:rsidRPr="008524E2" w:rsidR="00D74251" w:rsidP="008524E2" w:rsidRDefault="00D74251" w14:paraId="596FDA74" w14:textId="232E3B87">
      <w:pPr>
        <w:widowControl/>
        <w:tabs>
          <w:tab w:val="num" w:pos="360"/>
        </w:tabs>
        <w:ind w:left="360"/>
        <w:rPr>
          <w:rFonts w:ascii="Times New Roman" w:hAnsi="Times New Roman"/>
          <w:snapToGrid/>
          <w:sz w:val="24"/>
          <w:szCs w:val="24"/>
        </w:rPr>
      </w:pPr>
      <w:r w:rsidRPr="008524E2">
        <w:rPr>
          <w:rFonts w:ascii="Times New Roman" w:hAnsi="Times New Roman"/>
          <w:snapToGrid/>
          <w:sz w:val="24"/>
          <w:szCs w:val="24"/>
        </w:rPr>
        <w:t>Consumer Education Website: States may use existing websites and website links that meet the requirements.</w:t>
      </w:r>
    </w:p>
    <w:p w:rsidRPr="008524E2" w:rsidR="00D74251" w:rsidP="00D74251" w:rsidRDefault="00D74251" w14:paraId="331C70C1" w14:textId="77777777">
      <w:pPr>
        <w:widowControl/>
        <w:tabs>
          <w:tab w:val="num" w:pos="360"/>
        </w:tabs>
        <w:ind w:left="360"/>
        <w:rPr>
          <w:rFonts w:ascii="Times New Roman" w:hAnsi="Times New Roman"/>
          <w:snapToGrid/>
          <w:sz w:val="24"/>
          <w:szCs w:val="24"/>
        </w:rPr>
      </w:pPr>
    </w:p>
    <w:p w:rsidRPr="008524E2" w:rsidR="00022586" w:rsidP="00D74251" w:rsidRDefault="00D74251" w14:paraId="3A8002CC" w14:textId="447B72E2">
      <w:pPr>
        <w:widowControl/>
        <w:tabs>
          <w:tab w:val="num" w:pos="360"/>
        </w:tabs>
        <w:ind w:left="360"/>
        <w:rPr>
          <w:rFonts w:ascii="Times New Roman" w:hAnsi="Times New Roman"/>
          <w:snapToGrid/>
          <w:sz w:val="24"/>
          <w:szCs w:val="24"/>
        </w:rPr>
      </w:pPr>
      <w:r w:rsidRPr="008524E2">
        <w:rPr>
          <w:rFonts w:ascii="Times New Roman" w:hAnsi="Times New Roman"/>
          <w:snapToGrid/>
          <w:sz w:val="24"/>
          <w:szCs w:val="24"/>
        </w:rPr>
        <w:t>Reporting of Serious Injuries and Deaths:  States may use existing reporting procedures, if any, that meet the requirements.</w:t>
      </w:r>
    </w:p>
    <w:p w:rsidR="009C2DE1" w:rsidP="00022586" w:rsidRDefault="009C2DE1" w14:paraId="5BF82A71" w14:textId="21922DE0">
      <w:pPr>
        <w:widowControl/>
        <w:tabs>
          <w:tab w:val="num" w:pos="360"/>
        </w:tabs>
        <w:ind w:left="360"/>
        <w:rPr>
          <w:rFonts w:ascii="Times New Roman" w:hAnsi="Times New Roman"/>
          <w:snapToGrid/>
          <w:sz w:val="24"/>
          <w:szCs w:val="24"/>
        </w:rPr>
      </w:pPr>
    </w:p>
    <w:p w:rsidRPr="008524E2" w:rsidR="004B0599" w:rsidP="00022586" w:rsidRDefault="004B0599" w14:paraId="7FF6BCDE" w14:textId="77777777">
      <w:pPr>
        <w:widowControl/>
        <w:tabs>
          <w:tab w:val="num" w:pos="360"/>
        </w:tabs>
        <w:ind w:left="360"/>
        <w:rPr>
          <w:rFonts w:ascii="Times New Roman" w:hAnsi="Times New Roman"/>
          <w:snapToGrid/>
          <w:sz w:val="24"/>
          <w:szCs w:val="24"/>
        </w:rPr>
      </w:pPr>
    </w:p>
    <w:p w:rsidRPr="008524E2" w:rsidR="009F5543" w:rsidP="008524E2" w:rsidRDefault="002C3C4F" w14:paraId="277C911C" w14:textId="1EE1FA5B">
      <w:pPr>
        <w:widowControl/>
        <w:numPr>
          <w:ilvl w:val="0"/>
          <w:numId w:val="3"/>
        </w:numPr>
        <w:tabs>
          <w:tab w:val="num" w:pos="360"/>
        </w:tabs>
        <w:spacing w:after="120"/>
        <w:ind w:left="360"/>
        <w:rPr>
          <w:rFonts w:ascii="Times New Roman" w:hAnsi="Times New Roman"/>
          <w:b/>
          <w:snapToGrid/>
          <w:sz w:val="24"/>
          <w:szCs w:val="24"/>
        </w:rPr>
      </w:pPr>
      <w:r w:rsidRPr="008524E2">
        <w:rPr>
          <w:rFonts w:ascii="Times New Roman" w:hAnsi="Times New Roman"/>
          <w:b/>
          <w:snapToGrid/>
          <w:sz w:val="24"/>
          <w:szCs w:val="24"/>
        </w:rPr>
        <w:t xml:space="preserve">Impact on Small Businesses or Other Small Entities </w:t>
      </w:r>
    </w:p>
    <w:p w:rsidR="00D60543" w:rsidP="00D74251" w:rsidRDefault="00D74251" w14:paraId="3417396F" w14:textId="03ACEA05">
      <w:pPr>
        <w:widowControl/>
        <w:tabs>
          <w:tab w:val="num" w:pos="360"/>
        </w:tabs>
        <w:ind w:left="360"/>
        <w:rPr>
          <w:rFonts w:ascii="Times New Roman" w:hAnsi="Times New Roman"/>
          <w:snapToGrid/>
          <w:sz w:val="24"/>
          <w:szCs w:val="24"/>
        </w:rPr>
      </w:pPr>
      <w:r w:rsidRPr="008524E2">
        <w:rPr>
          <w:rFonts w:ascii="Times New Roman" w:hAnsi="Times New Roman"/>
          <w:snapToGrid/>
          <w:sz w:val="24"/>
          <w:szCs w:val="24"/>
        </w:rPr>
        <w:t xml:space="preserve">Neither of these </w:t>
      </w:r>
      <w:r w:rsidR="004B0599">
        <w:rPr>
          <w:rFonts w:ascii="Times New Roman" w:hAnsi="Times New Roman"/>
          <w:snapToGrid/>
          <w:sz w:val="24"/>
          <w:szCs w:val="24"/>
        </w:rPr>
        <w:t>reporting requirements</w:t>
      </w:r>
      <w:r w:rsidRPr="008524E2">
        <w:rPr>
          <w:rFonts w:ascii="Times New Roman" w:hAnsi="Times New Roman"/>
          <w:snapToGrid/>
          <w:sz w:val="24"/>
          <w:szCs w:val="24"/>
        </w:rPr>
        <w:t xml:space="preserve"> will have a significant impact on a substantial number of small entities.  The information being required has been held to the absolute minimum required for intended use.</w:t>
      </w:r>
    </w:p>
    <w:p w:rsidRPr="008524E2" w:rsidR="004B0599" w:rsidP="00D74251" w:rsidRDefault="004B0599" w14:paraId="7CC79719" w14:textId="77777777">
      <w:pPr>
        <w:widowControl/>
        <w:tabs>
          <w:tab w:val="num" w:pos="360"/>
        </w:tabs>
        <w:ind w:left="360"/>
        <w:rPr>
          <w:rFonts w:ascii="Times New Roman" w:hAnsi="Times New Roman"/>
          <w:snapToGrid/>
          <w:sz w:val="24"/>
          <w:szCs w:val="24"/>
        </w:rPr>
      </w:pPr>
    </w:p>
    <w:p w:rsidRPr="008524E2" w:rsidR="00D60543" w:rsidP="00022586" w:rsidRDefault="00D60543" w14:paraId="7A03161C" w14:textId="77777777">
      <w:pPr>
        <w:widowControl/>
        <w:tabs>
          <w:tab w:val="num" w:pos="360"/>
        </w:tabs>
        <w:ind w:left="360"/>
        <w:rPr>
          <w:rFonts w:ascii="Times New Roman" w:hAnsi="Times New Roman"/>
          <w:snapToGrid/>
          <w:sz w:val="24"/>
          <w:szCs w:val="24"/>
        </w:rPr>
      </w:pPr>
    </w:p>
    <w:p w:rsidRPr="008524E2" w:rsidR="002C3C4F" w:rsidP="00075889" w:rsidRDefault="002C3C4F"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8524E2">
        <w:rPr>
          <w:rFonts w:ascii="Times New Roman" w:hAnsi="Times New Roman"/>
          <w:b/>
          <w:snapToGrid/>
          <w:sz w:val="24"/>
          <w:szCs w:val="24"/>
        </w:rPr>
        <w:t xml:space="preserve">Consequences of Collecting the Information Less Frequently </w:t>
      </w:r>
    </w:p>
    <w:p w:rsidRPr="008524E2" w:rsidR="00D74251" w:rsidP="00D74251" w:rsidRDefault="00D74251" w14:paraId="4FF8A5B0" w14:textId="1B9A79B7">
      <w:pPr>
        <w:widowControl/>
        <w:tabs>
          <w:tab w:val="num" w:pos="360"/>
        </w:tabs>
        <w:ind w:left="360"/>
        <w:rPr>
          <w:rFonts w:ascii="Times New Roman" w:hAnsi="Times New Roman"/>
          <w:snapToGrid/>
          <w:sz w:val="24"/>
          <w:szCs w:val="24"/>
        </w:rPr>
      </w:pPr>
      <w:r w:rsidRPr="008524E2">
        <w:rPr>
          <w:rFonts w:ascii="Times New Roman" w:hAnsi="Times New Roman"/>
          <w:snapToGrid/>
          <w:sz w:val="24"/>
          <w:szCs w:val="24"/>
        </w:rPr>
        <w:t xml:space="preserve">Consumer Education Website: This </w:t>
      </w:r>
      <w:r w:rsidR="004B0599">
        <w:rPr>
          <w:rFonts w:ascii="Times New Roman" w:hAnsi="Times New Roman"/>
          <w:snapToGrid/>
          <w:sz w:val="24"/>
          <w:szCs w:val="24"/>
        </w:rPr>
        <w:t>reporting requirement</w:t>
      </w:r>
      <w:r w:rsidRPr="008524E2">
        <w:rPr>
          <w:rFonts w:ascii="Times New Roman" w:hAnsi="Times New Roman"/>
          <w:snapToGrid/>
          <w:sz w:val="24"/>
          <w:szCs w:val="24"/>
        </w:rPr>
        <w:t xml:space="preserve"> will be ongoing. States and Territories will need to periodically update their websites to ensure that the information is current and accurate.  Without regular updates to the background check related information provided on the consumer education websites, states and territories will lack the critical contact information and instructions needed to initiate an interstate background check request. </w:t>
      </w:r>
    </w:p>
    <w:p w:rsidRPr="008524E2" w:rsidR="00D74251" w:rsidP="00D74251" w:rsidRDefault="00D74251" w14:paraId="10F94202" w14:textId="77777777">
      <w:pPr>
        <w:widowControl/>
        <w:tabs>
          <w:tab w:val="num" w:pos="360"/>
        </w:tabs>
        <w:ind w:left="360"/>
        <w:rPr>
          <w:rFonts w:ascii="Times New Roman" w:hAnsi="Times New Roman"/>
          <w:snapToGrid/>
          <w:sz w:val="24"/>
          <w:szCs w:val="24"/>
        </w:rPr>
      </w:pPr>
    </w:p>
    <w:p w:rsidRPr="008524E2" w:rsidR="00D60543" w:rsidP="00D74251" w:rsidRDefault="00D74251" w14:paraId="2A0F47DE" w14:textId="103C284A">
      <w:pPr>
        <w:widowControl/>
        <w:tabs>
          <w:tab w:val="num" w:pos="360"/>
        </w:tabs>
        <w:ind w:left="360"/>
        <w:rPr>
          <w:rFonts w:ascii="Times New Roman" w:hAnsi="Times New Roman"/>
          <w:snapToGrid/>
          <w:sz w:val="24"/>
          <w:szCs w:val="24"/>
        </w:rPr>
      </w:pPr>
      <w:r w:rsidRPr="008524E2">
        <w:rPr>
          <w:rFonts w:ascii="Times New Roman" w:hAnsi="Times New Roman"/>
          <w:snapToGrid/>
          <w:sz w:val="24"/>
          <w:szCs w:val="24"/>
        </w:rPr>
        <w:t xml:space="preserve">Reporting of Serious Injuries and Deaths:  This </w:t>
      </w:r>
      <w:r w:rsidR="004B0599">
        <w:rPr>
          <w:rFonts w:ascii="Times New Roman" w:hAnsi="Times New Roman"/>
          <w:snapToGrid/>
          <w:sz w:val="24"/>
          <w:szCs w:val="24"/>
        </w:rPr>
        <w:t>reporting requirement</w:t>
      </w:r>
      <w:r w:rsidRPr="008524E2" w:rsidR="004B0599">
        <w:rPr>
          <w:rFonts w:ascii="Times New Roman" w:hAnsi="Times New Roman"/>
          <w:snapToGrid/>
          <w:sz w:val="24"/>
          <w:szCs w:val="24"/>
        </w:rPr>
        <w:t xml:space="preserve"> </w:t>
      </w:r>
      <w:r w:rsidRPr="008524E2">
        <w:rPr>
          <w:rFonts w:ascii="Times New Roman" w:hAnsi="Times New Roman"/>
          <w:snapToGrid/>
          <w:sz w:val="24"/>
          <w:szCs w:val="24"/>
        </w:rPr>
        <w:t xml:space="preserve">will occur after the serious injury or death of a child that occurs in a child care setting.  The information must be reported in a timely manner, as determined by the State, to ensure that any appropriate corrective action is taken to ensure children’s safety.  </w:t>
      </w:r>
    </w:p>
    <w:p w:rsidR="00DE529D" w:rsidP="00022586" w:rsidRDefault="00DE529D" w14:paraId="2744D4F5" w14:textId="1218FF5A">
      <w:pPr>
        <w:widowControl/>
        <w:tabs>
          <w:tab w:val="num" w:pos="360"/>
        </w:tabs>
        <w:ind w:left="360"/>
        <w:rPr>
          <w:rFonts w:ascii="Times New Roman" w:hAnsi="Times New Roman"/>
          <w:snapToGrid/>
          <w:sz w:val="24"/>
          <w:szCs w:val="24"/>
        </w:rPr>
      </w:pPr>
    </w:p>
    <w:p w:rsidRPr="008524E2" w:rsidR="004B0599" w:rsidP="00022586" w:rsidRDefault="004B0599" w14:paraId="3C953391" w14:textId="77777777">
      <w:pPr>
        <w:widowControl/>
        <w:tabs>
          <w:tab w:val="num" w:pos="360"/>
        </w:tabs>
        <w:ind w:left="360"/>
        <w:rPr>
          <w:rFonts w:ascii="Times New Roman" w:hAnsi="Times New Roman"/>
          <w:snapToGrid/>
          <w:sz w:val="24"/>
          <w:szCs w:val="24"/>
        </w:rPr>
      </w:pPr>
      <w:bookmarkStart w:name="_GoBack" w:id="0"/>
      <w:bookmarkEnd w:id="0"/>
    </w:p>
    <w:p w:rsidRPr="008524E2" w:rsidR="009C2DE1" w:rsidP="008524E2" w:rsidRDefault="002C3C4F" w14:paraId="2936D2FA" w14:textId="79247CCD">
      <w:pPr>
        <w:widowControl/>
        <w:numPr>
          <w:ilvl w:val="0"/>
          <w:numId w:val="3"/>
        </w:numPr>
        <w:tabs>
          <w:tab w:val="num" w:pos="360"/>
        </w:tabs>
        <w:spacing w:after="120"/>
        <w:ind w:left="360"/>
        <w:rPr>
          <w:rFonts w:ascii="Times New Roman" w:hAnsi="Times New Roman"/>
          <w:b/>
          <w:snapToGrid/>
          <w:sz w:val="24"/>
          <w:szCs w:val="24"/>
        </w:rPr>
      </w:pPr>
      <w:r w:rsidRPr="008524E2">
        <w:rPr>
          <w:rFonts w:ascii="Times New Roman" w:hAnsi="Times New Roman"/>
          <w:b/>
          <w:snapToGrid/>
          <w:sz w:val="24"/>
          <w:szCs w:val="24"/>
        </w:rPr>
        <w:t xml:space="preserve">Special Circumstances Relating to the Guidelines of 5 CFR 1320.5 </w:t>
      </w:r>
    </w:p>
    <w:p w:rsidRPr="008524E2" w:rsidR="00D74251" w:rsidP="00D74251" w:rsidRDefault="00D74251" w14:paraId="590E891D" w14:textId="77777777">
      <w:pPr>
        <w:ind w:firstLine="360"/>
        <w:rPr>
          <w:rFonts w:ascii="Times New Roman" w:hAnsi="Times New Roman"/>
          <w:snapToGrid/>
          <w:sz w:val="24"/>
          <w:szCs w:val="24"/>
        </w:rPr>
      </w:pPr>
      <w:r w:rsidRPr="008524E2">
        <w:rPr>
          <w:rFonts w:ascii="Times New Roman" w:hAnsi="Times New Roman"/>
          <w:snapToGrid/>
          <w:sz w:val="24"/>
          <w:szCs w:val="24"/>
        </w:rPr>
        <w:t>None of the special circumstances apply to these information collections.</w:t>
      </w:r>
    </w:p>
    <w:p w:rsidR="00DE529D" w:rsidP="008524E2" w:rsidRDefault="00DE529D" w14:paraId="2CFEBB22" w14:textId="77802FD2">
      <w:pPr>
        <w:widowControl/>
        <w:tabs>
          <w:tab w:val="num" w:pos="360"/>
        </w:tabs>
        <w:rPr>
          <w:rFonts w:ascii="Times New Roman" w:hAnsi="Times New Roman"/>
          <w:snapToGrid/>
          <w:sz w:val="24"/>
          <w:szCs w:val="24"/>
        </w:rPr>
      </w:pPr>
    </w:p>
    <w:p w:rsidRPr="008524E2" w:rsidR="004B0599" w:rsidP="008524E2" w:rsidRDefault="004B0599" w14:paraId="0BB7788A" w14:textId="77777777">
      <w:pPr>
        <w:widowControl/>
        <w:tabs>
          <w:tab w:val="num" w:pos="360"/>
        </w:tabs>
        <w:rPr>
          <w:rFonts w:ascii="Times New Roman" w:hAnsi="Times New Roman"/>
          <w:snapToGrid/>
          <w:sz w:val="24"/>
          <w:szCs w:val="24"/>
        </w:rPr>
      </w:pPr>
    </w:p>
    <w:p w:rsidRPr="008524E2" w:rsidR="0051278C" w:rsidP="00075889" w:rsidRDefault="002C3C4F"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8524E2">
        <w:rPr>
          <w:rFonts w:ascii="Times New Roman" w:hAnsi="Times New Roman"/>
          <w:b/>
          <w:snapToGrid/>
          <w:sz w:val="24"/>
          <w:szCs w:val="24"/>
        </w:rPr>
        <w:t xml:space="preserve">Comments in Response to the Federal Register Notice and Efforts to Consult Outside the Agency </w:t>
      </w:r>
    </w:p>
    <w:p w:rsidRPr="008524E2" w:rsidR="0084609A" w:rsidP="00022586" w:rsidRDefault="0084609A" w14:paraId="016A1F70" w14:textId="216FCC19">
      <w:pPr>
        <w:tabs>
          <w:tab w:val="num" w:pos="360"/>
        </w:tabs>
        <w:ind w:left="360"/>
        <w:rPr>
          <w:rFonts w:ascii="Times New Roman" w:hAnsi="Times New Roman"/>
          <w:sz w:val="24"/>
          <w:szCs w:val="24"/>
        </w:rPr>
      </w:pPr>
      <w:r w:rsidRPr="008524E2">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8524E2" w:rsidR="00D74251">
        <w:rPr>
          <w:rFonts w:ascii="Times New Roman" w:hAnsi="Times New Roman"/>
          <w:sz w:val="24"/>
          <w:szCs w:val="24"/>
        </w:rPr>
        <w:t>December 20, 2019</w:t>
      </w:r>
      <w:r w:rsidRPr="008524E2">
        <w:rPr>
          <w:rFonts w:ascii="Times New Roman" w:hAnsi="Times New Roman"/>
          <w:sz w:val="24"/>
          <w:szCs w:val="24"/>
        </w:rPr>
        <w:t xml:space="preserve">, Volume </w:t>
      </w:r>
      <w:r w:rsidRPr="008524E2" w:rsidR="00082786">
        <w:rPr>
          <w:rFonts w:ascii="Times New Roman" w:hAnsi="Times New Roman"/>
          <w:sz w:val="24"/>
          <w:szCs w:val="24"/>
        </w:rPr>
        <w:t>84</w:t>
      </w:r>
      <w:r w:rsidRPr="008524E2">
        <w:rPr>
          <w:rFonts w:ascii="Times New Roman" w:hAnsi="Times New Roman"/>
          <w:sz w:val="24"/>
          <w:szCs w:val="24"/>
        </w:rPr>
        <w:t xml:space="preserve">, Number </w:t>
      </w:r>
      <w:r w:rsidRPr="008524E2" w:rsidR="00082786">
        <w:rPr>
          <w:rFonts w:ascii="Times New Roman" w:hAnsi="Times New Roman"/>
          <w:sz w:val="24"/>
          <w:szCs w:val="24"/>
        </w:rPr>
        <w:t>245</w:t>
      </w:r>
      <w:r w:rsidRPr="008524E2">
        <w:rPr>
          <w:rFonts w:ascii="Times New Roman" w:hAnsi="Times New Roman"/>
          <w:sz w:val="24"/>
          <w:szCs w:val="24"/>
        </w:rPr>
        <w:t xml:space="preserve">, page </w:t>
      </w:r>
      <w:r w:rsidRPr="008524E2" w:rsidR="00082786">
        <w:rPr>
          <w:rFonts w:ascii="Times New Roman" w:hAnsi="Times New Roman"/>
          <w:sz w:val="24"/>
          <w:szCs w:val="24"/>
        </w:rPr>
        <w:t>70194</w:t>
      </w:r>
      <w:r w:rsidRPr="008524E2">
        <w:rPr>
          <w:rFonts w:ascii="Times New Roman" w:hAnsi="Times New Roman"/>
          <w:sz w:val="24"/>
          <w:szCs w:val="24"/>
        </w:rPr>
        <w:t xml:space="preserve">, and provided a sixty-day period for public comment.  During the notice and comment period, </w:t>
      </w:r>
      <w:r w:rsidR="00E1152D">
        <w:rPr>
          <w:rFonts w:ascii="Times New Roman" w:hAnsi="Times New Roman"/>
          <w:sz w:val="24"/>
          <w:szCs w:val="24"/>
        </w:rPr>
        <w:t>three comments were</w:t>
      </w:r>
      <w:r w:rsidRPr="008524E2" w:rsidR="00D74251">
        <w:rPr>
          <w:rFonts w:ascii="Times New Roman" w:hAnsi="Times New Roman"/>
          <w:sz w:val="24"/>
          <w:szCs w:val="24"/>
        </w:rPr>
        <w:t xml:space="preserve"> </w:t>
      </w:r>
      <w:r w:rsidR="00E1152D">
        <w:rPr>
          <w:rFonts w:ascii="Times New Roman" w:hAnsi="Times New Roman"/>
          <w:sz w:val="24"/>
          <w:szCs w:val="24"/>
        </w:rPr>
        <w:t>received, which are</w:t>
      </w:r>
      <w:r w:rsidRPr="008524E2">
        <w:rPr>
          <w:rFonts w:ascii="Times New Roman" w:hAnsi="Times New Roman"/>
          <w:sz w:val="24"/>
          <w:szCs w:val="24"/>
        </w:rPr>
        <w:t xml:space="preserve"> attached</w:t>
      </w:r>
      <w:r w:rsidR="004B0599">
        <w:rPr>
          <w:rFonts w:ascii="Times New Roman" w:hAnsi="Times New Roman"/>
          <w:sz w:val="24"/>
          <w:szCs w:val="24"/>
        </w:rPr>
        <w:t>, along with ACF’s response</w:t>
      </w:r>
      <w:r w:rsidRPr="008524E2">
        <w:rPr>
          <w:rFonts w:ascii="Times New Roman" w:hAnsi="Times New Roman"/>
          <w:sz w:val="24"/>
          <w:szCs w:val="24"/>
        </w:rPr>
        <w:t>.</w:t>
      </w:r>
    </w:p>
    <w:p w:rsidR="00022586" w:rsidP="008524E2" w:rsidRDefault="00022586" w14:paraId="2EDB417E" w14:textId="2AA94805">
      <w:pPr>
        <w:widowControl/>
        <w:tabs>
          <w:tab w:val="num" w:pos="360"/>
        </w:tabs>
        <w:rPr>
          <w:rFonts w:ascii="Times New Roman" w:hAnsi="Times New Roman"/>
          <w:snapToGrid/>
          <w:sz w:val="24"/>
          <w:szCs w:val="24"/>
        </w:rPr>
      </w:pPr>
    </w:p>
    <w:p w:rsidRPr="008524E2" w:rsidR="004B0599" w:rsidP="008524E2" w:rsidRDefault="004B0599" w14:paraId="3B3CB298" w14:textId="77777777">
      <w:pPr>
        <w:widowControl/>
        <w:tabs>
          <w:tab w:val="num" w:pos="360"/>
        </w:tabs>
        <w:rPr>
          <w:rFonts w:ascii="Times New Roman" w:hAnsi="Times New Roman"/>
          <w:snapToGrid/>
          <w:sz w:val="24"/>
          <w:szCs w:val="24"/>
        </w:rPr>
      </w:pPr>
    </w:p>
    <w:p w:rsidRPr="008524E2" w:rsidR="00CB1A12" w:rsidP="008524E2" w:rsidRDefault="002C3C4F" w14:paraId="533734B7" w14:textId="756BCE95">
      <w:pPr>
        <w:widowControl/>
        <w:numPr>
          <w:ilvl w:val="0"/>
          <w:numId w:val="3"/>
        </w:numPr>
        <w:tabs>
          <w:tab w:val="num" w:pos="360"/>
        </w:tabs>
        <w:spacing w:after="120"/>
        <w:ind w:left="360"/>
        <w:rPr>
          <w:rFonts w:ascii="Times New Roman" w:hAnsi="Times New Roman"/>
          <w:b/>
          <w:snapToGrid/>
          <w:sz w:val="24"/>
          <w:szCs w:val="24"/>
        </w:rPr>
      </w:pPr>
      <w:r w:rsidRPr="008524E2">
        <w:rPr>
          <w:rFonts w:ascii="Times New Roman" w:hAnsi="Times New Roman"/>
          <w:b/>
          <w:snapToGrid/>
          <w:sz w:val="24"/>
          <w:szCs w:val="24"/>
        </w:rPr>
        <w:t xml:space="preserve">Explanation of Any Payment or Gift to Respondents </w:t>
      </w:r>
    </w:p>
    <w:p w:rsidRPr="008524E2" w:rsidR="00D60543" w:rsidP="00022586" w:rsidRDefault="00D74251" w14:paraId="07EE3689" w14:textId="6F0D31B4">
      <w:pPr>
        <w:widowControl/>
        <w:tabs>
          <w:tab w:val="num" w:pos="360"/>
        </w:tabs>
        <w:ind w:left="360"/>
        <w:rPr>
          <w:rFonts w:ascii="Times New Roman" w:hAnsi="Times New Roman"/>
          <w:snapToGrid/>
          <w:sz w:val="24"/>
          <w:szCs w:val="24"/>
        </w:rPr>
      </w:pPr>
      <w:r w:rsidRPr="008524E2">
        <w:rPr>
          <w:rFonts w:ascii="Times New Roman" w:hAnsi="Times New Roman"/>
          <w:snapToGrid/>
          <w:sz w:val="24"/>
          <w:szCs w:val="24"/>
        </w:rPr>
        <w:t>No payments or gifts are provided to respondents.</w:t>
      </w:r>
    </w:p>
    <w:p w:rsidR="00D60543" w:rsidP="008524E2" w:rsidRDefault="00D60543" w14:paraId="62113040" w14:textId="794110BD">
      <w:pPr>
        <w:widowControl/>
        <w:tabs>
          <w:tab w:val="num" w:pos="360"/>
        </w:tabs>
        <w:rPr>
          <w:rFonts w:ascii="Times New Roman" w:hAnsi="Times New Roman"/>
          <w:snapToGrid/>
          <w:sz w:val="24"/>
          <w:szCs w:val="24"/>
        </w:rPr>
      </w:pPr>
    </w:p>
    <w:p w:rsidRPr="008524E2" w:rsidR="004B0599" w:rsidP="008524E2" w:rsidRDefault="004B0599" w14:paraId="502C1287" w14:textId="77777777">
      <w:pPr>
        <w:widowControl/>
        <w:tabs>
          <w:tab w:val="num" w:pos="360"/>
        </w:tabs>
        <w:rPr>
          <w:rFonts w:ascii="Times New Roman" w:hAnsi="Times New Roman"/>
          <w:snapToGrid/>
          <w:sz w:val="24"/>
          <w:szCs w:val="24"/>
        </w:rPr>
      </w:pPr>
    </w:p>
    <w:p w:rsidRPr="008524E2" w:rsidR="002C3C4F" w:rsidP="0051278C" w:rsidRDefault="002C3C4F" w14:paraId="4874FACA" w14:textId="77777777">
      <w:pPr>
        <w:widowControl/>
        <w:numPr>
          <w:ilvl w:val="0"/>
          <w:numId w:val="3"/>
        </w:numPr>
        <w:tabs>
          <w:tab w:val="num" w:pos="360"/>
        </w:tabs>
        <w:ind w:left="360"/>
        <w:rPr>
          <w:rFonts w:ascii="Times New Roman" w:hAnsi="Times New Roman"/>
          <w:b/>
          <w:snapToGrid/>
          <w:sz w:val="24"/>
          <w:szCs w:val="24"/>
        </w:rPr>
      </w:pPr>
      <w:r w:rsidRPr="008524E2">
        <w:rPr>
          <w:rFonts w:ascii="Times New Roman" w:hAnsi="Times New Roman"/>
          <w:b/>
          <w:snapToGrid/>
          <w:sz w:val="24"/>
          <w:szCs w:val="24"/>
        </w:rPr>
        <w:t xml:space="preserve">Assurance of Confidentiality Provided to Respondents </w:t>
      </w:r>
    </w:p>
    <w:p w:rsidRPr="008524E2" w:rsidR="00A04EF3" w:rsidP="00022586" w:rsidRDefault="00A04EF3" w14:paraId="4AC5F4AB" w14:textId="77777777">
      <w:pPr>
        <w:widowControl/>
        <w:tabs>
          <w:tab w:val="num" w:pos="360"/>
        </w:tabs>
        <w:ind w:left="360"/>
        <w:rPr>
          <w:rFonts w:ascii="Times New Roman" w:hAnsi="Times New Roman"/>
          <w:snapToGrid/>
          <w:sz w:val="24"/>
          <w:szCs w:val="24"/>
        </w:rPr>
      </w:pPr>
    </w:p>
    <w:p w:rsidRPr="008524E2" w:rsidR="00D60543" w:rsidP="00D74251" w:rsidRDefault="00D74251" w14:paraId="0630E30B" w14:textId="616B1285">
      <w:pPr>
        <w:widowControl/>
        <w:tabs>
          <w:tab w:val="num" w:pos="360"/>
        </w:tabs>
        <w:ind w:left="360"/>
        <w:rPr>
          <w:rFonts w:ascii="Times New Roman" w:hAnsi="Times New Roman"/>
          <w:snapToGrid/>
          <w:sz w:val="24"/>
          <w:szCs w:val="24"/>
        </w:rPr>
      </w:pPr>
      <w:r w:rsidRPr="008524E2">
        <w:rPr>
          <w:rFonts w:ascii="Times New Roman" w:hAnsi="Times New Roman"/>
          <w:snapToGrid/>
          <w:sz w:val="24"/>
          <w:szCs w:val="24"/>
        </w:rPr>
        <w:t>There is nothing of a confidential nature on the websites.  No assurances of confidentiality will be provided.</w:t>
      </w:r>
    </w:p>
    <w:p w:rsidR="00D60543" w:rsidP="00DE529D" w:rsidRDefault="00D60543" w14:paraId="1C82E036" w14:textId="44D687AE">
      <w:pPr>
        <w:widowControl/>
        <w:tabs>
          <w:tab w:val="num" w:pos="360"/>
        </w:tabs>
        <w:ind w:left="360"/>
        <w:rPr>
          <w:rFonts w:ascii="Times New Roman" w:hAnsi="Times New Roman"/>
          <w:snapToGrid/>
          <w:sz w:val="24"/>
          <w:szCs w:val="24"/>
        </w:rPr>
      </w:pPr>
    </w:p>
    <w:p w:rsidRPr="008524E2" w:rsidR="004B0599" w:rsidP="00DE529D" w:rsidRDefault="004B0599" w14:paraId="751FE863" w14:textId="77777777">
      <w:pPr>
        <w:widowControl/>
        <w:tabs>
          <w:tab w:val="num" w:pos="360"/>
        </w:tabs>
        <w:ind w:left="360"/>
        <w:rPr>
          <w:rFonts w:ascii="Times New Roman" w:hAnsi="Times New Roman"/>
          <w:snapToGrid/>
          <w:sz w:val="24"/>
          <w:szCs w:val="24"/>
        </w:rPr>
      </w:pPr>
    </w:p>
    <w:p w:rsidRPr="008524E2" w:rsidR="002C3C4F" w:rsidP="0051278C" w:rsidRDefault="002C3C4F" w14:paraId="63E02878" w14:textId="77777777">
      <w:pPr>
        <w:widowControl/>
        <w:numPr>
          <w:ilvl w:val="0"/>
          <w:numId w:val="3"/>
        </w:numPr>
        <w:tabs>
          <w:tab w:val="num" w:pos="360"/>
        </w:tabs>
        <w:ind w:left="360"/>
        <w:rPr>
          <w:rFonts w:ascii="Times New Roman" w:hAnsi="Times New Roman"/>
          <w:b/>
          <w:snapToGrid/>
          <w:sz w:val="24"/>
          <w:szCs w:val="24"/>
        </w:rPr>
      </w:pPr>
      <w:r w:rsidRPr="008524E2">
        <w:rPr>
          <w:rFonts w:ascii="Times New Roman" w:hAnsi="Times New Roman"/>
          <w:b/>
          <w:snapToGrid/>
          <w:sz w:val="24"/>
          <w:szCs w:val="24"/>
        </w:rPr>
        <w:t xml:space="preserve">Justification for Sensitive Questions </w:t>
      </w:r>
    </w:p>
    <w:p w:rsidRPr="008524E2" w:rsidR="00CB1A12" w:rsidP="00022586" w:rsidRDefault="00CB1A12" w14:paraId="297D6DEB" w14:textId="77777777">
      <w:pPr>
        <w:widowControl/>
        <w:tabs>
          <w:tab w:val="num" w:pos="360"/>
        </w:tabs>
        <w:ind w:left="360"/>
        <w:rPr>
          <w:rFonts w:ascii="Times New Roman" w:hAnsi="Times New Roman"/>
          <w:snapToGrid/>
          <w:sz w:val="24"/>
          <w:szCs w:val="24"/>
        </w:rPr>
      </w:pPr>
    </w:p>
    <w:p w:rsidRPr="008524E2" w:rsidR="00CB1A12" w:rsidP="00022586" w:rsidRDefault="00D74251" w14:paraId="4BEEA08B" w14:textId="320CFAF6">
      <w:pPr>
        <w:widowControl/>
        <w:tabs>
          <w:tab w:val="num" w:pos="360"/>
        </w:tabs>
        <w:ind w:left="360"/>
        <w:rPr>
          <w:rFonts w:ascii="Times New Roman" w:hAnsi="Times New Roman"/>
          <w:snapToGrid/>
          <w:sz w:val="24"/>
          <w:szCs w:val="24"/>
        </w:rPr>
      </w:pPr>
      <w:r w:rsidRPr="008524E2">
        <w:rPr>
          <w:rFonts w:ascii="Times New Roman" w:hAnsi="Times New Roman"/>
          <w:snapToGrid/>
          <w:sz w:val="24"/>
          <w:szCs w:val="24"/>
        </w:rPr>
        <w:t>There are no questions of a sensitive nature.</w:t>
      </w:r>
    </w:p>
    <w:p w:rsidR="00DE529D" w:rsidP="008524E2" w:rsidRDefault="00DE529D" w14:paraId="710C7355" w14:textId="6329941A">
      <w:pPr>
        <w:widowControl/>
        <w:tabs>
          <w:tab w:val="num" w:pos="360"/>
        </w:tabs>
        <w:rPr>
          <w:rFonts w:ascii="Times New Roman" w:hAnsi="Times New Roman"/>
          <w:snapToGrid/>
          <w:sz w:val="24"/>
          <w:szCs w:val="24"/>
        </w:rPr>
      </w:pPr>
    </w:p>
    <w:p w:rsidRPr="008524E2" w:rsidR="004B0599" w:rsidP="008524E2" w:rsidRDefault="004B0599" w14:paraId="4D2392CB" w14:textId="77777777">
      <w:pPr>
        <w:widowControl/>
        <w:tabs>
          <w:tab w:val="num" w:pos="360"/>
        </w:tabs>
        <w:rPr>
          <w:rFonts w:ascii="Times New Roman" w:hAnsi="Times New Roman"/>
          <w:snapToGrid/>
          <w:sz w:val="24"/>
          <w:szCs w:val="24"/>
        </w:rPr>
      </w:pPr>
    </w:p>
    <w:p w:rsidRPr="004B0599" w:rsidR="00CB1A12" w:rsidP="004B0599" w:rsidRDefault="002C3C4F" w14:paraId="055034F3" w14:textId="3B463B48">
      <w:pPr>
        <w:widowControl/>
        <w:numPr>
          <w:ilvl w:val="0"/>
          <w:numId w:val="3"/>
        </w:numPr>
        <w:tabs>
          <w:tab w:val="num" w:pos="360"/>
        </w:tabs>
        <w:spacing w:after="120"/>
        <w:ind w:left="360"/>
        <w:rPr>
          <w:rFonts w:ascii="Times New Roman" w:hAnsi="Times New Roman"/>
          <w:b/>
          <w:snapToGrid/>
          <w:sz w:val="24"/>
          <w:szCs w:val="24"/>
        </w:rPr>
      </w:pPr>
      <w:r w:rsidRPr="008524E2">
        <w:rPr>
          <w:rFonts w:ascii="Times New Roman" w:hAnsi="Times New Roman"/>
          <w:b/>
          <w:snapToGrid/>
          <w:sz w:val="24"/>
          <w:szCs w:val="24"/>
        </w:rPr>
        <w:t xml:space="preserve">Estimates of Annualized Burden Hours and Costs </w:t>
      </w:r>
    </w:p>
    <w:tbl>
      <w:tblPr>
        <w:tblW w:w="97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920"/>
        <w:gridCol w:w="1496"/>
        <w:gridCol w:w="1480"/>
        <w:gridCol w:w="1190"/>
        <w:gridCol w:w="978"/>
        <w:gridCol w:w="1170"/>
        <w:gridCol w:w="1481"/>
      </w:tblGrid>
      <w:tr w:rsidRPr="004B0599" w:rsidR="004B0599" w:rsidTr="00167379" w14:paraId="230FE56D" w14:textId="77777777">
        <w:trPr>
          <w:jc w:val="center"/>
        </w:trPr>
        <w:tc>
          <w:tcPr>
            <w:tcW w:w="1920" w:type="dxa"/>
            <w:shd w:val="clear" w:color="auto" w:fill="BFBFBF"/>
            <w:vAlign w:val="center"/>
          </w:tcPr>
          <w:p w:rsidRPr="004B0599" w:rsidR="00915908" w:rsidP="004110F5" w:rsidRDefault="00915908" w14:paraId="710C0652" w14:textId="77777777">
            <w:pPr>
              <w:jc w:val="center"/>
              <w:rPr>
                <w:rFonts w:ascii="Times New Roman" w:hAnsi="Times New Roman"/>
                <w:sz w:val="22"/>
                <w:szCs w:val="24"/>
              </w:rPr>
            </w:pPr>
            <w:r w:rsidRPr="004B0599">
              <w:rPr>
                <w:rFonts w:ascii="Times New Roman" w:hAnsi="Times New Roman"/>
                <w:sz w:val="22"/>
                <w:szCs w:val="24"/>
              </w:rPr>
              <w:t>Information Collection Title</w:t>
            </w:r>
          </w:p>
        </w:tc>
        <w:tc>
          <w:tcPr>
            <w:tcW w:w="1496" w:type="dxa"/>
            <w:shd w:val="clear" w:color="auto" w:fill="BFBFBF"/>
            <w:vAlign w:val="center"/>
          </w:tcPr>
          <w:p w:rsidRPr="004B0599" w:rsidR="00915908" w:rsidP="004F7B95" w:rsidRDefault="00915908" w14:paraId="755B72E5" w14:textId="77777777">
            <w:pPr>
              <w:jc w:val="center"/>
              <w:rPr>
                <w:rFonts w:ascii="Times New Roman" w:hAnsi="Times New Roman"/>
                <w:sz w:val="22"/>
                <w:szCs w:val="24"/>
              </w:rPr>
            </w:pPr>
            <w:r w:rsidRPr="004B0599">
              <w:rPr>
                <w:rFonts w:ascii="Times New Roman" w:hAnsi="Times New Roman"/>
                <w:sz w:val="22"/>
                <w:szCs w:val="24"/>
              </w:rPr>
              <w:t>Total Number of Respondents</w:t>
            </w:r>
          </w:p>
        </w:tc>
        <w:tc>
          <w:tcPr>
            <w:tcW w:w="1480" w:type="dxa"/>
            <w:shd w:val="clear" w:color="auto" w:fill="BFBFBF"/>
            <w:vAlign w:val="center"/>
          </w:tcPr>
          <w:p w:rsidRPr="004B0599" w:rsidR="00915908" w:rsidP="004F7B95" w:rsidRDefault="00915908" w14:paraId="5053A5D0" w14:textId="77777777">
            <w:pPr>
              <w:jc w:val="center"/>
              <w:rPr>
                <w:rFonts w:ascii="Times New Roman" w:hAnsi="Times New Roman"/>
                <w:sz w:val="22"/>
                <w:szCs w:val="24"/>
              </w:rPr>
            </w:pPr>
            <w:r w:rsidRPr="004B0599">
              <w:rPr>
                <w:rFonts w:ascii="Times New Roman" w:hAnsi="Times New Roman"/>
                <w:sz w:val="22"/>
                <w:szCs w:val="24"/>
              </w:rPr>
              <w:t>Total Number of Responses Per Respondent</w:t>
            </w:r>
          </w:p>
        </w:tc>
        <w:tc>
          <w:tcPr>
            <w:tcW w:w="1190" w:type="dxa"/>
            <w:shd w:val="clear" w:color="auto" w:fill="BFBFBF"/>
            <w:vAlign w:val="center"/>
          </w:tcPr>
          <w:p w:rsidRPr="004B0599" w:rsidR="00915908" w:rsidP="004F7B95" w:rsidRDefault="00915908" w14:paraId="340D08AF" w14:textId="77777777">
            <w:pPr>
              <w:jc w:val="center"/>
              <w:rPr>
                <w:rFonts w:ascii="Times New Roman" w:hAnsi="Times New Roman"/>
                <w:sz w:val="22"/>
                <w:szCs w:val="24"/>
              </w:rPr>
            </w:pPr>
            <w:r w:rsidRPr="004B0599">
              <w:rPr>
                <w:rFonts w:ascii="Times New Roman" w:hAnsi="Times New Roman"/>
                <w:sz w:val="22"/>
                <w:szCs w:val="24"/>
              </w:rPr>
              <w:t>Average Burden Hours Per Response</w:t>
            </w:r>
          </w:p>
        </w:tc>
        <w:tc>
          <w:tcPr>
            <w:tcW w:w="978" w:type="dxa"/>
            <w:shd w:val="clear" w:color="auto" w:fill="BFBFBF"/>
            <w:vAlign w:val="center"/>
          </w:tcPr>
          <w:p w:rsidRPr="004B0599" w:rsidR="00915908" w:rsidP="004F7B95" w:rsidRDefault="00915908" w14:paraId="3AE1FC11" w14:textId="77777777">
            <w:pPr>
              <w:jc w:val="center"/>
              <w:rPr>
                <w:rFonts w:ascii="Times New Roman" w:hAnsi="Times New Roman"/>
                <w:bCs/>
                <w:sz w:val="22"/>
                <w:szCs w:val="24"/>
              </w:rPr>
            </w:pPr>
            <w:r w:rsidRPr="004B0599">
              <w:rPr>
                <w:rFonts w:ascii="Times New Roman" w:hAnsi="Times New Roman"/>
                <w:bCs/>
                <w:sz w:val="22"/>
                <w:szCs w:val="24"/>
              </w:rPr>
              <w:t>Annual Burden Hours</w:t>
            </w:r>
          </w:p>
        </w:tc>
        <w:tc>
          <w:tcPr>
            <w:tcW w:w="1170" w:type="dxa"/>
            <w:shd w:val="clear" w:color="auto" w:fill="BFBFBF"/>
            <w:vAlign w:val="center"/>
          </w:tcPr>
          <w:p w:rsidRPr="004B0599" w:rsidR="00915908" w:rsidP="004F7B95" w:rsidRDefault="00915908" w14:paraId="0A8FF52A" w14:textId="77777777">
            <w:pPr>
              <w:jc w:val="center"/>
              <w:rPr>
                <w:rFonts w:ascii="Times New Roman" w:hAnsi="Times New Roman"/>
                <w:sz w:val="22"/>
                <w:szCs w:val="24"/>
              </w:rPr>
            </w:pPr>
            <w:r w:rsidRPr="004B0599">
              <w:rPr>
                <w:rFonts w:ascii="Times New Roman" w:hAnsi="Times New Roman"/>
                <w:bCs/>
                <w:sz w:val="22"/>
                <w:szCs w:val="24"/>
              </w:rPr>
              <w:t>Average Hourly Wage</w:t>
            </w:r>
          </w:p>
        </w:tc>
        <w:tc>
          <w:tcPr>
            <w:tcW w:w="1481" w:type="dxa"/>
            <w:shd w:val="clear" w:color="auto" w:fill="BFBFBF"/>
            <w:vAlign w:val="center"/>
          </w:tcPr>
          <w:p w:rsidRPr="004B0599" w:rsidR="00915908" w:rsidP="004F7B95" w:rsidRDefault="00915908" w14:paraId="4FBD0FB1" w14:textId="77777777">
            <w:pPr>
              <w:jc w:val="center"/>
              <w:rPr>
                <w:rFonts w:ascii="Times New Roman" w:hAnsi="Times New Roman"/>
                <w:sz w:val="22"/>
                <w:szCs w:val="24"/>
              </w:rPr>
            </w:pPr>
            <w:r w:rsidRPr="004B0599">
              <w:rPr>
                <w:rFonts w:ascii="Times New Roman" w:hAnsi="Times New Roman"/>
                <w:bCs/>
                <w:sz w:val="22"/>
                <w:szCs w:val="24"/>
              </w:rPr>
              <w:t>Total Annual Cost</w:t>
            </w:r>
          </w:p>
        </w:tc>
      </w:tr>
      <w:tr w:rsidRPr="004B0599" w:rsidR="004B0599" w:rsidTr="00167379" w14:paraId="5140B154" w14:textId="77777777">
        <w:trPr>
          <w:trHeight w:val="432"/>
          <w:jc w:val="center"/>
        </w:trPr>
        <w:tc>
          <w:tcPr>
            <w:tcW w:w="1920" w:type="dxa"/>
            <w:vAlign w:val="center"/>
          </w:tcPr>
          <w:p w:rsidRPr="004B0599" w:rsidR="00915908" w:rsidP="004F7B95" w:rsidRDefault="00915908" w14:paraId="33E13E32" w14:textId="511FF8AF">
            <w:pPr>
              <w:tabs>
                <w:tab w:val="center" w:pos="4320"/>
                <w:tab w:val="right" w:pos="8640"/>
              </w:tabs>
              <w:rPr>
                <w:rFonts w:ascii="Times New Roman" w:hAnsi="Times New Roman"/>
                <w:sz w:val="22"/>
                <w:szCs w:val="24"/>
              </w:rPr>
            </w:pPr>
            <w:r w:rsidRPr="004B0599">
              <w:rPr>
                <w:rFonts w:ascii="Times New Roman" w:hAnsi="Times New Roman"/>
                <w:sz w:val="22"/>
                <w:szCs w:val="24"/>
              </w:rPr>
              <w:t>Consumer Education Website</w:t>
            </w:r>
          </w:p>
        </w:tc>
        <w:tc>
          <w:tcPr>
            <w:tcW w:w="1496" w:type="dxa"/>
            <w:vAlign w:val="center"/>
          </w:tcPr>
          <w:p w:rsidRPr="004B0599" w:rsidR="00915908" w:rsidP="004F7B95" w:rsidRDefault="00915908" w14:paraId="631BD576" w14:textId="05DA597B">
            <w:pPr>
              <w:tabs>
                <w:tab w:val="center" w:pos="4320"/>
                <w:tab w:val="right" w:pos="8640"/>
              </w:tabs>
              <w:jc w:val="center"/>
              <w:rPr>
                <w:rFonts w:ascii="Times New Roman" w:hAnsi="Times New Roman"/>
                <w:sz w:val="22"/>
                <w:szCs w:val="24"/>
              </w:rPr>
            </w:pPr>
            <w:r w:rsidRPr="004B0599">
              <w:rPr>
                <w:rFonts w:ascii="Times New Roman" w:hAnsi="Times New Roman"/>
                <w:sz w:val="22"/>
                <w:szCs w:val="24"/>
              </w:rPr>
              <w:t>56 States and Territories</w:t>
            </w:r>
          </w:p>
        </w:tc>
        <w:tc>
          <w:tcPr>
            <w:tcW w:w="1480" w:type="dxa"/>
            <w:vAlign w:val="center"/>
          </w:tcPr>
          <w:p w:rsidRPr="004B0599" w:rsidR="00915908" w:rsidP="006D1B96" w:rsidRDefault="00915908" w14:paraId="3DD8ECC7" w14:textId="6D302B72">
            <w:pPr>
              <w:tabs>
                <w:tab w:val="center" w:pos="4320"/>
                <w:tab w:val="right" w:pos="8640"/>
              </w:tabs>
              <w:jc w:val="center"/>
              <w:rPr>
                <w:rFonts w:ascii="Times New Roman" w:hAnsi="Times New Roman"/>
                <w:sz w:val="22"/>
                <w:szCs w:val="24"/>
              </w:rPr>
            </w:pPr>
            <w:r w:rsidRPr="004B0599">
              <w:rPr>
                <w:rFonts w:ascii="Times New Roman" w:hAnsi="Times New Roman"/>
                <w:sz w:val="22"/>
                <w:szCs w:val="24"/>
              </w:rPr>
              <w:t>1</w:t>
            </w:r>
          </w:p>
        </w:tc>
        <w:tc>
          <w:tcPr>
            <w:tcW w:w="1190" w:type="dxa"/>
            <w:vAlign w:val="center"/>
          </w:tcPr>
          <w:p w:rsidRPr="004B0599" w:rsidR="00915908" w:rsidP="004F7B95" w:rsidRDefault="00915908" w14:paraId="46007120" w14:textId="080FF40E">
            <w:pPr>
              <w:tabs>
                <w:tab w:val="center" w:pos="4320"/>
                <w:tab w:val="right" w:pos="8640"/>
              </w:tabs>
              <w:jc w:val="center"/>
              <w:rPr>
                <w:rFonts w:ascii="Times New Roman" w:hAnsi="Times New Roman"/>
                <w:sz w:val="22"/>
                <w:szCs w:val="24"/>
              </w:rPr>
            </w:pPr>
            <w:r w:rsidRPr="004B0599">
              <w:rPr>
                <w:rFonts w:ascii="Times New Roman" w:hAnsi="Times New Roman"/>
                <w:sz w:val="22"/>
                <w:szCs w:val="24"/>
              </w:rPr>
              <w:t>300</w:t>
            </w:r>
          </w:p>
        </w:tc>
        <w:tc>
          <w:tcPr>
            <w:tcW w:w="978" w:type="dxa"/>
            <w:vAlign w:val="center"/>
          </w:tcPr>
          <w:p w:rsidRPr="004B0599" w:rsidR="00915908" w:rsidP="006D1B96" w:rsidRDefault="00915908" w14:paraId="25670C73" w14:textId="0ECF42F6">
            <w:pPr>
              <w:tabs>
                <w:tab w:val="center" w:pos="4320"/>
                <w:tab w:val="right" w:pos="8640"/>
              </w:tabs>
              <w:jc w:val="center"/>
              <w:rPr>
                <w:rFonts w:ascii="Times New Roman" w:hAnsi="Times New Roman"/>
                <w:sz w:val="22"/>
                <w:szCs w:val="24"/>
              </w:rPr>
            </w:pPr>
            <w:r w:rsidRPr="004B0599">
              <w:rPr>
                <w:rFonts w:ascii="Times New Roman" w:hAnsi="Times New Roman"/>
                <w:sz w:val="22"/>
                <w:szCs w:val="24"/>
              </w:rPr>
              <w:t>16,800</w:t>
            </w:r>
          </w:p>
        </w:tc>
        <w:tc>
          <w:tcPr>
            <w:tcW w:w="1170" w:type="dxa"/>
            <w:vAlign w:val="center"/>
          </w:tcPr>
          <w:p w:rsidRPr="004B0599" w:rsidR="00915908" w:rsidP="004F7B95" w:rsidRDefault="00915908" w14:paraId="7D556C98" w14:textId="7C116DD4">
            <w:pPr>
              <w:tabs>
                <w:tab w:val="center" w:pos="4320"/>
                <w:tab w:val="right" w:pos="8640"/>
              </w:tabs>
              <w:jc w:val="center"/>
              <w:rPr>
                <w:rFonts w:ascii="Times New Roman" w:hAnsi="Times New Roman"/>
                <w:sz w:val="22"/>
                <w:szCs w:val="24"/>
              </w:rPr>
            </w:pPr>
            <w:r w:rsidRPr="004B0599">
              <w:rPr>
                <w:rFonts w:ascii="Times New Roman" w:hAnsi="Times New Roman"/>
                <w:sz w:val="22"/>
                <w:szCs w:val="24"/>
              </w:rPr>
              <w:t>$</w:t>
            </w:r>
            <w:r w:rsidRPr="004B0599" w:rsidR="00B8280F">
              <w:rPr>
                <w:rFonts w:ascii="Times New Roman" w:hAnsi="Times New Roman"/>
                <w:sz w:val="22"/>
                <w:szCs w:val="24"/>
              </w:rPr>
              <w:t>72.68</w:t>
            </w:r>
          </w:p>
        </w:tc>
        <w:tc>
          <w:tcPr>
            <w:tcW w:w="1481" w:type="dxa"/>
            <w:vAlign w:val="center"/>
          </w:tcPr>
          <w:p w:rsidRPr="004B0599" w:rsidR="00915908" w:rsidP="004B0599" w:rsidRDefault="00915908" w14:paraId="5133F4BC" w14:textId="7F3B9A06">
            <w:pPr>
              <w:tabs>
                <w:tab w:val="center" w:pos="4320"/>
                <w:tab w:val="right" w:pos="8640"/>
              </w:tabs>
              <w:jc w:val="center"/>
              <w:rPr>
                <w:rFonts w:ascii="Times New Roman" w:hAnsi="Times New Roman"/>
                <w:sz w:val="22"/>
                <w:szCs w:val="24"/>
              </w:rPr>
            </w:pPr>
            <w:r w:rsidRPr="004B0599">
              <w:rPr>
                <w:rFonts w:ascii="Times New Roman" w:hAnsi="Times New Roman"/>
                <w:sz w:val="22"/>
                <w:szCs w:val="24"/>
              </w:rPr>
              <w:t>$1,221,024</w:t>
            </w:r>
          </w:p>
        </w:tc>
      </w:tr>
      <w:tr w:rsidRPr="004B0599" w:rsidR="004B0599" w:rsidTr="00167379" w14:paraId="66E3DD67" w14:textId="77777777">
        <w:trPr>
          <w:trHeight w:val="432"/>
          <w:jc w:val="center"/>
        </w:trPr>
        <w:tc>
          <w:tcPr>
            <w:tcW w:w="1920" w:type="dxa"/>
            <w:vAlign w:val="center"/>
          </w:tcPr>
          <w:p w:rsidRPr="004B0599" w:rsidR="00915908" w:rsidP="004F7B95" w:rsidRDefault="00915908" w14:paraId="39DFC5F9" w14:textId="47A501E1">
            <w:pPr>
              <w:tabs>
                <w:tab w:val="center" w:pos="4320"/>
                <w:tab w:val="right" w:pos="8640"/>
              </w:tabs>
              <w:rPr>
                <w:rFonts w:ascii="Times New Roman" w:hAnsi="Times New Roman"/>
                <w:sz w:val="22"/>
                <w:szCs w:val="24"/>
              </w:rPr>
            </w:pPr>
            <w:r w:rsidRPr="004B0599">
              <w:rPr>
                <w:rFonts w:ascii="Times New Roman" w:hAnsi="Times New Roman"/>
                <w:sz w:val="22"/>
                <w:szCs w:val="24"/>
              </w:rPr>
              <w:t>Reporting of Serious Injuries and Death</w:t>
            </w:r>
          </w:p>
        </w:tc>
        <w:tc>
          <w:tcPr>
            <w:tcW w:w="1496" w:type="dxa"/>
            <w:vAlign w:val="center"/>
          </w:tcPr>
          <w:p w:rsidRPr="004B0599" w:rsidR="00915908" w:rsidP="004F7B95" w:rsidRDefault="00915908" w14:paraId="58BAAEDB" w14:textId="106A9113">
            <w:pPr>
              <w:tabs>
                <w:tab w:val="center" w:pos="4320"/>
                <w:tab w:val="right" w:pos="8640"/>
              </w:tabs>
              <w:jc w:val="center"/>
              <w:rPr>
                <w:rFonts w:ascii="Times New Roman" w:hAnsi="Times New Roman"/>
                <w:sz w:val="22"/>
                <w:szCs w:val="24"/>
              </w:rPr>
            </w:pPr>
            <w:r w:rsidRPr="004B0599">
              <w:rPr>
                <w:rFonts w:ascii="Times New Roman" w:hAnsi="Times New Roman"/>
                <w:sz w:val="22"/>
                <w:szCs w:val="24"/>
              </w:rPr>
              <w:t>10,000 Child Care Providers</w:t>
            </w:r>
          </w:p>
        </w:tc>
        <w:tc>
          <w:tcPr>
            <w:tcW w:w="1480" w:type="dxa"/>
            <w:vAlign w:val="center"/>
          </w:tcPr>
          <w:p w:rsidRPr="004B0599" w:rsidR="00915908" w:rsidP="00302D72" w:rsidRDefault="00915908" w14:paraId="0CD2F9C1" w14:textId="572C5154">
            <w:pPr>
              <w:tabs>
                <w:tab w:val="center" w:pos="4320"/>
                <w:tab w:val="right" w:pos="8640"/>
              </w:tabs>
              <w:jc w:val="center"/>
              <w:rPr>
                <w:rFonts w:ascii="Times New Roman" w:hAnsi="Times New Roman"/>
                <w:sz w:val="22"/>
                <w:szCs w:val="24"/>
              </w:rPr>
            </w:pPr>
            <w:r w:rsidRPr="004B0599">
              <w:rPr>
                <w:rFonts w:ascii="Times New Roman" w:hAnsi="Times New Roman"/>
                <w:sz w:val="22"/>
                <w:szCs w:val="24"/>
              </w:rPr>
              <w:t>1</w:t>
            </w:r>
          </w:p>
        </w:tc>
        <w:tc>
          <w:tcPr>
            <w:tcW w:w="1190" w:type="dxa"/>
            <w:vAlign w:val="center"/>
          </w:tcPr>
          <w:p w:rsidRPr="004B0599" w:rsidR="00915908" w:rsidP="004F7B95" w:rsidRDefault="00915908" w14:paraId="14C40DB3" w14:textId="57946251">
            <w:pPr>
              <w:tabs>
                <w:tab w:val="center" w:pos="4320"/>
                <w:tab w:val="right" w:pos="8640"/>
              </w:tabs>
              <w:jc w:val="center"/>
              <w:rPr>
                <w:rFonts w:ascii="Times New Roman" w:hAnsi="Times New Roman"/>
                <w:sz w:val="22"/>
                <w:szCs w:val="24"/>
              </w:rPr>
            </w:pPr>
            <w:r w:rsidRPr="004B0599">
              <w:rPr>
                <w:rFonts w:ascii="Times New Roman" w:hAnsi="Times New Roman"/>
                <w:sz w:val="22"/>
                <w:szCs w:val="24"/>
              </w:rPr>
              <w:t>1</w:t>
            </w:r>
          </w:p>
        </w:tc>
        <w:tc>
          <w:tcPr>
            <w:tcW w:w="978" w:type="dxa"/>
            <w:vAlign w:val="center"/>
          </w:tcPr>
          <w:p w:rsidRPr="004B0599" w:rsidR="00915908" w:rsidP="006D1B96" w:rsidRDefault="00915908" w14:paraId="1557247F" w14:textId="7FA95C5B">
            <w:pPr>
              <w:tabs>
                <w:tab w:val="center" w:pos="4320"/>
                <w:tab w:val="right" w:pos="8640"/>
              </w:tabs>
              <w:jc w:val="center"/>
              <w:rPr>
                <w:rFonts w:ascii="Times New Roman" w:hAnsi="Times New Roman"/>
                <w:sz w:val="22"/>
                <w:szCs w:val="24"/>
              </w:rPr>
            </w:pPr>
            <w:r w:rsidRPr="004B0599">
              <w:rPr>
                <w:rFonts w:ascii="Times New Roman" w:hAnsi="Times New Roman"/>
                <w:sz w:val="22"/>
                <w:szCs w:val="24"/>
              </w:rPr>
              <w:t>10,000</w:t>
            </w:r>
          </w:p>
        </w:tc>
        <w:tc>
          <w:tcPr>
            <w:tcW w:w="1170" w:type="dxa"/>
            <w:vAlign w:val="center"/>
          </w:tcPr>
          <w:p w:rsidRPr="004B0599" w:rsidR="00915908" w:rsidP="004F7B95" w:rsidRDefault="00B8280F" w14:paraId="4B1FC7E5" w14:textId="0827D219">
            <w:pPr>
              <w:tabs>
                <w:tab w:val="center" w:pos="4320"/>
                <w:tab w:val="right" w:pos="8640"/>
              </w:tabs>
              <w:jc w:val="center"/>
              <w:rPr>
                <w:rFonts w:ascii="Times New Roman" w:hAnsi="Times New Roman"/>
                <w:sz w:val="22"/>
                <w:szCs w:val="24"/>
              </w:rPr>
            </w:pPr>
            <w:r w:rsidRPr="004B0599">
              <w:rPr>
                <w:rFonts w:ascii="Times New Roman" w:hAnsi="Times New Roman"/>
                <w:sz w:val="22"/>
                <w:szCs w:val="24"/>
              </w:rPr>
              <w:t>$34.4</w:t>
            </w:r>
            <w:r w:rsidRPr="004B0599" w:rsidR="00915908">
              <w:rPr>
                <w:rFonts w:ascii="Times New Roman" w:hAnsi="Times New Roman"/>
                <w:sz w:val="22"/>
                <w:szCs w:val="24"/>
              </w:rPr>
              <w:t>4</w:t>
            </w:r>
          </w:p>
        </w:tc>
        <w:tc>
          <w:tcPr>
            <w:tcW w:w="1481" w:type="dxa"/>
            <w:vAlign w:val="center"/>
          </w:tcPr>
          <w:p w:rsidRPr="004B0599" w:rsidR="00915908" w:rsidP="004B0599" w:rsidRDefault="00915908" w14:paraId="1D447908" w14:textId="2C90E0C7">
            <w:pPr>
              <w:tabs>
                <w:tab w:val="center" w:pos="4320"/>
                <w:tab w:val="right" w:pos="8640"/>
              </w:tabs>
              <w:jc w:val="center"/>
              <w:rPr>
                <w:rFonts w:ascii="Times New Roman" w:hAnsi="Times New Roman"/>
                <w:sz w:val="22"/>
                <w:szCs w:val="24"/>
              </w:rPr>
            </w:pPr>
            <w:r w:rsidRPr="004B0599">
              <w:rPr>
                <w:rFonts w:ascii="Times New Roman" w:hAnsi="Times New Roman"/>
                <w:sz w:val="22"/>
                <w:szCs w:val="24"/>
              </w:rPr>
              <w:t>$</w:t>
            </w:r>
            <w:r w:rsidRPr="004B0599" w:rsidR="00B8280F">
              <w:rPr>
                <w:rFonts w:ascii="Times New Roman" w:hAnsi="Times New Roman"/>
                <w:sz w:val="22"/>
                <w:szCs w:val="24"/>
              </w:rPr>
              <w:t>344,400</w:t>
            </w:r>
          </w:p>
        </w:tc>
      </w:tr>
      <w:tr w:rsidRPr="004B0599" w:rsidR="004B0599" w:rsidTr="00167379" w14:paraId="7702EA8B" w14:textId="77777777">
        <w:trPr>
          <w:trHeight w:val="432"/>
          <w:jc w:val="center"/>
        </w:trPr>
        <w:tc>
          <w:tcPr>
            <w:tcW w:w="6086" w:type="dxa"/>
            <w:gridSpan w:val="4"/>
            <w:vAlign w:val="center"/>
          </w:tcPr>
          <w:p w:rsidRPr="004B0599" w:rsidR="004B0599" w:rsidP="00167379" w:rsidRDefault="004B0599" w14:paraId="2E9D7731" w14:textId="4D0BEADD">
            <w:pPr>
              <w:tabs>
                <w:tab w:val="center" w:pos="4320"/>
                <w:tab w:val="right" w:pos="8640"/>
              </w:tabs>
              <w:jc w:val="right"/>
              <w:rPr>
                <w:rFonts w:ascii="Times New Roman" w:hAnsi="Times New Roman"/>
                <w:sz w:val="22"/>
                <w:szCs w:val="24"/>
              </w:rPr>
            </w:pPr>
            <w:r w:rsidRPr="004B0599">
              <w:rPr>
                <w:rFonts w:ascii="Times New Roman" w:hAnsi="Times New Roman"/>
                <w:b/>
                <w:sz w:val="22"/>
                <w:szCs w:val="24"/>
              </w:rPr>
              <w:t>Estimated Annual Burden Total:</w:t>
            </w:r>
          </w:p>
        </w:tc>
        <w:tc>
          <w:tcPr>
            <w:tcW w:w="978" w:type="dxa"/>
            <w:vAlign w:val="center"/>
          </w:tcPr>
          <w:p w:rsidRPr="004B0599" w:rsidR="004B0599" w:rsidP="00A71F54" w:rsidRDefault="004B0599" w14:paraId="69F25ACE" w14:textId="5D3DFF71">
            <w:pPr>
              <w:tabs>
                <w:tab w:val="center" w:pos="4320"/>
                <w:tab w:val="right" w:pos="8640"/>
              </w:tabs>
              <w:jc w:val="center"/>
              <w:rPr>
                <w:rFonts w:ascii="Times New Roman" w:hAnsi="Times New Roman"/>
                <w:sz w:val="22"/>
                <w:szCs w:val="24"/>
              </w:rPr>
            </w:pPr>
            <w:r w:rsidRPr="004B0599">
              <w:rPr>
                <w:rFonts w:ascii="Times New Roman" w:hAnsi="Times New Roman"/>
                <w:b/>
                <w:sz w:val="22"/>
                <w:szCs w:val="24"/>
              </w:rPr>
              <w:t>26,800</w:t>
            </w:r>
          </w:p>
        </w:tc>
        <w:tc>
          <w:tcPr>
            <w:tcW w:w="1170" w:type="dxa"/>
            <w:vAlign w:val="center"/>
          </w:tcPr>
          <w:p w:rsidRPr="004B0599" w:rsidR="004B0599" w:rsidP="004B0599" w:rsidRDefault="004B0599" w14:paraId="0C869EF2" w14:textId="77777777">
            <w:pPr>
              <w:tabs>
                <w:tab w:val="center" w:pos="4320"/>
                <w:tab w:val="right" w:pos="8640"/>
              </w:tabs>
              <w:jc w:val="right"/>
              <w:rPr>
                <w:rFonts w:ascii="Times New Roman" w:hAnsi="Times New Roman"/>
                <w:b/>
                <w:sz w:val="22"/>
                <w:szCs w:val="24"/>
              </w:rPr>
            </w:pPr>
            <w:r w:rsidRPr="004B0599">
              <w:rPr>
                <w:rFonts w:ascii="Times New Roman" w:hAnsi="Times New Roman"/>
                <w:b/>
                <w:sz w:val="22"/>
                <w:szCs w:val="24"/>
              </w:rPr>
              <w:t xml:space="preserve">Estimated Annual Cost Total:  </w:t>
            </w:r>
          </w:p>
          <w:p w:rsidRPr="004B0599" w:rsidR="004B0599" w:rsidP="004F7B95" w:rsidRDefault="004B0599" w14:paraId="11928008" w14:textId="77777777">
            <w:pPr>
              <w:tabs>
                <w:tab w:val="center" w:pos="4320"/>
                <w:tab w:val="right" w:pos="8640"/>
              </w:tabs>
              <w:jc w:val="center"/>
              <w:rPr>
                <w:rFonts w:ascii="Times New Roman" w:hAnsi="Times New Roman"/>
                <w:sz w:val="22"/>
                <w:szCs w:val="24"/>
              </w:rPr>
            </w:pPr>
          </w:p>
        </w:tc>
        <w:tc>
          <w:tcPr>
            <w:tcW w:w="1481" w:type="dxa"/>
            <w:vAlign w:val="center"/>
          </w:tcPr>
          <w:p w:rsidRPr="004B0599" w:rsidR="004B0599" w:rsidP="00A71F54" w:rsidRDefault="004B0599" w14:paraId="3C467BAA" w14:textId="2E7D861E">
            <w:pPr>
              <w:tabs>
                <w:tab w:val="center" w:pos="4320"/>
                <w:tab w:val="right" w:pos="8640"/>
              </w:tabs>
              <w:jc w:val="center"/>
              <w:rPr>
                <w:rFonts w:ascii="Times New Roman" w:hAnsi="Times New Roman"/>
                <w:sz w:val="22"/>
                <w:szCs w:val="24"/>
              </w:rPr>
            </w:pPr>
            <w:r w:rsidRPr="004B0599">
              <w:rPr>
                <w:rFonts w:ascii="Times New Roman" w:hAnsi="Times New Roman"/>
                <w:b/>
                <w:sz w:val="22"/>
                <w:szCs w:val="24"/>
              </w:rPr>
              <w:t>$1,565, 424</w:t>
            </w:r>
          </w:p>
        </w:tc>
      </w:tr>
    </w:tbl>
    <w:p w:rsidRPr="008524E2" w:rsidR="00915908" w:rsidP="00915908" w:rsidRDefault="00915908" w14:paraId="4C141D62" w14:textId="1AAFC4B2">
      <w:pPr>
        <w:rPr>
          <w:rFonts w:ascii="Times New Roman" w:hAnsi="Times New Roman"/>
          <w:sz w:val="24"/>
          <w:szCs w:val="24"/>
        </w:rPr>
      </w:pPr>
    </w:p>
    <w:p w:rsidRPr="008524E2" w:rsidR="00B8280F" w:rsidP="00B8280F" w:rsidRDefault="008F7221" w14:paraId="01AA69D3" w14:textId="69F38931">
      <w:pPr>
        <w:widowControl/>
        <w:ind w:left="360"/>
        <w:rPr>
          <w:rFonts w:ascii="Times New Roman" w:hAnsi="Times New Roman"/>
          <w:snapToGrid/>
          <w:sz w:val="24"/>
          <w:szCs w:val="24"/>
        </w:rPr>
      </w:pPr>
      <w:r w:rsidRPr="008524E2">
        <w:rPr>
          <w:rFonts w:ascii="Times New Roman" w:hAnsi="Times New Roman"/>
          <w:sz w:val="24"/>
          <w:szCs w:val="24"/>
        </w:rPr>
        <w:t xml:space="preserve">The cost to respondents </w:t>
      </w:r>
      <w:r w:rsidRPr="008524E2" w:rsidR="00B8280F">
        <w:rPr>
          <w:rFonts w:ascii="Times New Roman" w:hAnsi="Times New Roman"/>
          <w:sz w:val="24"/>
          <w:szCs w:val="24"/>
        </w:rPr>
        <w:t xml:space="preserve">for the “Consumer Education Website” Information Collection </w:t>
      </w:r>
      <w:r w:rsidRPr="008524E2">
        <w:rPr>
          <w:rFonts w:ascii="Times New Roman" w:hAnsi="Times New Roman"/>
          <w:sz w:val="24"/>
          <w:szCs w:val="24"/>
        </w:rPr>
        <w:t xml:space="preserve">was calculated using the Bureau of Labor Statistics (BLS) </w:t>
      </w:r>
      <w:r w:rsidRPr="008524E2" w:rsidR="00E368FB">
        <w:rPr>
          <w:rFonts w:ascii="Times New Roman" w:hAnsi="Times New Roman"/>
          <w:snapToGrid/>
          <w:sz w:val="24"/>
          <w:szCs w:val="24"/>
        </w:rPr>
        <w:t xml:space="preserve">job code </w:t>
      </w:r>
      <w:r w:rsidRPr="008524E2">
        <w:rPr>
          <w:rFonts w:ascii="Times New Roman" w:hAnsi="Times New Roman"/>
          <w:snapToGrid/>
          <w:sz w:val="24"/>
          <w:szCs w:val="24"/>
        </w:rPr>
        <w:t xml:space="preserve">for </w:t>
      </w:r>
      <w:r w:rsidRPr="008524E2" w:rsidR="006D1B96">
        <w:rPr>
          <w:rFonts w:ascii="Times New Roman" w:hAnsi="Times New Roman"/>
          <w:snapToGrid/>
          <w:sz w:val="24"/>
          <w:szCs w:val="24"/>
        </w:rPr>
        <w:t>Web Developers [15-1134</w:t>
      </w:r>
      <w:r w:rsidRPr="008524E2" w:rsidR="00317768">
        <w:rPr>
          <w:rFonts w:ascii="Times New Roman" w:hAnsi="Times New Roman"/>
          <w:snapToGrid/>
          <w:sz w:val="24"/>
          <w:szCs w:val="24"/>
        </w:rPr>
        <w:t>]</w:t>
      </w:r>
      <w:r w:rsidRPr="008524E2" w:rsidR="006D1B96">
        <w:rPr>
          <w:rFonts w:ascii="Times New Roman" w:hAnsi="Times New Roman"/>
          <w:snapToGrid/>
          <w:sz w:val="24"/>
          <w:szCs w:val="24"/>
        </w:rPr>
        <w:t xml:space="preserve"> and </w:t>
      </w:r>
      <w:r w:rsidRPr="008524E2" w:rsidR="00B8280F">
        <w:rPr>
          <w:rFonts w:ascii="Times New Roman" w:hAnsi="Times New Roman"/>
          <w:snapToGrid/>
          <w:sz w:val="24"/>
          <w:szCs w:val="24"/>
        </w:rPr>
        <w:t xml:space="preserve">the </w:t>
      </w:r>
      <w:r w:rsidRPr="008524E2" w:rsidR="006D1B96">
        <w:rPr>
          <w:rFonts w:ascii="Times New Roman" w:hAnsi="Times New Roman"/>
          <w:snapToGrid/>
          <w:sz w:val="24"/>
          <w:szCs w:val="24"/>
        </w:rPr>
        <w:t xml:space="preserve">mean hourly wage data from May 2018, which </w:t>
      </w:r>
      <w:proofErr w:type="gramStart"/>
      <w:r w:rsidRPr="008524E2" w:rsidR="006D1B96">
        <w:rPr>
          <w:rFonts w:ascii="Times New Roman" w:hAnsi="Times New Roman"/>
          <w:snapToGrid/>
          <w:sz w:val="24"/>
          <w:szCs w:val="24"/>
        </w:rPr>
        <w:t>is $36.34 per hour</w:t>
      </w:r>
      <w:proofErr w:type="gramEnd"/>
      <w:r w:rsidRPr="008524E2" w:rsidR="006D1B96">
        <w:rPr>
          <w:rFonts w:ascii="Times New Roman" w:hAnsi="Times New Roman"/>
          <w:snapToGrid/>
          <w:sz w:val="24"/>
          <w:szCs w:val="24"/>
        </w:rPr>
        <w:t>. To account for fringe benefits and overhead</w:t>
      </w:r>
      <w:r w:rsidRPr="008524E2" w:rsidR="00317768">
        <w:rPr>
          <w:rFonts w:ascii="Times New Roman" w:hAnsi="Times New Roman"/>
          <w:snapToGrid/>
          <w:sz w:val="24"/>
          <w:szCs w:val="24"/>
        </w:rPr>
        <w:t>,</w:t>
      </w:r>
      <w:r w:rsidRPr="008524E2" w:rsidR="006D1B96">
        <w:rPr>
          <w:rFonts w:ascii="Times New Roman" w:hAnsi="Times New Roman"/>
          <w:snapToGrid/>
          <w:sz w:val="24"/>
          <w:szCs w:val="24"/>
        </w:rPr>
        <w:t xml:space="preserve"> the rate is multiplied by two, which is $72.68 per hour.  The estimate of annualized cost to respondents for hour burden is $</w:t>
      </w:r>
      <w:r w:rsidRPr="008524E2" w:rsidR="00302D72">
        <w:rPr>
          <w:rFonts w:ascii="Times New Roman" w:hAnsi="Times New Roman"/>
          <w:snapToGrid/>
          <w:sz w:val="24"/>
          <w:szCs w:val="24"/>
        </w:rPr>
        <w:t>72.68 times 16,800</w:t>
      </w:r>
      <w:r w:rsidRPr="008524E2" w:rsidR="006D1B96">
        <w:rPr>
          <w:rFonts w:ascii="Times New Roman" w:hAnsi="Times New Roman"/>
          <w:snapToGrid/>
          <w:sz w:val="24"/>
          <w:szCs w:val="24"/>
        </w:rPr>
        <w:t xml:space="preserve"> hours or $</w:t>
      </w:r>
      <w:r w:rsidRPr="008524E2" w:rsidR="00302D72">
        <w:rPr>
          <w:rFonts w:ascii="Times New Roman" w:hAnsi="Times New Roman"/>
          <w:snapToGrid/>
          <w:sz w:val="24"/>
          <w:szCs w:val="24"/>
        </w:rPr>
        <w:t>1,221,024.00</w:t>
      </w:r>
      <w:r w:rsidRPr="008524E2" w:rsidR="00B8280F">
        <w:rPr>
          <w:rFonts w:ascii="Times New Roman" w:hAnsi="Times New Roman"/>
          <w:snapToGrid/>
          <w:sz w:val="24"/>
          <w:szCs w:val="24"/>
        </w:rPr>
        <w:t>.</w:t>
      </w:r>
    </w:p>
    <w:p w:rsidR="008524E2" w:rsidP="006D1B96" w:rsidRDefault="008524E2" w14:paraId="7E5483BE" w14:textId="77777777">
      <w:pPr>
        <w:widowControl/>
        <w:ind w:left="360"/>
        <w:rPr>
          <w:rFonts w:ascii="Times New Roman" w:hAnsi="Times New Roman"/>
          <w:snapToGrid/>
          <w:sz w:val="24"/>
          <w:szCs w:val="24"/>
        </w:rPr>
      </w:pPr>
    </w:p>
    <w:p w:rsidRPr="008524E2" w:rsidR="00317768" w:rsidP="004C6EF5" w:rsidRDefault="00B8280F" w14:paraId="609CFDCF" w14:textId="3F2A6275">
      <w:pPr>
        <w:widowControl/>
        <w:ind w:left="360"/>
        <w:rPr>
          <w:rFonts w:ascii="Times New Roman" w:hAnsi="Times New Roman"/>
          <w:snapToGrid/>
          <w:sz w:val="24"/>
          <w:szCs w:val="24"/>
        </w:rPr>
      </w:pPr>
      <w:r w:rsidRPr="008524E2">
        <w:rPr>
          <w:rFonts w:ascii="Times New Roman" w:hAnsi="Times New Roman"/>
          <w:sz w:val="24"/>
          <w:szCs w:val="24"/>
        </w:rPr>
        <w:t xml:space="preserve">The cost to respondents for the “Reporting of Serious Injuries and Death” Information Collection was calculated using the Bureau of Labor Statistics (BLS) </w:t>
      </w:r>
      <w:r w:rsidRPr="008524E2">
        <w:rPr>
          <w:rFonts w:ascii="Times New Roman" w:hAnsi="Times New Roman"/>
          <w:snapToGrid/>
          <w:sz w:val="24"/>
          <w:szCs w:val="24"/>
        </w:rPr>
        <w:t>job code for Social and Human Service Assistants [21-1093] and the mean hourly wage from May 2018</w:t>
      </w:r>
      <w:r w:rsidR="004C6EF5">
        <w:rPr>
          <w:rFonts w:ascii="Times New Roman" w:hAnsi="Times New Roman"/>
          <w:snapToGrid/>
          <w:sz w:val="24"/>
          <w:szCs w:val="24"/>
        </w:rPr>
        <w:t>, which</w:t>
      </w:r>
      <w:r w:rsidRPr="008524E2">
        <w:rPr>
          <w:rFonts w:ascii="Times New Roman" w:hAnsi="Times New Roman"/>
          <w:snapToGrid/>
          <w:sz w:val="24"/>
          <w:szCs w:val="24"/>
        </w:rPr>
        <w:t xml:space="preserve"> is $17.22 per hour. To account for fringe benefits and overhead the rate is multiplied by two, which is $34.44 per hour. </w:t>
      </w:r>
      <w:r w:rsidRPr="008524E2" w:rsidR="00302D72">
        <w:rPr>
          <w:rFonts w:ascii="Times New Roman" w:hAnsi="Times New Roman"/>
          <w:snapToGrid/>
          <w:sz w:val="24"/>
          <w:szCs w:val="24"/>
        </w:rPr>
        <w:t xml:space="preserve">The estimate of annualized cost to respondents for hour burden is </w:t>
      </w:r>
      <w:r w:rsidR="004C6EF5">
        <w:rPr>
          <w:rFonts w:ascii="Times New Roman" w:hAnsi="Times New Roman"/>
          <w:snapToGrid/>
          <w:sz w:val="24"/>
          <w:szCs w:val="24"/>
        </w:rPr>
        <w:t xml:space="preserve">$34.44 times 10,000 hours or $344,400. </w:t>
      </w:r>
    </w:p>
    <w:p w:rsidR="008524E2" w:rsidP="006D1B96" w:rsidRDefault="008524E2" w14:paraId="44499006" w14:textId="77777777">
      <w:pPr>
        <w:widowControl/>
        <w:ind w:left="360"/>
        <w:rPr>
          <w:rFonts w:ascii="Times New Roman" w:hAnsi="Times New Roman"/>
          <w:snapToGrid/>
          <w:sz w:val="24"/>
          <w:szCs w:val="24"/>
        </w:rPr>
      </w:pPr>
    </w:p>
    <w:p w:rsidRPr="008524E2" w:rsidR="006D1B96" w:rsidP="006D1B96" w:rsidRDefault="006D1B96" w14:paraId="59344B68" w14:textId="7D691B4F">
      <w:pPr>
        <w:widowControl/>
        <w:ind w:left="360"/>
        <w:rPr>
          <w:rFonts w:ascii="Times New Roman" w:hAnsi="Times New Roman"/>
          <w:snapToGrid/>
          <w:sz w:val="24"/>
          <w:szCs w:val="24"/>
        </w:rPr>
      </w:pPr>
      <w:r w:rsidRPr="008524E2">
        <w:rPr>
          <w:rFonts w:ascii="Times New Roman" w:hAnsi="Times New Roman"/>
          <w:snapToGrid/>
          <w:sz w:val="24"/>
          <w:szCs w:val="24"/>
        </w:rPr>
        <w:t xml:space="preserve">See </w:t>
      </w:r>
      <w:hyperlink w:history="1" r:id="rId11">
        <w:r w:rsidRPr="008524E2">
          <w:rPr>
            <w:rStyle w:val="Hyperlink"/>
            <w:rFonts w:ascii="Times New Roman" w:hAnsi="Times New Roman"/>
            <w:snapToGrid/>
            <w:sz w:val="24"/>
            <w:szCs w:val="24"/>
          </w:rPr>
          <w:t>https://www.bls.gov/oes/current/oes151134.htm</w:t>
        </w:r>
      </w:hyperlink>
      <w:r w:rsidRPr="008524E2">
        <w:rPr>
          <w:rFonts w:ascii="Times New Roman" w:hAnsi="Times New Roman"/>
          <w:snapToGrid/>
          <w:sz w:val="24"/>
          <w:szCs w:val="24"/>
        </w:rPr>
        <w:t>.</w:t>
      </w:r>
    </w:p>
    <w:p w:rsidR="00D60543" w:rsidP="006D1B96" w:rsidRDefault="006D1B96" w14:paraId="344EF814" w14:textId="2A5355E8">
      <w:pPr>
        <w:widowControl/>
        <w:ind w:left="360"/>
        <w:rPr>
          <w:rFonts w:ascii="Times New Roman" w:hAnsi="Times New Roman"/>
          <w:snapToGrid/>
          <w:sz w:val="24"/>
          <w:szCs w:val="24"/>
        </w:rPr>
      </w:pPr>
      <w:r w:rsidRPr="008524E2">
        <w:rPr>
          <w:rFonts w:ascii="Times New Roman" w:hAnsi="Times New Roman"/>
          <w:snapToGrid/>
          <w:sz w:val="24"/>
          <w:szCs w:val="24"/>
        </w:rPr>
        <w:t xml:space="preserve"> </w:t>
      </w:r>
    </w:p>
    <w:p w:rsidRPr="008524E2" w:rsidR="00FC0C82" w:rsidP="006D1B96" w:rsidRDefault="00FC0C82" w14:paraId="5A136F50" w14:textId="77777777">
      <w:pPr>
        <w:widowControl/>
        <w:ind w:left="360"/>
        <w:rPr>
          <w:rFonts w:ascii="Times New Roman" w:hAnsi="Times New Roman"/>
          <w:snapToGrid/>
          <w:sz w:val="24"/>
          <w:szCs w:val="24"/>
        </w:rPr>
      </w:pPr>
    </w:p>
    <w:p w:rsidRPr="008524E2" w:rsidR="00D60543" w:rsidP="008524E2" w:rsidRDefault="002C3C4F" w14:paraId="2FEAF873" w14:textId="366629A7">
      <w:pPr>
        <w:widowControl/>
        <w:numPr>
          <w:ilvl w:val="0"/>
          <w:numId w:val="3"/>
        </w:numPr>
        <w:tabs>
          <w:tab w:val="num" w:pos="360"/>
        </w:tabs>
        <w:spacing w:after="120"/>
        <w:ind w:left="360"/>
        <w:rPr>
          <w:rFonts w:ascii="Times New Roman" w:hAnsi="Times New Roman"/>
          <w:b/>
          <w:snapToGrid/>
          <w:sz w:val="24"/>
          <w:szCs w:val="24"/>
        </w:rPr>
      </w:pPr>
      <w:r w:rsidRPr="008524E2">
        <w:rPr>
          <w:rFonts w:ascii="Times New Roman" w:hAnsi="Times New Roman"/>
          <w:b/>
          <w:snapToGrid/>
          <w:sz w:val="24"/>
          <w:szCs w:val="24"/>
        </w:rPr>
        <w:t xml:space="preserve">Estimates of Other Total Annual Cost Burden to Respondents and Record Keepers </w:t>
      </w:r>
    </w:p>
    <w:p w:rsidRPr="008524E2" w:rsidR="00D74251" w:rsidP="00D74251" w:rsidRDefault="00D74251" w14:paraId="2B650DA0" w14:textId="77777777">
      <w:pPr>
        <w:widowControl/>
        <w:ind w:left="360"/>
        <w:rPr>
          <w:rFonts w:ascii="Times New Roman" w:hAnsi="Times New Roman"/>
          <w:snapToGrid/>
          <w:sz w:val="24"/>
          <w:szCs w:val="24"/>
        </w:rPr>
      </w:pPr>
      <w:r w:rsidRPr="008524E2">
        <w:rPr>
          <w:rFonts w:ascii="Times New Roman" w:hAnsi="Times New Roman"/>
          <w:snapToGrid/>
          <w:sz w:val="24"/>
          <w:szCs w:val="24"/>
        </w:rPr>
        <w:t>Consumer Education Website: All States have existing websites that already meet at least portions of this requirement.  In the regulatory impact analysis for the September 30, 2016 final rule, we estimated an average annual cost of $12.8 million for building and maintenance of the websites over the first five years.  Now that the State websites are largely built and just need to be updated (including with the newly required background check information) and maintained, we estimate an aggregate national average annual cost of $1.2 million over the three-year period covered by the renewal of this information collection.</w:t>
      </w:r>
    </w:p>
    <w:p w:rsidRPr="008524E2" w:rsidR="00D74251" w:rsidP="00D74251" w:rsidRDefault="00D74251" w14:paraId="5EC87BE1" w14:textId="77777777">
      <w:pPr>
        <w:widowControl/>
        <w:ind w:left="360"/>
        <w:rPr>
          <w:rFonts w:ascii="Times New Roman" w:hAnsi="Times New Roman"/>
          <w:snapToGrid/>
          <w:sz w:val="24"/>
          <w:szCs w:val="24"/>
        </w:rPr>
      </w:pPr>
    </w:p>
    <w:p w:rsidRPr="008524E2" w:rsidR="00D60543" w:rsidP="00D74251" w:rsidRDefault="00D74251" w14:paraId="644A1DE1" w14:textId="4C454EE3">
      <w:pPr>
        <w:widowControl/>
        <w:ind w:left="360"/>
        <w:rPr>
          <w:rFonts w:ascii="Times New Roman" w:hAnsi="Times New Roman"/>
          <w:snapToGrid/>
          <w:sz w:val="24"/>
          <w:szCs w:val="24"/>
        </w:rPr>
      </w:pPr>
      <w:r w:rsidRPr="008524E2">
        <w:rPr>
          <w:rFonts w:ascii="Times New Roman" w:hAnsi="Times New Roman"/>
          <w:snapToGrid/>
          <w:sz w:val="24"/>
          <w:szCs w:val="24"/>
        </w:rPr>
        <w:t xml:space="preserve">Reporting of Serious Injuries and Deaths: There are no additional costs other than those reflected in item 12.  </w:t>
      </w:r>
    </w:p>
    <w:p w:rsidR="00D60543" w:rsidP="00D74251" w:rsidRDefault="00D60543" w14:paraId="0BE3C51C" w14:textId="0944136F">
      <w:pPr>
        <w:widowControl/>
        <w:rPr>
          <w:rFonts w:ascii="Times New Roman" w:hAnsi="Times New Roman"/>
          <w:snapToGrid/>
          <w:sz w:val="24"/>
          <w:szCs w:val="24"/>
        </w:rPr>
      </w:pPr>
    </w:p>
    <w:p w:rsidRPr="008524E2" w:rsidR="00FC0C82" w:rsidP="00D74251" w:rsidRDefault="00FC0C82" w14:paraId="13AA2CC5" w14:textId="77777777">
      <w:pPr>
        <w:widowControl/>
        <w:rPr>
          <w:rFonts w:ascii="Times New Roman" w:hAnsi="Times New Roman"/>
          <w:snapToGrid/>
          <w:sz w:val="24"/>
          <w:szCs w:val="24"/>
        </w:rPr>
      </w:pPr>
    </w:p>
    <w:p w:rsidRPr="008524E2" w:rsidR="007935D5" w:rsidP="008524E2" w:rsidRDefault="004602FE" w14:paraId="6B09616D" w14:textId="14031670">
      <w:pPr>
        <w:widowControl/>
        <w:numPr>
          <w:ilvl w:val="0"/>
          <w:numId w:val="3"/>
        </w:numPr>
        <w:tabs>
          <w:tab w:val="num" w:pos="360"/>
        </w:tabs>
        <w:spacing w:after="120"/>
        <w:ind w:left="360"/>
        <w:rPr>
          <w:rFonts w:ascii="Times New Roman" w:hAnsi="Times New Roman"/>
          <w:b/>
          <w:snapToGrid/>
          <w:sz w:val="24"/>
          <w:szCs w:val="24"/>
        </w:rPr>
      </w:pPr>
      <w:r w:rsidRPr="008524E2">
        <w:rPr>
          <w:rFonts w:ascii="Times New Roman" w:hAnsi="Times New Roman"/>
          <w:b/>
          <w:snapToGrid/>
          <w:sz w:val="24"/>
          <w:szCs w:val="24"/>
        </w:rPr>
        <w:t>A</w:t>
      </w:r>
      <w:r w:rsidRPr="008524E2" w:rsidR="002C3C4F">
        <w:rPr>
          <w:rFonts w:ascii="Times New Roman" w:hAnsi="Times New Roman"/>
          <w:b/>
          <w:snapToGrid/>
          <w:sz w:val="24"/>
          <w:szCs w:val="24"/>
        </w:rPr>
        <w:t xml:space="preserve">nnualized Cost to the Federal Government </w:t>
      </w:r>
    </w:p>
    <w:p w:rsidRPr="008524E2" w:rsidR="00405C10" w:rsidP="00B8280F" w:rsidRDefault="00D74251" w14:paraId="1C0CE52C" w14:textId="2F2B6A35">
      <w:pPr>
        <w:widowControl/>
        <w:ind w:left="360"/>
        <w:rPr>
          <w:rFonts w:ascii="Times New Roman" w:hAnsi="Times New Roman"/>
          <w:snapToGrid/>
          <w:sz w:val="24"/>
          <w:szCs w:val="24"/>
        </w:rPr>
      </w:pPr>
      <w:r w:rsidRPr="008524E2">
        <w:rPr>
          <w:rFonts w:ascii="Times New Roman" w:hAnsi="Times New Roman"/>
          <w:snapToGrid/>
          <w:sz w:val="24"/>
          <w:szCs w:val="24"/>
        </w:rPr>
        <w:t>There is no cost to the Federal government.</w:t>
      </w:r>
    </w:p>
    <w:p w:rsidR="00DE529D" w:rsidP="00DE529D" w:rsidRDefault="00DE529D" w14:paraId="35C07DCF" w14:textId="027F6B59">
      <w:pPr>
        <w:widowControl/>
        <w:ind w:left="360"/>
        <w:rPr>
          <w:rFonts w:ascii="Times New Roman" w:hAnsi="Times New Roman"/>
          <w:snapToGrid/>
          <w:sz w:val="24"/>
          <w:szCs w:val="24"/>
        </w:rPr>
      </w:pPr>
    </w:p>
    <w:p w:rsidRPr="008524E2" w:rsidR="00FC0C82" w:rsidP="00DE529D" w:rsidRDefault="00FC0C82" w14:paraId="6D45EFB3" w14:textId="77777777">
      <w:pPr>
        <w:widowControl/>
        <w:ind w:left="360"/>
        <w:rPr>
          <w:rFonts w:ascii="Times New Roman" w:hAnsi="Times New Roman"/>
          <w:snapToGrid/>
          <w:sz w:val="24"/>
          <w:szCs w:val="24"/>
        </w:rPr>
      </w:pPr>
    </w:p>
    <w:p w:rsidRPr="008524E2" w:rsidR="00082786" w:rsidP="00082786" w:rsidRDefault="002C3C4F" w14:paraId="281F5F45" w14:textId="519CA207">
      <w:pPr>
        <w:widowControl/>
        <w:numPr>
          <w:ilvl w:val="0"/>
          <w:numId w:val="3"/>
        </w:numPr>
        <w:tabs>
          <w:tab w:val="num" w:pos="360"/>
        </w:tabs>
        <w:spacing w:after="120"/>
        <w:ind w:left="360"/>
        <w:rPr>
          <w:rFonts w:ascii="Times New Roman" w:hAnsi="Times New Roman"/>
          <w:b/>
          <w:snapToGrid/>
          <w:sz w:val="24"/>
          <w:szCs w:val="24"/>
        </w:rPr>
      </w:pPr>
      <w:r w:rsidRPr="008524E2">
        <w:rPr>
          <w:rFonts w:ascii="Times New Roman" w:hAnsi="Times New Roman"/>
          <w:b/>
          <w:snapToGrid/>
          <w:sz w:val="24"/>
          <w:szCs w:val="24"/>
        </w:rPr>
        <w:t xml:space="preserve">Explanation for Program Changes or Adjustments </w:t>
      </w:r>
    </w:p>
    <w:p w:rsidRPr="008524E2" w:rsidR="00D60543" w:rsidP="00082786" w:rsidRDefault="00082786" w14:paraId="1CCB7D8F" w14:textId="5A2C1E05">
      <w:pPr>
        <w:widowControl/>
        <w:ind w:left="360"/>
        <w:rPr>
          <w:rFonts w:ascii="Times New Roman" w:hAnsi="Times New Roman"/>
          <w:snapToGrid/>
          <w:sz w:val="24"/>
          <w:szCs w:val="24"/>
        </w:rPr>
      </w:pPr>
      <w:r w:rsidRPr="008524E2">
        <w:rPr>
          <w:rFonts w:ascii="Times New Roman" w:hAnsi="Times New Roman"/>
          <w:snapToGrid/>
          <w:sz w:val="24"/>
          <w:szCs w:val="24"/>
        </w:rPr>
        <w:t xml:space="preserve">This request is </w:t>
      </w:r>
      <w:r w:rsidR="00FC0C82">
        <w:rPr>
          <w:rFonts w:ascii="Times New Roman" w:hAnsi="Times New Roman"/>
          <w:snapToGrid/>
          <w:sz w:val="24"/>
          <w:szCs w:val="24"/>
        </w:rPr>
        <w:t xml:space="preserve">to continue reporting requirements </w:t>
      </w:r>
      <w:r w:rsidRPr="008524E2" w:rsidR="008524E2">
        <w:rPr>
          <w:rFonts w:ascii="Times New Roman" w:hAnsi="Times New Roman"/>
          <w:snapToGrid/>
          <w:sz w:val="24"/>
          <w:szCs w:val="24"/>
        </w:rPr>
        <w:t>under OMB #0970-0473</w:t>
      </w:r>
      <w:r w:rsidRPr="008524E2">
        <w:rPr>
          <w:rFonts w:ascii="Times New Roman" w:hAnsi="Times New Roman"/>
          <w:snapToGrid/>
          <w:sz w:val="24"/>
          <w:szCs w:val="24"/>
        </w:rPr>
        <w:t>.</w:t>
      </w:r>
      <w:r w:rsidR="00FC0C82">
        <w:rPr>
          <w:rFonts w:ascii="Times New Roman" w:hAnsi="Times New Roman"/>
          <w:snapToGrid/>
          <w:sz w:val="24"/>
          <w:szCs w:val="24"/>
        </w:rPr>
        <w:t xml:space="preserve"> There are minor changes to the requirements, but the burden estimates remain unchanged.</w:t>
      </w:r>
    </w:p>
    <w:p w:rsidR="00D60543" w:rsidP="00B8280F" w:rsidRDefault="00D60543" w14:paraId="2982928D" w14:textId="49C504FC">
      <w:pPr>
        <w:widowControl/>
        <w:rPr>
          <w:rFonts w:ascii="Times New Roman" w:hAnsi="Times New Roman"/>
          <w:snapToGrid/>
          <w:sz w:val="24"/>
          <w:szCs w:val="24"/>
        </w:rPr>
      </w:pPr>
    </w:p>
    <w:p w:rsidRPr="008524E2" w:rsidR="00FC0C82" w:rsidP="00B8280F" w:rsidRDefault="00FC0C82" w14:paraId="265D0600" w14:textId="77777777">
      <w:pPr>
        <w:widowControl/>
        <w:rPr>
          <w:rFonts w:ascii="Times New Roman" w:hAnsi="Times New Roman"/>
          <w:snapToGrid/>
          <w:sz w:val="24"/>
          <w:szCs w:val="24"/>
        </w:rPr>
      </w:pPr>
    </w:p>
    <w:p w:rsidRPr="008524E2" w:rsidR="007935D5" w:rsidP="008524E2" w:rsidRDefault="002C3C4F" w14:paraId="6AAAC2FE" w14:textId="4FDD932A">
      <w:pPr>
        <w:widowControl/>
        <w:numPr>
          <w:ilvl w:val="0"/>
          <w:numId w:val="3"/>
        </w:numPr>
        <w:tabs>
          <w:tab w:val="num" w:pos="360"/>
        </w:tabs>
        <w:spacing w:after="120"/>
        <w:ind w:left="360"/>
        <w:rPr>
          <w:rFonts w:ascii="Times New Roman" w:hAnsi="Times New Roman"/>
          <w:b/>
          <w:snapToGrid/>
          <w:sz w:val="24"/>
          <w:szCs w:val="24"/>
        </w:rPr>
      </w:pPr>
      <w:r w:rsidRPr="008524E2">
        <w:rPr>
          <w:rFonts w:ascii="Times New Roman" w:hAnsi="Times New Roman"/>
          <w:b/>
          <w:snapToGrid/>
          <w:sz w:val="24"/>
          <w:szCs w:val="24"/>
        </w:rPr>
        <w:t xml:space="preserve">Plans for Tabulation and Publication and Project Time Schedule </w:t>
      </w:r>
    </w:p>
    <w:p w:rsidRPr="008524E2" w:rsidR="00D74251" w:rsidP="00D74251" w:rsidRDefault="00D74251" w14:paraId="3D6E684D" w14:textId="77777777">
      <w:pPr>
        <w:widowControl/>
        <w:ind w:left="360"/>
        <w:rPr>
          <w:rFonts w:ascii="Times New Roman" w:hAnsi="Times New Roman"/>
          <w:snapToGrid/>
          <w:sz w:val="24"/>
          <w:szCs w:val="24"/>
        </w:rPr>
      </w:pPr>
      <w:r w:rsidRPr="008524E2">
        <w:rPr>
          <w:rFonts w:ascii="Times New Roman" w:hAnsi="Times New Roman"/>
          <w:snapToGrid/>
          <w:sz w:val="24"/>
          <w:szCs w:val="24"/>
        </w:rPr>
        <w:t>Consumer Education Website: States will disseminate their web addresses to the public.</w:t>
      </w:r>
    </w:p>
    <w:p w:rsidRPr="008524E2" w:rsidR="00D74251" w:rsidP="00D74251" w:rsidRDefault="00D74251" w14:paraId="4FA41F39" w14:textId="77777777">
      <w:pPr>
        <w:widowControl/>
        <w:ind w:left="360"/>
        <w:rPr>
          <w:rFonts w:ascii="Times New Roman" w:hAnsi="Times New Roman"/>
          <w:snapToGrid/>
          <w:sz w:val="24"/>
          <w:szCs w:val="24"/>
        </w:rPr>
      </w:pPr>
    </w:p>
    <w:p w:rsidR="007935D5" w:rsidP="008524E2" w:rsidRDefault="00D74251" w14:paraId="298DD100" w14:textId="3AE1044E">
      <w:pPr>
        <w:widowControl/>
        <w:ind w:left="360"/>
        <w:rPr>
          <w:rFonts w:ascii="Times New Roman" w:hAnsi="Times New Roman"/>
          <w:snapToGrid/>
          <w:sz w:val="24"/>
          <w:szCs w:val="24"/>
        </w:rPr>
      </w:pPr>
      <w:r w:rsidRPr="008524E2">
        <w:rPr>
          <w:rFonts w:ascii="Times New Roman" w:hAnsi="Times New Roman"/>
          <w:snapToGrid/>
          <w:sz w:val="24"/>
          <w:szCs w:val="24"/>
        </w:rPr>
        <w:t>Reporting of Serious Injuries and Deaths:  The Office of Child Care does not plan to tabulate or publish this data, which will be reported to a designated State, Territorial, or Tribal entity (not the Federal government).</w:t>
      </w:r>
    </w:p>
    <w:p w:rsidR="008524E2" w:rsidP="008524E2" w:rsidRDefault="008524E2" w14:paraId="656F0345" w14:textId="22FD6F35">
      <w:pPr>
        <w:widowControl/>
        <w:ind w:left="360"/>
        <w:rPr>
          <w:rFonts w:ascii="Times New Roman" w:hAnsi="Times New Roman"/>
          <w:snapToGrid/>
          <w:sz w:val="24"/>
          <w:szCs w:val="24"/>
        </w:rPr>
      </w:pPr>
    </w:p>
    <w:p w:rsidRPr="008524E2" w:rsidR="00FC0C82" w:rsidP="008524E2" w:rsidRDefault="00FC0C82" w14:paraId="6FA000B8" w14:textId="77777777">
      <w:pPr>
        <w:widowControl/>
        <w:ind w:left="360"/>
        <w:rPr>
          <w:rFonts w:ascii="Times New Roman" w:hAnsi="Times New Roman"/>
          <w:snapToGrid/>
          <w:sz w:val="24"/>
          <w:szCs w:val="24"/>
        </w:rPr>
      </w:pPr>
    </w:p>
    <w:p w:rsidRPr="004C6EF5" w:rsidR="00A04EF3" w:rsidP="004C6EF5" w:rsidRDefault="002C3C4F" w14:paraId="14F40E7C" w14:textId="5D3AA15D">
      <w:pPr>
        <w:widowControl/>
        <w:numPr>
          <w:ilvl w:val="0"/>
          <w:numId w:val="3"/>
        </w:numPr>
        <w:tabs>
          <w:tab w:val="left" w:pos="360"/>
        </w:tabs>
        <w:spacing w:after="120"/>
        <w:ind w:left="360"/>
        <w:rPr>
          <w:rFonts w:ascii="Times New Roman" w:hAnsi="Times New Roman"/>
          <w:b/>
          <w:snapToGrid/>
          <w:sz w:val="24"/>
          <w:szCs w:val="24"/>
        </w:rPr>
      </w:pPr>
      <w:r w:rsidRPr="008524E2">
        <w:rPr>
          <w:rFonts w:ascii="Times New Roman" w:hAnsi="Times New Roman"/>
          <w:b/>
          <w:snapToGrid/>
          <w:sz w:val="24"/>
          <w:szCs w:val="24"/>
        </w:rPr>
        <w:t xml:space="preserve">Reason(s) Display of OMB Expiration Date is Inappropriate </w:t>
      </w:r>
    </w:p>
    <w:p w:rsidRPr="008524E2" w:rsidR="00D60543" w:rsidP="008524E2" w:rsidRDefault="00D74251" w14:paraId="30989008" w14:textId="7FD8C3D8">
      <w:pPr>
        <w:widowControl/>
        <w:ind w:left="360"/>
        <w:rPr>
          <w:rFonts w:ascii="Times New Roman" w:hAnsi="Times New Roman"/>
          <w:snapToGrid/>
          <w:sz w:val="24"/>
          <w:szCs w:val="24"/>
        </w:rPr>
      </w:pPr>
      <w:r w:rsidRPr="008524E2">
        <w:rPr>
          <w:rFonts w:ascii="Times New Roman" w:hAnsi="Times New Roman"/>
          <w:snapToGrid/>
          <w:sz w:val="24"/>
          <w:szCs w:val="24"/>
        </w:rPr>
        <w:t>Not applicable.</w:t>
      </w:r>
    </w:p>
    <w:p w:rsidR="00D60543" w:rsidP="00DE529D" w:rsidRDefault="00D60543" w14:paraId="3C11407F" w14:textId="26E29845">
      <w:pPr>
        <w:widowControl/>
        <w:ind w:left="360" w:hanging="90"/>
        <w:rPr>
          <w:rFonts w:ascii="Times New Roman" w:hAnsi="Times New Roman"/>
          <w:snapToGrid/>
          <w:sz w:val="24"/>
          <w:szCs w:val="24"/>
        </w:rPr>
      </w:pPr>
    </w:p>
    <w:p w:rsidRPr="008524E2" w:rsidR="00A71F54" w:rsidP="00DE529D" w:rsidRDefault="00A71F54" w14:paraId="5DF84DEE" w14:textId="77777777">
      <w:pPr>
        <w:widowControl/>
        <w:ind w:left="360" w:hanging="90"/>
        <w:rPr>
          <w:rFonts w:ascii="Times New Roman" w:hAnsi="Times New Roman"/>
          <w:snapToGrid/>
          <w:sz w:val="24"/>
          <w:szCs w:val="24"/>
        </w:rPr>
      </w:pPr>
    </w:p>
    <w:p w:rsidRPr="008524E2" w:rsidR="007935D5" w:rsidP="008524E2" w:rsidRDefault="002C3C4F" w14:paraId="53A56BC6" w14:textId="11E64AAE">
      <w:pPr>
        <w:widowControl/>
        <w:numPr>
          <w:ilvl w:val="0"/>
          <w:numId w:val="3"/>
        </w:numPr>
        <w:tabs>
          <w:tab w:val="num" w:pos="360"/>
        </w:tabs>
        <w:spacing w:after="120"/>
        <w:ind w:left="360"/>
        <w:rPr>
          <w:rFonts w:ascii="Times New Roman" w:hAnsi="Times New Roman"/>
          <w:b/>
          <w:snapToGrid/>
          <w:sz w:val="24"/>
          <w:szCs w:val="24"/>
        </w:rPr>
      </w:pPr>
      <w:r w:rsidRPr="008524E2">
        <w:rPr>
          <w:rFonts w:ascii="Times New Roman" w:hAnsi="Times New Roman"/>
          <w:b/>
          <w:snapToGrid/>
          <w:sz w:val="24"/>
          <w:szCs w:val="24"/>
        </w:rPr>
        <w:t>Exceptions to Certification for Paperwork Reduction Act Submissions</w:t>
      </w:r>
    </w:p>
    <w:p w:rsidRPr="008524E2" w:rsidR="00DE529D" w:rsidP="00167379" w:rsidRDefault="00D74251" w14:paraId="64AD5CFF" w14:textId="61B282DE">
      <w:pPr>
        <w:widowControl/>
        <w:ind w:firstLine="360"/>
        <w:rPr>
          <w:rFonts w:ascii="Times New Roman" w:hAnsi="Times New Roman"/>
          <w:b/>
          <w:snapToGrid/>
          <w:sz w:val="24"/>
          <w:szCs w:val="24"/>
        </w:rPr>
      </w:pPr>
      <w:r w:rsidRPr="008524E2">
        <w:rPr>
          <w:rFonts w:ascii="Times New Roman" w:hAnsi="Times New Roman"/>
          <w:bCs/>
          <w:snapToGrid/>
          <w:sz w:val="24"/>
          <w:szCs w:val="24"/>
        </w:rPr>
        <w:t>There are no exceptions to the certification.</w:t>
      </w:r>
    </w:p>
    <w:sectPr w:rsidRPr="008524E2" w:rsidR="00DE529D" w:rsidSect="0039522A">
      <w:footerReference w:type="default" r:id="rId12"/>
      <w:endnotePr>
        <w:numFmt w:val="decimal"/>
      </w:endnotePr>
      <w:pgSz w:w="12240" w:h="15840"/>
      <w:pgMar w:top="990"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48F3E" w14:textId="77777777" w:rsidR="00B14349" w:rsidRDefault="00B14349">
      <w:pPr>
        <w:spacing w:line="20" w:lineRule="exact"/>
        <w:rPr>
          <w:sz w:val="24"/>
        </w:rPr>
      </w:pPr>
    </w:p>
  </w:endnote>
  <w:endnote w:type="continuationSeparator" w:id="0">
    <w:p w14:paraId="5FF0E268" w14:textId="77777777" w:rsidR="00B14349" w:rsidRDefault="00B14349">
      <w:r>
        <w:rPr>
          <w:sz w:val="24"/>
        </w:rPr>
        <w:t xml:space="preserve"> </w:t>
      </w:r>
    </w:p>
  </w:endnote>
  <w:endnote w:type="continuationNotice" w:id="1">
    <w:p w14:paraId="7586EF16" w14:textId="77777777" w:rsidR="00B14349" w:rsidRDefault="00B1434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060A0B17"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870DA4">
                            <w:rPr>
                              <w:noProof/>
                              <w:sz w:val="24"/>
                            </w:rPr>
                            <w:t>7</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9D3B125" w14:textId="060A0B17"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870DA4">
                      <w:rPr>
                        <w:noProof/>
                        <w:sz w:val="24"/>
                      </w:rPr>
                      <w:t>7</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8A139" w14:textId="77777777" w:rsidR="00B14349" w:rsidRDefault="00B14349">
      <w:r>
        <w:rPr>
          <w:sz w:val="24"/>
        </w:rPr>
        <w:separator/>
      </w:r>
    </w:p>
  </w:footnote>
  <w:footnote w:type="continuationSeparator" w:id="0">
    <w:p w14:paraId="4E9F01C5" w14:textId="77777777" w:rsidR="00B14349" w:rsidRDefault="00B14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1408C"/>
    <w:multiLevelType w:val="hybridMultilevel"/>
    <w:tmpl w:val="F2C6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6A684E"/>
    <w:multiLevelType w:val="hybridMultilevel"/>
    <w:tmpl w:val="AAB4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15"/>
  </w:num>
  <w:num w:numId="4">
    <w:abstractNumId w:val="6"/>
  </w:num>
  <w:num w:numId="5">
    <w:abstractNumId w:val="8"/>
  </w:num>
  <w:num w:numId="6">
    <w:abstractNumId w:val="11"/>
  </w:num>
  <w:num w:numId="7">
    <w:abstractNumId w:val="2"/>
  </w:num>
  <w:num w:numId="8">
    <w:abstractNumId w:val="10"/>
  </w:num>
  <w:num w:numId="9">
    <w:abstractNumId w:val="17"/>
  </w:num>
  <w:num w:numId="10">
    <w:abstractNumId w:val="9"/>
  </w:num>
  <w:num w:numId="11">
    <w:abstractNumId w:val="7"/>
  </w:num>
  <w:num w:numId="12">
    <w:abstractNumId w:val="0"/>
  </w:num>
  <w:num w:numId="13">
    <w:abstractNumId w:val="19"/>
  </w:num>
  <w:num w:numId="14">
    <w:abstractNumId w:val="1"/>
  </w:num>
  <w:num w:numId="15">
    <w:abstractNumId w:val="4"/>
  </w:num>
  <w:num w:numId="16">
    <w:abstractNumId w:val="14"/>
  </w:num>
  <w:num w:numId="17">
    <w:abstractNumId w:val="20"/>
  </w:num>
  <w:num w:numId="18">
    <w:abstractNumId w:val="5"/>
  </w:num>
  <w:num w:numId="19">
    <w:abstractNumId w:val="21"/>
  </w:num>
  <w:num w:numId="20">
    <w:abstractNumId w:val="18"/>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22586"/>
    <w:rsid w:val="00056C4B"/>
    <w:rsid w:val="00075889"/>
    <w:rsid w:val="00082786"/>
    <w:rsid w:val="0009007E"/>
    <w:rsid w:val="000F069F"/>
    <w:rsid w:val="00102200"/>
    <w:rsid w:val="001337B5"/>
    <w:rsid w:val="0014145B"/>
    <w:rsid w:val="00160621"/>
    <w:rsid w:val="00167379"/>
    <w:rsid w:val="00186385"/>
    <w:rsid w:val="001C483C"/>
    <w:rsid w:val="001C7FFE"/>
    <w:rsid w:val="001D1651"/>
    <w:rsid w:val="00222C7F"/>
    <w:rsid w:val="00226C42"/>
    <w:rsid w:val="00234235"/>
    <w:rsid w:val="002464EB"/>
    <w:rsid w:val="002509BD"/>
    <w:rsid w:val="00290A1C"/>
    <w:rsid w:val="0029589B"/>
    <w:rsid w:val="00296738"/>
    <w:rsid w:val="002C3C4F"/>
    <w:rsid w:val="002E10D1"/>
    <w:rsid w:val="00302D72"/>
    <w:rsid w:val="00317768"/>
    <w:rsid w:val="003405A4"/>
    <w:rsid w:val="00354319"/>
    <w:rsid w:val="0038209B"/>
    <w:rsid w:val="0039522A"/>
    <w:rsid w:val="003B7A50"/>
    <w:rsid w:val="003C1D6E"/>
    <w:rsid w:val="003E6EA3"/>
    <w:rsid w:val="00402D24"/>
    <w:rsid w:val="00405C10"/>
    <w:rsid w:val="004110F5"/>
    <w:rsid w:val="00422E1D"/>
    <w:rsid w:val="004602FE"/>
    <w:rsid w:val="00467954"/>
    <w:rsid w:val="00476C1F"/>
    <w:rsid w:val="00480072"/>
    <w:rsid w:val="00490457"/>
    <w:rsid w:val="0049119A"/>
    <w:rsid w:val="004943E0"/>
    <w:rsid w:val="004B0599"/>
    <w:rsid w:val="004C6EF5"/>
    <w:rsid w:val="004F45CE"/>
    <w:rsid w:val="004F7B95"/>
    <w:rsid w:val="0051278C"/>
    <w:rsid w:val="00522C18"/>
    <w:rsid w:val="00541E51"/>
    <w:rsid w:val="005520C3"/>
    <w:rsid w:val="00556056"/>
    <w:rsid w:val="005824BD"/>
    <w:rsid w:val="00597E7F"/>
    <w:rsid w:val="005B00FC"/>
    <w:rsid w:val="005B22D4"/>
    <w:rsid w:val="005C60F1"/>
    <w:rsid w:val="005D1B7E"/>
    <w:rsid w:val="005D274E"/>
    <w:rsid w:val="005D61DB"/>
    <w:rsid w:val="005E0B35"/>
    <w:rsid w:val="005F0ED4"/>
    <w:rsid w:val="00603498"/>
    <w:rsid w:val="00634E1D"/>
    <w:rsid w:val="00640565"/>
    <w:rsid w:val="00651F0F"/>
    <w:rsid w:val="00681E38"/>
    <w:rsid w:val="006B1006"/>
    <w:rsid w:val="006B2726"/>
    <w:rsid w:val="006D1643"/>
    <w:rsid w:val="006D1B96"/>
    <w:rsid w:val="006E6629"/>
    <w:rsid w:val="006F589F"/>
    <w:rsid w:val="006F68BE"/>
    <w:rsid w:val="00707AFB"/>
    <w:rsid w:val="00762C40"/>
    <w:rsid w:val="00786793"/>
    <w:rsid w:val="00790D2C"/>
    <w:rsid w:val="007935D5"/>
    <w:rsid w:val="007A0FBE"/>
    <w:rsid w:val="007E48CC"/>
    <w:rsid w:val="0080325F"/>
    <w:rsid w:val="00817E2B"/>
    <w:rsid w:val="00841BDF"/>
    <w:rsid w:val="0084609A"/>
    <w:rsid w:val="00846E18"/>
    <w:rsid w:val="008524E2"/>
    <w:rsid w:val="00870DA4"/>
    <w:rsid w:val="008900A8"/>
    <w:rsid w:val="008955AC"/>
    <w:rsid w:val="008F7221"/>
    <w:rsid w:val="009113FF"/>
    <w:rsid w:val="00915908"/>
    <w:rsid w:val="00936A53"/>
    <w:rsid w:val="009451B1"/>
    <w:rsid w:val="00945B72"/>
    <w:rsid w:val="00957799"/>
    <w:rsid w:val="00962045"/>
    <w:rsid w:val="00966622"/>
    <w:rsid w:val="009C2DE1"/>
    <w:rsid w:val="009C5213"/>
    <w:rsid w:val="009D789F"/>
    <w:rsid w:val="009E6157"/>
    <w:rsid w:val="009F5543"/>
    <w:rsid w:val="009F58E1"/>
    <w:rsid w:val="00A04EF3"/>
    <w:rsid w:val="00A160B5"/>
    <w:rsid w:val="00A61AC0"/>
    <w:rsid w:val="00A71F54"/>
    <w:rsid w:val="00A77AC0"/>
    <w:rsid w:val="00A918E4"/>
    <w:rsid w:val="00AA7B9B"/>
    <w:rsid w:val="00AD5ED7"/>
    <w:rsid w:val="00AF399C"/>
    <w:rsid w:val="00AF4347"/>
    <w:rsid w:val="00AF5FE7"/>
    <w:rsid w:val="00B14349"/>
    <w:rsid w:val="00B27347"/>
    <w:rsid w:val="00B8280F"/>
    <w:rsid w:val="00B84243"/>
    <w:rsid w:val="00BD378C"/>
    <w:rsid w:val="00BF6E9A"/>
    <w:rsid w:val="00C02282"/>
    <w:rsid w:val="00C13BA6"/>
    <w:rsid w:val="00C22D3C"/>
    <w:rsid w:val="00CB1A12"/>
    <w:rsid w:val="00CE53AB"/>
    <w:rsid w:val="00CE6182"/>
    <w:rsid w:val="00D02EF1"/>
    <w:rsid w:val="00D176EB"/>
    <w:rsid w:val="00D203FE"/>
    <w:rsid w:val="00D344B2"/>
    <w:rsid w:val="00D60543"/>
    <w:rsid w:val="00D67D80"/>
    <w:rsid w:val="00D74251"/>
    <w:rsid w:val="00D7443D"/>
    <w:rsid w:val="00D806D3"/>
    <w:rsid w:val="00D9648C"/>
    <w:rsid w:val="00D9720E"/>
    <w:rsid w:val="00DB2443"/>
    <w:rsid w:val="00DB3656"/>
    <w:rsid w:val="00DC1C23"/>
    <w:rsid w:val="00DE529D"/>
    <w:rsid w:val="00E01B4E"/>
    <w:rsid w:val="00E1152D"/>
    <w:rsid w:val="00E368FB"/>
    <w:rsid w:val="00E4383A"/>
    <w:rsid w:val="00EC698B"/>
    <w:rsid w:val="00ED782E"/>
    <w:rsid w:val="00F02021"/>
    <w:rsid w:val="00F10B17"/>
    <w:rsid w:val="00F210CA"/>
    <w:rsid w:val="00F83116"/>
    <w:rsid w:val="00FA4DE6"/>
    <w:rsid w:val="00FA5092"/>
    <w:rsid w:val="00FB4221"/>
    <w:rsid w:val="00FB7547"/>
    <w:rsid w:val="00FC0C82"/>
    <w:rsid w:val="00FE0FD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889ED33"/>
  <w15:chartTrackingRefBased/>
  <w15:docId w15:val="{B30FC3E0-B925-423D-A854-44781444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151134.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9CD4-95DE-4AE2-BE9C-E919D53E006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6636BAFC-3E12-497E-9239-AAE080E6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1866</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Stephanie (ACF)</dc:creator>
  <cp:keywords/>
  <cp:lastModifiedBy>Jones, Molly (ACF)</cp:lastModifiedBy>
  <cp:revision>4</cp:revision>
  <dcterms:created xsi:type="dcterms:W3CDTF">2020-02-19T14:29:00Z</dcterms:created>
  <dcterms:modified xsi:type="dcterms:W3CDTF">2020-02-20T19:11:00Z</dcterms:modified>
</cp:coreProperties>
</file>