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2AB" w:rsidRDefault="003542AB" w14:paraId="68E8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p>
    <w:p w:rsidR="00295103" w:rsidRDefault="00295103" w14:paraId="2EA54D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14:paraId="16A52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4E75B9" w:rsidRDefault="004E75B9" w14:paraId="58C2F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E75B9">
        <w:rPr>
          <w:b/>
          <w:bCs/>
          <w:sz w:val="32"/>
          <w:szCs w:val="32"/>
        </w:rPr>
        <w:t>Trust Land Mortgage Lender Checklist</w:t>
      </w:r>
      <w:r>
        <w:rPr>
          <w:b/>
          <w:bCs/>
          <w:sz w:val="32"/>
          <w:szCs w:val="32"/>
        </w:rPr>
        <w:t>s</w:t>
      </w:r>
    </w:p>
    <w:p w:rsidR="004E75B9" w:rsidP="004E75B9" w:rsidRDefault="004E75B9" w14:paraId="4A544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rsidRDefault="00C76752" w14:paraId="1DA88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1076-NEW</w:t>
      </w:r>
    </w:p>
    <w:p w:rsidR="009B359F" w:rsidP="003F73B8" w:rsidRDefault="009B359F" w14:paraId="66730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9B359F" w:rsidP="000F3AF1" w:rsidRDefault="000F3AF1" w14:paraId="66011D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rsidRDefault="009B359F" w14:paraId="53D94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5100A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21194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61FE4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7389B7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54DC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138E8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E12A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0D3FE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6789F8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FB5E17" w:rsidP="00D53FA7" w:rsidRDefault="00FB5E17" w14:paraId="32FDA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53FA7" w:rsidR="00D53FA7" w:rsidP="00D53FA7" w:rsidRDefault="00D53FA7" w14:paraId="48DB9A34" w14:textId="77777777">
      <w:pPr>
        <w:rPr>
          <w:sz w:val="24"/>
          <w:szCs w:val="22"/>
        </w:rPr>
      </w:pPr>
      <w:r w:rsidRPr="00D53FA7">
        <w:rPr>
          <w:sz w:val="24"/>
          <w:szCs w:val="22"/>
        </w:rPr>
        <w:t xml:space="preserve">This information collection is necessary for the Bureau of Indian Affairs (BIA) to </w:t>
      </w:r>
      <w:r w:rsidR="00FB5E17">
        <w:rPr>
          <w:sz w:val="24"/>
          <w:szCs w:val="22"/>
        </w:rPr>
        <w:t>continue to approve mortgages on trust or restricted land</w:t>
      </w:r>
      <w:r w:rsidR="000A26CA">
        <w:rPr>
          <w:sz w:val="24"/>
          <w:szCs w:val="22"/>
        </w:rPr>
        <w:t xml:space="preserve"> by simplifying the process for </w:t>
      </w:r>
      <w:r w:rsidR="00045808">
        <w:rPr>
          <w:sz w:val="24"/>
          <w:szCs w:val="22"/>
        </w:rPr>
        <w:t>respondents</w:t>
      </w:r>
      <w:r w:rsidRPr="00D53FA7">
        <w:rPr>
          <w:sz w:val="24"/>
          <w:szCs w:val="22"/>
        </w:rPr>
        <w:t>.</w:t>
      </w:r>
      <w:r w:rsidR="00FB5E17">
        <w:rPr>
          <w:sz w:val="24"/>
          <w:szCs w:val="22"/>
        </w:rPr>
        <w:t xml:space="preserve"> In accordance with 25 CFR 152.34 any individual Indian owner of trust or restricted lands, may with the approval of the Secretary execute a mortgage or deed of trust to his land</w:t>
      </w:r>
      <w:r w:rsidR="008C46CE">
        <w:rPr>
          <w:sz w:val="24"/>
          <w:szCs w:val="22"/>
        </w:rPr>
        <w:t xml:space="preserve"> for the purpose of home acquisition and construction, home improvements, and economic development</w:t>
      </w:r>
      <w:r w:rsidR="00FB5E17">
        <w:rPr>
          <w:sz w:val="24"/>
          <w:szCs w:val="22"/>
        </w:rPr>
        <w:t xml:space="preserve">. Such lands shall be subject to foreclosure or sale pursuant to the terms of the mortgage or deed of trust in accordance with </w:t>
      </w:r>
      <w:r w:rsidR="008F5F56">
        <w:rPr>
          <w:sz w:val="24"/>
          <w:szCs w:val="22"/>
        </w:rPr>
        <w:t>the State in which the lands are located. 25 U.S.C</w:t>
      </w:r>
      <w:r w:rsidR="0009611C">
        <w:rPr>
          <w:sz w:val="24"/>
          <w:szCs w:val="22"/>
        </w:rPr>
        <w:t xml:space="preserve">. </w:t>
      </w:r>
      <w:r w:rsidR="008F5F56">
        <w:rPr>
          <w:sz w:val="24"/>
          <w:szCs w:val="22"/>
        </w:rPr>
        <w:t xml:space="preserve">5135 authorizes land be subject to foreclosure or sale pursuant to the terms of such mortgage or deed of trust in accordance with the laws of the tribe which has jurisdiction over such land or, in the case where no tribal foreclosure law exists, in accordance with the State. </w:t>
      </w:r>
    </w:p>
    <w:p w:rsidR="002C2DA0" w:rsidRDefault="002C2DA0" w14:paraId="2BB79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C9A1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rsidRDefault="00295103" w14:paraId="7F1FE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2467" w:rsidP="00C36F07" w:rsidRDefault="00D53FA7" w14:paraId="06EFDBEE" w14:textId="77777777">
      <w:pPr>
        <w:rPr>
          <w:sz w:val="24"/>
          <w:szCs w:val="22"/>
        </w:rPr>
      </w:pPr>
      <w:r w:rsidRPr="00D53FA7">
        <w:rPr>
          <w:sz w:val="24"/>
          <w:szCs w:val="22"/>
        </w:rPr>
        <w:t>BIA uses the information it collect</w:t>
      </w:r>
      <w:r w:rsidR="00FA2467">
        <w:rPr>
          <w:sz w:val="24"/>
          <w:szCs w:val="22"/>
        </w:rPr>
        <w:t xml:space="preserve">s </w:t>
      </w:r>
      <w:r w:rsidR="00680B44">
        <w:rPr>
          <w:sz w:val="24"/>
          <w:szCs w:val="22"/>
        </w:rPr>
        <w:t xml:space="preserve">from the Lender utilizing </w:t>
      </w:r>
      <w:r w:rsidR="00C36F07">
        <w:rPr>
          <w:sz w:val="24"/>
          <w:szCs w:val="22"/>
        </w:rPr>
        <w:t xml:space="preserve">both </w:t>
      </w:r>
      <w:r w:rsidR="00680B44">
        <w:rPr>
          <w:sz w:val="24"/>
          <w:szCs w:val="22"/>
        </w:rPr>
        <w:t xml:space="preserve">the Land Mortgage Lender Loan Checklist </w:t>
      </w:r>
      <w:r w:rsidR="00C36F07">
        <w:rPr>
          <w:sz w:val="24"/>
          <w:szCs w:val="22"/>
        </w:rPr>
        <w:t xml:space="preserve">and Leasehold Mortgage Lender Checklist </w:t>
      </w:r>
      <w:r w:rsidR="00FA2467">
        <w:rPr>
          <w:sz w:val="24"/>
          <w:szCs w:val="22"/>
        </w:rPr>
        <w:t xml:space="preserve">to review the trust mortgage </w:t>
      </w:r>
      <w:r w:rsidR="00FA2467">
        <w:rPr>
          <w:sz w:val="24"/>
          <w:szCs w:val="22"/>
        </w:rPr>
        <w:lastRenderedPageBreak/>
        <w:t xml:space="preserve">application for conformity to statutes, policies, and regulations. BIA is responsible for conducting a review of the mortgage application documents </w:t>
      </w:r>
      <w:r w:rsidR="00680B44">
        <w:rPr>
          <w:sz w:val="24"/>
          <w:szCs w:val="22"/>
        </w:rPr>
        <w:t xml:space="preserve">to ensure completeness </w:t>
      </w:r>
      <w:r w:rsidR="00FA2467">
        <w:rPr>
          <w:sz w:val="24"/>
          <w:szCs w:val="22"/>
        </w:rPr>
        <w:t>for recommendat</w:t>
      </w:r>
      <w:r w:rsidR="00680B44">
        <w:rPr>
          <w:sz w:val="24"/>
          <w:szCs w:val="22"/>
        </w:rPr>
        <w:t xml:space="preserve">ion of approval or disapproval. </w:t>
      </w:r>
      <w:r w:rsidR="00460312">
        <w:rPr>
          <w:sz w:val="24"/>
          <w:szCs w:val="22"/>
        </w:rPr>
        <w:t xml:space="preserve">The documents on the following checklists are required from the Lender, these documents the Lender already has prepared. </w:t>
      </w:r>
    </w:p>
    <w:p w:rsidR="00C36F07" w:rsidP="00C36F07" w:rsidRDefault="00C36F07" w14:paraId="3AD4E78B" w14:textId="77777777">
      <w:pPr>
        <w:rPr>
          <w:sz w:val="24"/>
          <w:szCs w:val="22"/>
        </w:rPr>
      </w:pPr>
    </w:p>
    <w:p w:rsidR="00C36F07" w:rsidP="00C36F07" w:rsidRDefault="00C36F07" w14:paraId="14C38E2C" w14:textId="35307FD9">
      <w:pPr>
        <w:rPr>
          <w:sz w:val="24"/>
          <w:szCs w:val="22"/>
        </w:rPr>
      </w:pPr>
      <w:r>
        <w:rPr>
          <w:sz w:val="24"/>
          <w:szCs w:val="22"/>
        </w:rPr>
        <w:t>The Land Mortgage Lender Loan Checklist</w:t>
      </w:r>
      <w:r w:rsidR="00B20103">
        <w:rPr>
          <w:sz w:val="24"/>
          <w:szCs w:val="22"/>
        </w:rPr>
        <w:t xml:space="preserve"> (25 CFR 152.34)</w:t>
      </w:r>
      <w:r>
        <w:rPr>
          <w:sz w:val="24"/>
          <w:szCs w:val="22"/>
        </w:rPr>
        <w:t xml:space="preserve"> </w:t>
      </w:r>
      <w:r w:rsidR="006A6FFA">
        <w:rPr>
          <w:sz w:val="24"/>
          <w:szCs w:val="22"/>
        </w:rPr>
        <w:t>requests</w:t>
      </w:r>
      <w:r w:rsidR="00AD6E83">
        <w:rPr>
          <w:sz w:val="24"/>
          <w:szCs w:val="22"/>
        </w:rPr>
        <w:t xml:space="preserve"> the following documents needed for a thorough review: commitment letter; satisfaction, if a refinance; borrower’s application; lenders’ appraisal; authorization to share information with BIA; </w:t>
      </w:r>
      <w:r w:rsidRPr="00232C54" w:rsidR="00232C54">
        <w:rPr>
          <w:sz w:val="24"/>
          <w:szCs w:val="22"/>
        </w:rPr>
        <w:t>National Environmental Policy Act</w:t>
      </w:r>
      <w:r w:rsidR="00232C54">
        <w:rPr>
          <w:sz w:val="24"/>
          <w:szCs w:val="22"/>
        </w:rPr>
        <w:t xml:space="preserve"> (</w:t>
      </w:r>
      <w:r w:rsidR="00AD6E83">
        <w:rPr>
          <w:sz w:val="24"/>
          <w:szCs w:val="22"/>
        </w:rPr>
        <w:t>NEPA</w:t>
      </w:r>
      <w:r w:rsidR="00232C54">
        <w:rPr>
          <w:sz w:val="24"/>
          <w:szCs w:val="22"/>
        </w:rPr>
        <w:t>)</w:t>
      </w:r>
      <w:r w:rsidR="00AD6E83">
        <w:rPr>
          <w:sz w:val="24"/>
          <w:szCs w:val="22"/>
        </w:rPr>
        <w:t xml:space="preserve"> documentation; survey/site report; </w:t>
      </w:r>
      <w:r w:rsidR="00232C54">
        <w:rPr>
          <w:sz w:val="24"/>
          <w:szCs w:val="22"/>
        </w:rPr>
        <w:t>Rights-of-Way (</w:t>
      </w:r>
      <w:r w:rsidR="00AD6E83">
        <w:rPr>
          <w:sz w:val="24"/>
          <w:szCs w:val="22"/>
        </w:rPr>
        <w:t>ROW</w:t>
      </w:r>
      <w:r w:rsidR="00232C54">
        <w:rPr>
          <w:sz w:val="24"/>
          <w:szCs w:val="22"/>
        </w:rPr>
        <w:t>)</w:t>
      </w:r>
      <w:r w:rsidR="00AD6E83">
        <w:rPr>
          <w:sz w:val="24"/>
          <w:szCs w:val="22"/>
        </w:rPr>
        <w:t xml:space="preserve"> for ingress/egress; certified </w:t>
      </w:r>
      <w:r w:rsidR="00232C54">
        <w:rPr>
          <w:sz w:val="24"/>
          <w:szCs w:val="22"/>
        </w:rPr>
        <w:t>Title Status Report (</w:t>
      </w:r>
      <w:r w:rsidR="00AD6E83">
        <w:rPr>
          <w:sz w:val="24"/>
          <w:szCs w:val="22"/>
        </w:rPr>
        <w:t>TSR</w:t>
      </w:r>
      <w:r w:rsidR="00232C54">
        <w:rPr>
          <w:sz w:val="24"/>
          <w:szCs w:val="22"/>
        </w:rPr>
        <w:t>)</w:t>
      </w:r>
      <w:r w:rsidR="00AD6E83">
        <w:rPr>
          <w:sz w:val="24"/>
          <w:szCs w:val="22"/>
        </w:rPr>
        <w:t xml:space="preserve">; draft mortgage documents; statement Borrower is not delinquent on federal debt; proof of employment. </w:t>
      </w:r>
    </w:p>
    <w:p w:rsidRPr="00B20103" w:rsidR="00AD6E83" w:rsidP="00C36F07" w:rsidRDefault="00AD6E83" w14:paraId="2D31FD2F" w14:textId="77777777">
      <w:pPr>
        <w:rPr>
          <w:sz w:val="24"/>
          <w:szCs w:val="24"/>
        </w:rPr>
      </w:pPr>
    </w:p>
    <w:p w:rsidR="00AD6E83" w:rsidP="00B20103" w:rsidRDefault="00AD6E83" w14:paraId="71CACDB0" w14:textId="6DD234E3">
      <w:pPr>
        <w:widowControl/>
        <w:autoSpaceDE/>
        <w:autoSpaceDN/>
        <w:adjustRightInd/>
        <w:rPr>
          <w:sz w:val="24"/>
          <w:szCs w:val="22"/>
        </w:rPr>
      </w:pPr>
      <w:r w:rsidRPr="00B20103">
        <w:rPr>
          <w:sz w:val="24"/>
          <w:szCs w:val="24"/>
        </w:rPr>
        <w:t xml:space="preserve">The Leasehold Mortgage Lender Checklist </w:t>
      </w:r>
      <w:r w:rsidRPr="00B20103" w:rsidR="00B20103">
        <w:rPr>
          <w:sz w:val="24"/>
          <w:szCs w:val="24"/>
        </w:rPr>
        <w:t xml:space="preserve">(162.244, 162.357, 162.457, 162.582, 169.210) </w:t>
      </w:r>
      <w:r w:rsidRPr="00B20103">
        <w:rPr>
          <w:sz w:val="24"/>
          <w:szCs w:val="24"/>
        </w:rPr>
        <w:t>requests the following documents needed for a thorough review for approval or disapproval: approved</w:t>
      </w:r>
      <w:r w:rsidRPr="00B20103">
        <w:rPr>
          <w:sz w:val="28"/>
          <w:szCs w:val="22"/>
        </w:rPr>
        <w:t xml:space="preserve"> </w:t>
      </w:r>
      <w:r>
        <w:rPr>
          <w:sz w:val="24"/>
          <w:szCs w:val="22"/>
        </w:rPr>
        <w:t xml:space="preserve">BIA lease; TSR; original mortgage documents, including deed of trust, promissory note, and program rider; survey plat of the homesite location; consent of the landowners; satisfaction, if a refinance. </w:t>
      </w:r>
    </w:p>
    <w:p w:rsidR="006E6FE9" w:rsidP="00B20103" w:rsidRDefault="006E6FE9" w14:paraId="3443D1F7" w14:textId="2FAECABF">
      <w:pPr>
        <w:widowControl/>
        <w:autoSpaceDE/>
        <w:autoSpaceDN/>
        <w:adjustRightInd/>
        <w:rPr>
          <w:sz w:val="24"/>
          <w:szCs w:val="22"/>
        </w:rPr>
      </w:pPr>
    </w:p>
    <w:p w:rsidRPr="006E6FE9" w:rsidR="00B44880" w:rsidP="006E6FE9" w:rsidRDefault="006E6FE9" w14:paraId="50D8BE01" w14:textId="4BEC8647">
      <w:pPr>
        <w:widowControl/>
        <w:autoSpaceDE/>
        <w:autoSpaceDN/>
        <w:adjustRightInd/>
      </w:pPr>
      <w:r>
        <w:rPr>
          <w:sz w:val="24"/>
          <w:szCs w:val="22"/>
        </w:rPr>
        <w:t>Both forms were developed i</w:t>
      </w:r>
      <w:r w:rsidRPr="006E6FE9">
        <w:rPr>
          <w:sz w:val="24"/>
          <w:szCs w:val="22"/>
        </w:rPr>
        <w:t>n order to expedite and s</w:t>
      </w:r>
      <w:r>
        <w:rPr>
          <w:sz w:val="24"/>
          <w:szCs w:val="22"/>
        </w:rPr>
        <w:t>treamline the mortgage process. Each checklist guides the respondent</w:t>
      </w:r>
      <w:r w:rsidRPr="006E6FE9">
        <w:rPr>
          <w:sz w:val="24"/>
          <w:szCs w:val="22"/>
        </w:rPr>
        <w:t xml:space="preserve"> through submitting documents to BI</w:t>
      </w:r>
      <w:r>
        <w:rPr>
          <w:sz w:val="24"/>
          <w:szCs w:val="22"/>
        </w:rPr>
        <w:t>A for a mortgage request review.  Additionally, both checklists provide the respondent</w:t>
      </w:r>
      <w:r w:rsidRPr="006E6FE9">
        <w:rPr>
          <w:sz w:val="24"/>
          <w:szCs w:val="22"/>
        </w:rPr>
        <w:t xml:space="preserve"> with general guidance for documents required for a complete package.  </w:t>
      </w:r>
      <w:r w:rsidR="00B44880">
        <w:rPr>
          <w:sz w:val="24"/>
          <w:szCs w:val="24"/>
        </w:rPr>
        <w:t>Both of these forms are in use without OMB approval.</w:t>
      </w:r>
    </w:p>
    <w:p w:rsidR="00B44880" w:rsidRDefault="00B44880" w14:paraId="25FE00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13F25" w:rsidR="00B13F25" w:rsidP="00B13F25" w:rsidRDefault="00295103" w14:paraId="1C6374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w:t>
      </w:r>
      <w:r w:rsidR="00B13F25">
        <w:rPr>
          <w:b/>
          <w:sz w:val="24"/>
          <w:szCs w:val="24"/>
        </w:rPr>
        <w:t>ection meets GPEA requirements.</w:t>
      </w:r>
      <w:r w:rsidR="00B13F25">
        <w:tab/>
      </w:r>
    </w:p>
    <w:p w:rsidR="00B13F25" w:rsidP="00D53FA7" w:rsidRDefault="00B13F25" w14:paraId="2E79F61F" w14:textId="77777777">
      <w:pPr>
        <w:rPr>
          <w:sz w:val="24"/>
          <w:szCs w:val="22"/>
        </w:rPr>
      </w:pPr>
    </w:p>
    <w:p w:rsidRPr="0069713E" w:rsidR="0069713E" w:rsidP="0069713E" w:rsidRDefault="00D53FA7" w14:paraId="12A3F45E" w14:textId="77777777">
      <w:pPr>
        <w:rPr>
          <w:sz w:val="24"/>
          <w:szCs w:val="24"/>
        </w:rPr>
      </w:pPr>
      <w:r w:rsidRPr="00D53FA7">
        <w:rPr>
          <w:sz w:val="24"/>
          <w:szCs w:val="22"/>
        </w:rPr>
        <w:t xml:space="preserve">To the extent respondents provide information in written form, rather than orally, BIA accepts the information via fax or e-mail to reduce burden on respondents.  </w:t>
      </w:r>
      <w:r w:rsidRPr="0069713E" w:rsidR="0069713E">
        <w:rPr>
          <w:sz w:val="24"/>
          <w:szCs w:val="24"/>
        </w:rPr>
        <w:t xml:space="preserve">Contact information for Regional and Agency Offices can be found at </w:t>
      </w:r>
      <w:hyperlink w:history="1" r:id="rId8">
        <w:r w:rsidRPr="0069713E" w:rsidR="0069713E">
          <w:rPr>
            <w:color w:val="0000FF"/>
            <w:sz w:val="24"/>
            <w:szCs w:val="24"/>
            <w:u w:val="single"/>
          </w:rPr>
          <w:t>https://www.bia.gov/regional-offices</w:t>
        </w:r>
      </w:hyperlink>
      <w:r w:rsidRPr="0069713E" w:rsidR="0069713E">
        <w:rPr>
          <w:sz w:val="24"/>
          <w:szCs w:val="24"/>
        </w:rPr>
        <w:t xml:space="preserve">. </w:t>
      </w:r>
    </w:p>
    <w:p w:rsidRPr="0069713E" w:rsidR="002C2DA0" w:rsidP="0069713E" w:rsidRDefault="002C2DA0" w14:paraId="1B5583BE" w14:textId="528C6258">
      <w:pPr>
        <w:rPr>
          <w:sz w:val="24"/>
          <w:szCs w:val="22"/>
        </w:rPr>
      </w:pPr>
    </w:p>
    <w:p w:rsidRPr="003B5CB7" w:rsidR="00295103" w:rsidRDefault="00295103" w14:paraId="3AABC3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6A721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53FA7" w:rsidR="00D53FA7" w:rsidP="00D53FA7" w:rsidRDefault="00D53FA7" w14:paraId="35F9B898" w14:textId="77777777">
      <w:pPr>
        <w:tabs>
          <w:tab w:val="left" w:pos="0"/>
        </w:tabs>
        <w:rPr>
          <w:sz w:val="24"/>
          <w:szCs w:val="22"/>
        </w:rPr>
      </w:pPr>
      <w:r w:rsidRPr="00D53FA7">
        <w:rPr>
          <w:sz w:val="24"/>
          <w:szCs w:val="22"/>
        </w:rPr>
        <w:t xml:space="preserve">This information collected </w:t>
      </w:r>
      <w:r w:rsidR="00B20103">
        <w:rPr>
          <w:sz w:val="24"/>
          <w:szCs w:val="22"/>
        </w:rPr>
        <w:t xml:space="preserve">on these checklists </w:t>
      </w:r>
      <w:r w:rsidRPr="00D53FA7">
        <w:rPr>
          <w:sz w:val="24"/>
          <w:szCs w:val="22"/>
        </w:rPr>
        <w:t xml:space="preserve">is not duplicated in any other data collection.  In keeping with the Paperwork Reduction Act and other statutory requirements, the information collected is the minimum needed </w:t>
      </w:r>
      <w:r w:rsidR="009352FB">
        <w:rPr>
          <w:sz w:val="24"/>
          <w:szCs w:val="22"/>
        </w:rPr>
        <w:t>to operate the program</w:t>
      </w:r>
      <w:r w:rsidRPr="00D53FA7">
        <w:rPr>
          <w:sz w:val="24"/>
          <w:szCs w:val="22"/>
        </w:rPr>
        <w:t>.</w:t>
      </w:r>
    </w:p>
    <w:p w:rsidR="002C2DA0" w:rsidRDefault="002C2DA0" w14:paraId="482B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44F5BB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D53FA7" w:rsidP="00D53FA7" w:rsidRDefault="00D53FA7" w14:paraId="22256CB2" w14:textId="77777777">
      <w:pPr>
        <w:rPr>
          <w:rFonts w:ascii="Arial" w:hAnsi="Arial" w:cs="Arial"/>
          <w:sz w:val="22"/>
          <w:szCs w:val="22"/>
        </w:rPr>
      </w:pPr>
    </w:p>
    <w:p w:rsidR="002C2DA0" w:rsidRDefault="00F737A2" w14:paraId="10C79F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737A2">
        <w:rPr>
          <w:sz w:val="24"/>
          <w:szCs w:val="22"/>
        </w:rPr>
        <w:t xml:space="preserve">There is no significant economic impact on a substantial number of small businesses.  The </w:t>
      </w:r>
      <w:r w:rsidRPr="00F737A2">
        <w:rPr>
          <w:sz w:val="24"/>
          <w:szCs w:val="22"/>
        </w:rPr>
        <w:lastRenderedPageBreak/>
        <w:t xml:space="preserve">information collection burden under the Program is limited further by the fact that information is generally collected only when it is needed.  </w:t>
      </w:r>
    </w:p>
    <w:p w:rsidR="00B36099" w:rsidRDefault="00B36099" w14:paraId="553C5D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07CAEC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0ED931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53FA7" w:rsidR="00D53FA7" w:rsidP="00D53FA7" w:rsidRDefault="009352FB" w14:paraId="3D424853" w14:textId="77777777">
      <w:pPr>
        <w:rPr>
          <w:sz w:val="24"/>
          <w:szCs w:val="24"/>
        </w:rPr>
      </w:pPr>
      <w:r>
        <w:rPr>
          <w:sz w:val="24"/>
          <w:szCs w:val="24"/>
        </w:rPr>
        <w:t>The Secretary uses the information to make a decision in determining whether to approve or disapprove a Trust Land mortgage.</w:t>
      </w:r>
      <w:r w:rsidRPr="00D53FA7" w:rsidR="00D53FA7">
        <w:rPr>
          <w:sz w:val="24"/>
          <w:szCs w:val="24"/>
        </w:rPr>
        <w:t xml:space="preserve">  Information is collected</w:t>
      </w:r>
      <w:r w:rsidR="005764E5">
        <w:rPr>
          <w:sz w:val="24"/>
          <w:szCs w:val="24"/>
        </w:rPr>
        <w:t xml:space="preserve"> from the lender</w:t>
      </w:r>
      <w:r w:rsidRPr="00D53FA7" w:rsidR="00D53FA7">
        <w:rPr>
          <w:sz w:val="24"/>
          <w:szCs w:val="24"/>
        </w:rPr>
        <w:t xml:space="preserve">, as needed, when individual Indians want to enter into </w:t>
      </w:r>
      <w:r>
        <w:rPr>
          <w:sz w:val="24"/>
          <w:szCs w:val="24"/>
        </w:rPr>
        <w:t>a mortgage on their</w:t>
      </w:r>
      <w:r w:rsidRPr="00D53FA7" w:rsidR="00D53FA7">
        <w:rPr>
          <w:sz w:val="24"/>
          <w:szCs w:val="24"/>
        </w:rPr>
        <w:t xml:space="preserve"> land.  </w:t>
      </w:r>
      <w:r>
        <w:rPr>
          <w:sz w:val="24"/>
          <w:szCs w:val="24"/>
        </w:rPr>
        <w:t xml:space="preserve">Applications are initiated by individual Indians; the Secretary is obligated to evaluate such applications and respond accordingly. </w:t>
      </w:r>
    </w:p>
    <w:p w:rsidR="002C2DA0" w:rsidRDefault="002C2DA0" w14:paraId="32DD7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295103" w:rsidRDefault="00295103" w14:paraId="74738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Pr="002C2DA0" w:rsidR="00295103" w:rsidRDefault="00295103" w14:paraId="1030D0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Pr="002C2DA0" w:rsidR="00295103" w:rsidRDefault="00295103" w14:paraId="3BCDD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rsidRPr="002C2DA0" w:rsidR="00295103" w:rsidRDefault="00295103" w14:paraId="629E1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more than an original and two copies of any document;</w:t>
      </w:r>
    </w:p>
    <w:p w:rsidRPr="002C2DA0" w:rsidR="00295103" w:rsidRDefault="00295103" w14:paraId="65EBC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retain records, other than health, medical, government contract, grant-in-aid, or tax records, for more than three years;</w:t>
      </w:r>
    </w:p>
    <w:p w:rsidRPr="002C2DA0" w:rsidR="00295103" w:rsidRDefault="00295103" w14:paraId="2245CA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Pr="002C2DA0" w:rsidR="00295103" w:rsidRDefault="00295103" w14:paraId="6A76F0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the use of a statistical data classification that has not been reviewed and approved by OMB;</w:t>
      </w:r>
    </w:p>
    <w:p w:rsidRPr="002C2DA0" w:rsidR="00295103" w:rsidRDefault="00295103" w14:paraId="6FE27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C2DA0" w:rsidR="00295103" w:rsidRDefault="00295103" w14:paraId="5DEB3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P="002C2DA0" w:rsidRDefault="002C2DA0" w14:paraId="23153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p>
    <w:p w:rsidRPr="00CD6209" w:rsidR="005764E5" w:rsidP="005764E5" w:rsidRDefault="005764E5" w14:paraId="7F09DAE1" w14:textId="77777777">
      <w:pPr>
        <w:rPr>
          <w:sz w:val="24"/>
          <w:szCs w:val="22"/>
        </w:rPr>
      </w:pPr>
      <w:r w:rsidRPr="00CD6209">
        <w:rPr>
          <w:sz w:val="24"/>
          <w:szCs w:val="22"/>
        </w:rPr>
        <w:t>There are no circumstances that require BIA to collect the information in the manner stated above.</w:t>
      </w:r>
    </w:p>
    <w:p w:rsidR="005764E5" w:rsidP="002C2DA0" w:rsidRDefault="005764E5" w14:paraId="381EF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2C2DA0" w:rsidR="00295103" w:rsidRDefault="00295103" w14:paraId="16E47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P="002C2DA0" w:rsidRDefault="002C2DA0" w14:paraId="56D88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027C45" w:rsidR="00602796" w:rsidP="00602796" w:rsidRDefault="00602796" w14:paraId="4B8A2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lastRenderedPageBreak/>
        <w:t>A 60-day notice for public comments was publis</w:t>
      </w:r>
      <w:r>
        <w:rPr>
          <w:sz w:val="24"/>
          <w:szCs w:val="24"/>
        </w:rPr>
        <w:t xml:space="preserve">hed in the Federal Register on </w:t>
      </w:r>
      <w:r w:rsidR="005764E5">
        <w:rPr>
          <w:sz w:val="24"/>
          <w:szCs w:val="24"/>
        </w:rPr>
        <w:t>March 1</w:t>
      </w:r>
      <w:r w:rsidR="00B36099">
        <w:rPr>
          <w:sz w:val="24"/>
          <w:szCs w:val="24"/>
        </w:rPr>
        <w:t>, 201</w:t>
      </w:r>
      <w:r w:rsidR="005764E5">
        <w:rPr>
          <w:sz w:val="24"/>
          <w:szCs w:val="24"/>
        </w:rPr>
        <w:t>9</w:t>
      </w:r>
      <w:r w:rsidR="001067FC">
        <w:rPr>
          <w:sz w:val="24"/>
          <w:szCs w:val="24"/>
        </w:rPr>
        <w:t xml:space="preserve"> (84</w:t>
      </w:r>
      <w:r w:rsidR="00B36099">
        <w:rPr>
          <w:sz w:val="24"/>
          <w:szCs w:val="24"/>
        </w:rPr>
        <w:t xml:space="preserve"> FR </w:t>
      </w:r>
      <w:r w:rsidR="001067FC">
        <w:rPr>
          <w:sz w:val="24"/>
          <w:szCs w:val="24"/>
        </w:rPr>
        <w:t>7110</w:t>
      </w:r>
      <w:r w:rsidR="00B36099">
        <w:rPr>
          <w:sz w:val="24"/>
          <w:szCs w:val="24"/>
        </w:rPr>
        <w:t>).</w:t>
      </w:r>
      <w:r w:rsidR="007A09C2">
        <w:rPr>
          <w:sz w:val="24"/>
          <w:szCs w:val="24"/>
        </w:rPr>
        <w:t xml:space="preserve">  No comments were received.</w:t>
      </w:r>
    </w:p>
    <w:p w:rsidRPr="002C2DA0" w:rsidR="00295103" w:rsidRDefault="00295103" w14:paraId="0D2AE9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14:paraId="425244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741A5C" w:rsidRDefault="00741A5C" w14:paraId="69250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Pr="002C2DA0" w:rsidR="00741A5C" w:rsidP="00741A5C" w:rsidRDefault="00741A5C" w14:paraId="4D88F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B5CB7" w:rsidP="002C2DA0" w:rsidRDefault="003B5CB7" w14:paraId="1AAEB7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2541" w:rsidP="00452541" w:rsidRDefault="00452541" w14:paraId="3BD3BD05" w14:textId="77777777">
      <w:pPr>
        <w:rPr>
          <w:sz w:val="24"/>
          <w:szCs w:val="24"/>
        </w:rPr>
      </w:pPr>
      <w:r w:rsidRPr="00731460">
        <w:rPr>
          <w:sz w:val="24"/>
          <w:szCs w:val="24"/>
        </w:rPr>
        <w:t xml:space="preserve">The BIA </w:t>
      </w:r>
      <w:r w:rsidR="00C76752">
        <w:rPr>
          <w:sz w:val="24"/>
          <w:szCs w:val="24"/>
        </w:rPr>
        <w:t>received feedback from</w:t>
      </w:r>
      <w:r w:rsidR="00731460">
        <w:rPr>
          <w:sz w:val="24"/>
          <w:szCs w:val="24"/>
        </w:rPr>
        <w:t xml:space="preserve"> </w:t>
      </w:r>
      <w:r w:rsidR="001679CB">
        <w:rPr>
          <w:sz w:val="24"/>
          <w:szCs w:val="24"/>
        </w:rPr>
        <w:t>t</w:t>
      </w:r>
      <w:r w:rsidR="00C76752">
        <w:rPr>
          <w:sz w:val="24"/>
          <w:szCs w:val="24"/>
        </w:rPr>
        <w:t>hree</w:t>
      </w:r>
      <w:r w:rsidRPr="00731460">
        <w:rPr>
          <w:sz w:val="24"/>
          <w:szCs w:val="24"/>
        </w:rPr>
        <w:t xml:space="preserve"> </w:t>
      </w:r>
      <w:r w:rsidRPr="00731460" w:rsidR="001067FC">
        <w:rPr>
          <w:sz w:val="24"/>
          <w:szCs w:val="24"/>
        </w:rPr>
        <w:t>lenders</w:t>
      </w:r>
      <w:r w:rsidRPr="00731460">
        <w:rPr>
          <w:sz w:val="24"/>
          <w:szCs w:val="24"/>
        </w:rPr>
        <w:t xml:space="preserve"> from whom this information is to be obtained.  The responses </w:t>
      </w:r>
      <w:r w:rsidR="00C76752">
        <w:rPr>
          <w:sz w:val="24"/>
          <w:szCs w:val="24"/>
        </w:rPr>
        <w:t xml:space="preserve">are </w:t>
      </w:r>
      <w:r w:rsidRPr="00731460">
        <w:rPr>
          <w:sz w:val="24"/>
          <w:szCs w:val="24"/>
        </w:rPr>
        <w:t>summarized below.</w:t>
      </w:r>
      <w:r>
        <w:rPr>
          <w:sz w:val="24"/>
          <w:szCs w:val="24"/>
        </w:rPr>
        <w:t xml:space="preserve"> </w:t>
      </w:r>
    </w:p>
    <w:p w:rsidR="00731460" w:rsidP="00452541" w:rsidRDefault="00731460" w14:paraId="45073731" w14:textId="77777777">
      <w:pPr>
        <w:rPr>
          <w:sz w:val="24"/>
          <w:szCs w:val="24"/>
        </w:rPr>
      </w:pPr>
    </w:p>
    <w:p w:rsidR="00731460" w:rsidP="00452541" w:rsidRDefault="00731460" w14:paraId="40DD2C7D" w14:textId="77777777">
      <w:pPr>
        <w:rPr>
          <w:sz w:val="24"/>
          <w:szCs w:val="24"/>
        </w:rPr>
      </w:pPr>
    </w:p>
    <w:p w:rsidRPr="009714FE" w:rsidR="009714FE" w:rsidP="00731460" w:rsidRDefault="00731460" w14:paraId="0000A183" w14:textId="77777777">
      <w:pPr>
        <w:rPr>
          <w:b/>
          <w:sz w:val="24"/>
          <w:szCs w:val="24"/>
          <w:u w:val="single"/>
        </w:rPr>
      </w:pPr>
      <w:r>
        <w:rPr>
          <w:b/>
          <w:sz w:val="24"/>
          <w:szCs w:val="24"/>
          <w:u w:val="single"/>
        </w:rPr>
        <w:t>Sioux Falls, South Dakota</w:t>
      </w:r>
    </w:p>
    <w:p w:rsidR="00731460" w:rsidP="00731460" w:rsidRDefault="009714FE" w14:paraId="3340D9DC" w14:textId="77777777">
      <w:pPr>
        <w:rPr>
          <w:i/>
          <w:color w:val="000000"/>
          <w:sz w:val="24"/>
          <w:szCs w:val="24"/>
        </w:rPr>
      </w:pPr>
      <w:r>
        <w:rPr>
          <w:i/>
          <w:color w:val="000000"/>
          <w:sz w:val="24"/>
          <w:szCs w:val="24"/>
        </w:rPr>
        <w:t>Loan Officer, 1</w:t>
      </w:r>
      <w:r w:rsidRPr="009714FE">
        <w:rPr>
          <w:i/>
          <w:color w:val="000000"/>
          <w:sz w:val="24"/>
          <w:szCs w:val="24"/>
          <w:vertAlign w:val="superscript"/>
        </w:rPr>
        <w:t>st</w:t>
      </w:r>
      <w:r>
        <w:rPr>
          <w:i/>
          <w:color w:val="000000"/>
          <w:sz w:val="24"/>
          <w:szCs w:val="24"/>
        </w:rPr>
        <w:t xml:space="preserve"> Tribal Lending</w:t>
      </w:r>
      <w:r w:rsidR="00731460">
        <w:rPr>
          <w:i/>
          <w:color w:val="000000"/>
          <w:sz w:val="24"/>
          <w:szCs w:val="24"/>
        </w:rPr>
        <w:t>.</w:t>
      </w:r>
    </w:p>
    <w:p w:rsidRPr="004E36B9" w:rsidR="00731460" w:rsidP="00731460" w:rsidRDefault="00731460" w14:paraId="59F29A66" w14:textId="77777777">
      <w:pPr>
        <w:rPr>
          <w:b/>
          <w:i/>
          <w:sz w:val="24"/>
          <w:szCs w:val="24"/>
          <w:u w:val="single"/>
        </w:rPr>
      </w:pPr>
    </w:p>
    <w:p w:rsidR="009714FE" w:rsidP="00731460" w:rsidRDefault="009714FE" w14:paraId="4B1A1BA3" w14:textId="2D258BD1">
      <w:pPr>
        <w:rPr>
          <w:sz w:val="24"/>
          <w:szCs w:val="24"/>
        </w:rPr>
      </w:pPr>
      <w:r>
        <w:rPr>
          <w:sz w:val="24"/>
          <w:szCs w:val="24"/>
        </w:rPr>
        <w:t>The Loan Officer stated the items on the Trust Land Mortgage Lender Checklist</w:t>
      </w:r>
      <w:r w:rsidR="004B4D15">
        <w:rPr>
          <w:sz w:val="24"/>
          <w:szCs w:val="24"/>
        </w:rPr>
        <w:t xml:space="preserve"> are not difficult to send once the loan process has started. Before starting the loan process the lender is requesting a certified Title Status Report, the Lease, National Environmental Policy Act (NEPA) documentation, and credit documents from the borrower. The issue is getting a</w:t>
      </w:r>
      <w:r w:rsidR="00232C54">
        <w:rPr>
          <w:sz w:val="24"/>
          <w:szCs w:val="24"/>
        </w:rPr>
        <w:t xml:space="preserve"> Certified </w:t>
      </w:r>
      <w:r w:rsidRPr="00232C54" w:rsidR="00232C54">
        <w:rPr>
          <w:sz w:val="24"/>
          <w:szCs w:val="24"/>
        </w:rPr>
        <w:t>Title Status Report</w:t>
      </w:r>
      <w:r w:rsidR="004B4D15">
        <w:rPr>
          <w:sz w:val="24"/>
          <w:szCs w:val="24"/>
        </w:rPr>
        <w:t xml:space="preserve"> </w:t>
      </w:r>
      <w:r w:rsidR="00232C54">
        <w:rPr>
          <w:sz w:val="24"/>
          <w:szCs w:val="24"/>
        </w:rPr>
        <w:t>(</w:t>
      </w:r>
      <w:r w:rsidR="004B4D15">
        <w:rPr>
          <w:sz w:val="24"/>
          <w:szCs w:val="24"/>
        </w:rPr>
        <w:t>CTSR</w:t>
      </w:r>
      <w:r w:rsidR="00232C54">
        <w:rPr>
          <w:sz w:val="24"/>
          <w:szCs w:val="24"/>
        </w:rPr>
        <w:t>)</w:t>
      </w:r>
      <w:r w:rsidR="004B4D15">
        <w:rPr>
          <w:sz w:val="24"/>
          <w:szCs w:val="24"/>
        </w:rPr>
        <w:t xml:space="preserve"> </w:t>
      </w:r>
      <w:r w:rsidR="00A15525">
        <w:rPr>
          <w:sz w:val="24"/>
          <w:szCs w:val="24"/>
        </w:rPr>
        <w:t xml:space="preserve">in a timely manner from some areas. The lender stated they have areas in Montana where it can take months to obtain a CTSR before starting a loan, whereas in other areas around the country it will only take a few weeks on average. The lender stated the biggest difficulty is getting a CTSR when getting a loan started and through the process. </w:t>
      </w:r>
    </w:p>
    <w:p w:rsidR="00A15525" w:rsidP="00731460" w:rsidRDefault="00A15525" w14:paraId="43A31B39" w14:textId="77777777">
      <w:pPr>
        <w:rPr>
          <w:sz w:val="24"/>
          <w:szCs w:val="24"/>
        </w:rPr>
      </w:pPr>
    </w:p>
    <w:p w:rsidR="00A15525" w:rsidP="00731460" w:rsidRDefault="00A15525" w14:paraId="63583FD5" w14:textId="77777777">
      <w:pPr>
        <w:rPr>
          <w:sz w:val="24"/>
          <w:szCs w:val="24"/>
        </w:rPr>
      </w:pPr>
      <w:r>
        <w:rPr>
          <w:sz w:val="24"/>
          <w:szCs w:val="24"/>
        </w:rPr>
        <w:t>The instructions are clear enough to provide the documents to BIA. The documents the BIA are asking for in the Checklist are appropriate and reasonable.</w:t>
      </w:r>
      <w:r w:rsidR="00026242">
        <w:rPr>
          <w:sz w:val="24"/>
          <w:szCs w:val="24"/>
        </w:rPr>
        <w:t xml:space="preserve"> </w:t>
      </w:r>
      <w:r>
        <w:rPr>
          <w:sz w:val="24"/>
          <w:szCs w:val="24"/>
        </w:rPr>
        <w:t xml:space="preserve">The BIA is making sure that the lender is doing their due diligence and setting up the borrower for success and not failure. </w:t>
      </w:r>
      <w:r w:rsidR="00C35361">
        <w:rPr>
          <w:sz w:val="24"/>
          <w:szCs w:val="24"/>
        </w:rPr>
        <w:t>The lender stated that it is appropriate that the BIA gets income, credit and asset documents to make sure the lender is doing what is best for the borrower.</w:t>
      </w:r>
      <w:r w:rsidR="00C76752">
        <w:rPr>
          <w:sz w:val="24"/>
          <w:szCs w:val="24"/>
        </w:rPr>
        <w:t xml:space="preserve"> The only concern </w:t>
      </w:r>
      <w:r w:rsidR="00026242">
        <w:rPr>
          <w:sz w:val="24"/>
          <w:szCs w:val="24"/>
        </w:rPr>
        <w:t>is some BIA offices are requiring them to mail the package as the BIA office cannot/will not print the documents. The lender suggested for timing and ease, the BIA to accept a PDF/scanned version of the documents.</w:t>
      </w:r>
    </w:p>
    <w:p w:rsidR="00460312" w:rsidP="00731460" w:rsidRDefault="00460312" w14:paraId="4B95BE52" w14:textId="77777777">
      <w:pPr>
        <w:rPr>
          <w:sz w:val="24"/>
          <w:szCs w:val="24"/>
        </w:rPr>
      </w:pPr>
    </w:p>
    <w:p w:rsidR="00460312" w:rsidP="00731460" w:rsidRDefault="001B7F86" w14:paraId="5872FE96" w14:textId="08573049">
      <w:pPr>
        <w:rPr>
          <w:sz w:val="24"/>
          <w:szCs w:val="24"/>
        </w:rPr>
      </w:pPr>
      <w:r w:rsidRPr="00F03A1F">
        <w:rPr>
          <w:sz w:val="24"/>
          <w:szCs w:val="24"/>
        </w:rPr>
        <w:t xml:space="preserve">The BIA </w:t>
      </w:r>
      <w:r w:rsidR="0069713E">
        <w:rPr>
          <w:sz w:val="24"/>
          <w:szCs w:val="24"/>
        </w:rPr>
        <w:t xml:space="preserve">now allows respondents to submit information electronically. </w:t>
      </w:r>
      <w:r w:rsidRPr="0069713E" w:rsidR="0069713E">
        <w:rPr>
          <w:sz w:val="24"/>
          <w:szCs w:val="24"/>
        </w:rPr>
        <w:t xml:space="preserve">Contact information for Regional and Agency Offices can be found at </w:t>
      </w:r>
      <w:hyperlink w:history="1" r:id="rId9">
        <w:r w:rsidRPr="0069713E" w:rsidR="0069713E">
          <w:rPr>
            <w:color w:val="0000FF"/>
            <w:sz w:val="24"/>
            <w:szCs w:val="24"/>
            <w:u w:val="single"/>
          </w:rPr>
          <w:t>https://www.bia.gov/regional-offices</w:t>
        </w:r>
      </w:hyperlink>
      <w:r w:rsidRPr="0069713E" w:rsidR="0069713E">
        <w:rPr>
          <w:sz w:val="24"/>
          <w:szCs w:val="24"/>
        </w:rPr>
        <w:t xml:space="preserve">. </w:t>
      </w:r>
      <w:bookmarkStart w:name="_GoBack" w:id="0"/>
      <w:bookmarkEnd w:id="0"/>
    </w:p>
    <w:p w:rsidR="009714FE" w:rsidP="00731460" w:rsidRDefault="009714FE" w14:paraId="4E9DB082" w14:textId="77777777">
      <w:pPr>
        <w:rPr>
          <w:sz w:val="24"/>
          <w:szCs w:val="24"/>
        </w:rPr>
      </w:pPr>
    </w:p>
    <w:p w:rsidRPr="009714FE" w:rsidR="00C35361" w:rsidP="00C35361" w:rsidRDefault="00553298" w14:paraId="12895A46" w14:textId="77777777">
      <w:pPr>
        <w:rPr>
          <w:b/>
          <w:sz w:val="24"/>
          <w:szCs w:val="24"/>
          <w:u w:val="single"/>
        </w:rPr>
      </w:pPr>
      <w:r>
        <w:rPr>
          <w:b/>
          <w:sz w:val="24"/>
          <w:szCs w:val="24"/>
          <w:u w:val="single"/>
        </w:rPr>
        <w:t>Oklahoma City, Oklahoma</w:t>
      </w:r>
    </w:p>
    <w:p w:rsidR="00C35361" w:rsidP="00C35361" w:rsidRDefault="00026242" w14:paraId="3A58EA40" w14:textId="77777777">
      <w:pPr>
        <w:rPr>
          <w:i/>
          <w:color w:val="000000"/>
          <w:sz w:val="24"/>
          <w:szCs w:val="24"/>
        </w:rPr>
      </w:pPr>
      <w:r>
        <w:rPr>
          <w:i/>
          <w:color w:val="000000"/>
          <w:sz w:val="24"/>
          <w:szCs w:val="24"/>
        </w:rPr>
        <w:t>Mortgage Production Manager</w:t>
      </w:r>
      <w:r w:rsidR="00C35361">
        <w:rPr>
          <w:i/>
          <w:color w:val="000000"/>
          <w:sz w:val="24"/>
          <w:szCs w:val="24"/>
        </w:rPr>
        <w:t xml:space="preserve">, </w:t>
      </w:r>
      <w:r w:rsidR="00553298">
        <w:rPr>
          <w:i/>
          <w:color w:val="000000"/>
          <w:sz w:val="24"/>
          <w:szCs w:val="24"/>
        </w:rPr>
        <w:t>Bank2</w:t>
      </w:r>
      <w:r w:rsidR="00C35361">
        <w:rPr>
          <w:i/>
          <w:color w:val="000000"/>
          <w:sz w:val="24"/>
          <w:szCs w:val="24"/>
        </w:rPr>
        <w:t>.</w:t>
      </w:r>
    </w:p>
    <w:p w:rsidR="009714FE" w:rsidP="00731460" w:rsidRDefault="009714FE" w14:paraId="001F6349" w14:textId="77777777">
      <w:pPr>
        <w:rPr>
          <w:sz w:val="24"/>
          <w:szCs w:val="24"/>
        </w:rPr>
      </w:pPr>
    </w:p>
    <w:p w:rsidR="008B08BA" w:rsidP="00452541" w:rsidRDefault="00553298" w14:paraId="4F308651" w14:textId="77777777">
      <w:pPr>
        <w:rPr>
          <w:sz w:val="24"/>
          <w:szCs w:val="24"/>
        </w:rPr>
      </w:pPr>
      <w:r>
        <w:rPr>
          <w:sz w:val="24"/>
          <w:szCs w:val="24"/>
        </w:rPr>
        <w:t xml:space="preserve">The </w:t>
      </w:r>
      <w:r w:rsidR="00026242">
        <w:rPr>
          <w:sz w:val="24"/>
          <w:szCs w:val="24"/>
        </w:rPr>
        <w:t>lender</w:t>
      </w:r>
      <w:r>
        <w:rPr>
          <w:sz w:val="24"/>
          <w:szCs w:val="24"/>
        </w:rPr>
        <w:t xml:space="preserve"> stated </w:t>
      </w:r>
      <w:r w:rsidR="00C76752">
        <w:rPr>
          <w:sz w:val="24"/>
          <w:szCs w:val="24"/>
        </w:rPr>
        <w:t>that the</w:t>
      </w:r>
      <w:r>
        <w:rPr>
          <w:sz w:val="24"/>
          <w:szCs w:val="24"/>
        </w:rPr>
        <w:t xml:space="preserve"> Checklist contain</w:t>
      </w:r>
      <w:r w:rsidR="00C76752">
        <w:rPr>
          <w:sz w:val="24"/>
          <w:szCs w:val="24"/>
        </w:rPr>
        <w:t>s</w:t>
      </w:r>
      <w:r>
        <w:rPr>
          <w:sz w:val="24"/>
          <w:szCs w:val="24"/>
        </w:rPr>
        <w:t xml:space="preserve"> most of the documents they currently submit. The </w:t>
      </w:r>
      <w:r>
        <w:rPr>
          <w:sz w:val="24"/>
          <w:szCs w:val="24"/>
        </w:rPr>
        <w:lastRenderedPageBreak/>
        <w:t xml:space="preserve">main difficulty in providing the information is the availability of some of the items, survey, and/or different reports between </w:t>
      </w:r>
      <w:r w:rsidR="00C76752">
        <w:rPr>
          <w:sz w:val="24"/>
          <w:szCs w:val="24"/>
        </w:rPr>
        <w:t xml:space="preserve">Housing and Urban Development (HUD) and </w:t>
      </w:r>
      <w:r>
        <w:rPr>
          <w:sz w:val="24"/>
          <w:szCs w:val="24"/>
        </w:rPr>
        <w:t xml:space="preserve">BIA (e.g. </w:t>
      </w:r>
      <w:r w:rsidR="00C76752">
        <w:rPr>
          <w:sz w:val="24"/>
          <w:szCs w:val="24"/>
        </w:rPr>
        <w:t>National Environmental Policy Act (</w:t>
      </w:r>
      <w:r>
        <w:rPr>
          <w:sz w:val="24"/>
          <w:szCs w:val="24"/>
        </w:rPr>
        <w:t>NEPA</w:t>
      </w:r>
      <w:r w:rsidR="00C76752">
        <w:rPr>
          <w:sz w:val="24"/>
          <w:szCs w:val="24"/>
        </w:rPr>
        <w:t>)</w:t>
      </w:r>
      <w:r>
        <w:rPr>
          <w:sz w:val="24"/>
          <w:szCs w:val="24"/>
        </w:rPr>
        <w:t xml:space="preserve"> vs. Cat</w:t>
      </w:r>
      <w:r w:rsidR="00C76752">
        <w:rPr>
          <w:sz w:val="24"/>
          <w:szCs w:val="24"/>
        </w:rPr>
        <w:t>egorical</w:t>
      </w:r>
      <w:r>
        <w:rPr>
          <w:sz w:val="24"/>
          <w:szCs w:val="24"/>
        </w:rPr>
        <w:t xml:space="preserve"> Ex</w:t>
      </w:r>
      <w:r w:rsidR="00C76752">
        <w:rPr>
          <w:sz w:val="24"/>
          <w:szCs w:val="24"/>
        </w:rPr>
        <w:t>clusions</w:t>
      </w:r>
      <w:r>
        <w:rPr>
          <w:sz w:val="24"/>
          <w:szCs w:val="24"/>
        </w:rPr>
        <w:t>). The lender stated they have no way to provide NEPA unless supplied by BIA. The lender stated they supply this information</w:t>
      </w:r>
      <w:r w:rsidR="00026242">
        <w:rPr>
          <w:sz w:val="24"/>
          <w:szCs w:val="24"/>
        </w:rPr>
        <w:t xml:space="preserve"> each time they subm</w:t>
      </w:r>
      <w:r>
        <w:rPr>
          <w:sz w:val="24"/>
          <w:szCs w:val="24"/>
        </w:rPr>
        <w:t>it a file for BIA pre-approval w</w:t>
      </w:r>
      <w:r w:rsidR="00026242">
        <w:rPr>
          <w:sz w:val="24"/>
          <w:szCs w:val="24"/>
        </w:rPr>
        <w:t>h</w:t>
      </w:r>
      <w:r>
        <w:rPr>
          <w:sz w:val="24"/>
          <w:szCs w:val="24"/>
        </w:rPr>
        <w:t xml:space="preserve">en land status is an Individual Allotment. The items on the checklist would be more appropriate for a Post-Closing Endorsement checklist, possibly editing the checklist to add a column to make two checklists. </w:t>
      </w:r>
    </w:p>
    <w:p w:rsidR="00026242" w:rsidP="00452541" w:rsidRDefault="00026242" w14:paraId="139D9E02" w14:textId="77777777">
      <w:pPr>
        <w:rPr>
          <w:sz w:val="24"/>
          <w:szCs w:val="24"/>
        </w:rPr>
      </w:pPr>
    </w:p>
    <w:p w:rsidR="00731460" w:rsidP="00452541" w:rsidRDefault="00553298" w14:paraId="20C366A7" w14:textId="77777777">
      <w:pPr>
        <w:rPr>
          <w:sz w:val="24"/>
          <w:szCs w:val="24"/>
        </w:rPr>
      </w:pPr>
      <w:r>
        <w:rPr>
          <w:sz w:val="24"/>
          <w:szCs w:val="24"/>
        </w:rPr>
        <w:t>The lender</w:t>
      </w:r>
      <w:r w:rsidR="00C1487F">
        <w:rPr>
          <w:sz w:val="24"/>
          <w:szCs w:val="24"/>
        </w:rPr>
        <w:t xml:space="preserve"> also</w:t>
      </w:r>
      <w:r>
        <w:rPr>
          <w:sz w:val="24"/>
          <w:szCs w:val="24"/>
        </w:rPr>
        <w:t xml:space="preserve"> stated </w:t>
      </w:r>
      <w:r w:rsidR="00C1487F">
        <w:rPr>
          <w:sz w:val="24"/>
          <w:szCs w:val="24"/>
        </w:rPr>
        <w:t>that there</w:t>
      </w:r>
      <w:r>
        <w:rPr>
          <w:sz w:val="24"/>
          <w:szCs w:val="24"/>
        </w:rPr>
        <w:t xml:space="preserve"> are no concerns with electronic submission as long as standard methods of submission are available.</w:t>
      </w:r>
      <w:r w:rsidR="00026242">
        <w:rPr>
          <w:sz w:val="24"/>
          <w:szCs w:val="24"/>
        </w:rPr>
        <w:t xml:space="preserve"> With the exception of previously mentioned issues, the lender believes all items to be appropriate and reasonable. </w:t>
      </w:r>
    </w:p>
    <w:p w:rsidR="00FE6DA4" w:rsidP="00452541" w:rsidRDefault="00FE6DA4" w14:paraId="0345E9CA" w14:textId="77777777">
      <w:pPr>
        <w:rPr>
          <w:sz w:val="24"/>
          <w:szCs w:val="24"/>
        </w:rPr>
      </w:pPr>
    </w:p>
    <w:p w:rsidR="008B08BA" w:rsidP="00452541" w:rsidRDefault="008B08BA" w14:paraId="2C26AB0C" w14:textId="77777777">
      <w:pPr>
        <w:rPr>
          <w:sz w:val="24"/>
          <w:szCs w:val="24"/>
        </w:rPr>
      </w:pPr>
      <w:r>
        <w:rPr>
          <w:sz w:val="24"/>
          <w:szCs w:val="24"/>
        </w:rPr>
        <w:t>In the future the checklist may be updated to include any changes that need to be addressed by the BIA</w:t>
      </w:r>
      <w:r w:rsidR="00C1487F">
        <w:rPr>
          <w:sz w:val="24"/>
          <w:szCs w:val="24"/>
        </w:rPr>
        <w:t xml:space="preserve"> if it looks like there is significant support for those changes</w:t>
      </w:r>
      <w:r>
        <w:rPr>
          <w:sz w:val="24"/>
          <w:szCs w:val="24"/>
        </w:rPr>
        <w:t>.</w:t>
      </w:r>
      <w:r w:rsidR="00C1487F">
        <w:rPr>
          <w:sz w:val="24"/>
          <w:szCs w:val="24"/>
        </w:rPr>
        <w:t xml:space="preserve">  As this is a new collection, the BIA will address any substantive input on the appearance and organization of the checklist that arises out of its actual and practical use. </w:t>
      </w:r>
    </w:p>
    <w:p w:rsidR="008B08BA" w:rsidP="00452541" w:rsidRDefault="008B08BA" w14:paraId="627CBBD5" w14:textId="77777777">
      <w:pPr>
        <w:rPr>
          <w:sz w:val="24"/>
          <w:szCs w:val="24"/>
        </w:rPr>
      </w:pPr>
    </w:p>
    <w:p w:rsidRPr="009714FE" w:rsidR="00FE6DA4" w:rsidP="00FE6DA4" w:rsidRDefault="00FE6DA4" w14:paraId="663ECE5E" w14:textId="77777777">
      <w:pPr>
        <w:rPr>
          <w:b/>
          <w:sz w:val="24"/>
          <w:szCs w:val="24"/>
          <w:u w:val="single"/>
        </w:rPr>
      </w:pPr>
      <w:r>
        <w:rPr>
          <w:b/>
          <w:sz w:val="24"/>
          <w:szCs w:val="24"/>
          <w:u w:val="single"/>
        </w:rPr>
        <w:t>Chinook, Montana</w:t>
      </w:r>
    </w:p>
    <w:p w:rsidR="00FE6DA4" w:rsidP="00FE6DA4" w:rsidRDefault="00FE6DA4" w14:paraId="127FCCE2" w14:textId="77777777">
      <w:pPr>
        <w:rPr>
          <w:i/>
          <w:color w:val="000000"/>
          <w:sz w:val="24"/>
          <w:szCs w:val="24"/>
        </w:rPr>
      </w:pPr>
      <w:r>
        <w:rPr>
          <w:i/>
          <w:color w:val="000000"/>
          <w:sz w:val="24"/>
          <w:szCs w:val="24"/>
        </w:rPr>
        <w:t>Farm Loan Manager, Farm Service Agency.</w:t>
      </w:r>
    </w:p>
    <w:p w:rsidRPr="008D74C1" w:rsidR="00FE6DA4" w:rsidP="00452541" w:rsidRDefault="00FE6DA4" w14:paraId="4BE3C0AF" w14:textId="77777777">
      <w:pPr>
        <w:rPr>
          <w:sz w:val="24"/>
          <w:szCs w:val="24"/>
        </w:rPr>
      </w:pPr>
    </w:p>
    <w:p w:rsidR="008B08BA" w:rsidP="008B08BA" w:rsidRDefault="00FE6DA4" w14:paraId="7B63D775" w14:textId="77777777">
      <w:pPr>
        <w:rPr>
          <w:sz w:val="24"/>
          <w:szCs w:val="24"/>
        </w:rPr>
      </w:pPr>
      <w:r>
        <w:rPr>
          <w:sz w:val="24"/>
          <w:szCs w:val="24"/>
        </w:rPr>
        <w:t>The lender stated that the information that is being collected is easy to provide to the B</w:t>
      </w:r>
      <w:r w:rsidR="00C76752">
        <w:rPr>
          <w:sz w:val="24"/>
          <w:szCs w:val="24"/>
        </w:rPr>
        <w:t>IA</w:t>
      </w:r>
      <w:r>
        <w:rPr>
          <w:sz w:val="24"/>
          <w:szCs w:val="24"/>
        </w:rPr>
        <w:t>, with the exception of certified Title Status Reports</w:t>
      </w:r>
      <w:r w:rsidR="00C76752">
        <w:rPr>
          <w:sz w:val="24"/>
          <w:szCs w:val="24"/>
        </w:rPr>
        <w:t xml:space="preserve"> (TSR)</w:t>
      </w:r>
      <w:r>
        <w:rPr>
          <w:sz w:val="24"/>
          <w:szCs w:val="24"/>
        </w:rPr>
        <w:t xml:space="preserve">. The instructions are </w:t>
      </w:r>
      <w:r w:rsidR="00F62CF5">
        <w:rPr>
          <w:sz w:val="24"/>
          <w:szCs w:val="24"/>
        </w:rPr>
        <w:t xml:space="preserve">very </w:t>
      </w:r>
      <w:r>
        <w:rPr>
          <w:sz w:val="24"/>
          <w:szCs w:val="24"/>
        </w:rPr>
        <w:t>clea</w:t>
      </w:r>
      <w:r w:rsidR="00F62CF5">
        <w:rPr>
          <w:sz w:val="24"/>
          <w:szCs w:val="24"/>
        </w:rPr>
        <w:t xml:space="preserve">r </w:t>
      </w:r>
      <w:r w:rsidR="00C76752">
        <w:rPr>
          <w:sz w:val="24"/>
          <w:szCs w:val="24"/>
        </w:rPr>
        <w:t>and easy to understand</w:t>
      </w:r>
      <w:r w:rsidR="00F62CF5">
        <w:rPr>
          <w:sz w:val="24"/>
          <w:szCs w:val="24"/>
        </w:rPr>
        <w:t>. The information</w:t>
      </w:r>
      <w:r>
        <w:rPr>
          <w:sz w:val="24"/>
          <w:szCs w:val="24"/>
        </w:rPr>
        <w:t xml:space="preserve"> is only requested once, and is sent with the lender’s request to pre-approve a mortgage. The only concerns the lender stated is</w:t>
      </w:r>
      <w:r w:rsidR="00F62CF5">
        <w:rPr>
          <w:sz w:val="24"/>
          <w:szCs w:val="24"/>
        </w:rPr>
        <w:t xml:space="preserve"> the </w:t>
      </w:r>
      <w:r>
        <w:rPr>
          <w:sz w:val="24"/>
          <w:szCs w:val="24"/>
        </w:rPr>
        <w:t>difficulty of obtaining certified TSR’s</w:t>
      </w:r>
      <w:r w:rsidR="00F62CF5">
        <w:rPr>
          <w:sz w:val="24"/>
          <w:szCs w:val="24"/>
        </w:rPr>
        <w:t xml:space="preserve">, and does not understand why the lender has to provide these. </w:t>
      </w:r>
    </w:p>
    <w:p w:rsidR="008B08BA" w:rsidP="008B08BA" w:rsidRDefault="008B08BA" w14:paraId="404D9432" w14:textId="77777777">
      <w:pPr>
        <w:rPr>
          <w:sz w:val="24"/>
          <w:szCs w:val="24"/>
        </w:rPr>
      </w:pPr>
    </w:p>
    <w:p w:rsidRPr="008B08BA" w:rsidR="008B08BA" w:rsidP="008B08BA" w:rsidRDefault="008B08BA" w14:paraId="7B3B2331" w14:textId="77777777">
      <w:pPr>
        <w:rPr>
          <w:sz w:val="24"/>
          <w:szCs w:val="24"/>
        </w:rPr>
      </w:pPr>
      <w:r>
        <w:rPr>
          <w:sz w:val="24"/>
          <w:szCs w:val="24"/>
        </w:rPr>
        <w:t xml:space="preserve">BIA has addressed the timeframes on issuing certified TSR’s by issuing policy and </w:t>
      </w:r>
      <w:r w:rsidR="00C1487F">
        <w:rPr>
          <w:sz w:val="24"/>
          <w:szCs w:val="24"/>
        </w:rPr>
        <w:t xml:space="preserve">handbooks </w:t>
      </w:r>
      <w:r w:rsidR="00034ACE">
        <w:rPr>
          <w:sz w:val="24"/>
          <w:szCs w:val="24"/>
        </w:rPr>
        <w:t xml:space="preserve">regarding leasehold and land mortgages. </w:t>
      </w:r>
      <w:r w:rsidR="00C1487F">
        <w:rPr>
          <w:sz w:val="24"/>
          <w:szCs w:val="24"/>
        </w:rPr>
        <w:t xml:space="preserve">The </w:t>
      </w:r>
      <w:r w:rsidR="00034ACE">
        <w:rPr>
          <w:sz w:val="24"/>
          <w:szCs w:val="24"/>
        </w:rPr>
        <w:t>BIA request</w:t>
      </w:r>
      <w:r w:rsidR="00C1487F">
        <w:rPr>
          <w:sz w:val="24"/>
          <w:szCs w:val="24"/>
        </w:rPr>
        <w:t>s</w:t>
      </w:r>
      <w:r w:rsidR="00034ACE">
        <w:rPr>
          <w:sz w:val="24"/>
          <w:szCs w:val="24"/>
        </w:rPr>
        <w:t xml:space="preserve"> the TSR for informational purposes</w:t>
      </w:r>
      <w:r w:rsidR="00C1487F">
        <w:rPr>
          <w:sz w:val="24"/>
          <w:szCs w:val="24"/>
        </w:rPr>
        <w:t xml:space="preserve"> that are crucial to the review of the package</w:t>
      </w:r>
      <w:r w:rsidR="00034ACE">
        <w:rPr>
          <w:sz w:val="24"/>
          <w:szCs w:val="24"/>
        </w:rPr>
        <w:t xml:space="preserve">. </w:t>
      </w:r>
    </w:p>
    <w:p w:rsidR="008B08BA" w:rsidRDefault="008B08BA" w14:paraId="26C217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7F10F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rsidRDefault="00D7712F" w14:paraId="49AC6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D53FA7" w:rsidR="00D53FA7" w:rsidP="00D53FA7" w:rsidRDefault="00D53FA7" w14:paraId="755829DE" w14:textId="77777777">
      <w:pPr>
        <w:tabs>
          <w:tab w:val="left" w:pos="720"/>
        </w:tabs>
        <w:ind w:left="720" w:hanging="720"/>
        <w:rPr>
          <w:sz w:val="24"/>
          <w:szCs w:val="22"/>
        </w:rPr>
      </w:pPr>
      <w:r w:rsidRPr="00D53FA7">
        <w:rPr>
          <w:sz w:val="24"/>
          <w:szCs w:val="22"/>
        </w:rPr>
        <w:t xml:space="preserve">The respondents </w:t>
      </w:r>
      <w:r w:rsidR="004C149E">
        <w:rPr>
          <w:sz w:val="24"/>
          <w:szCs w:val="22"/>
        </w:rPr>
        <w:t>do</w:t>
      </w:r>
      <w:r w:rsidRPr="00D53FA7" w:rsidR="004C149E">
        <w:rPr>
          <w:sz w:val="24"/>
          <w:szCs w:val="22"/>
        </w:rPr>
        <w:t xml:space="preserve"> </w:t>
      </w:r>
      <w:r w:rsidRPr="00D53FA7">
        <w:rPr>
          <w:sz w:val="24"/>
          <w:szCs w:val="22"/>
        </w:rPr>
        <w:t>not receive payments or gifts.</w:t>
      </w:r>
    </w:p>
    <w:p w:rsidRPr="002C2DA0" w:rsidR="00295103" w:rsidRDefault="00295103" w14:paraId="524B15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4A6DFA" w:rsidRDefault="00295103" w14:paraId="25752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rsidRDefault="002C2DA0" w14:paraId="1A398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712F" w:rsidP="00E6154A" w:rsidRDefault="00E6154A" w14:paraId="2BFF68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54A">
        <w:rPr>
          <w:sz w:val="24"/>
          <w:szCs w:val="24"/>
        </w:rPr>
        <w:t xml:space="preserve">The information collected in this collection is covered by </w:t>
      </w:r>
      <w:r>
        <w:rPr>
          <w:sz w:val="24"/>
          <w:szCs w:val="24"/>
        </w:rPr>
        <w:t xml:space="preserve">the BIA’s Privacy Act System of </w:t>
      </w:r>
      <w:r w:rsidR="00F806DF">
        <w:rPr>
          <w:sz w:val="24"/>
          <w:szCs w:val="24"/>
        </w:rPr>
        <w:t>Records Notice BIA-12</w:t>
      </w:r>
      <w:r w:rsidRPr="00E6154A">
        <w:rPr>
          <w:sz w:val="24"/>
          <w:szCs w:val="24"/>
        </w:rPr>
        <w:t xml:space="preserve">:  </w:t>
      </w:r>
      <w:r w:rsidR="00F806DF">
        <w:rPr>
          <w:sz w:val="24"/>
          <w:szCs w:val="24"/>
        </w:rPr>
        <w:t>Indian Trust Land Mortgages</w:t>
      </w:r>
      <w:r w:rsidRPr="00E6154A">
        <w:rPr>
          <w:sz w:val="24"/>
          <w:szCs w:val="24"/>
        </w:rPr>
        <w:t xml:space="preserve">.  </w:t>
      </w:r>
      <w:r w:rsidRPr="00B0414E">
        <w:rPr>
          <w:sz w:val="24"/>
          <w:szCs w:val="24"/>
        </w:rPr>
        <w:t>Additionally, BIA</w:t>
      </w:r>
      <w:r w:rsidR="00B0414E">
        <w:rPr>
          <w:sz w:val="24"/>
          <w:szCs w:val="24"/>
        </w:rPr>
        <w:t xml:space="preserve"> agency policy seeks to protect confidential information submitted as a part of this collection.</w:t>
      </w:r>
    </w:p>
    <w:p w:rsidRPr="00E6154A" w:rsidR="00E6154A" w:rsidRDefault="00E6154A" w14:paraId="0057C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2C2DA0" w:rsidR="00295103" w:rsidRDefault="00295103" w14:paraId="427515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2C2DA0">
        <w:rPr>
          <w:b/>
          <w:sz w:val="24"/>
          <w:szCs w:val="24"/>
        </w:rPr>
        <w:lastRenderedPageBreak/>
        <w:t>explanation to be given to persons from whom the information is requested, and any steps to be taken to obtain their consent.</w:t>
      </w:r>
    </w:p>
    <w:p w:rsidR="00D53FA7" w:rsidP="00D53FA7" w:rsidRDefault="00D53FA7" w14:paraId="20C5D991" w14:textId="77777777">
      <w:pPr>
        <w:tabs>
          <w:tab w:val="center" w:pos="4320"/>
          <w:tab w:val="right" w:pos="8640"/>
        </w:tabs>
        <w:rPr>
          <w:sz w:val="24"/>
          <w:szCs w:val="24"/>
        </w:rPr>
      </w:pPr>
    </w:p>
    <w:p w:rsidRPr="00D53FA7" w:rsidR="00F806DF" w:rsidP="00D53FA7" w:rsidRDefault="00F806DF" w14:paraId="61385548" w14:textId="77777777">
      <w:pPr>
        <w:tabs>
          <w:tab w:val="center" w:pos="4320"/>
          <w:tab w:val="right" w:pos="8640"/>
        </w:tabs>
        <w:rPr>
          <w:sz w:val="24"/>
          <w:szCs w:val="22"/>
        </w:rPr>
      </w:pPr>
      <w:r>
        <w:rPr>
          <w:sz w:val="24"/>
          <w:szCs w:val="24"/>
        </w:rPr>
        <w:t>There are no questions of a sensitive nature included in the information collected.</w:t>
      </w:r>
    </w:p>
    <w:p w:rsidRPr="002C2DA0" w:rsidR="00295103" w:rsidRDefault="00295103" w14:paraId="492CA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503E2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Pr="002C2DA0" w:rsidR="00295103" w:rsidRDefault="00295103" w14:paraId="7C05D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C2DA0" w:rsidR="00295103" w:rsidRDefault="00295103" w14:paraId="06B36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Pr="002C2DA0" w:rsidR="00295103" w:rsidRDefault="00295103" w14:paraId="2BF00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rsidRDefault="00D7712F" w14:paraId="31C4CC4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53FA7" w:rsidR="00D53FA7" w:rsidP="00D53FA7" w:rsidRDefault="0016703B" w14:paraId="65DE99E2" w14:textId="77777777">
      <w:pPr>
        <w:rPr>
          <w:sz w:val="24"/>
          <w:szCs w:val="22"/>
        </w:rPr>
      </w:pPr>
      <w:r w:rsidRPr="00731460">
        <w:rPr>
          <w:sz w:val="24"/>
          <w:szCs w:val="22"/>
        </w:rPr>
        <w:t xml:space="preserve">The </w:t>
      </w:r>
      <w:r w:rsidRPr="00F03A1F">
        <w:rPr>
          <w:sz w:val="24"/>
          <w:szCs w:val="24"/>
        </w:rPr>
        <w:t xml:space="preserve">BIA receives an average of </w:t>
      </w:r>
      <w:r w:rsidR="00B20103">
        <w:rPr>
          <w:sz w:val="24"/>
          <w:szCs w:val="24"/>
        </w:rPr>
        <w:t>131</w:t>
      </w:r>
      <w:r w:rsidR="005E0207">
        <w:rPr>
          <w:sz w:val="24"/>
          <w:szCs w:val="24"/>
        </w:rPr>
        <w:t xml:space="preserve"> </w:t>
      </w:r>
      <w:r w:rsidR="008A023B">
        <w:rPr>
          <w:sz w:val="24"/>
          <w:szCs w:val="24"/>
        </w:rPr>
        <w:t xml:space="preserve">submissions </w:t>
      </w:r>
      <w:r w:rsidRPr="00F03A1F">
        <w:rPr>
          <w:sz w:val="24"/>
          <w:szCs w:val="24"/>
        </w:rPr>
        <w:t>per year</w:t>
      </w:r>
      <w:r w:rsidRPr="00F03A1F" w:rsidR="00F03A1F">
        <w:rPr>
          <w:sz w:val="24"/>
          <w:szCs w:val="24"/>
        </w:rPr>
        <w:t>. T</w:t>
      </w:r>
      <w:r w:rsidRPr="00F03A1F" w:rsidR="00D53FA7">
        <w:rPr>
          <w:sz w:val="24"/>
          <w:szCs w:val="24"/>
        </w:rPr>
        <w:t>he estimated total annual number of respondents is</w:t>
      </w:r>
      <w:r w:rsidRPr="00F03A1F" w:rsidR="00731460">
        <w:rPr>
          <w:sz w:val="24"/>
          <w:szCs w:val="24"/>
        </w:rPr>
        <w:t xml:space="preserve"> </w:t>
      </w:r>
      <w:r w:rsidR="00B20103">
        <w:rPr>
          <w:sz w:val="24"/>
          <w:szCs w:val="24"/>
        </w:rPr>
        <w:t>56</w:t>
      </w:r>
      <w:r w:rsidRPr="00F03A1F" w:rsidR="008A023B">
        <w:rPr>
          <w:sz w:val="24"/>
          <w:szCs w:val="24"/>
        </w:rPr>
        <w:t xml:space="preserve"> </w:t>
      </w:r>
      <w:r w:rsidRPr="00F03A1F" w:rsidR="00F03A1F">
        <w:rPr>
          <w:sz w:val="24"/>
          <w:szCs w:val="24"/>
        </w:rPr>
        <w:t xml:space="preserve">because some lenders </w:t>
      </w:r>
      <w:r w:rsidR="00F03A1F">
        <w:rPr>
          <w:sz w:val="24"/>
          <w:szCs w:val="24"/>
        </w:rPr>
        <w:t>provide</w:t>
      </w:r>
      <w:r w:rsidRPr="00F03A1F" w:rsidR="00F03A1F">
        <w:rPr>
          <w:sz w:val="24"/>
          <w:szCs w:val="24"/>
        </w:rPr>
        <w:t xml:space="preserve"> </w:t>
      </w:r>
      <w:r w:rsidR="008A023B">
        <w:rPr>
          <w:sz w:val="24"/>
          <w:szCs w:val="24"/>
        </w:rPr>
        <w:t>multiple</w:t>
      </w:r>
      <w:r w:rsidRPr="00F03A1F" w:rsidR="008A023B">
        <w:rPr>
          <w:sz w:val="24"/>
          <w:szCs w:val="24"/>
        </w:rPr>
        <w:t xml:space="preserve"> </w:t>
      </w:r>
      <w:r w:rsidR="008A023B">
        <w:rPr>
          <w:sz w:val="24"/>
          <w:szCs w:val="24"/>
        </w:rPr>
        <w:t>checklists</w:t>
      </w:r>
      <w:r w:rsidRPr="00F03A1F" w:rsidR="00F03A1F">
        <w:rPr>
          <w:sz w:val="24"/>
          <w:szCs w:val="24"/>
        </w:rPr>
        <w:t xml:space="preserve"> </w:t>
      </w:r>
      <w:r w:rsidR="00F03A1F">
        <w:rPr>
          <w:sz w:val="24"/>
          <w:szCs w:val="24"/>
        </w:rPr>
        <w:t>each year</w:t>
      </w:r>
      <w:r w:rsidRPr="00F03A1F" w:rsidR="00D53FA7">
        <w:rPr>
          <w:sz w:val="24"/>
          <w:szCs w:val="24"/>
        </w:rPr>
        <w:t>.</w:t>
      </w:r>
      <w:r w:rsidR="003E3B34">
        <w:rPr>
          <w:sz w:val="24"/>
          <w:szCs w:val="22"/>
        </w:rPr>
        <w:t xml:space="preserve">  </w:t>
      </w:r>
      <w:r w:rsidRPr="00731460" w:rsidR="00D53FA7">
        <w:rPr>
          <w:sz w:val="24"/>
          <w:szCs w:val="22"/>
        </w:rPr>
        <w:t xml:space="preserve">The estimated total annual hour burden is </w:t>
      </w:r>
      <w:r w:rsidR="00B20103">
        <w:rPr>
          <w:sz w:val="24"/>
          <w:szCs w:val="22"/>
        </w:rPr>
        <w:t>3,840</w:t>
      </w:r>
      <w:r w:rsidRPr="00731460" w:rsidR="00F03A1F">
        <w:rPr>
          <w:sz w:val="24"/>
          <w:szCs w:val="22"/>
        </w:rPr>
        <w:t xml:space="preserve"> </w:t>
      </w:r>
      <w:r w:rsidRPr="00731460" w:rsidR="00D53FA7">
        <w:rPr>
          <w:sz w:val="24"/>
          <w:szCs w:val="22"/>
        </w:rPr>
        <w:t xml:space="preserve">hours.  The </w:t>
      </w:r>
      <w:r w:rsidRPr="00731460" w:rsidR="00313A4A">
        <w:rPr>
          <w:sz w:val="24"/>
          <w:szCs w:val="22"/>
        </w:rPr>
        <w:t xml:space="preserve">dollar equivalent </w:t>
      </w:r>
      <w:r w:rsidRPr="00731460" w:rsidR="00D53FA7">
        <w:rPr>
          <w:sz w:val="24"/>
          <w:szCs w:val="22"/>
        </w:rPr>
        <w:t xml:space="preserve">burden is </w:t>
      </w:r>
      <w:r w:rsidRPr="00C74C53" w:rsidR="00A164AB">
        <w:rPr>
          <w:b/>
          <w:sz w:val="24"/>
          <w:szCs w:val="22"/>
        </w:rPr>
        <w:t>$</w:t>
      </w:r>
      <w:r w:rsidR="00C74C53">
        <w:rPr>
          <w:b/>
          <w:sz w:val="24"/>
          <w:szCs w:val="22"/>
        </w:rPr>
        <w:t>142,195</w:t>
      </w:r>
      <w:r w:rsidRPr="00731460" w:rsidR="00B3544C">
        <w:rPr>
          <w:b/>
          <w:sz w:val="24"/>
          <w:szCs w:val="22"/>
        </w:rPr>
        <w:t>.</w:t>
      </w:r>
    </w:p>
    <w:p w:rsidR="00D53FA7" w:rsidP="00D53FA7" w:rsidRDefault="00D53FA7" w14:paraId="27C2733B" w14:textId="77777777">
      <w:pPr>
        <w:jc w:val="both"/>
        <w:rPr>
          <w:rFonts w:ascii="Arial" w:hAnsi="Arial" w:cs="Arial"/>
          <w:sz w:val="22"/>
          <w:szCs w:val="22"/>
        </w:rPr>
      </w:pPr>
    </w:p>
    <w:tbl>
      <w:tblPr>
        <w:tblW w:w="8205" w:type="dxa"/>
        <w:tblInd w:w="93"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265"/>
        <w:gridCol w:w="990"/>
        <w:gridCol w:w="630"/>
        <w:gridCol w:w="990"/>
        <w:gridCol w:w="900"/>
        <w:gridCol w:w="900"/>
        <w:gridCol w:w="1530"/>
      </w:tblGrid>
      <w:tr w:rsidRPr="00651A40" w:rsidR="00B20103" w:rsidTr="00B20103" w14:paraId="706032AE" w14:textId="77777777">
        <w:trPr>
          <w:cantSplit/>
          <w:trHeight w:val="1412"/>
        </w:trPr>
        <w:tc>
          <w:tcPr>
            <w:tcW w:w="2265" w:type="dxa"/>
            <w:shd w:val="clear" w:color="auto" w:fill="auto"/>
            <w:noWrap/>
            <w:textDirection w:val="btLr"/>
            <w:vAlign w:val="bottom"/>
            <w:hideMark/>
          </w:tcPr>
          <w:p w:rsidRPr="00651A40" w:rsidR="00B20103" w:rsidP="00B20103" w:rsidRDefault="00B20103" w14:paraId="69CB6923" w14:textId="77777777">
            <w:pPr>
              <w:widowControl/>
              <w:autoSpaceDE/>
              <w:autoSpaceDN/>
              <w:adjustRightInd/>
              <w:ind w:left="113" w:right="113"/>
              <w:jc w:val="center"/>
            </w:pPr>
            <w:r>
              <w:t>Name of Checklist</w:t>
            </w:r>
          </w:p>
        </w:tc>
        <w:tc>
          <w:tcPr>
            <w:tcW w:w="990" w:type="dxa"/>
            <w:shd w:val="clear" w:color="auto" w:fill="auto"/>
            <w:textDirection w:val="btLr"/>
            <w:vAlign w:val="bottom"/>
            <w:hideMark/>
          </w:tcPr>
          <w:p w:rsidRPr="00651A40" w:rsidR="00B20103" w:rsidP="00651A40" w:rsidRDefault="00B20103" w14:paraId="3B8D413A" w14:textId="77777777">
            <w:pPr>
              <w:widowControl/>
              <w:autoSpaceDE/>
              <w:autoSpaceDN/>
              <w:adjustRightInd/>
              <w:ind w:left="113" w:right="113"/>
              <w:jc w:val="center"/>
            </w:pPr>
            <w:r w:rsidRPr="00651A40">
              <w:t>Respondent Type</w:t>
            </w:r>
          </w:p>
        </w:tc>
        <w:tc>
          <w:tcPr>
            <w:tcW w:w="630" w:type="dxa"/>
            <w:shd w:val="clear" w:color="auto" w:fill="auto"/>
            <w:textDirection w:val="btLr"/>
            <w:vAlign w:val="bottom"/>
            <w:hideMark/>
          </w:tcPr>
          <w:p w:rsidRPr="00651A40" w:rsidR="00B20103" w:rsidP="00651A40" w:rsidRDefault="00B20103" w14:paraId="350C1BEC" w14:textId="77777777">
            <w:pPr>
              <w:widowControl/>
              <w:autoSpaceDE/>
              <w:autoSpaceDN/>
              <w:adjustRightInd/>
              <w:ind w:left="113" w:right="113"/>
              <w:jc w:val="center"/>
            </w:pPr>
            <w:r w:rsidRPr="00651A40">
              <w:t>No. Respondents</w:t>
            </w:r>
          </w:p>
        </w:tc>
        <w:tc>
          <w:tcPr>
            <w:tcW w:w="990" w:type="dxa"/>
            <w:shd w:val="clear" w:color="auto" w:fill="auto"/>
            <w:textDirection w:val="btLr"/>
            <w:vAlign w:val="bottom"/>
            <w:hideMark/>
          </w:tcPr>
          <w:p w:rsidRPr="00651A40" w:rsidR="00B20103" w:rsidP="00651A40" w:rsidRDefault="00B20103" w14:paraId="2C97FC03" w14:textId="77777777">
            <w:pPr>
              <w:widowControl/>
              <w:autoSpaceDE/>
              <w:autoSpaceDN/>
              <w:adjustRightInd/>
              <w:ind w:left="113" w:right="113"/>
              <w:jc w:val="center"/>
            </w:pPr>
            <w:r w:rsidRPr="00651A40">
              <w:t>Annual Responses</w:t>
            </w:r>
          </w:p>
        </w:tc>
        <w:tc>
          <w:tcPr>
            <w:tcW w:w="900" w:type="dxa"/>
            <w:shd w:val="clear" w:color="auto" w:fill="auto"/>
            <w:textDirection w:val="btLr"/>
            <w:vAlign w:val="bottom"/>
            <w:hideMark/>
          </w:tcPr>
          <w:p w:rsidRPr="00651A40" w:rsidR="00B20103" w:rsidP="00651A40" w:rsidRDefault="00B20103" w14:paraId="5DABB94F" w14:textId="77777777">
            <w:pPr>
              <w:widowControl/>
              <w:autoSpaceDE/>
              <w:autoSpaceDN/>
              <w:adjustRightInd/>
              <w:ind w:left="113" w:right="113"/>
              <w:jc w:val="center"/>
            </w:pPr>
            <w:r w:rsidRPr="00651A40">
              <w:t>Burden Hours per Response</w:t>
            </w:r>
          </w:p>
        </w:tc>
        <w:tc>
          <w:tcPr>
            <w:tcW w:w="900" w:type="dxa"/>
            <w:shd w:val="clear" w:color="auto" w:fill="auto"/>
            <w:textDirection w:val="btLr"/>
            <w:vAlign w:val="bottom"/>
            <w:hideMark/>
          </w:tcPr>
          <w:p w:rsidRPr="00651A40" w:rsidR="00B20103" w:rsidP="00651A40" w:rsidRDefault="00B20103" w14:paraId="1FF0EAB6" w14:textId="77777777">
            <w:pPr>
              <w:widowControl/>
              <w:autoSpaceDE/>
              <w:autoSpaceDN/>
              <w:adjustRightInd/>
              <w:ind w:left="113" w:right="113"/>
              <w:jc w:val="center"/>
            </w:pPr>
            <w:r w:rsidRPr="00651A40">
              <w:t>Total Annual Burden Hours</w:t>
            </w:r>
          </w:p>
        </w:tc>
        <w:tc>
          <w:tcPr>
            <w:tcW w:w="1530" w:type="dxa"/>
            <w:shd w:val="clear" w:color="auto" w:fill="auto"/>
            <w:textDirection w:val="btLr"/>
            <w:vAlign w:val="bottom"/>
            <w:hideMark/>
          </w:tcPr>
          <w:p w:rsidRPr="00C74C53" w:rsidR="00B20103" w:rsidP="00651A40" w:rsidRDefault="00B20103" w14:paraId="786907E1" w14:textId="77777777">
            <w:pPr>
              <w:widowControl/>
              <w:autoSpaceDE/>
              <w:autoSpaceDN/>
              <w:adjustRightInd/>
              <w:ind w:left="113" w:right="113"/>
              <w:jc w:val="center"/>
            </w:pPr>
            <w:r w:rsidRPr="00C74C53">
              <w:t>Salary Burden</w:t>
            </w:r>
          </w:p>
        </w:tc>
      </w:tr>
      <w:tr w:rsidRPr="00651A40" w:rsidR="00B20103" w:rsidTr="00B20103" w14:paraId="77BB8B8A" w14:textId="77777777">
        <w:trPr>
          <w:trHeight w:val="510"/>
        </w:trPr>
        <w:tc>
          <w:tcPr>
            <w:tcW w:w="2265" w:type="dxa"/>
            <w:shd w:val="clear" w:color="auto" w:fill="auto"/>
            <w:hideMark/>
          </w:tcPr>
          <w:p w:rsidRPr="00651A40" w:rsidR="00B20103" w:rsidP="00B20103" w:rsidRDefault="00B20103" w14:paraId="35852570" w14:textId="77777777">
            <w:pPr>
              <w:widowControl/>
              <w:autoSpaceDE/>
              <w:autoSpaceDN/>
              <w:adjustRightInd/>
            </w:pPr>
            <w:r w:rsidRPr="00B20103">
              <w:t>Land Mortgage Lender Loan Checklist</w:t>
            </w:r>
          </w:p>
        </w:tc>
        <w:tc>
          <w:tcPr>
            <w:tcW w:w="990" w:type="dxa"/>
            <w:shd w:val="clear" w:color="auto" w:fill="auto"/>
            <w:hideMark/>
          </w:tcPr>
          <w:p w:rsidRPr="00651A40" w:rsidR="00B20103" w:rsidP="00651A40" w:rsidRDefault="00B20103" w14:paraId="4FFA06A3" w14:textId="77777777">
            <w:pPr>
              <w:widowControl/>
              <w:autoSpaceDE/>
              <w:autoSpaceDN/>
              <w:adjustRightInd/>
            </w:pPr>
            <w:r>
              <w:t>Lenders</w:t>
            </w:r>
          </w:p>
        </w:tc>
        <w:tc>
          <w:tcPr>
            <w:tcW w:w="630" w:type="dxa"/>
            <w:shd w:val="clear" w:color="auto" w:fill="auto"/>
            <w:hideMark/>
          </w:tcPr>
          <w:p w:rsidRPr="00B20103" w:rsidR="00B20103" w:rsidP="00651A40" w:rsidRDefault="00B20103" w14:paraId="45DD89F5" w14:textId="77777777">
            <w:pPr>
              <w:widowControl/>
              <w:autoSpaceDE/>
              <w:autoSpaceDN/>
              <w:adjustRightInd/>
              <w:jc w:val="right"/>
              <w:rPr>
                <w:highlight w:val="yellow"/>
              </w:rPr>
            </w:pPr>
            <w:r w:rsidRPr="00B20103">
              <w:t>25</w:t>
            </w:r>
          </w:p>
        </w:tc>
        <w:tc>
          <w:tcPr>
            <w:tcW w:w="990" w:type="dxa"/>
            <w:shd w:val="clear" w:color="auto" w:fill="auto"/>
            <w:hideMark/>
          </w:tcPr>
          <w:p w:rsidRPr="00B20103" w:rsidR="00B20103" w:rsidP="00651A40" w:rsidRDefault="00B20103" w14:paraId="5F0267AD" w14:textId="77777777">
            <w:pPr>
              <w:widowControl/>
              <w:autoSpaceDE/>
              <w:autoSpaceDN/>
              <w:adjustRightInd/>
              <w:jc w:val="right"/>
              <w:rPr>
                <w:highlight w:val="yellow"/>
              </w:rPr>
            </w:pPr>
            <w:r>
              <w:t>70</w:t>
            </w:r>
          </w:p>
        </w:tc>
        <w:tc>
          <w:tcPr>
            <w:tcW w:w="900" w:type="dxa"/>
            <w:shd w:val="clear" w:color="auto" w:fill="auto"/>
            <w:hideMark/>
          </w:tcPr>
          <w:p w:rsidRPr="00F03A1F" w:rsidR="00B20103" w:rsidP="00651A40" w:rsidRDefault="00B20103" w14:paraId="7A50325C" w14:textId="77777777">
            <w:pPr>
              <w:widowControl/>
              <w:autoSpaceDE/>
              <w:autoSpaceDN/>
              <w:adjustRightInd/>
              <w:jc w:val="right"/>
            </w:pPr>
            <w:r>
              <w:t>20</w:t>
            </w:r>
          </w:p>
          <w:p w:rsidRPr="00F03A1F" w:rsidR="00B20103" w:rsidP="00651A40" w:rsidRDefault="00B20103" w14:paraId="71A8DD71" w14:textId="77777777">
            <w:pPr>
              <w:widowControl/>
              <w:autoSpaceDE/>
              <w:autoSpaceDN/>
              <w:adjustRightInd/>
              <w:jc w:val="right"/>
            </w:pPr>
          </w:p>
        </w:tc>
        <w:tc>
          <w:tcPr>
            <w:tcW w:w="900" w:type="dxa"/>
            <w:shd w:val="clear" w:color="auto" w:fill="auto"/>
            <w:hideMark/>
          </w:tcPr>
          <w:p w:rsidRPr="00F03A1F" w:rsidR="00B20103" w:rsidP="00C1487F" w:rsidRDefault="00B20103" w14:paraId="76443926" w14:textId="77777777">
            <w:pPr>
              <w:widowControl/>
              <w:autoSpaceDE/>
              <w:autoSpaceDN/>
              <w:adjustRightInd/>
              <w:jc w:val="right"/>
            </w:pPr>
            <w:r>
              <w:t>1,400</w:t>
            </w:r>
          </w:p>
        </w:tc>
        <w:tc>
          <w:tcPr>
            <w:tcW w:w="1530" w:type="dxa"/>
            <w:shd w:val="clear" w:color="auto" w:fill="auto"/>
            <w:hideMark/>
          </w:tcPr>
          <w:p w:rsidRPr="00C74C53" w:rsidR="00B20103" w:rsidP="00C74C53" w:rsidRDefault="00B20103" w14:paraId="325165CF" w14:textId="77777777">
            <w:pPr>
              <w:widowControl/>
              <w:autoSpaceDE/>
              <w:autoSpaceDN/>
              <w:adjustRightInd/>
            </w:pPr>
            <w:r w:rsidRPr="00C74C53">
              <w:t xml:space="preserve"> $ </w:t>
            </w:r>
            <w:r w:rsidRPr="00C74C53" w:rsidR="00C74C53">
              <w:t>51,842</w:t>
            </w:r>
          </w:p>
        </w:tc>
      </w:tr>
      <w:tr w:rsidRPr="00651A40" w:rsidR="00B20103" w:rsidTr="00B20103" w14:paraId="4ECCB20F" w14:textId="77777777">
        <w:trPr>
          <w:trHeight w:val="782"/>
        </w:trPr>
        <w:tc>
          <w:tcPr>
            <w:tcW w:w="2265" w:type="dxa"/>
            <w:shd w:val="clear" w:color="auto" w:fill="auto"/>
          </w:tcPr>
          <w:p w:rsidRPr="00B20103" w:rsidR="00B20103" w:rsidP="00B20103" w:rsidRDefault="00B20103" w14:paraId="70E52910" w14:textId="77777777">
            <w:pPr>
              <w:widowControl/>
              <w:autoSpaceDE/>
              <w:autoSpaceDN/>
              <w:adjustRightInd/>
            </w:pPr>
            <w:r w:rsidRPr="00B20103">
              <w:t xml:space="preserve">Leasehold Mortgage Lender Checklist </w:t>
            </w:r>
          </w:p>
        </w:tc>
        <w:tc>
          <w:tcPr>
            <w:tcW w:w="990" w:type="dxa"/>
            <w:shd w:val="clear" w:color="auto" w:fill="auto"/>
          </w:tcPr>
          <w:p w:rsidR="00B20103" w:rsidP="00651A40" w:rsidRDefault="00B20103" w14:paraId="22653570" w14:textId="77777777">
            <w:pPr>
              <w:widowControl/>
              <w:autoSpaceDE/>
              <w:autoSpaceDN/>
              <w:adjustRightInd/>
            </w:pPr>
            <w:r>
              <w:t>Lenders</w:t>
            </w:r>
          </w:p>
        </w:tc>
        <w:tc>
          <w:tcPr>
            <w:tcW w:w="630" w:type="dxa"/>
            <w:shd w:val="clear" w:color="auto" w:fill="auto"/>
          </w:tcPr>
          <w:p w:rsidRPr="00B20103" w:rsidR="00B20103" w:rsidP="00651A40" w:rsidRDefault="00B20103" w14:paraId="1FBFCF73" w14:textId="77777777">
            <w:pPr>
              <w:widowControl/>
              <w:autoSpaceDE/>
              <w:autoSpaceDN/>
              <w:adjustRightInd/>
              <w:jc w:val="right"/>
              <w:rPr>
                <w:highlight w:val="yellow"/>
              </w:rPr>
            </w:pPr>
            <w:r w:rsidRPr="00B20103">
              <w:t>31</w:t>
            </w:r>
          </w:p>
        </w:tc>
        <w:tc>
          <w:tcPr>
            <w:tcW w:w="990" w:type="dxa"/>
            <w:shd w:val="clear" w:color="auto" w:fill="auto"/>
          </w:tcPr>
          <w:p w:rsidRPr="00F03A1F" w:rsidR="00B20103" w:rsidP="00651A40" w:rsidRDefault="00B20103" w14:paraId="1C862660" w14:textId="77777777">
            <w:pPr>
              <w:widowControl/>
              <w:autoSpaceDE/>
              <w:autoSpaceDN/>
              <w:adjustRightInd/>
              <w:jc w:val="right"/>
            </w:pPr>
            <w:r w:rsidRPr="00F03A1F">
              <w:t>61</w:t>
            </w:r>
          </w:p>
        </w:tc>
        <w:tc>
          <w:tcPr>
            <w:tcW w:w="900" w:type="dxa"/>
            <w:shd w:val="clear" w:color="auto" w:fill="auto"/>
          </w:tcPr>
          <w:p w:rsidRPr="00F03A1F" w:rsidR="00B20103" w:rsidP="00651A40" w:rsidRDefault="00B20103" w14:paraId="617B022C" w14:textId="77777777">
            <w:pPr>
              <w:widowControl/>
              <w:autoSpaceDE/>
              <w:autoSpaceDN/>
              <w:adjustRightInd/>
              <w:jc w:val="right"/>
            </w:pPr>
            <w:r>
              <w:t>40</w:t>
            </w:r>
          </w:p>
        </w:tc>
        <w:tc>
          <w:tcPr>
            <w:tcW w:w="900" w:type="dxa"/>
            <w:shd w:val="clear" w:color="auto" w:fill="auto"/>
          </w:tcPr>
          <w:p w:rsidRPr="00F03A1F" w:rsidR="00B20103" w:rsidP="00651A40" w:rsidRDefault="00B20103" w14:paraId="470F2EE5" w14:textId="77777777">
            <w:pPr>
              <w:widowControl/>
              <w:autoSpaceDE/>
              <w:autoSpaceDN/>
              <w:adjustRightInd/>
              <w:jc w:val="right"/>
            </w:pPr>
            <w:r>
              <w:t>2,440</w:t>
            </w:r>
          </w:p>
        </w:tc>
        <w:tc>
          <w:tcPr>
            <w:tcW w:w="1530" w:type="dxa"/>
            <w:shd w:val="clear" w:color="auto" w:fill="auto"/>
          </w:tcPr>
          <w:p w:rsidRPr="00C74C53" w:rsidR="00B20103" w:rsidP="00651A40" w:rsidRDefault="00C74C53" w14:paraId="2C86EA06" w14:textId="77777777">
            <w:pPr>
              <w:widowControl/>
              <w:autoSpaceDE/>
              <w:autoSpaceDN/>
              <w:adjustRightInd/>
            </w:pPr>
            <w:r w:rsidRPr="00C74C53">
              <w:t>$90,353</w:t>
            </w:r>
          </w:p>
        </w:tc>
      </w:tr>
      <w:tr w:rsidRPr="00B20103" w:rsidR="00B20103" w:rsidTr="00B20103" w14:paraId="1097A601" w14:textId="77777777">
        <w:trPr>
          <w:trHeight w:val="593"/>
        </w:trPr>
        <w:tc>
          <w:tcPr>
            <w:tcW w:w="2265" w:type="dxa"/>
            <w:tcBorders>
              <w:bottom w:val="single" w:color="A6A6A6" w:sz="4" w:space="0"/>
            </w:tcBorders>
            <w:shd w:val="clear" w:color="auto" w:fill="auto"/>
          </w:tcPr>
          <w:p w:rsidRPr="00B20103" w:rsidR="00B20103" w:rsidP="00635DF0" w:rsidRDefault="00B20103" w14:paraId="1DD7C709" w14:textId="77777777">
            <w:pPr>
              <w:widowControl/>
              <w:autoSpaceDE/>
              <w:autoSpaceDN/>
              <w:adjustRightInd/>
              <w:rPr>
                <w:b/>
              </w:rPr>
            </w:pPr>
            <w:r w:rsidRPr="00B20103">
              <w:rPr>
                <w:b/>
              </w:rPr>
              <w:t>TOTAL</w:t>
            </w:r>
          </w:p>
        </w:tc>
        <w:tc>
          <w:tcPr>
            <w:tcW w:w="990" w:type="dxa"/>
            <w:tcBorders>
              <w:bottom w:val="single" w:color="A6A6A6" w:sz="4" w:space="0"/>
            </w:tcBorders>
            <w:shd w:val="clear" w:color="auto" w:fill="auto"/>
          </w:tcPr>
          <w:p w:rsidRPr="00B20103" w:rsidR="00B20103" w:rsidP="00651A40" w:rsidRDefault="00B20103" w14:paraId="79FB7916" w14:textId="77777777">
            <w:pPr>
              <w:widowControl/>
              <w:autoSpaceDE/>
              <w:autoSpaceDN/>
              <w:adjustRightInd/>
              <w:rPr>
                <w:b/>
              </w:rPr>
            </w:pPr>
          </w:p>
        </w:tc>
        <w:tc>
          <w:tcPr>
            <w:tcW w:w="630" w:type="dxa"/>
            <w:tcBorders>
              <w:bottom w:val="single" w:color="A6A6A6" w:sz="4" w:space="0"/>
            </w:tcBorders>
            <w:shd w:val="clear" w:color="auto" w:fill="auto"/>
          </w:tcPr>
          <w:p w:rsidRPr="00B20103" w:rsidR="00B20103" w:rsidP="00651A40" w:rsidRDefault="00B20103" w14:paraId="3F613282" w14:textId="77777777">
            <w:pPr>
              <w:widowControl/>
              <w:autoSpaceDE/>
              <w:autoSpaceDN/>
              <w:adjustRightInd/>
              <w:jc w:val="right"/>
              <w:rPr>
                <w:b/>
              </w:rPr>
            </w:pPr>
            <w:r w:rsidRPr="00B20103">
              <w:rPr>
                <w:b/>
              </w:rPr>
              <w:t>56</w:t>
            </w:r>
          </w:p>
        </w:tc>
        <w:tc>
          <w:tcPr>
            <w:tcW w:w="990" w:type="dxa"/>
            <w:tcBorders>
              <w:bottom w:val="single" w:color="A6A6A6" w:sz="4" w:space="0"/>
            </w:tcBorders>
            <w:shd w:val="clear" w:color="auto" w:fill="auto"/>
          </w:tcPr>
          <w:p w:rsidRPr="00B20103" w:rsidR="00B20103" w:rsidP="00651A40" w:rsidRDefault="00B20103" w14:paraId="0EDB8643" w14:textId="77777777">
            <w:pPr>
              <w:widowControl/>
              <w:autoSpaceDE/>
              <w:autoSpaceDN/>
              <w:adjustRightInd/>
              <w:jc w:val="right"/>
              <w:rPr>
                <w:b/>
              </w:rPr>
            </w:pPr>
            <w:r w:rsidRPr="00B20103">
              <w:rPr>
                <w:b/>
              </w:rPr>
              <w:t>131</w:t>
            </w:r>
          </w:p>
        </w:tc>
        <w:tc>
          <w:tcPr>
            <w:tcW w:w="900" w:type="dxa"/>
            <w:tcBorders>
              <w:bottom w:val="single" w:color="A6A6A6" w:sz="4" w:space="0"/>
            </w:tcBorders>
            <w:shd w:val="clear" w:color="auto" w:fill="auto"/>
          </w:tcPr>
          <w:p w:rsidRPr="00B20103" w:rsidR="00B20103" w:rsidDel="005E0207" w:rsidP="00651A40" w:rsidRDefault="00B20103" w14:paraId="16BA746F" w14:textId="77777777">
            <w:pPr>
              <w:widowControl/>
              <w:autoSpaceDE/>
              <w:autoSpaceDN/>
              <w:adjustRightInd/>
              <w:jc w:val="right"/>
              <w:rPr>
                <w:b/>
              </w:rPr>
            </w:pPr>
          </w:p>
        </w:tc>
        <w:tc>
          <w:tcPr>
            <w:tcW w:w="900" w:type="dxa"/>
            <w:tcBorders>
              <w:bottom w:val="single" w:color="A6A6A6" w:sz="4" w:space="0"/>
            </w:tcBorders>
            <w:shd w:val="clear" w:color="auto" w:fill="auto"/>
          </w:tcPr>
          <w:p w:rsidRPr="00B20103" w:rsidR="00B20103" w:rsidDel="005E0207" w:rsidP="00651A40" w:rsidRDefault="00B20103" w14:paraId="0A1193BB" w14:textId="77777777">
            <w:pPr>
              <w:widowControl/>
              <w:autoSpaceDE/>
              <w:autoSpaceDN/>
              <w:adjustRightInd/>
              <w:jc w:val="right"/>
              <w:rPr>
                <w:b/>
              </w:rPr>
            </w:pPr>
            <w:r w:rsidRPr="00B20103">
              <w:rPr>
                <w:b/>
              </w:rPr>
              <w:t>3,840</w:t>
            </w:r>
          </w:p>
        </w:tc>
        <w:tc>
          <w:tcPr>
            <w:tcW w:w="1530" w:type="dxa"/>
            <w:tcBorders>
              <w:bottom w:val="single" w:color="A6A6A6" w:sz="4" w:space="0"/>
            </w:tcBorders>
            <w:shd w:val="clear" w:color="auto" w:fill="auto"/>
          </w:tcPr>
          <w:p w:rsidRPr="00C74C53" w:rsidR="00B20103" w:rsidP="00651A40" w:rsidRDefault="00C74C53" w14:paraId="5F5D1265" w14:textId="77777777">
            <w:pPr>
              <w:widowControl/>
              <w:autoSpaceDE/>
              <w:autoSpaceDN/>
              <w:adjustRightInd/>
              <w:rPr>
                <w:b/>
              </w:rPr>
            </w:pPr>
            <w:r w:rsidRPr="00C74C53">
              <w:rPr>
                <w:b/>
              </w:rPr>
              <w:t>$142,195</w:t>
            </w:r>
          </w:p>
        </w:tc>
      </w:tr>
    </w:tbl>
    <w:p w:rsidRPr="001466F9" w:rsidR="00D53FA7" w:rsidP="00D53FA7" w:rsidRDefault="00D53FA7" w14:paraId="24C82AC3" w14:textId="77777777">
      <w:pPr>
        <w:jc w:val="both"/>
        <w:rPr>
          <w:rFonts w:ascii="Arial" w:hAnsi="Arial" w:cs="Arial"/>
          <w:sz w:val="22"/>
          <w:szCs w:val="22"/>
        </w:rPr>
      </w:pPr>
    </w:p>
    <w:p w:rsidRPr="00D53FA7" w:rsidR="0001779A" w:rsidP="00D53FA7" w:rsidRDefault="00D53FA7" w14:paraId="2E1D4FBC" w14:textId="77777777">
      <w:pPr>
        <w:rPr>
          <w:bCs/>
          <w:sz w:val="24"/>
          <w:szCs w:val="22"/>
        </w:rPr>
      </w:pPr>
      <w:r w:rsidRPr="00C74C53">
        <w:rPr>
          <w:sz w:val="24"/>
          <w:szCs w:val="22"/>
        </w:rPr>
        <w:t xml:space="preserve">We are estimating salary using Bureau of Labor Statistics, </w:t>
      </w:r>
      <w:r w:rsidRPr="00C74C53">
        <w:rPr>
          <w:bCs/>
          <w:sz w:val="24"/>
          <w:szCs w:val="22"/>
        </w:rPr>
        <w:t>EMPLOYER COSTS FOR EMPLOYEE COMPENSATION—</w:t>
      </w:r>
      <w:r w:rsidRPr="00C74C53" w:rsidR="00C74C53">
        <w:rPr>
          <w:bCs/>
          <w:sz w:val="24"/>
          <w:szCs w:val="22"/>
        </w:rPr>
        <w:t>September 2019</w:t>
      </w:r>
      <w:r w:rsidRPr="00C74C53" w:rsidR="00B57263">
        <w:rPr>
          <w:bCs/>
          <w:sz w:val="24"/>
          <w:szCs w:val="22"/>
        </w:rPr>
        <w:t xml:space="preserve"> (released </w:t>
      </w:r>
      <w:r w:rsidRPr="00C74C53" w:rsidR="00C74C53">
        <w:rPr>
          <w:bCs/>
          <w:sz w:val="24"/>
          <w:szCs w:val="22"/>
        </w:rPr>
        <w:t>December 18, 2019</w:t>
      </w:r>
      <w:r w:rsidRPr="00C74C53">
        <w:rPr>
          <w:bCs/>
          <w:sz w:val="24"/>
          <w:szCs w:val="22"/>
        </w:rPr>
        <w:t xml:space="preserve">), </w:t>
      </w:r>
      <w:r w:rsidRPr="00C74C53" w:rsidR="00C74C53">
        <w:rPr>
          <w:bCs/>
          <w:sz w:val="24"/>
          <w:szCs w:val="22"/>
        </w:rPr>
        <w:t>USDL-19-2195</w:t>
      </w:r>
      <w:r w:rsidRPr="00C74C53">
        <w:rPr>
          <w:bCs/>
          <w:sz w:val="24"/>
          <w:szCs w:val="22"/>
        </w:rPr>
        <w:t>, T</w:t>
      </w:r>
      <w:r w:rsidRPr="00C74C53" w:rsidR="00C74C53">
        <w:rPr>
          <w:sz w:val="24"/>
          <w:szCs w:val="22"/>
        </w:rPr>
        <w:t xml:space="preserve">able 2 </w:t>
      </w:r>
      <w:r w:rsidRPr="00C74C53" w:rsidR="00C74C53">
        <w:rPr>
          <w:i/>
          <w:sz w:val="24"/>
          <w:szCs w:val="22"/>
        </w:rPr>
        <w:t>Employer Costs for Employee Compensation for civilian workers by occupational and industry group</w:t>
      </w:r>
      <w:r w:rsidRPr="00C74C53">
        <w:rPr>
          <w:sz w:val="24"/>
          <w:szCs w:val="22"/>
        </w:rPr>
        <w:t xml:space="preserve">, </w:t>
      </w:r>
      <w:r w:rsidRPr="00C74C53" w:rsidR="00B57263">
        <w:rPr>
          <w:sz w:val="24"/>
          <w:szCs w:val="22"/>
        </w:rPr>
        <w:t>for all civilians, totaling $</w:t>
      </w:r>
      <w:r w:rsidRPr="00C74C53" w:rsidDel="004C149E" w:rsidR="004C149E">
        <w:rPr>
          <w:sz w:val="24"/>
          <w:szCs w:val="22"/>
        </w:rPr>
        <w:t xml:space="preserve"> </w:t>
      </w:r>
      <w:r w:rsidRPr="00C74C53" w:rsidR="00C74C53">
        <w:rPr>
          <w:sz w:val="24"/>
          <w:szCs w:val="22"/>
        </w:rPr>
        <w:t>37.03</w:t>
      </w:r>
      <w:r w:rsidRPr="00C74C53" w:rsidR="00EC3523">
        <w:rPr>
          <w:sz w:val="24"/>
          <w:szCs w:val="22"/>
        </w:rPr>
        <w:t>/</w:t>
      </w:r>
      <w:r w:rsidRPr="00C74C53" w:rsidR="00C74C53">
        <w:rPr>
          <w:sz w:val="24"/>
          <w:szCs w:val="22"/>
        </w:rPr>
        <w:t>hour, which includes a 1.5 multiplier for benefits</w:t>
      </w:r>
      <w:r w:rsidRPr="00C74C53">
        <w:rPr>
          <w:bCs/>
          <w:sz w:val="24"/>
          <w:szCs w:val="22"/>
        </w:rPr>
        <w:t xml:space="preserve">.  </w:t>
      </w:r>
      <w:r w:rsidRPr="00C74C53">
        <w:rPr>
          <w:bCs/>
          <w:i/>
          <w:sz w:val="24"/>
          <w:szCs w:val="22"/>
        </w:rPr>
        <w:t>See</w:t>
      </w:r>
      <w:r w:rsidRPr="00C74C53" w:rsidR="00782118">
        <w:rPr>
          <w:bCs/>
          <w:sz w:val="24"/>
          <w:szCs w:val="22"/>
        </w:rPr>
        <w:t xml:space="preserve"> </w:t>
      </w:r>
      <w:r w:rsidRPr="00C74C53" w:rsidR="00C74C53">
        <w:rPr>
          <w:sz w:val="24"/>
          <w:szCs w:val="24"/>
        </w:rPr>
        <w:t>https://www.bls.gov/news.release/pdf/ecec.pdf</w:t>
      </w:r>
      <w:r w:rsidRPr="00C74C53" w:rsidR="00C74C53">
        <w:t>.</w:t>
      </w:r>
    </w:p>
    <w:p w:rsidR="0001779A" w:rsidP="002C2DA0" w:rsidRDefault="0001779A" w14:paraId="3588B16B"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295103" w:rsidRDefault="00295103" w14:paraId="580B3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lastRenderedPageBreak/>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Pr="002C2DA0" w:rsidR="00295103" w:rsidRDefault="00295103" w14:paraId="40A52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C2DA0" w:rsidR="00295103" w:rsidRDefault="00295103" w14:paraId="1AA0E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C2DA0" w:rsidR="00295103" w:rsidRDefault="00295103" w14:paraId="2A99E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rsidRDefault="00D7712F" w14:paraId="6C8A2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445D89" w14:paraId="0A6F3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There is no non-hour cost burden associated with this information collection. </w:t>
      </w:r>
    </w:p>
    <w:p w:rsidRPr="002C2DA0" w:rsidR="00445D89" w:rsidRDefault="00445D89" w14:paraId="687A9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CC57E4" w:rsidR="0060758B" w:rsidRDefault="00295103" w14:paraId="420D0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r w:rsidRPr="00CC57E4">
        <w:rPr>
          <w:b/>
          <w:sz w:val="24"/>
          <w:szCs w:val="24"/>
        </w:rPr>
        <w:t>without t</w:t>
      </w:r>
      <w:r w:rsidRPr="00CC57E4" w:rsidR="0060758B">
        <w:rPr>
          <w:b/>
          <w:sz w:val="24"/>
          <w:szCs w:val="24"/>
        </w:rPr>
        <w:t xml:space="preserve">his collection of information. </w:t>
      </w:r>
    </w:p>
    <w:p w:rsidRPr="00CC57E4" w:rsidR="00D7712F" w:rsidP="002C2DA0" w:rsidRDefault="00D7712F" w14:paraId="08AC1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57E4" w:rsidR="00D53FA7" w:rsidP="00D53FA7" w:rsidRDefault="00D53FA7" w14:paraId="4C2B43F7" w14:textId="77777777">
      <w:pPr>
        <w:rPr>
          <w:color w:val="000000"/>
          <w:sz w:val="24"/>
          <w:szCs w:val="22"/>
        </w:rPr>
      </w:pPr>
      <w:r w:rsidRPr="00CC57E4">
        <w:rPr>
          <w:color w:val="000000"/>
          <w:sz w:val="24"/>
          <w:szCs w:val="22"/>
        </w:rPr>
        <w:t>The estimated total annual numbe</w:t>
      </w:r>
      <w:r w:rsidRPr="00CC57E4" w:rsidR="005146E8">
        <w:rPr>
          <w:color w:val="000000"/>
          <w:sz w:val="24"/>
          <w:szCs w:val="22"/>
        </w:rPr>
        <w:t>r of responses reviewed by the program is 131. T</w:t>
      </w:r>
      <w:r w:rsidRPr="00CC57E4">
        <w:rPr>
          <w:color w:val="000000"/>
          <w:sz w:val="24"/>
          <w:szCs w:val="22"/>
        </w:rPr>
        <w:t>he estimated t</w:t>
      </w:r>
      <w:r w:rsidRPr="00CC57E4" w:rsidR="005146E8">
        <w:rPr>
          <w:color w:val="000000"/>
          <w:sz w:val="24"/>
          <w:szCs w:val="22"/>
        </w:rPr>
        <w:t>otal annual hour burden</w:t>
      </w:r>
      <w:r w:rsidRPr="00CC57E4">
        <w:rPr>
          <w:color w:val="000000"/>
          <w:sz w:val="24"/>
          <w:szCs w:val="22"/>
        </w:rPr>
        <w:t xml:space="preserve"> to the </w:t>
      </w:r>
      <w:r w:rsidRPr="00CC57E4" w:rsidR="005146E8">
        <w:rPr>
          <w:color w:val="000000"/>
          <w:sz w:val="24"/>
          <w:szCs w:val="22"/>
        </w:rPr>
        <w:t xml:space="preserve">program is 1,048 hours at a total salary cost of </w:t>
      </w:r>
      <w:r w:rsidRPr="00CC57E4" w:rsidR="005146E8">
        <w:rPr>
          <w:b/>
          <w:color w:val="000000"/>
          <w:sz w:val="24"/>
          <w:szCs w:val="22"/>
        </w:rPr>
        <w:t>$</w:t>
      </w:r>
      <w:r w:rsidR="00CC57E4">
        <w:rPr>
          <w:b/>
          <w:color w:val="000000"/>
          <w:sz w:val="24"/>
          <w:szCs w:val="22"/>
        </w:rPr>
        <w:t>53,154</w:t>
      </w:r>
      <w:r w:rsidRPr="00CC57E4">
        <w:rPr>
          <w:color w:val="000000"/>
          <w:sz w:val="24"/>
          <w:szCs w:val="22"/>
        </w:rPr>
        <w:t xml:space="preserve">.  This hour burden includes careful checking of all records to ensure that none of the information has changed because of new liens, updated title, land records, possible probates.  </w:t>
      </w:r>
    </w:p>
    <w:p w:rsidRPr="00CC57E4" w:rsidR="00D53FA7" w:rsidP="00D53FA7" w:rsidRDefault="00D53FA7" w14:paraId="32DB3578" w14:textId="77777777">
      <w:pPr>
        <w:jc w:val="both"/>
        <w:rPr>
          <w:rFonts w:ascii="Arial" w:hAnsi="Arial" w:cs="Arial"/>
          <w:color w:val="000000"/>
          <w:sz w:val="22"/>
          <w:szCs w:val="22"/>
        </w:rPr>
      </w:pPr>
    </w:p>
    <w:tbl>
      <w:tblPr>
        <w:tblW w:w="7993" w:type="dxa"/>
        <w:tblInd w:w="93"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2445"/>
        <w:gridCol w:w="1079"/>
        <w:gridCol w:w="1406"/>
        <w:gridCol w:w="1434"/>
        <w:gridCol w:w="1629"/>
      </w:tblGrid>
      <w:tr w:rsidRPr="00CC57E4" w:rsidR="005146E8" w:rsidTr="005146E8" w14:paraId="2AC4CC5C" w14:textId="77777777">
        <w:trPr>
          <w:trHeight w:val="705"/>
        </w:trPr>
        <w:tc>
          <w:tcPr>
            <w:tcW w:w="2445" w:type="dxa"/>
            <w:shd w:val="clear" w:color="auto" w:fill="auto"/>
            <w:noWrap/>
            <w:vAlign w:val="bottom"/>
            <w:hideMark/>
          </w:tcPr>
          <w:p w:rsidRPr="00CC57E4" w:rsidR="005146E8" w:rsidP="00C36E3A" w:rsidRDefault="005146E8" w14:paraId="1E9F1529" w14:textId="77777777">
            <w:pPr>
              <w:widowControl/>
              <w:autoSpaceDE/>
              <w:autoSpaceDN/>
              <w:adjustRightInd/>
            </w:pPr>
            <w:r w:rsidRPr="00CC57E4">
              <w:t>Name of Checklist</w:t>
            </w:r>
          </w:p>
        </w:tc>
        <w:tc>
          <w:tcPr>
            <w:tcW w:w="1079" w:type="dxa"/>
            <w:shd w:val="clear" w:color="auto" w:fill="auto"/>
            <w:vAlign w:val="bottom"/>
            <w:hideMark/>
          </w:tcPr>
          <w:p w:rsidRPr="00CC57E4" w:rsidR="005146E8" w:rsidP="00C36E3A" w:rsidRDefault="005146E8" w14:paraId="57FB9432" w14:textId="77777777">
            <w:pPr>
              <w:widowControl/>
              <w:autoSpaceDE/>
              <w:autoSpaceDN/>
              <w:adjustRightInd/>
              <w:jc w:val="center"/>
            </w:pPr>
            <w:r w:rsidRPr="00CC57E4">
              <w:t>Annual Responses</w:t>
            </w:r>
          </w:p>
        </w:tc>
        <w:tc>
          <w:tcPr>
            <w:tcW w:w="1406" w:type="dxa"/>
            <w:shd w:val="clear" w:color="auto" w:fill="auto"/>
            <w:vAlign w:val="bottom"/>
            <w:hideMark/>
          </w:tcPr>
          <w:p w:rsidRPr="00CC57E4" w:rsidR="005146E8" w:rsidP="00C36E3A" w:rsidRDefault="005146E8" w14:paraId="697114E2" w14:textId="77777777">
            <w:pPr>
              <w:widowControl/>
              <w:autoSpaceDE/>
              <w:autoSpaceDN/>
              <w:adjustRightInd/>
              <w:jc w:val="center"/>
            </w:pPr>
            <w:r w:rsidRPr="00CC57E4">
              <w:t>Federal Burden per Response</w:t>
            </w:r>
          </w:p>
        </w:tc>
        <w:tc>
          <w:tcPr>
            <w:tcW w:w="1434" w:type="dxa"/>
            <w:shd w:val="clear" w:color="auto" w:fill="auto"/>
            <w:vAlign w:val="bottom"/>
            <w:hideMark/>
          </w:tcPr>
          <w:p w:rsidRPr="00CC57E4" w:rsidR="005146E8" w:rsidP="00C36E3A" w:rsidRDefault="005146E8" w14:paraId="323B1052" w14:textId="77777777">
            <w:pPr>
              <w:widowControl/>
              <w:autoSpaceDE/>
              <w:autoSpaceDN/>
              <w:adjustRightInd/>
              <w:jc w:val="center"/>
            </w:pPr>
            <w:r w:rsidRPr="00CC57E4">
              <w:t>Total Federal Burden Hours</w:t>
            </w:r>
          </w:p>
        </w:tc>
        <w:tc>
          <w:tcPr>
            <w:tcW w:w="1629" w:type="dxa"/>
            <w:shd w:val="clear" w:color="auto" w:fill="auto"/>
            <w:vAlign w:val="bottom"/>
            <w:hideMark/>
          </w:tcPr>
          <w:p w:rsidRPr="00CC57E4" w:rsidR="005146E8" w:rsidP="00CC57E4" w:rsidRDefault="005146E8" w14:paraId="1EEDFB0C" w14:textId="77777777">
            <w:pPr>
              <w:widowControl/>
              <w:autoSpaceDE/>
              <w:autoSpaceDN/>
              <w:adjustRightInd/>
              <w:jc w:val="center"/>
            </w:pPr>
            <w:r w:rsidRPr="00CC57E4">
              <w:t>Federal Salary Cost at $</w:t>
            </w:r>
            <w:r w:rsidRPr="00CC57E4" w:rsidR="00CC57E4">
              <w:t>50.72</w:t>
            </w:r>
            <w:r w:rsidRPr="00CC57E4">
              <w:t>/hr</w:t>
            </w:r>
          </w:p>
        </w:tc>
      </w:tr>
      <w:tr w:rsidRPr="00CC57E4" w:rsidR="005146E8" w:rsidTr="005146E8" w14:paraId="4EC08BC8" w14:textId="77777777">
        <w:trPr>
          <w:trHeight w:val="350"/>
        </w:trPr>
        <w:tc>
          <w:tcPr>
            <w:tcW w:w="2445" w:type="dxa"/>
            <w:tcBorders>
              <w:bottom w:val="single" w:color="A6A6A6" w:sz="4" w:space="0"/>
            </w:tcBorders>
            <w:shd w:val="clear" w:color="auto" w:fill="auto"/>
            <w:hideMark/>
          </w:tcPr>
          <w:p w:rsidRPr="00CC57E4" w:rsidR="005146E8" w:rsidP="00635DF0" w:rsidRDefault="005146E8" w14:paraId="5AE0A675" w14:textId="77777777">
            <w:pPr>
              <w:widowControl/>
              <w:autoSpaceDE/>
              <w:autoSpaceDN/>
              <w:adjustRightInd/>
            </w:pPr>
            <w:r w:rsidRPr="00CC57E4">
              <w:t xml:space="preserve">Land Mortgage Lender Loan Checklist </w:t>
            </w:r>
          </w:p>
        </w:tc>
        <w:tc>
          <w:tcPr>
            <w:tcW w:w="1079" w:type="dxa"/>
            <w:tcBorders>
              <w:bottom w:val="single" w:color="A6A6A6" w:sz="4" w:space="0"/>
            </w:tcBorders>
            <w:shd w:val="clear" w:color="auto" w:fill="auto"/>
            <w:hideMark/>
          </w:tcPr>
          <w:p w:rsidRPr="00CC57E4" w:rsidR="005146E8" w:rsidP="00C36E3A" w:rsidRDefault="005146E8" w14:paraId="775EC9D1" w14:textId="77777777">
            <w:pPr>
              <w:widowControl/>
              <w:autoSpaceDE/>
              <w:autoSpaceDN/>
              <w:adjustRightInd/>
              <w:jc w:val="right"/>
            </w:pPr>
            <w:r w:rsidRPr="00CC57E4">
              <w:t>70</w:t>
            </w:r>
          </w:p>
        </w:tc>
        <w:tc>
          <w:tcPr>
            <w:tcW w:w="1406" w:type="dxa"/>
            <w:tcBorders>
              <w:bottom w:val="single" w:color="A6A6A6" w:sz="4" w:space="0"/>
            </w:tcBorders>
            <w:shd w:val="clear" w:color="auto" w:fill="auto"/>
            <w:hideMark/>
          </w:tcPr>
          <w:p w:rsidRPr="00CC57E4" w:rsidR="005146E8" w:rsidP="00C36E3A" w:rsidRDefault="005146E8" w14:paraId="0A7145AC" w14:textId="77777777">
            <w:pPr>
              <w:widowControl/>
              <w:autoSpaceDE/>
              <w:autoSpaceDN/>
              <w:adjustRightInd/>
              <w:jc w:val="right"/>
            </w:pPr>
            <w:r w:rsidRPr="00CC57E4">
              <w:t>8</w:t>
            </w:r>
          </w:p>
        </w:tc>
        <w:tc>
          <w:tcPr>
            <w:tcW w:w="1434" w:type="dxa"/>
            <w:tcBorders>
              <w:bottom w:val="single" w:color="A6A6A6" w:sz="4" w:space="0"/>
            </w:tcBorders>
            <w:shd w:val="clear" w:color="auto" w:fill="auto"/>
            <w:hideMark/>
          </w:tcPr>
          <w:p w:rsidRPr="00CC57E4" w:rsidR="005146E8" w:rsidP="00C36E3A" w:rsidRDefault="005146E8" w14:paraId="368A9CF2" w14:textId="77777777">
            <w:pPr>
              <w:widowControl/>
              <w:autoSpaceDE/>
              <w:autoSpaceDN/>
              <w:adjustRightInd/>
              <w:jc w:val="right"/>
            </w:pPr>
            <w:r w:rsidRPr="00CC57E4">
              <w:t>560</w:t>
            </w:r>
          </w:p>
        </w:tc>
        <w:tc>
          <w:tcPr>
            <w:tcW w:w="1629" w:type="dxa"/>
            <w:tcBorders>
              <w:bottom w:val="single" w:color="A6A6A6" w:sz="4" w:space="0"/>
            </w:tcBorders>
            <w:shd w:val="clear" w:color="auto" w:fill="auto"/>
            <w:hideMark/>
          </w:tcPr>
          <w:p w:rsidRPr="00CC57E4" w:rsidR="005146E8" w:rsidP="005146E8" w:rsidRDefault="005146E8" w14:paraId="7EB3B1FF" w14:textId="77777777">
            <w:pPr>
              <w:widowControl/>
              <w:autoSpaceDE/>
              <w:autoSpaceDN/>
              <w:adjustRightInd/>
            </w:pPr>
            <w:r w:rsidRPr="00CC57E4">
              <w:t xml:space="preserve"> $ </w:t>
            </w:r>
            <w:r w:rsidRPr="00CC57E4" w:rsidR="004349EB">
              <w:t>28,403</w:t>
            </w:r>
          </w:p>
        </w:tc>
      </w:tr>
      <w:tr w:rsidRPr="00C36E3A" w:rsidR="005146E8" w:rsidTr="005146E8" w14:paraId="596F6B85" w14:textId="77777777">
        <w:trPr>
          <w:trHeight w:val="255"/>
        </w:trPr>
        <w:tc>
          <w:tcPr>
            <w:tcW w:w="2445" w:type="dxa"/>
            <w:shd w:val="clear" w:color="auto" w:fill="auto"/>
            <w:noWrap/>
            <w:vAlign w:val="bottom"/>
            <w:hideMark/>
          </w:tcPr>
          <w:p w:rsidRPr="00CC57E4" w:rsidR="005146E8" w:rsidP="00C36E3A" w:rsidRDefault="005146E8" w14:paraId="4BBF5325" w14:textId="77777777">
            <w:pPr>
              <w:widowControl/>
              <w:autoSpaceDE/>
              <w:autoSpaceDN/>
              <w:adjustRightInd/>
            </w:pPr>
            <w:r w:rsidRPr="00CC57E4">
              <w:t xml:space="preserve">Leasehold Mortgage Lender Checklist </w:t>
            </w:r>
          </w:p>
        </w:tc>
        <w:tc>
          <w:tcPr>
            <w:tcW w:w="1079" w:type="dxa"/>
            <w:shd w:val="clear" w:color="auto" w:fill="auto"/>
            <w:hideMark/>
          </w:tcPr>
          <w:p w:rsidRPr="00CC57E4" w:rsidR="005146E8" w:rsidP="00C1487F" w:rsidRDefault="005146E8" w14:paraId="05E583F8" w14:textId="77777777">
            <w:pPr>
              <w:widowControl/>
              <w:autoSpaceDE/>
              <w:autoSpaceDN/>
              <w:adjustRightInd/>
              <w:jc w:val="right"/>
              <w:rPr>
                <w:bCs/>
              </w:rPr>
            </w:pPr>
            <w:r w:rsidRPr="00CC57E4">
              <w:rPr>
                <w:bCs/>
              </w:rPr>
              <w:t>61</w:t>
            </w:r>
          </w:p>
        </w:tc>
        <w:tc>
          <w:tcPr>
            <w:tcW w:w="1406" w:type="dxa"/>
            <w:shd w:val="clear" w:color="auto" w:fill="auto"/>
            <w:hideMark/>
          </w:tcPr>
          <w:p w:rsidRPr="00CC57E4" w:rsidR="005146E8" w:rsidP="005146E8" w:rsidRDefault="005146E8" w14:paraId="5104662F" w14:textId="77777777">
            <w:pPr>
              <w:widowControl/>
              <w:autoSpaceDE/>
              <w:autoSpaceDN/>
              <w:adjustRightInd/>
              <w:jc w:val="right"/>
              <w:rPr>
                <w:bCs/>
              </w:rPr>
            </w:pPr>
            <w:r w:rsidRPr="00CC57E4">
              <w:rPr>
                <w:bCs/>
              </w:rPr>
              <w:t> 8</w:t>
            </w:r>
          </w:p>
        </w:tc>
        <w:tc>
          <w:tcPr>
            <w:tcW w:w="1434" w:type="dxa"/>
            <w:shd w:val="clear" w:color="auto" w:fill="auto"/>
            <w:hideMark/>
          </w:tcPr>
          <w:p w:rsidRPr="00CC57E4" w:rsidR="005146E8" w:rsidP="00C36E3A" w:rsidRDefault="005146E8" w14:paraId="30D0EF8B" w14:textId="77777777">
            <w:pPr>
              <w:widowControl/>
              <w:autoSpaceDE/>
              <w:autoSpaceDN/>
              <w:adjustRightInd/>
              <w:jc w:val="right"/>
              <w:rPr>
                <w:bCs/>
              </w:rPr>
            </w:pPr>
            <w:r w:rsidRPr="00CC57E4">
              <w:rPr>
                <w:bCs/>
              </w:rPr>
              <w:t>488</w:t>
            </w:r>
          </w:p>
        </w:tc>
        <w:tc>
          <w:tcPr>
            <w:tcW w:w="1629" w:type="dxa"/>
            <w:shd w:val="clear" w:color="auto" w:fill="auto"/>
            <w:hideMark/>
          </w:tcPr>
          <w:p w:rsidRPr="00CC57E4" w:rsidR="005146E8" w:rsidP="00C1487F" w:rsidRDefault="00CC57E4" w14:paraId="5A82727F" w14:textId="77777777">
            <w:pPr>
              <w:widowControl/>
              <w:autoSpaceDE/>
              <w:autoSpaceDN/>
              <w:adjustRightInd/>
              <w:rPr>
                <w:bCs/>
              </w:rPr>
            </w:pPr>
            <w:r w:rsidRPr="00CC57E4">
              <w:rPr>
                <w:bCs/>
              </w:rPr>
              <w:t xml:space="preserve"> $ </w:t>
            </w:r>
            <w:r w:rsidRPr="00CC57E4" w:rsidR="004349EB">
              <w:rPr>
                <w:bCs/>
              </w:rPr>
              <w:t>24,751</w:t>
            </w:r>
          </w:p>
        </w:tc>
      </w:tr>
      <w:tr w:rsidRPr="00C36E3A" w:rsidR="005146E8" w:rsidTr="005146E8" w14:paraId="6F6E94AF" w14:textId="77777777">
        <w:trPr>
          <w:trHeight w:val="255"/>
        </w:trPr>
        <w:tc>
          <w:tcPr>
            <w:tcW w:w="2445" w:type="dxa"/>
            <w:shd w:val="clear" w:color="auto" w:fill="auto"/>
            <w:noWrap/>
            <w:vAlign w:val="bottom"/>
          </w:tcPr>
          <w:p w:rsidRPr="005146E8" w:rsidR="005146E8" w:rsidP="00C36E3A" w:rsidRDefault="005146E8" w14:paraId="227CB10C" w14:textId="77777777">
            <w:pPr>
              <w:widowControl/>
              <w:autoSpaceDE/>
              <w:autoSpaceDN/>
              <w:adjustRightInd/>
              <w:rPr>
                <w:b/>
              </w:rPr>
            </w:pPr>
            <w:r w:rsidRPr="005146E8">
              <w:rPr>
                <w:b/>
              </w:rPr>
              <w:t>TOTAL</w:t>
            </w:r>
          </w:p>
        </w:tc>
        <w:tc>
          <w:tcPr>
            <w:tcW w:w="1079" w:type="dxa"/>
            <w:shd w:val="clear" w:color="auto" w:fill="auto"/>
          </w:tcPr>
          <w:p w:rsidRPr="005146E8" w:rsidR="005146E8" w:rsidDel="003E3B34" w:rsidP="00C1487F" w:rsidRDefault="005146E8" w14:paraId="24A0EA22" w14:textId="77777777">
            <w:pPr>
              <w:widowControl/>
              <w:autoSpaceDE/>
              <w:autoSpaceDN/>
              <w:adjustRightInd/>
              <w:jc w:val="right"/>
              <w:rPr>
                <w:b/>
                <w:bCs/>
              </w:rPr>
            </w:pPr>
            <w:r w:rsidRPr="005146E8">
              <w:rPr>
                <w:b/>
                <w:bCs/>
              </w:rPr>
              <w:t>131</w:t>
            </w:r>
          </w:p>
        </w:tc>
        <w:tc>
          <w:tcPr>
            <w:tcW w:w="1406" w:type="dxa"/>
            <w:shd w:val="clear" w:color="auto" w:fill="auto"/>
          </w:tcPr>
          <w:p w:rsidRPr="005146E8" w:rsidR="005146E8" w:rsidP="00C36E3A" w:rsidRDefault="005146E8" w14:paraId="4C42ECD9" w14:textId="77777777">
            <w:pPr>
              <w:widowControl/>
              <w:autoSpaceDE/>
              <w:autoSpaceDN/>
              <w:adjustRightInd/>
              <w:rPr>
                <w:b/>
                <w:bCs/>
              </w:rPr>
            </w:pPr>
          </w:p>
        </w:tc>
        <w:tc>
          <w:tcPr>
            <w:tcW w:w="1434" w:type="dxa"/>
            <w:shd w:val="clear" w:color="auto" w:fill="auto"/>
          </w:tcPr>
          <w:p w:rsidRPr="005146E8" w:rsidR="005146E8" w:rsidDel="003E3B34" w:rsidP="00C36E3A" w:rsidRDefault="005146E8" w14:paraId="3E851A26" w14:textId="77777777">
            <w:pPr>
              <w:widowControl/>
              <w:autoSpaceDE/>
              <w:autoSpaceDN/>
              <w:adjustRightInd/>
              <w:jc w:val="right"/>
              <w:rPr>
                <w:b/>
                <w:bCs/>
              </w:rPr>
            </w:pPr>
            <w:r w:rsidRPr="005146E8">
              <w:rPr>
                <w:b/>
                <w:bCs/>
              </w:rPr>
              <w:t>1,048</w:t>
            </w:r>
          </w:p>
        </w:tc>
        <w:tc>
          <w:tcPr>
            <w:tcW w:w="1629" w:type="dxa"/>
            <w:shd w:val="clear" w:color="auto" w:fill="auto"/>
          </w:tcPr>
          <w:p w:rsidRPr="00C36E3A" w:rsidR="005146E8" w:rsidP="00C1487F" w:rsidRDefault="00CC57E4" w14:paraId="1348EB11" w14:textId="77777777">
            <w:pPr>
              <w:widowControl/>
              <w:autoSpaceDE/>
              <w:autoSpaceDN/>
              <w:adjustRightInd/>
              <w:rPr>
                <w:b/>
                <w:bCs/>
              </w:rPr>
            </w:pPr>
            <w:r>
              <w:rPr>
                <w:b/>
                <w:bCs/>
              </w:rPr>
              <w:t>$53,154</w:t>
            </w:r>
          </w:p>
        </w:tc>
      </w:tr>
    </w:tbl>
    <w:p w:rsidR="00D53FA7" w:rsidP="00D53FA7" w:rsidRDefault="00D53FA7" w14:paraId="004AEF8B" w14:textId="77777777">
      <w:pPr>
        <w:jc w:val="both"/>
        <w:rPr>
          <w:rFonts w:ascii="Arial" w:hAnsi="Arial" w:cs="Arial"/>
          <w:color w:val="000000"/>
          <w:sz w:val="22"/>
          <w:szCs w:val="22"/>
        </w:rPr>
      </w:pPr>
    </w:p>
    <w:p w:rsidRPr="00D53FA7" w:rsidR="0060758B" w:rsidP="00D53FA7" w:rsidRDefault="00D53FA7" w14:paraId="55D465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2"/>
        </w:rPr>
      </w:pPr>
      <w:r w:rsidRPr="004349EB">
        <w:rPr>
          <w:color w:val="000000"/>
          <w:sz w:val="24"/>
          <w:szCs w:val="22"/>
        </w:rPr>
        <w:t xml:space="preserve">We used an average salary of </w:t>
      </w:r>
      <w:r w:rsidRPr="004349EB" w:rsidR="00782118">
        <w:rPr>
          <w:b/>
          <w:color w:val="000000"/>
          <w:sz w:val="24"/>
          <w:szCs w:val="22"/>
        </w:rPr>
        <w:t>$</w:t>
      </w:r>
      <w:r w:rsidRPr="004349EB" w:rsidR="001A5EA5">
        <w:rPr>
          <w:b/>
          <w:color w:val="000000"/>
          <w:sz w:val="24"/>
          <w:szCs w:val="22"/>
        </w:rPr>
        <w:t>50.72</w:t>
      </w:r>
      <w:r w:rsidRPr="004349EB" w:rsidR="00782118">
        <w:rPr>
          <w:color w:val="000000"/>
          <w:sz w:val="24"/>
          <w:szCs w:val="22"/>
        </w:rPr>
        <w:t xml:space="preserve"> per hour ($</w:t>
      </w:r>
      <w:r w:rsidRPr="004349EB" w:rsidR="001A5EA5">
        <w:rPr>
          <w:color w:val="000000"/>
          <w:sz w:val="24"/>
          <w:szCs w:val="22"/>
        </w:rPr>
        <w:t xml:space="preserve">31.70 </w:t>
      </w:r>
      <w:r w:rsidRPr="004349EB">
        <w:rPr>
          <w:color w:val="000000"/>
          <w:sz w:val="24"/>
          <w:szCs w:val="22"/>
        </w:rPr>
        <w:t>x 1.</w:t>
      </w:r>
      <w:r w:rsidRPr="004349EB" w:rsidR="001A5EA5">
        <w:rPr>
          <w:color w:val="000000"/>
          <w:sz w:val="24"/>
          <w:szCs w:val="22"/>
        </w:rPr>
        <w:t>6</w:t>
      </w:r>
      <w:r w:rsidRPr="004349EB">
        <w:rPr>
          <w:color w:val="000000"/>
          <w:sz w:val="24"/>
          <w:szCs w:val="22"/>
        </w:rPr>
        <w:t xml:space="preserve"> for benefits)</w:t>
      </w:r>
      <w:r w:rsidRPr="004349EB" w:rsidR="001A5EA5">
        <w:rPr>
          <w:color w:val="000000"/>
          <w:sz w:val="24"/>
          <w:szCs w:val="22"/>
        </w:rPr>
        <w:t xml:space="preserve">.  </w:t>
      </w:r>
      <w:r w:rsidRPr="004349EB" w:rsidR="001208C4">
        <w:rPr>
          <w:i/>
          <w:sz w:val="24"/>
          <w:szCs w:val="22"/>
        </w:rPr>
        <w:t>See</w:t>
      </w:r>
      <w:r w:rsidRPr="004349EB" w:rsidR="001208C4">
        <w:rPr>
          <w:sz w:val="24"/>
          <w:szCs w:val="22"/>
        </w:rPr>
        <w:t>, 20</w:t>
      </w:r>
      <w:r w:rsidRPr="004349EB" w:rsidR="001A5EA5">
        <w:rPr>
          <w:sz w:val="24"/>
          <w:szCs w:val="22"/>
        </w:rPr>
        <w:t>20</w:t>
      </w:r>
      <w:r w:rsidRPr="004349EB">
        <w:rPr>
          <w:sz w:val="24"/>
          <w:szCs w:val="22"/>
        </w:rPr>
        <w:t xml:space="preserve"> General Sch</w:t>
      </w:r>
      <w:r w:rsidRPr="004349EB" w:rsidR="00C010A9">
        <w:rPr>
          <w:sz w:val="24"/>
          <w:szCs w:val="22"/>
        </w:rPr>
        <w:t>edule (Base) – Hourly Rate (GS 12</w:t>
      </w:r>
      <w:r w:rsidRPr="004349EB">
        <w:rPr>
          <w:sz w:val="24"/>
          <w:szCs w:val="22"/>
        </w:rPr>
        <w:t xml:space="preserve">) at </w:t>
      </w:r>
      <w:hyperlink w:history="1" r:id="rId10">
        <w:r w:rsidRPr="004349EB" w:rsidR="001A5EA5">
          <w:rPr>
            <w:rStyle w:val="Hyperlink"/>
            <w:sz w:val="24"/>
            <w:szCs w:val="22"/>
          </w:rPr>
          <w:t>https://www.opm.gov/policy-data-oversight/pay-leave/salaries-wages/salary-tables/20Tables/html/GS_h.aspx</w:t>
        </w:r>
      </w:hyperlink>
      <w:r w:rsidRPr="004349EB" w:rsidR="001208C4">
        <w:rPr>
          <w:sz w:val="24"/>
          <w:szCs w:val="22"/>
        </w:rPr>
        <w:t xml:space="preserve">.  </w:t>
      </w:r>
    </w:p>
    <w:p w:rsidRPr="002C2DA0" w:rsidR="00D53FA7" w:rsidP="00D53FA7" w:rsidRDefault="00D53FA7" w14:paraId="504B0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C2DA0" w:rsidR="00295103" w:rsidRDefault="00295103" w14:paraId="688F9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53FA7" w:rsidP="002C2DA0" w:rsidRDefault="00D53FA7" w14:paraId="681CEE6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445D89" w14:paraId="38F3A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collection. </w:t>
      </w:r>
    </w:p>
    <w:p w:rsidRPr="002C2DA0" w:rsidR="00B36099" w:rsidRDefault="00B36099" w14:paraId="75F64D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04FB5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rsidRDefault="00D7712F" w14:paraId="395294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23041" w:rsidR="002C2DA0" w:rsidP="002C2DA0" w:rsidRDefault="002C2DA0" w14:paraId="30058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plans to publish the results of th</w:t>
      </w:r>
      <w:r w:rsidR="00D53FA7">
        <w:rPr>
          <w:sz w:val="24"/>
          <w:szCs w:val="24"/>
        </w:rPr>
        <w:t xml:space="preserve">is collection of information. </w:t>
      </w:r>
    </w:p>
    <w:p w:rsidRPr="002C2DA0" w:rsidR="00295103" w:rsidRDefault="00295103" w14:paraId="5F391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2D62F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rsidRDefault="00D7712F" w14:paraId="49BFB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C56B4D" w14:paraId="5A1E01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2"/>
        </w:rPr>
      </w:pPr>
      <w:r>
        <w:rPr>
          <w:color w:val="000000"/>
          <w:sz w:val="24"/>
          <w:szCs w:val="22"/>
        </w:rPr>
        <w:t xml:space="preserve">OMB control number will be used on </w:t>
      </w:r>
      <w:r w:rsidR="005146E8">
        <w:rPr>
          <w:color w:val="000000"/>
          <w:sz w:val="24"/>
          <w:szCs w:val="22"/>
        </w:rPr>
        <w:t>both checklists and on any</w:t>
      </w:r>
      <w:r>
        <w:rPr>
          <w:color w:val="000000"/>
          <w:sz w:val="24"/>
          <w:szCs w:val="22"/>
        </w:rPr>
        <w:t xml:space="preserve"> information</w:t>
      </w:r>
      <w:r w:rsidR="005146E8">
        <w:rPr>
          <w:color w:val="000000"/>
          <w:sz w:val="24"/>
          <w:szCs w:val="22"/>
        </w:rPr>
        <w:t xml:space="preserve"> relating</w:t>
      </w:r>
      <w:r>
        <w:rPr>
          <w:color w:val="000000"/>
          <w:sz w:val="24"/>
          <w:szCs w:val="22"/>
        </w:rPr>
        <w:t xml:space="preserve"> to this collection. </w:t>
      </w:r>
    </w:p>
    <w:p w:rsidRPr="002C2DA0" w:rsidR="00445D89" w:rsidRDefault="00445D89" w14:paraId="4C302D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6F5C44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rsidRDefault="00D7712F" w14:paraId="41C0FF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295103" w:rsidRDefault="002C2DA0" w14:paraId="2425CB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RPr="002C2DA0" w:rsidR="00295103" w:rsidSect="00782118">
      <w:footerReference w:type="default" r:id="rId11"/>
      <w:type w:val="continuous"/>
      <w:pgSz w:w="12240" w:h="15840"/>
      <w:pgMar w:top="1440" w:right="1440" w:bottom="1440" w:left="1440" w:header="1440" w:footer="60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C6E49" w16cid:durableId="220A2C68"/>
  <w16cid:commentId w16cid:paraId="6F7871F1" w16cid:durableId="220A2976"/>
  <w16cid:commentId w16cid:paraId="7AB829C7" w16cid:durableId="220A2959"/>
  <w16cid:commentId w16cid:paraId="0627A19F" w16cid:durableId="220A072C"/>
  <w16cid:commentId w16cid:paraId="396FFAA6" w16cid:durableId="220A29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6E2F" w14:textId="77777777" w:rsidR="00165D0E" w:rsidRDefault="00165D0E" w:rsidP="00C46477">
      <w:r>
        <w:separator/>
      </w:r>
    </w:p>
  </w:endnote>
  <w:endnote w:type="continuationSeparator" w:id="0">
    <w:p w14:paraId="1D374EBC" w14:textId="77777777" w:rsidR="00165D0E" w:rsidRDefault="00165D0E" w:rsidP="00C4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BE46" w14:textId="1A463E6B" w:rsidR="00651A40" w:rsidRDefault="00651A40">
    <w:pPr>
      <w:pStyle w:val="Footer"/>
      <w:jc w:val="center"/>
    </w:pPr>
    <w:r>
      <w:fldChar w:fldCharType="begin"/>
    </w:r>
    <w:r>
      <w:instrText xml:space="preserve"> PAGE   \* MERGEFORMAT </w:instrText>
    </w:r>
    <w:r>
      <w:fldChar w:fldCharType="separate"/>
    </w:r>
    <w:r w:rsidR="0069713E">
      <w:rPr>
        <w:noProof/>
      </w:rPr>
      <w:t>5</w:t>
    </w:r>
    <w:r>
      <w:rPr>
        <w:noProof/>
      </w:rPr>
      <w:fldChar w:fldCharType="end"/>
    </w:r>
  </w:p>
  <w:p w14:paraId="74FA55EC" w14:textId="77777777" w:rsidR="00651A40" w:rsidRDefault="0065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E41DE" w14:textId="77777777" w:rsidR="00165D0E" w:rsidRDefault="00165D0E" w:rsidP="00C46477">
      <w:r>
        <w:separator/>
      </w:r>
    </w:p>
  </w:footnote>
  <w:footnote w:type="continuationSeparator" w:id="0">
    <w:p w14:paraId="5777642C" w14:textId="77777777" w:rsidR="00165D0E" w:rsidRDefault="00165D0E" w:rsidP="00C46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B3DFC"/>
    <w:multiLevelType w:val="hybridMultilevel"/>
    <w:tmpl w:val="78C0F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430195"/>
    <w:multiLevelType w:val="hybridMultilevel"/>
    <w:tmpl w:val="7D22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D17DB"/>
    <w:multiLevelType w:val="hybridMultilevel"/>
    <w:tmpl w:val="CB9E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A1018"/>
    <w:multiLevelType w:val="hybridMultilevel"/>
    <w:tmpl w:val="4A32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328DA"/>
    <w:multiLevelType w:val="hybridMultilevel"/>
    <w:tmpl w:val="B69C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9130F"/>
    <w:multiLevelType w:val="hybridMultilevel"/>
    <w:tmpl w:val="CCECF158"/>
    <w:lvl w:ilvl="0" w:tplc="3940C6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07D35"/>
    <w:multiLevelType w:val="hybridMultilevel"/>
    <w:tmpl w:val="61C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7"/>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174B"/>
    <w:rsid w:val="0000312A"/>
    <w:rsid w:val="000117E9"/>
    <w:rsid w:val="00012BCE"/>
    <w:rsid w:val="0001779A"/>
    <w:rsid w:val="000257C8"/>
    <w:rsid w:val="00026233"/>
    <w:rsid w:val="00026242"/>
    <w:rsid w:val="00034ACE"/>
    <w:rsid w:val="0004361C"/>
    <w:rsid w:val="00045808"/>
    <w:rsid w:val="0005003E"/>
    <w:rsid w:val="0007067E"/>
    <w:rsid w:val="00071BAD"/>
    <w:rsid w:val="0009611C"/>
    <w:rsid w:val="000A26CA"/>
    <w:rsid w:val="000B0F7C"/>
    <w:rsid w:val="000B5D0A"/>
    <w:rsid w:val="000C096D"/>
    <w:rsid w:val="000C6BDE"/>
    <w:rsid w:val="000E5E3D"/>
    <w:rsid w:val="000F0A39"/>
    <w:rsid w:val="000F1C17"/>
    <w:rsid w:val="000F3AF1"/>
    <w:rsid w:val="001067FC"/>
    <w:rsid w:val="001208C4"/>
    <w:rsid w:val="001232A6"/>
    <w:rsid w:val="00133401"/>
    <w:rsid w:val="00135C8C"/>
    <w:rsid w:val="00147EF9"/>
    <w:rsid w:val="001527CE"/>
    <w:rsid w:val="00162B02"/>
    <w:rsid w:val="00163AD6"/>
    <w:rsid w:val="00165D0E"/>
    <w:rsid w:val="0016703B"/>
    <w:rsid w:val="001679CB"/>
    <w:rsid w:val="0017359C"/>
    <w:rsid w:val="00187482"/>
    <w:rsid w:val="001A5EA5"/>
    <w:rsid w:val="001B0FA0"/>
    <w:rsid w:val="001B41F2"/>
    <w:rsid w:val="001B7F86"/>
    <w:rsid w:val="001C1772"/>
    <w:rsid w:val="001E0947"/>
    <w:rsid w:val="00221B2B"/>
    <w:rsid w:val="00232C54"/>
    <w:rsid w:val="00244958"/>
    <w:rsid w:val="00247BA0"/>
    <w:rsid w:val="002541E5"/>
    <w:rsid w:val="00276A3F"/>
    <w:rsid w:val="002950C0"/>
    <w:rsid w:val="00295103"/>
    <w:rsid w:val="002C2DA0"/>
    <w:rsid w:val="002C49B1"/>
    <w:rsid w:val="00313A4A"/>
    <w:rsid w:val="00352210"/>
    <w:rsid w:val="003542AB"/>
    <w:rsid w:val="00355268"/>
    <w:rsid w:val="0038389B"/>
    <w:rsid w:val="003A1DAE"/>
    <w:rsid w:val="003B4E52"/>
    <w:rsid w:val="003B5CB7"/>
    <w:rsid w:val="003B7A7D"/>
    <w:rsid w:val="003C06D8"/>
    <w:rsid w:val="003C3292"/>
    <w:rsid w:val="003C5098"/>
    <w:rsid w:val="003D0843"/>
    <w:rsid w:val="003E0111"/>
    <w:rsid w:val="003E3B34"/>
    <w:rsid w:val="003F73B8"/>
    <w:rsid w:val="00406014"/>
    <w:rsid w:val="004123B5"/>
    <w:rsid w:val="00417A41"/>
    <w:rsid w:val="004244CF"/>
    <w:rsid w:val="004349EB"/>
    <w:rsid w:val="004444AD"/>
    <w:rsid w:val="00445D89"/>
    <w:rsid w:val="00452541"/>
    <w:rsid w:val="00460312"/>
    <w:rsid w:val="004A6DFA"/>
    <w:rsid w:val="004B4D15"/>
    <w:rsid w:val="004C149E"/>
    <w:rsid w:val="004E4F30"/>
    <w:rsid w:val="004E75B9"/>
    <w:rsid w:val="0051006B"/>
    <w:rsid w:val="00511CBE"/>
    <w:rsid w:val="005146E8"/>
    <w:rsid w:val="00525467"/>
    <w:rsid w:val="00527C6C"/>
    <w:rsid w:val="0053432A"/>
    <w:rsid w:val="00553298"/>
    <w:rsid w:val="00563E17"/>
    <w:rsid w:val="00575906"/>
    <w:rsid w:val="005764E5"/>
    <w:rsid w:val="00580BE1"/>
    <w:rsid w:val="005C56A7"/>
    <w:rsid w:val="005D39A7"/>
    <w:rsid w:val="005E0031"/>
    <w:rsid w:val="005E0207"/>
    <w:rsid w:val="005F08DC"/>
    <w:rsid w:val="00602796"/>
    <w:rsid w:val="0060758B"/>
    <w:rsid w:val="00623FF7"/>
    <w:rsid w:val="0063282C"/>
    <w:rsid w:val="00633A7E"/>
    <w:rsid w:val="00635DF0"/>
    <w:rsid w:val="00651A40"/>
    <w:rsid w:val="006577C0"/>
    <w:rsid w:val="00660616"/>
    <w:rsid w:val="006772B8"/>
    <w:rsid w:val="00680B44"/>
    <w:rsid w:val="00687BD8"/>
    <w:rsid w:val="0069713E"/>
    <w:rsid w:val="006A6FFA"/>
    <w:rsid w:val="006B7575"/>
    <w:rsid w:val="006C4E80"/>
    <w:rsid w:val="006E339F"/>
    <w:rsid w:val="006E6FE9"/>
    <w:rsid w:val="00701C0C"/>
    <w:rsid w:val="00727A3E"/>
    <w:rsid w:val="00731460"/>
    <w:rsid w:val="00741A5C"/>
    <w:rsid w:val="007470A9"/>
    <w:rsid w:val="00774FDD"/>
    <w:rsid w:val="00782118"/>
    <w:rsid w:val="00784685"/>
    <w:rsid w:val="007851E9"/>
    <w:rsid w:val="00785427"/>
    <w:rsid w:val="00791544"/>
    <w:rsid w:val="007975D5"/>
    <w:rsid w:val="007A09C2"/>
    <w:rsid w:val="007A3420"/>
    <w:rsid w:val="007A4FEA"/>
    <w:rsid w:val="007B5B73"/>
    <w:rsid w:val="007E21B5"/>
    <w:rsid w:val="007F26FF"/>
    <w:rsid w:val="0081259F"/>
    <w:rsid w:val="00812EDB"/>
    <w:rsid w:val="00823B9B"/>
    <w:rsid w:val="00840B66"/>
    <w:rsid w:val="00855BBA"/>
    <w:rsid w:val="0087064E"/>
    <w:rsid w:val="00872D05"/>
    <w:rsid w:val="00875C7E"/>
    <w:rsid w:val="008A023B"/>
    <w:rsid w:val="008A170C"/>
    <w:rsid w:val="008B08BA"/>
    <w:rsid w:val="008C2A57"/>
    <w:rsid w:val="008C46CE"/>
    <w:rsid w:val="008E6590"/>
    <w:rsid w:val="008F5F56"/>
    <w:rsid w:val="008F77B7"/>
    <w:rsid w:val="00920AD1"/>
    <w:rsid w:val="00931078"/>
    <w:rsid w:val="009352FB"/>
    <w:rsid w:val="00942F2A"/>
    <w:rsid w:val="00944C21"/>
    <w:rsid w:val="009518B9"/>
    <w:rsid w:val="00967265"/>
    <w:rsid w:val="009714FE"/>
    <w:rsid w:val="0098089B"/>
    <w:rsid w:val="009831BB"/>
    <w:rsid w:val="009B359F"/>
    <w:rsid w:val="009D0D70"/>
    <w:rsid w:val="009D3E06"/>
    <w:rsid w:val="00A15525"/>
    <w:rsid w:val="00A164AB"/>
    <w:rsid w:val="00A16A7A"/>
    <w:rsid w:val="00A44883"/>
    <w:rsid w:val="00A44E36"/>
    <w:rsid w:val="00A562E4"/>
    <w:rsid w:val="00A6328F"/>
    <w:rsid w:val="00A85C95"/>
    <w:rsid w:val="00AD6E83"/>
    <w:rsid w:val="00AF615D"/>
    <w:rsid w:val="00AF7360"/>
    <w:rsid w:val="00B0414E"/>
    <w:rsid w:val="00B13698"/>
    <w:rsid w:val="00B13F25"/>
    <w:rsid w:val="00B20103"/>
    <w:rsid w:val="00B3544C"/>
    <w:rsid w:val="00B36099"/>
    <w:rsid w:val="00B40043"/>
    <w:rsid w:val="00B44880"/>
    <w:rsid w:val="00B52FA2"/>
    <w:rsid w:val="00B54A30"/>
    <w:rsid w:val="00B57263"/>
    <w:rsid w:val="00B63B19"/>
    <w:rsid w:val="00B95F66"/>
    <w:rsid w:val="00BA4005"/>
    <w:rsid w:val="00BB00DE"/>
    <w:rsid w:val="00BB196B"/>
    <w:rsid w:val="00BC368F"/>
    <w:rsid w:val="00BD10B8"/>
    <w:rsid w:val="00BD3199"/>
    <w:rsid w:val="00C008F5"/>
    <w:rsid w:val="00C010A9"/>
    <w:rsid w:val="00C071C2"/>
    <w:rsid w:val="00C13190"/>
    <w:rsid w:val="00C1487F"/>
    <w:rsid w:val="00C30FB4"/>
    <w:rsid w:val="00C35361"/>
    <w:rsid w:val="00C36E3A"/>
    <w:rsid w:val="00C36F07"/>
    <w:rsid w:val="00C451C0"/>
    <w:rsid w:val="00C46477"/>
    <w:rsid w:val="00C567AB"/>
    <w:rsid w:val="00C56B4D"/>
    <w:rsid w:val="00C725D2"/>
    <w:rsid w:val="00C72AD5"/>
    <w:rsid w:val="00C74C53"/>
    <w:rsid w:val="00C76752"/>
    <w:rsid w:val="00C805B0"/>
    <w:rsid w:val="00C85103"/>
    <w:rsid w:val="00C863A9"/>
    <w:rsid w:val="00CB255A"/>
    <w:rsid w:val="00CB31E9"/>
    <w:rsid w:val="00CC57E4"/>
    <w:rsid w:val="00D20501"/>
    <w:rsid w:val="00D53FA7"/>
    <w:rsid w:val="00D7712F"/>
    <w:rsid w:val="00D85C61"/>
    <w:rsid w:val="00D965A7"/>
    <w:rsid w:val="00DA23BD"/>
    <w:rsid w:val="00DB499E"/>
    <w:rsid w:val="00DC3183"/>
    <w:rsid w:val="00DD0E08"/>
    <w:rsid w:val="00DE18BB"/>
    <w:rsid w:val="00DE1FFE"/>
    <w:rsid w:val="00DE7630"/>
    <w:rsid w:val="00E12C58"/>
    <w:rsid w:val="00E150E9"/>
    <w:rsid w:val="00E24403"/>
    <w:rsid w:val="00E2512D"/>
    <w:rsid w:val="00E2557F"/>
    <w:rsid w:val="00E3146C"/>
    <w:rsid w:val="00E4375A"/>
    <w:rsid w:val="00E6013B"/>
    <w:rsid w:val="00E6154A"/>
    <w:rsid w:val="00E71F66"/>
    <w:rsid w:val="00E76430"/>
    <w:rsid w:val="00E80836"/>
    <w:rsid w:val="00E83423"/>
    <w:rsid w:val="00E96E55"/>
    <w:rsid w:val="00EA2237"/>
    <w:rsid w:val="00EA5681"/>
    <w:rsid w:val="00EC3523"/>
    <w:rsid w:val="00EF0764"/>
    <w:rsid w:val="00EF17FA"/>
    <w:rsid w:val="00F03A1F"/>
    <w:rsid w:val="00F11C32"/>
    <w:rsid w:val="00F20962"/>
    <w:rsid w:val="00F25331"/>
    <w:rsid w:val="00F256EC"/>
    <w:rsid w:val="00F322EF"/>
    <w:rsid w:val="00F629B6"/>
    <w:rsid w:val="00F62CF5"/>
    <w:rsid w:val="00F737A2"/>
    <w:rsid w:val="00F73931"/>
    <w:rsid w:val="00F806DF"/>
    <w:rsid w:val="00F877A8"/>
    <w:rsid w:val="00FA1D4F"/>
    <w:rsid w:val="00FA2467"/>
    <w:rsid w:val="00FA3853"/>
    <w:rsid w:val="00FA4FC9"/>
    <w:rsid w:val="00FA6635"/>
    <w:rsid w:val="00FB4D0B"/>
    <w:rsid w:val="00FB5E17"/>
    <w:rsid w:val="00FD475D"/>
    <w:rsid w:val="00FE4F25"/>
    <w:rsid w:val="00FE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CEC4DF"/>
  <w15:chartTrackingRefBased/>
  <w15:docId w15:val="{2D185F5C-47B8-4F7B-A73E-964FF60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paragraph" w:styleId="ListParagraph">
    <w:name w:val="List Paragraph"/>
    <w:basedOn w:val="Normal"/>
    <w:uiPriority w:val="34"/>
    <w:qFormat/>
    <w:rsid w:val="00D53FA7"/>
    <w:pPr>
      <w:widowControl/>
      <w:tabs>
        <w:tab w:val="left" w:pos="709"/>
      </w:tabs>
      <w:suppressAutoHyphens/>
      <w:autoSpaceDE/>
      <w:autoSpaceDN/>
      <w:adjustRightInd/>
      <w:spacing w:after="200" w:line="276" w:lineRule="atLeast"/>
    </w:pPr>
    <w:rPr>
      <w:rFonts w:ascii="Calibri" w:eastAsia="DejaVu Sans" w:hAnsi="Calibri"/>
      <w:color w:val="00000A"/>
      <w:sz w:val="22"/>
      <w:szCs w:val="22"/>
    </w:rPr>
  </w:style>
  <w:style w:type="character" w:styleId="CommentReference">
    <w:name w:val="annotation reference"/>
    <w:uiPriority w:val="99"/>
    <w:semiHidden/>
    <w:unhideWhenUsed/>
    <w:rsid w:val="006B7575"/>
    <w:rPr>
      <w:sz w:val="16"/>
      <w:szCs w:val="16"/>
    </w:rPr>
  </w:style>
  <w:style w:type="paragraph" w:styleId="CommentText">
    <w:name w:val="annotation text"/>
    <w:basedOn w:val="Normal"/>
    <w:link w:val="CommentTextChar"/>
    <w:uiPriority w:val="99"/>
    <w:semiHidden/>
    <w:unhideWhenUsed/>
    <w:rsid w:val="006B7575"/>
  </w:style>
  <w:style w:type="character" w:customStyle="1" w:styleId="CommentTextChar">
    <w:name w:val="Comment Text Char"/>
    <w:link w:val="CommentText"/>
    <w:uiPriority w:val="99"/>
    <w:semiHidden/>
    <w:rsid w:val="006B75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7575"/>
    <w:rPr>
      <w:b/>
      <w:bCs/>
    </w:rPr>
  </w:style>
  <w:style w:type="character" w:customStyle="1" w:styleId="CommentSubjectChar">
    <w:name w:val="Comment Subject Char"/>
    <w:link w:val="CommentSubject"/>
    <w:uiPriority w:val="99"/>
    <w:semiHidden/>
    <w:rsid w:val="006B7575"/>
    <w:rPr>
      <w:rFonts w:ascii="Times New Roman" w:hAnsi="Times New Roman"/>
      <w:b/>
      <w:bCs/>
    </w:rPr>
  </w:style>
  <w:style w:type="paragraph" w:styleId="Revision">
    <w:name w:val="Revision"/>
    <w:hidden/>
    <w:uiPriority w:val="99"/>
    <w:semiHidden/>
    <w:rsid w:val="005C56A7"/>
    <w:rPr>
      <w:rFonts w:ascii="Times New Roman" w:hAnsi="Times New Roman"/>
    </w:rPr>
  </w:style>
  <w:style w:type="character" w:styleId="FollowedHyperlink">
    <w:name w:val="FollowedHyperlink"/>
    <w:uiPriority w:val="99"/>
    <w:semiHidden/>
    <w:unhideWhenUsed/>
    <w:rsid w:val="00313A4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479960586">
      <w:bodyDiv w:val="1"/>
      <w:marLeft w:val="0"/>
      <w:marRight w:val="0"/>
      <w:marTop w:val="0"/>
      <w:marBottom w:val="0"/>
      <w:divBdr>
        <w:top w:val="none" w:sz="0" w:space="0" w:color="auto"/>
        <w:left w:val="none" w:sz="0" w:space="0" w:color="auto"/>
        <w:bottom w:val="none" w:sz="0" w:space="0" w:color="auto"/>
        <w:right w:val="none" w:sz="0" w:space="0" w:color="auto"/>
      </w:divBdr>
    </w:div>
    <w:div w:id="1486553796">
      <w:bodyDiv w:val="1"/>
      <w:marLeft w:val="0"/>
      <w:marRight w:val="0"/>
      <w:marTop w:val="0"/>
      <w:marBottom w:val="0"/>
      <w:divBdr>
        <w:top w:val="none" w:sz="0" w:space="0" w:color="auto"/>
        <w:left w:val="none" w:sz="0" w:space="0" w:color="auto"/>
        <w:bottom w:val="none" w:sz="0" w:space="0" w:color="auto"/>
        <w:right w:val="none" w:sz="0" w:space="0" w:color="auto"/>
      </w:divBdr>
    </w:div>
    <w:div w:id="1746338182">
      <w:bodyDiv w:val="1"/>
      <w:marLeft w:val="0"/>
      <w:marRight w:val="0"/>
      <w:marTop w:val="0"/>
      <w:marBottom w:val="0"/>
      <w:divBdr>
        <w:top w:val="none" w:sz="0" w:space="0" w:color="auto"/>
        <w:left w:val="none" w:sz="0" w:space="0" w:color="auto"/>
        <w:bottom w:val="none" w:sz="0" w:space="0" w:color="auto"/>
        <w:right w:val="none" w:sz="0" w:space="0" w:color="auto"/>
      </w:divBdr>
    </w:div>
    <w:div w:id="21111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a.gov/regional-off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opm.gov/policy-data-oversight/pay-leave/salaries-wages/salary-tables/20Tables/html/GS_h.aspx" TargetMode="External"/><Relationship Id="rId4" Type="http://schemas.openxmlformats.org/officeDocument/2006/relationships/settings" Target="settings.xml"/><Relationship Id="rId9" Type="http://schemas.openxmlformats.org/officeDocument/2006/relationships/hyperlink" Target="https://www.bia.gov/regional-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EBA5-1FBF-402D-8593-80793412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3094</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20670</CharactersWithSpaces>
  <SharedDoc>false</SharedDoc>
  <HLinks>
    <vt:vector size="6" baseType="variant">
      <vt:variant>
        <vt:i4>6422607</vt:i4>
      </vt:variant>
      <vt:variant>
        <vt:i4>2</vt:i4>
      </vt:variant>
      <vt:variant>
        <vt:i4>0</vt:i4>
      </vt:variant>
      <vt:variant>
        <vt:i4>5</vt:i4>
      </vt:variant>
      <vt:variant>
        <vt:lpwstr>https://www.opm.gov/policy-data-oversight/pay-leave/salaries-wages/salary-tables/20Tables/html/GS_h.aspx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Fry, Ashley D</cp:lastModifiedBy>
  <cp:revision>2</cp:revision>
  <cp:lastPrinted>2015-11-23T23:08:00Z</cp:lastPrinted>
  <dcterms:created xsi:type="dcterms:W3CDTF">2020-11-03T23:03:00Z</dcterms:created>
  <dcterms:modified xsi:type="dcterms:W3CDTF">2020-11-03T23:03:00Z</dcterms:modified>
</cp:coreProperties>
</file>