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4C" w:rsidP="0054364C" w:rsidRDefault="0054364C" w14:paraId="13F8334B" w14:textId="77777777">
      <w:pPr>
        <w:spacing w:line="240" w:lineRule="auto"/>
        <w:rPr>
          <w:rFonts w:ascii="Times New Roman" w:hAnsi="Times New Roman"/>
          <w:b/>
          <w:szCs w:val="24"/>
        </w:rPr>
      </w:pPr>
      <w:r>
        <w:rPr>
          <w:rFonts w:ascii="Times New Roman" w:hAnsi="Times New Roman"/>
          <w:b/>
          <w:szCs w:val="24"/>
        </w:rPr>
        <w:t>SUPPORTING STATEMENT (PART B)</w:t>
      </w:r>
    </w:p>
    <w:p w:rsidR="0054364C" w:rsidP="0054364C" w:rsidRDefault="00317BE5" w14:paraId="33D479F9" w14:textId="2A3365DF">
      <w:pPr>
        <w:spacing w:line="240" w:lineRule="auto"/>
        <w:rPr>
          <w:rFonts w:ascii="Times New Roman" w:hAnsi="Times New Roman"/>
          <w:b/>
          <w:szCs w:val="24"/>
        </w:rPr>
      </w:pPr>
      <w:r>
        <w:rPr>
          <w:rFonts w:ascii="Times New Roman" w:hAnsi="Times New Roman"/>
          <w:b/>
          <w:szCs w:val="24"/>
        </w:rPr>
        <w:t>Criminal Cases in State Courts (CCSC), 2019</w:t>
      </w:r>
    </w:p>
    <w:p w:rsidR="0054364C" w:rsidP="0054364C" w:rsidRDefault="0054364C" w14:paraId="795801FF" w14:textId="77777777">
      <w:pPr>
        <w:spacing w:line="240" w:lineRule="auto"/>
        <w:rPr>
          <w:rFonts w:ascii="Times New Roman" w:hAnsi="Times New Roman"/>
          <w:b/>
          <w:szCs w:val="24"/>
        </w:rPr>
      </w:pPr>
    </w:p>
    <w:p w:rsidR="0054364C" w:rsidP="0054364C" w:rsidRDefault="0054364C" w14:paraId="40518AD9" w14:textId="77777777">
      <w:pPr>
        <w:spacing w:line="240" w:lineRule="auto"/>
        <w:rPr>
          <w:rFonts w:ascii="Times New Roman" w:hAnsi="Times New Roman"/>
          <w:b/>
          <w:bCs/>
          <w:szCs w:val="24"/>
        </w:rPr>
      </w:pPr>
      <w:r>
        <w:rPr>
          <w:rFonts w:ascii="Times New Roman" w:hAnsi="Times New Roman"/>
          <w:b/>
          <w:szCs w:val="24"/>
        </w:rPr>
        <w:t xml:space="preserve">B. </w:t>
      </w:r>
      <w:r>
        <w:rPr>
          <w:rFonts w:ascii="Times New Roman" w:hAnsi="Times New Roman"/>
          <w:b/>
          <w:bCs/>
          <w:szCs w:val="24"/>
        </w:rPr>
        <w:t>COLLECTION OF INFORMATION EMPLOYING STATISTICAL METHODS</w:t>
      </w:r>
    </w:p>
    <w:p w:rsidR="0054364C" w:rsidP="0054364C" w:rsidRDefault="0054364C" w14:paraId="13488060" w14:textId="77777777">
      <w:pPr>
        <w:pStyle w:val="L1-FlLSp12"/>
        <w:spacing w:line="276" w:lineRule="auto"/>
        <w:rPr>
          <w:rFonts w:ascii="Times New Roman" w:hAnsi="Times New Roman"/>
        </w:rPr>
      </w:pPr>
    </w:p>
    <w:p w:rsidR="008F6829" w:rsidP="00CC3415" w:rsidRDefault="008F6829" w14:paraId="0B6ED000" w14:textId="0C2D6A70">
      <w:pPr>
        <w:pStyle w:val="L1-FlLSp12"/>
        <w:tabs>
          <w:tab w:val="clear" w:pos="1152"/>
          <w:tab w:val="left" w:pos="360"/>
        </w:tabs>
        <w:spacing w:line="276" w:lineRule="auto"/>
        <w:rPr>
          <w:rFonts w:ascii="Times New Roman" w:hAnsi="Times New Roman"/>
          <w:b/>
        </w:rPr>
      </w:pPr>
      <w:r w:rsidRPr="00256D91">
        <w:rPr>
          <w:rFonts w:ascii="Times New Roman" w:hAnsi="Times New Roman"/>
          <w:b/>
        </w:rPr>
        <w:t>1.</w:t>
      </w:r>
      <w:r w:rsidRPr="00256D91">
        <w:rPr>
          <w:rFonts w:ascii="Times New Roman" w:hAnsi="Times New Roman"/>
          <w:b/>
        </w:rPr>
        <w:tab/>
        <w:t>Un</w:t>
      </w:r>
      <w:r w:rsidR="00CC3415">
        <w:rPr>
          <w:rFonts w:ascii="Times New Roman" w:hAnsi="Times New Roman"/>
          <w:b/>
        </w:rPr>
        <w:t>iverse and Respondent Selection</w:t>
      </w:r>
    </w:p>
    <w:p w:rsidRPr="00CC3415" w:rsidR="00CC3415" w:rsidP="00CC3415" w:rsidRDefault="00CC3415" w14:paraId="45590C1A" w14:textId="77777777">
      <w:pPr>
        <w:pStyle w:val="L1-FlLSp12"/>
        <w:tabs>
          <w:tab w:val="clear" w:pos="1152"/>
          <w:tab w:val="left" w:pos="360"/>
        </w:tabs>
        <w:spacing w:line="276" w:lineRule="auto"/>
        <w:rPr>
          <w:rFonts w:ascii="Times New Roman" w:hAnsi="Times New Roman"/>
          <w:b/>
        </w:rPr>
      </w:pPr>
    </w:p>
    <w:p w:rsidR="00975A86" w:rsidP="00580A55" w:rsidRDefault="00877777" w14:paraId="352E376A" w14:textId="555185DB">
      <w:pPr>
        <w:pStyle w:val="L1-FlLSp12"/>
        <w:spacing w:line="276" w:lineRule="auto"/>
        <w:rPr>
          <w:rFonts w:ascii="Times New Roman" w:hAnsi="Times New Roman"/>
        </w:rPr>
      </w:pPr>
      <w:r w:rsidRPr="008F6829">
        <w:rPr>
          <w:rFonts w:ascii="Times New Roman" w:hAnsi="Times New Roman"/>
        </w:rPr>
        <w:t xml:space="preserve">The purpose of the </w:t>
      </w:r>
      <w:r w:rsidR="00317BE5">
        <w:rPr>
          <w:rFonts w:ascii="Times New Roman" w:hAnsi="Times New Roman"/>
        </w:rPr>
        <w:t>CCSC</w:t>
      </w:r>
      <w:r w:rsidRPr="008F6829">
        <w:rPr>
          <w:rFonts w:ascii="Times New Roman" w:hAnsi="Times New Roman"/>
        </w:rPr>
        <w:t xml:space="preserve"> is to </w:t>
      </w:r>
      <w:r w:rsidR="00C73DCF">
        <w:rPr>
          <w:rFonts w:ascii="Times New Roman" w:hAnsi="Times New Roman"/>
        </w:rPr>
        <w:t>better understand the number</w:t>
      </w:r>
      <w:r w:rsidRPr="008F6829" w:rsidR="00021C0B">
        <w:rPr>
          <w:rFonts w:ascii="Times New Roman" w:hAnsi="Times New Roman"/>
        </w:rPr>
        <w:t xml:space="preserve"> and characteristics of </w:t>
      </w:r>
      <w:r w:rsidR="00317BE5">
        <w:rPr>
          <w:rFonts w:ascii="Times New Roman" w:hAnsi="Times New Roman"/>
        </w:rPr>
        <w:t xml:space="preserve">felony and serious misdemeanor </w:t>
      </w:r>
      <w:r w:rsidR="00256D91">
        <w:rPr>
          <w:rFonts w:ascii="Times New Roman" w:hAnsi="Times New Roman"/>
        </w:rPr>
        <w:t>criminal cases</w:t>
      </w:r>
      <w:r w:rsidRPr="008F6829" w:rsidR="00021C0B">
        <w:rPr>
          <w:rFonts w:ascii="Times New Roman" w:hAnsi="Times New Roman"/>
        </w:rPr>
        <w:t xml:space="preserve"> processed in</w:t>
      </w:r>
      <w:r w:rsidR="00C73DCF">
        <w:rPr>
          <w:rFonts w:ascii="Times New Roman" w:hAnsi="Times New Roman"/>
        </w:rPr>
        <w:t xml:space="preserve"> state</w:t>
      </w:r>
      <w:r w:rsidRPr="008F6829" w:rsidR="00021C0B">
        <w:rPr>
          <w:rFonts w:ascii="Times New Roman" w:hAnsi="Times New Roman"/>
        </w:rPr>
        <w:t xml:space="preserve"> courts</w:t>
      </w:r>
      <w:r w:rsidR="009D22C5">
        <w:rPr>
          <w:rFonts w:ascii="Times New Roman" w:hAnsi="Times New Roman"/>
        </w:rPr>
        <w:t xml:space="preserve"> in the 50 states</w:t>
      </w:r>
      <w:r w:rsidR="00317BE5">
        <w:rPr>
          <w:rFonts w:ascii="Times New Roman" w:hAnsi="Times New Roman"/>
        </w:rPr>
        <w:t xml:space="preserve"> and the</w:t>
      </w:r>
      <w:r w:rsidR="009D22C5">
        <w:rPr>
          <w:rFonts w:ascii="Times New Roman" w:hAnsi="Times New Roman"/>
        </w:rPr>
        <w:t xml:space="preserve"> District of Columbia</w:t>
      </w:r>
      <w:r w:rsidRPr="008F6829" w:rsidR="00021C0B">
        <w:rPr>
          <w:rFonts w:ascii="Times New Roman" w:hAnsi="Times New Roman"/>
        </w:rPr>
        <w:t xml:space="preserve">. </w:t>
      </w:r>
      <w:r w:rsidRPr="008F6829">
        <w:rPr>
          <w:rFonts w:ascii="Times New Roman" w:hAnsi="Times New Roman"/>
        </w:rPr>
        <w:t xml:space="preserve">States vary considerably with respect to the </w:t>
      </w:r>
      <w:r w:rsidR="00256D91">
        <w:rPr>
          <w:rFonts w:ascii="Times New Roman" w:hAnsi="Times New Roman"/>
        </w:rPr>
        <w:t>types of cases handled in limited jurisdiction or general jurisdiction</w:t>
      </w:r>
      <w:r w:rsidR="00E072AD">
        <w:rPr>
          <w:rFonts w:ascii="Times New Roman" w:hAnsi="Times New Roman"/>
        </w:rPr>
        <w:t xml:space="preserve"> court</w:t>
      </w:r>
      <w:r w:rsidR="00256D91">
        <w:rPr>
          <w:rFonts w:ascii="Times New Roman" w:hAnsi="Times New Roman"/>
        </w:rPr>
        <w:t>s</w:t>
      </w:r>
      <w:r w:rsidR="00AF6657">
        <w:rPr>
          <w:rFonts w:ascii="Times New Roman" w:hAnsi="Times New Roman"/>
        </w:rPr>
        <w:t>.</w:t>
      </w:r>
      <w:r w:rsidRPr="008F6829">
        <w:rPr>
          <w:rFonts w:ascii="Times New Roman" w:hAnsi="Times New Roman"/>
        </w:rPr>
        <w:t xml:space="preserve"> </w:t>
      </w:r>
      <w:r w:rsidR="00AF6657">
        <w:rPr>
          <w:rFonts w:ascii="Times New Roman" w:hAnsi="Times New Roman"/>
        </w:rPr>
        <w:t>T</w:t>
      </w:r>
      <w:r w:rsidR="00317BE5">
        <w:rPr>
          <w:rFonts w:ascii="Times New Roman" w:hAnsi="Times New Roman"/>
        </w:rPr>
        <w:t>hey</w:t>
      </w:r>
      <w:r w:rsidRPr="008F6829" w:rsidR="00317BE5">
        <w:rPr>
          <w:rFonts w:ascii="Times New Roman" w:hAnsi="Times New Roman"/>
        </w:rPr>
        <w:t xml:space="preserve"> </w:t>
      </w:r>
      <w:r w:rsidRPr="008F6829">
        <w:rPr>
          <w:rFonts w:ascii="Times New Roman" w:hAnsi="Times New Roman"/>
        </w:rPr>
        <w:t xml:space="preserve">also </w:t>
      </w:r>
      <w:r w:rsidR="00317BE5">
        <w:rPr>
          <w:rFonts w:ascii="Times New Roman" w:hAnsi="Times New Roman"/>
        </w:rPr>
        <w:t xml:space="preserve">vary </w:t>
      </w:r>
      <w:r w:rsidRPr="008F6829">
        <w:rPr>
          <w:rFonts w:ascii="Times New Roman" w:hAnsi="Times New Roman"/>
        </w:rPr>
        <w:t xml:space="preserve">with respect to </w:t>
      </w:r>
      <w:r w:rsidRPr="008F6829" w:rsidR="00E072AD">
        <w:rPr>
          <w:rFonts w:ascii="Times New Roman" w:hAnsi="Times New Roman"/>
        </w:rPr>
        <w:t xml:space="preserve">the </w:t>
      </w:r>
      <w:r w:rsidRPr="008F6829">
        <w:rPr>
          <w:rFonts w:ascii="Times New Roman" w:hAnsi="Times New Roman"/>
        </w:rPr>
        <w:t xml:space="preserve">ability </w:t>
      </w:r>
      <w:r w:rsidR="00E072AD">
        <w:rPr>
          <w:rFonts w:ascii="Times New Roman" w:hAnsi="Times New Roman"/>
        </w:rPr>
        <w:t xml:space="preserve">of their courts </w:t>
      </w:r>
      <w:r w:rsidRPr="008F6829">
        <w:rPr>
          <w:rFonts w:ascii="Times New Roman" w:hAnsi="Times New Roman"/>
        </w:rPr>
        <w:t xml:space="preserve">to provide case-level data </w:t>
      </w:r>
      <w:r w:rsidR="00E072AD">
        <w:rPr>
          <w:rFonts w:ascii="Times New Roman" w:hAnsi="Times New Roman"/>
        </w:rPr>
        <w:t xml:space="preserve">on these matters </w:t>
      </w:r>
      <w:r w:rsidRPr="008F6829">
        <w:rPr>
          <w:rFonts w:ascii="Times New Roman" w:hAnsi="Times New Roman"/>
        </w:rPr>
        <w:t xml:space="preserve">easily and electronically. The </w:t>
      </w:r>
      <w:r w:rsidR="00317BE5">
        <w:rPr>
          <w:rFonts w:ascii="Times New Roman" w:hAnsi="Times New Roman"/>
        </w:rPr>
        <w:t>CCSC</w:t>
      </w:r>
      <w:r w:rsidRPr="008F6829">
        <w:rPr>
          <w:rFonts w:ascii="Times New Roman" w:hAnsi="Times New Roman"/>
        </w:rPr>
        <w:t xml:space="preserve"> take</w:t>
      </w:r>
      <w:r w:rsidR="00A77865">
        <w:rPr>
          <w:rFonts w:hint="eastAsia" w:ascii="Times New Roman" w:hAnsi="Times New Roman" w:eastAsiaTheme="minorEastAsia"/>
          <w:lang w:eastAsia="ko-KR"/>
        </w:rPr>
        <w:t>s</w:t>
      </w:r>
      <w:r w:rsidRPr="008F6829">
        <w:rPr>
          <w:rFonts w:ascii="Times New Roman" w:hAnsi="Times New Roman"/>
        </w:rPr>
        <w:t xml:space="preserve"> advantage</w:t>
      </w:r>
      <w:r w:rsidRPr="008F6829" w:rsidR="00C25D74">
        <w:rPr>
          <w:rFonts w:ascii="Times New Roman" w:hAnsi="Times New Roman"/>
        </w:rPr>
        <w:t xml:space="preserve"> </w:t>
      </w:r>
      <w:r w:rsidRPr="008F6829" w:rsidR="006C59FA">
        <w:rPr>
          <w:rFonts w:ascii="Times New Roman" w:hAnsi="Times New Roman"/>
        </w:rPr>
        <w:t xml:space="preserve">of </w:t>
      </w:r>
      <w:r w:rsidRPr="008F6829" w:rsidR="00C25D74">
        <w:rPr>
          <w:rFonts w:ascii="Times New Roman" w:hAnsi="Times New Roman"/>
        </w:rPr>
        <w:t>and address</w:t>
      </w:r>
      <w:r w:rsidR="00A77865">
        <w:rPr>
          <w:rFonts w:hint="eastAsia" w:ascii="Times New Roman" w:hAnsi="Times New Roman" w:eastAsiaTheme="minorEastAsia"/>
          <w:lang w:eastAsia="ko-KR"/>
        </w:rPr>
        <w:t>es</w:t>
      </w:r>
      <w:r w:rsidRPr="008F6829" w:rsidR="00C25D74">
        <w:rPr>
          <w:rFonts w:ascii="Times New Roman" w:hAnsi="Times New Roman"/>
        </w:rPr>
        <w:t xml:space="preserve"> this </w:t>
      </w:r>
      <w:r w:rsidR="00A77865">
        <w:rPr>
          <w:rFonts w:hint="eastAsia" w:ascii="Times New Roman" w:hAnsi="Times New Roman" w:eastAsiaTheme="minorEastAsia"/>
          <w:lang w:eastAsia="ko-KR"/>
        </w:rPr>
        <w:t xml:space="preserve">variation </w:t>
      </w:r>
      <w:r w:rsidRPr="008F6829" w:rsidR="00021C0B">
        <w:rPr>
          <w:rFonts w:ascii="Times New Roman" w:hAnsi="Times New Roman"/>
        </w:rPr>
        <w:t>in data availability</w:t>
      </w:r>
      <w:r w:rsidRPr="008F6829" w:rsidR="00C25D74">
        <w:rPr>
          <w:rFonts w:ascii="Times New Roman" w:hAnsi="Times New Roman"/>
        </w:rPr>
        <w:t xml:space="preserve"> by combining a census and sample-based data coll</w:t>
      </w:r>
      <w:r w:rsidRPr="008F6829" w:rsidR="00C04FE1">
        <w:rPr>
          <w:rFonts w:ascii="Times New Roman" w:hAnsi="Times New Roman"/>
        </w:rPr>
        <w:t>ection.</w:t>
      </w:r>
    </w:p>
    <w:p w:rsidR="00CC3415" w:rsidP="00580A55" w:rsidRDefault="00CC3415" w14:paraId="35280D29" w14:textId="60E544DB">
      <w:pPr>
        <w:pStyle w:val="L1-FlLSp12"/>
        <w:spacing w:line="276" w:lineRule="auto"/>
        <w:rPr>
          <w:rFonts w:ascii="Times New Roman" w:hAnsi="Times New Roman"/>
        </w:rPr>
      </w:pPr>
    </w:p>
    <w:p w:rsidR="00D432CF" w:rsidP="00F12916" w:rsidRDefault="00D432CF" w14:paraId="520F9EB3" w14:textId="21D0F338">
      <w:pPr>
        <w:pStyle w:val="L1-FlLSp12"/>
        <w:tabs>
          <w:tab w:val="clear" w:pos="1152"/>
          <w:tab w:val="left" w:pos="360"/>
        </w:tabs>
        <w:spacing w:line="276" w:lineRule="auto"/>
        <w:rPr>
          <w:rFonts w:ascii="Times New Roman" w:hAnsi="Times New Roman"/>
        </w:rPr>
      </w:pPr>
      <w:r w:rsidRPr="00F12916">
        <w:rPr>
          <w:rFonts w:ascii="Times New Roman" w:hAnsi="Times New Roman"/>
        </w:rPr>
        <w:t xml:space="preserve">The </w:t>
      </w:r>
      <w:r w:rsidRPr="008F6829">
        <w:rPr>
          <w:rFonts w:ascii="Times New Roman" w:hAnsi="Times New Roman"/>
        </w:rPr>
        <w:t xml:space="preserve">target population for the </w:t>
      </w:r>
      <w:r w:rsidRPr="00E67A80" w:rsidR="00CC3415">
        <w:rPr>
          <w:rFonts w:ascii="Times New Roman" w:hAnsi="Times New Roman"/>
        </w:rPr>
        <w:t>2019</w:t>
      </w:r>
      <w:r w:rsidRPr="008F6829">
        <w:rPr>
          <w:rFonts w:ascii="Times New Roman" w:hAnsi="Times New Roman"/>
        </w:rPr>
        <w:t xml:space="preserve"> </w:t>
      </w:r>
      <w:r w:rsidR="00317BE5">
        <w:rPr>
          <w:rFonts w:ascii="Times New Roman" w:hAnsi="Times New Roman"/>
        </w:rPr>
        <w:t>CCSC</w:t>
      </w:r>
      <w:r w:rsidRPr="008F6829">
        <w:rPr>
          <w:rFonts w:ascii="Times New Roman" w:hAnsi="Times New Roman"/>
        </w:rPr>
        <w:t xml:space="preserve"> is all </w:t>
      </w:r>
      <w:r w:rsidR="00AF73A8">
        <w:rPr>
          <w:rFonts w:ascii="Times New Roman" w:hAnsi="Times New Roman"/>
        </w:rPr>
        <w:t>original</w:t>
      </w:r>
      <w:r w:rsidR="00FC6D30">
        <w:rPr>
          <w:rFonts w:ascii="Times New Roman" w:hAnsi="Times New Roman"/>
        </w:rPr>
        <w:t xml:space="preserve"> </w:t>
      </w:r>
      <w:r w:rsidR="0068395E">
        <w:rPr>
          <w:rFonts w:ascii="Times New Roman" w:hAnsi="Times New Roman"/>
        </w:rPr>
        <w:t xml:space="preserve">felony and </w:t>
      </w:r>
      <w:r w:rsidR="00317BE5">
        <w:rPr>
          <w:rFonts w:ascii="Times New Roman" w:hAnsi="Times New Roman"/>
        </w:rPr>
        <w:t xml:space="preserve">serious </w:t>
      </w:r>
      <w:r w:rsidR="0068395E">
        <w:rPr>
          <w:rFonts w:ascii="Times New Roman" w:hAnsi="Times New Roman"/>
        </w:rPr>
        <w:t xml:space="preserve">misdemeanor </w:t>
      </w:r>
      <w:r w:rsidRPr="008F6829">
        <w:rPr>
          <w:rFonts w:ascii="Times New Roman" w:hAnsi="Times New Roman"/>
        </w:rPr>
        <w:t xml:space="preserve">cases </w:t>
      </w:r>
      <w:r w:rsidR="00317BE5">
        <w:rPr>
          <w:rFonts w:ascii="Times New Roman" w:hAnsi="Times New Roman"/>
        </w:rPr>
        <w:t xml:space="preserve">with a potential punishment of one year or more incarceration, </w:t>
      </w:r>
      <w:r w:rsidRPr="008F6829" w:rsidR="0068395E">
        <w:rPr>
          <w:rFonts w:ascii="Times New Roman" w:hAnsi="Times New Roman"/>
        </w:rPr>
        <w:t>disposed</w:t>
      </w:r>
      <w:r w:rsidR="0068395E">
        <w:rPr>
          <w:rFonts w:ascii="Times New Roman" w:hAnsi="Times New Roman"/>
        </w:rPr>
        <w:t xml:space="preserve"> of</w:t>
      </w:r>
      <w:r w:rsidRPr="008F6829" w:rsidR="0068395E">
        <w:rPr>
          <w:rFonts w:ascii="Times New Roman" w:hAnsi="Times New Roman"/>
        </w:rPr>
        <w:t xml:space="preserve"> in state criminal courts </w:t>
      </w:r>
      <w:r w:rsidR="0068395E">
        <w:rPr>
          <w:rFonts w:ascii="Times New Roman" w:hAnsi="Times New Roman"/>
        </w:rPr>
        <w:t>of general and limited jurisdiction</w:t>
      </w:r>
      <w:r w:rsidR="00AF6657">
        <w:rPr>
          <w:rFonts w:ascii="Times New Roman" w:hAnsi="Times New Roman"/>
        </w:rPr>
        <w:t xml:space="preserve"> in 2019</w:t>
      </w:r>
      <w:r w:rsidR="00AF73A8">
        <w:rPr>
          <w:rFonts w:ascii="Times New Roman" w:hAnsi="Times New Roman"/>
        </w:rPr>
        <w:t>, excluding municipal courts</w:t>
      </w:r>
      <w:r w:rsidRPr="008F6829" w:rsidR="0068395E">
        <w:rPr>
          <w:rFonts w:ascii="Times New Roman" w:hAnsi="Times New Roman"/>
        </w:rPr>
        <w:t>.</w:t>
      </w:r>
      <w:r w:rsidR="0068395E">
        <w:rPr>
          <w:rStyle w:val="FootnoteReference"/>
          <w:rFonts w:ascii="Times New Roman" w:hAnsi="Times New Roman"/>
        </w:rPr>
        <w:footnoteReference w:id="1"/>
      </w:r>
      <w:r w:rsidRPr="008F6829" w:rsidR="0068395E">
        <w:rPr>
          <w:rFonts w:ascii="Times New Roman" w:hAnsi="Times New Roman"/>
        </w:rPr>
        <w:t xml:space="preserve"> </w:t>
      </w:r>
      <w:r w:rsidR="00F35C63">
        <w:rPr>
          <w:rFonts w:ascii="Times New Roman" w:hAnsi="Times New Roman"/>
        </w:rPr>
        <w:t>B</w:t>
      </w:r>
      <w:r w:rsidR="00FC4671">
        <w:rPr>
          <w:rFonts w:ascii="Times New Roman" w:hAnsi="Times New Roman"/>
        </w:rPr>
        <w:t xml:space="preserve">JS does not have an estimate of the criminal cases filed in every state; however, population is highly correlated with case filings. Using </w:t>
      </w:r>
      <w:r w:rsidR="00852DE0">
        <w:rPr>
          <w:rFonts w:hint="eastAsia" w:ascii="Times New Roman" w:hAnsi="Times New Roman" w:eastAsiaTheme="minorEastAsia"/>
          <w:lang w:eastAsia="ko-KR"/>
        </w:rPr>
        <w:t xml:space="preserve">annual reports </w:t>
      </w:r>
      <w:r w:rsidR="00D47B43">
        <w:rPr>
          <w:rFonts w:ascii="Times New Roman" w:hAnsi="Times New Roman"/>
        </w:rPr>
        <w:t>for</w:t>
      </w:r>
      <w:r w:rsidR="005B0813">
        <w:rPr>
          <w:rFonts w:ascii="Times New Roman" w:hAnsi="Times New Roman"/>
        </w:rPr>
        <w:t xml:space="preserve"> </w:t>
      </w:r>
      <w:r w:rsidR="00D47B43">
        <w:rPr>
          <w:rFonts w:ascii="Times New Roman" w:hAnsi="Times New Roman"/>
        </w:rPr>
        <w:t xml:space="preserve">2017 </w:t>
      </w:r>
      <w:r w:rsidR="00FC4671">
        <w:rPr>
          <w:rFonts w:ascii="Times New Roman" w:hAnsi="Times New Roman"/>
        </w:rPr>
        <w:t>on criminal cases filed in</w:t>
      </w:r>
      <w:r w:rsidR="00F35C63">
        <w:rPr>
          <w:rFonts w:ascii="Times New Roman" w:hAnsi="Times New Roman"/>
        </w:rPr>
        <w:t xml:space="preserve"> </w:t>
      </w:r>
      <w:r w:rsidR="005B0813">
        <w:rPr>
          <w:rFonts w:ascii="Times New Roman" w:hAnsi="Times New Roman"/>
        </w:rPr>
        <w:t>each county</w:t>
      </w:r>
      <w:r w:rsidR="00EA5AAE">
        <w:rPr>
          <w:rFonts w:ascii="Times New Roman" w:hAnsi="Times New Roman"/>
        </w:rPr>
        <w:t xml:space="preserve"> for 6</w:t>
      </w:r>
      <w:r w:rsidR="005B0813">
        <w:rPr>
          <w:rFonts w:ascii="Times New Roman" w:hAnsi="Times New Roman"/>
        </w:rPr>
        <w:t xml:space="preserve"> states</w:t>
      </w:r>
      <w:r w:rsidR="00D47B43">
        <w:rPr>
          <w:rFonts w:ascii="Times New Roman" w:hAnsi="Times New Roman"/>
        </w:rPr>
        <w:t xml:space="preserve"> </w:t>
      </w:r>
      <w:r w:rsidR="005B0813">
        <w:rPr>
          <w:rFonts w:ascii="Times New Roman" w:hAnsi="Times New Roman"/>
        </w:rPr>
        <w:t>(Maryland, Maine, Pennsylvania, Colorado, Wisconsin and Montana)</w:t>
      </w:r>
      <w:r w:rsidR="00B76F09">
        <w:rPr>
          <w:rFonts w:ascii="Times New Roman" w:hAnsi="Times New Roman"/>
        </w:rPr>
        <w:t>,</w:t>
      </w:r>
      <w:r w:rsidR="00F07E8B">
        <w:rPr>
          <w:rStyle w:val="FootnoteReference"/>
          <w:rFonts w:ascii="Times New Roman" w:hAnsi="Times New Roman"/>
        </w:rPr>
        <w:footnoteReference w:id="2"/>
      </w:r>
      <w:r w:rsidR="00FC4671">
        <w:rPr>
          <w:rFonts w:ascii="Times New Roman" w:hAnsi="Times New Roman"/>
        </w:rPr>
        <w:t xml:space="preserve"> and </w:t>
      </w:r>
      <w:r w:rsidR="00012B78">
        <w:rPr>
          <w:rFonts w:ascii="Times New Roman" w:hAnsi="Times New Roman"/>
        </w:rPr>
        <w:t xml:space="preserve">Census </w:t>
      </w:r>
      <w:r w:rsidR="00FC4671">
        <w:rPr>
          <w:rFonts w:ascii="Times New Roman" w:hAnsi="Times New Roman"/>
        </w:rPr>
        <w:t xml:space="preserve">estimates of the population from </w:t>
      </w:r>
      <w:r w:rsidR="005B0813">
        <w:rPr>
          <w:rFonts w:ascii="Times New Roman" w:hAnsi="Times New Roman"/>
        </w:rPr>
        <w:t>these counties in</w:t>
      </w:r>
      <w:r w:rsidR="00F35C63">
        <w:rPr>
          <w:rFonts w:ascii="Times New Roman" w:hAnsi="Times New Roman"/>
        </w:rPr>
        <w:t xml:space="preserve"> </w:t>
      </w:r>
      <w:r w:rsidR="00D47B43">
        <w:rPr>
          <w:rFonts w:ascii="Times New Roman" w:hAnsi="Times New Roman"/>
        </w:rPr>
        <w:t>2017</w:t>
      </w:r>
      <w:r w:rsidR="00FC4671">
        <w:rPr>
          <w:rFonts w:ascii="Times New Roman" w:hAnsi="Times New Roman"/>
        </w:rPr>
        <w:t xml:space="preserve">, </w:t>
      </w:r>
      <w:r w:rsidR="00B46368">
        <w:rPr>
          <w:rFonts w:ascii="Times New Roman" w:hAnsi="Times New Roman"/>
        </w:rPr>
        <w:t xml:space="preserve">the Urban Institute (data collection agent for </w:t>
      </w:r>
      <w:r w:rsidR="00317BE5">
        <w:rPr>
          <w:rFonts w:ascii="Times New Roman" w:hAnsi="Times New Roman"/>
        </w:rPr>
        <w:t>CCSC</w:t>
      </w:r>
      <w:r w:rsidR="00B46368">
        <w:rPr>
          <w:rFonts w:ascii="Times New Roman" w:hAnsi="Times New Roman"/>
        </w:rPr>
        <w:t>)</w:t>
      </w:r>
      <w:r w:rsidR="003A5389">
        <w:rPr>
          <w:rFonts w:hint="eastAsia" w:ascii="Times New Roman" w:hAnsi="Times New Roman" w:eastAsiaTheme="minorEastAsia"/>
          <w:lang w:eastAsia="ko-KR"/>
        </w:rPr>
        <w:t xml:space="preserve"> examined the </w:t>
      </w:r>
      <w:r w:rsidR="0026454F">
        <w:rPr>
          <w:rFonts w:hint="eastAsia" w:ascii="Times New Roman" w:hAnsi="Times New Roman" w:eastAsiaTheme="minorEastAsia"/>
          <w:lang w:eastAsia="ko-KR"/>
        </w:rPr>
        <w:t xml:space="preserve">correlation between </w:t>
      </w:r>
      <w:r w:rsidR="00852DE0">
        <w:rPr>
          <w:rFonts w:hint="eastAsia" w:ascii="Times New Roman" w:hAnsi="Times New Roman" w:eastAsiaTheme="minorEastAsia"/>
          <w:lang w:eastAsia="ko-KR"/>
        </w:rPr>
        <w:t>the total population size and the number of case filings</w:t>
      </w:r>
      <w:r w:rsidR="003A5389">
        <w:rPr>
          <w:rFonts w:hint="eastAsia" w:ascii="Times New Roman" w:hAnsi="Times New Roman" w:eastAsiaTheme="minorEastAsia"/>
          <w:lang w:eastAsia="ko-KR"/>
        </w:rPr>
        <w:t xml:space="preserve"> and confirmed that it exceeded 0.90. </w:t>
      </w:r>
      <w:r w:rsidR="00FC4671">
        <w:rPr>
          <w:rFonts w:ascii="Times New Roman" w:hAnsi="Times New Roman"/>
        </w:rPr>
        <w:t xml:space="preserve">For that reason, </w:t>
      </w:r>
      <w:r w:rsidR="008757D4">
        <w:rPr>
          <w:rFonts w:ascii="Times New Roman" w:hAnsi="Times New Roman"/>
        </w:rPr>
        <w:t xml:space="preserve">for sampling purposes </w:t>
      </w:r>
      <w:r w:rsidR="00FC4671">
        <w:rPr>
          <w:rFonts w:ascii="Times New Roman" w:hAnsi="Times New Roman"/>
        </w:rPr>
        <w:t xml:space="preserve">BJS </w:t>
      </w:r>
      <w:r w:rsidR="00A77865">
        <w:rPr>
          <w:rFonts w:hint="eastAsia" w:ascii="Times New Roman" w:hAnsi="Times New Roman" w:eastAsiaTheme="minorEastAsia"/>
          <w:lang w:eastAsia="ko-KR"/>
        </w:rPr>
        <w:t xml:space="preserve">plans to use </w:t>
      </w:r>
      <w:r w:rsidR="00F35C63">
        <w:rPr>
          <w:rFonts w:ascii="Times New Roman" w:hAnsi="Times New Roman"/>
        </w:rPr>
        <w:t xml:space="preserve">the size </w:t>
      </w:r>
      <w:r w:rsidR="00FC4671">
        <w:rPr>
          <w:rFonts w:ascii="Times New Roman" w:hAnsi="Times New Roman"/>
        </w:rPr>
        <w:t>of the population aged 18 and over</w:t>
      </w:r>
      <w:r w:rsidR="00541908">
        <w:rPr>
          <w:rFonts w:ascii="Times New Roman" w:hAnsi="Times New Roman"/>
        </w:rPr>
        <w:t xml:space="preserve"> as a proxy for</w:t>
      </w:r>
      <w:r w:rsidR="00FC4671">
        <w:rPr>
          <w:rFonts w:ascii="Times New Roman" w:hAnsi="Times New Roman"/>
        </w:rPr>
        <w:t xml:space="preserve"> the </w:t>
      </w:r>
      <w:r w:rsidR="00541908">
        <w:rPr>
          <w:rFonts w:ascii="Times New Roman" w:hAnsi="Times New Roman"/>
        </w:rPr>
        <w:t>number of cases</w:t>
      </w:r>
      <w:r w:rsidR="00FC4671">
        <w:rPr>
          <w:rFonts w:ascii="Times New Roman" w:hAnsi="Times New Roman"/>
        </w:rPr>
        <w:t xml:space="preserve"> likely to be charged in criminal courts.</w:t>
      </w:r>
      <w:r w:rsidR="00FC4671">
        <w:rPr>
          <w:rStyle w:val="FootnoteReference"/>
          <w:rFonts w:ascii="Times New Roman" w:hAnsi="Times New Roman"/>
        </w:rPr>
        <w:footnoteReference w:id="3"/>
      </w:r>
    </w:p>
    <w:p w:rsidR="00CC3415" w:rsidP="00580A55" w:rsidRDefault="00CC3415" w14:paraId="1AF765AC" w14:textId="24CDD882">
      <w:pPr>
        <w:pStyle w:val="L1-FlLSp12"/>
        <w:spacing w:line="276" w:lineRule="auto"/>
        <w:rPr>
          <w:rFonts w:ascii="Times New Roman" w:hAnsi="Times New Roman"/>
        </w:rPr>
      </w:pPr>
    </w:p>
    <w:p w:rsidR="00B04D57" w:rsidP="00580A55" w:rsidRDefault="002C4126" w14:paraId="751FC669" w14:textId="680F7825">
      <w:pPr>
        <w:pStyle w:val="L1-FlLSp12"/>
        <w:spacing w:line="276" w:lineRule="auto"/>
        <w:rPr>
          <w:rFonts w:ascii="Times New Roman" w:hAnsi="Times New Roman"/>
        </w:rPr>
      </w:pPr>
      <w:r>
        <w:rPr>
          <w:rFonts w:ascii="Times New Roman" w:hAnsi="Times New Roman"/>
        </w:rPr>
        <w:t>Prior BJS collections of state court</w:t>
      </w:r>
      <w:r w:rsidR="006974EA">
        <w:rPr>
          <w:rFonts w:ascii="Times New Roman" w:hAnsi="Times New Roman"/>
        </w:rPr>
        <w:t xml:space="preserve"> case</w:t>
      </w:r>
      <w:r>
        <w:rPr>
          <w:rFonts w:ascii="Times New Roman" w:hAnsi="Times New Roman"/>
        </w:rPr>
        <w:t xml:space="preserve">s have focused on felony cases in general jurisdiction courts. The National Judicial Reporting Program (NJRP) collected only felony convictions and </w:t>
      </w:r>
      <w:r w:rsidR="00894FE6">
        <w:rPr>
          <w:rFonts w:ascii="Times New Roman" w:hAnsi="Times New Roman"/>
        </w:rPr>
        <w:t xml:space="preserve">included </w:t>
      </w:r>
      <w:r>
        <w:rPr>
          <w:rFonts w:ascii="Times New Roman" w:hAnsi="Times New Roman"/>
        </w:rPr>
        <w:t xml:space="preserve">no misdemeanor cases. State Court Processing Statistics (SCPS) collected data on felony case filings and </w:t>
      </w:r>
      <w:r w:rsidR="00B04D57">
        <w:rPr>
          <w:rFonts w:ascii="Times New Roman" w:hAnsi="Times New Roman"/>
        </w:rPr>
        <w:t>included</w:t>
      </w:r>
      <w:r>
        <w:rPr>
          <w:rFonts w:ascii="Times New Roman" w:hAnsi="Times New Roman"/>
        </w:rPr>
        <w:t xml:space="preserve"> misdemeanors if the cases were filed as felonies but disposed of as misdemeanors. Both data collections only collected data from general jurisdiction courts. </w:t>
      </w:r>
    </w:p>
    <w:p w:rsidR="00B04D57" w:rsidP="00580A55" w:rsidRDefault="00B04D57" w14:paraId="420C7C8C" w14:textId="77777777">
      <w:pPr>
        <w:pStyle w:val="L1-FlLSp12"/>
        <w:spacing w:line="276" w:lineRule="auto"/>
        <w:rPr>
          <w:rFonts w:ascii="Times New Roman" w:hAnsi="Times New Roman"/>
        </w:rPr>
      </w:pPr>
    </w:p>
    <w:p w:rsidR="003E117A" w:rsidP="00580A55" w:rsidRDefault="00B04D57" w14:paraId="3FA0D52E" w14:textId="28098C52">
      <w:pPr>
        <w:pStyle w:val="L1-FlLSp12"/>
        <w:spacing w:line="276" w:lineRule="auto"/>
        <w:rPr>
          <w:rFonts w:ascii="Times New Roman" w:hAnsi="Times New Roman"/>
        </w:rPr>
      </w:pPr>
      <w:r>
        <w:rPr>
          <w:rFonts w:ascii="Times New Roman" w:hAnsi="Times New Roman"/>
        </w:rPr>
        <w:t>T</w:t>
      </w:r>
      <w:r w:rsidR="003E117A">
        <w:rPr>
          <w:rFonts w:ascii="Times New Roman" w:hAnsi="Times New Roman"/>
        </w:rPr>
        <w:t>he National Center for State Courts (NCSC)</w:t>
      </w:r>
      <w:r w:rsidR="008757D4">
        <w:rPr>
          <w:rFonts w:ascii="Times New Roman" w:hAnsi="Times New Roman"/>
        </w:rPr>
        <w:t>, using data from the Court Statistics Project (CSP),</w:t>
      </w:r>
      <w:r w:rsidR="003E117A">
        <w:rPr>
          <w:rFonts w:ascii="Times New Roman" w:hAnsi="Times New Roman"/>
        </w:rPr>
        <w:t xml:space="preserve"> estimated that 64</w:t>
      </w:r>
      <w:r w:rsidR="009D22C5">
        <w:rPr>
          <w:rFonts w:ascii="Times New Roman" w:hAnsi="Times New Roman"/>
        </w:rPr>
        <w:t>%</w:t>
      </w:r>
      <w:r w:rsidR="003E117A">
        <w:rPr>
          <w:rFonts w:ascii="Times New Roman" w:hAnsi="Times New Roman"/>
        </w:rPr>
        <w:t xml:space="preserve"> to 92% of state court criminal filings were misdemeanor cases.</w:t>
      </w:r>
      <w:r w:rsidR="003E117A">
        <w:rPr>
          <w:rStyle w:val="FootnoteReference"/>
          <w:rFonts w:ascii="Times New Roman" w:hAnsi="Times New Roman"/>
        </w:rPr>
        <w:footnoteReference w:id="4"/>
      </w:r>
      <w:r w:rsidR="009D22C5">
        <w:rPr>
          <w:rFonts w:ascii="Times New Roman" w:hAnsi="Times New Roman"/>
        </w:rPr>
        <w:t xml:space="preserve"> </w:t>
      </w:r>
      <w:r w:rsidR="003603D2">
        <w:rPr>
          <w:rFonts w:ascii="Times New Roman" w:hAnsi="Times New Roman"/>
        </w:rPr>
        <w:t>Not all state systems receive data from limited jurisdiction courts;</w:t>
      </w:r>
      <w:r w:rsidR="003603D2">
        <w:rPr>
          <w:rStyle w:val="FootnoteReference"/>
          <w:rFonts w:ascii="Times New Roman" w:hAnsi="Times New Roman"/>
        </w:rPr>
        <w:footnoteReference w:id="5"/>
      </w:r>
      <w:r w:rsidR="003603D2">
        <w:rPr>
          <w:rFonts w:ascii="Times New Roman" w:hAnsi="Times New Roman"/>
        </w:rPr>
        <w:t xml:space="preserve"> BJS estimates that </w:t>
      </w:r>
      <w:r>
        <w:rPr>
          <w:rFonts w:ascii="Times New Roman" w:hAnsi="Times New Roman"/>
        </w:rPr>
        <w:t>2</w:t>
      </w:r>
      <w:r w:rsidR="00BB7546">
        <w:rPr>
          <w:rFonts w:ascii="Times New Roman" w:hAnsi="Times New Roman"/>
        </w:rPr>
        <w:t>6</w:t>
      </w:r>
      <w:r>
        <w:rPr>
          <w:rFonts w:ascii="Times New Roman" w:hAnsi="Times New Roman"/>
        </w:rPr>
        <w:t xml:space="preserve"> of the </w:t>
      </w:r>
      <w:r w:rsidR="003603D2">
        <w:rPr>
          <w:rFonts w:ascii="Times New Roman" w:hAnsi="Times New Roman"/>
        </w:rPr>
        <w:t>3</w:t>
      </w:r>
      <w:r w:rsidR="00BB7546">
        <w:rPr>
          <w:rFonts w:ascii="Times New Roman" w:hAnsi="Times New Roman"/>
        </w:rPr>
        <w:t>6</w:t>
      </w:r>
      <w:r w:rsidR="003603D2">
        <w:rPr>
          <w:rFonts w:ascii="Times New Roman" w:hAnsi="Times New Roman"/>
        </w:rPr>
        <w:t xml:space="preserve"> state</w:t>
      </w:r>
      <w:r>
        <w:rPr>
          <w:rFonts w:ascii="Times New Roman" w:hAnsi="Times New Roman"/>
        </w:rPr>
        <w:t>wide system</w:t>
      </w:r>
      <w:r w:rsidR="003603D2">
        <w:rPr>
          <w:rFonts w:ascii="Times New Roman" w:hAnsi="Times New Roman"/>
        </w:rPr>
        <w:t xml:space="preserve">s </w:t>
      </w:r>
      <w:r w:rsidR="00BB7546">
        <w:rPr>
          <w:rFonts w:ascii="Times New Roman" w:hAnsi="Times New Roman"/>
        </w:rPr>
        <w:t xml:space="preserve">and the District of Columbia </w:t>
      </w:r>
      <w:r w:rsidR="003603D2">
        <w:rPr>
          <w:rFonts w:ascii="Times New Roman" w:hAnsi="Times New Roman"/>
        </w:rPr>
        <w:t>have data from both general jurisdiction and limited jurisdiction courts</w:t>
      </w:r>
      <w:r>
        <w:rPr>
          <w:rFonts w:ascii="Times New Roman" w:hAnsi="Times New Roman"/>
        </w:rPr>
        <w:t>, based on the data capability interviews from work done under a previous generic clearance</w:t>
      </w:r>
      <w:r w:rsidR="003603D2">
        <w:rPr>
          <w:rFonts w:ascii="Times New Roman" w:hAnsi="Times New Roman"/>
        </w:rPr>
        <w:t xml:space="preserve">. </w:t>
      </w:r>
      <w:r w:rsidR="009D22C5">
        <w:rPr>
          <w:rFonts w:ascii="Times New Roman" w:hAnsi="Times New Roman"/>
        </w:rPr>
        <w:t xml:space="preserve">BJS </w:t>
      </w:r>
      <w:r w:rsidR="002073E9">
        <w:rPr>
          <w:rFonts w:ascii="Times New Roman" w:hAnsi="Times New Roman"/>
        </w:rPr>
        <w:t>is only collecting limited jurisdiction data if the state or county is able to provide it</w:t>
      </w:r>
      <w:r>
        <w:rPr>
          <w:rFonts w:ascii="Times New Roman" w:hAnsi="Times New Roman"/>
        </w:rPr>
        <w:t>.</w:t>
      </w:r>
      <w:r w:rsidR="009D22C5">
        <w:rPr>
          <w:rFonts w:ascii="Times New Roman" w:hAnsi="Times New Roman"/>
        </w:rPr>
        <w:t xml:space="preserve"> BJS</w:t>
      </w:r>
      <w:r>
        <w:rPr>
          <w:rFonts w:ascii="Times New Roman" w:hAnsi="Times New Roman"/>
        </w:rPr>
        <w:t xml:space="preserve"> is also excluding municipal courts. BJS is also requesting only serious misdemeanors and will</w:t>
      </w:r>
      <w:r w:rsidR="005A639E">
        <w:rPr>
          <w:rFonts w:ascii="Times New Roman" w:hAnsi="Times New Roman"/>
        </w:rPr>
        <w:t xml:space="preserve"> </w:t>
      </w:r>
      <w:r w:rsidR="009D22C5">
        <w:rPr>
          <w:rFonts w:ascii="Times New Roman" w:hAnsi="Times New Roman"/>
        </w:rPr>
        <w:t>not be able to report on the total misdemeanor cases processed</w:t>
      </w:r>
      <w:r>
        <w:rPr>
          <w:rFonts w:ascii="Times New Roman" w:hAnsi="Times New Roman"/>
        </w:rPr>
        <w:t xml:space="preserve"> in state courts</w:t>
      </w:r>
      <w:r w:rsidR="002073E9">
        <w:rPr>
          <w:rFonts w:ascii="Times New Roman" w:hAnsi="Times New Roman"/>
        </w:rPr>
        <w:t>.</w:t>
      </w:r>
      <w:r w:rsidR="005A639E">
        <w:rPr>
          <w:rFonts w:ascii="Times New Roman" w:hAnsi="Times New Roman"/>
        </w:rPr>
        <w:t xml:space="preserve"> However, the </w:t>
      </w:r>
      <w:r>
        <w:rPr>
          <w:rFonts w:ascii="Times New Roman" w:hAnsi="Times New Roman"/>
        </w:rPr>
        <w:t xml:space="preserve">inclusion </w:t>
      </w:r>
      <w:r w:rsidR="005A639E">
        <w:rPr>
          <w:rFonts w:ascii="Times New Roman" w:hAnsi="Times New Roman"/>
        </w:rPr>
        <w:t xml:space="preserve">of </w:t>
      </w:r>
      <w:r>
        <w:rPr>
          <w:rFonts w:ascii="Times New Roman" w:hAnsi="Times New Roman"/>
        </w:rPr>
        <w:t>limited jurisdiction courts</w:t>
      </w:r>
      <w:r w:rsidR="005A639E">
        <w:rPr>
          <w:rFonts w:ascii="Times New Roman" w:hAnsi="Times New Roman"/>
        </w:rPr>
        <w:t xml:space="preserve"> is critical to</w:t>
      </w:r>
      <w:r>
        <w:rPr>
          <w:rFonts w:ascii="Times New Roman" w:hAnsi="Times New Roman"/>
        </w:rPr>
        <w:t xml:space="preserve"> understanding</w:t>
      </w:r>
      <w:r w:rsidR="005A639E">
        <w:rPr>
          <w:rFonts w:ascii="Times New Roman" w:hAnsi="Times New Roman"/>
        </w:rPr>
        <w:t xml:space="preserve"> the </w:t>
      </w:r>
      <w:r w:rsidR="008757D4">
        <w:rPr>
          <w:rFonts w:ascii="Times New Roman" w:hAnsi="Times New Roman"/>
        </w:rPr>
        <w:t xml:space="preserve">total </w:t>
      </w:r>
      <w:r w:rsidR="005A639E">
        <w:rPr>
          <w:rFonts w:ascii="Times New Roman" w:hAnsi="Times New Roman"/>
        </w:rPr>
        <w:t xml:space="preserve">work </w:t>
      </w:r>
      <w:r w:rsidR="008757D4">
        <w:rPr>
          <w:rFonts w:ascii="Times New Roman" w:hAnsi="Times New Roman"/>
        </w:rPr>
        <w:t>of</w:t>
      </w:r>
      <w:r w:rsidR="005A639E">
        <w:rPr>
          <w:rFonts w:ascii="Times New Roman" w:hAnsi="Times New Roman"/>
        </w:rPr>
        <w:t xml:space="preserve"> </w:t>
      </w:r>
      <w:r>
        <w:rPr>
          <w:rFonts w:ascii="Times New Roman" w:hAnsi="Times New Roman"/>
        </w:rPr>
        <w:t xml:space="preserve">state </w:t>
      </w:r>
      <w:r w:rsidR="005A639E">
        <w:rPr>
          <w:rFonts w:ascii="Times New Roman" w:hAnsi="Times New Roman"/>
        </w:rPr>
        <w:t>criminal courts.</w:t>
      </w:r>
    </w:p>
    <w:p w:rsidR="00CC3415" w:rsidP="00580A55" w:rsidRDefault="00CC3415" w14:paraId="75A393F3" w14:textId="63408D3A">
      <w:pPr>
        <w:pStyle w:val="L1-FlLSp12"/>
        <w:tabs>
          <w:tab w:val="clear" w:pos="1152"/>
          <w:tab w:val="left" w:pos="360"/>
        </w:tabs>
        <w:spacing w:line="276" w:lineRule="auto"/>
        <w:rPr>
          <w:rFonts w:ascii="Times New Roman" w:hAnsi="Times New Roman" w:eastAsiaTheme="minorEastAsia"/>
          <w:i/>
          <w:snapToGrid w:val="0"/>
        </w:rPr>
      </w:pPr>
    </w:p>
    <w:p w:rsidRPr="00F84FF2" w:rsidR="00C04FE1" w:rsidP="00580A55" w:rsidRDefault="008F6829" w14:paraId="43A6745B" w14:textId="32189F49">
      <w:pPr>
        <w:pStyle w:val="L1-FlLSp12"/>
        <w:tabs>
          <w:tab w:val="clear" w:pos="1152"/>
          <w:tab w:val="left" w:pos="360"/>
        </w:tabs>
        <w:spacing w:line="276" w:lineRule="auto"/>
        <w:rPr>
          <w:rFonts w:ascii="Times New Roman" w:hAnsi="Times New Roman" w:eastAsiaTheme="minorEastAsia"/>
          <w:i/>
          <w:snapToGrid w:val="0"/>
        </w:rPr>
      </w:pPr>
      <w:r w:rsidRPr="00F84FF2">
        <w:rPr>
          <w:rFonts w:ascii="Times New Roman" w:hAnsi="Times New Roman" w:eastAsiaTheme="minorEastAsia"/>
          <w:i/>
          <w:snapToGrid w:val="0"/>
        </w:rPr>
        <w:t>Overall Study and Sample Design</w:t>
      </w:r>
    </w:p>
    <w:p w:rsidR="008F6829" w:rsidP="00580A55" w:rsidRDefault="008F6829" w14:paraId="63CAA77D" w14:textId="77777777">
      <w:pPr>
        <w:pStyle w:val="L1-FlLSp12"/>
        <w:spacing w:line="276" w:lineRule="auto"/>
        <w:rPr>
          <w:rFonts w:ascii="Times New Roman" w:hAnsi="Times New Roman"/>
        </w:rPr>
      </w:pPr>
    </w:p>
    <w:p w:rsidR="00742A35" w:rsidP="00580A55" w:rsidRDefault="009366A3" w14:paraId="565ED15C" w14:textId="3FE29AB5">
      <w:pPr>
        <w:pStyle w:val="L1-FlLSp12"/>
        <w:spacing w:line="276" w:lineRule="auto"/>
        <w:rPr>
          <w:rFonts w:ascii="Times New Roman" w:hAnsi="Times New Roman"/>
        </w:rPr>
      </w:pPr>
      <w:r w:rsidRPr="008F6829">
        <w:rPr>
          <w:rFonts w:ascii="Times New Roman" w:hAnsi="Times New Roman"/>
        </w:rPr>
        <w:t xml:space="preserve">The overall </w:t>
      </w:r>
      <w:r w:rsidR="00317BE5">
        <w:rPr>
          <w:rFonts w:ascii="Times New Roman" w:hAnsi="Times New Roman"/>
        </w:rPr>
        <w:t>CCSC</w:t>
      </w:r>
      <w:r w:rsidRPr="008F6829">
        <w:rPr>
          <w:rFonts w:ascii="Times New Roman" w:hAnsi="Times New Roman"/>
        </w:rPr>
        <w:t xml:space="preserve"> study and sample design </w:t>
      </w:r>
      <w:r w:rsidR="005F44BE">
        <w:rPr>
          <w:rFonts w:ascii="Times New Roman" w:hAnsi="Times New Roman"/>
        </w:rPr>
        <w:t xml:space="preserve">will </w:t>
      </w:r>
      <w:r w:rsidRPr="008F6829" w:rsidR="00B33D3A">
        <w:rPr>
          <w:rFonts w:ascii="Times New Roman" w:hAnsi="Times New Roman"/>
        </w:rPr>
        <w:t>combin</w:t>
      </w:r>
      <w:r w:rsidR="00742A35">
        <w:rPr>
          <w:rFonts w:ascii="Times New Roman" w:hAnsi="Times New Roman"/>
        </w:rPr>
        <w:t>e</w:t>
      </w:r>
      <w:r w:rsidRPr="008F6829" w:rsidR="00B33D3A">
        <w:rPr>
          <w:rFonts w:ascii="Times New Roman" w:hAnsi="Times New Roman"/>
        </w:rPr>
        <w:t xml:space="preserve"> a census </w:t>
      </w:r>
      <w:r w:rsidR="003603D2">
        <w:rPr>
          <w:rFonts w:ascii="Times New Roman" w:hAnsi="Times New Roman"/>
        </w:rPr>
        <w:t>with a</w:t>
      </w:r>
      <w:r w:rsidRPr="008F6829" w:rsidR="003603D2">
        <w:rPr>
          <w:rFonts w:ascii="Times New Roman" w:hAnsi="Times New Roman"/>
        </w:rPr>
        <w:t xml:space="preserve"> </w:t>
      </w:r>
      <w:r w:rsidRPr="008F6829" w:rsidR="00B33D3A">
        <w:rPr>
          <w:rFonts w:ascii="Times New Roman" w:hAnsi="Times New Roman"/>
        </w:rPr>
        <w:t>sample-based data collection and estimation approach</w:t>
      </w:r>
      <w:r w:rsidRPr="008F6829">
        <w:rPr>
          <w:rFonts w:ascii="Times New Roman" w:hAnsi="Times New Roman"/>
        </w:rPr>
        <w:t xml:space="preserve">. In </w:t>
      </w:r>
      <w:r w:rsidRPr="008F6829" w:rsidR="00337CF3">
        <w:rPr>
          <w:rFonts w:ascii="Times New Roman" w:hAnsi="Times New Roman"/>
        </w:rPr>
        <w:t xml:space="preserve">states with </w:t>
      </w:r>
      <w:r w:rsidR="00CC3415">
        <w:rPr>
          <w:rFonts w:ascii="Times New Roman" w:hAnsi="Times New Roman"/>
        </w:rPr>
        <w:t>centralized</w:t>
      </w:r>
      <w:r w:rsidRPr="008F6829" w:rsidR="00B33D3A">
        <w:rPr>
          <w:rFonts w:ascii="Times New Roman" w:hAnsi="Times New Roman"/>
        </w:rPr>
        <w:t xml:space="preserve">, electronic </w:t>
      </w:r>
      <w:r w:rsidR="00402E46">
        <w:rPr>
          <w:rFonts w:ascii="Times New Roman" w:hAnsi="Times New Roman"/>
        </w:rPr>
        <w:t xml:space="preserve">court </w:t>
      </w:r>
      <w:r w:rsidRPr="008F6829" w:rsidR="00B33D3A">
        <w:rPr>
          <w:rFonts w:ascii="Times New Roman" w:hAnsi="Times New Roman"/>
        </w:rPr>
        <w:t>case-level records systems</w:t>
      </w:r>
      <w:r w:rsidR="007A3B9B">
        <w:rPr>
          <w:rFonts w:ascii="Times New Roman" w:hAnsi="Times New Roman"/>
        </w:rPr>
        <w:t xml:space="preserve"> that cover all courts in the state</w:t>
      </w:r>
      <w:r w:rsidRPr="008F6829" w:rsidR="00337CF3">
        <w:rPr>
          <w:rFonts w:ascii="Times New Roman" w:hAnsi="Times New Roman"/>
        </w:rPr>
        <w:t xml:space="preserve">, </w:t>
      </w:r>
      <w:r w:rsidRPr="008F6829">
        <w:rPr>
          <w:rFonts w:ascii="Times New Roman" w:hAnsi="Times New Roman"/>
        </w:rPr>
        <w:t>all in-scope cases will be processed</w:t>
      </w:r>
      <w:r w:rsidRPr="008F6829" w:rsidR="00975A86">
        <w:rPr>
          <w:rFonts w:ascii="Times New Roman" w:hAnsi="Times New Roman"/>
        </w:rPr>
        <w:t>.</w:t>
      </w:r>
      <w:r w:rsidRPr="008F6829">
        <w:rPr>
          <w:rFonts w:ascii="Times New Roman" w:hAnsi="Times New Roman"/>
        </w:rPr>
        <w:t xml:space="preserve"> In other states, </w:t>
      </w:r>
      <w:r w:rsidRPr="008F6829" w:rsidR="00187FF2">
        <w:rPr>
          <w:rFonts w:ascii="Times New Roman" w:hAnsi="Times New Roman"/>
        </w:rPr>
        <w:t xml:space="preserve">sample-based data collection methods will be appropriate. </w:t>
      </w:r>
    </w:p>
    <w:p w:rsidR="00742A35" w:rsidP="00580A55" w:rsidRDefault="00742A35" w14:paraId="2E5C60C4" w14:textId="77777777">
      <w:pPr>
        <w:pStyle w:val="L1-FlLSp12"/>
        <w:spacing w:line="276" w:lineRule="auto"/>
        <w:rPr>
          <w:rFonts w:ascii="Times New Roman" w:hAnsi="Times New Roman"/>
        </w:rPr>
      </w:pPr>
    </w:p>
    <w:p w:rsidRPr="008F6829" w:rsidR="00975A86" w:rsidP="00580A55" w:rsidRDefault="00187FF2" w14:paraId="70885DD8" w14:textId="7355FA93">
      <w:pPr>
        <w:pStyle w:val="L1-FlLSp12"/>
        <w:spacing w:line="276" w:lineRule="auto"/>
        <w:rPr>
          <w:rFonts w:ascii="Times New Roman" w:hAnsi="Times New Roman"/>
        </w:rPr>
      </w:pPr>
      <w:r w:rsidRPr="008F6829">
        <w:rPr>
          <w:rFonts w:ascii="Times New Roman" w:hAnsi="Times New Roman"/>
        </w:rPr>
        <w:t xml:space="preserve">For planning purposes, the </w:t>
      </w:r>
      <w:r w:rsidR="00317BE5">
        <w:rPr>
          <w:rFonts w:ascii="Times New Roman" w:hAnsi="Times New Roman"/>
        </w:rPr>
        <w:t>CCSC</w:t>
      </w:r>
      <w:r w:rsidRPr="008F6829">
        <w:rPr>
          <w:rFonts w:ascii="Times New Roman" w:hAnsi="Times New Roman"/>
        </w:rPr>
        <w:t xml:space="preserve"> study and sample design assumes the following </w:t>
      </w:r>
      <w:r w:rsidRPr="008F6829" w:rsidR="00B60AC8">
        <w:rPr>
          <w:rFonts w:ascii="Times New Roman" w:hAnsi="Times New Roman"/>
        </w:rPr>
        <w:t xml:space="preserve">primary </w:t>
      </w:r>
      <w:r w:rsidR="00E234F4">
        <w:rPr>
          <w:rFonts w:ascii="Times New Roman" w:hAnsi="Times New Roman"/>
        </w:rPr>
        <w:t>classes</w:t>
      </w:r>
      <w:r w:rsidRPr="008F6829" w:rsidR="00211917">
        <w:rPr>
          <w:rFonts w:ascii="Times New Roman" w:hAnsi="Times New Roman"/>
        </w:rPr>
        <w:t xml:space="preserve"> of states with respect to </w:t>
      </w:r>
      <w:r w:rsidRPr="008F6829">
        <w:rPr>
          <w:rFonts w:ascii="Times New Roman" w:hAnsi="Times New Roman"/>
        </w:rPr>
        <w:t xml:space="preserve">the availability </w:t>
      </w:r>
      <w:r w:rsidR="007C28B9">
        <w:rPr>
          <w:rFonts w:ascii="Times New Roman" w:hAnsi="Times New Roman"/>
        </w:rPr>
        <w:t xml:space="preserve">of </w:t>
      </w:r>
      <w:r w:rsidR="0077772C">
        <w:rPr>
          <w:rFonts w:ascii="Times New Roman" w:hAnsi="Times New Roman"/>
        </w:rPr>
        <w:t>centralized, state</w:t>
      </w:r>
      <w:r w:rsidRPr="008F6829">
        <w:rPr>
          <w:rFonts w:ascii="Times New Roman" w:hAnsi="Times New Roman"/>
        </w:rPr>
        <w:t xml:space="preserve"> electronic case-level records systems:</w:t>
      </w:r>
    </w:p>
    <w:p w:rsidRPr="008F6829" w:rsidR="00C04FE1" w:rsidP="00580A55" w:rsidRDefault="00C04FE1" w14:paraId="3A8515D7" w14:textId="77777777">
      <w:pPr>
        <w:pStyle w:val="L1-FlLSp12"/>
        <w:spacing w:line="276" w:lineRule="auto"/>
        <w:rPr>
          <w:rFonts w:ascii="Times New Roman" w:hAnsi="Times New Roman"/>
        </w:rPr>
      </w:pPr>
    </w:p>
    <w:p w:rsidRPr="008F6829" w:rsidR="00337CF3" w:rsidRDefault="00E234F4" w14:paraId="21DD3B98" w14:textId="0045AFF4">
      <w:pPr>
        <w:pStyle w:val="N1-1stBullet"/>
        <w:numPr>
          <w:ilvl w:val="0"/>
          <w:numId w:val="0"/>
        </w:numPr>
        <w:tabs>
          <w:tab w:val="left" w:pos="1440"/>
        </w:tabs>
        <w:spacing w:line="276" w:lineRule="auto"/>
        <w:ind w:left="576"/>
        <w:rPr>
          <w:rFonts w:ascii="Times New Roman" w:hAnsi="Times New Roman"/>
        </w:rPr>
      </w:pPr>
      <w:r w:rsidRPr="00E234F4">
        <w:rPr>
          <w:rFonts w:ascii="Times New Roman" w:hAnsi="Times New Roman"/>
          <w:b/>
        </w:rPr>
        <w:t xml:space="preserve">Class </w:t>
      </w:r>
      <w:r w:rsidR="00CC19BB">
        <w:rPr>
          <w:rFonts w:ascii="Times New Roman" w:hAnsi="Times New Roman"/>
          <w:b/>
        </w:rPr>
        <w:t>1</w:t>
      </w:r>
      <w:r w:rsidRPr="00E234F4">
        <w:rPr>
          <w:rFonts w:ascii="Times New Roman" w:hAnsi="Times New Roman"/>
          <w:b/>
        </w:rPr>
        <w:t>.</w:t>
      </w:r>
      <w:r>
        <w:rPr>
          <w:rFonts w:ascii="Times New Roman" w:hAnsi="Times New Roman"/>
        </w:rPr>
        <w:t xml:space="preserve"> </w:t>
      </w:r>
      <w:r>
        <w:rPr>
          <w:rFonts w:ascii="Times New Roman" w:hAnsi="Times New Roman"/>
        </w:rPr>
        <w:tab/>
      </w:r>
      <w:r w:rsidR="009D22C5">
        <w:rPr>
          <w:rFonts w:ascii="Times New Roman" w:hAnsi="Times New Roman"/>
        </w:rPr>
        <w:t>States with</w:t>
      </w:r>
      <w:r w:rsidR="00926968">
        <w:rPr>
          <w:rFonts w:ascii="Times New Roman" w:hAnsi="Times New Roman"/>
        </w:rPr>
        <w:t xml:space="preserve"> </w:t>
      </w:r>
      <w:r w:rsidR="00CC19BB">
        <w:rPr>
          <w:rFonts w:ascii="Times New Roman" w:hAnsi="Times New Roman"/>
        </w:rPr>
        <w:t xml:space="preserve">a </w:t>
      </w:r>
      <w:r w:rsidR="009D22C5">
        <w:rPr>
          <w:rFonts w:ascii="Times New Roman" w:hAnsi="Times New Roman"/>
        </w:rPr>
        <w:t xml:space="preserve">centralized </w:t>
      </w:r>
      <w:r w:rsidR="00AF5E69">
        <w:rPr>
          <w:rFonts w:ascii="Times New Roman" w:hAnsi="Times New Roman"/>
        </w:rPr>
        <w:t xml:space="preserve">records management </w:t>
      </w:r>
      <w:r w:rsidR="009D22C5">
        <w:rPr>
          <w:rFonts w:ascii="Times New Roman" w:hAnsi="Times New Roman"/>
        </w:rPr>
        <w:t>system</w:t>
      </w:r>
      <w:r w:rsidR="007A3B9B">
        <w:rPr>
          <w:rFonts w:ascii="Times New Roman" w:hAnsi="Times New Roman"/>
        </w:rPr>
        <w:t xml:space="preserve"> that covers most of or the entire state</w:t>
      </w:r>
      <w:r w:rsidRPr="008F6829" w:rsidR="00337CF3">
        <w:rPr>
          <w:rFonts w:ascii="Times New Roman" w:hAnsi="Times New Roman"/>
        </w:rPr>
        <w:t xml:space="preserve"> </w:t>
      </w:r>
    </w:p>
    <w:p w:rsidRPr="008F6829" w:rsidR="00187FF2" w:rsidP="00E234F4" w:rsidRDefault="00E234F4" w14:paraId="3F43FC80" w14:textId="447ADE07">
      <w:pPr>
        <w:pStyle w:val="N1-1stBullet"/>
        <w:numPr>
          <w:ilvl w:val="0"/>
          <w:numId w:val="0"/>
        </w:numPr>
        <w:tabs>
          <w:tab w:val="left" w:pos="1440"/>
        </w:tabs>
        <w:spacing w:line="276" w:lineRule="auto"/>
        <w:ind w:left="576"/>
        <w:rPr>
          <w:rFonts w:ascii="Times New Roman" w:hAnsi="Times New Roman"/>
        </w:rPr>
      </w:pPr>
      <w:r w:rsidRPr="00E234F4">
        <w:rPr>
          <w:rFonts w:ascii="Times New Roman" w:hAnsi="Times New Roman"/>
          <w:b/>
        </w:rPr>
        <w:t xml:space="preserve">Class </w:t>
      </w:r>
      <w:r w:rsidR="00811207">
        <w:rPr>
          <w:rFonts w:ascii="Times New Roman" w:hAnsi="Times New Roman"/>
          <w:b/>
        </w:rPr>
        <w:t>2</w:t>
      </w:r>
      <w:r w:rsidRPr="00E234F4">
        <w:rPr>
          <w:rFonts w:ascii="Times New Roman" w:hAnsi="Times New Roman"/>
          <w:b/>
        </w:rPr>
        <w:t>.</w:t>
      </w:r>
      <w:r>
        <w:rPr>
          <w:rFonts w:ascii="Times New Roman" w:hAnsi="Times New Roman"/>
        </w:rPr>
        <w:t xml:space="preserve"> </w:t>
      </w:r>
      <w:r w:rsidRPr="008F6829" w:rsidR="00337CF3">
        <w:rPr>
          <w:rFonts w:ascii="Times New Roman" w:hAnsi="Times New Roman"/>
        </w:rPr>
        <w:t xml:space="preserve">States </w:t>
      </w:r>
      <w:r w:rsidR="009D22C5">
        <w:rPr>
          <w:rFonts w:ascii="Times New Roman" w:hAnsi="Times New Roman"/>
        </w:rPr>
        <w:t>without centralized data</w:t>
      </w:r>
    </w:p>
    <w:p w:rsidR="00742A35" w:rsidP="00580A55" w:rsidRDefault="00895CF1" w14:paraId="395DA38C" w14:textId="2FED1E6B">
      <w:pPr>
        <w:pStyle w:val="L1-FlLSp12"/>
        <w:spacing w:line="276" w:lineRule="auto"/>
        <w:rPr>
          <w:rFonts w:ascii="Times New Roman" w:hAnsi="Times New Roman"/>
        </w:rPr>
      </w:pPr>
      <w:r>
        <w:rPr>
          <w:rFonts w:ascii="Times New Roman" w:hAnsi="Times New Roman"/>
        </w:rPr>
        <w:t xml:space="preserve">The data collection </w:t>
      </w:r>
      <w:r w:rsidR="00742A35">
        <w:rPr>
          <w:rFonts w:ascii="Times New Roman" w:hAnsi="Times New Roman"/>
        </w:rPr>
        <w:t xml:space="preserve">will </w:t>
      </w:r>
      <w:r>
        <w:rPr>
          <w:rFonts w:ascii="Times New Roman" w:hAnsi="Times New Roman"/>
        </w:rPr>
        <w:t xml:space="preserve">be staged as </w:t>
      </w:r>
      <w:r w:rsidR="005F44BE">
        <w:rPr>
          <w:rFonts w:ascii="Times New Roman" w:hAnsi="Times New Roman"/>
        </w:rPr>
        <w:t xml:space="preserve">some </w:t>
      </w:r>
      <w:r>
        <w:rPr>
          <w:rFonts w:ascii="Times New Roman" w:hAnsi="Times New Roman"/>
        </w:rPr>
        <w:t xml:space="preserve">states </w:t>
      </w:r>
      <w:r w:rsidR="00742A35">
        <w:rPr>
          <w:rFonts w:ascii="Times New Roman" w:hAnsi="Times New Roman"/>
        </w:rPr>
        <w:t xml:space="preserve">may </w:t>
      </w:r>
      <w:r>
        <w:rPr>
          <w:rFonts w:ascii="Times New Roman" w:hAnsi="Times New Roman"/>
        </w:rPr>
        <w:t>decline to participate.</w:t>
      </w:r>
      <w:r w:rsidR="00CF58D1">
        <w:rPr>
          <w:rFonts w:ascii="Times New Roman" w:hAnsi="Times New Roman"/>
        </w:rPr>
        <w:t xml:space="preserve"> </w:t>
      </w:r>
      <w:r w:rsidRPr="008F6829" w:rsidR="00F67DAB">
        <w:rPr>
          <w:rFonts w:ascii="Times New Roman" w:hAnsi="Times New Roman"/>
        </w:rPr>
        <w:t>A</w:t>
      </w:r>
      <w:r w:rsidR="00742A35">
        <w:rPr>
          <w:rFonts w:ascii="Times New Roman" w:hAnsi="Times New Roman"/>
        </w:rPr>
        <w:t>ll felony and serious misdemeanor</w:t>
      </w:r>
      <w:r w:rsidRPr="008F6829" w:rsidR="00211917">
        <w:rPr>
          <w:rFonts w:ascii="Times New Roman" w:hAnsi="Times New Roman"/>
        </w:rPr>
        <w:t xml:space="preserve"> cases </w:t>
      </w:r>
      <w:r w:rsidR="00486AF0">
        <w:rPr>
          <w:rFonts w:ascii="Times New Roman" w:hAnsi="Times New Roman"/>
        </w:rPr>
        <w:t xml:space="preserve">disposed </w:t>
      </w:r>
      <w:r w:rsidR="008B452F">
        <w:rPr>
          <w:rFonts w:ascii="Times New Roman" w:hAnsi="Times New Roman"/>
        </w:rPr>
        <w:t xml:space="preserve">in calendar year 2019 </w:t>
      </w:r>
      <w:r w:rsidRPr="008F6829" w:rsidR="00211917">
        <w:rPr>
          <w:rFonts w:ascii="Times New Roman" w:hAnsi="Times New Roman"/>
        </w:rPr>
        <w:t xml:space="preserve">will be </w:t>
      </w:r>
      <w:r w:rsidR="001D6C9F">
        <w:rPr>
          <w:rFonts w:ascii="Times New Roman" w:hAnsi="Times New Roman"/>
        </w:rPr>
        <w:t>requested</w:t>
      </w:r>
      <w:r w:rsidRPr="008F6829" w:rsidR="00211917">
        <w:rPr>
          <w:rFonts w:ascii="Times New Roman" w:hAnsi="Times New Roman"/>
        </w:rPr>
        <w:t xml:space="preserve"> from </w:t>
      </w:r>
      <w:r w:rsidR="001E462A">
        <w:rPr>
          <w:rFonts w:ascii="Times New Roman" w:hAnsi="Times New Roman"/>
        </w:rPr>
        <w:t>the</w:t>
      </w:r>
      <w:r w:rsidRPr="008F6829" w:rsidR="001E462A">
        <w:rPr>
          <w:rFonts w:ascii="Times New Roman" w:hAnsi="Times New Roman"/>
        </w:rPr>
        <w:t xml:space="preserve"> </w:t>
      </w:r>
      <w:r w:rsidR="001D6C9F">
        <w:rPr>
          <w:rFonts w:ascii="Times New Roman" w:hAnsi="Times New Roman"/>
        </w:rPr>
        <w:t>state</w:t>
      </w:r>
      <w:r w:rsidR="00E234F4">
        <w:rPr>
          <w:rFonts w:ascii="Times New Roman" w:hAnsi="Times New Roman"/>
        </w:rPr>
        <w:t xml:space="preserve"> system</w:t>
      </w:r>
      <w:r w:rsidR="001D6C9F">
        <w:rPr>
          <w:rFonts w:ascii="Times New Roman" w:hAnsi="Times New Roman"/>
        </w:rPr>
        <w:t>s</w:t>
      </w:r>
      <w:r w:rsidR="005A2521">
        <w:rPr>
          <w:rFonts w:ascii="Times New Roman" w:hAnsi="Times New Roman"/>
        </w:rPr>
        <w:t xml:space="preserve"> in </w:t>
      </w:r>
      <w:r w:rsidR="00CF58D1">
        <w:rPr>
          <w:rFonts w:ascii="Times New Roman" w:hAnsi="Times New Roman"/>
        </w:rPr>
        <w:t xml:space="preserve">Class </w:t>
      </w:r>
      <w:r w:rsidR="005A2521">
        <w:rPr>
          <w:rFonts w:ascii="Times New Roman" w:hAnsi="Times New Roman"/>
        </w:rPr>
        <w:t>1</w:t>
      </w:r>
      <w:r w:rsidR="00B72CF3">
        <w:rPr>
          <w:rFonts w:ascii="Times New Roman" w:hAnsi="Times New Roman"/>
        </w:rPr>
        <w:t xml:space="preserve"> and from all counties not </w:t>
      </w:r>
      <w:r w:rsidR="00742A35">
        <w:rPr>
          <w:rFonts w:ascii="Times New Roman" w:hAnsi="Times New Roman"/>
        </w:rPr>
        <w:t xml:space="preserve">part of </w:t>
      </w:r>
      <w:r w:rsidR="00B72CF3">
        <w:rPr>
          <w:rFonts w:ascii="Times New Roman" w:hAnsi="Times New Roman"/>
        </w:rPr>
        <w:t>the statewide systems in those states</w:t>
      </w:r>
      <w:r w:rsidR="00926968">
        <w:rPr>
          <w:rFonts w:ascii="Times New Roman" w:hAnsi="Times New Roman"/>
        </w:rPr>
        <w:t>.</w:t>
      </w:r>
      <w:r w:rsidR="00A37993">
        <w:rPr>
          <w:rFonts w:ascii="Times New Roman" w:hAnsi="Times New Roman"/>
        </w:rPr>
        <w:t xml:space="preserve"> </w:t>
      </w:r>
      <w:r w:rsidR="00CB2D91">
        <w:rPr>
          <w:rFonts w:ascii="Times New Roman" w:hAnsi="Times New Roman"/>
        </w:rPr>
        <w:t>A</w:t>
      </w:r>
      <w:r w:rsidRPr="008F6829" w:rsidR="00211917">
        <w:rPr>
          <w:rFonts w:ascii="Times New Roman" w:hAnsi="Times New Roman"/>
        </w:rPr>
        <w:t xml:space="preserve"> sample of </w:t>
      </w:r>
      <w:r w:rsidR="009D22C5">
        <w:rPr>
          <w:rFonts w:ascii="Times New Roman" w:hAnsi="Times New Roman"/>
        </w:rPr>
        <w:t>counties</w:t>
      </w:r>
      <w:r w:rsidRPr="008F6829" w:rsidR="00211917">
        <w:rPr>
          <w:rFonts w:ascii="Times New Roman" w:hAnsi="Times New Roman"/>
        </w:rPr>
        <w:t xml:space="preserve"> will be used to represent the balance of states </w:t>
      </w:r>
      <w:r w:rsidR="005A2521">
        <w:rPr>
          <w:rFonts w:ascii="Times New Roman" w:hAnsi="Times New Roman"/>
        </w:rPr>
        <w:t xml:space="preserve">in </w:t>
      </w:r>
      <w:r w:rsidR="00CF58D1">
        <w:rPr>
          <w:rFonts w:ascii="Times New Roman" w:hAnsi="Times New Roman"/>
        </w:rPr>
        <w:t xml:space="preserve">Class </w:t>
      </w:r>
      <w:r w:rsidR="00CC19BB">
        <w:rPr>
          <w:rFonts w:ascii="Times New Roman" w:hAnsi="Times New Roman"/>
        </w:rPr>
        <w:t>2</w:t>
      </w:r>
      <w:r w:rsidR="00742A35">
        <w:rPr>
          <w:rFonts w:ascii="Times New Roman" w:hAnsi="Times New Roman"/>
        </w:rPr>
        <w:t>. The sample</w:t>
      </w:r>
      <w:r w:rsidR="005F61B4">
        <w:rPr>
          <w:rFonts w:ascii="Times New Roman" w:hAnsi="Times New Roman"/>
        </w:rPr>
        <w:t xml:space="preserve"> will</w:t>
      </w:r>
      <w:r w:rsidR="00CB2D91">
        <w:rPr>
          <w:rFonts w:ascii="Times New Roman" w:hAnsi="Times New Roman"/>
        </w:rPr>
        <w:t xml:space="preserve"> </w:t>
      </w:r>
      <w:r w:rsidR="00667D0C">
        <w:rPr>
          <w:rFonts w:ascii="Times New Roman" w:hAnsi="Times New Roman"/>
        </w:rPr>
        <w:t xml:space="preserve">also </w:t>
      </w:r>
      <w:r w:rsidR="00CB2D91">
        <w:rPr>
          <w:rFonts w:ascii="Times New Roman" w:hAnsi="Times New Roman"/>
        </w:rPr>
        <w:t xml:space="preserve">include counties </w:t>
      </w:r>
      <w:r w:rsidR="005F61B4">
        <w:rPr>
          <w:rFonts w:ascii="Times New Roman" w:hAnsi="Times New Roman"/>
        </w:rPr>
        <w:t xml:space="preserve">from states </w:t>
      </w:r>
      <w:r w:rsidR="00B1672E">
        <w:rPr>
          <w:rFonts w:ascii="Times New Roman" w:hAnsi="Times New Roman"/>
        </w:rPr>
        <w:t xml:space="preserve">that </w:t>
      </w:r>
      <w:r w:rsidR="005F61B4">
        <w:rPr>
          <w:rFonts w:ascii="Times New Roman" w:hAnsi="Times New Roman"/>
        </w:rPr>
        <w:t>are in Class 1 but do not provide statewide data</w:t>
      </w:r>
      <w:r w:rsidRPr="008F6829" w:rsidR="00211917">
        <w:rPr>
          <w:rFonts w:ascii="Times New Roman" w:hAnsi="Times New Roman"/>
        </w:rPr>
        <w:t xml:space="preserve">. </w:t>
      </w:r>
      <w:r w:rsidR="00CF58D1">
        <w:rPr>
          <w:rFonts w:ascii="Times New Roman" w:hAnsi="Times New Roman"/>
        </w:rPr>
        <w:t xml:space="preserve">Once the Class 2 </w:t>
      </w:r>
      <w:r w:rsidR="00742A35">
        <w:rPr>
          <w:rFonts w:ascii="Times New Roman" w:hAnsi="Times New Roman"/>
        </w:rPr>
        <w:t>counties are identified</w:t>
      </w:r>
      <w:r w:rsidR="00CF58D1">
        <w:rPr>
          <w:rFonts w:ascii="Times New Roman" w:hAnsi="Times New Roman"/>
        </w:rPr>
        <w:t xml:space="preserve">, </w:t>
      </w:r>
      <w:r w:rsidR="00BB1627">
        <w:rPr>
          <w:rFonts w:ascii="Times New Roman" w:hAnsi="Times New Roman"/>
        </w:rPr>
        <w:t xml:space="preserve">BJS will </w:t>
      </w:r>
      <w:r w:rsidR="000E018F">
        <w:rPr>
          <w:rFonts w:ascii="Times New Roman" w:hAnsi="Times New Roman"/>
        </w:rPr>
        <w:t xml:space="preserve">sample counties </w:t>
      </w:r>
      <w:r w:rsidR="005F61B4">
        <w:rPr>
          <w:rFonts w:ascii="Times New Roman" w:hAnsi="Times New Roman"/>
        </w:rPr>
        <w:t xml:space="preserve">from states in Class 2 </w:t>
      </w:r>
      <w:r w:rsidR="000E018F">
        <w:rPr>
          <w:rFonts w:ascii="Times New Roman" w:hAnsi="Times New Roman"/>
        </w:rPr>
        <w:t xml:space="preserve">with </w:t>
      </w:r>
      <w:r w:rsidR="00BB1627">
        <w:rPr>
          <w:rFonts w:ascii="Times New Roman" w:hAnsi="Times New Roman"/>
        </w:rPr>
        <w:t>probability proportional to size</w:t>
      </w:r>
      <w:r w:rsidR="00742A35">
        <w:rPr>
          <w:rFonts w:ascii="Times New Roman" w:hAnsi="Times New Roman"/>
        </w:rPr>
        <w:t>.</w:t>
      </w:r>
      <w:r w:rsidR="00BB1627">
        <w:rPr>
          <w:rFonts w:ascii="Times New Roman" w:hAnsi="Times New Roman"/>
        </w:rPr>
        <w:t xml:space="preserve"> </w:t>
      </w:r>
      <w:r w:rsidR="00742A35">
        <w:rPr>
          <w:rFonts w:ascii="Times New Roman" w:hAnsi="Times New Roman"/>
        </w:rPr>
        <w:t>A</w:t>
      </w:r>
      <w:r w:rsidR="00BB1627">
        <w:rPr>
          <w:rFonts w:ascii="Times New Roman" w:hAnsi="Times New Roman"/>
        </w:rPr>
        <w:t>ny county</w:t>
      </w:r>
      <w:r w:rsidR="00FC4671">
        <w:rPr>
          <w:rFonts w:ascii="Times New Roman" w:hAnsi="Times New Roman"/>
        </w:rPr>
        <w:t xml:space="preserve"> with a total</w:t>
      </w:r>
      <w:r w:rsidR="00BB1627">
        <w:rPr>
          <w:rFonts w:ascii="Times New Roman" w:hAnsi="Times New Roman"/>
        </w:rPr>
        <w:t xml:space="preserve"> population of </w:t>
      </w:r>
      <w:r w:rsidR="00742A35">
        <w:rPr>
          <w:rFonts w:ascii="Times New Roman" w:hAnsi="Times New Roman"/>
        </w:rPr>
        <w:t>one million</w:t>
      </w:r>
      <w:r w:rsidRPr="00A2580F" w:rsidR="00BB1627">
        <w:rPr>
          <w:rFonts w:ascii="Times New Roman" w:hAnsi="Times New Roman"/>
        </w:rPr>
        <w:t xml:space="preserve"> residents</w:t>
      </w:r>
      <w:r w:rsidR="00BB1627">
        <w:rPr>
          <w:rFonts w:ascii="Times New Roman" w:hAnsi="Times New Roman"/>
        </w:rPr>
        <w:t xml:space="preserve"> </w:t>
      </w:r>
      <w:r w:rsidR="00742A35">
        <w:rPr>
          <w:rFonts w:ascii="Times New Roman" w:hAnsi="Times New Roman"/>
        </w:rPr>
        <w:t xml:space="preserve">aged 18 or older </w:t>
      </w:r>
      <w:r w:rsidR="00BB1627">
        <w:rPr>
          <w:rFonts w:ascii="Times New Roman" w:hAnsi="Times New Roman"/>
        </w:rPr>
        <w:lastRenderedPageBreak/>
        <w:t xml:space="preserve">or more will be sampled with certainty. </w:t>
      </w:r>
      <w:r w:rsidR="00742A35">
        <w:rPr>
          <w:rFonts w:ascii="Times New Roman" w:hAnsi="Times New Roman"/>
        </w:rPr>
        <w:t>T</w:t>
      </w:r>
      <w:r w:rsidR="00012B78">
        <w:rPr>
          <w:rFonts w:ascii="Times New Roman" w:hAnsi="Times New Roman"/>
        </w:rPr>
        <w:t xml:space="preserve">he total population aged 18 and over </w:t>
      </w:r>
      <w:r w:rsidR="005F44BE">
        <w:rPr>
          <w:rFonts w:ascii="Times New Roman" w:hAnsi="Times New Roman"/>
        </w:rPr>
        <w:t xml:space="preserve">is </w:t>
      </w:r>
      <w:r w:rsidR="00012B78">
        <w:rPr>
          <w:rFonts w:ascii="Times New Roman" w:hAnsi="Times New Roman"/>
        </w:rPr>
        <w:t>the target population</w:t>
      </w:r>
      <w:r w:rsidR="00742A35">
        <w:rPr>
          <w:rFonts w:ascii="Times New Roman" w:hAnsi="Times New Roman"/>
        </w:rPr>
        <w:t xml:space="preserve"> because</w:t>
      </w:r>
      <w:r w:rsidR="00012B78">
        <w:rPr>
          <w:rFonts w:ascii="Times New Roman" w:hAnsi="Times New Roman"/>
        </w:rPr>
        <w:t xml:space="preserve"> these are the individuals likely to be charged in criminal courts. </w:t>
      </w:r>
    </w:p>
    <w:p w:rsidR="00742A35" w:rsidP="00580A55" w:rsidRDefault="00742A35" w14:paraId="7BCACC99" w14:textId="77777777">
      <w:pPr>
        <w:pStyle w:val="L1-FlLSp12"/>
        <w:spacing w:line="276" w:lineRule="auto"/>
        <w:rPr>
          <w:rFonts w:ascii="Times New Roman" w:hAnsi="Times New Roman"/>
        </w:rPr>
      </w:pPr>
    </w:p>
    <w:p w:rsidR="001D6C9F" w:rsidP="00580A55" w:rsidRDefault="009D22C5" w14:paraId="4A524E0D" w14:textId="4D3F0E93">
      <w:pPr>
        <w:pStyle w:val="L1-FlLSp12"/>
        <w:spacing w:line="276" w:lineRule="auto"/>
        <w:rPr>
          <w:rFonts w:ascii="Times New Roman" w:hAnsi="Times New Roman"/>
        </w:rPr>
      </w:pPr>
      <w:r>
        <w:rPr>
          <w:rFonts w:ascii="Times New Roman" w:hAnsi="Times New Roman"/>
        </w:rPr>
        <w:t>Table</w:t>
      </w:r>
      <w:r w:rsidRPr="008F6829" w:rsidR="00F017DF">
        <w:rPr>
          <w:rFonts w:ascii="Times New Roman" w:hAnsi="Times New Roman"/>
        </w:rPr>
        <w:t xml:space="preserve"> </w:t>
      </w:r>
      <w:r w:rsidRPr="008F6829" w:rsidR="00187FF2">
        <w:rPr>
          <w:rFonts w:ascii="Times New Roman" w:hAnsi="Times New Roman"/>
        </w:rPr>
        <w:t xml:space="preserve">1 </w:t>
      </w:r>
      <w:r>
        <w:rPr>
          <w:rFonts w:ascii="Times New Roman" w:hAnsi="Times New Roman"/>
        </w:rPr>
        <w:t>details</w:t>
      </w:r>
      <w:r w:rsidR="006362A3">
        <w:rPr>
          <w:rFonts w:ascii="Times New Roman" w:hAnsi="Times New Roman"/>
        </w:rPr>
        <w:t xml:space="preserve"> the</w:t>
      </w:r>
      <w:r>
        <w:rPr>
          <w:rFonts w:ascii="Times New Roman" w:hAnsi="Times New Roman"/>
        </w:rPr>
        <w:t xml:space="preserve"> expected</w:t>
      </w:r>
      <w:r w:rsidR="006362A3">
        <w:rPr>
          <w:rFonts w:ascii="Times New Roman" w:hAnsi="Times New Roman"/>
        </w:rPr>
        <w:t xml:space="preserve"> availability </w:t>
      </w:r>
      <w:r w:rsidR="007C28B9">
        <w:rPr>
          <w:rFonts w:ascii="Times New Roman" w:hAnsi="Times New Roman"/>
        </w:rPr>
        <w:t xml:space="preserve">and coverage </w:t>
      </w:r>
      <w:r w:rsidR="006362A3">
        <w:rPr>
          <w:rFonts w:ascii="Times New Roman" w:hAnsi="Times New Roman"/>
        </w:rPr>
        <w:t xml:space="preserve">of </w:t>
      </w:r>
      <w:r w:rsidR="0077772C">
        <w:rPr>
          <w:rFonts w:ascii="Times New Roman" w:hAnsi="Times New Roman"/>
        </w:rPr>
        <w:t>centralized state</w:t>
      </w:r>
      <w:r w:rsidR="006362A3">
        <w:rPr>
          <w:rFonts w:ascii="Times New Roman" w:hAnsi="Times New Roman"/>
        </w:rPr>
        <w:t xml:space="preserve"> data</w:t>
      </w:r>
      <w:r w:rsidR="00742A35">
        <w:rPr>
          <w:rFonts w:ascii="Times New Roman" w:hAnsi="Times New Roman"/>
        </w:rPr>
        <w:t>.</w:t>
      </w:r>
      <w:r w:rsidR="005F06BA">
        <w:rPr>
          <w:rFonts w:ascii="Times New Roman" w:hAnsi="Times New Roman"/>
        </w:rPr>
        <w:t xml:space="preserve"> Table 2 details the known states without centralized data</w:t>
      </w:r>
      <w:r w:rsidR="00742A35">
        <w:rPr>
          <w:rFonts w:ascii="Times New Roman" w:hAnsi="Times New Roman"/>
        </w:rPr>
        <w:t>.</w:t>
      </w:r>
      <w:r w:rsidR="005F06BA">
        <w:rPr>
          <w:rFonts w:ascii="Times New Roman" w:hAnsi="Times New Roman"/>
        </w:rPr>
        <w:t xml:space="preserve"> Table 3 lists the counties from known Class 2 states with populations of at least </w:t>
      </w:r>
      <w:r w:rsidR="00742A35">
        <w:rPr>
          <w:rFonts w:ascii="Times New Roman" w:hAnsi="Times New Roman"/>
        </w:rPr>
        <w:t>one million residents aged eighteen and over</w:t>
      </w:r>
      <w:r w:rsidRPr="008F6829" w:rsidR="00F017DF">
        <w:rPr>
          <w:rFonts w:ascii="Times New Roman" w:hAnsi="Times New Roman"/>
        </w:rPr>
        <w:t>.</w:t>
      </w:r>
      <w:r w:rsidR="005F06BA">
        <w:rPr>
          <w:rFonts w:ascii="Times New Roman" w:hAnsi="Times New Roman"/>
        </w:rPr>
        <w:t xml:space="preserve"> Tables 2 and 3 </w:t>
      </w:r>
      <w:r w:rsidR="00506D2D">
        <w:rPr>
          <w:rFonts w:ascii="Times New Roman" w:hAnsi="Times New Roman"/>
        </w:rPr>
        <w:t xml:space="preserve">may be </w:t>
      </w:r>
      <w:r w:rsidR="005F06BA">
        <w:rPr>
          <w:rFonts w:ascii="Times New Roman" w:hAnsi="Times New Roman"/>
        </w:rPr>
        <w:t>subject to change based on the response of Class 1 states.</w:t>
      </w:r>
    </w:p>
    <w:p w:rsidR="00FB708D" w:rsidRDefault="00FB708D" w14:paraId="5C5FEEE0" w14:textId="300DA502">
      <w:pPr>
        <w:spacing w:after="200" w:line="276" w:lineRule="auto"/>
        <w:rPr>
          <w:rFonts w:ascii="Times New Roman" w:hAnsi="Times New Roman"/>
        </w:rPr>
      </w:pPr>
      <w:r>
        <w:rPr>
          <w:rFonts w:ascii="Times New Roman" w:hAnsi="Times New Roman"/>
        </w:rPr>
        <w:br w:type="page"/>
      </w:r>
    </w:p>
    <w:p w:rsidR="007C28B9" w:rsidP="00580A55" w:rsidRDefault="007C28B9" w14:paraId="5CDA4411" w14:textId="5B84C1A8">
      <w:pPr>
        <w:pStyle w:val="L1-FlLSp12"/>
        <w:spacing w:line="276" w:lineRule="auto"/>
        <w:rPr>
          <w:rFonts w:ascii="Times New Roman" w:hAnsi="Times New Roman"/>
        </w:rPr>
      </w:pPr>
      <w:r>
        <w:rPr>
          <w:rFonts w:ascii="Times New Roman" w:hAnsi="Times New Roman"/>
        </w:rPr>
        <w:lastRenderedPageBreak/>
        <w:t xml:space="preserve">Table 1. </w:t>
      </w:r>
      <w:r w:rsidR="005F61B4">
        <w:rPr>
          <w:rFonts w:ascii="Times New Roman" w:hAnsi="Times New Roman"/>
        </w:rPr>
        <w:t>Class 1 States by Population</w:t>
      </w:r>
      <w:r w:rsidR="00742A35">
        <w:rPr>
          <w:rFonts w:ascii="Times New Roman" w:hAnsi="Times New Roman"/>
        </w:rPr>
        <w:t xml:space="preserve"> Aged 18 and Over</w:t>
      </w:r>
      <w:r w:rsidR="00ED16B5">
        <w:rPr>
          <w:rFonts w:ascii="Times New Roman" w:hAnsi="Times New Roman"/>
        </w:rPr>
        <w:t>, 201</w:t>
      </w:r>
      <w:r w:rsidR="00820D6F">
        <w:rPr>
          <w:rFonts w:ascii="Times New Roman" w:hAnsi="Times New Roman"/>
        </w:rPr>
        <w:t>8</w:t>
      </w:r>
    </w:p>
    <w:tbl>
      <w:tblPr>
        <w:tblStyle w:val="TableWestatStandardFormat"/>
        <w:tblW w:w="9540" w:type="dxa"/>
        <w:tblLook w:val="04A0" w:firstRow="1" w:lastRow="0" w:firstColumn="1" w:lastColumn="0" w:noHBand="0" w:noVBand="1"/>
      </w:tblPr>
      <w:tblGrid>
        <w:gridCol w:w="1818"/>
        <w:gridCol w:w="1710"/>
        <w:gridCol w:w="6012"/>
      </w:tblGrid>
      <w:tr w:rsidRPr="00B72CF3" w:rsidR="00B72CF3" w:rsidTr="00DA357A" w14:paraId="0BFA1936" w14:textId="64FC70A0">
        <w:trPr>
          <w:cnfStyle w:val="100000000000" w:firstRow="1" w:lastRow="0" w:firstColumn="0" w:lastColumn="0" w:oddVBand="0" w:evenVBand="0" w:oddHBand="0" w:evenHBand="0" w:firstRowFirstColumn="0" w:firstRowLastColumn="0" w:lastRowFirstColumn="0" w:lastRowLastColumn="0"/>
          <w:trHeight w:val="300"/>
        </w:trPr>
        <w:tc>
          <w:tcPr>
            <w:tcW w:w="1818" w:type="dxa"/>
            <w:noWrap/>
          </w:tcPr>
          <w:p w:rsidRPr="00DA70C9" w:rsidR="00B72CF3" w:rsidP="00B72CF3" w:rsidRDefault="00B72CF3" w14:paraId="53E998F3" w14:textId="7C3E539D">
            <w:pPr>
              <w:spacing w:line="240" w:lineRule="auto"/>
              <w:rPr>
                <w:rFonts w:ascii="Times New Roman" w:hAnsi="Times New Roman"/>
                <w:b/>
                <w:color w:val="000000"/>
                <w:sz w:val="22"/>
                <w:szCs w:val="22"/>
                <w:lang w:eastAsia="ko-KR"/>
              </w:rPr>
            </w:pPr>
            <w:r w:rsidRPr="00DA70C9">
              <w:rPr>
                <w:rFonts w:ascii="Times New Roman" w:hAnsi="Times New Roman"/>
                <w:b/>
                <w:color w:val="000000"/>
                <w:sz w:val="22"/>
                <w:szCs w:val="22"/>
                <w:lang w:eastAsia="ko-KR"/>
              </w:rPr>
              <w:t>State Name</w:t>
            </w:r>
          </w:p>
        </w:tc>
        <w:tc>
          <w:tcPr>
            <w:tcW w:w="1710" w:type="dxa"/>
            <w:noWrap/>
          </w:tcPr>
          <w:p w:rsidRPr="00DA70C9" w:rsidR="00B72CF3" w:rsidP="00DA70C9" w:rsidRDefault="00B72CF3" w14:paraId="439D7E11" w14:textId="6A39991E">
            <w:pPr>
              <w:spacing w:line="240" w:lineRule="auto"/>
              <w:rPr>
                <w:rFonts w:ascii="Times New Roman" w:hAnsi="Times New Roman"/>
                <w:b/>
                <w:color w:val="000000"/>
                <w:sz w:val="22"/>
                <w:szCs w:val="22"/>
                <w:lang w:eastAsia="ko-KR"/>
              </w:rPr>
            </w:pPr>
            <w:r w:rsidRPr="00DA70C9">
              <w:rPr>
                <w:rFonts w:ascii="Times New Roman" w:hAnsi="Times New Roman"/>
                <w:b/>
                <w:color w:val="000000"/>
                <w:sz w:val="22"/>
                <w:szCs w:val="22"/>
                <w:lang w:eastAsia="ko-KR"/>
              </w:rPr>
              <w:t>Population 18+</w:t>
            </w:r>
          </w:p>
        </w:tc>
        <w:tc>
          <w:tcPr>
            <w:tcW w:w="6012" w:type="dxa"/>
          </w:tcPr>
          <w:p w:rsidRPr="00DA70C9" w:rsidR="00B72CF3" w:rsidP="00DA70C9" w:rsidRDefault="00254328" w14:paraId="4379A7DB" w14:textId="7F91B350">
            <w:pPr>
              <w:spacing w:line="240" w:lineRule="auto"/>
              <w:rPr>
                <w:rFonts w:ascii="Times New Roman" w:hAnsi="Times New Roman"/>
                <w:b/>
                <w:color w:val="000000"/>
                <w:sz w:val="22"/>
                <w:szCs w:val="22"/>
                <w:lang w:eastAsia="ko-KR"/>
              </w:rPr>
            </w:pPr>
            <w:r>
              <w:rPr>
                <w:rFonts w:ascii="Times New Roman" w:hAnsi="Times New Roman"/>
                <w:b/>
                <w:color w:val="000000"/>
                <w:sz w:val="22"/>
                <w:szCs w:val="22"/>
                <w:lang w:eastAsia="ko-KR"/>
              </w:rPr>
              <w:t>Additional Counties Needed for Census</w:t>
            </w:r>
          </w:p>
        </w:tc>
      </w:tr>
      <w:tr w:rsidRPr="005F61B4" w:rsidR="00820D6F" w:rsidTr="00DA357A" w14:paraId="678B389C" w14:textId="2D294E75">
        <w:trPr>
          <w:trHeight w:val="300"/>
        </w:trPr>
        <w:tc>
          <w:tcPr>
            <w:tcW w:w="1818" w:type="dxa"/>
            <w:noWrap/>
            <w:hideMark/>
          </w:tcPr>
          <w:p w:rsidRPr="00820D6F" w:rsidR="00820D6F" w:rsidP="00820D6F" w:rsidRDefault="00820D6F" w14:paraId="6DDCD73C" w14:textId="707DAAA3">
            <w:pPr>
              <w:spacing w:line="240" w:lineRule="auto"/>
              <w:rPr>
                <w:rFonts w:ascii="Times New Roman" w:hAnsi="Times New Roman"/>
                <w:color w:val="000000"/>
                <w:sz w:val="22"/>
                <w:szCs w:val="22"/>
              </w:rPr>
            </w:pPr>
            <w:r w:rsidRPr="00820D6F">
              <w:rPr>
                <w:rFonts w:ascii="Times New Roman" w:hAnsi="Times New Roman"/>
                <w:sz w:val="22"/>
                <w:szCs w:val="22"/>
              </w:rPr>
              <w:t xml:space="preserve"> New York</w:t>
            </w:r>
          </w:p>
        </w:tc>
        <w:tc>
          <w:tcPr>
            <w:tcW w:w="1710" w:type="dxa"/>
            <w:noWrap/>
            <w:hideMark/>
          </w:tcPr>
          <w:p w:rsidRPr="00820D6F" w:rsidR="00820D6F" w:rsidP="00820D6F" w:rsidRDefault="00820D6F" w14:paraId="4C39FC27" w14:textId="73A5BDE9">
            <w:pPr>
              <w:spacing w:line="240" w:lineRule="auto"/>
              <w:jc w:val="right"/>
              <w:rPr>
                <w:rFonts w:ascii="Times New Roman" w:hAnsi="Times New Roman"/>
                <w:color w:val="000000"/>
                <w:sz w:val="22"/>
                <w:szCs w:val="22"/>
              </w:rPr>
            </w:pPr>
            <w:r w:rsidRPr="00820D6F">
              <w:rPr>
                <w:rFonts w:ascii="Times New Roman" w:hAnsi="Times New Roman"/>
                <w:sz w:val="22"/>
                <w:szCs w:val="22"/>
              </w:rPr>
              <w:t>15,474,107</w:t>
            </w:r>
          </w:p>
        </w:tc>
        <w:tc>
          <w:tcPr>
            <w:tcW w:w="6012" w:type="dxa"/>
          </w:tcPr>
          <w:p w:rsidRPr="00217925" w:rsidR="00820D6F" w:rsidP="00820D6F" w:rsidRDefault="00820D6F" w14:paraId="24B3A670" w14:textId="77777777">
            <w:pPr>
              <w:spacing w:line="240" w:lineRule="auto"/>
              <w:rPr>
                <w:rFonts w:ascii="Times New Roman" w:hAnsi="Times New Roman"/>
                <w:color w:val="000000"/>
                <w:sz w:val="22"/>
                <w:szCs w:val="22"/>
                <w:lang w:eastAsia="ko-KR"/>
              </w:rPr>
            </w:pPr>
          </w:p>
        </w:tc>
      </w:tr>
      <w:tr w:rsidRPr="005F61B4" w:rsidR="00820D6F" w:rsidTr="00DA357A" w14:paraId="6A86730A" w14:textId="1B04D88D">
        <w:trPr>
          <w:trHeight w:val="300"/>
        </w:trPr>
        <w:tc>
          <w:tcPr>
            <w:tcW w:w="1818" w:type="dxa"/>
            <w:noWrap/>
            <w:hideMark/>
          </w:tcPr>
          <w:p w:rsidRPr="00820D6F" w:rsidR="00820D6F" w:rsidP="00820D6F" w:rsidRDefault="00820D6F" w14:paraId="6307ADB5" w14:textId="4349B108">
            <w:pPr>
              <w:spacing w:line="240" w:lineRule="auto"/>
              <w:rPr>
                <w:rFonts w:ascii="Times New Roman" w:hAnsi="Times New Roman"/>
                <w:color w:val="000000"/>
                <w:sz w:val="22"/>
                <w:szCs w:val="22"/>
              </w:rPr>
            </w:pPr>
            <w:r w:rsidRPr="00820D6F">
              <w:rPr>
                <w:rFonts w:ascii="Times New Roman" w:hAnsi="Times New Roman"/>
                <w:sz w:val="22"/>
                <w:szCs w:val="22"/>
              </w:rPr>
              <w:t xml:space="preserve"> Pennsylvania</w:t>
            </w:r>
          </w:p>
        </w:tc>
        <w:tc>
          <w:tcPr>
            <w:tcW w:w="1710" w:type="dxa"/>
            <w:noWrap/>
            <w:hideMark/>
          </w:tcPr>
          <w:p w:rsidRPr="00820D6F" w:rsidR="00820D6F" w:rsidP="00820D6F" w:rsidRDefault="00820D6F" w14:paraId="389FEE51" w14:textId="51C85838">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10,158,149</w:t>
            </w:r>
          </w:p>
        </w:tc>
        <w:tc>
          <w:tcPr>
            <w:tcW w:w="6012" w:type="dxa"/>
          </w:tcPr>
          <w:p w:rsidRPr="00217925" w:rsidR="00820D6F" w:rsidP="00820D6F" w:rsidRDefault="00820D6F" w14:paraId="23F4661A" w14:textId="77777777">
            <w:pPr>
              <w:spacing w:line="240" w:lineRule="auto"/>
              <w:rPr>
                <w:rFonts w:ascii="Times New Roman" w:hAnsi="Times New Roman"/>
                <w:color w:val="000000"/>
                <w:sz w:val="22"/>
                <w:szCs w:val="22"/>
                <w:lang w:eastAsia="ko-KR"/>
              </w:rPr>
            </w:pPr>
          </w:p>
        </w:tc>
      </w:tr>
      <w:tr w:rsidRPr="005F61B4" w:rsidR="00820D6F" w:rsidTr="00DA357A" w14:paraId="1C01AB53" w14:textId="71FDB4DB">
        <w:trPr>
          <w:trHeight w:val="300"/>
        </w:trPr>
        <w:tc>
          <w:tcPr>
            <w:tcW w:w="1818" w:type="dxa"/>
            <w:noWrap/>
            <w:hideMark/>
          </w:tcPr>
          <w:p w:rsidRPr="00820D6F" w:rsidR="00820D6F" w:rsidP="00820D6F" w:rsidRDefault="00820D6F" w14:paraId="42F829C3" w14:textId="631E99E5">
            <w:pPr>
              <w:spacing w:line="240" w:lineRule="auto"/>
              <w:rPr>
                <w:rFonts w:ascii="Times New Roman" w:hAnsi="Times New Roman"/>
                <w:color w:val="000000"/>
                <w:sz w:val="22"/>
                <w:szCs w:val="22"/>
              </w:rPr>
            </w:pPr>
            <w:r w:rsidRPr="00820D6F">
              <w:rPr>
                <w:rFonts w:ascii="Times New Roman" w:hAnsi="Times New Roman"/>
                <w:sz w:val="22"/>
                <w:szCs w:val="22"/>
              </w:rPr>
              <w:t xml:space="preserve"> Illinois</w:t>
            </w:r>
          </w:p>
        </w:tc>
        <w:tc>
          <w:tcPr>
            <w:tcW w:w="1710" w:type="dxa"/>
            <w:noWrap/>
            <w:hideMark/>
          </w:tcPr>
          <w:p w:rsidRPr="00820D6F" w:rsidR="00820D6F" w:rsidP="00820D6F" w:rsidRDefault="00820D6F" w14:paraId="45670398" w14:textId="10989606">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9,883,814</w:t>
            </w:r>
          </w:p>
        </w:tc>
        <w:tc>
          <w:tcPr>
            <w:tcW w:w="6012" w:type="dxa"/>
          </w:tcPr>
          <w:p w:rsidRPr="00217925" w:rsidR="00820D6F" w:rsidP="00820D6F" w:rsidRDefault="00820D6F" w14:paraId="2D10255A" w14:textId="2A48F6B1">
            <w:pPr>
              <w:spacing w:line="240" w:lineRule="auto"/>
              <w:rPr>
                <w:rFonts w:ascii="Times New Roman" w:hAnsi="Times New Roman"/>
                <w:color w:val="000000"/>
                <w:sz w:val="22"/>
                <w:szCs w:val="22"/>
                <w:lang w:eastAsia="ko-KR"/>
              </w:rPr>
            </w:pPr>
            <w:r w:rsidRPr="00217925">
              <w:rPr>
                <w:rFonts w:ascii="Times New Roman" w:hAnsi="Times New Roman"/>
                <w:color w:val="000000"/>
                <w:sz w:val="22"/>
                <w:szCs w:val="22"/>
                <w:lang w:eastAsia="ko-KR"/>
              </w:rPr>
              <w:t>Cook and DuPage Counties not on statewide</w:t>
            </w:r>
          </w:p>
        </w:tc>
      </w:tr>
      <w:tr w:rsidRPr="005F61B4" w:rsidR="00820D6F" w:rsidTr="00DA357A" w14:paraId="71B1496C" w14:textId="5F75C7D5">
        <w:trPr>
          <w:trHeight w:val="300"/>
        </w:trPr>
        <w:tc>
          <w:tcPr>
            <w:tcW w:w="1818" w:type="dxa"/>
            <w:noWrap/>
            <w:hideMark/>
          </w:tcPr>
          <w:p w:rsidRPr="00820D6F" w:rsidR="00820D6F" w:rsidP="00820D6F" w:rsidRDefault="00820D6F" w14:paraId="07163F1C" w14:textId="0E2A04C1">
            <w:pPr>
              <w:spacing w:line="240" w:lineRule="auto"/>
              <w:rPr>
                <w:rFonts w:ascii="Times New Roman" w:hAnsi="Times New Roman"/>
                <w:color w:val="000000"/>
                <w:sz w:val="22"/>
                <w:szCs w:val="22"/>
              </w:rPr>
            </w:pPr>
            <w:r w:rsidRPr="00820D6F">
              <w:rPr>
                <w:rFonts w:ascii="Times New Roman" w:hAnsi="Times New Roman"/>
                <w:sz w:val="22"/>
                <w:szCs w:val="22"/>
              </w:rPr>
              <w:t xml:space="preserve"> North Carolina</w:t>
            </w:r>
          </w:p>
        </w:tc>
        <w:tc>
          <w:tcPr>
            <w:tcW w:w="1710" w:type="dxa"/>
            <w:noWrap/>
            <w:hideMark/>
          </w:tcPr>
          <w:p w:rsidRPr="00820D6F" w:rsidR="00820D6F" w:rsidP="00820D6F" w:rsidRDefault="00820D6F" w14:paraId="7B7FD23C" w14:textId="4A2BB2BB">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8,082,975</w:t>
            </w:r>
          </w:p>
        </w:tc>
        <w:tc>
          <w:tcPr>
            <w:tcW w:w="6012" w:type="dxa"/>
          </w:tcPr>
          <w:p w:rsidRPr="00217925" w:rsidR="00820D6F" w:rsidP="00820D6F" w:rsidRDefault="00820D6F" w14:paraId="448023ED" w14:textId="77777777">
            <w:pPr>
              <w:spacing w:line="240" w:lineRule="auto"/>
              <w:rPr>
                <w:rFonts w:ascii="Times New Roman" w:hAnsi="Times New Roman"/>
                <w:color w:val="000000"/>
                <w:sz w:val="22"/>
                <w:szCs w:val="22"/>
                <w:lang w:eastAsia="ko-KR"/>
              </w:rPr>
            </w:pPr>
          </w:p>
        </w:tc>
      </w:tr>
      <w:tr w:rsidRPr="005F61B4" w:rsidR="00820D6F" w:rsidTr="00DA357A" w14:paraId="021D4B1C" w14:textId="02EF0402">
        <w:trPr>
          <w:trHeight w:val="300"/>
        </w:trPr>
        <w:tc>
          <w:tcPr>
            <w:tcW w:w="1818" w:type="dxa"/>
            <w:noWrap/>
            <w:hideMark/>
          </w:tcPr>
          <w:p w:rsidRPr="00820D6F" w:rsidR="00820D6F" w:rsidP="00820D6F" w:rsidRDefault="00820D6F" w14:paraId="395A975E" w14:textId="557D521F">
            <w:pPr>
              <w:spacing w:line="240" w:lineRule="auto"/>
              <w:rPr>
                <w:rFonts w:ascii="Times New Roman" w:hAnsi="Times New Roman"/>
                <w:color w:val="000000"/>
                <w:sz w:val="22"/>
                <w:szCs w:val="22"/>
              </w:rPr>
            </w:pPr>
            <w:r w:rsidRPr="00820D6F">
              <w:rPr>
                <w:rFonts w:ascii="Times New Roman" w:hAnsi="Times New Roman"/>
                <w:sz w:val="22"/>
                <w:szCs w:val="22"/>
              </w:rPr>
              <w:t xml:space="preserve"> Michigan</w:t>
            </w:r>
          </w:p>
        </w:tc>
        <w:tc>
          <w:tcPr>
            <w:tcW w:w="1710" w:type="dxa"/>
            <w:noWrap/>
            <w:hideMark/>
          </w:tcPr>
          <w:p w:rsidRPr="00820D6F" w:rsidR="00820D6F" w:rsidP="00820D6F" w:rsidRDefault="00820D6F" w14:paraId="636DB09C" w14:textId="5B830422">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7,831,247</w:t>
            </w:r>
          </w:p>
        </w:tc>
        <w:tc>
          <w:tcPr>
            <w:tcW w:w="6012" w:type="dxa"/>
          </w:tcPr>
          <w:p w:rsidRPr="00217925" w:rsidR="00820D6F" w:rsidP="00820D6F" w:rsidRDefault="00820D6F" w14:paraId="26796A17" w14:textId="77777777">
            <w:pPr>
              <w:spacing w:line="240" w:lineRule="auto"/>
              <w:rPr>
                <w:rFonts w:ascii="Times New Roman" w:hAnsi="Times New Roman"/>
                <w:color w:val="000000"/>
                <w:sz w:val="22"/>
                <w:szCs w:val="22"/>
                <w:lang w:eastAsia="ko-KR"/>
              </w:rPr>
            </w:pPr>
          </w:p>
        </w:tc>
      </w:tr>
      <w:tr w:rsidRPr="005F61B4" w:rsidR="00820D6F" w:rsidTr="00DA357A" w14:paraId="729AC75D" w14:textId="1AE7B207">
        <w:trPr>
          <w:trHeight w:val="300"/>
        </w:trPr>
        <w:tc>
          <w:tcPr>
            <w:tcW w:w="1818" w:type="dxa"/>
            <w:noWrap/>
            <w:hideMark/>
          </w:tcPr>
          <w:p w:rsidRPr="00820D6F" w:rsidR="00820D6F" w:rsidP="00820D6F" w:rsidRDefault="00820D6F" w14:paraId="38D71D01" w14:textId="2E118C8A">
            <w:pPr>
              <w:spacing w:line="240" w:lineRule="auto"/>
              <w:rPr>
                <w:rFonts w:ascii="Times New Roman" w:hAnsi="Times New Roman"/>
                <w:color w:val="000000"/>
                <w:sz w:val="22"/>
                <w:szCs w:val="22"/>
              </w:rPr>
            </w:pPr>
            <w:r w:rsidRPr="00820D6F">
              <w:rPr>
                <w:rFonts w:ascii="Times New Roman" w:hAnsi="Times New Roman"/>
                <w:sz w:val="22"/>
                <w:szCs w:val="22"/>
              </w:rPr>
              <w:t xml:space="preserve"> New Jersey</w:t>
            </w:r>
          </w:p>
        </w:tc>
        <w:tc>
          <w:tcPr>
            <w:tcW w:w="1710" w:type="dxa"/>
            <w:noWrap/>
            <w:hideMark/>
          </w:tcPr>
          <w:p w:rsidRPr="00820D6F" w:rsidR="00820D6F" w:rsidP="00820D6F" w:rsidRDefault="00820D6F" w14:paraId="2F80932C" w14:textId="00AA85E1">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6,954,877</w:t>
            </w:r>
          </w:p>
        </w:tc>
        <w:tc>
          <w:tcPr>
            <w:tcW w:w="6012" w:type="dxa"/>
          </w:tcPr>
          <w:p w:rsidRPr="00217925" w:rsidR="00820D6F" w:rsidP="00820D6F" w:rsidRDefault="00820D6F" w14:paraId="45A56D77" w14:textId="77777777">
            <w:pPr>
              <w:spacing w:line="240" w:lineRule="auto"/>
              <w:rPr>
                <w:rFonts w:ascii="Times New Roman" w:hAnsi="Times New Roman"/>
                <w:color w:val="000000"/>
                <w:sz w:val="22"/>
                <w:szCs w:val="22"/>
                <w:lang w:eastAsia="ko-KR"/>
              </w:rPr>
            </w:pPr>
          </w:p>
        </w:tc>
      </w:tr>
      <w:tr w:rsidRPr="005F61B4" w:rsidR="00820D6F" w:rsidTr="00DA357A" w14:paraId="260F3059" w14:textId="76654D89">
        <w:trPr>
          <w:trHeight w:val="300"/>
        </w:trPr>
        <w:tc>
          <w:tcPr>
            <w:tcW w:w="1818" w:type="dxa"/>
            <w:noWrap/>
            <w:hideMark/>
          </w:tcPr>
          <w:p w:rsidRPr="00820D6F" w:rsidR="00820D6F" w:rsidP="00820D6F" w:rsidRDefault="00820D6F" w14:paraId="36DF2675" w14:textId="04CD5150">
            <w:pPr>
              <w:spacing w:line="240" w:lineRule="auto"/>
              <w:rPr>
                <w:rFonts w:ascii="Times New Roman" w:hAnsi="Times New Roman"/>
                <w:color w:val="000000"/>
                <w:sz w:val="22"/>
                <w:szCs w:val="22"/>
              </w:rPr>
            </w:pPr>
            <w:r w:rsidRPr="00820D6F">
              <w:rPr>
                <w:rFonts w:ascii="Times New Roman" w:hAnsi="Times New Roman"/>
                <w:sz w:val="22"/>
                <w:szCs w:val="22"/>
              </w:rPr>
              <w:t xml:space="preserve"> Virginia</w:t>
            </w:r>
          </w:p>
        </w:tc>
        <w:tc>
          <w:tcPr>
            <w:tcW w:w="1710" w:type="dxa"/>
            <w:noWrap/>
            <w:hideMark/>
          </w:tcPr>
          <w:p w:rsidRPr="00820D6F" w:rsidR="00820D6F" w:rsidP="00820D6F" w:rsidRDefault="00820D6F" w14:paraId="29D33118" w14:textId="64792D0B">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6,647,893</w:t>
            </w:r>
          </w:p>
        </w:tc>
        <w:tc>
          <w:tcPr>
            <w:tcW w:w="6012" w:type="dxa"/>
          </w:tcPr>
          <w:p w:rsidRPr="00217925" w:rsidR="00820D6F" w:rsidP="00820D6F" w:rsidRDefault="00820D6F" w14:paraId="275C82C6" w14:textId="07486DD7">
            <w:pPr>
              <w:spacing w:line="240" w:lineRule="auto"/>
              <w:rPr>
                <w:rFonts w:ascii="Times New Roman" w:hAnsi="Times New Roman"/>
                <w:color w:val="000000"/>
                <w:sz w:val="22"/>
                <w:szCs w:val="22"/>
                <w:lang w:eastAsia="ko-KR"/>
              </w:rPr>
            </w:pPr>
            <w:r w:rsidRPr="00217925">
              <w:rPr>
                <w:rFonts w:ascii="Times New Roman" w:hAnsi="Times New Roman"/>
                <w:color w:val="000000"/>
                <w:sz w:val="22"/>
                <w:szCs w:val="22"/>
                <w:lang w:eastAsia="ko-KR"/>
              </w:rPr>
              <w:t>Alexandria, Fairfax, and King William Counties not on statewide</w:t>
            </w:r>
          </w:p>
        </w:tc>
      </w:tr>
      <w:tr w:rsidRPr="005F61B4" w:rsidR="00820D6F" w:rsidTr="00DA357A" w14:paraId="777A983A" w14:textId="23119F1A">
        <w:trPr>
          <w:trHeight w:val="300"/>
        </w:trPr>
        <w:tc>
          <w:tcPr>
            <w:tcW w:w="1818" w:type="dxa"/>
            <w:noWrap/>
            <w:hideMark/>
          </w:tcPr>
          <w:p w:rsidRPr="00820D6F" w:rsidR="00820D6F" w:rsidP="00820D6F" w:rsidRDefault="00820D6F" w14:paraId="2FBE9CE0" w14:textId="046027A2">
            <w:pPr>
              <w:spacing w:line="240" w:lineRule="auto"/>
              <w:rPr>
                <w:rFonts w:ascii="Times New Roman" w:hAnsi="Times New Roman"/>
                <w:color w:val="000000"/>
                <w:sz w:val="22"/>
                <w:szCs w:val="22"/>
              </w:rPr>
            </w:pPr>
            <w:r w:rsidRPr="00820D6F">
              <w:rPr>
                <w:rFonts w:ascii="Times New Roman" w:hAnsi="Times New Roman"/>
                <w:sz w:val="22"/>
                <w:szCs w:val="22"/>
              </w:rPr>
              <w:t xml:space="preserve"> Washington</w:t>
            </w:r>
          </w:p>
        </w:tc>
        <w:tc>
          <w:tcPr>
            <w:tcW w:w="1710" w:type="dxa"/>
            <w:noWrap/>
            <w:hideMark/>
          </w:tcPr>
          <w:p w:rsidRPr="00820D6F" w:rsidR="00820D6F" w:rsidP="00820D6F" w:rsidRDefault="00820D6F" w14:paraId="3E950F59" w14:textId="775B96CD">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5,872,306</w:t>
            </w:r>
          </w:p>
        </w:tc>
        <w:tc>
          <w:tcPr>
            <w:tcW w:w="6012" w:type="dxa"/>
          </w:tcPr>
          <w:p w:rsidRPr="00217925" w:rsidR="00820D6F" w:rsidP="00820D6F" w:rsidRDefault="00820D6F" w14:paraId="7611729F" w14:textId="3FA03360">
            <w:pPr>
              <w:spacing w:line="240" w:lineRule="auto"/>
              <w:rPr>
                <w:rFonts w:ascii="Times New Roman" w:hAnsi="Times New Roman"/>
                <w:color w:val="000000"/>
                <w:sz w:val="22"/>
                <w:szCs w:val="22"/>
                <w:lang w:eastAsia="ko-KR"/>
              </w:rPr>
            </w:pPr>
            <w:r w:rsidRPr="00217925">
              <w:rPr>
                <w:rFonts w:ascii="Times New Roman" w:hAnsi="Times New Roman"/>
                <w:color w:val="000000"/>
                <w:sz w:val="22"/>
                <w:szCs w:val="22"/>
                <w:lang w:eastAsia="ko-KR"/>
              </w:rPr>
              <w:t>King and Pierce Counties not on statewide</w:t>
            </w:r>
          </w:p>
        </w:tc>
      </w:tr>
      <w:tr w:rsidRPr="005F61B4" w:rsidR="00820D6F" w:rsidTr="00DA357A" w14:paraId="54D0B6CA" w14:textId="77777777">
        <w:trPr>
          <w:trHeight w:val="300"/>
        </w:trPr>
        <w:tc>
          <w:tcPr>
            <w:tcW w:w="1818" w:type="dxa"/>
            <w:noWrap/>
          </w:tcPr>
          <w:p w:rsidRPr="00820D6F" w:rsidR="00820D6F" w:rsidP="00820D6F" w:rsidRDefault="00820D6F" w14:paraId="12909A40" w14:textId="33A3B7C1">
            <w:pPr>
              <w:spacing w:line="240" w:lineRule="auto"/>
              <w:rPr>
                <w:rFonts w:ascii="Times New Roman" w:hAnsi="Times New Roman"/>
                <w:color w:val="000000"/>
                <w:sz w:val="22"/>
                <w:szCs w:val="22"/>
                <w:lang w:eastAsia="ko-KR"/>
              </w:rPr>
            </w:pPr>
            <w:r w:rsidRPr="00820D6F">
              <w:rPr>
                <w:rFonts w:ascii="Times New Roman" w:hAnsi="Times New Roman"/>
                <w:sz w:val="22"/>
                <w:szCs w:val="22"/>
              </w:rPr>
              <w:t xml:space="preserve"> Massachusetts</w:t>
            </w:r>
          </w:p>
        </w:tc>
        <w:tc>
          <w:tcPr>
            <w:tcW w:w="1710" w:type="dxa"/>
            <w:noWrap/>
          </w:tcPr>
          <w:p w:rsidRPr="00820D6F" w:rsidR="00820D6F" w:rsidP="00820D6F" w:rsidRDefault="00820D6F" w14:paraId="507A40EC" w14:textId="1DB2144B">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5,535,291</w:t>
            </w:r>
          </w:p>
        </w:tc>
        <w:tc>
          <w:tcPr>
            <w:tcW w:w="6012" w:type="dxa"/>
          </w:tcPr>
          <w:p w:rsidRPr="00217925" w:rsidR="00820D6F" w:rsidP="00820D6F" w:rsidRDefault="00820D6F" w14:paraId="7D1975FF" w14:textId="7BB7344A">
            <w:pPr>
              <w:spacing w:line="240" w:lineRule="auto"/>
              <w:rPr>
                <w:rFonts w:ascii="Times New Roman" w:hAnsi="Times New Roman"/>
                <w:color w:val="000000"/>
                <w:sz w:val="22"/>
                <w:szCs w:val="22"/>
                <w:lang w:eastAsia="ko-KR"/>
              </w:rPr>
            </w:pPr>
            <w:r w:rsidRPr="00217925">
              <w:rPr>
                <w:rFonts w:ascii="Times New Roman" w:hAnsi="Times New Roman"/>
                <w:color w:val="000000"/>
                <w:sz w:val="22"/>
                <w:szCs w:val="22"/>
                <w:lang w:eastAsia="ko-KR"/>
              </w:rPr>
              <w:t>Pima and Maricopa Counties not on statewide</w:t>
            </w:r>
          </w:p>
        </w:tc>
      </w:tr>
      <w:tr w:rsidRPr="005F61B4" w:rsidR="00820D6F" w:rsidTr="00DA357A" w14:paraId="26CB0DDC" w14:textId="16673739">
        <w:trPr>
          <w:trHeight w:val="300"/>
        </w:trPr>
        <w:tc>
          <w:tcPr>
            <w:tcW w:w="1818" w:type="dxa"/>
            <w:noWrap/>
            <w:hideMark/>
          </w:tcPr>
          <w:p w:rsidRPr="00820D6F" w:rsidR="00820D6F" w:rsidP="00820D6F" w:rsidRDefault="00820D6F" w14:paraId="352EF38A" w14:textId="359A942F">
            <w:pPr>
              <w:spacing w:line="240" w:lineRule="auto"/>
              <w:rPr>
                <w:rFonts w:ascii="Times New Roman" w:hAnsi="Times New Roman"/>
                <w:color w:val="000000"/>
                <w:sz w:val="22"/>
                <w:szCs w:val="22"/>
              </w:rPr>
            </w:pPr>
            <w:r w:rsidRPr="00820D6F">
              <w:rPr>
                <w:rFonts w:ascii="Times New Roman" w:hAnsi="Times New Roman"/>
                <w:sz w:val="22"/>
                <w:szCs w:val="22"/>
              </w:rPr>
              <w:t xml:space="preserve"> Arizona</w:t>
            </w:r>
          </w:p>
        </w:tc>
        <w:tc>
          <w:tcPr>
            <w:tcW w:w="1710" w:type="dxa"/>
            <w:noWrap/>
            <w:hideMark/>
          </w:tcPr>
          <w:p w:rsidRPr="00820D6F" w:rsidR="00820D6F" w:rsidP="00820D6F" w:rsidRDefault="00820D6F" w14:paraId="6541C262" w14:textId="0365F2E7">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5,528,989</w:t>
            </w:r>
          </w:p>
        </w:tc>
        <w:tc>
          <w:tcPr>
            <w:tcW w:w="6012" w:type="dxa"/>
          </w:tcPr>
          <w:p w:rsidRPr="00217925" w:rsidR="00820D6F" w:rsidP="00820D6F" w:rsidRDefault="00820D6F" w14:paraId="10BE4A1F" w14:textId="6ECA0785">
            <w:pPr>
              <w:spacing w:line="240" w:lineRule="auto"/>
              <w:rPr>
                <w:rFonts w:ascii="Times New Roman" w:hAnsi="Times New Roman"/>
                <w:color w:val="000000"/>
                <w:sz w:val="22"/>
                <w:szCs w:val="22"/>
                <w:lang w:eastAsia="ko-KR"/>
              </w:rPr>
            </w:pPr>
          </w:p>
        </w:tc>
      </w:tr>
      <w:tr w:rsidRPr="005F61B4" w:rsidR="00820D6F" w:rsidTr="00DA357A" w14:paraId="053D20F0" w14:textId="34F4E443">
        <w:trPr>
          <w:trHeight w:val="300"/>
        </w:trPr>
        <w:tc>
          <w:tcPr>
            <w:tcW w:w="1818" w:type="dxa"/>
            <w:noWrap/>
            <w:hideMark/>
          </w:tcPr>
          <w:p w:rsidRPr="00820D6F" w:rsidR="00820D6F" w:rsidP="00820D6F" w:rsidRDefault="00820D6F" w14:paraId="41AA38FD" w14:textId="004EE91D">
            <w:pPr>
              <w:spacing w:line="240" w:lineRule="auto"/>
              <w:rPr>
                <w:rFonts w:ascii="Times New Roman" w:hAnsi="Times New Roman"/>
                <w:color w:val="000000"/>
                <w:sz w:val="22"/>
                <w:szCs w:val="22"/>
              </w:rPr>
            </w:pPr>
            <w:r w:rsidRPr="00820D6F">
              <w:rPr>
                <w:rFonts w:ascii="Times New Roman" w:hAnsi="Times New Roman"/>
                <w:sz w:val="22"/>
                <w:szCs w:val="22"/>
              </w:rPr>
              <w:t xml:space="preserve"> Missouri</w:t>
            </w:r>
          </w:p>
        </w:tc>
        <w:tc>
          <w:tcPr>
            <w:tcW w:w="1710" w:type="dxa"/>
            <w:noWrap/>
            <w:hideMark/>
          </w:tcPr>
          <w:p w:rsidRPr="00820D6F" w:rsidR="00820D6F" w:rsidP="00820D6F" w:rsidRDefault="00820D6F" w14:paraId="3A590C64" w14:textId="500EC59B">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4,749,622</w:t>
            </w:r>
          </w:p>
        </w:tc>
        <w:tc>
          <w:tcPr>
            <w:tcW w:w="6012" w:type="dxa"/>
          </w:tcPr>
          <w:p w:rsidRPr="00217925" w:rsidR="00820D6F" w:rsidP="00820D6F" w:rsidRDefault="00820D6F" w14:paraId="31E5C0F2" w14:textId="77777777">
            <w:pPr>
              <w:spacing w:line="240" w:lineRule="auto"/>
              <w:rPr>
                <w:rFonts w:ascii="Times New Roman" w:hAnsi="Times New Roman"/>
                <w:color w:val="000000"/>
                <w:sz w:val="22"/>
                <w:szCs w:val="22"/>
                <w:lang w:eastAsia="ko-KR"/>
              </w:rPr>
            </w:pPr>
          </w:p>
        </w:tc>
      </w:tr>
      <w:tr w:rsidRPr="005F61B4" w:rsidR="00820D6F" w:rsidTr="00DA357A" w14:paraId="2671BFCE" w14:textId="5627DF40">
        <w:trPr>
          <w:trHeight w:val="300"/>
        </w:trPr>
        <w:tc>
          <w:tcPr>
            <w:tcW w:w="1818" w:type="dxa"/>
            <w:noWrap/>
            <w:hideMark/>
          </w:tcPr>
          <w:p w:rsidRPr="00820D6F" w:rsidR="00820D6F" w:rsidP="00820D6F" w:rsidRDefault="00820D6F" w14:paraId="15254B0A" w14:textId="11B662E4">
            <w:pPr>
              <w:spacing w:line="240" w:lineRule="auto"/>
              <w:rPr>
                <w:rFonts w:ascii="Times New Roman" w:hAnsi="Times New Roman"/>
                <w:color w:val="000000"/>
                <w:sz w:val="22"/>
                <w:szCs w:val="22"/>
              </w:rPr>
            </w:pPr>
            <w:r w:rsidRPr="00820D6F">
              <w:rPr>
                <w:rFonts w:ascii="Times New Roman" w:hAnsi="Times New Roman"/>
                <w:sz w:val="22"/>
                <w:szCs w:val="22"/>
              </w:rPr>
              <w:t xml:space="preserve"> Maryland</w:t>
            </w:r>
          </w:p>
        </w:tc>
        <w:tc>
          <w:tcPr>
            <w:tcW w:w="1710" w:type="dxa"/>
            <w:noWrap/>
            <w:hideMark/>
          </w:tcPr>
          <w:p w:rsidRPr="00820D6F" w:rsidR="00820D6F" w:rsidP="00820D6F" w:rsidRDefault="00820D6F" w14:paraId="52BC8CC8" w14:textId="1ECDC0EC">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4,702,570</w:t>
            </w:r>
          </w:p>
        </w:tc>
        <w:tc>
          <w:tcPr>
            <w:tcW w:w="6012" w:type="dxa"/>
          </w:tcPr>
          <w:p w:rsidRPr="00217925" w:rsidR="00820D6F" w:rsidP="00820D6F" w:rsidRDefault="00820D6F" w14:paraId="52AC8433" w14:textId="77777777">
            <w:pPr>
              <w:spacing w:line="240" w:lineRule="auto"/>
              <w:rPr>
                <w:rFonts w:ascii="Times New Roman" w:hAnsi="Times New Roman"/>
                <w:color w:val="000000"/>
                <w:sz w:val="22"/>
                <w:szCs w:val="22"/>
                <w:lang w:eastAsia="ko-KR"/>
              </w:rPr>
            </w:pPr>
          </w:p>
        </w:tc>
      </w:tr>
      <w:tr w:rsidRPr="005F61B4" w:rsidR="00820D6F" w:rsidTr="00DA357A" w14:paraId="27423AEC" w14:textId="3F586C39">
        <w:trPr>
          <w:trHeight w:val="300"/>
        </w:trPr>
        <w:tc>
          <w:tcPr>
            <w:tcW w:w="1818" w:type="dxa"/>
            <w:noWrap/>
            <w:hideMark/>
          </w:tcPr>
          <w:p w:rsidRPr="00820D6F" w:rsidR="00820D6F" w:rsidP="00820D6F" w:rsidRDefault="00820D6F" w14:paraId="74D811EE" w14:textId="75374C75">
            <w:pPr>
              <w:spacing w:line="240" w:lineRule="auto"/>
              <w:rPr>
                <w:rFonts w:ascii="Times New Roman" w:hAnsi="Times New Roman"/>
                <w:color w:val="000000"/>
                <w:sz w:val="22"/>
                <w:szCs w:val="22"/>
              </w:rPr>
            </w:pPr>
            <w:r w:rsidRPr="00820D6F">
              <w:rPr>
                <w:rFonts w:ascii="Times New Roman" w:hAnsi="Times New Roman"/>
                <w:sz w:val="22"/>
                <w:szCs w:val="22"/>
              </w:rPr>
              <w:t xml:space="preserve"> Wisconsin</w:t>
            </w:r>
          </w:p>
        </w:tc>
        <w:tc>
          <w:tcPr>
            <w:tcW w:w="1710" w:type="dxa"/>
            <w:noWrap/>
            <w:hideMark/>
          </w:tcPr>
          <w:p w:rsidRPr="00820D6F" w:rsidR="00820D6F" w:rsidP="00820D6F" w:rsidRDefault="00820D6F" w14:paraId="2034DE56" w14:textId="0BF35125">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4,537,465</w:t>
            </w:r>
          </w:p>
        </w:tc>
        <w:tc>
          <w:tcPr>
            <w:tcW w:w="6012" w:type="dxa"/>
          </w:tcPr>
          <w:p w:rsidRPr="00217925" w:rsidR="00820D6F" w:rsidP="00820D6F" w:rsidRDefault="00820D6F" w14:paraId="3E3C9C6D" w14:textId="77777777">
            <w:pPr>
              <w:spacing w:line="240" w:lineRule="auto"/>
              <w:rPr>
                <w:rFonts w:ascii="Times New Roman" w:hAnsi="Times New Roman"/>
                <w:color w:val="000000"/>
                <w:sz w:val="22"/>
                <w:szCs w:val="22"/>
                <w:lang w:eastAsia="ko-KR"/>
              </w:rPr>
            </w:pPr>
          </w:p>
        </w:tc>
      </w:tr>
      <w:tr w:rsidRPr="005F61B4" w:rsidR="00820D6F" w:rsidTr="00DA357A" w14:paraId="3668A654" w14:textId="3649D3A5">
        <w:trPr>
          <w:trHeight w:val="300"/>
        </w:trPr>
        <w:tc>
          <w:tcPr>
            <w:tcW w:w="1818" w:type="dxa"/>
            <w:noWrap/>
            <w:hideMark/>
          </w:tcPr>
          <w:p w:rsidRPr="00820D6F" w:rsidR="00820D6F" w:rsidP="00820D6F" w:rsidRDefault="00820D6F" w14:paraId="32DB339F" w14:textId="18ED92C8">
            <w:pPr>
              <w:spacing w:line="240" w:lineRule="auto"/>
              <w:rPr>
                <w:rFonts w:ascii="Times New Roman" w:hAnsi="Times New Roman"/>
                <w:color w:val="000000"/>
                <w:sz w:val="22"/>
                <w:szCs w:val="22"/>
              </w:rPr>
            </w:pPr>
            <w:r w:rsidRPr="00820D6F">
              <w:rPr>
                <w:rFonts w:ascii="Times New Roman" w:hAnsi="Times New Roman"/>
                <w:sz w:val="22"/>
                <w:szCs w:val="22"/>
              </w:rPr>
              <w:t xml:space="preserve"> Colorado</w:t>
            </w:r>
          </w:p>
        </w:tc>
        <w:tc>
          <w:tcPr>
            <w:tcW w:w="1710" w:type="dxa"/>
            <w:noWrap/>
            <w:hideMark/>
          </w:tcPr>
          <w:p w:rsidRPr="00820D6F" w:rsidR="00820D6F" w:rsidP="00820D6F" w:rsidRDefault="00820D6F" w14:paraId="1E5823F8" w14:textId="33DF2E5D">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4,430,329</w:t>
            </w:r>
          </w:p>
        </w:tc>
        <w:tc>
          <w:tcPr>
            <w:tcW w:w="6012" w:type="dxa"/>
          </w:tcPr>
          <w:p w:rsidRPr="00217925" w:rsidR="00820D6F" w:rsidP="00820D6F" w:rsidRDefault="00820D6F" w14:paraId="494936CF" w14:textId="26DD2F78">
            <w:pPr>
              <w:spacing w:line="240" w:lineRule="auto"/>
              <w:rPr>
                <w:rFonts w:ascii="Times New Roman" w:hAnsi="Times New Roman"/>
                <w:color w:val="000000"/>
                <w:sz w:val="22"/>
                <w:szCs w:val="22"/>
                <w:lang w:eastAsia="ko-KR"/>
              </w:rPr>
            </w:pPr>
            <w:r w:rsidRPr="00217925">
              <w:rPr>
                <w:rFonts w:ascii="Times New Roman" w:hAnsi="Times New Roman"/>
                <w:color w:val="000000"/>
                <w:sz w:val="22"/>
                <w:szCs w:val="22"/>
                <w:lang w:eastAsia="ko-KR"/>
              </w:rPr>
              <w:t>Denver County not on statewide</w:t>
            </w:r>
          </w:p>
        </w:tc>
      </w:tr>
      <w:tr w:rsidRPr="005F61B4" w:rsidR="00820D6F" w:rsidTr="00DA357A" w14:paraId="74467281" w14:textId="18C8832F">
        <w:trPr>
          <w:trHeight w:val="300"/>
        </w:trPr>
        <w:tc>
          <w:tcPr>
            <w:tcW w:w="1818" w:type="dxa"/>
            <w:noWrap/>
            <w:hideMark/>
          </w:tcPr>
          <w:p w:rsidRPr="00820D6F" w:rsidR="00820D6F" w:rsidP="00820D6F" w:rsidRDefault="00820D6F" w14:paraId="67C1B80F" w14:textId="3A9CE033">
            <w:pPr>
              <w:spacing w:line="240" w:lineRule="auto"/>
              <w:rPr>
                <w:rFonts w:ascii="Times New Roman" w:hAnsi="Times New Roman"/>
                <w:color w:val="000000"/>
                <w:sz w:val="22"/>
                <w:szCs w:val="22"/>
              </w:rPr>
            </w:pPr>
            <w:r w:rsidRPr="00820D6F">
              <w:rPr>
                <w:rFonts w:ascii="Times New Roman" w:hAnsi="Times New Roman"/>
                <w:sz w:val="22"/>
                <w:szCs w:val="22"/>
              </w:rPr>
              <w:t xml:space="preserve"> Minnesota</w:t>
            </w:r>
          </w:p>
        </w:tc>
        <w:tc>
          <w:tcPr>
            <w:tcW w:w="1710" w:type="dxa"/>
            <w:noWrap/>
            <w:hideMark/>
          </w:tcPr>
          <w:p w:rsidRPr="00820D6F" w:rsidR="00820D6F" w:rsidP="00820D6F" w:rsidRDefault="00820D6F" w14:paraId="0DBF0599" w14:textId="72EF0C44">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4,308,564</w:t>
            </w:r>
          </w:p>
        </w:tc>
        <w:tc>
          <w:tcPr>
            <w:tcW w:w="6012" w:type="dxa"/>
          </w:tcPr>
          <w:p w:rsidRPr="00217925" w:rsidR="00820D6F" w:rsidP="00820D6F" w:rsidRDefault="00820D6F" w14:paraId="5F5D6FB3" w14:textId="77777777">
            <w:pPr>
              <w:spacing w:line="240" w:lineRule="auto"/>
              <w:rPr>
                <w:rFonts w:ascii="Times New Roman" w:hAnsi="Times New Roman"/>
                <w:color w:val="000000"/>
                <w:sz w:val="22"/>
                <w:szCs w:val="22"/>
                <w:lang w:eastAsia="ko-KR"/>
              </w:rPr>
            </w:pPr>
          </w:p>
        </w:tc>
      </w:tr>
      <w:tr w:rsidRPr="005F61B4" w:rsidR="00820D6F" w:rsidTr="00270941" w14:paraId="6ED00F1B" w14:textId="1E9306C3">
        <w:trPr>
          <w:trHeight w:val="300"/>
        </w:trPr>
        <w:tc>
          <w:tcPr>
            <w:tcW w:w="1818" w:type="dxa"/>
            <w:noWrap/>
            <w:hideMark/>
          </w:tcPr>
          <w:p w:rsidRPr="00820D6F" w:rsidR="00820D6F" w:rsidP="00820D6F" w:rsidRDefault="00820D6F" w14:paraId="4DA3BA58" w14:textId="0F8DC5F3">
            <w:pPr>
              <w:spacing w:line="240" w:lineRule="auto"/>
              <w:rPr>
                <w:rFonts w:ascii="Times New Roman" w:hAnsi="Times New Roman"/>
                <w:color w:val="000000"/>
                <w:sz w:val="22"/>
                <w:szCs w:val="22"/>
              </w:rPr>
            </w:pPr>
            <w:r w:rsidRPr="00820D6F">
              <w:rPr>
                <w:rFonts w:ascii="Times New Roman" w:hAnsi="Times New Roman"/>
                <w:sz w:val="22"/>
                <w:szCs w:val="22"/>
              </w:rPr>
              <w:t xml:space="preserve"> South Carolina</w:t>
            </w:r>
          </w:p>
        </w:tc>
        <w:tc>
          <w:tcPr>
            <w:tcW w:w="1710" w:type="dxa"/>
            <w:noWrap/>
            <w:hideMark/>
          </w:tcPr>
          <w:p w:rsidRPr="00820D6F" w:rsidR="00820D6F" w:rsidP="00820D6F" w:rsidRDefault="00820D6F" w14:paraId="1D30A8FF" w14:textId="206966CC">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3,978,182</w:t>
            </w:r>
          </w:p>
        </w:tc>
        <w:tc>
          <w:tcPr>
            <w:tcW w:w="6012" w:type="dxa"/>
          </w:tcPr>
          <w:p w:rsidRPr="00217925" w:rsidR="00820D6F" w:rsidP="00820D6F" w:rsidRDefault="00820D6F" w14:paraId="09772D6D" w14:textId="77777777">
            <w:pPr>
              <w:spacing w:line="240" w:lineRule="auto"/>
              <w:rPr>
                <w:rFonts w:ascii="Times New Roman" w:hAnsi="Times New Roman"/>
                <w:color w:val="000000"/>
                <w:sz w:val="22"/>
                <w:szCs w:val="22"/>
                <w:lang w:eastAsia="ko-KR"/>
              </w:rPr>
            </w:pPr>
          </w:p>
        </w:tc>
      </w:tr>
      <w:tr w:rsidRPr="005F61B4" w:rsidR="00820D6F" w:rsidTr="00270941" w14:paraId="5BAABC82" w14:textId="3C16661F">
        <w:trPr>
          <w:trHeight w:val="300"/>
        </w:trPr>
        <w:tc>
          <w:tcPr>
            <w:tcW w:w="1818" w:type="dxa"/>
            <w:noWrap/>
            <w:hideMark/>
          </w:tcPr>
          <w:p w:rsidRPr="00820D6F" w:rsidR="00820D6F" w:rsidP="00820D6F" w:rsidRDefault="00820D6F" w14:paraId="3EE08229" w14:textId="47A35F90">
            <w:pPr>
              <w:spacing w:line="240" w:lineRule="auto"/>
              <w:rPr>
                <w:rFonts w:ascii="Times New Roman" w:hAnsi="Times New Roman"/>
                <w:color w:val="000000"/>
                <w:sz w:val="22"/>
                <w:szCs w:val="22"/>
              </w:rPr>
            </w:pPr>
            <w:r w:rsidRPr="00820D6F">
              <w:rPr>
                <w:rFonts w:ascii="Times New Roman" w:hAnsi="Times New Roman"/>
                <w:sz w:val="22"/>
                <w:szCs w:val="22"/>
              </w:rPr>
              <w:t xml:space="preserve"> Alabama</w:t>
            </w:r>
          </w:p>
        </w:tc>
        <w:tc>
          <w:tcPr>
            <w:tcW w:w="1710" w:type="dxa"/>
            <w:noWrap/>
            <w:hideMark/>
          </w:tcPr>
          <w:p w:rsidRPr="00820D6F" w:rsidR="00820D6F" w:rsidP="00820D6F" w:rsidRDefault="00820D6F" w14:paraId="45EE2268" w14:textId="510C0E6F">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3,798,031</w:t>
            </w:r>
          </w:p>
        </w:tc>
        <w:tc>
          <w:tcPr>
            <w:tcW w:w="6012" w:type="dxa"/>
          </w:tcPr>
          <w:p w:rsidRPr="00217925" w:rsidR="00820D6F" w:rsidP="00820D6F" w:rsidRDefault="00820D6F" w14:paraId="42587D97" w14:textId="77777777">
            <w:pPr>
              <w:spacing w:line="240" w:lineRule="auto"/>
              <w:rPr>
                <w:rFonts w:ascii="Times New Roman" w:hAnsi="Times New Roman"/>
                <w:color w:val="000000"/>
                <w:sz w:val="22"/>
                <w:szCs w:val="22"/>
                <w:lang w:eastAsia="ko-KR"/>
              </w:rPr>
            </w:pPr>
          </w:p>
        </w:tc>
      </w:tr>
      <w:tr w:rsidRPr="005F61B4" w:rsidR="00820D6F" w:rsidTr="00270941" w14:paraId="6EE99038" w14:textId="57D6EAE3">
        <w:trPr>
          <w:trHeight w:val="300"/>
        </w:trPr>
        <w:tc>
          <w:tcPr>
            <w:tcW w:w="1818" w:type="dxa"/>
            <w:noWrap/>
            <w:hideMark/>
          </w:tcPr>
          <w:p w:rsidRPr="00820D6F" w:rsidR="00820D6F" w:rsidP="00820D6F" w:rsidRDefault="00820D6F" w14:paraId="400EA111" w14:textId="5006C68B">
            <w:pPr>
              <w:spacing w:line="240" w:lineRule="auto"/>
              <w:rPr>
                <w:rFonts w:ascii="Times New Roman" w:hAnsi="Times New Roman"/>
                <w:color w:val="000000"/>
                <w:sz w:val="22"/>
                <w:szCs w:val="22"/>
              </w:rPr>
            </w:pPr>
            <w:r w:rsidRPr="00820D6F">
              <w:rPr>
                <w:rFonts w:ascii="Times New Roman" w:hAnsi="Times New Roman"/>
                <w:sz w:val="22"/>
                <w:szCs w:val="22"/>
              </w:rPr>
              <w:t xml:space="preserve"> Kentucky</w:t>
            </w:r>
          </w:p>
        </w:tc>
        <w:tc>
          <w:tcPr>
            <w:tcW w:w="1710" w:type="dxa"/>
            <w:noWrap/>
            <w:hideMark/>
          </w:tcPr>
          <w:p w:rsidRPr="00820D6F" w:rsidR="00820D6F" w:rsidP="00820D6F" w:rsidRDefault="00820D6F" w14:paraId="0C45DADA" w14:textId="03BDD708">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3,459,573</w:t>
            </w:r>
          </w:p>
        </w:tc>
        <w:tc>
          <w:tcPr>
            <w:tcW w:w="6012" w:type="dxa"/>
          </w:tcPr>
          <w:p w:rsidRPr="00217925" w:rsidR="00820D6F" w:rsidP="00820D6F" w:rsidRDefault="00820D6F" w14:paraId="6AFDE8EB" w14:textId="77777777">
            <w:pPr>
              <w:spacing w:line="240" w:lineRule="auto"/>
              <w:rPr>
                <w:rFonts w:ascii="Times New Roman" w:hAnsi="Times New Roman"/>
                <w:color w:val="000000"/>
                <w:sz w:val="22"/>
                <w:szCs w:val="22"/>
                <w:lang w:eastAsia="ko-KR"/>
              </w:rPr>
            </w:pPr>
          </w:p>
        </w:tc>
      </w:tr>
      <w:tr w:rsidRPr="005F61B4" w:rsidR="00820D6F" w:rsidTr="00270941" w14:paraId="33BD8DBE" w14:textId="29DD7323">
        <w:trPr>
          <w:trHeight w:val="300"/>
        </w:trPr>
        <w:tc>
          <w:tcPr>
            <w:tcW w:w="1818" w:type="dxa"/>
            <w:noWrap/>
            <w:hideMark/>
          </w:tcPr>
          <w:p w:rsidRPr="00820D6F" w:rsidR="00820D6F" w:rsidP="00820D6F" w:rsidRDefault="00820D6F" w14:paraId="114EA8EF" w14:textId="0222E69C">
            <w:pPr>
              <w:spacing w:line="240" w:lineRule="auto"/>
              <w:rPr>
                <w:rFonts w:ascii="Times New Roman" w:hAnsi="Times New Roman"/>
                <w:color w:val="000000"/>
                <w:sz w:val="22"/>
                <w:szCs w:val="22"/>
              </w:rPr>
            </w:pPr>
            <w:r w:rsidRPr="00820D6F">
              <w:rPr>
                <w:rFonts w:ascii="Times New Roman" w:hAnsi="Times New Roman"/>
                <w:sz w:val="22"/>
                <w:szCs w:val="22"/>
              </w:rPr>
              <w:t xml:space="preserve"> Oregon</w:t>
            </w:r>
          </w:p>
        </w:tc>
        <w:tc>
          <w:tcPr>
            <w:tcW w:w="1710" w:type="dxa"/>
            <w:noWrap/>
            <w:hideMark/>
          </w:tcPr>
          <w:p w:rsidRPr="00820D6F" w:rsidR="00820D6F" w:rsidP="00820D6F" w:rsidRDefault="00820D6F" w14:paraId="11B3A494" w14:textId="5F40279F">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3,317,146</w:t>
            </w:r>
          </w:p>
        </w:tc>
        <w:tc>
          <w:tcPr>
            <w:tcW w:w="6012" w:type="dxa"/>
          </w:tcPr>
          <w:p w:rsidRPr="00217925" w:rsidR="00820D6F" w:rsidP="00820D6F" w:rsidRDefault="00820D6F" w14:paraId="2F96D19E" w14:textId="77777777">
            <w:pPr>
              <w:spacing w:line="240" w:lineRule="auto"/>
              <w:rPr>
                <w:rFonts w:ascii="Times New Roman" w:hAnsi="Times New Roman"/>
                <w:color w:val="000000"/>
                <w:sz w:val="22"/>
                <w:szCs w:val="22"/>
                <w:lang w:eastAsia="ko-KR"/>
              </w:rPr>
            </w:pPr>
          </w:p>
        </w:tc>
      </w:tr>
      <w:tr w:rsidRPr="005F61B4" w:rsidR="00820D6F" w:rsidTr="00270941" w14:paraId="1D0D681E" w14:textId="47F47450">
        <w:trPr>
          <w:trHeight w:val="300"/>
        </w:trPr>
        <w:tc>
          <w:tcPr>
            <w:tcW w:w="1818" w:type="dxa"/>
            <w:noWrap/>
            <w:hideMark/>
          </w:tcPr>
          <w:p w:rsidRPr="00820D6F" w:rsidR="00820D6F" w:rsidP="00820D6F" w:rsidRDefault="00820D6F" w14:paraId="09F392E9" w14:textId="2ACC80E9">
            <w:pPr>
              <w:spacing w:line="240" w:lineRule="auto"/>
              <w:rPr>
                <w:rFonts w:ascii="Times New Roman" w:hAnsi="Times New Roman"/>
                <w:color w:val="000000"/>
                <w:sz w:val="22"/>
                <w:szCs w:val="22"/>
              </w:rPr>
            </w:pPr>
            <w:r w:rsidRPr="00820D6F">
              <w:rPr>
                <w:rFonts w:ascii="Times New Roman" w:hAnsi="Times New Roman"/>
                <w:sz w:val="22"/>
                <w:szCs w:val="22"/>
              </w:rPr>
              <w:t xml:space="preserve"> Oklahoma</w:t>
            </w:r>
          </w:p>
        </w:tc>
        <w:tc>
          <w:tcPr>
            <w:tcW w:w="1710" w:type="dxa"/>
            <w:noWrap/>
            <w:hideMark/>
          </w:tcPr>
          <w:p w:rsidRPr="00820D6F" w:rsidR="00820D6F" w:rsidP="00820D6F" w:rsidRDefault="00820D6F" w14:paraId="6057A2CC" w14:textId="22B153A0">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2,986,593</w:t>
            </w:r>
          </w:p>
        </w:tc>
        <w:tc>
          <w:tcPr>
            <w:tcW w:w="6012" w:type="dxa"/>
          </w:tcPr>
          <w:p w:rsidRPr="00217925" w:rsidR="00820D6F" w:rsidP="00820D6F" w:rsidRDefault="00820D6F" w14:paraId="081EF9B5" w14:textId="77777777">
            <w:pPr>
              <w:spacing w:line="240" w:lineRule="auto"/>
              <w:rPr>
                <w:rFonts w:ascii="Times New Roman" w:hAnsi="Times New Roman"/>
                <w:color w:val="000000"/>
                <w:sz w:val="22"/>
                <w:szCs w:val="22"/>
                <w:lang w:eastAsia="ko-KR"/>
              </w:rPr>
            </w:pPr>
          </w:p>
        </w:tc>
      </w:tr>
      <w:tr w:rsidRPr="005F61B4" w:rsidR="00820D6F" w:rsidTr="00270941" w14:paraId="314D4DCF" w14:textId="275E43A9">
        <w:trPr>
          <w:trHeight w:val="300"/>
        </w:trPr>
        <w:tc>
          <w:tcPr>
            <w:tcW w:w="1818" w:type="dxa"/>
            <w:noWrap/>
            <w:hideMark/>
          </w:tcPr>
          <w:p w:rsidRPr="00820D6F" w:rsidR="00820D6F" w:rsidP="00820D6F" w:rsidRDefault="00820D6F" w14:paraId="266011FA" w14:textId="7F1BAFCE">
            <w:pPr>
              <w:spacing w:line="240" w:lineRule="auto"/>
              <w:rPr>
                <w:rFonts w:ascii="Times New Roman" w:hAnsi="Times New Roman"/>
                <w:color w:val="000000"/>
                <w:sz w:val="22"/>
                <w:szCs w:val="22"/>
              </w:rPr>
            </w:pPr>
            <w:r w:rsidRPr="00820D6F">
              <w:rPr>
                <w:rFonts w:ascii="Times New Roman" w:hAnsi="Times New Roman"/>
                <w:sz w:val="22"/>
                <w:szCs w:val="22"/>
              </w:rPr>
              <w:t xml:space="preserve"> Connecticut</w:t>
            </w:r>
          </w:p>
        </w:tc>
        <w:tc>
          <w:tcPr>
            <w:tcW w:w="1710" w:type="dxa"/>
            <w:noWrap/>
            <w:hideMark/>
          </w:tcPr>
          <w:p w:rsidRPr="00820D6F" w:rsidR="00820D6F" w:rsidP="00820D6F" w:rsidRDefault="00820D6F" w14:paraId="4E9E7DCF" w14:textId="49CE698D">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2,837,472</w:t>
            </w:r>
          </w:p>
        </w:tc>
        <w:tc>
          <w:tcPr>
            <w:tcW w:w="6012" w:type="dxa"/>
          </w:tcPr>
          <w:p w:rsidRPr="00217925" w:rsidR="00820D6F" w:rsidP="00820D6F" w:rsidRDefault="00820D6F" w14:paraId="665678FE" w14:textId="77777777">
            <w:pPr>
              <w:spacing w:line="240" w:lineRule="auto"/>
              <w:rPr>
                <w:rFonts w:ascii="Times New Roman" w:hAnsi="Times New Roman"/>
                <w:color w:val="000000"/>
                <w:sz w:val="22"/>
                <w:szCs w:val="22"/>
                <w:lang w:eastAsia="ko-KR"/>
              </w:rPr>
            </w:pPr>
          </w:p>
        </w:tc>
      </w:tr>
      <w:tr w:rsidRPr="005F61B4" w:rsidR="00820D6F" w:rsidTr="00270941" w14:paraId="612DF8E6" w14:textId="77777777">
        <w:trPr>
          <w:trHeight w:val="300"/>
        </w:trPr>
        <w:tc>
          <w:tcPr>
            <w:tcW w:w="1818" w:type="dxa"/>
            <w:noWrap/>
          </w:tcPr>
          <w:p w:rsidRPr="00820D6F" w:rsidR="00820D6F" w:rsidP="00820D6F" w:rsidRDefault="00820D6F" w14:paraId="074B0FE6" w14:textId="2F97F37A">
            <w:pPr>
              <w:spacing w:line="240" w:lineRule="auto"/>
              <w:rPr>
                <w:rFonts w:ascii="Times New Roman" w:hAnsi="Times New Roman"/>
                <w:color w:val="000000"/>
                <w:sz w:val="22"/>
                <w:szCs w:val="22"/>
                <w:lang w:eastAsia="ko-KR"/>
              </w:rPr>
            </w:pPr>
            <w:r w:rsidRPr="00820D6F">
              <w:rPr>
                <w:rFonts w:ascii="Times New Roman" w:hAnsi="Times New Roman"/>
                <w:sz w:val="22"/>
                <w:szCs w:val="22"/>
              </w:rPr>
              <w:t xml:space="preserve"> Iowa</w:t>
            </w:r>
          </w:p>
        </w:tc>
        <w:tc>
          <w:tcPr>
            <w:tcW w:w="1710" w:type="dxa"/>
            <w:noWrap/>
          </w:tcPr>
          <w:p w:rsidRPr="00820D6F" w:rsidR="00820D6F" w:rsidP="00820D6F" w:rsidRDefault="00820D6F" w14:paraId="65AD933D" w14:textId="6C2C1232">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2,425,378</w:t>
            </w:r>
          </w:p>
        </w:tc>
        <w:tc>
          <w:tcPr>
            <w:tcW w:w="6012" w:type="dxa"/>
          </w:tcPr>
          <w:p w:rsidRPr="00217925" w:rsidR="00820D6F" w:rsidP="00820D6F" w:rsidRDefault="00820D6F" w14:paraId="4EF67D33" w14:textId="77777777">
            <w:pPr>
              <w:spacing w:line="240" w:lineRule="auto"/>
              <w:rPr>
                <w:rFonts w:ascii="Times New Roman" w:hAnsi="Times New Roman"/>
                <w:color w:val="000000"/>
                <w:sz w:val="22"/>
                <w:szCs w:val="22"/>
                <w:lang w:eastAsia="ko-KR"/>
              </w:rPr>
            </w:pPr>
          </w:p>
        </w:tc>
      </w:tr>
      <w:tr w:rsidRPr="005F61B4" w:rsidR="00820D6F" w:rsidTr="00270941" w14:paraId="03299390" w14:textId="1E6C96DF">
        <w:trPr>
          <w:trHeight w:val="300"/>
        </w:trPr>
        <w:tc>
          <w:tcPr>
            <w:tcW w:w="1818" w:type="dxa"/>
            <w:noWrap/>
            <w:hideMark/>
          </w:tcPr>
          <w:p w:rsidRPr="00820D6F" w:rsidR="00820D6F" w:rsidP="00820D6F" w:rsidRDefault="00820D6F" w14:paraId="7DAECF58" w14:textId="60EE5DDC">
            <w:pPr>
              <w:spacing w:line="240" w:lineRule="auto"/>
              <w:rPr>
                <w:rFonts w:ascii="Times New Roman" w:hAnsi="Times New Roman"/>
                <w:color w:val="000000"/>
                <w:sz w:val="22"/>
                <w:szCs w:val="22"/>
              </w:rPr>
            </w:pPr>
            <w:r w:rsidRPr="00820D6F">
              <w:rPr>
                <w:rFonts w:ascii="Times New Roman" w:hAnsi="Times New Roman"/>
                <w:sz w:val="22"/>
                <w:szCs w:val="22"/>
              </w:rPr>
              <w:t xml:space="preserve"> Arkansas</w:t>
            </w:r>
          </w:p>
        </w:tc>
        <w:tc>
          <w:tcPr>
            <w:tcW w:w="1710" w:type="dxa"/>
            <w:noWrap/>
            <w:hideMark/>
          </w:tcPr>
          <w:p w:rsidRPr="00820D6F" w:rsidR="00820D6F" w:rsidP="00820D6F" w:rsidRDefault="00820D6F" w14:paraId="3655584F" w14:textId="4517494C">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2,310,645</w:t>
            </w:r>
          </w:p>
        </w:tc>
        <w:tc>
          <w:tcPr>
            <w:tcW w:w="6012" w:type="dxa"/>
          </w:tcPr>
          <w:p w:rsidRPr="00217925" w:rsidR="00820D6F" w:rsidP="00820D6F" w:rsidRDefault="00820D6F" w14:paraId="46E4A062" w14:textId="77777777">
            <w:pPr>
              <w:spacing w:line="240" w:lineRule="auto"/>
              <w:rPr>
                <w:rFonts w:ascii="Times New Roman" w:hAnsi="Times New Roman"/>
                <w:color w:val="000000"/>
                <w:sz w:val="22"/>
                <w:szCs w:val="22"/>
                <w:lang w:eastAsia="ko-KR"/>
              </w:rPr>
            </w:pPr>
          </w:p>
        </w:tc>
      </w:tr>
      <w:tr w:rsidRPr="005F61B4" w:rsidR="00820D6F" w:rsidTr="00270941" w14:paraId="4D5F0D54" w14:textId="77777777">
        <w:trPr>
          <w:trHeight w:val="300"/>
        </w:trPr>
        <w:tc>
          <w:tcPr>
            <w:tcW w:w="1818" w:type="dxa"/>
            <w:noWrap/>
          </w:tcPr>
          <w:p w:rsidRPr="00820D6F" w:rsidR="00820D6F" w:rsidP="00820D6F" w:rsidRDefault="00820D6F" w14:paraId="3D86616B" w14:textId="75BCA9B4">
            <w:pPr>
              <w:spacing w:line="240" w:lineRule="auto"/>
              <w:rPr>
                <w:rFonts w:ascii="Times New Roman" w:hAnsi="Times New Roman"/>
                <w:color w:val="000000"/>
                <w:sz w:val="22"/>
                <w:szCs w:val="22"/>
                <w:lang w:eastAsia="ko-KR"/>
              </w:rPr>
            </w:pPr>
            <w:r w:rsidRPr="00820D6F">
              <w:rPr>
                <w:rFonts w:ascii="Times New Roman" w:hAnsi="Times New Roman"/>
                <w:sz w:val="22"/>
                <w:szCs w:val="22"/>
              </w:rPr>
              <w:t xml:space="preserve"> Utah</w:t>
            </w:r>
          </w:p>
        </w:tc>
        <w:tc>
          <w:tcPr>
            <w:tcW w:w="1710" w:type="dxa"/>
            <w:noWrap/>
          </w:tcPr>
          <w:p w:rsidRPr="00820D6F" w:rsidR="00820D6F" w:rsidP="00820D6F" w:rsidRDefault="00820D6F" w14:paraId="6754119F" w14:textId="3462EE8F">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2,228,643</w:t>
            </w:r>
          </w:p>
        </w:tc>
        <w:tc>
          <w:tcPr>
            <w:tcW w:w="6012" w:type="dxa"/>
          </w:tcPr>
          <w:p w:rsidRPr="00217925" w:rsidR="00820D6F" w:rsidP="00820D6F" w:rsidRDefault="00820D6F" w14:paraId="1F34F31B" w14:textId="77777777">
            <w:pPr>
              <w:spacing w:line="240" w:lineRule="auto"/>
              <w:rPr>
                <w:rFonts w:ascii="Times New Roman" w:hAnsi="Times New Roman"/>
                <w:color w:val="000000"/>
                <w:sz w:val="22"/>
                <w:szCs w:val="22"/>
                <w:lang w:eastAsia="ko-KR"/>
              </w:rPr>
            </w:pPr>
          </w:p>
        </w:tc>
      </w:tr>
      <w:tr w:rsidRPr="005F61B4" w:rsidR="00820D6F" w:rsidTr="00270941" w14:paraId="3158A0BA" w14:textId="556D3C96">
        <w:trPr>
          <w:trHeight w:val="300"/>
        </w:trPr>
        <w:tc>
          <w:tcPr>
            <w:tcW w:w="1818" w:type="dxa"/>
            <w:noWrap/>
            <w:hideMark/>
          </w:tcPr>
          <w:p w:rsidRPr="00820D6F" w:rsidR="00820D6F" w:rsidP="00820D6F" w:rsidRDefault="00820D6F" w14:paraId="01ED5658" w14:textId="48D3F3D7">
            <w:pPr>
              <w:spacing w:line="240" w:lineRule="auto"/>
              <w:rPr>
                <w:rFonts w:ascii="Times New Roman" w:hAnsi="Times New Roman"/>
                <w:color w:val="000000"/>
                <w:sz w:val="22"/>
                <w:szCs w:val="22"/>
              </w:rPr>
            </w:pPr>
            <w:r w:rsidRPr="00820D6F">
              <w:rPr>
                <w:rFonts w:ascii="Times New Roman" w:hAnsi="Times New Roman"/>
                <w:sz w:val="22"/>
                <w:szCs w:val="22"/>
              </w:rPr>
              <w:t xml:space="preserve"> Kansas</w:t>
            </w:r>
          </w:p>
        </w:tc>
        <w:tc>
          <w:tcPr>
            <w:tcW w:w="1710" w:type="dxa"/>
            <w:noWrap/>
            <w:hideMark/>
          </w:tcPr>
          <w:p w:rsidRPr="00820D6F" w:rsidR="00820D6F" w:rsidP="00820D6F" w:rsidRDefault="00820D6F" w14:paraId="09162365" w14:textId="2356D186">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2,205,544</w:t>
            </w:r>
          </w:p>
        </w:tc>
        <w:tc>
          <w:tcPr>
            <w:tcW w:w="6012" w:type="dxa"/>
          </w:tcPr>
          <w:p w:rsidRPr="00217925" w:rsidR="00820D6F" w:rsidP="00820D6F" w:rsidRDefault="00820D6F" w14:paraId="5ABA1AEF" w14:textId="77777777">
            <w:pPr>
              <w:spacing w:line="240" w:lineRule="auto"/>
              <w:rPr>
                <w:rFonts w:ascii="Times New Roman" w:hAnsi="Times New Roman"/>
                <w:color w:val="000000"/>
                <w:sz w:val="22"/>
                <w:szCs w:val="22"/>
                <w:lang w:eastAsia="ko-KR"/>
              </w:rPr>
            </w:pPr>
          </w:p>
        </w:tc>
      </w:tr>
      <w:tr w:rsidRPr="005F61B4" w:rsidR="00820D6F" w:rsidTr="00270941" w14:paraId="1212C8A9" w14:textId="39AAB6A9">
        <w:trPr>
          <w:trHeight w:val="300"/>
        </w:trPr>
        <w:tc>
          <w:tcPr>
            <w:tcW w:w="1818" w:type="dxa"/>
            <w:noWrap/>
            <w:hideMark/>
          </w:tcPr>
          <w:p w:rsidRPr="00820D6F" w:rsidR="00820D6F" w:rsidP="00820D6F" w:rsidRDefault="00820D6F" w14:paraId="412AE092" w14:textId="1E080454">
            <w:pPr>
              <w:spacing w:line="240" w:lineRule="auto"/>
              <w:rPr>
                <w:rFonts w:ascii="Times New Roman" w:hAnsi="Times New Roman"/>
                <w:color w:val="000000"/>
                <w:sz w:val="22"/>
                <w:szCs w:val="22"/>
              </w:rPr>
            </w:pPr>
            <w:r w:rsidRPr="00820D6F">
              <w:rPr>
                <w:rFonts w:ascii="Times New Roman" w:hAnsi="Times New Roman"/>
                <w:sz w:val="22"/>
                <w:szCs w:val="22"/>
              </w:rPr>
              <w:t xml:space="preserve"> New Mexico</w:t>
            </w:r>
          </w:p>
        </w:tc>
        <w:tc>
          <w:tcPr>
            <w:tcW w:w="1710" w:type="dxa"/>
            <w:noWrap/>
            <w:hideMark/>
          </w:tcPr>
          <w:p w:rsidRPr="00820D6F" w:rsidR="00820D6F" w:rsidP="00820D6F" w:rsidRDefault="00820D6F" w14:paraId="24F625BF" w14:textId="3390BBBE">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1,613,275</w:t>
            </w:r>
          </w:p>
        </w:tc>
        <w:tc>
          <w:tcPr>
            <w:tcW w:w="6012" w:type="dxa"/>
          </w:tcPr>
          <w:p w:rsidRPr="00217925" w:rsidR="00820D6F" w:rsidP="00820D6F" w:rsidRDefault="00820D6F" w14:paraId="652E5486" w14:textId="77777777">
            <w:pPr>
              <w:spacing w:line="240" w:lineRule="auto"/>
              <w:rPr>
                <w:rFonts w:ascii="Times New Roman" w:hAnsi="Times New Roman"/>
                <w:color w:val="000000"/>
                <w:sz w:val="22"/>
                <w:szCs w:val="22"/>
                <w:lang w:eastAsia="ko-KR"/>
              </w:rPr>
            </w:pPr>
          </w:p>
        </w:tc>
      </w:tr>
      <w:tr w:rsidRPr="005F61B4" w:rsidR="00820D6F" w:rsidTr="00270941" w14:paraId="77CAC3F7" w14:textId="3D6D7E6F">
        <w:trPr>
          <w:trHeight w:val="300"/>
        </w:trPr>
        <w:tc>
          <w:tcPr>
            <w:tcW w:w="1818" w:type="dxa"/>
            <w:noWrap/>
            <w:hideMark/>
          </w:tcPr>
          <w:p w:rsidRPr="00820D6F" w:rsidR="00820D6F" w:rsidP="00820D6F" w:rsidRDefault="00820D6F" w14:paraId="75A8BEAD" w14:textId="75C9BB91">
            <w:pPr>
              <w:spacing w:line="240" w:lineRule="auto"/>
              <w:rPr>
                <w:rFonts w:ascii="Times New Roman" w:hAnsi="Times New Roman"/>
                <w:color w:val="000000"/>
                <w:sz w:val="22"/>
                <w:szCs w:val="22"/>
              </w:rPr>
            </w:pPr>
            <w:r w:rsidRPr="00820D6F">
              <w:rPr>
                <w:rFonts w:ascii="Times New Roman" w:hAnsi="Times New Roman"/>
                <w:sz w:val="22"/>
                <w:szCs w:val="22"/>
              </w:rPr>
              <w:t xml:space="preserve"> Nebraska</w:t>
            </w:r>
          </w:p>
        </w:tc>
        <w:tc>
          <w:tcPr>
            <w:tcW w:w="1710" w:type="dxa"/>
            <w:noWrap/>
            <w:hideMark/>
          </w:tcPr>
          <w:p w:rsidRPr="00820D6F" w:rsidR="00820D6F" w:rsidP="00820D6F" w:rsidRDefault="00820D6F" w14:paraId="65A7F765" w14:textId="0E95C602">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1,452,427</w:t>
            </w:r>
          </w:p>
        </w:tc>
        <w:tc>
          <w:tcPr>
            <w:tcW w:w="6012" w:type="dxa"/>
          </w:tcPr>
          <w:p w:rsidRPr="00217925" w:rsidR="00820D6F" w:rsidP="00820D6F" w:rsidRDefault="00820D6F" w14:paraId="2C98356D" w14:textId="77777777">
            <w:pPr>
              <w:spacing w:line="240" w:lineRule="auto"/>
              <w:rPr>
                <w:rFonts w:ascii="Times New Roman" w:hAnsi="Times New Roman"/>
                <w:color w:val="000000"/>
                <w:sz w:val="22"/>
                <w:szCs w:val="22"/>
                <w:lang w:eastAsia="ko-KR"/>
              </w:rPr>
            </w:pPr>
          </w:p>
        </w:tc>
      </w:tr>
      <w:tr w:rsidRPr="005F61B4" w:rsidR="00820D6F" w:rsidTr="00270941" w14:paraId="551912EA" w14:textId="66466CEA">
        <w:trPr>
          <w:trHeight w:val="300"/>
        </w:trPr>
        <w:tc>
          <w:tcPr>
            <w:tcW w:w="1818" w:type="dxa"/>
            <w:noWrap/>
            <w:hideMark/>
          </w:tcPr>
          <w:p w:rsidRPr="00820D6F" w:rsidR="00820D6F" w:rsidP="00820D6F" w:rsidRDefault="00820D6F" w14:paraId="38CCD89C" w14:textId="1D9CB22D">
            <w:pPr>
              <w:spacing w:line="240" w:lineRule="auto"/>
              <w:rPr>
                <w:rFonts w:ascii="Times New Roman" w:hAnsi="Times New Roman"/>
                <w:color w:val="000000"/>
                <w:sz w:val="22"/>
                <w:szCs w:val="22"/>
              </w:rPr>
            </w:pPr>
            <w:r w:rsidRPr="00820D6F">
              <w:rPr>
                <w:rFonts w:ascii="Times New Roman" w:hAnsi="Times New Roman"/>
                <w:sz w:val="22"/>
                <w:szCs w:val="22"/>
              </w:rPr>
              <w:t xml:space="preserve"> Idaho</w:t>
            </w:r>
          </w:p>
        </w:tc>
        <w:tc>
          <w:tcPr>
            <w:tcW w:w="1710" w:type="dxa"/>
            <w:noWrap/>
            <w:hideMark/>
          </w:tcPr>
          <w:p w:rsidRPr="00820D6F" w:rsidR="00820D6F" w:rsidP="00820D6F" w:rsidRDefault="00820D6F" w14:paraId="259EB882" w14:textId="1548733A">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1,307,236</w:t>
            </w:r>
          </w:p>
        </w:tc>
        <w:tc>
          <w:tcPr>
            <w:tcW w:w="6012" w:type="dxa"/>
          </w:tcPr>
          <w:p w:rsidRPr="00217925" w:rsidR="00820D6F" w:rsidP="00820D6F" w:rsidRDefault="00820D6F" w14:paraId="36CD3070" w14:textId="77777777">
            <w:pPr>
              <w:spacing w:line="240" w:lineRule="auto"/>
              <w:rPr>
                <w:rFonts w:ascii="Times New Roman" w:hAnsi="Times New Roman"/>
                <w:color w:val="000000"/>
                <w:sz w:val="22"/>
                <w:szCs w:val="22"/>
                <w:lang w:eastAsia="ko-KR"/>
              </w:rPr>
            </w:pPr>
          </w:p>
        </w:tc>
      </w:tr>
      <w:tr w:rsidRPr="005F61B4" w:rsidR="00820D6F" w:rsidTr="00270941" w14:paraId="1CDA0E2B" w14:textId="78C813F2">
        <w:trPr>
          <w:trHeight w:val="300"/>
        </w:trPr>
        <w:tc>
          <w:tcPr>
            <w:tcW w:w="1818" w:type="dxa"/>
            <w:noWrap/>
            <w:hideMark/>
          </w:tcPr>
          <w:p w:rsidRPr="00820D6F" w:rsidR="00820D6F" w:rsidP="00820D6F" w:rsidRDefault="00820D6F" w14:paraId="3DF783FC" w14:textId="209673DE">
            <w:pPr>
              <w:spacing w:line="240" w:lineRule="auto"/>
              <w:rPr>
                <w:rFonts w:ascii="Times New Roman" w:hAnsi="Times New Roman"/>
                <w:color w:val="000000"/>
                <w:sz w:val="22"/>
                <w:szCs w:val="22"/>
              </w:rPr>
            </w:pPr>
            <w:r w:rsidRPr="00820D6F">
              <w:rPr>
                <w:rFonts w:ascii="Times New Roman" w:hAnsi="Times New Roman"/>
                <w:sz w:val="22"/>
                <w:szCs w:val="22"/>
              </w:rPr>
              <w:t xml:space="preserve"> Hawaii</w:t>
            </w:r>
          </w:p>
        </w:tc>
        <w:tc>
          <w:tcPr>
            <w:tcW w:w="1710" w:type="dxa"/>
            <w:noWrap/>
            <w:hideMark/>
          </w:tcPr>
          <w:p w:rsidRPr="00820D6F" w:rsidR="00820D6F" w:rsidP="00820D6F" w:rsidRDefault="00820D6F" w14:paraId="5B8F2061" w14:textId="4581CA71">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1,117,077</w:t>
            </w:r>
          </w:p>
        </w:tc>
        <w:tc>
          <w:tcPr>
            <w:tcW w:w="6012" w:type="dxa"/>
          </w:tcPr>
          <w:p w:rsidRPr="00217925" w:rsidR="00820D6F" w:rsidP="00820D6F" w:rsidRDefault="00820D6F" w14:paraId="2EB23442" w14:textId="77777777">
            <w:pPr>
              <w:spacing w:line="240" w:lineRule="auto"/>
              <w:rPr>
                <w:rFonts w:ascii="Times New Roman" w:hAnsi="Times New Roman"/>
                <w:color w:val="000000"/>
                <w:sz w:val="22"/>
                <w:szCs w:val="22"/>
                <w:lang w:eastAsia="ko-KR"/>
              </w:rPr>
            </w:pPr>
          </w:p>
        </w:tc>
      </w:tr>
      <w:tr w:rsidRPr="005F61B4" w:rsidR="00820D6F" w:rsidTr="00270941" w14:paraId="1A714914" w14:textId="058B9FDF">
        <w:trPr>
          <w:trHeight w:val="300"/>
        </w:trPr>
        <w:tc>
          <w:tcPr>
            <w:tcW w:w="1818" w:type="dxa"/>
            <w:noWrap/>
            <w:hideMark/>
          </w:tcPr>
          <w:p w:rsidRPr="00820D6F" w:rsidR="00820D6F" w:rsidP="00820D6F" w:rsidRDefault="00820D6F" w14:paraId="745E54CB" w14:textId="7AC5E97D">
            <w:pPr>
              <w:spacing w:line="240" w:lineRule="auto"/>
              <w:rPr>
                <w:rFonts w:ascii="Times New Roman" w:hAnsi="Times New Roman"/>
                <w:color w:val="000000"/>
                <w:sz w:val="22"/>
                <w:szCs w:val="22"/>
              </w:rPr>
            </w:pPr>
            <w:r w:rsidRPr="00820D6F">
              <w:rPr>
                <w:rFonts w:ascii="Times New Roman" w:hAnsi="Times New Roman"/>
                <w:sz w:val="22"/>
                <w:szCs w:val="22"/>
              </w:rPr>
              <w:t xml:space="preserve"> Maine</w:t>
            </w:r>
          </w:p>
        </w:tc>
        <w:tc>
          <w:tcPr>
            <w:tcW w:w="1710" w:type="dxa"/>
            <w:noWrap/>
            <w:hideMark/>
          </w:tcPr>
          <w:p w:rsidRPr="00820D6F" w:rsidR="00820D6F" w:rsidP="00820D6F" w:rsidRDefault="00820D6F" w14:paraId="61E7F365" w14:textId="058590D2">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1,088,000</w:t>
            </w:r>
          </w:p>
        </w:tc>
        <w:tc>
          <w:tcPr>
            <w:tcW w:w="6012" w:type="dxa"/>
          </w:tcPr>
          <w:p w:rsidRPr="00217925" w:rsidR="00820D6F" w:rsidP="00820D6F" w:rsidRDefault="00820D6F" w14:paraId="5880E3F5" w14:textId="77777777">
            <w:pPr>
              <w:spacing w:line="240" w:lineRule="auto"/>
              <w:rPr>
                <w:rFonts w:ascii="Times New Roman" w:hAnsi="Times New Roman"/>
                <w:color w:val="000000"/>
                <w:sz w:val="22"/>
                <w:szCs w:val="22"/>
                <w:lang w:eastAsia="ko-KR"/>
              </w:rPr>
            </w:pPr>
          </w:p>
        </w:tc>
      </w:tr>
      <w:tr w:rsidRPr="005F61B4" w:rsidR="00820D6F" w:rsidTr="00270941" w14:paraId="544CFC43" w14:textId="63B625D0">
        <w:trPr>
          <w:trHeight w:val="300"/>
        </w:trPr>
        <w:tc>
          <w:tcPr>
            <w:tcW w:w="1818" w:type="dxa"/>
            <w:noWrap/>
            <w:hideMark/>
          </w:tcPr>
          <w:p w:rsidRPr="00820D6F" w:rsidR="00820D6F" w:rsidP="00820D6F" w:rsidRDefault="00820D6F" w14:paraId="070D4083" w14:textId="6C46E308">
            <w:pPr>
              <w:spacing w:line="240" w:lineRule="auto"/>
              <w:rPr>
                <w:rFonts w:ascii="Times New Roman" w:hAnsi="Times New Roman"/>
                <w:color w:val="000000"/>
                <w:sz w:val="22"/>
                <w:szCs w:val="22"/>
              </w:rPr>
            </w:pPr>
            <w:r w:rsidRPr="00820D6F">
              <w:rPr>
                <w:rFonts w:ascii="Times New Roman" w:hAnsi="Times New Roman"/>
                <w:sz w:val="22"/>
                <w:szCs w:val="22"/>
              </w:rPr>
              <w:t xml:space="preserve"> Rhode Island</w:t>
            </w:r>
          </w:p>
        </w:tc>
        <w:tc>
          <w:tcPr>
            <w:tcW w:w="1710" w:type="dxa"/>
            <w:noWrap/>
            <w:hideMark/>
          </w:tcPr>
          <w:p w:rsidRPr="00820D6F" w:rsidR="00820D6F" w:rsidP="00820D6F" w:rsidRDefault="00820D6F" w14:paraId="22709691" w14:textId="413E8397">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852,102</w:t>
            </w:r>
          </w:p>
        </w:tc>
        <w:tc>
          <w:tcPr>
            <w:tcW w:w="6012" w:type="dxa"/>
          </w:tcPr>
          <w:p w:rsidRPr="00217925" w:rsidR="00820D6F" w:rsidP="00820D6F" w:rsidRDefault="00820D6F" w14:paraId="5DD58769" w14:textId="77777777">
            <w:pPr>
              <w:spacing w:line="240" w:lineRule="auto"/>
              <w:rPr>
                <w:rFonts w:ascii="Times New Roman" w:hAnsi="Times New Roman"/>
                <w:color w:val="000000"/>
                <w:sz w:val="22"/>
                <w:szCs w:val="22"/>
                <w:lang w:eastAsia="ko-KR"/>
              </w:rPr>
            </w:pPr>
          </w:p>
        </w:tc>
      </w:tr>
      <w:tr w:rsidRPr="005F61B4" w:rsidR="00820D6F" w:rsidTr="00270941" w14:paraId="5168ABF5" w14:textId="63B8A1BB">
        <w:trPr>
          <w:trHeight w:val="300"/>
        </w:trPr>
        <w:tc>
          <w:tcPr>
            <w:tcW w:w="1818" w:type="dxa"/>
            <w:noWrap/>
            <w:hideMark/>
          </w:tcPr>
          <w:p w:rsidRPr="00820D6F" w:rsidR="00820D6F" w:rsidP="00820D6F" w:rsidRDefault="00820D6F" w14:paraId="28766A09" w14:textId="5A515B8F">
            <w:pPr>
              <w:spacing w:line="240" w:lineRule="auto"/>
              <w:rPr>
                <w:rFonts w:ascii="Times New Roman" w:hAnsi="Times New Roman"/>
                <w:color w:val="000000"/>
                <w:sz w:val="22"/>
                <w:szCs w:val="22"/>
              </w:rPr>
            </w:pPr>
            <w:r w:rsidRPr="00820D6F">
              <w:rPr>
                <w:rFonts w:ascii="Times New Roman" w:hAnsi="Times New Roman"/>
                <w:sz w:val="22"/>
                <w:szCs w:val="22"/>
              </w:rPr>
              <w:t xml:space="preserve"> South Dakota</w:t>
            </w:r>
          </w:p>
        </w:tc>
        <w:tc>
          <w:tcPr>
            <w:tcW w:w="1710" w:type="dxa"/>
            <w:noWrap/>
            <w:hideMark/>
          </w:tcPr>
          <w:p w:rsidRPr="00820D6F" w:rsidR="00820D6F" w:rsidP="00820D6F" w:rsidRDefault="00820D6F" w14:paraId="61CEB0FC" w14:textId="6B8BDCD0">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664,629</w:t>
            </w:r>
          </w:p>
        </w:tc>
        <w:tc>
          <w:tcPr>
            <w:tcW w:w="6012" w:type="dxa"/>
          </w:tcPr>
          <w:p w:rsidRPr="00217925" w:rsidR="00820D6F" w:rsidP="00820D6F" w:rsidRDefault="00820D6F" w14:paraId="3D2173ED" w14:textId="77777777">
            <w:pPr>
              <w:spacing w:line="240" w:lineRule="auto"/>
              <w:rPr>
                <w:rFonts w:ascii="Times New Roman" w:hAnsi="Times New Roman"/>
                <w:color w:val="000000"/>
                <w:sz w:val="22"/>
                <w:szCs w:val="22"/>
                <w:lang w:eastAsia="ko-KR"/>
              </w:rPr>
            </w:pPr>
          </w:p>
        </w:tc>
      </w:tr>
      <w:tr w:rsidRPr="005F61B4" w:rsidR="00820D6F" w:rsidTr="00270941" w14:paraId="09E62944" w14:textId="476921A4">
        <w:trPr>
          <w:trHeight w:val="300"/>
        </w:trPr>
        <w:tc>
          <w:tcPr>
            <w:tcW w:w="1818" w:type="dxa"/>
            <w:noWrap/>
            <w:hideMark/>
          </w:tcPr>
          <w:p w:rsidRPr="00820D6F" w:rsidR="00820D6F" w:rsidP="00820D6F" w:rsidRDefault="00820D6F" w14:paraId="3799ABDF" w14:textId="5B97B132">
            <w:pPr>
              <w:spacing w:line="240" w:lineRule="auto"/>
              <w:rPr>
                <w:rFonts w:ascii="Times New Roman" w:hAnsi="Times New Roman"/>
                <w:color w:val="000000"/>
                <w:sz w:val="22"/>
                <w:szCs w:val="22"/>
              </w:rPr>
            </w:pPr>
            <w:r w:rsidRPr="00820D6F">
              <w:rPr>
                <w:rFonts w:ascii="Times New Roman" w:hAnsi="Times New Roman"/>
                <w:sz w:val="22"/>
                <w:szCs w:val="22"/>
              </w:rPr>
              <w:t xml:space="preserve"> North Dakota</w:t>
            </w:r>
          </w:p>
        </w:tc>
        <w:tc>
          <w:tcPr>
            <w:tcW w:w="1710" w:type="dxa"/>
            <w:noWrap/>
            <w:hideMark/>
          </w:tcPr>
          <w:p w:rsidRPr="00820D6F" w:rsidR="00820D6F" w:rsidP="00820D6F" w:rsidRDefault="00820D6F" w14:paraId="1D6369FF" w14:textId="6DE8E1CA">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581,379</w:t>
            </w:r>
          </w:p>
        </w:tc>
        <w:tc>
          <w:tcPr>
            <w:tcW w:w="6012" w:type="dxa"/>
          </w:tcPr>
          <w:p w:rsidRPr="00217925" w:rsidR="00820D6F" w:rsidP="00820D6F" w:rsidRDefault="00820D6F" w14:paraId="273C628D" w14:textId="77777777">
            <w:pPr>
              <w:spacing w:line="240" w:lineRule="auto"/>
              <w:rPr>
                <w:rFonts w:ascii="Times New Roman" w:hAnsi="Times New Roman"/>
                <w:color w:val="000000"/>
                <w:sz w:val="22"/>
                <w:szCs w:val="22"/>
                <w:lang w:eastAsia="ko-KR"/>
              </w:rPr>
            </w:pPr>
          </w:p>
        </w:tc>
      </w:tr>
      <w:tr w:rsidRPr="005F61B4" w:rsidR="00820D6F" w:rsidTr="00270941" w14:paraId="136A85EF" w14:textId="529D8A1F">
        <w:trPr>
          <w:trHeight w:val="300"/>
        </w:trPr>
        <w:tc>
          <w:tcPr>
            <w:tcW w:w="1818" w:type="dxa"/>
            <w:noWrap/>
            <w:hideMark/>
          </w:tcPr>
          <w:p w:rsidRPr="00820D6F" w:rsidR="00820D6F" w:rsidP="00820D6F" w:rsidRDefault="00820D6F" w14:paraId="5DC9D012" w14:textId="7EE6C80C">
            <w:pPr>
              <w:spacing w:line="240" w:lineRule="auto"/>
              <w:rPr>
                <w:rFonts w:ascii="Times New Roman" w:hAnsi="Times New Roman"/>
                <w:color w:val="000000"/>
                <w:sz w:val="22"/>
                <w:szCs w:val="22"/>
              </w:rPr>
            </w:pPr>
            <w:r w:rsidRPr="00820D6F">
              <w:rPr>
                <w:rFonts w:ascii="Times New Roman" w:hAnsi="Times New Roman"/>
                <w:sz w:val="22"/>
                <w:szCs w:val="22"/>
              </w:rPr>
              <w:t xml:space="preserve"> District of Columbia</w:t>
            </w:r>
          </w:p>
        </w:tc>
        <w:tc>
          <w:tcPr>
            <w:tcW w:w="1710" w:type="dxa"/>
            <w:noWrap/>
            <w:hideMark/>
          </w:tcPr>
          <w:p w:rsidRPr="00820D6F" w:rsidR="00820D6F" w:rsidP="00820D6F" w:rsidRDefault="00820D6F" w14:paraId="22402F7D" w14:textId="5CC57F95">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574,961</w:t>
            </w:r>
          </w:p>
        </w:tc>
        <w:tc>
          <w:tcPr>
            <w:tcW w:w="6012" w:type="dxa"/>
          </w:tcPr>
          <w:p w:rsidRPr="00217925" w:rsidR="00820D6F" w:rsidP="00820D6F" w:rsidRDefault="00820D6F" w14:paraId="00C8AB5F" w14:textId="77777777">
            <w:pPr>
              <w:spacing w:line="240" w:lineRule="auto"/>
              <w:rPr>
                <w:rFonts w:ascii="Times New Roman" w:hAnsi="Times New Roman"/>
                <w:color w:val="000000"/>
                <w:sz w:val="22"/>
                <w:szCs w:val="22"/>
                <w:lang w:eastAsia="ko-KR"/>
              </w:rPr>
            </w:pPr>
          </w:p>
        </w:tc>
      </w:tr>
      <w:tr w:rsidRPr="005F61B4" w:rsidR="00820D6F" w:rsidTr="00270941" w14:paraId="50ED080F" w14:textId="2D630267">
        <w:trPr>
          <w:trHeight w:val="300"/>
        </w:trPr>
        <w:tc>
          <w:tcPr>
            <w:tcW w:w="1818" w:type="dxa"/>
            <w:noWrap/>
            <w:hideMark/>
          </w:tcPr>
          <w:p w:rsidRPr="00820D6F" w:rsidR="00820D6F" w:rsidP="00820D6F" w:rsidRDefault="00820D6F" w14:paraId="78A0EC26" w14:textId="1613906D">
            <w:pPr>
              <w:spacing w:line="240" w:lineRule="auto"/>
              <w:rPr>
                <w:rFonts w:ascii="Times New Roman" w:hAnsi="Times New Roman"/>
                <w:color w:val="000000"/>
                <w:sz w:val="22"/>
                <w:szCs w:val="22"/>
              </w:rPr>
            </w:pPr>
            <w:r w:rsidRPr="00820D6F">
              <w:rPr>
                <w:rFonts w:ascii="Times New Roman" w:hAnsi="Times New Roman"/>
                <w:sz w:val="22"/>
                <w:szCs w:val="22"/>
              </w:rPr>
              <w:t xml:space="preserve"> Alaska</w:t>
            </w:r>
          </w:p>
        </w:tc>
        <w:tc>
          <w:tcPr>
            <w:tcW w:w="1710" w:type="dxa"/>
            <w:noWrap/>
            <w:hideMark/>
          </w:tcPr>
          <w:p w:rsidRPr="00820D6F" w:rsidR="00820D6F" w:rsidP="00820D6F" w:rsidRDefault="00820D6F" w14:paraId="50907533" w14:textId="79C94924">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553,622</w:t>
            </w:r>
          </w:p>
        </w:tc>
        <w:tc>
          <w:tcPr>
            <w:tcW w:w="6012" w:type="dxa"/>
          </w:tcPr>
          <w:p w:rsidRPr="00217925" w:rsidR="00820D6F" w:rsidP="00820D6F" w:rsidRDefault="00820D6F" w14:paraId="4A5FE74F" w14:textId="77777777">
            <w:pPr>
              <w:spacing w:line="240" w:lineRule="auto"/>
              <w:rPr>
                <w:rFonts w:ascii="Times New Roman" w:hAnsi="Times New Roman"/>
                <w:color w:val="000000"/>
                <w:sz w:val="22"/>
                <w:szCs w:val="22"/>
                <w:lang w:eastAsia="ko-KR"/>
              </w:rPr>
            </w:pPr>
          </w:p>
        </w:tc>
      </w:tr>
      <w:tr w:rsidRPr="005F61B4" w:rsidR="00820D6F" w:rsidTr="00270941" w14:paraId="735DFFF4" w14:textId="5C39A863">
        <w:trPr>
          <w:trHeight w:val="300"/>
        </w:trPr>
        <w:tc>
          <w:tcPr>
            <w:tcW w:w="1818" w:type="dxa"/>
            <w:noWrap/>
            <w:hideMark/>
          </w:tcPr>
          <w:p w:rsidRPr="00820D6F" w:rsidR="00820D6F" w:rsidP="00820D6F" w:rsidRDefault="00820D6F" w14:paraId="305AFBD2" w14:textId="5C57A20A">
            <w:pPr>
              <w:spacing w:line="240" w:lineRule="auto"/>
              <w:rPr>
                <w:rFonts w:ascii="Times New Roman" w:hAnsi="Times New Roman"/>
                <w:color w:val="000000"/>
                <w:sz w:val="22"/>
                <w:szCs w:val="22"/>
              </w:rPr>
            </w:pPr>
            <w:r w:rsidRPr="00820D6F">
              <w:rPr>
                <w:rFonts w:ascii="Times New Roman" w:hAnsi="Times New Roman"/>
                <w:sz w:val="22"/>
                <w:szCs w:val="22"/>
              </w:rPr>
              <w:t xml:space="preserve"> Vermont</w:t>
            </w:r>
          </w:p>
        </w:tc>
        <w:tc>
          <w:tcPr>
            <w:tcW w:w="1710" w:type="dxa"/>
            <w:noWrap/>
            <w:hideMark/>
          </w:tcPr>
          <w:p w:rsidRPr="00820D6F" w:rsidR="00820D6F" w:rsidP="00820D6F" w:rsidRDefault="00820D6F" w14:paraId="2D7B6EFF" w14:textId="25717269">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510,326</w:t>
            </w:r>
          </w:p>
        </w:tc>
        <w:tc>
          <w:tcPr>
            <w:tcW w:w="6012" w:type="dxa"/>
          </w:tcPr>
          <w:p w:rsidRPr="00217925" w:rsidR="00820D6F" w:rsidP="00820D6F" w:rsidRDefault="00820D6F" w14:paraId="2AFDC8AA" w14:textId="77777777">
            <w:pPr>
              <w:spacing w:line="240" w:lineRule="auto"/>
              <w:rPr>
                <w:rFonts w:ascii="Times New Roman" w:hAnsi="Times New Roman"/>
                <w:color w:val="000000"/>
                <w:sz w:val="22"/>
                <w:szCs w:val="22"/>
                <w:lang w:eastAsia="ko-KR"/>
              </w:rPr>
            </w:pPr>
          </w:p>
        </w:tc>
      </w:tr>
      <w:tr w:rsidRPr="005F61B4" w:rsidR="00820D6F" w:rsidTr="00270941" w14:paraId="7BB44A49" w14:textId="6507EE68">
        <w:trPr>
          <w:trHeight w:val="300"/>
        </w:trPr>
        <w:tc>
          <w:tcPr>
            <w:tcW w:w="1818" w:type="dxa"/>
            <w:noWrap/>
            <w:hideMark/>
          </w:tcPr>
          <w:p w:rsidRPr="00820D6F" w:rsidR="00820D6F" w:rsidP="00820D6F" w:rsidRDefault="00820D6F" w14:paraId="7831333E" w14:textId="65853406">
            <w:pPr>
              <w:spacing w:line="240" w:lineRule="auto"/>
              <w:rPr>
                <w:rFonts w:ascii="Times New Roman" w:hAnsi="Times New Roman"/>
                <w:color w:val="000000"/>
                <w:sz w:val="22"/>
                <w:szCs w:val="22"/>
              </w:rPr>
            </w:pPr>
            <w:r w:rsidRPr="00820D6F">
              <w:rPr>
                <w:rFonts w:ascii="Times New Roman" w:hAnsi="Times New Roman"/>
                <w:sz w:val="22"/>
                <w:szCs w:val="22"/>
              </w:rPr>
              <w:t xml:space="preserve"> Wyoming</w:t>
            </w:r>
          </w:p>
        </w:tc>
        <w:tc>
          <w:tcPr>
            <w:tcW w:w="1710" w:type="dxa"/>
            <w:noWrap/>
            <w:hideMark/>
          </w:tcPr>
          <w:p w:rsidRPr="00820D6F" w:rsidR="00820D6F" w:rsidP="00820D6F" w:rsidRDefault="00820D6F" w14:paraId="1287B841" w14:textId="5301BFED">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442,962</w:t>
            </w:r>
          </w:p>
        </w:tc>
        <w:tc>
          <w:tcPr>
            <w:tcW w:w="6012" w:type="dxa"/>
          </w:tcPr>
          <w:p w:rsidRPr="00217925" w:rsidR="00820D6F" w:rsidP="00820D6F" w:rsidRDefault="00820D6F" w14:paraId="7C520503" w14:textId="77777777">
            <w:pPr>
              <w:spacing w:line="240" w:lineRule="auto"/>
              <w:rPr>
                <w:rFonts w:ascii="Times New Roman" w:hAnsi="Times New Roman"/>
                <w:color w:val="000000"/>
                <w:sz w:val="22"/>
                <w:szCs w:val="22"/>
                <w:lang w:eastAsia="ko-KR"/>
              </w:rPr>
            </w:pPr>
          </w:p>
        </w:tc>
      </w:tr>
      <w:tr w:rsidRPr="005F61B4" w:rsidR="00B80B30" w:rsidTr="00DA357A" w14:paraId="41C50EE8" w14:textId="7197403E">
        <w:trPr>
          <w:trHeight w:val="300"/>
        </w:trPr>
        <w:tc>
          <w:tcPr>
            <w:tcW w:w="1818" w:type="dxa"/>
            <w:noWrap/>
          </w:tcPr>
          <w:p w:rsidRPr="00217925" w:rsidR="00B80B30" w:rsidP="00B80B30" w:rsidRDefault="00B80B30" w14:paraId="01DDEE5C" w14:textId="7D24BEB2">
            <w:pPr>
              <w:spacing w:line="240" w:lineRule="auto"/>
              <w:rPr>
                <w:rFonts w:ascii="Times New Roman" w:hAnsi="Times New Roman"/>
                <w:color w:val="000000"/>
                <w:sz w:val="22"/>
                <w:szCs w:val="22"/>
                <w:lang w:eastAsia="ko-KR"/>
              </w:rPr>
            </w:pPr>
            <w:r w:rsidRPr="00217925">
              <w:rPr>
                <w:rFonts w:ascii="Times New Roman" w:hAnsi="Times New Roman"/>
                <w:color w:val="000000"/>
                <w:sz w:val="22"/>
                <w:szCs w:val="22"/>
                <w:lang w:eastAsia="ko-KR"/>
              </w:rPr>
              <w:t>Total (57% of U.S. 18+ Population)</w:t>
            </w:r>
          </w:p>
        </w:tc>
        <w:tc>
          <w:tcPr>
            <w:tcW w:w="1710" w:type="dxa"/>
            <w:noWrap/>
          </w:tcPr>
          <w:p w:rsidRPr="00B80B30" w:rsidR="00B80B30" w:rsidP="00B80B30" w:rsidRDefault="00B80B30" w14:paraId="07F5CA7A" w14:textId="2AA969D7">
            <w:pPr>
              <w:spacing w:line="240" w:lineRule="auto"/>
              <w:jc w:val="right"/>
              <w:rPr>
                <w:rFonts w:ascii="Times New Roman" w:hAnsi="Times New Roman"/>
                <w:color w:val="000000"/>
                <w:sz w:val="22"/>
                <w:szCs w:val="22"/>
                <w:lang w:eastAsia="ko-KR"/>
              </w:rPr>
            </w:pPr>
            <w:r w:rsidRPr="00B80B30">
              <w:rPr>
                <w:rFonts w:ascii="Times New Roman" w:hAnsi="Times New Roman"/>
                <w:color w:val="000000"/>
                <w:sz w:val="22"/>
                <w:szCs w:val="22"/>
                <w:lang w:eastAsia="ko-KR"/>
              </w:rPr>
              <w:t>145,</w:t>
            </w:r>
            <w:r w:rsidR="00820D6F">
              <w:rPr>
                <w:rFonts w:ascii="Times New Roman" w:hAnsi="Times New Roman"/>
                <w:color w:val="000000"/>
                <w:sz w:val="22"/>
                <w:szCs w:val="22"/>
                <w:lang w:eastAsia="ko-KR"/>
              </w:rPr>
              <w:t>003</w:t>
            </w:r>
            <w:r w:rsidRPr="00B80B30">
              <w:rPr>
                <w:rFonts w:ascii="Times New Roman" w:hAnsi="Times New Roman"/>
                <w:color w:val="000000"/>
                <w:sz w:val="22"/>
                <w:szCs w:val="22"/>
                <w:lang w:eastAsia="ko-KR"/>
              </w:rPr>
              <w:t>,</w:t>
            </w:r>
            <w:r w:rsidR="00820D6F">
              <w:rPr>
                <w:rFonts w:ascii="Times New Roman" w:hAnsi="Times New Roman"/>
                <w:color w:val="000000"/>
                <w:sz w:val="22"/>
                <w:szCs w:val="22"/>
                <w:lang w:eastAsia="ko-KR"/>
              </w:rPr>
              <w:t>401</w:t>
            </w:r>
          </w:p>
          <w:p w:rsidRPr="00217925" w:rsidR="00B80B30" w:rsidP="00B80B30" w:rsidRDefault="00B80B30" w14:paraId="3A0DE2DD" w14:textId="1659BC04">
            <w:pPr>
              <w:spacing w:line="240" w:lineRule="auto"/>
              <w:jc w:val="right"/>
              <w:rPr>
                <w:rFonts w:ascii="Times New Roman" w:hAnsi="Times New Roman"/>
                <w:color w:val="000000"/>
                <w:sz w:val="22"/>
                <w:szCs w:val="22"/>
                <w:lang w:eastAsia="ko-KR"/>
              </w:rPr>
            </w:pPr>
          </w:p>
        </w:tc>
        <w:tc>
          <w:tcPr>
            <w:tcW w:w="6012" w:type="dxa"/>
          </w:tcPr>
          <w:p w:rsidRPr="00217925" w:rsidR="00B80B30" w:rsidP="00B80B30" w:rsidRDefault="00B80B30" w14:paraId="528889FA" w14:textId="77777777">
            <w:pPr>
              <w:spacing w:line="240" w:lineRule="auto"/>
              <w:jc w:val="right"/>
              <w:rPr>
                <w:rFonts w:ascii="Times New Roman" w:hAnsi="Times New Roman"/>
                <w:color w:val="000000"/>
                <w:sz w:val="22"/>
                <w:szCs w:val="22"/>
                <w:lang w:eastAsia="ko-KR"/>
              </w:rPr>
            </w:pPr>
          </w:p>
        </w:tc>
      </w:tr>
      <w:tr w:rsidRPr="005F61B4" w:rsidR="00131F31" w:rsidTr="00AF6657" w14:paraId="1266C57B" w14:textId="77777777">
        <w:trPr>
          <w:trHeight w:val="300"/>
        </w:trPr>
        <w:tc>
          <w:tcPr>
            <w:tcW w:w="9540" w:type="dxa"/>
            <w:gridSpan w:val="3"/>
            <w:noWrap/>
          </w:tcPr>
          <w:p w:rsidRPr="00217925" w:rsidR="00131F31" w:rsidP="00131F31" w:rsidRDefault="00131F31" w14:paraId="12E265C4" w14:textId="5C3C727A">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lastRenderedPageBreak/>
              <w:t xml:space="preserve">Source: U.S. Census Bureau, Population Division. Table 1. </w:t>
            </w:r>
            <w:r w:rsidRPr="00820D6F" w:rsidR="00820D6F">
              <w:rPr>
                <w:rFonts w:ascii="Times New Roman" w:hAnsi="Times New Roman"/>
                <w:color w:val="000000"/>
                <w:sz w:val="22"/>
                <w:szCs w:val="22"/>
                <w:lang w:eastAsia="ko-KR"/>
              </w:rPr>
              <w:t>Annual Estimates of the Resident Population for Selected Age Groups by Sex for the United States, States, Counties and Puerto Rico Commonwealth and Municipios: April 1, 2010 to July 1, 2018</w:t>
            </w:r>
          </w:p>
        </w:tc>
      </w:tr>
    </w:tbl>
    <w:p w:rsidR="00FB708D" w:rsidP="00580A55" w:rsidRDefault="00FB708D" w14:paraId="6FFF2AD7" w14:textId="26BD0273">
      <w:pPr>
        <w:pStyle w:val="L1-FlLSp12"/>
        <w:spacing w:line="276" w:lineRule="auto"/>
        <w:rPr>
          <w:rFonts w:ascii="Times New Roman" w:hAnsi="Times New Roman"/>
        </w:rPr>
      </w:pPr>
    </w:p>
    <w:p w:rsidR="00FB708D" w:rsidP="00580A55" w:rsidRDefault="00FB708D" w14:paraId="3C13B7CA" w14:textId="44FCEB3A">
      <w:pPr>
        <w:pStyle w:val="L1-FlLSp12"/>
        <w:spacing w:line="276" w:lineRule="auto"/>
        <w:rPr>
          <w:rFonts w:ascii="Times New Roman" w:hAnsi="Times New Roman"/>
        </w:rPr>
      </w:pPr>
    </w:p>
    <w:p w:rsidR="00FB708D" w:rsidP="00580A55" w:rsidRDefault="00FB708D" w14:paraId="35D8DD06" w14:textId="77777777">
      <w:pPr>
        <w:pStyle w:val="L1-FlLSp12"/>
        <w:spacing w:line="276" w:lineRule="auto"/>
        <w:rPr>
          <w:rFonts w:ascii="Times New Roman" w:hAnsi="Times New Roman"/>
        </w:rPr>
      </w:pPr>
    </w:p>
    <w:p w:rsidR="005F61B4" w:rsidP="00580A55" w:rsidRDefault="00F62B2E" w14:paraId="72896593" w14:textId="5384F28E">
      <w:pPr>
        <w:pStyle w:val="L1-FlLSp12"/>
        <w:spacing w:line="276" w:lineRule="auto"/>
        <w:rPr>
          <w:rFonts w:ascii="Times New Roman" w:hAnsi="Times New Roman"/>
        </w:rPr>
      </w:pPr>
      <w:r>
        <w:rPr>
          <w:rFonts w:ascii="Times New Roman" w:hAnsi="Times New Roman"/>
        </w:rPr>
        <w:t>Table 2. Class 2 States by Population</w:t>
      </w:r>
      <w:r w:rsidR="00506D2D">
        <w:rPr>
          <w:rFonts w:ascii="Times New Roman" w:hAnsi="Times New Roman"/>
        </w:rPr>
        <w:t xml:space="preserve"> Aged 18 and Over</w:t>
      </w:r>
      <w:r w:rsidR="00042D01">
        <w:rPr>
          <w:rFonts w:ascii="Times New Roman" w:hAnsi="Times New Roman"/>
        </w:rPr>
        <w:t>, 201</w:t>
      </w:r>
      <w:r w:rsidR="00820D6F">
        <w:rPr>
          <w:rFonts w:ascii="Times New Roman" w:hAnsi="Times New Roman"/>
        </w:rPr>
        <w:t>8</w:t>
      </w:r>
    </w:p>
    <w:tbl>
      <w:tblPr>
        <w:tblW w:w="5596" w:type="dxa"/>
        <w:tblLook w:val="04A0" w:firstRow="1" w:lastRow="0" w:firstColumn="1" w:lastColumn="0" w:noHBand="0" w:noVBand="1"/>
      </w:tblPr>
      <w:tblGrid>
        <w:gridCol w:w="3510"/>
        <w:gridCol w:w="2086"/>
      </w:tblGrid>
      <w:tr w:rsidRPr="00F62B2E" w:rsidR="00F62B2E" w:rsidTr="00917F4D" w14:paraId="4424A776" w14:textId="77777777">
        <w:trPr>
          <w:trHeight w:val="242"/>
        </w:trPr>
        <w:tc>
          <w:tcPr>
            <w:tcW w:w="3510" w:type="dxa"/>
            <w:tcBorders>
              <w:top w:val="single" w:color="auto" w:sz="4" w:space="0"/>
              <w:left w:val="nil"/>
              <w:bottom w:val="single" w:color="auto" w:sz="4" w:space="0"/>
              <w:right w:val="nil"/>
            </w:tcBorders>
            <w:shd w:val="clear" w:color="auto" w:fill="AFBED7"/>
            <w:noWrap/>
          </w:tcPr>
          <w:p w:rsidRPr="00217925" w:rsidR="00F62B2E" w:rsidP="00DA70C9" w:rsidRDefault="00F62B2E" w14:paraId="2AA93EA6" w14:textId="331D2F4C">
            <w:pPr>
              <w:spacing w:line="240" w:lineRule="auto"/>
              <w:jc w:val="center"/>
              <w:rPr>
                <w:rFonts w:ascii="Times New Roman" w:hAnsi="Times New Roman"/>
                <w:color w:val="000000"/>
                <w:sz w:val="22"/>
                <w:szCs w:val="22"/>
                <w:lang w:eastAsia="ko-KR"/>
              </w:rPr>
            </w:pPr>
            <w:r w:rsidRPr="00217925">
              <w:rPr>
                <w:rFonts w:ascii="Times New Roman" w:hAnsi="Times New Roman"/>
                <w:b/>
                <w:color w:val="000000"/>
                <w:sz w:val="22"/>
                <w:szCs w:val="22"/>
                <w:lang w:eastAsia="ko-KR"/>
              </w:rPr>
              <w:t>State Name</w:t>
            </w:r>
          </w:p>
        </w:tc>
        <w:tc>
          <w:tcPr>
            <w:tcW w:w="2086" w:type="dxa"/>
            <w:tcBorders>
              <w:top w:val="single" w:color="auto" w:sz="4" w:space="0"/>
              <w:left w:val="nil"/>
              <w:bottom w:val="single" w:color="auto" w:sz="4" w:space="0"/>
              <w:right w:val="nil"/>
            </w:tcBorders>
            <w:shd w:val="clear" w:color="auto" w:fill="AFBED7"/>
            <w:noWrap/>
          </w:tcPr>
          <w:p w:rsidRPr="00217925" w:rsidR="00F62B2E" w:rsidP="00DA70C9" w:rsidRDefault="00F62B2E" w14:paraId="39D53A26" w14:textId="01AC49A2">
            <w:pPr>
              <w:spacing w:line="240" w:lineRule="auto"/>
              <w:jc w:val="center"/>
              <w:rPr>
                <w:rFonts w:ascii="Times New Roman" w:hAnsi="Times New Roman"/>
                <w:color w:val="000000"/>
                <w:sz w:val="22"/>
                <w:szCs w:val="22"/>
                <w:lang w:eastAsia="ko-KR"/>
              </w:rPr>
            </w:pPr>
            <w:r w:rsidRPr="00217925">
              <w:rPr>
                <w:rFonts w:ascii="Times New Roman" w:hAnsi="Times New Roman"/>
                <w:b/>
                <w:color w:val="000000"/>
                <w:sz w:val="22"/>
                <w:szCs w:val="22"/>
                <w:lang w:eastAsia="ko-KR"/>
              </w:rPr>
              <w:t>Population 18+</w:t>
            </w:r>
          </w:p>
        </w:tc>
      </w:tr>
      <w:tr w:rsidRPr="00F62B2E" w:rsidR="00820D6F" w:rsidTr="00270941" w14:paraId="0CCE3155" w14:textId="77777777">
        <w:trPr>
          <w:trHeight w:val="300"/>
        </w:trPr>
        <w:tc>
          <w:tcPr>
            <w:tcW w:w="3510" w:type="dxa"/>
            <w:tcBorders>
              <w:top w:val="single" w:color="auto" w:sz="4" w:space="0"/>
              <w:left w:val="nil"/>
              <w:bottom w:val="nil"/>
              <w:right w:val="nil"/>
            </w:tcBorders>
            <w:shd w:val="clear" w:color="auto" w:fill="auto"/>
            <w:noWrap/>
            <w:hideMark/>
          </w:tcPr>
          <w:p w:rsidRPr="00820D6F" w:rsidR="00820D6F" w:rsidP="00820D6F" w:rsidRDefault="00820D6F" w14:paraId="1B6E83AC" w14:textId="233EB1C9">
            <w:pPr>
              <w:spacing w:line="240" w:lineRule="auto"/>
              <w:rPr>
                <w:rFonts w:ascii="Times New Roman" w:hAnsi="Times New Roman"/>
                <w:color w:val="000000"/>
                <w:sz w:val="22"/>
                <w:szCs w:val="22"/>
              </w:rPr>
            </w:pPr>
            <w:r w:rsidRPr="00820D6F">
              <w:rPr>
                <w:rFonts w:ascii="Times New Roman" w:hAnsi="Times New Roman"/>
                <w:sz w:val="22"/>
                <w:szCs w:val="22"/>
              </w:rPr>
              <w:t xml:space="preserve"> California</w:t>
            </w:r>
          </w:p>
        </w:tc>
        <w:tc>
          <w:tcPr>
            <w:tcW w:w="2086" w:type="dxa"/>
            <w:tcBorders>
              <w:top w:val="single" w:color="auto" w:sz="4" w:space="0"/>
              <w:left w:val="nil"/>
              <w:bottom w:val="nil"/>
              <w:right w:val="nil"/>
            </w:tcBorders>
            <w:shd w:val="clear" w:color="auto" w:fill="auto"/>
            <w:noWrap/>
            <w:hideMark/>
          </w:tcPr>
          <w:p w:rsidRPr="00820D6F" w:rsidR="00820D6F" w:rsidP="00820D6F" w:rsidRDefault="00820D6F" w14:paraId="79BE18E6" w14:textId="5C40F475">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30,567,090 </w:t>
            </w:r>
          </w:p>
        </w:tc>
      </w:tr>
      <w:tr w:rsidRPr="00F62B2E" w:rsidR="00820D6F" w:rsidTr="00270941" w14:paraId="65AC4EA5" w14:textId="77777777">
        <w:trPr>
          <w:trHeight w:val="300"/>
        </w:trPr>
        <w:tc>
          <w:tcPr>
            <w:tcW w:w="3510" w:type="dxa"/>
            <w:tcBorders>
              <w:top w:val="nil"/>
              <w:left w:val="nil"/>
              <w:bottom w:val="nil"/>
              <w:right w:val="nil"/>
            </w:tcBorders>
            <w:shd w:val="clear" w:color="auto" w:fill="auto"/>
            <w:noWrap/>
            <w:hideMark/>
          </w:tcPr>
          <w:p w:rsidRPr="00820D6F" w:rsidR="00820D6F" w:rsidP="00820D6F" w:rsidRDefault="00820D6F" w14:paraId="5D47546E" w14:textId="698AD057">
            <w:pPr>
              <w:spacing w:line="240" w:lineRule="auto"/>
              <w:rPr>
                <w:rFonts w:ascii="Times New Roman" w:hAnsi="Times New Roman"/>
                <w:color w:val="000000"/>
                <w:sz w:val="22"/>
                <w:szCs w:val="22"/>
              </w:rPr>
            </w:pPr>
            <w:r w:rsidRPr="00820D6F">
              <w:rPr>
                <w:rFonts w:ascii="Times New Roman" w:hAnsi="Times New Roman"/>
                <w:sz w:val="22"/>
                <w:szCs w:val="22"/>
              </w:rPr>
              <w:t xml:space="preserve"> Texas</w:t>
            </w:r>
          </w:p>
        </w:tc>
        <w:tc>
          <w:tcPr>
            <w:tcW w:w="2086" w:type="dxa"/>
            <w:tcBorders>
              <w:top w:val="nil"/>
              <w:left w:val="nil"/>
              <w:bottom w:val="nil"/>
              <w:right w:val="nil"/>
            </w:tcBorders>
            <w:shd w:val="clear" w:color="auto" w:fill="auto"/>
            <w:noWrap/>
            <w:hideMark/>
          </w:tcPr>
          <w:p w:rsidRPr="00820D6F" w:rsidR="00820D6F" w:rsidP="00820D6F" w:rsidRDefault="00820D6F" w14:paraId="147EF5E7" w14:textId="5A78EC63">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21,303,746 </w:t>
            </w:r>
          </w:p>
        </w:tc>
      </w:tr>
      <w:tr w:rsidRPr="00F62B2E" w:rsidR="00820D6F" w:rsidTr="00270941" w14:paraId="7341156F" w14:textId="77777777">
        <w:trPr>
          <w:trHeight w:val="300"/>
        </w:trPr>
        <w:tc>
          <w:tcPr>
            <w:tcW w:w="3510" w:type="dxa"/>
            <w:tcBorders>
              <w:top w:val="nil"/>
              <w:left w:val="nil"/>
              <w:bottom w:val="nil"/>
              <w:right w:val="nil"/>
            </w:tcBorders>
            <w:shd w:val="clear" w:color="auto" w:fill="auto"/>
            <w:noWrap/>
            <w:hideMark/>
          </w:tcPr>
          <w:p w:rsidRPr="00820D6F" w:rsidR="00820D6F" w:rsidP="00820D6F" w:rsidRDefault="00820D6F" w14:paraId="1E5204D5" w14:textId="75C8B3D4">
            <w:pPr>
              <w:spacing w:line="240" w:lineRule="auto"/>
              <w:rPr>
                <w:rFonts w:ascii="Times New Roman" w:hAnsi="Times New Roman"/>
                <w:color w:val="000000"/>
                <w:sz w:val="22"/>
                <w:szCs w:val="22"/>
              </w:rPr>
            </w:pPr>
            <w:r w:rsidRPr="00820D6F">
              <w:rPr>
                <w:rFonts w:ascii="Times New Roman" w:hAnsi="Times New Roman"/>
                <w:sz w:val="22"/>
                <w:szCs w:val="22"/>
              </w:rPr>
              <w:t xml:space="preserve"> Florida</w:t>
            </w:r>
          </w:p>
        </w:tc>
        <w:tc>
          <w:tcPr>
            <w:tcW w:w="2086" w:type="dxa"/>
            <w:tcBorders>
              <w:top w:val="nil"/>
              <w:left w:val="nil"/>
              <w:bottom w:val="nil"/>
              <w:right w:val="nil"/>
            </w:tcBorders>
            <w:shd w:val="clear" w:color="auto" w:fill="auto"/>
            <w:noWrap/>
            <w:hideMark/>
          </w:tcPr>
          <w:p w:rsidRPr="00820D6F" w:rsidR="00820D6F" w:rsidP="00820D6F" w:rsidRDefault="00820D6F" w14:paraId="4B9020A4" w14:textId="53525217">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17,070,244 </w:t>
            </w:r>
          </w:p>
        </w:tc>
      </w:tr>
      <w:tr w:rsidRPr="00F62B2E" w:rsidR="00820D6F" w:rsidTr="00270941" w14:paraId="5D077C41" w14:textId="77777777">
        <w:trPr>
          <w:trHeight w:val="300"/>
        </w:trPr>
        <w:tc>
          <w:tcPr>
            <w:tcW w:w="3510" w:type="dxa"/>
            <w:tcBorders>
              <w:top w:val="nil"/>
              <w:left w:val="nil"/>
              <w:bottom w:val="nil"/>
              <w:right w:val="nil"/>
            </w:tcBorders>
            <w:shd w:val="clear" w:color="auto" w:fill="auto"/>
            <w:noWrap/>
            <w:hideMark/>
          </w:tcPr>
          <w:p w:rsidRPr="00820D6F" w:rsidR="00820D6F" w:rsidP="00820D6F" w:rsidRDefault="00820D6F" w14:paraId="22E025B5" w14:textId="3C6E6296">
            <w:pPr>
              <w:spacing w:line="240" w:lineRule="auto"/>
              <w:rPr>
                <w:rFonts w:ascii="Times New Roman" w:hAnsi="Times New Roman"/>
                <w:color w:val="000000"/>
                <w:sz w:val="22"/>
                <w:szCs w:val="22"/>
              </w:rPr>
            </w:pPr>
            <w:r w:rsidRPr="00820D6F">
              <w:rPr>
                <w:rFonts w:ascii="Times New Roman" w:hAnsi="Times New Roman"/>
                <w:sz w:val="22"/>
                <w:szCs w:val="22"/>
              </w:rPr>
              <w:t xml:space="preserve"> Ohio</w:t>
            </w:r>
          </w:p>
        </w:tc>
        <w:tc>
          <w:tcPr>
            <w:tcW w:w="2086" w:type="dxa"/>
            <w:tcBorders>
              <w:top w:val="nil"/>
              <w:left w:val="nil"/>
              <w:bottom w:val="nil"/>
              <w:right w:val="nil"/>
            </w:tcBorders>
            <w:shd w:val="clear" w:color="auto" w:fill="auto"/>
            <w:noWrap/>
            <w:hideMark/>
          </w:tcPr>
          <w:p w:rsidRPr="00820D6F" w:rsidR="00820D6F" w:rsidP="00820D6F" w:rsidRDefault="00820D6F" w14:paraId="0C135744" w14:textId="425DFC38">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9,096,117 </w:t>
            </w:r>
          </w:p>
        </w:tc>
      </w:tr>
      <w:tr w:rsidRPr="00F62B2E" w:rsidR="00820D6F" w:rsidTr="00270941" w14:paraId="7CF86F97" w14:textId="77777777">
        <w:trPr>
          <w:trHeight w:val="300"/>
        </w:trPr>
        <w:tc>
          <w:tcPr>
            <w:tcW w:w="3510" w:type="dxa"/>
            <w:tcBorders>
              <w:top w:val="nil"/>
              <w:left w:val="nil"/>
              <w:bottom w:val="nil"/>
              <w:right w:val="nil"/>
            </w:tcBorders>
            <w:shd w:val="clear" w:color="auto" w:fill="auto"/>
            <w:noWrap/>
            <w:hideMark/>
          </w:tcPr>
          <w:p w:rsidRPr="00820D6F" w:rsidR="00820D6F" w:rsidP="00820D6F" w:rsidRDefault="00820D6F" w14:paraId="0336BE6E" w14:textId="19D0D607">
            <w:pPr>
              <w:spacing w:line="240" w:lineRule="auto"/>
              <w:rPr>
                <w:rFonts w:ascii="Times New Roman" w:hAnsi="Times New Roman"/>
                <w:color w:val="000000"/>
                <w:sz w:val="22"/>
                <w:szCs w:val="22"/>
              </w:rPr>
            </w:pPr>
            <w:r w:rsidRPr="00820D6F">
              <w:rPr>
                <w:rFonts w:ascii="Times New Roman" w:hAnsi="Times New Roman"/>
                <w:sz w:val="22"/>
                <w:szCs w:val="22"/>
              </w:rPr>
              <w:t xml:space="preserve"> Georgia</w:t>
            </w:r>
          </w:p>
        </w:tc>
        <w:tc>
          <w:tcPr>
            <w:tcW w:w="2086" w:type="dxa"/>
            <w:tcBorders>
              <w:top w:val="nil"/>
              <w:left w:val="nil"/>
              <w:bottom w:val="nil"/>
              <w:right w:val="nil"/>
            </w:tcBorders>
            <w:shd w:val="clear" w:color="auto" w:fill="auto"/>
            <w:noWrap/>
            <w:hideMark/>
          </w:tcPr>
          <w:p w:rsidRPr="00820D6F" w:rsidR="00820D6F" w:rsidP="00820D6F" w:rsidRDefault="00820D6F" w14:paraId="66343C41" w14:textId="185F8206">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8,013,724 </w:t>
            </w:r>
          </w:p>
        </w:tc>
      </w:tr>
      <w:tr w:rsidRPr="00F62B2E" w:rsidR="00820D6F" w:rsidTr="00270941" w14:paraId="12146A05" w14:textId="77777777">
        <w:trPr>
          <w:trHeight w:val="300"/>
        </w:trPr>
        <w:tc>
          <w:tcPr>
            <w:tcW w:w="3510" w:type="dxa"/>
            <w:tcBorders>
              <w:top w:val="nil"/>
              <w:left w:val="nil"/>
              <w:bottom w:val="nil"/>
              <w:right w:val="nil"/>
            </w:tcBorders>
            <w:shd w:val="clear" w:color="auto" w:fill="auto"/>
            <w:noWrap/>
            <w:hideMark/>
          </w:tcPr>
          <w:p w:rsidRPr="00820D6F" w:rsidR="00820D6F" w:rsidP="00820D6F" w:rsidRDefault="00820D6F" w14:paraId="61DDECDD" w14:textId="18A99B5C">
            <w:pPr>
              <w:spacing w:line="240" w:lineRule="auto"/>
              <w:rPr>
                <w:rFonts w:ascii="Times New Roman" w:hAnsi="Times New Roman"/>
                <w:color w:val="000000"/>
                <w:sz w:val="22"/>
                <w:szCs w:val="22"/>
              </w:rPr>
            </w:pPr>
            <w:r w:rsidRPr="00820D6F">
              <w:rPr>
                <w:rFonts w:ascii="Times New Roman" w:hAnsi="Times New Roman"/>
                <w:sz w:val="22"/>
                <w:szCs w:val="22"/>
              </w:rPr>
              <w:t xml:space="preserve"> Tennessee</w:t>
            </w:r>
          </w:p>
        </w:tc>
        <w:tc>
          <w:tcPr>
            <w:tcW w:w="2086" w:type="dxa"/>
            <w:tcBorders>
              <w:top w:val="nil"/>
              <w:left w:val="nil"/>
              <w:bottom w:val="nil"/>
              <w:right w:val="nil"/>
            </w:tcBorders>
            <w:shd w:val="clear" w:color="auto" w:fill="auto"/>
            <w:noWrap/>
            <w:hideMark/>
          </w:tcPr>
          <w:p w:rsidRPr="00820D6F" w:rsidR="00820D6F" w:rsidP="00820D6F" w:rsidRDefault="00820D6F" w14:paraId="19D4C19D" w14:textId="1E14AE1B">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5,263,790 </w:t>
            </w:r>
          </w:p>
        </w:tc>
      </w:tr>
      <w:tr w:rsidRPr="00F62B2E" w:rsidR="00820D6F" w:rsidTr="00270941" w14:paraId="088BAB3F" w14:textId="77777777">
        <w:trPr>
          <w:trHeight w:val="300"/>
        </w:trPr>
        <w:tc>
          <w:tcPr>
            <w:tcW w:w="3510" w:type="dxa"/>
            <w:tcBorders>
              <w:top w:val="nil"/>
              <w:left w:val="nil"/>
              <w:bottom w:val="nil"/>
              <w:right w:val="nil"/>
            </w:tcBorders>
            <w:shd w:val="clear" w:color="auto" w:fill="auto"/>
            <w:noWrap/>
            <w:hideMark/>
          </w:tcPr>
          <w:p w:rsidRPr="00820D6F" w:rsidR="00820D6F" w:rsidP="00820D6F" w:rsidRDefault="00820D6F" w14:paraId="34340E52" w14:textId="22E3300E">
            <w:pPr>
              <w:spacing w:line="240" w:lineRule="auto"/>
              <w:rPr>
                <w:rFonts w:ascii="Times New Roman" w:hAnsi="Times New Roman"/>
                <w:color w:val="000000"/>
                <w:sz w:val="22"/>
                <w:szCs w:val="22"/>
              </w:rPr>
            </w:pPr>
            <w:r w:rsidRPr="00820D6F">
              <w:rPr>
                <w:rFonts w:ascii="Times New Roman" w:hAnsi="Times New Roman"/>
                <w:sz w:val="22"/>
                <w:szCs w:val="22"/>
              </w:rPr>
              <w:t xml:space="preserve"> Indiana</w:t>
            </w:r>
          </w:p>
        </w:tc>
        <w:tc>
          <w:tcPr>
            <w:tcW w:w="2086" w:type="dxa"/>
            <w:tcBorders>
              <w:top w:val="nil"/>
              <w:left w:val="nil"/>
              <w:bottom w:val="nil"/>
              <w:right w:val="nil"/>
            </w:tcBorders>
            <w:shd w:val="clear" w:color="auto" w:fill="auto"/>
            <w:noWrap/>
            <w:hideMark/>
          </w:tcPr>
          <w:p w:rsidRPr="00820D6F" w:rsidR="00820D6F" w:rsidP="00820D6F" w:rsidRDefault="00820D6F" w14:paraId="4C1624B9" w14:textId="111F6C0A">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5,123,748 </w:t>
            </w:r>
          </w:p>
        </w:tc>
      </w:tr>
      <w:tr w:rsidRPr="00F62B2E" w:rsidR="00820D6F" w:rsidTr="00270941" w14:paraId="12FE6A44" w14:textId="77777777">
        <w:trPr>
          <w:trHeight w:val="300"/>
        </w:trPr>
        <w:tc>
          <w:tcPr>
            <w:tcW w:w="3510" w:type="dxa"/>
            <w:tcBorders>
              <w:top w:val="nil"/>
              <w:left w:val="nil"/>
              <w:bottom w:val="nil"/>
              <w:right w:val="nil"/>
            </w:tcBorders>
            <w:shd w:val="clear" w:color="auto" w:fill="auto"/>
            <w:noWrap/>
            <w:hideMark/>
          </w:tcPr>
          <w:p w:rsidRPr="00820D6F" w:rsidR="00820D6F" w:rsidP="00820D6F" w:rsidRDefault="00820D6F" w14:paraId="713541C9" w14:textId="43785F3E">
            <w:pPr>
              <w:spacing w:line="240" w:lineRule="auto"/>
              <w:rPr>
                <w:rFonts w:ascii="Times New Roman" w:hAnsi="Times New Roman"/>
                <w:color w:val="000000"/>
                <w:sz w:val="22"/>
                <w:szCs w:val="22"/>
              </w:rPr>
            </w:pPr>
            <w:r w:rsidRPr="00820D6F">
              <w:rPr>
                <w:rFonts w:ascii="Times New Roman" w:hAnsi="Times New Roman"/>
                <w:sz w:val="22"/>
                <w:szCs w:val="22"/>
              </w:rPr>
              <w:t xml:space="preserve"> Louisiana</w:t>
            </w:r>
          </w:p>
        </w:tc>
        <w:tc>
          <w:tcPr>
            <w:tcW w:w="2086" w:type="dxa"/>
            <w:tcBorders>
              <w:top w:val="nil"/>
              <w:left w:val="nil"/>
              <w:bottom w:val="nil"/>
              <w:right w:val="nil"/>
            </w:tcBorders>
            <w:shd w:val="clear" w:color="auto" w:fill="auto"/>
            <w:noWrap/>
            <w:hideMark/>
          </w:tcPr>
          <w:p w:rsidRPr="00820D6F" w:rsidR="00820D6F" w:rsidP="00820D6F" w:rsidRDefault="00820D6F" w14:paraId="2329BB2D" w14:textId="72F2BA2A">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3,564,062 </w:t>
            </w:r>
          </w:p>
        </w:tc>
      </w:tr>
      <w:tr w:rsidRPr="00F62B2E" w:rsidR="00820D6F" w:rsidTr="00270941" w14:paraId="3B2B8050" w14:textId="77777777">
        <w:trPr>
          <w:trHeight w:val="300"/>
        </w:trPr>
        <w:tc>
          <w:tcPr>
            <w:tcW w:w="3510" w:type="dxa"/>
            <w:tcBorders>
              <w:top w:val="nil"/>
              <w:left w:val="nil"/>
              <w:bottom w:val="nil"/>
              <w:right w:val="nil"/>
            </w:tcBorders>
            <w:shd w:val="clear" w:color="auto" w:fill="auto"/>
            <w:noWrap/>
            <w:hideMark/>
          </w:tcPr>
          <w:p w:rsidRPr="00820D6F" w:rsidR="00820D6F" w:rsidP="00820D6F" w:rsidRDefault="00820D6F" w14:paraId="0A004075" w14:textId="0490F301">
            <w:pPr>
              <w:spacing w:line="240" w:lineRule="auto"/>
              <w:rPr>
                <w:rFonts w:ascii="Times New Roman" w:hAnsi="Times New Roman"/>
                <w:color w:val="000000"/>
                <w:sz w:val="22"/>
                <w:szCs w:val="22"/>
              </w:rPr>
            </w:pPr>
            <w:r w:rsidRPr="00820D6F">
              <w:rPr>
                <w:rFonts w:ascii="Times New Roman" w:hAnsi="Times New Roman"/>
                <w:sz w:val="22"/>
                <w:szCs w:val="22"/>
              </w:rPr>
              <w:t xml:space="preserve"> Nevada</w:t>
            </w:r>
          </w:p>
        </w:tc>
        <w:tc>
          <w:tcPr>
            <w:tcW w:w="2086" w:type="dxa"/>
            <w:tcBorders>
              <w:top w:val="nil"/>
              <w:left w:val="nil"/>
              <w:bottom w:val="nil"/>
              <w:right w:val="nil"/>
            </w:tcBorders>
            <w:shd w:val="clear" w:color="auto" w:fill="auto"/>
            <w:noWrap/>
            <w:hideMark/>
          </w:tcPr>
          <w:p w:rsidRPr="00820D6F" w:rsidR="00820D6F" w:rsidP="00820D6F" w:rsidRDefault="00820D6F" w14:paraId="46B57A8E" w14:textId="3AA5E7E9">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2,345,395 </w:t>
            </w:r>
          </w:p>
        </w:tc>
      </w:tr>
      <w:tr w:rsidRPr="00F62B2E" w:rsidR="00820D6F" w:rsidTr="00270941" w14:paraId="6650879A" w14:textId="77777777">
        <w:trPr>
          <w:trHeight w:val="300"/>
        </w:trPr>
        <w:tc>
          <w:tcPr>
            <w:tcW w:w="3510" w:type="dxa"/>
            <w:tcBorders>
              <w:top w:val="nil"/>
              <w:left w:val="nil"/>
              <w:bottom w:val="nil"/>
              <w:right w:val="nil"/>
            </w:tcBorders>
            <w:shd w:val="clear" w:color="auto" w:fill="auto"/>
            <w:noWrap/>
            <w:hideMark/>
          </w:tcPr>
          <w:p w:rsidRPr="00820D6F" w:rsidR="00820D6F" w:rsidP="00820D6F" w:rsidRDefault="00820D6F" w14:paraId="0EE65807" w14:textId="7378D88D">
            <w:pPr>
              <w:spacing w:line="240" w:lineRule="auto"/>
              <w:rPr>
                <w:rFonts w:ascii="Times New Roman" w:hAnsi="Times New Roman"/>
                <w:color w:val="000000"/>
                <w:sz w:val="22"/>
                <w:szCs w:val="22"/>
              </w:rPr>
            </w:pPr>
            <w:r w:rsidRPr="00820D6F">
              <w:rPr>
                <w:rFonts w:ascii="Times New Roman" w:hAnsi="Times New Roman"/>
                <w:sz w:val="22"/>
                <w:szCs w:val="22"/>
              </w:rPr>
              <w:t xml:space="preserve"> Mississippi</w:t>
            </w:r>
          </w:p>
        </w:tc>
        <w:tc>
          <w:tcPr>
            <w:tcW w:w="2086" w:type="dxa"/>
            <w:tcBorders>
              <w:top w:val="nil"/>
              <w:left w:val="nil"/>
              <w:bottom w:val="nil"/>
              <w:right w:val="nil"/>
            </w:tcBorders>
            <w:shd w:val="clear" w:color="auto" w:fill="auto"/>
            <w:noWrap/>
            <w:hideMark/>
          </w:tcPr>
          <w:p w:rsidRPr="00820D6F" w:rsidR="00820D6F" w:rsidP="00820D6F" w:rsidRDefault="00820D6F" w14:paraId="35CBCBA7" w14:textId="10E25B00">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2,280,389 </w:t>
            </w:r>
          </w:p>
        </w:tc>
      </w:tr>
      <w:tr w:rsidRPr="00F62B2E" w:rsidR="00820D6F" w:rsidTr="00270941" w14:paraId="466BF875" w14:textId="77777777">
        <w:trPr>
          <w:trHeight w:val="300"/>
        </w:trPr>
        <w:tc>
          <w:tcPr>
            <w:tcW w:w="3510" w:type="dxa"/>
            <w:tcBorders>
              <w:top w:val="nil"/>
              <w:left w:val="nil"/>
              <w:bottom w:val="nil"/>
              <w:right w:val="nil"/>
            </w:tcBorders>
            <w:shd w:val="clear" w:color="auto" w:fill="auto"/>
            <w:noWrap/>
            <w:hideMark/>
          </w:tcPr>
          <w:p w:rsidRPr="00820D6F" w:rsidR="00820D6F" w:rsidP="00820D6F" w:rsidRDefault="00820D6F" w14:paraId="3A6F1927" w14:textId="1633889D">
            <w:pPr>
              <w:spacing w:line="240" w:lineRule="auto"/>
              <w:rPr>
                <w:rFonts w:ascii="Times New Roman" w:hAnsi="Times New Roman"/>
                <w:color w:val="000000"/>
                <w:sz w:val="22"/>
                <w:szCs w:val="22"/>
              </w:rPr>
            </w:pPr>
            <w:r w:rsidRPr="00820D6F">
              <w:rPr>
                <w:rFonts w:ascii="Times New Roman" w:hAnsi="Times New Roman"/>
                <w:sz w:val="22"/>
                <w:szCs w:val="22"/>
              </w:rPr>
              <w:t xml:space="preserve"> West Virginia</w:t>
            </w:r>
          </w:p>
        </w:tc>
        <w:tc>
          <w:tcPr>
            <w:tcW w:w="2086" w:type="dxa"/>
            <w:tcBorders>
              <w:top w:val="nil"/>
              <w:left w:val="nil"/>
              <w:bottom w:val="nil"/>
              <w:right w:val="nil"/>
            </w:tcBorders>
            <w:shd w:val="clear" w:color="auto" w:fill="auto"/>
            <w:noWrap/>
            <w:hideMark/>
          </w:tcPr>
          <w:p w:rsidRPr="00820D6F" w:rsidR="00820D6F" w:rsidP="00820D6F" w:rsidRDefault="00820D6F" w14:paraId="5324D0D2" w14:textId="4CD6E9D3">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1,441,672 </w:t>
            </w:r>
          </w:p>
        </w:tc>
      </w:tr>
      <w:tr w:rsidRPr="00F62B2E" w:rsidR="00820D6F" w:rsidTr="00270941" w14:paraId="42FACAAB" w14:textId="77777777">
        <w:trPr>
          <w:trHeight w:val="300"/>
        </w:trPr>
        <w:tc>
          <w:tcPr>
            <w:tcW w:w="3510" w:type="dxa"/>
            <w:tcBorders>
              <w:top w:val="nil"/>
              <w:left w:val="nil"/>
              <w:bottom w:val="nil"/>
              <w:right w:val="nil"/>
            </w:tcBorders>
            <w:shd w:val="clear" w:color="auto" w:fill="auto"/>
            <w:noWrap/>
            <w:hideMark/>
          </w:tcPr>
          <w:p w:rsidRPr="00820D6F" w:rsidR="00820D6F" w:rsidP="00820D6F" w:rsidRDefault="00820D6F" w14:paraId="3727771F" w14:textId="6D0997B7">
            <w:pPr>
              <w:spacing w:line="240" w:lineRule="auto"/>
              <w:rPr>
                <w:rFonts w:ascii="Times New Roman" w:hAnsi="Times New Roman"/>
                <w:color w:val="000000"/>
                <w:sz w:val="22"/>
                <w:szCs w:val="22"/>
              </w:rPr>
            </w:pPr>
            <w:r w:rsidRPr="00820D6F">
              <w:rPr>
                <w:rFonts w:ascii="Times New Roman" w:hAnsi="Times New Roman"/>
                <w:sz w:val="22"/>
                <w:szCs w:val="22"/>
              </w:rPr>
              <w:t xml:space="preserve"> New Hampshire</w:t>
            </w:r>
          </w:p>
        </w:tc>
        <w:tc>
          <w:tcPr>
            <w:tcW w:w="2086" w:type="dxa"/>
            <w:tcBorders>
              <w:top w:val="nil"/>
              <w:left w:val="nil"/>
              <w:bottom w:val="nil"/>
              <w:right w:val="nil"/>
            </w:tcBorders>
            <w:shd w:val="clear" w:color="auto" w:fill="auto"/>
            <w:noWrap/>
            <w:hideMark/>
          </w:tcPr>
          <w:p w:rsidRPr="00820D6F" w:rsidR="00820D6F" w:rsidP="00820D6F" w:rsidRDefault="00820D6F" w14:paraId="0011B935" w14:textId="4FE9F876">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1,098,288 </w:t>
            </w:r>
          </w:p>
        </w:tc>
      </w:tr>
      <w:tr w:rsidRPr="00F62B2E" w:rsidR="00820D6F" w:rsidTr="00270941" w14:paraId="436EC3F6" w14:textId="77777777">
        <w:trPr>
          <w:trHeight w:val="300"/>
        </w:trPr>
        <w:tc>
          <w:tcPr>
            <w:tcW w:w="3510" w:type="dxa"/>
            <w:tcBorders>
              <w:top w:val="nil"/>
              <w:left w:val="nil"/>
              <w:bottom w:val="nil"/>
              <w:right w:val="nil"/>
            </w:tcBorders>
            <w:shd w:val="clear" w:color="auto" w:fill="auto"/>
            <w:noWrap/>
            <w:hideMark/>
          </w:tcPr>
          <w:p w:rsidRPr="00820D6F" w:rsidR="00820D6F" w:rsidP="00820D6F" w:rsidRDefault="00820D6F" w14:paraId="2A3DE69A" w14:textId="03460E62">
            <w:pPr>
              <w:spacing w:line="240" w:lineRule="auto"/>
              <w:rPr>
                <w:rFonts w:ascii="Times New Roman" w:hAnsi="Times New Roman"/>
                <w:color w:val="000000"/>
                <w:sz w:val="22"/>
                <w:szCs w:val="22"/>
              </w:rPr>
            </w:pPr>
            <w:r w:rsidRPr="00820D6F">
              <w:rPr>
                <w:rFonts w:ascii="Times New Roman" w:hAnsi="Times New Roman"/>
                <w:sz w:val="22"/>
                <w:szCs w:val="22"/>
              </w:rPr>
              <w:t xml:space="preserve"> Montana</w:t>
            </w:r>
          </w:p>
        </w:tc>
        <w:tc>
          <w:tcPr>
            <w:tcW w:w="2086" w:type="dxa"/>
            <w:tcBorders>
              <w:top w:val="nil"/>
              <w:left w:val="nil"/>
              <w:bottom w:val="nil"/>
              <w:right w:val="nil"/>
            </w:tcBorders>
            <w:shd w:val="clear" w:color="auto" w:fill="auto"/>
            <w:noWrap/>
            <w:hideMark/>
          </w:tcPr>
          <w:p w:rsidRPr="00820D6F" w:rsidR="00820D6F" w:rsidP="00820D6F" w:rsidRDefault="00820D6F" w14:paraId="23C47950" w14:textId="4056AE16">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832,871 </w:t>
            </w:r>
          </w:p>
        </w:tc>
      </w:tr>
      <w:tr w:rsidRPr="00F62B2E" w:rsidR="00820D6F" w:rsidTr="00270941" w14:paraId="3C6F799F" w14:textId="77777777">
        <w:trPr>
          <w:trHeight w:val="300"/>
        </w:trPr>
        <w:tc>
          <w:tcPr>
            <w:tcW w:w="3510" w:type="dxa"/>
            <w:tcBorders>
              <w:top w:val="nil"/>
              <w:left w:val="nil"/>
              <w:right w:val="nil"/>
            </w:tcBorders>
            <w:shd w:val="clear" w:color="auto" w:fill="auto"/>
            <w:noWrap/>
            <w:hideMark/>
          </w:tcPr>
          <w:p w:rsidRPr="00820D6F" w:rsidR="00820D6F" w:rsidP="00820D6F" w:rsidRDefault="00820D6F" w14:paraId="0B607C4D" w14:textId="2C17F484">
            <w:pPr>
              <w:spacing w:line="240" w:lineRule="auto"/>
              <w:rPr>
                <w:rFonts w:ascii="Times New Roman" w:hAnsi="Times New Roman"/>
                <w:color w:val="000000"/>
                <w:sz w:val="22"/>
                <w:szCs w:val="22"/>
              </w:rPr>
            </w:pPr>
            <w:r w:rsidRPr="00820D6F">
              <w:rPr>
                <w:rFonts w:ascii="Times New Roman" w:hAnsi="Times New Roman"/>
                <w:sz w:val="22"/>
                <w:szCs w:val="22"/>
              </w:rPr>
              <w:t xml:space="preserve"> Delaware</w:t>
            </w:r>
          </w:p>
        </w:tc>
        <w:tc>
          <w:tcPr>
            <w:tcW w:w="2086" w:type="dxa"/>
            <w:tcBorders>
              <w:top w:val="nil"/>
              <w:left w:val="nil"/>
              <w:right w:val="nil"/>
            </w:tcBorders>
            <w:shd w:val="clear" w:color="auto" w:fill="auto"/>
            <w:noWrap/>
            <w:hideMark/>
          </w:tcPr>
          <w:p w:rsidRPr="00820D6F" w:rsidR="00820D6F" w:rsidP="00820D6F" w:rsidRDefault="00820D6F" w14:paraId="0F8D57D7" w14:textId="24A273AA">
            <w:pPr>
              <w:spacing w:line="240" w:lineRule="auto"/>
              <w:jc w:val="right"/>
              <w:rPr>
                <w:rFonts w:ascii="Times New Roman" w:hAnsi="Times New Roman"/>
                <w:color w:val="000000"/>
                <w:sz w:val="22"/>
                <w:szCs w:val="22"/>
                <w:lang w:eastAsia="ko-KR"/>
              </w:rPr>
            </w:pPr>
            <w:r w:rsidRPr="00820D6F">
              <w:rPr>
                <w:rFonts w:ascii="Times New Roman" w:hAnsi="Times New Roman"/>
                <w:sz w:val="22"/>
                <w:szCs w:val="22"/>
              </w:rPr>
              <w:t xml:space="preserve"> 763,555 </w:t>
            </w:r>
          </w:p>
        </w:tc>
      </w:tr>
      <w:tr w:rsidRPr="00F62B2E" w:rsidR="00F62B2E" w:rsidTr="00917F4D" w14:paraId="06E41370" w14:textId="77777777">
        <w:trPr>
          <w:trHeight w:val="300"/>
        </w:trPr>
        <w:tc>
          <w:tcPr>
            <w:tcW w:w="3510" w:type="dxa"/>
            <w:tcBorders>
              <w:top w:val="nil"/>
              <w:left w:val="nil"/>
              <w:bottom w:val="nil"/>
              <w:right w:val="nil"/>
            </w:tcBorders>
            <w:shd w:val="clear" w:color="auto" w:fill="auto"/>
            <w:noWrap/>
          </w:tcPr>
          <w:p w:rsidRPr="00217925" w:rsidR="00F62B2E" w:rsidP="00917F4D" w:rsidRDefault="00F62B2E" w14:paraId="06599382" w14:textId="0AD18B7E">
            <w:pPr>
              <w:spacing w:line="240" w:lineRule="auto"/>
              <w:rPr>
                <w:rFonts w:ascii="Times New Roman" w:hAnsi="Times New Roman"/>
                <w:color w:val="000000"/>
                <w:sz w:val="22"/>
                <w:szCs w:val="22"/>
                <w:lang w:eastAsia="ko-KR"/>
              </w:rPr>
            </w:pPr>
            <w:r w:rsidRPr="00217925">
              <w:rPr>
                <w:rFonts w:ascii="Times New Roman" w:hAnsi="Times New Roman"/>
                <w:color w:val="000000"/>
                <w:sz w:val="22"/>
                <w:szCs w:val="22"/>
                <w:lang w:eastAsia="ko-KR"/>
              </w:rPr>
              <w:t>Total (</w:t>
            </w:r>
            <w:r w:rsidR="00917F4D">
              <w:rPr>
                <w:rFonts w:ascii="Times New Roman" w:hAnsi="Times New Roman"/>
                <w:color w:val="000000"/>
                <w:sz w:val="22"/>
                <w:szCs w:val="22"/>
                <w:lang w:eastAsia="ko-KR"/>
              </w:rPr>
              <w:t>43</w:t>
            </w:r>
            <w:r w:rsidRPr="00217925">
              <w:rPr>
                <w:rFonts w:ascii="Times New Roman" w:hAnsi="Times New Roman"/>
                <w:color w:val="000000"/>
                <w:sz w:val="22"/>
                <w:szCs w:val="22"/>
                <w:lang w:eastAsia="ko-KR"/>
              </w:rPr>
              <w:t>% of U.S. 18+ Population)</w:t>
            </w:r>
          </w:p>
        </w:tc>
        <w:tc>
          <w:tcPr>
            <w:tcW w:w="2086" w:type="dxa"/>
            <w:tcBorders>
              <w:top w:val="nil"/>
              <w:left w:val="nil"/>
              <w:bottom w:val="nil"/>
              <w:right w:val="nil"/>
            </w:tcBorders>
            <w:shd w:val="clear" w:color="auto" w:fill="auto"/>
            <w:noWrap/>
          </w:tcPr>
          <w:p w:rsidRPr="00217925" w:rsidR="00F62B2E" w:rsidP="00820D6F" w:rsidRDefault="00917F4D" w14:paraId="357C916F" w14:textId="6422B1FA">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lang w:eastAsia="ko-KR"/>
              </w:rPr>
              <w:t>10</w:t>
            </w:r>
            <w:r w:rsidR="00820D6F">
              <w:rPr>
                <w:rFonts w:ascii="Times New Roman" w:hAnsi="Times New Roman"/>
                <w:color w:val="000000"/>
                <w:sz w:val="22"/>
                <w:szCs w:val="22"/>
                <w:lang w:eastAsia="ko-KR"/>
              </w:rPr>
              <w:t>8</w:t>
            </w:r>
            <w:r>
              <w:rPr>
                <w:rFonts w:ascii="Times New Roman" w:hAnsi="Times New Roman"/>
                <w:color w:val="000000"/>
                <w:sz w:val="22"/>
                <w:szCs w:val="22"/>
                <w:lang w:eastAsia="ko-KR"/>
              </w:rPr>
              <w:t>,</w:t>
            </w:r>
            <w:r w:rsidR="00820D6F">
              <w:rPr>
                <w:rFonts w:ascii="Times New Roman" w:hAnsi="Times New Roman"/>
                <w:color w:val="000000"/>
                <w:sz w:val="22"/>
                <w:szCs w:val="22"/>
                <w:lang w:eastAsia="ko-KR"/>
              </w:rPr>
              <w:t>764</w:t>
            </w:r>
            <w:r>
              <w:rPr>
                <w:rFonts w:ascii="Times New Roman" w:hAnsi="Times New Roman"/>
                <w:color w:val="000000"/>
                <w:sz w:val="22"/>
                <w:szCs w:val="22"/>
                <w:lang w:eastAsia="ko-KR"/>
              </w:rPr>
              <w:t>,</w:t>
            </w:r>
            <w:r w:rsidR="00820D6F">
              <w:rPr>
                <w:rFonts w:ascii="Times New Roman" w:hAnsi="Times New Roman"/>
                <w:color w:val="000000"/>
                <w:sz w:val="22"/>
                <w:szCs w:val="22"/>
                <w:lang w:eastAsia="ko-KR"/>
              </w:rPr>
              <w:t>691</w:t>
            </w:r>
          </w:p>
        </w:tc>
      </w:tr>
      <w:tr w:rsidRPr="00F62B2E" w:rsidR="00131F31" w:rsidTr="00AF6657" w14:paraId="0D28D73B" w14:textId="77777777">
        <w:trPr>
          <w:trHeight w:val="300"/>
        </w:trPr>
        <w:tc>
          <w:tcPr>
            <w:tcW w:w="5596" w:type="dxa"/>
            <w:gridSpan w:val="2"/>
            <w:tcBorders>
              <w:top w:val="nil"/>
              <w:left w:val="nil"/>
              <w:bottom w:val="single" w:color="auto" w:sz="4" w:space="0"/>
              <w:right w:val="nil"/>
            </w:tcBorders>
            <w:shd w:val="clear" w:color="auto" w:fill="auto"/>
            <w:noWrap/>
          </w:tcPr>
          <w:p w:rsidRPr="00217925" w:rsidR="00131F31" w:rsidDel="00506D2D" w:rsidP="00131F31" w:rsidRDefault="00131F31" w14:paraId="598CE48D" w14:textId="3FB0D93C">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 xml:space="preserve">Source: </w:t>
            </w:r>
            <w:r w:rsidR="00820D6F">
              <w:rPr>
                <w:rFonts w:ascii="Times New Roman" w:hAnsi="Times New Roman"/>
                <w:color w:val="000000"/>
                <w:sz w:val="22"/>
                <w:szCs w:val="22"/>
                <w:lang w:eastAsia="ko-KR"/>
              </w:rPr>
              <w:t xml:space="preserve">U.S. Census Bureau, Population Division. Table 1. </w:t>
            </w:r>
            <w:r w:rsidRPr="00820D6F" w:rsidR="00820D6F">
              <w:rPr>
                <w:rFonts w:ascii="Times New Roman" w:hAnsi="Times New Roman"/>
                <w:color w:val="000000"/>
                <w:sz w:val="22"/>
                <w:szCs w:val="22"/>
                <w:lang w:eastAsia="ko-KR"/>
              </w:rPr>
              <w:t>Annual Estimates of the Resident Population for Selected Age Groups by Sex for the United States, States, Counties and Puerto Rico Commonwealth and Municipios: April 1, 2010 to July 1, 2018</w:t>
            </w:r>
          </w:p>
        </w:tc>
      </w:tr>
    </w:tbl>
    <w:p w:rsidR="00FB708D" w:rsidP="00580A55" w:rsidRDefault="00FB708D" w14:paraId="3A0BC982" w14:textId="7470F3A8">
      <w:pPr>
        <w:pStyle w:val="L1-FlLSp12"/>
        <w:spacing w:line="276" w:lineRule="auto"/>
        <w:rPr>
          <w:rFonts w:ascii="Times New Roman" w:hAnsi="Times New Roman"/>
        </w:rPr>
      </w:pPr>
    </w:p>
    <w:p w:rsidR="00FB708D" w:rsidRDefault="00FB708D" w14:paraId="2C40639A" w14:textId="77777777">
      <w:pPr>
        <w:spacing w:after="200" w:line="276" w:lineRule="auto"/>
        <w:rPr>
          <w:rFonts w:ascii="Times New Roman" w:hAnsi="Times New Roman"/>
        </w:rPr>
      </w:pPr>
      <w:r>
        <w:rPr>
          <w:rFonts w:ascii="Times New Roman" w:hAnsi="Times New Roman"/>
        </w:rPr>
        <w:br w:type="page"/>
      </w:r>
    </w:p>
    <w:p w:rsidR="00217925" w:rsidP="00217925" w:rsidRDefault="00217925" w14:paraId="3D369897" w14:textId="1282FF26">
      <w:pPr>
        <w:pStyle w:val="L1-FlLSp12"/>
        <w:spacing w:line="276" w:lineRule="auto"/>
        <w:rPr>
          <w:rFonts w:ascii="Times New Roman" w:hAnsi="Times New Roman"/>
        </w:rPr>
      </w:pPr>
      <w:r>
        <w:rPr>
          <w:rFonts w:ascii="Times New Roman" w:hAnsi="Times New Roman"/>
        </w:rPr>
        <w:lastRenderedPageBreak/>
        <w:t xml:space="preserve">Table 3. Certainty </w:t>
      </w:r>
      <w:r w:rsidR="003D3E65">
        <w:rPr>
          <w:rFonts w:ascii="Times New Roman" w:hAnsi="Times New Roman"/>
        </w:rPr>
        <w:t>Counties</w:t>
      </w:r>
      <w:r>
        <w:rPr>
          <w:rFonts w:ascii="Times New Roman" w:hAnsi="Times New Roman"/>
        </w:rPr>
        <w:t xml:space="preserve"> from Class 2</w:t>
      </w:r>
      <w:r w:rsidR="003D3E65">
        <w:rPr>
          <w:rFonts w:ascii="Times New Roman" w:hAnsi="Times New Roman"/>
        </w:rPr>
        <w:t xml:space="preserve"> States</w:t>
      </w:r>
      <w:r w:rsidR="00EE4137">
        <w:rPr>
          <w:rFonts w:ascii="Times New Roman" w:hAnsi="Times New Roman"/>
        </w:rPr>
        <w:t>, by Size of Population Aged 18</w:t>
      </w:r>
      <w:r w:rsidR="007C00B4">
        <w:rPr>
          <w:rFonts w:ascii="Times New Roman" w:hAnsi="Times New Roman"/>
        </w:rPr>
        <w:t xml:space="preserve"> and Over</w:t>
      </w:r>
      <w:r w:rsidR="00042D01">
        <w:rPr>
          <w:rFonts w:ascii="Times New Roman" w:hAnsi="Times New Roman"/>
        </w:rPr>
        <w:t>, 2018</w:t>
      </w:r>
    </w:p>
    <w:tbl>
      <w:tblPr>
        <w:tblStyle w:val="TableWestatStandardFormat"/>
        <w:tblW w:w="5787" w:type="dxa"/>
        <w:tblLook w:val="04A0" w:firstRow="1" w:lastRow="0" w:firstColumn="1" w:lastColumn="0" w:noHBand="0" w:noVBand="1"/>
      </w:tblPr>
      <w:tblGrid>
        <w:gridCol w:w="4014"/>
        <w:gridCol w:w="1773"/>
      </w:tblGrid>
      <w:tr w:rsidRPr="008D6F77" w:rsidR="00B1672E" w:rsidTr="00213305" w14:paraId="303A3542" w14:textId="77777777">
        <w:trPr>
          <w:cnfStyle w:val="100000000000" w:firstRow="1" w:lastRow="0" w:firstColumn="0" w:lastColumn="0" w:oddVBand="0" w:evenVBand="0" w:oddHBand="0" w:evenHBand="0" w:firstRowFirstColumn="0" w:firstRowLastColumn="0" w:lastRowFirstColumn="0" w:lastRowLastColumn="0"/>
          <w:trHeight w:val="368"/>
        </w:trPr>
        <w:tc>
          <w:tcPr>
            <w:tcW w:w="4014" w:type="dxa"/>
            <w:hideMark/>
          </w:tcPr>
          <w:p w:rsidRPr="008D6F77" w:rsidR="00B1672E" w:rsidP="00217925" w:rsidRDefault="00B1672E" w14:paraId="7288A4C1" w14:textId="77777777">
            <w:pPr>
              <w:spacing w:line="240" w:lineRule="auto"/>
              <w:rPr>
                <w:rFonts w:ascii="Times New Roman" w:hAnsi="Times New Roman"/>
                <w:b/>
                <w:bCs/>
                <w:color w:val="000000"/>
                <w:sz w:val="22"/>
                <w:szCs w:val="22"/>
                <w:lang w:eastAsia="ko-KR"/>
              </w:rPr>
            </w:pPr>
            <w:r w:rsidRPr="008D6F77">
              <w:rPr>
                <w:rFonts w:ascii="Times New Roman" w:hAnsi="Times New Roman"/>
                <w:b/>
                <w:bCs/>
                <w:color w:val="000000"/>
                <w:sz w:val="22"/>
                <w:szCs w:val="22"/>
                <w:lang w:eastAsia="ko-KR"/>
              </w:rPr>
              <w:t>Certainty County and State</w:t>
            </w:r>
          </w:p>
        </w:tc>
        <w:tc>
          <w:tcPr>
            <w:tcW w:w="1773" w:type="dxa"/>
            <w:hideMark/>
          </w:tcPr>
          <w:p w:rsidRPr="008D6F77" w:rsidR="00B1672E" w:rsidP="00217925" w:rsidRDefault="00B1672E" w14:paraId="5CBB54F8" w14:textId="77777777">
            <w:pPr>
              <w:spacing w:line="240" w:lineRule="auto"/>
              <w:rPr>
                <w:rFonts w:ascii="Times New Roman" w:hAnsi="Times New Roman"/>
                <w:b/>
                <w:bCs/>
                <w:color w:val="000000"/>
                <w:sz w:val="22"/>
                <w:szCs w:val="22"/>
                <w:lang w:eastAsia="ko-KR"/>
              </w:rPr>
            </w:pPr>
            <w:r w:rsidRPr="008D6F77">
              <w:rPr>
                <w:rFonts w:ascii="Times New Roman" w:hAnsi="Times New Roman"/>
                <w:b/>
                <w:bCs/>
                <w:color w:val="000000"/>
                <w:sz w:val="22"/>
                <w:szCs w:val="22"/>
                <w:lang w:eastAsia="ko-KR"/>
              </w:rPr>
              <w:t>Population 18+</w:t>
            </w:r>
          </w:p>
        </w:tc>
      </w:tr>
      <w:tr w:rsidRPr="008D6F77" w:rsidR="00BF7903" w:rsidTr="00270941" w14:paraId="077F7552" w14:textId="77777777">
        <w:trPr>
          <w:trHeight w:val="265"/>
        </w:trPr>
        <w:tc>
          <w:tcPr>
            <w:tcW w:w="4014" w:type="dxa"/>
            <w:noWrap/>
            <w:hideMark/>
          </w:tcPr>
          <w:p w:rsidRPr="00D60DFE" w:rsidR="00BF7903" w:rsidP="00BF7903" w:rsidRDefault="00BF7903" w14:paraId="4419E916" w14:textId="77777777">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Los Angeles County, CA</w:t>
            </w:r>
          </w:p>
        </w:tc>
        <w:tc>
          <w:tcPr>
            <w:tcW w:w="1773" w:type="dxa"/>
            <w:noWrap/>
          </w:tcPr>
          <w:p w:rsidRPr="00BF7903" w:rsidR="00BF7903" w:rsidP="00BF7903" w:rsidRDefault="00BF7903" w14:paraId="4688F7AE" w14:textId="6D423D06">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7,916,625</w:t>
            </w:r>
          </w:p>
        </w:tc>
      </w:tr>
      <w:tr w:rsidRPr="008D6F77" w:rsidR="00BF7903" w:rsidTr="00270941" w14:paraId="57DEF699" w14:textId="77777777">
        <w:trPr>
          <w:trHeight w:val="265"/>
        </w:trPr>
        <w:tc>
          <w:tcPr>
            <w:tcW w:w="4014" w:type="dxa"/>
            <w:noWrap/>
            <w:hideMark/>
          </w:tcPr>
          <w:p w:rsidRPr="00D60DFE" w:rsidR="00BF7903" w:rsidP="00BF7903" w:rsidRDefault="00BF7903" w14:paraId="3FC48DA0" w14:textId="77777777">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Harris County, TX</w:t>
            </w:r>
          </w:p>
        </w:tc>
        <w:tc>
          <w:tcPr>
            <w:tcW w:w="1773" w:type="dxa"/>
            <w:noWrap/>
          </w:tcPr>
          <w:p w:rsidRPr="00BF7903" w:rsidR="00BF7903" w:rsidP="00BF7903" w:rsidRDefault="00BF7903" w14:paraId="4F72AFDA" w14:textId="31937D25">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3,446,935</w:t>
            </w:r>
          </w:p>
        </w:tc>
      </w:tr>
      <w:tr w:rsidRPr="008D6F77" w:rsidR="00BF7903" w:rsidTr="00270941" w14:paraId="7A652841" w14:textId="77777777">
        <w:trPr>
          <w:trHeight w:val="265"/>
        </w:trPr>
        <w:tc>
          <w:tcPr>
            <w:tcW w:w="4014" w:type="dxa"/>
            <w:noWrap/>
            <w:hideMark/>
          </w:tcPr>
          <w:p w:rsidRPr="00D60DFE" w:rsidR="00BF7903" w:rsidP="00BF7903" w:rsidRDefault="00BF7903" w14:paraId="1FA731B6" w14:textId="77777777">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San Diego County, CA</w:t>
            </w:r>
          </w:p>
        </w:tc>
        <w:tc>
          <w:tcPr>
            <w:tcW w:w="1773" w:type="dxa"/>
            <w:noWrap/>
          </w:tcPr>
          <w:p w:rsidRPr="00BF7903" w:rsidR="00BF7903" w:rsidP="00BF7903" w:rsidRDefault="00BF7903" w14:paraId="436180BD" w14:textId="3BD5349E">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2,620,956</w:t>
            </w:r>
          </w:p>
        </w:tc>
      </w:tr>
      <w:tr w:rsidRPr="008D6F77" w:rsidR="00BF7903" w:rsidTr="00270941" w14:paraId="10CD887B" w14:textId="77777777">
        <w:trPr>
          <w:trHeight w:val="265"/>
        </w:trPr>
        <w:tc>
          <w:tcPr>
            <w:tcW w:w="4014" w:type="dxa"/>
            <w:noWrap/>
            <w:hideMark/>
          </w:tcPr>
          <w:p w:rsidRPr="00D60DFE" w:rsidR="00BF7903" w:rsidP="00BF7903" w:rsidRDefault="00BF7903" w14:paraId="15C6308A" w14:textId="77777777">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Orange County, CA</w:t>
            </w:r>
          </w:p>
        </w:tc>
        <w:tc>
          <w:tcPr>
            <w:tcW w:w="1773" w:type="dxa"/>
            <w:noWrap/>
          </w:tcPr>
          <w:p w:rsidRPr="00BF7903" w:rsidR="00BF7903" w:rsidP="00BF7903" w:rsidRDefault="00BF7903" w14:paraId="25E111E5" w14:textId="10855378">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2,487,180</w:t>
            </w:r>
          </w:p>
        </w:tc>
      </w:tr>
      <w:tr w:rsidRPr="008D6F77" w:rsidR="00BF7903" w:rsidTr="00270941" w14:paraId="35CFF2C3" w14:textId="77777777">
        <w:trPr>
          <w:trHeight w:val="265"/>
        </w:trPr>
        <w:tc>
          <w:tcPr>
            <w:tcW w:w="4014" w:type="dxa"/>
            <w:noWrap/>
            <w:hideMark/>
          </w:tcPr>
          <w:p w:rsidRPr="00D60DFE" w:rsidR="00BF7903" w:rsidP="00BF7903" w:rsidRDefault="00BF7903" w14:paraId="37F98537" w14:textId="77777777">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Miami-Dade County, FL</w:t>
            </w:r>
          </w:p>
        </w:tc>
        <w:tc>
          <w:tcPr>
            <w:tcW w:w="1773" w:type="dxa"/>
            <w:noWrap/>
          </w:tcPr>
          <w:p w:rsidRPr="00BF7903" w:rsidR="00BF7903" w:rsidP="00BF7903" w:rsidRDefault="00BF7903" w14:paraId="7731FF47" w14:textId="57AE3C01">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2,203,331</w:t>
            </w:r>
          </w:p>
        </w:tc>
      </w:tr>
      <w:tr w:rsidRPr="008D6F77" w:rsidR="00BF7903" w:rsidTr="00270941" w14:paraId="61526E61" w14:textId="77777777">
        <w:trPr>
          <w:trHeight w:val="265"/>
        </w:trPr>
        <w:tc>
          <w:tcPr>
            <w:tcW w:w="4014" w:type="dxa"/>
            <w:noWrap/>
            <w:hideMark/>
          </w:tcPr>
          <w:p w:rsidRPr="00D60DFE" w:rsidR="00BF7903" w:rsidP="00BF7903" w:rsidRDefault="00BF7903" w14:paraId="05A102E7" w14:textId="77777777">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Dallas County, TX</w:t>
            </w:r>
          </w:p>
        </w:tc>
        <w:tc>
          <w:tcPr>
            <w:tcW w:w="1773" w:type="dxa"/>
            <w:noWrap/>
          </w:tcPr>
          <w:p w:rsidRPr="00BF7903" w:rsidR="00BF7903" w:rsidP="00BF7903" w:rsidRDefault="00BF7903" w14:paraId="486DBC6A" w14:textId="19EF83B0">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1,948,080</w:t>
            </w:r>
          </w:p>
        </w:tc>
      </w:tr>
      <w:tr w:rsidRPr="008D6F77" w:rsidR="00BF7903" w:rsidTr="00270941" w14:paraId="3FFE5119" w14:textId="77777777">
        <w:trPr>
          <w:trHeight w:val="265"/>
        </w:trPr>
        <w:tc>
          <w:tcPr>
            <w:tcW w:w="4014" w:type="dxa"/>
            <w:noWrap/>
            <w:hideMark/>
          </w:tcPr>
          <w:p w:rsidRPr="00D60DFE" w:rsidR="00BF7903" w:rsidP="00BF7903" w:rsidRDefault="00BF7903" w14:paraId="32615B54" w14:textId="77777777">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Riverside County, CA</w:t>
            </w:r>
          </w:p>
        </w:tc>
        <w:tc>
          <w:tcPr>
            <w:tcW w:w="1773" w:type="dxa"/>
            <w:noWrap/>
          </w:tcPr>
          <w:p w:rsidRPr="00BF7903" w:rsidR="00BF7903" w:rsidP="00BF7903" w:rsidRDefault="00BF7903" w14:paraId="0933AA4D" w14:textId="3432E72E">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1,834,632</w:t>
            </w:r>
          </w:p>
        </w:tc>
      </w:tr>
      <w:tr w:rsidRPr="008D6F77" w:rsidR="00BF7903" w:rsidTr="00270941" w14:paraId="5F28A9B4" w14:textId="77777777">
        <w:trPr>
          <w:trHeight w:val="265"/>
        </w:trPr>
        <w:tc>
          <w:tcPr>
            <w:tcW w:w="4014" w:type="dxa"/>
            <w:noWrap/>
            <w:hideMark/>
          </w:tcPr>
          <w:p w:rsidRPr="00D60DFE" w:rsidR="00BF7903" w:rsidP="00BF7903" w:rsidRDefault="00BF7903" w14:paraId="1A79F3B7" w14:textId="77777777">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Clark County, NV</w:t>
            </w:r>
          </w:p>
        </w:tc>
        <w:tc>
          <w:tcPr>
            <w:tcW w:w="1773" w:type="dxa"/>
            <w:noWrap/>
          </w:tcPr>
          <w:p w:rsidRPr="00BF7903" w:rsidR="00BF7903" w:rsidP="00BF7903" w:rsidRDefault="00BF7903" w14:paraId="103FEBBE" w14:textId="464CB731">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1,714,018</w:t>
            </w:r>
          </w:p>
        </w:tc>
      </w:tr>
      <w:tr w:rsidRPr="008D6F77" w:rsidR="00BF7903" w:rsidTr="00270941" w14:paraId="43B84163" w14:textId="77777777">
        <w:trPr>
          <w:trHeight w:val="265"/>
        </w:trPr>
        <w:tc>
          <w:tcPr>
            <w:tcW w:w="4014" w:type="dxa"/>
            <w:noWrap/>
            <w:hideMark/>
          </w:tcPr>
          <w:p w:rsidRPr="00D60DFE" w:rsidR="00BF7903" w:rsidP="00BF7903" w:rsidRDefault="00BF7903" w14:paraId="36033E3A" w14:textId="77777777">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San Bernardino County, CA</w:t>
            </w:r>
          </w:p>
        </w:tc>
        <w:tc>
          <w:tcPr>
            <w:tcW w:w="1773" w:type="dxa"/>
            <w:noWrap/>
          </w:tcPr>
          <w:p w:rsidRPr="00BF7903" w:rsidR="00BF7903" w:rsidP="00BF7903" w:rsidRDefault="00BF7903" w14:paraId="2FE55974" w14:textId="4F00E249">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1,599,325</w:t>
            </w:r>
          </w:p>
        </w:tc>
      </w:tr>
      <w:tr w:rsidRPr="008D6F77" w:rsidR="00BF7903" w:rsidTr="00270941" w14:paraId="658CB784" w14:textId="77777777">
        <w:trPr>
          <w:trHeight w:val="265"/>
        </w:trPr>
        <w:tc>
          <w:tcPr>
            <w:tcW w:w="4014" w:type="dxa"/>
            <w:noWrap/>
            <w:hideMark/>
          </w:tcPr>
          <w:p w:rsidRPr="00D60DFE" w:rsidR="00BF7903" w:rsidP="00BF7903" w:rsidRDefault="00BF7903" w14:paraId="0EB14025" w14:textId="77777777">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Broward County, FL</w:t>
            </w:r>
          </w:p>
        </w:tc>
        <w:tc>
          <w:tcPr>
            <w:tcW w:w="1773" w:type="dxa"/>
            <w:noWrap/>
          </w:tcPr>
          <w:p w:rsidRPr="00BF7903" w:rsidR="00BF7903" w:rsidP="00BF7903" w:rsidRDefault="00BF7903" w14:paraId="4BF40918" w14:textId="4666392E">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1,538,471</w:t>
            </w:r>
          </w:p>
        </w:tc>
      </w:tr>
      <w:tr w:rsidRPr="008D6F77" w:rsidR="00BF7903" w:rsidTr="00270941" w14:paraId="38EF099A" w14:textId="77777777">
        <w:trPr>
          <w:trHeight w:val="265"/>
        </w:trPr>
        <w:tc>
          <w:tcPr>
            <w:tcW w:w="4014" w:type="dxa"/>
            <w:noWrap/>
          </w:tcPr>
          <w:p w:rsidRPr="00D60DFE" w:rsidR="00BF7903" w:rsidP="00BF7903" w:rsidRDefault="00BF7903" w14:paraId="7FD7C057" w14:textId="68D8A724">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Tarrant County, TX</w:t>
            </w:r>
          </w:p>
        </w:tc>
        <w:tc>
          <w:tcPr>
            <w:tcW w:w="1773" w:type="dxa"/>
            <w:noWrap/>
          </w:tcPr>
          <w:p w:rsidRPr="00BF7903" w:rsidR="00BF7903" w:rsidP="00BF7903" w:rsidRDefault="00BF7903" w14:paraId="12FAC1F2" w14:textId="26F62195">
            <w:pPr>
              <w:spacing w:line="240" w:lineRule="auto"/>
              <w:jc w:val="right"/>
              <w:rPr>
                <w:rFonts w:ascii="Times New Roman" w:hAnsi="Times New Roman"/>
                <w:color w:val="000000"/>
                <w:sz w:val="22"/>
                <w:szCs w:val="22"/>
              </w:rPr>
            </w:pPr>
            <w:r w:rsidRPr="00BF7903">
              <w:rPr>
                <w:rFonts w:ascii="Times New Roman" w:hAnsi="Times New Roman"/>
                <w:sz w:val="22"/>
                <w:szCs w:val="22"/>
              </w:rPr>
              <w:t>1,535,868</w:t>
            </w:r>
          </w:p>
        </w:tc>
      </w:tr>
      <w:tr w:rsidRPr="008D6F77" w:rsidR="00BF7903" w:rsidTr="00270941" w14:paraId="0FF81AA7" w14:textId="77777777">
        <w:trPr>
          <w:trHeight w:val="265"/>
        </w:trPr>
        <w:tc>
          <w:tcPr>
            <w:tcW w:w="4014" w:type="dxa"/>
            <w:noWrap/>
            <w:hideMark/>
          </w:tcPr>
          <w:p w:rsidRPr="00D60DFE" w:rsidR="00BF7903" w:rsidP="00BF7903" w:rsidRDefault="00BF7903" w14:paraId="56B836AB" w14:textId="77777777">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Santa Clara County, CA</w:t>
            </w:r>
          </w:p>
        </w:tc>
        <w:tc>
          <w:tcPr>
            <w:tcW w:w="1773" w:type="dxa"/>
            <w:noWrap/>
          </w:tcPr>
          <w:p w:rsidRPr="00BF7903" w:rsidR="00BF7903" w:rsidP="00BF7903" w:rsidRDefault="00BF7903" w14:paraId="741620E0" w14:textId="1B138B7A">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1,513,143</w:t>
            </w:r>
          </w:p>
        </w:tc>
      </w:tr>
      <w:tr w:rsidRPr="008D6F77" w:rsidR="00BF7903" w:rsidTr="00270941" w14:paraId="46CFB79A" w14:textId="77777777">
        <w:trPr>
          <w:trHeight w:val="265"/>
        </w:trPr>
        <w:tc>
          <w:tcPr>
            <w:tcW w:w="4014" w:type="dxa"/>
            <w:noWrap/>
          </w:tcPr>
          <w:p w:rsidRPr="00D60DFE" w:rsidR="00BF7903" w:rsidP="00BF7903" w:rsidRDefault="00BF7903" w14:paraId="62692CAD" w14:textId="22530D3A">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Bexar County, TX</w:t>
            </w:r>
          </w:p>
        </w:tc>
        <w:tc>
          <w:tcPr>
            <w:tcW w:w="1773" w:type="dxa"/>
            <w:noWrap/>
          </w:tcPr>
          <w:p w:rsidRPr="00BF7903" w:rsidR="00BF7903" w:rsidP="00BF7903" w:rsidRDefault="00BF7903" w14:paraId="7962B814" w14:textId="75CD9CF3">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1,478,380</w:t>
            </w:r>
          </w:p>
        </w:tc>
      </w:tr>
      <w:tr w:rsidRPr="008D6F77" w:rsidR="00BF7903" w:rsidTr="00270941" w14:paraId="16FB6A11" w14:textId="77777777">
        <w:trPr>
          <w:trHeight w:val="265"/>
        </w:trPr>
        <w:tc>
          <w:tcPr>
            <w:tcW w:w="4014" w:type="dxa"/>
            <w:noWrap/>
          </w:tcPr>
          <w:p w:rsidRPr="00D60DFE" w:rsidR="00BF7903" w:rsidP="00BF7903" w:rsidRDefault="00BF7903" w14:paraId="7249CD59" w14:textId="188A0A23">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Alameda County, CA</w:t>
            </w:r>
          </w:p>
        </w:tc>
        <w:tc>
          <w:tcPr>
            <w:tcW w:w="1773" w:type="dxa"/>
            <w:noWrap/>
          </w:tcPr>
          <w:p w:rsidRPr="00BF7903" w:rsidR="00BF7903" w:rsidP="00BF7903" w:rsidRDefault="00BF7903" w14:paraId="0343C040" w14:textId="7CC12896">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1,324,243</w:t>
            </w:r>
          </w:p>
        </w:tc>
      </w:tr>
      <w:tr w:rsidRPr="008D6F77" w:rsidR="00BF7903" w:rsidTr="00270941" w14:paraId="3ACEA587" w14:textId="77777777">
        <w:trPr>
          <w:trHeight w:val="265"/>
        </w:trPr>
        <w:tc>
          <w:tcPr>
            <w:tcW w:w="4014" w:type="dxa"/>
            <w:noWrap/>
          </w:tcPr>
          <w:p w:rsidRPr="00D60DFE" w:rsidR="00BF7903" w:rsidP="00BF7903" w:rsidRDefault="00BF7903" w14:paraId="4620C027" w14:textId="3F4E81B4">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Palm Beach County, FL</w:t>
            </w:r>
          </w:p>
        </w:tc>
        <w:tc>
          <w:tcPr>
            <w:tcW w:w="1773" w:type="dxa"/>
            <w:noWrap/>
          </w:tcPr>
          <w:p w:rsidRPr="00BF7903" w:rsidR="00BF7903" w:rsidP="00BF7903" w:rsidRDefault="00BF7903" w14:paraId="359D9E2F" w14:textId="2270EBBD">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1,202,485</w:t>
            </w:r>
          </w:p>
        </w:tc>
      </w:tr>
      <w:tr w:rsidRPr="008D6F77" w:rsidR="00BF7903" w:rsidTr="00270941" w14:paraId="4B6DD1DD" w14:textId="77777777">
        <w:trPr>
          <w:trHeight w:val="265"/>
        </w:trPr>
        <w:tc>
          <w:tcPr>
            <w:tcW w:w="4014" w:type="dxa"/>
            <w:noWrap/>
          </w:tcPr>
          <w:p w:rsidRPr="00D60DFE" w:rsidR="00BF7903" w:rsidP="00BF7903" w:rsidRDefault="00BF7903" w14:paraId="24B11060" w14:textId="4BF90203">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Sacramento County, CA</w:t>
            </w:r>
          </w:p>
        </w:tc>
        <w:tc>
          <w:tcPr>
            <w:tcW w:w="1773" w:type="dxa"/>
            <w:noWrap/>
          </w:tcPr>
          <w:p w:rsidRPr="00BF7903" w:rsidR="00BF7903" w:rsidP="00BF7903" w:rsidRDefault="00BF7903" w14:paraId="7249EE02" w14:textId="50B676D6">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1,177,066</w:t>
            </w:r>
          </w:p>
        </w:tc>
      </w:tr>
      <w:tr w:rsidRPr="008D6F77" w:rsidR="00BF7903" w:rsidTr="00270941" w14:paraId="4C763696" w14:textId="77777777">
        <w:trPr>
          <w:trHeight w:val="265"/>
        </w:trPr>
        <w:tc>
          <w:tcPr>
            <w:tcW w:w="4014" w:type="dxa"/>
            <w:noWrap/>
          </w:tcPr>
          <w:p w:rsidRPr="00D60DFE" w:rsidR="00BF7903" w:rsidP="00BF7903" w:rsidRDefault="00BF7903" w14:paraId="4F18F622" w14:textId="6388E749">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Hillsborough County, FL</w:t>
            </w:r>
          </w:p>
        </w:tc>
        <w:tc>
          <w:tcPr>
            <w:tcW w:w="1773" w:type="dxa"/>
            <w:noWrap/>
          </w:tcPr>
          <w:p w:rsidRPr="00BF7903" w:rsidR="00BF7903" w:rsidP="00BF7903" w:rsidRDefault="00BF7903" w14:paraId="2CD8F82E" w14:textId="476E9FFE">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1,112,902</w:t>
            </w:r>
          </w:p>
        </w:tc>
      </w:tr>
      <w:tr w:rsidRPr="008D6F77" w:rsidR="00BF7903" w:rsidTr="00270941" w14:paraId="31978538" w14:textId="77777777">
        <w:trPr>
          <w:trHeight w:val="265"/>
        </w:trPr>
        <w:tc>
          <w:tcPr>
            <w:tcW w:w="4014" w:type="dxa"/>
            <w:noWrap/>
          </w:tcPr>
          <w:p w:rsidRPr="00D60DFE" w:rsidR="00BF7903" w:rsidP="00BF7903" w:rsidRDefault="00BF7903" w14:paraId="6E18E764" w14:textId="105B32B6">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Orange County, FL</w:t>
            </w:r>
          </w:p>
        </w:tc>
        <w:tc>
          <w:tcPr>
            <w:tcW w:w="1773" w:type="dxa"/>
            <w:noWrap/>
          </w:tcPr>
          <w:p w:rsidRPr="00BF7903" w:rsidR="00BF7903" w:rsidP="00BF7903" w:rsidRDefault="00BF7903" w14:paraId="44962E93" w14:textId="70055DA0">
            <w:pPr>
              <w:spacing w:line="240" w:lineRule="auto"/>
              <w:jc w:val="right"/>
              <w:rPr>
                <w:rFonts w:ascii="Times New Roman" w:hAnsi="Times New Roman"/>
                <w:color w:val="000000"/>
                <w:sz w:val="22"/>
                <w:szCs w:val="22"/>
                <w:lang w:eastAsia="ko-KR"/>
              </w:rPr>
            </w:pPr>
            <w:r w:rsidRPr="00BF7903">
              <w:rPr>
                <w:rFonts w:ascii="Times New Roman" w:hAnsi="Times New Roman"/>
                <w:sz w:val="22"/>
                <w:szCs w:val="22"/>
              </w:rPr>
              <w:t>1,074,728</w:t>
            </w:r>
          </w:p>
        </w:tc>
      </w:tr>
      <w:tr w:rsidRPr="008D6F77" w:rsidR="00BF7903" w:rsidTr="000C308A" w14:paraId="46533358" w14:textId="77777777">
        <w:trPr>
          <w:trHeight w:val="265"/>
        </w:trPr>
        <w:tc>
          <w:tcPr>
            <w:tcW w:w="4014" w:type="dxa"/>
            <w:noWrap/>
          </w:tcPr>
          <w:p w:rsidRPr="00D60DFE" w:rsidR="00BF7903" w:rsidP="00BF7903" w:rsidRDefault="00BF7903" w14:paraId="511EAF86" w14:textId="5A9617D7">
            <w:pPr>
              <w:spacing w:line="240" w:lineRule="auto"/>
              <w:rPr>
                <w:rFonts w:ascii="Times New Roman" w:hAnsi="Times New Roman"/>
                <w:bCs/>
                <w:color w:val="000000"/>
                <w:sz w:val="22"/>
                <w:szCs w:val="22"/>
                <w:lang w:eastAsia="ko-KR"/>
              </w:rPr>
            </w:pPr>
            <w:r>
              <w:rPr>
                <w:rFonts w:ascii="Times New Roman" w:hAnsi="Times New Roman"/>
                <w:bCs/>
                <w:color w:val="000000"/>
                <w:sz w:val="22"/>
                <w:szCs w:val="22"/>
                <w:lang w:eastAsia="ko-KR"/>
              </w:rPr>
              <w:t>Franklin County, OH</w:t>
            </w:r>
          </w:p>
        </w:tc>
        <w:tc>
          <w:tcPr>
            <w:tcW w:w="1773" w:type="dxa"/>
            <w:noWrap/>
            <w:vAlign w:val="bottom"/>
          </w:tcPr>
          <w:p w:rsidRPr="00D60DFE" w:rsidR="00BF7903" w:rsidP="00BF7903" w:rsidRDefault="00BF7903" w14:paraId="214099A6" w14:textId="297ADF2B">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lang w:eastAsia="ko-KR"/>
              </w:rPr>
              <w:t>1,005,657</w:t>
            </w:r>
          </w:p>
        </w:tc>
      </w:tr>
      <w:tr w:rsidRPr="008D6F77" w:rsidR="00BF7903" w:rsidTr="00213305" w14:paraId="28CDA8EC" w14:textId="77777777">
        <w:trPr>
          <w:trHeight w:val="262"/>
        </w:trPr>
        <w:tc>
          <w:tcPr>
            <w:tcW w:w="4014" w:type="dxa"/>
            <w:noWrap/>
            <w:hideMark/>
          </w:tcPr>
          <w:p w:rsidRPr="00D60DFE" w:rsidR="00BF7903" w:rsidP="00BF7903" w:rsidRDefault="00BF7903" w14:paraId="35938D6B" w14:textId="32A71B4A">
            <w:pPr>
              <w:spacing w:line="240" w:lineRule="auto"/>
              <w:rPr>
                <w:rFonts w:ascii="Times New Roman" w:hAnsi="Times New Roman"/>
                <w:bCs/>
                <w:color w:val="000000"/>
                <w:sz w:val="22"/>
                <w:szCs w:val="22"/>
                <w:lang w:eastAsia="ko-KR"/>
              </w:rPr>
            </w:pPr>
            <w:r w:rsidRPr="00D60DFE">
              <w:rPr>
                <w:rFonts w:ascii="Times New Roman" w:hAnsi="Times New Roman"/>
                <w:bCs/>
                <w:color w:val="000000"/>
                <w:sz w:val="22"/>
                <w:szCs w:val="22"/>
                <w:lang w:eastAsia="ko-KR"/>
              </w:rPr>
              <w:t xml:space="preserve">Total </w:t>
            </w:r>
            <w:r>
              <w:rPr>
                <w:rFonts w:ascii="Times New Roman" w:hAnsi="Times New Roman"/>
                <w:bCs/>
                <w:color w:val="000000"/>
                <w:sz w:val="22"/>
                <w:szCs w:val="22"/>
                <w:lang w:eastAsia="ko-KR"/>
              </w:rPr>
              <w:t>(15.3% of the U.S. Population)</w:t>
            </w:r>
          </w:p>
        </w:tc>
        <w:tc>
          <w:tcPr>
            <w:tcW w:w="1773" w:type="dxa"/>
            <w:noWrap/>
            <w:hideMark/>
          </w:tcPr>
          <w:p w:rsidRPr="00D60DFE" w:rsidR="00BF7903" w:rsidP="00BF7903" w:rsidRDefault="00BF7903" w14:paraId="6CE097EE" w14:textId="2131E3CA">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lang w:eastAsia="ko-KR"/>
              </w:rPr>
              <w:t>38</w:t>
            </w:r>
            <w:r w:rsidRPr="00D60DFE">
              <w:rPr>
                <w:rFonts w:ascii="Times New Roman" w:hAnsi="Times New Roman"/>
                <w:color w:val="000000"/>
                <w:sz w:val="22"/>
                <w:szCs w:val="22"/>
                <w:lang w:eastAsia="ko-KR"/>
              </w:rPr>
              <w:t>,</w:t>
            </w:r>
            <w:r>
              <w:rPr>
                <w:rFonts w:ascii="Times New Roman" w:hAnsi="Times New Roman"/>
                <w:color w:val="000000"/>
                <w:sz w:val="22"/>
                <w:szCs w:val="22"/>
                <w:lang w:eastAsia="ko-KR"/>
              </w:rPr>
              <w:t>734,025</w:t>
            </w:r>
          </w:p>
        </w:tc>
      </w:tr>
      <w:tr w:rsidRPr="008D6F77" w:rsidR="00BF7903" w:rsidTr="007D2C7D" w14:paraId="285FFFE8" w14:textId="77777777">
        <w:trPr>
          <w:trHeight w:val="262"/>
        </w:trPr>
        <w:tc>
          <w:tcPr>
            <w:tcW w:w="5787" w:type="dxa"/>
            <w:gridSpan w:val="2"/>
            <w:noWrap/>
          </w:tcPr>
          <w:p w:rsidRPr="00D60DFE" w:rsidR="00BF7903" w:rsidP="00BF7903" w:rsidRDefault="00BF7903" w14:paraId="3FA7EDF1" w14:textId="21B09758">
            <w:pPr>
              <w:pStyle w:val="L1-FlLSp12"/>
              <w:spacing w:line="276" w:lineRule="auto"/>
              <w:rPr>
                <w:rFonts w:ascii="Times New Roman" w:hAnsi="Times New Roman"/>
                <w:color w:val="000000"/>
                <w:sz w:val="22"/>
                <w:szCs w:val="22"/>
                <w:lang w:eastAsia="ko-KR"/>
              </w:rPr>
            </w:pPr>
            <w:r w:rsidRPr="00D60DFE">
              <w:rPr>
                <w:rFonts w:ascii="Times New Roman" w:hAnsi="Times New Roman"/>
                <w:sz w:val="22"/>
                <w:szCs w:val="22"/>
              </w:rPr>
              <w:t xml:space="preserve">Source: </w:t>
            </w:r>
            <w:r>
              <w:rPr>
                <w:rFonts w:ascii="Times New Roman" w:hAnsi="Times New Roman"/>
                <w:color w:val="000000"/>
                <w:sz w:val="22"/>
                <w:szCs w:val="22"/>
                <w:lang w:eastAsia="ko-KR"/>
              </w:rPr>
              <w:t xml:space="preserve">U.S. Census Bureau, Population Division. Table 1. </w:t>
            </w:r>
            <w:r w:rsidRPr="00820D6F">
              <w:rPr>
                <w:rFonts w:ascii="Times New Roman" w:hAnsi="Times New Roman"/>
                <w:color w:val="000000"/>
                <w:sz w:val="22"/>
                <w:szCs w:val="22"/>
                <w:lang w:eastAsia="ko-KR"/>
              </w:rPr>
              <w:t>Annual Estimates of the Resident Population for Selected Age Groups by Sex for the United States, States, Counties and Puerto Rico Commonwealth and Municipios: April 1, 2010 to July 1, 2018</w:t>
            </w:r>
          </w:p>
        </w:tc>
      </w:tr>
    </w:tbl>
    <w:p w:rsidR="006F605C" w:rsidP="007B548E" w:rsidRDefault="006F605C" w14:paraId="2AA02257" w14:textId="77777777">
      <w:pPr>
        <w:pStyle w:val="L1-FlLSp12"/>
        <w:spacing w:line="276" w:lineRule="auto"/>
        <w:rPr>
          <w:rFonts w:ascii="Times New Roman" w:hAnsi="Times New Roman"/>
        </w:rPr>
      </w:pPr>
    </w:p>
    <w:p w:rsidRPr="004B11D0" w:rsidR="00A87F3F" w:rsidP="004B11D0" w:rsidRDefault="00A87F3F" w14:paraId="483A37CD" w14:textId="6B0945C7">
      <w:pPr>
        <w:pStyle w:val="L1-FlLSp12"/>
        <w:spacing w:line="276" w:lineRule="auto"/>
        <w:rPr>
          <w:rFonts w:ascii="Times New Roman" w:hAnsi="Times New Roman"/>
        </w:rPr>
      </w:pPr>
      <w:r w:rsidRPr="004B11D0">
        <w:rPr>
          <w:rFonts w:ascii="Times New Roman" w:hAnsi="Times New Roman"/>
        </w:rPr>
        <w:t xml:space="preserve">BJS is unsure of the availability of data in Puerto Rico. BJS intends to assess the structure and the data reporting capacity of the Puerto Rico court system with the intent of assessing the availability and quality of data. </w:t>
      </w:r>
      <w:r w:rsidR="004B11D0">
        <w:rPr>
          <w:rFonts w:ascii="Times New Roman" w:hAnsi="Times New Roman"/>
        </w:rPr>
        <w:t xml:space="preserve">At this time, </w:t>
      </w:r>
      <w:r w:rsidRPr="004B11D0">
        <w:rPr>
          <w:rFonts w:ascii="Times New Roman" w:hAnsi="Times New Roman"/>
        </w:rPr>
        <w:t>BJS does not intend to include Puerto Rico in full data collection and reporting</w:t>
      </w:r>
      <w:r w:rsidR="004B11D0">
        <w:rPr>
          <w:rFonts w:ascii="Times New Roman" w:hAnsi="Times New Roman"/>
        </w:rPr>
        <w:t xml:space="preserve"> for the CCSC</w:t>
      </w:r>
      <w:r w:rsidRPr="004B11D0">
        <w:rPr>
          <w:rFonts w:ascii="Times New Roman" w:hAnsi="Times New Roman"/>
        </w:rPr>
        <w:t>.</w:t>
      </w:r>
    </w:p>
    <w:p w:rsidRPr="004B11D0" w:rsidR="007D2C7D" w:rsidP="004B11D0" w:rsidRDefault="007D2C7D" w14:paraId="481FF2B6" w14:textId="77777777">
      <w:pPr>
        <w:pStyle w:val="L1-FlLSp12"/>
        <w:spacing w:line="276" w:lineRule="auto"/>
        <w:rPr>
          <w:rFonts w:ascii="Times New Roman" w:hAnsi="Times New Roman"/>
        </w:rPr>
      </w:pPr>
    </w:p>
    <w:p w:rsidR="0011114E" w:rsidP="007B548E" w:rsidRDefault="001A4D9D" w14:paraId="26FB89A1" w14:textId="2821808A">
      <w:pPr>
        <w:pStyle w:val="L1-FlLSp12"/>
        <w:spacing w:line="276" w:lineRule="auto"/>
        <w:rPr>
          <w:rFonts w:ascii="Times New Roman" w:hAnsi="Times New Roman"/>
        </w:rPr>
      </w:pPr>
      <w:r>
        <w:rPr>
          <w:rFonts w:ascii="Times New Roman" w:hAnsi="Times New Roman"/>
        </w:rPr>
        <w:t>Cases</w:t>
      </w:r>
      <w:r w:rsidR="005A2521">
        <w:rPr>
          <w:rFonts w:ascii="Times New Roman" w:hAnsi="Times New Roman"/>
        </w:rPr>
        <w:t xml:space="preserve"> will be divided into two </w:t>
      </w:r>
      <w:r w:rsidR="00CF3216">
        <w:rPr>
          <w:rFonts w:ascii="Times New Roman" w:hAnsi="Times New Roman"/>
        </w:rPr>
        <w:t>frames</w:t>
      </w:r>
      <w:r>
        <w:rPr>
          <w:rFonts w:ascii="Times New Roman" w:hAnsi="Times New Roman"/>
        </w:rPr>
        <w:t xml:space="preserve">: 1) </w:t>
      </w:r>
      <w:r w:rsidR="005A2521">
        <w:rPr>
          <w:rFonts w:ascii="Times New Roman" w:hAnsi="Times New Roman"/>
        </w:rPr>
        <w:t xml:space="preserve">those that are </w:t>
      </w:r>
      <w:r>
        <w:rPr>
          <w:rFonts w:ascii="Times New Roman" w:hAnsi="Times New Roman"/>
        </w:rPr>
        <w:t>retrieved from state electronic record systems</w:t>
      </w:r>
      <w:r w:rsidR="00217925">
        <w:rPr>
          <w:rFonts w:ascii="Times New Roman" w:hAnsi="Times New Roman"/>
        </w:rPr>
        <w:t xml:space="preserve"> (Class 1 states</w:t>
      </w:r>
      <w:r w:rsidR="004B11D0">
        <w:rPr>
          <w:rFonts w:ascii="Times New Roman" w:hAnsi="Times New Roman"/>
        </w:rPr>
        <w:t>,</w:t>
      </w:r>
      <w:r w:rsidR="00217925">
        <w:rPr>
          <w:rFonts w:ascii="Times New Roman" w:hAnsi="Times New Roman"/>
        </w:rPr>
        <w:t xml:space="preserve"> outlined in Table 1) and</w:t>
      </w:r>
      <w:r w:rsidR="0011114E">
        <w:rPr>
          <w:rFonts w:ascii="Times New Roman" w:hAnsi="Times New Roman"/>
        </w:rPr>
        <w:t xml:space="preserve"> all counties that will be designated as self-representing (i.e., certainty jurisdictions</w:t>
      </w:r>
      <w:r w:rsidR="00217925">
        <w:rPr>
          <w:rFonts w:ascii="Times New Roman" w:hAnsi="Times New Roman"/>
        </w:rPr>
        <w:t xml:space="preserve"> from Class 2 states</w:t>
      </w:r>
      <w:r w:rsidR="004B11D0">
        <w:rPr>
          <w:rFonts w:ascii="Times New Roman" w:hAnsi="Times New Roman"/>
        </w:rPr>
        <w:t>,</w:t>
      </w:r>
      <w:r w:rsidR="00217925">
        <w:rPr>
          <w:rFonts w:ascii="Times New Roman" w:hAnsi="Times New Roman"/>
        </w:rPr>
        <w:t xml:space="preserve"> outlined in Table 3</w:t>
      </w:r>
      <w:r w:rsidR="0011114E">
        <w:rPr>
          <w:rFonts w:ascii="Times New Roman" w:hAnsi="Times New Roman"/>
        </w:rPr>
        <w:t>), and 2) all other counties from which a sample will be drawn.</w:t>
      </w:r>
      <w:r w:rsidR="00CF3216">
        <w:rPr>
          <w:rFonts w:ascii="Times New Roman" w:hAnsi="Times New Roman"/>
        </w:rPr>
        <w:t xml:space="preserve"> The self-representing units refer to jurisdictions that provide “census”</w:t>
      </w:r>
      <w:r w:rsidR="007B548E">
        <w:rPr>
          <w:rFonts w:ascii="Times New Roman" w:hAnsi="Times New Roman"/>
        </w:rPr>
        <w:t xml:space="preserve"> data within themselves</w:t>
      </w:r>
      <w:r w:rsidR="00704445">
        <w:rPr>
          <w:rFonts w:ascii="Times New Roman" w:hAnsi="Times New Roman"/>
        </w:rPr>
        <w:t xml:space="preserve"> (i.e., Class 1 states and certainty jurisdictions from Class 2 states), and are </w:t>
      </w:r>
      <w:r w:rsidR="007B548E">
        <w:rPr>
          <w:rFonts w:ascii="Times New Roman" w:hAnsi="Times New Roman"/>
        </w:rPr>
        <w:t xml:space="preserve">therefore not subject to sampling error. </w:t>
      </w:r>
    </w:p>
    <w:p w:rsidR="0011114E" w:rsidP="00F62B2E" w:rsidRDefault="0011114E" w14:paraId="1ADBB8E3" w14:textId="28F42A2B">
      <w:pPr>
        <w:pStyle w:val="L1-FlLSp12"/>
        <w:spacing w:line="276" w:lineRule="auto"/>
        <w:rPr>
          <w:rFonts w:ascii="Times New Roman" w:hAnsi="Times New Roman"/>
        </w:rPr>
      </w:pPr>
    </w:p>
    <w:p w:rsidR="00FB708D" w:rsidP="00F62B2E" w:rsidRDefault="00FB708D" w14:paraId="3A028D16" w14:textId="0074867B">
      <w:pPr>
        <w:pStyle w:val="L1-FlLSp12"/>
        <w:spacing w:line="276" w:lineRule="auto"/>
        <w:rPr>
          <w:rFonts w:ascii="Times New Roman" w:hAnsi="Times New Roman"/>
        </w:rPr>
      </w:pPr>
    </w:p>
    <w:p w:rsidR="00FB708D" w:rsidP="00F62B2E" w:rsidRDefault="00FB708D" w14:paraId="1157CE4A" w14:textId="327417EF">
      <w:pPr>
        <w:pStyle w:val="L1-FlLSp12"/>
        <w:spacing w:line="276" w:lineRule="auto"/>
        <w:rPr>
          <w:rFonts w:ascii="Times New Roman" w:hAnsi="Times New Roman"/>
        </w:rPr>
      </w:pPr>
    </w:p>
    <w:p w:rsidR="00FB708D" w:rsidP="00F62B2E" w:rsidRDefault="00FB708D" w14:paraId="2AC70238" w14:textId="4C453F80">
      <w:pPr>
        <w:pStyle w:val="L1-FlLSp12"/>
        <w:spacing w:line="276" w:lineRule="auto"/>
        <w:rPr>
          <w:rFonts w:ascii="Times New Roman" w:hAnsi="Times New Roman"/>
        </w:rPr>
      </w:pPr>
    </w:p>
    <w:p w:rsidR="00FB708D" w:rsidP="00F62B2E" w:rsidRDefault="00FB708D" w14:paraId="17A1E0DA" w14:textId="77777777">
      <w:pPr>
        <w:pStyle w:val="L1-FlLSp12"/>
        <w:spacing w:line="276" w:lineRule="auto"/>
        <w:rPr>
          <w:rFonts w:ascii="Times New Roman" w:hAnsi="Times New Roman"/>
        </w:rPr>
      </w:pPr>
    </w:p>
    <w:p w:rsidRPr="0011114E" w:rsidR="0011114E" w:rsidP="00F62B2E" w:rsidRDefault="0011114E" w14:paraId="7A50964E" w14:textId="07E2E560">
      <w:pPr>
        <w:pStyle w:val="L1-FlLSp12"/>
        <w:spacing w:line="276" w:lineRule="auto"/>
        <w:rPr>
          <w:rFonts w:ascii="Times New Roman" w:hAnsi="Times New Roman"/>
        </w:rPr>
      </w:pPr>
      <w:r w:rsidRPr="0011114E">
        <w:rPr>
          <w:rFonts w:ascii="Times New Roman" w:hAnsi="Times New Roman"/>
        </w:rPr>
        <w:lastRenderedPageBreak/>
        <w:t xml:space="preserve">National estimates under this design will take the </w:t>
      </w:r>
      <w:r w:rsidR="003D3E65">
        <w:rPr>
          <w:rFonts w:ascii="Times New Roman" w:hAnsi="Times New Roman"/>
        </w:rPr>
        <w:t xml:space="preserve">following </w:t>
      </w:r>
      <w:r w:rsidRPr="0011114E">
        <w:rPr>
          <w:rFonts w:ascii="Times New Roman" w:hAnsi="Times New Roman"/>
        </w:rPr>
        <w:t>form:</w:t>
      </w:r>
    </w:p>
    <w:p w:rsidRPr="0011114E" w:rsidR="0011114E" w:rsidP="00F62B2E" w:rsidRDefault="0011114E" w14:paraId="00A3373C" w14:textId="77777777">
      <w:pPr>
        <w:pStyle w:val="L1-FlLSp12"/>
        <w:spacing w:line="276" w:lineRule="auto"/>
        <w:rPr>
          <w:rFonts w:ascii="Times New Roman" w:hAnsi="Times New Roman"/>
        </w:rPr>
      </w:pPr>
    </w:p>
    <w:p w:rsidRPr="0011114E" w:rsidR="0011114E" w:rsidP="00F62B2E" w:rsidRDefault="0011114E" w14:paraId="108AA6E2" w14:textId="77777777">
      <w:pPr>
        <w:pStyle w:val="L1-FlLSp12"/>
        <w:spacing w:line="276" w:lineRule="auto"/>
        <w:rPr>
          <w:rFonts w:ascii="Times New Roman" w:hAnsi="Times New Roman"/>
        </w:rPr>
      </w:pPr>
      <m:oMathPara>
        <m:oMath>
          <m:r>
            <w:rPr>
              <w:rFonts w:ascii="Cambria Math" w:hAnsi="Cambria Math"/>
            </w:rPr>
            <m:t>t=</m:t>
          </m:r>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2</m:t>
              </m:r>
            </m:sup>
            <m:e>
              <m:sSub>
                <m:sSubPr>
                  <m:ctrlPr>
                    <w:rPr>
                      <w:rFonts w:ascii="Cambria Math" w:hAnsi="Cambria Math"/>
                      <w:i/>
                    </w:rPr>
                  </m:ctrlPr>
                </m:sSubPr>
                <m:e>
                  <m:r>
                    <w:rPr>
                      <w:rFonts w:ascii="Cambria Math" w:hAnsi="Cambria Math"/>
                    </w:rPr>
                    <m:t>W</m:t>
                  </m:r>
                </m:e>
                <m:sub>
                  <m:r>
                    <w:rPr>
                      <w:rFonts w:ascii="Cambria Math" w:hAnsi="Cambria Math"/>
                    </w:rPr>
                    <m:t>h</m:t>
                  </m:r>
                </m:sub>
              </m:sSub>
              <m:sSub>
                <m:sSubPr>
                  <m:ctrlPr>
                    <w:rPr>
                      <w:rFonts w:ascii="Cambria Math" w:hAnsi="Cambria Math"/>
                      <w:i/>
                    </w:rPr>
                  </m:ctrlPr>
                </m:sSubPr>
                <m:e>
                  <m:r>
                    <w:rPr>
                      <w:rFonts w:ascii="Cambria Math" w:hAnsi="Cambria Math"/>
                    </w:rPr>
                    <m:t>t</m:t>
                  </m:r>
                </m:e>
                <m:sub>
                  <m:r>
                    <w:rPr>
                      <w:rFonts w:ascii="Cambria Math" w:hAnsi="Cambria Math"/>
                    </w:rPr>
                    <m:t>h</m:t>
                  </m:r>
                </m:sub>
              </m:sSub>
            </m:e>
          </m:nary>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2</m:t>
              </m:r>
            </m:sub>
          </m:sSub>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217925" w:rsidP="00F62B2E" w:rsidRDefault="00217925" w14:paraId="58AB2627" w14:textId="77777777">
      <w:pPr>
        <w:pStyle w:val="L1-FlLSp12"/>
        <w:spacing w:line="276" w:lineRule="auto"/>
        <w:rPr>
          <w:rFonts w:ascii="Times New Roman" w:hAnsi="Times New Roman"/>
        </w:rPr>
      </w:pPr>
    </w:p>
    <w:p w:rsidRPr="0011114E" w:rsidR="0011114E" w:rsidP="00F62B2E" w:rsidRDefault="0011114E" w14:paraId="3230D46A" w14:textId="53DB2973">
      <w:pPr>
        <w:pStyle w:val="L1-FlLSp12"/>
        <w:spacing w:line="276" w:lineRule="auto"/>
        <w:rPr>
          <w:rFonts w:ascii="Times New Roman" w:hAnsi="Times New Roman"/>
        </w:rPr>
      </w:pPr>
      <w:r w:rsidRPr="0011114E">
        <w:rPr>
          <w:rFonts w:ascii="Times New Roman" w:hAnsi="Times New Roman"/>
        </w:rPr>
        <w:t xml:space="preserve">where </w:t>
      </w:r>
      <m:oMath>
        <m:sSub>
          <m:sSubPr>
            <m:ctrlPr>
              <w:rPr>
                <w:rFonts w:ascii="Cambria Math" w:hAnsi="Cambria Math"/>
                <w:i/>
              </w:rPr>
            </m:ctrlPr>
          </m:sSubPr>
          <m:e>
            <m:r>
              <w:rPr>
                <w:rFonts w:ascii="Cambria Math" w:hAnsi="Cambria Math"/>
              </w:rPr>
              <m:t>W</m:t>
            </m:r>
          </m:e>
          <m:sub>
            <m:r>
              <w:rPr>
                <w:rFonts w:ascii="Cambria Math" w:hAnsi="Cambria Math"/>
              </w:rPr>
              <m:t>h</m:t>
            </m:r>
          </m:sub>
        </m:sSub>
      </m:oMath>
      <w:r w:rsidRPr="0011114E">
        <w:rPr>
          <w:rFonts w:ascii="Times New Roman" w:hAnsi="Times New Roman"/>
        </w:rPr>
        <w:t xml:space="preserve"> denote</w:t>
      </w:r>
      <w:r>
        <w:rPr>
          <w:rFonts w:ascii="Times New Roman" w:hAnsi="Times New Roman"/>
        </w:rPr>
        <w:t>s</w:t>
      </w:r>
      <w:r w:rsidRPr="0011114E">
        <w:rPr>
          <w:rFonts w:ascii="Times New Roman" w:hAnsi="Times New Roman"/>
        </w:rPr>
        <w:t xml:space="preserve"> the population weights associated with the self-representing states and counties </w:t>
      </w:r>
      <w:r>
        <w:rPr>
          <w:rFonts w:ascii="Times New Roman" w:hAnsi="Times New Roman"/>
        </w:rPr>
        <w:t>(</w:t>
      </w:r>
      <w:r w:rsidRPr="0011114E">
        <w:rPr>
          <w:rFonts w:ascii="Times New Roman" w:hAnsi="Times New Roman"/>
          <w:i/>
        </w:rPr>
        <w:t>h</w:t>
      </w:r>
      <w:r w:rsidRPr="0011114E">
        <w:rPr>
          <w:rFonts w:ascii="Times New Roman" w:hAnsi="Times New Roman"/>
        </w:rPr>
        <w:t>=1</w:t>
      </w:r>
      <w:r>
        <w:rPr>
          <w:rFonts w:ascii="Times New Roman" w:hAnsi="Times New Roman"/>
        </w:rPr>
        <w:t>)</w:t>
      </w:r>
      <w:r w:rsidRPr="0011114E">
        <w:rPr>
          <w:rFonts w:ascii="Times New Roman" w:hAnsi="Times New Roman"/>
        </w:rPr>
        <w:t xml:space="preserve"> and non-self-representing counties </w:t>
      </w:r>
      <w:r>
        <w:rPr>
          <w:rFonts w:ascii="Times New Roman" w:hAnsi="Times New Roman"/>
        </w:rPr>
        <w:t>(</w:t>
      </w:r>
      <w:r w:rsidRPr="0011114E">
        <w:rPr>
          <w:rFonts w:ascii="Times New Roman" w:hAnsi="Times New Roman"/>
          <w:i/>
        </w:rPr>
        <w:t>h</w:t>
      </w:r>
      <w:r w:rsidRPr="0011114E">
        <w:rPr>
          <w:rFonts w:ascii="Times New Roman" w:hAnsi="Times New Roman"/>
        </w:rPr>
        <w:t>=2</w:t>
      </w:r>
      <w:r>
        <w:rPr>
          <w:rFonts w:ascii="Times New Roman" w:hAnsi="Times New Roman"/>
        </w:rPr>
        <w:t xml:space="preserve">) </w:t>
      </w:r>
      <w:r w:rsidRPr="0011114E">
        <w:rPr>
          <w:rFonts w:ascii="Times New Roman" w:hAnsi="Times New Roman"/>
        </w:rPr>
        <w:t xml:space="preserve">with </w:t>
      </w:r>
      <m:oMath>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=(1-</m:t>
        </m:r>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m:t>
        </m:r>
      </m:oMath>
      <w:r w:rsidRPr="0011114E">
        <w:rPr>
          <w:rFonts w:ascii="Times New Roman" w:hAnsi="Times New Roma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h</m:t>
            </m:r>
          </m:sub>
        </m:sSub>
      </m:oMath>
      <w:r w:rsidRPr="0011114E">
        <w:rPr>
          <w:rFonts w:ascii="Times New Roman" w:hAnsi="Times New Roman"/>
        </w:rPr>
        <w:t xml:space="preserve"> denotes the statistic of interest calculated from </w:t>
      </w:r>
      <w:r w:rsidR="00171A1C">
        <w:rPr>
          <w:rFonts w:ascii="Times New Roman" w:hAnsi="Times New Roman"/>
        </w:rPr>
        <w:t>frame</w:t>
      </w:r>
      <w:r w:rsidRPr="0011114E" w:rsidR="00171A1C">
        <w:rPr>
          <w:rFonts w:ascii="Times New Roman" w:hAnsi="Times New Roman"/>
        </w:rPr>
        <w:t xml:space="preserve"> </w:t>
      </w:r>
      <w:r w:rsidRPr="0011114E">
        <w:rPr>
          <w:rFonts w:ascii="Times New Roman" w:hAnsi="Times New Roman"/>
          <w:i/>
        </w:rPr>
        <w:t>h</w:t>
      </w:r>
      <w:r w:rsidRPr="0011114E">
        <w:rPr>
          <w:rFonts w:ascii="Times New Roman" w:hAnsi="Times New Roman"/>
        </w:rPr>
        <w:t>.</w:t>
      </w:r>
    </w:p>
    <w:p w:rsidRPr="0011114E" w:rsidR="0011114E" w:rsidP="00F62B2E" w:rsidRDefault="0011114E" w14:paraId="1651C136" w14:textId="77777777">
      <w:pPr>
        <w:pStyle w:val="L1-FlLSp12"/>
        <w:spacing w:line="276" w:lineRule="auto"/>
        <w:rPr>
          <w:rFonts w:ascii="Times New Roman" w:hAnsi="Times New Roman"/>
        </w:rPr>
      </w:pPr>
    </w:p>
    <w:p w:rsidRPr="0011114E" w:rsidR="0011114E" w:rsidP="00F62B2E" w:rsidRDefault="0011114E" w14:paraId="596DF684" w14:textId="080FC808">
      <w:pPr>
        <w:pStyle w:val="L1-FlLSp12"/>
        <w:spacing w:line="276" w:lineRule="auto"/>
        <w:rPr>
          <w:rFonts w:ascii="Times New Roman" w:hAnsi="Times New Roman"/>
        </w:rPr>
      </w:pPr>
      <w:r w:rsidRPr="0011114E">
        <w:rPr>
          <w:rFonts w:ascii="Times New Roman" w:hAnsi="Times New Roman"/>
        </w:rPr>
        <w:t xml:space="preserve">The corresponding precision of estimates of the combined </w:t>
      </w:r>
      <w:r w:rsidR="00171A1C">
        <w:rPr>
          <w:rFonts w:ascii="Times New Roman" w:hAnsi="Times New Roman"/>
        </w:rPr>
        <w:t>frames</w:t>
      </w:r>
      <w:r w:rsidRPr="0011114E" w:rsidR="00171A1C">
        <w:rPr>
          <w:rFonts w:ascii="Times New Roman" w:hAnsi="Times New Roman"/>
        </w:rPr>
        <w:t xml:space="preserve"> </w:t>
      </w:r>
      <w:r w:rsidRPr="0011114E">
        <w:rPr>
          <w:rFonts w:ascii="Times New Roman" w:hAnsi="Times New Roman"/>
        </w:rPr>
        <w:t xml:space="preserve">will be sensitive to the percentage of the population covered by each </w:t>
      </w:r>
      <w:r w:rsidR="00171A1C">
        <w:rPr>
          <w:rFonts w:ascii="Times New Roman" w:hAnsi="Times New Roman"/>
        </w:rPr>
        <w:t>frame</w:t>
      </w:r>
      <w:r w:rsidRPr="0011114E">
        <w:rPr>
          <w:rFonts w:ascii="Times New Roman" w:hAnsi="Times New Roman"/>
        </w:rPr>
        <w:t xml:space="preserve">. An expression for the variance of a proportion assuming two </w:t>
      </w:r>
      <w:r w:rsidR="00171A1C">
        <w:rPr>
          <w:rFonts w:ascii="Times New Roman" w:hAnsi="Times New Roman"/>
        </w:rPr>
        <w:t>frames</w:t>
      </w:r>
      <w:r w:rsidRPr="0011114E" w:rsidR="00171A1C">
        <w:rPr>
          <w:rFonts w:ascii="Times New Roman" w:hAnsi="Times New Roman"/>
        </w:rPr>
        <w:t xml:space="preserve"> </w:t>
      </w:r>
      <w:r w:rsidRPr="0011114E">
        <w:rPr>
          <w:rFonts w:ascii="Times New Roman" w:hAnsi="Times New Roman"/>
        </w:rPr>
        <w:t>would be as follows:</w:t>
      </w:r>
    </w:p>
    <w:p w:rsidRPr="0011114E" w:rsidR="0011114E" w:rsidP="00F62B2E" w:rsidRDefault="0011114E" w14:paraId="6A97097E" w14:textId="77777777">
      <w:pPr>
        <w:pStyle w:val="L1-FlLSp12"/>
        <w:spacing w:line="276" w:lineRule="auto"/>
        <w:rPr>
          <w:rFonts w:ascii="Times New Roman" w:hAnsi="Times New Roman"/>
        </w:rPr>
      </w:pPr>
    </w:p>
    <w:p w:rsidRPr="0011114E" w:rsidR="0011114E" w:rsidP="00F62B2E" w:rsidRDefault="0011114E" w14:paraId="3F541FB5" w14:textId="77777777">
      <w:pPr>
        <w:spacing w:line="276" w:lineRule="auto"/>
        <w:rPr>
          <w:rFonts w:ascii="Times New Roman" w:hAnsi="Times New Roman" w:eastAsiaTheme="minorEastAsia"/>
        </w:rPr>
      </w:pPr>
      <m:oMathPara>
        <m:oMath>
          <m: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2</m:t>
              </m:r>
            </m:sup>
            <m:e>
              <m:sSubSup>
                <m:sSubSupPr>
                  <m:ctrlPr>
                    <w:rPr>
                      <w:rFonts w:ascii="Cambria Math" w:hAnsi="Cambria Math"/>
                      <w:i/>
                    </w:rPr>
                  </m:ctrlPr>
                </m:sSubSupPr>
                <m:e>
                  <m:r>
                    <w:rPr>
                      <w:rFonts w:ascii="Cambria Math" w:hAnsi="Cambria Math"/>
                    </w:rPr>
                    <m:t>W</m:t>
                  </m:r>
                </m:e>
                <m:sub>
                  <m:r>
                    <w:rPr>
                      <w:rFonts w:ascii="Cambria Math" w:hAnsi="Cambria Math"/>
                    </w:rPr>
                    <m:t>h</m:t>
                  </m:r>
                </m:sub>
                <m:sup>
                  <m:r>
                    <w:rPr>
                      <w:rFonts w:ascii="Cambria Math" w:hAnsi="Cambria Math"/>
                    </w:rPr>
                    <m:t>2</m:t>
                  </m:r>
                </m:sup>
              </m:sSubSup>
              <m:sSub>
                <m:sSubPr>
                  <m:ctrlPr>
                    <w:rPr>
                      <w:rFonts w:ascii="Cambria Math" w:hAnsi="Cambria Math"/>
                      <w:i/>
                    </w:rPr>
                  </m:ctrlPr>
                </m:sSubPr>
                <m:e>
                  <m:r>
                    <w:rPr>
                      <w:rFonts w:ascii="Cambria Math" w:hAnsi="Cambria Math"/>
                    </w:rPr>
                    <m:t>Var(t</m:t>
                  </m:r>
                </m:e>
                <m:sub>
                  <m:r>
                    <w:rPr>
                      <w:rFonts w:ascii="Cambria Math" w:hAnsi="Cambria Math"/>
                    </w:rPr>
                    <m:t>h</m:t>
                  </m:r>
                </m:sub>
              </m:sSub>
              <m:r>
                <w:rPr>
                  <w:rFonts w:ascii="Cambria Math" w:hAnsi="Cambria Math"/>
                </w:rPr>
                <m:t>)</m:t>
              </m:r>
            </m:e>
          </m:nary>
        </m:oMath>
      </m:oMathPara>
    </w:p>
    <w:p w:rsidRPr="0011114E" w:rsidR="0011114E" w:rsidP="00F62B2E" w:rsidRDefault="0011114E" w14:paraId="1951430A" w14:textId="77777777">
      <w:pPr>
        <w:pStyle w:val="L1-FlLSp12"/>
        <w:spacing w:line="276" w:lineRule="auto"/>
        <w:rPr>
          <w:rFonts w:ascii="Times New Roman" w:hAnsi="Times New Roman" w:eastAsiaTheme="minorEastAsia"/>
        </w:rPr>
      </w:pPr>
      <w:r w:rsidRPr="0011114E">
        <w:rPr>
          <w:rFonts w:ascii="Times New Roman" w:hAnsi="Times New Roman" w:eastAsiaTheme="minorEastAsia"/>
        </w:rPr>
        <w:t>Where:</w:t>
      </w:r>
    </w:p>
    <w:p w:rsidRPr="0011114E" w:rsidR="0011114E" w:rsidP="00F62B2E" w:rsidRDefault="0011114E" w14:paraId="5D8599C4" w14:textId="77777777">
      <w:pPr>
        <w:pStyle w:val="L1-FlLSp12"/>
        <w:spacing w:line="276" w:lineRule="auto"/>
        <w:rPr>
          <w:rFonts w:ascii="Times New Roman" w:hAnsi="Times New Roman" w:eastAsiaTheme="minorEastAsia"/>
        </w:rPr>
      </w:pPr>
    </w:p>
    <w:p w:rsidRPr="0011114E" w:rsidR="0011114E" w:rsidP="00F62B2E" w:rsidRDefault="0011114E" w14:paraId="6968EAD0" w14:textId="77777777">
      <w:pPr>
        <w:pStyle w:val="L1-FlLSp12"/>
        <w:tabs>
          <w:tab w:val="clear" w:pos="1152"/>
          <w:tab w:val="center" w:pos="720"/>
          <w:tab w:val="left" w:pos="1440"/>
        </w:tabs>
        <w:spacing w:line="276" w:lineRule="auto"/>
        <w:ind w:left="1440" w:hanging="1440"/>
        <w:rPr>
          <w:rFonts w:ascii="Times New Roman" w:hAnsi="Times New Roman" w:eastAsiaTheme="minorEastAsia"/>
        </w:rPr>
      </w:pPr>
      <m:oMath>
        <m:r>
          <w:rPr>
            <w:rFonts w:ascii="Cambria Math" w:hAnsi="Cambria Math" w:eastAsiaTheme="minorEastAsia"/>
          </w:rPr>
          <m:t>t</m:t>
        </m:r>
      </m:oMath>
      <w:r w:rsidRPr="0011114E">
        <w:rPr>
          <w:rFonts w:ascii="Times New Roman" w:hAnsi="Times New Roman" w:eastAsiaTheme="minorEastAsia"/>
        </w:rPr>
        <w:tab/>
        <w:t>=</w:t>
      </w:r>
      <w:r w:rsidRPr="0011114E">
        <w:rPr>
          <w:rFonts w:ascii="Times New Roman" w:hAnsi="Times New Roman" w:eastAsiaTheme="minorEastAsia"/>
        </w:rPr>
        <w:tab/>
        <w:t>statistic of interest</w:t>
      </w:r>
    </w:p>
    <w:p w:rsidRPr="0011114E" w:rsidR="0011114E" w:rsidP="00F62B2E" w:rsidRDefault="0011114E" w14:paraId="79051C01" w14:textId="317AC13C">
      <w:pPr>
        <w:pStyle w:val="L1-FlLSp12"/>
        <w:tabs>
          <w:tab w:val="clear" w:pos="1152"/>
          <w:tab w:val="center" w:pos="720"/>
          <w:tab w:val="left" w:pos="1440"/>
        </w:tabs>
        <w:spacing w:line="276" w:lineRule="auto"/>
        <w:ind w:left="1440" w:hanging="1440"/>
        <w:rPr>
          <w:rFonts w:ascii="Times New Roman" w:hAnsi="Times New Roman" w:eastAsiaTheme="minorEastAsia"/>
        </w:rPr>
      </w:pPr>
      <m:oMath>
        <m:r>
          <w:rPr>
            <w:rFonts w:ascii="Cambria Math" w:hAnsi="Cambria Math" w:eastAsiaTheme="minorEastAsia"/>
          </w:rPr>
          <m:t>h</m:t>
        </m:r>
      </m:oMath>
      <w:r w:rsidRPr="0011114E">
        <w:rPr>
          <w:rFonts w:ascii="Times New Roman" w:hAnsi="Times New Roman" w:eastAsiaTheme="minorEastAsia"/>
        </w:rPr>
        <w:tab/>
        <w:t>=</w:t>
      </w:r>
      <w:r w:rsidRPr="0011114E">
        <w:rPr>
          <w:rFonts w:ascii="Times New Roman" w:hAnsi="Times New Roman" w:eastAsiaTheme="minorEastAsia"/>
        </w:rPr>
        <w:tab/>
      </w:r>
      <w:r w:rsidR="00171A1C">
        <w:rPr>
          <w:rFonts w:ascii="Times New Roman" w:hAnsi="Times New Roman" w:eastAsiaTheme="minorEastAsia"/>
        </w:rPr>
        <w:t>frame</w:t>
      </w:r>
      <w:r w:rsidRPr="0011114E" w:rsidR="00171A1C">
        <w:rPr>
          <w:rFonts w:ascii="Times New Roman" w:hAnsi="Times New Roman" w:eastAsiaTheme="minorEastAsia"/>
        </w:rPr>
        <w:t xml:space="preserve"> </w:t>
      </w:r>
      <w:r w:rsidRPr="0011114E">
        <w:rPr>
          <w:rFonts w:ascii="Times New Roman" w:hAnsi="Times New Roman" w:eastAsiaTheme="minorEastAsia"/>
        </w:rPr>
        <w:t xml:space="preserve">(h=1 denotes self-representing units, i.e., centralized states and </w:t>
      </w:r>
      <w:r>
        <w:rPr>
          <w:rFonts w:ascii="Times New Roman" w:hAnsi="Times New Roman" w:eastAsiaTheme="minorEastAsia"/>
        </w:rPr>
        <w:t>certainty jurisdictions</w:t>
      </w:r>
      <w:r w:rsidRPr="0011114E">
        <w:rPr>
          <w:rFonts w:ascii="Times New Roman" w:hAnsi="Times New Roman" w:eastAsiaTheme="minorEastAsia"/>
        </w:rPr>
        <w:t xml:space="preserve">; and, h=2 denotes the non-self-representing </w:t>
      </w:r>
      <w:r w:rsidR="00171A1C">
        <w:rPr>
          <w:rFonts w:ascii="Times New Roman" w:hAnsi="Times New Roman" w:eastAsiaTheme="minorEastAsia"/>
        </w:rPr>
        <w:t>frame</w:t>
      </w:r>
      <w:r w:rsidRPr="0011114E" w:rsidR="00171A1C">
        <w:rPr>
          <w:rFonts w:ascii="Times New Roman" w:hAnsi="Times New Roman" w:eastAsiaTheme="minorEastAsia"/>
        </w:rPr>
        <w:t xml:space="preserve"> </w:t>
      </w:r>
      <w:r w:rsidRPr="0011114E">
        <w:rPr>
          <w:rFonts w:ascii="Times New Roman" w:hAnsi="Times New Roman" w:eastAsiaTheme="minorEastAsia"/>
        </w:rPr>
        <w:t>from which a sample of counties will be drawn)</w:t>
      </w:r>
    </w:p>
    <w:p w:rsidRPr="0011114E" w:rsidR="0011114E" w:rsidP="00F62B2E" w:rsidRDefault="00FB708D" w14:paraId="54104886" w14:textId="4D53D83D">
      <w:pPr>
        <w:pStyle w:val="L1-FlLSp12"/>
        <w:tabs>
          <w:tab w:val="clear" w:pos="1152"/>
          <w:tab w:val="center" w:pos="720"/>
          <w:tab w:val="left" w:pos="1440"/>
        </w:tabs>
        <w:spacing w:line="276" w:lineRule="auto"/>
        <w:ind w:left="1440" w:hanging="1440"/>
        <w:rPr>
          <w:rFonts w:ascii="Times New Roman" w:hAnsi="Times New Roman" w:eastAsiaTheme="minorEastAsia"/>
        </w:rPr>
      </w:pPr>
      <m:oMath>
        <m:sSubSup>
          <m:sSubSupPr>
            <m:ctrlPr>
              <w:rPr>
                <w:rFonts w:ascii="Cambria Math" w:hAnsi="Cambria Math"/>
                <w:i/>
              </w:rPr>
            </m:ctrlPr>
          </m:sSubSupPr>
          <m:e>
            <m:r>
              <w:rPr>
                <w:rFonts w:ascii="Cambria Math" w:hAnsi="Cambria Math"/>
              </w:rPr>
              <m:t>W</m:t>
            </m:r>
          </m:e>
          <m:sub>
            <m:r>
              <w:rPr>
                <w:rFonts w:ascii="Cambria Math" w:hAnsi="Cambria Math"/>
              </w:rPr>
              <m:t>h</m:t>
            </m:r>
          </m:sub>
          <m:sup>
            <m:r>
              <w:rPr>
                <w:rFonts w:ascii="Cambria Math" w:hAnsi="Cambria Math"/>
              </w:rPr>
              <m:t>2</m:t>
            </m:r>
          </m:sup>
        </m:sSubSup>
      </m:oMath>
      <w:r w:rsidRPr="0011114E" w:rsidR="0011114E">
        <w:rPr>
          <w:rFonts w:ascii="Times New Roman" w:hAnsi="Times New Roman" w:eastAsiaTheme="minorEastAsia"/>
        </w:rPr>
        <w:tab/>
        <w:t>=</w:t>
      </w:r>
      <w:r w:rsidRPr="0011114E" w:rsidR="0011114E">
        <w:rPr>
          <w:rFonts w:ascii="Times New Roman" w:hAnsi="Times New Roman" w:eastAsiaTheme="minorEastAsia"/>
        </w:rPr>
        <w:tab/>
        <w:t xml:space="preserve">the square of the population weight for </w:t>
      </w:r>
      <w:r w:rsidR="00171A1C">
        <w:rPr>
          <w:rFonts w:ascii="Times New Roman" w:hAnsi="Times New Roman" w:eastAsiaTheme="minorEastAsia"/>
        </w:rPr>
        <w:t>frame</w:t>
      </w:r>
      <w:r w:rsidRPr="0011114E" w:rsidR="00171A1C">
        <w:rPr>
          <w:rFonts w:ascii="Times New Roman" w:hAnsi="Times New Roman" w:eastAsiaTheme="minorEastAsia"/>
        </w:rPr>
        <w:t xml:space="preserve"> </w:t>
      </w:r>
      <w:r w:rsidRPr="0011114E" w:rsidR="0011114E">
        <w:rPr>
          <w:rFonts w:ascii="Times New Roman" w:hAnsi="Times New Roman" w:eastAsiaTheme="minorEastAsia"/>
          <w:i/>
        </w:rPr>
        <w:t>h</w:t>
      </w:r>
      <w:r w:rsidRPr="0011114E" w:rsidR="0011114E">
        <w:rPr>
          <w:rFonts w:ascii="Times New Roman" w:hAnsi="Times New Roman" w:eastAsiaTheme="minorEastAsia"/>
        </w:rPr>
        <w:t xml:space="preserve">, </w:t>
      </w:r>
    </w:p>
    <w:p w:rsidRPr="0011114E" w:rsidR="0011114E" w:rsidP="00F62B2E" w:rsidRDefault="0011114E" w14:paraId="0FBB27C1" w14:textId="77777777">
      <w:pPr>
        <w:pStyle w:val="L1-FlLSp12"/>
        <w:spacing w:line="276" w:lineRule="auto"/>
        <w:rPr>
          <w:rFonts w:ascii="Times New Roman" w:hAnsi="Times New Roman"/>
        </w:rPr>
      </w:pPr>
    </w:p>
    <w:p w:rsidRPr="0011114E" w:rsidR="0011114E" w:rsidP="00F62B2E" w:rsidRDefault="0011114E" w14:paraId="19F0E03F" w14:textId="4BCBC281">
      <w:pPr>
        <w:pStyle w:val="L1-FlLSp12"/>
        <w:spacing w:line="276" w:lineRule="auto"/>
        <w:rPr>
          <w:rFonts w:ascii="Times New Roman" w:hAnsi="Times New Roman"/>
        </w:rPr>
      </w:pPr>
      <w:r w:rsidRPr="0011114E">
        <w:rPr>
          <w:rFonts w:ascii="Times New Roman" w:hAnsi="Times New Roman"/>
        </w:rPr>
        <w:t>Note that for h=1, there is no sampling variance associated with the statistic</w:t>
      </w:r>
      <w:r w:rsidRPr="0011114E">
        <w:rPr>
          <w:rFonts w:ascii="Times New Roman" w:hAnsi="Times New Roman"/>
          <w:i/>
        </w:rPr>
        <w:t xml:space="preserve">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11114E">
        <w:rPr>
          <w:rFonts w:ascii="Times New Roman" w:hAnsi="Times New Roman"/>
        </w:rPr>
        <w:t xml:space="preserve"> because the data in this </w:t>
      </w:r>
      <w:r w:rsidR="00171A1C">
        <w:rPr>
          <w:rFonts w:ascii="Times New Roman" w:hAnsi="Times New Roman"/>
        </w:rPr>
        <w:t>frame</w:t>
      </w:r>
      <w:r w:rsidRPr="0011114E" w:rsidR="00171A1C">
        <w:rPr>
          <w:rFonts w:ascii="Times New Roman" w:hAnsi="Times New Roman"/>
        </w:rPr>
        <w:t xml:space="preserve"> </w:t>
      </w:r>
      <w:r w:rsidRPr="0011114E">
        <w:rPr>
          <w:rFonts w:ascii="Times New Roman" w:hAnsi="Times New Roman"/>
        </w:rPr>
        <w:t xml:space="preserve">represent a census of all cases. Thus, </w:t>
      </w:r>
    </w:p>
    <w:p w:rsidRPr="0011114E" w:rsidR="0011114E" w:rsidP="00F62B2E" w:rsidRDefault="0011114E" w14:paraId="48D78F27" w14:textId="77777777">
      <w:pPr>
        <w:pStyle w:val="L1-FlLSp12"/>
        <w:spacing w:line="276" w:lineRule="auto"/>
        <w:rPr>
          <w:rFonts w:ascii="Times New Roman" w:hAnsi="Times New Roman"/>
        </w:rPr>
      </w:pPr>
    </w:p>
    <w:p w:rsidRPr="0011114E" w:rsidR="0011114E" w:rsidP="00F62B2E" w:rsidRDefault="0011114E" w14:paraId="109BA2D6" w14:textId="77777777">
      <w:pPr>
        <w:pStyle w:val="L1-FlLSp12"/>
        <w:spacing w:line="276" w:lineRule="auto"/>
        <w:rPr>
          <w:rFonts w:ascii="Times New Roman" w:hAnsi="Times New Roman"/>
        </w:rPr>
      </w:pPr>
      <m:oMathPara>
        <m:oMath>
          <m:r>
            <w:rPr>
              <w:rFonts w:ascii="Cambria Math" w:hAnsi="Cambria Math"/>
            </w:rPr>
            <m:t>Var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=0</m:t>
          </m:r>
        </m:oMath>
      </m:oMathPara>
    </w:p>
    <w:p w:rsidRPr="0011114E" w:rsidR="0011114E" w:rsidP="00F62B2E" w:rsidRDefault="0011114E" w14:paraId="3DC2B326" w14:textId="77777777">
      <w:pPr>
        <w:pStyle w:val="L1-FlLSp12"/>
        <w:spacing w:line="276" w:lineRule="auto"/>
        <w:rPr>
          <w:rFonts w:ascii="Times New Roman" w:hAnsi="Times New Roman"/>
        </w:rPr>
      </w:pPr>
    </w:p>
    <w:p w:rsidRPr="0011114E" w:rsidR="0011114E" w:rsidP="00F62B2E" w:rsidRDefault="0011114E" w14:paraId="715F969D" w14:textId="77777777">
      <w:pPr>
        <w:pStyle w:val="L1-FlLSp12"/>
        <w:spacing w:line="276" w:lineRule="auto"/>
        <w:rPr>
          <w:rFonts w:ascii="Times New Roman" w:hAnsi="Times New Roman"/>
        </w:rPr>
      </w:pPr>
      <w:r w:rsidRPr="0011114E">
        <w:rPr>
          <w:rFonts w:ascii="Times New Roman" w:hAnsi="Times New Roman"/>
        </w:rPr>
        <w:t xml:space="preserve">and the variance of the national survey statistic </w:t>
      </w:r>
      <w:r w:rsidRPr="0011114E">
        <w:rPr>
          <w:rFonts w:ascii="Times New Roman" w:hAnsi="Times New Roman"/>
          <w:i/>
        </w:rPr>
        <w:t>t</w:t>
      </w:r>
      <w:r w:rsidRPr="0011114E">
        <w:rPr>
          <w:rFonts w:ascii="Times New Roman" w:hAnsi="Times New Roman"/>
        </w:rPr>
        <w:t xml:space="preserve"> can be simplified to</w:t>
      </w:r>
    </w:p>
    <w:p w:rsidRPr="0011114E" w:rsidR="0011114E" w:rsidP="00F62B2E" w:rsidRDefault="0011114E" w14:paraId="7B21EEC1" w14:textId="77777777">
      <w:pPr>
        <w:spacing w:line="276" w:lineRule="auto"/>
        <w:rPr>
          <w:rFonts w:ascii="Times New Roman" w:hAnsi="Times New Roman" w:eastAsiaTheme="minorEastAsia"/>
        </w:rPr>
      </w:pPr>
      <m:oMathPara>
        <m:oMath>
          <m: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2</m:t>
              </m:r>
            </m:sup>
            <m:e>
              <m:sSubSup>
                <m:sSubSupPr>
                  <m:ctrlPr>
                    <w:rPr>
                      <w:rFonts w:ascii="Cambria Math" w:hAnsi="Cambria Math"/>
                      <w:i/>
                    </w:rPr>
                  </m:ctrlPr>
                </m:sSubSupPr>
                <m:e>
                  <m:r>
                    <w:rPr>
                      <w:rFonts w:ascii="Cambria Math" w:hAnsi="Cambria Math"/>
                    </w:rPr>
                    <m:t>W</m:t>
                  </m:r>
                </m:e>
                <m:sub>
                  <m:r>
                    <w:rPr>
                      <w:rFonts w:ascii="Cambria Math" w:hAnsi="Cambria Math"/>
                    </w:rPr>
                    <m:t>h</m:t>
                  </m:r>
                </m:sub>
                <m:sup>
                  <m:r>
                    <w:rPr>
                      <w:rFonts w:ascii="Cambria Math" w:hAnsi="Cambria Math"/>
                    </w:rPr>
                    <m:t>2</m:t>
                  </m:r>
                </m:sup>
              </m:sSubSup>
              <m:sSub>
                <m:sSubPr>
                  <m:ctrlPr>
                    <w:rPr>
                      <w:rFonts w:ascii="Cambria Math" w:hAnsi="Cambria Math"/>
                      <w:i/>
                    </w:rPr>
                  </m:ctrlPr>
                </m:sSubPr>
                <m:e>
                  <m:r>
                    <w:rPr>
                      <w:rFonts w:ascii="Cambria Math" w:hAnsi="Cambria Math"/>
                    </w:rPr>
                    <m:t>Var(t</m:t>
                  </m:r>
                </m:e>
                <m:sub>
                  <m:r>
                    <w:rPr>
                      <w:rFonts w:ascii="Cambria Math" w:hAnsi="Cambria Math"/>
                    </w:rPr>
                    <m:t>h</m:t>
                  </m:r>
                </m:sub>
              </m:sSub>
              <m:r>
                <w:rPr>
                  <w:rFonts w:ascii="Cambria Math" w:hAnsi="Cambria Math"/>
                </w:rPr>
                <m:t xml:space="preserve">)= </m:t>
              </m:r>
              <m:sSubSup>
                <m:sSubSupPr>
                  <m:ctrlPr>
                    <w:rPr>
                      <w:rFonts w:ascii="Cambria Math" w:hAnsi="Cambria Math"/>
                      <w:i/>
                    </w:rPr>
                  </m:ctrlPr>
                </m:sSubSupPr>
                <m:e>
                  <m:r>
                    <w:rPr>
                      <w:rFonts w:ascii="Cambria Math" w:hAnsi="Cambria Math"/>
                    </w:rPr>
                    <m:t>W</m:t>
                  </m:r>
                </m:e>
                <m:sub>
                  <m:r>
                    <w:rPr>
                      <w:rFonts w:ascii="Cambria Math" w:hAnsi="Cambria Math"/>
                    </w:rPr>
                    <m:t>2</m:t>
                  </m:r>
                </m:sub>
                <m:sup>
                  <m:r>
                    <w:rPr>
                      <w:rFonts w:ascii="Cambria Math" w:hAnsi="Cambria Math"/>
                    </w:rPr>
                    <m:t>2</m:t>
                  </m:r>
                </m:sup>
              </m:sSubSup>
              <m:r>
                <w:rPr>
                  <w:rFonts w:ascii="Cambria Math" w:hAnsi="Cambria Math"/>
                </w:rPr>
                <m:t>Var(</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 xml:space="preserve">) </m:t>
              </m:r>
            </m:e>
          </m:nary>
        </m:oMath>
      </m:oMathPara>
    </w:p>
    <w:p w:rsidRPr="0011114E" w:rsidR="0011114E" w:rsidP="00F62B2E" w:rsidRDefault="0011114E" w14:paraId="5FD16DB4" w14:textId="77777777">
      <w:pPr>
        <w:pStyle w:val="L1-FlLSp12"/>
        <w:spacing w:line="276" w:lineRule="auto"/>
        <w:rPr>
          <w:rFonts w:ascii="Times New Roman" w:hAnsi="Times New Roman"/>
        </w:rPr>
      </w:pPr>
    </w:p>
    <w:p w:rsidRPr="0011114E" w:rsidR="0011114E" w:rsidP="00F62B2E" w:rsidRDefault="00F1179A" w14:paraId="006A7B85" w14:textId="4BF10E1F">
      <w:pPr>
        <w:pStyle w:val="L1-FlLSp12"/>
        <w:spacing w:line="276" w:lineRule="auto"/>
        <w:rPr>
          <w:rFonts w:ascii="Times New Roman" w:hAnsi="Times New Roman"/>
        </w:rPr>
      </w:pPr>
      <w:r w:rsidRPr="0011114E">
        <w:rPr>
          <w:rFonts w:ascii="Times New Roman" w:hAnsi="Times New Roman"/>
        </w:rPr>
        <w:t xml:space="preserve">For </w:t>
      </w:r>
      <w:r w:rsidRPr="0011114E" w:rsidR="0011114E">
        <w:rPr>
          <w:rFonts w:ascii="Times New Roman" w:hAnsi="Times New Roman"/>
        </w:rPr>
        <w:t xml:space="preserve">the non-self-representing </w:t>
      </w:r>
      <w:r w:rsidR="00171A1C">
        <w:rPr>
          <w:rFonts w:ascii="Times New Roman" w:hAnsi="Times New Roman"/>
        </w:rPr>
        <w:t>frame</w:t>
      </w:r>
      <w:r w:rsidRPr="0011114E" w:rsidR="00171A1C">
        <w:rPr>
          <w:rFonts w:ascii="Times New Roman" w:hAnsi="Times New Roman"/>
        </w:rPr>
        <w:t xml:space="preserve"> </w:t>
      </w:r>
      <w:r w:rsidRPr="00F1179A">
        <w:rPr>
          <w:rFonts w:ascii="Times New Roman" w:hAnsi="Times New Roman"/>
        </w:rPr>
        <w:t>(</w:t>
      </w:r>
      <w:r w:rsidRPr="0011114E" w:rsidR="0011114E">
        <w:rPr>
          <w:rFonts w:ascii="Times New Roman" w:hAnsi="Times New Roman"/>
          <w:i/>
        </w:rPr>
        <w:t>h</w:t>
      </w:r>
      <w:r w:rsidRPr="0011114E" w:rsidR="0011114E">
        <w:rPr>
          <w:rFonts w:ascii="Times New Roman" w:hAnsi="Times New Roman"/>
        </w:rPr>
        <w:t>=2</w:t>
      </w:r>
      <w:r>
        <w:rPr>
          <w:rFonts w:ascii="Times New Roman" w:hAnsi="Times New Roman"/>
        </w:rPr>
        <w:t>)</w:t>
      </w:r>
      <w:r w:rsidRPr="0011114E" w:rsidR="0011114E">
        <w:rPr>
          <w:rFonts w:ascii="Times New Roman" w:hAnsi="Times New Roman"/>
        </w:rPr>
        <w:t xml:space="preserve">, </w:t>
      </w:r>
      <w:r>
        <w:rPr>
          <w:rFonts w:ascii="Times New Roman" w:hAnsi="Times New Roman"/>
        </w:rPr>
        <w:t xml:space="preserve">presumably, all court data relevant to the </w:t>
      </w:r>
      <w:r w:rsidR="00317BE5">
        <w:rPr>
          <w:rFonts w:ascii="Times New Roman" w:hAnsi="Times New Roman"/>
        </w:rPr>
        <w:t>CCSC</w:t>
      </w:r>
      <w:r>
        <w:rPr>
          <w:rFonts w:ascii="Times New Roman" w:hAnsi="Times New Roman"/>
        </w:rPr>
        <w:t xml:space="preserve"> study will be collected for </w:t>
      </w:r>
      <w:r w:rsidRPr="0011114E" w:rsidR="0011114E">
        <w:rPr>
          <w:rFonts w:ascii="Times New Roman" w:hAnsi="Times New Roman"/>
        </w:rPr>
        <w:t xml:space="preserve">sampled counties. </w:t>
      </w:r>
      <w:r>
        <w:rPr>
          <w:rFonts w:ascii="Times New Roman" w:hAnsi="Times New Roman"/>
        </w:rPr>
        <w:t xml:space="preserve">As such, </w:t>
      </w:r>
      <w:r w:rsidRPr="0011114E" w:rsidR="0011114E">
        <w:rPr>
          <w:rFonts w:ascii="Times New Roman" w:hAnsi="Times New Roman"/>
        </w:rPr>
        <w:t>there is no within-county (i.e., within-cluster) variation because a</w:t>
      </w:r>
      <w:r w:rsidR="008C6F6F">
        <w:rPr>
          <w:rFonts w:ascii="Times New Roman" w:hAnsi="Times New Roman"/>
        </w:rPr>
        <w:t>ll cases are</w:t>
      </w:r>
      <w:r w:rsidRPr="0011114E" w:rsidR="0011114E">
        <w:rPr>
          <w:rFonts w:ascii="Times New Roman" w:hAnsi="Times New Roman"/>
        </w:rPr>
        <w:t xml:space="preserve"> being taken within each sampled county in </w:t>
      </w:r>
      <w:r w:rsidR="00171A1C">
        <w:rPr>
          <w:rFonts w:ascii="Times New Roman" w:hAnsi="Times New Roman"/>
        </w:rPr>
        <w:t>frame</w:t>
      </w:r>
      <w:r w:rsidRPr="0011114E" w:rsidR="00171A1C">
        <w:rPr>
          <w:rFonts w:ascii="Times New Roman" w:hAnsi="Times New Roman"/>
        </w:rPr>
        <w:t xml:space="preserve"> </w:t>
      </w:r>
      <w:r w:rsidRPr="0011114E" w:rsidR="0011114E">
        <w:rPr>
          <w:rFonts w:ascii="Times New Roman" w:hAnsi="Times New Roman"/>
        </w:rPr>
        <w:t xml:space="preserve">2. </w:t>
      </w:r>
      <w:r w:rsidR="008C6F6F">
        <w:rPr>
          <w:rFonts w:ascii="Times New Roman" w:hAnsi="Times New Roman"/>
        </w:rPr>
        <w:t>T</w:t>
      </w:r>
      <w:r w:rsidRPr="0011114E" w:rsidR="0011114E">
        <w:rPr>
          <w:rFonts w:ascii="Times New Roman" w:hAnsi="Times New Roman"/>
        </w:rPr>
        <w:t>he only source of variation is between sampled counties based on county level statistics aggregated from the court cases within each non-self-representing county.</w:t>
      </w:r>
      <w:r>
        <w:rPr>
          <w:rFonts w:ascii="Times New Roman" w:hAnsi="Times New Roman"/>
        </w:rPr>
        <w:t xml:space="preserve"> </w:t>
      </w:r>
      <w:r w:rsidR="008C6F6F">
        <w:rPr>
          <w:rFonts w:ascii="Times New Roman" w:hAnsi="Times New Roman"/>
        </w:rPr>
        <w:t>Consequently</w:t>
      </w:r>
      <w:r>
        <w:rPr>
          <w:rFonts w:ascii="Times New Roman" w:hAnsi="Times New Roman"/>
        </w:rPr>
        <w:t xml:space="preserve">, the </w:t>
      </w:r>
      <w:r w:rsidRPr="0011114E" w:rsidR="0011114E">
        <w:rPr>
          <w:rFonts w:ascii="Times New Roman" w:hAnsi="Times New Roman"/>
        </w:rPr>
        <w:t xml:space="preserve">number of sampled </w:t>
      </w:r>
      <w:r w:rsidRPr="0011114E" w:rsidR="0011114E">
        <w:rPr>
          <w:rFonts w:ascii="Times New Roman" w:hAnsi="Times New Roman"/>
        </w:rPr>
        <w:lastRenderedPageBreak/>
        <w:t xml:space="preserve">non-self-representing counties in </w:t>
      </w:r>
      <w:r w:rsidR="00171A1C">
        <w:rPr>
          <w:rFonts w:ascii="Times New Roman" w:hAnsi="Times New Roman"/>
        </w:rPr>
        <w:t>frame</w:t>
      </w:r>
      <w:r w:rsidRPr="0011114E" w:rsidR="00171A1C">
        <w:rPr>
          <w:rFonts w:ascii="Times New Roman" w:hAnsi="Times New Roman"/>
        </w:rPr>
        <w:t xml:space="preserve"> </w:t>
      </w:r>
      <w:r w:rsidRPr="0011114E" w:rsidR="0011114E">
        <w:rPr>
          <w:rFonts w:ascii="Times New Roman" w:hAnsi="Times New Roman"/>
        </w:rPr>
        <w:t xml:space="preserve">2 will </w:t>
      </w:r>
      <w:r>
        <w:rPr>
          <w:rFonts w:ascii="Times New Roman" w:hAnsi="Times New Roman"/>
        </w:rPr>
        <w:t xml:space="preserve">primarily determine the </w:t>
      </w:r>
      <w:r w:rsidRPr="0011114E" w:rsidR="0011114E">
        <w:rPr>
          <w:rFonts w:ascii="Times New Roman" w:hAnsi="Times New Roman"/>
        </w:rPr>
        <w:t xml:space="preserve">statistical precision of the survey estimates. </w:t>
      </w:r>
    </w:p>
    <w:p w:rsidRPr="0011114E" w:rsidR="0011114E" w:rsidP="00F62B2E" w:rsidRDefault="0011114E" w14:paraId="10114ABA" w14:textId="77777777">
      <w:pPr>
        <w:pStyle w:val="L1-FlLSp12"/>
        <w:spacing w:line="276" w:lineRule="auto"/>
        <w:rPr>
          <w:rFonts w:ascii="Times New Roman" w:hAnsi="Times New Roman"/>
        </w:rPr>
      </w:pPr>
    </w:p>
    <w:p w:rsidRPr="0011114E" w:rsidR="0011114E" w:rsidP="00F62B2E" w:rsidRDefault="0011114E" w14:paraId="026C77E6" w14:textId="19702D0C">
      <w:pPr>
        <w:pStyle w:val="L1-FlLSp12"/>
        <w:spacing w:line="276" w:lineRule="auto"/>
        <w:rPr>
          <w:rFonts w:ascii="Times New Roman" w:hAnsi="Times New Roman"/>
        </w:rPr>
      </w:pPr>
      <w:r w:rsidRPr="0011114E">
        <w:rPr>
          <w:rFonts w:ascii="Times New Roman" w:hAnsi="Times New Roman"/>
        </w:rPr>
        <w:t xml:space="preserve">Indexing the non-self-representing sampled counties by </w:t>
      </w:r>
      <w:r w:rsidRPr="0011114E">
        <w:rPr>
          <w:rFonts w:ascii="Times New Roman" w:hAnsi="Times New Roman"/>
          <w:i/>
        </w:rPr>
        <w:t>j</w:t>
      </w:r>
      <w:r w:rsidRPr="0011114E">
        <w:rPr>
          <w:rFonts w:ascii="Times New Roman" w:hAnsi="Times New Roman"/>
        </w:rPr>
        <w:t xml:space="preserve"> for h=2, the statistic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11114E">
        <w:rPr>
          <w:rFonts w:ascii="Times New Roman" w:hAnsi="Times New Roman"/>
        </w:rPr>
        <w:t xml:space="preserve"> as a mean (i.e., average, proportion, percentage) takes the</w:t>
      </w:r>
      <w:r w:rsidR="00E117AA">
        <w:rPr>
          <w:rFonts w:ascii="Times New Roman" w:hAnsi="Times New Roman"/>
        </w:rPr>
        <w:t xml:space="preserve"> following</w:t>
      </w:r>
      <w:r w:rsidRPr="0011114E">
        <w:rPr>
          <w:rFonts w:ascii="Times New Roman" w:hAnsi="Times New Roman"/>
        </w:rPr>
        <w:t xml:space="preserve"> form:</w:t>
      </w:r>
    </w:p>
    <w:p w:rsidRPr="0011114E" w:rsidR="0011114E" w:rsidP="00F62B2E" w:rsidRDefault="00FB708D" w14:paraId="1640659F" w14:textId="77777777">
      <w:pPr>
        <w:pStyle w:val="L1-FlLSp12"/>
        <w:spacing w:line="276" w:lineRule="auto"/>
        <w:rPr>
          <w:rFonts w:ascii="Times New Roman" w:hAnsi="Times New Roman"/>
        </w:rPr>
      </w:pPr>
      <m:oMathPara>
        <m:oMath>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ary>
                <m:naryPr>
                  <m:chr m:val="∑"/>
                  <m:limLoc m:val="undOvr"/>
                  <m:ctrlPr>
                    <w:rPr>
                      <w:rFonts w:ascii="Cambria Math" w:hAnsi="Cambria Math"/>
                      <w:i/>
                    </w:rPr>
                  </m:ctrlPr>
                </m:naryPr>
                <m:sub>
                  <m:r>
                    <w:rPr>
                      <w:rFonts w:ascii="Cambria Math" w:hAnsi="Cambria Math"/>
                    </w:rPr>
                    <m:t>j</m:t>
                  </m:r>
                </m:sub>
                <m:sup>
                  <m:sSub>
                    <m:sSubPr>
                      <m:ctrlPr>
                        <w:rPr>
                          <w:rFonts w:ascii="Cambria Math" w:hAnsi="Cambria Math"/>
                          <w:i/>
                        </w:rPr>
                      </m:ctrlPr>
                    </m:sSubPr>
                    <m:e>
                      <m:r>
                        <w:rPr>
                          <w:rFonts w:ascii="Cambria Math" w:hAnsi="Cambria Math"/>
                        </w:rPr>
                        <m:t>n</m:t>
                      </m:r>
                    </m:e>
                    <m:sub>
                      <m:r>
                        <w:rPr>
                          <w:rFonts w:ascii="Cambria Math" w:hAnsi="Cambria Math"/>
                        </w:rPr>
                        <m:t>2</m:t>
                      </m:r>
                    </m:sub>
                  </m:sSub>
                </m:sup>
                <m:e>
                  <m:sSub>
                    <m:sSubPr>
                      <m:ctrlPr>
                        <w:rPr>
                          <w:rFonts w:ascii="Cambria Math" w:hAnsi="Cambria Math"/>
                          <w:i/>
                        </w:rPr>
                      </m:ctrlPr>
                    </m:sSubPr>
                    <m:e>
                      <m:r>
                        <w:rPr>
                          <w:rFonts w:ascii="Cambria Math" w:hAnsi="Cambria Math"/>
                        </w:rPr>
                        <m:t>ω</m:t>
                      </m:r>
                    </m:e>
                    <m:sub>
                      <m:r>
                        <w:rPr>
                          <w:rFonts w:ascii="Cambria Math" w:hAnsi="Cambria Math"/>
                        </w:rPr>
                        <m:t>j</m:t>
                      </m:r>
                    </m:sub>
                  </m:sSub>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2</m:t>
                          </m:r>
                        </m:e>
                        <m:sub>
                          <m:r>
                            <w:rPr>
                              <w:rFonts w:ascii="Cambria Math" w:hAnsi="Cambria Math"/>
                            </w:rPr>
                            <m:t>j</m:t>
                          </m:r>
                        </m:sub>
                      </m:sSub>
                    </m:sub>
                  </m:sSub>
                </m:e>
              </m:nary>
            </m:num>
            <m:den>
              <m:nary>
                <m:naryPr>
                  <m:chr m:val="∑"/>
                  <m:limLoc m:val="undOvr"/>
                  <m:ctrlPr>
                    <w:rPr>
                      <w:rFonts w:ascii="Cambria Math" w:hAnsi="Cambria Math"/>
                      <w:i/>
                    </w:rPr>
                  </m:ctrlPr>
                </m:naryPr>
                <m:sub>
                  <m:r>
                    <w:rPr>
                      <w:rFonts w:ascii="Cambria Math" w:hAnsi="Cambria Math"/>
                    </w:rPr>
                    <m:t>j</m:t>
                  </m:r>
                </m:sub>
                <m:sup>
                  <m:sSub>
                    <m:sSubPr>
                      <m:ctrlPr>
                        <w:rPr>
                          <w:rFonts w:ascii="Cambria Math" w:hAnsi="Cambria Math"/>
                          <w:i/>
                        </w:rPr>
                      </m:ctrlPr>
                    </m:sSubPr>
                    <m:e>
                      <m:r>
                        <w:rPr>
                          <w:rFonts w:ascii="Cambria Math" w:hAnsi="Cambria Math"/>
                        </w:rPr>
                        <m:t>n</m:t>
                      </m:r>
                    </m:e>
                    <m:sub>
                      <m:r>
                        <w:rPr>
                          <w:rFonts w:ascii="Cambria Math" w:hAnsi="Cambria Math"/>
                        </w:rPr>
                        <m:t>2</m:t>
                      </m:r>
                    </m:sub>
                  </m:sSub>
                </m:sup>
                <m:e>
                  <m:sSub>
                    <m:sSubPr>
                      <m:ctrlPr>
                        <w:rPr>
                          <w:rFonts w:ascii="Cambria Math" w:hAnsi="Cambria Math"/>
                          <w:i/>
                        </w:rPr>
                      </m:ctrlPr>
                    </m:sSubPr>
                    <m:e>
                      <m:r>
                        <w:rPr>
                          <w:rFonts w:ascii="Cambria Math" w:hAnsi="Cambria Math"/>
                        </w:rPr>
                        <m:t>ω</m:t>
                      </m:r>
                    </m:e>
                    <m:sub>
                      <m:r>
                        <w:rPr>
                          <w:rFonts w:ascii="Cambria Math" w:hAnsi="Cambria Math"/>
                        </w:rPr>
                        <m:t>j</m:t>
                      </m:r>
                    </m:sub>
                  </m:sSub>
                </m:e>
              </m:nary>
            </m:den>
          </m:f>
        </m:oMath>
      </m:oMathPara>
    </w:p>
    <w:p w:rsidRPr="0011114E" w:rsidR="0011114E" w:rsidP="00F62B2E" w:rsidRDefault="0011114E" w14:paraId="3F87434B" w14:textId="77777777">
      <w:pPr>
        <w:pStyle w:val="L1-FlLSp12"/>
        <w:spacing w:line="276" w:lineRule="auto"/>
        <w:rPr>
          <w:rFonts w:ascii="Times New Roman" w:hAnsi="Times New Roman"/>
        </w:rPr>
      </w:pPr>
    </w:p>
    <w:p w:rsidRPr="0011114E" w:rsidR="0011114E" w:rsidP="00F62B2E" w:rsidRDefault="003D3E65" w14:paraId="432D61C2" w14:textId="79B785F6">
      <w:pPr>
        <w:pStyle w:val="L1-FlLSp12"/>
        <w:spacing w:line="276" w:lineRule="auto"/>
        <w:rPr>
          <w:rFonts w:ascii="Times New Roman" w:hAnsi="Times New Roman"/>
        </w:rPr>
      </w:pPr>
      <w:r>
        <w:rPr>
          <w:rFonts w:ascii="Times New Roman" w:hAnsi="Times New Roman"/>
        </w:rPr>
        <w:t>w</w:t>
      </w:r>
      <w:r w:rsidRPr="0011114E" w:rsidR="0011114E">
        <w:rPr>
          <w:rFonts w:ascii="Times New Roman" w:hAnsi="Times New Roman"/>
        </w:rPr>
        <w:t xml:space="preserve">here </w:t>
      </w:r>
      <m:oMath>
        <m:sSub>
          <m:sSubPr>
            <m:ctrlPr>
              <w:rPr>
                <w:rFonts w:ascii="Cambria Math" w:hAnsi="Cambria Math"/>
                <w:i/>
              </w:rPr>
            </m:ctrlPr>
          </m:sSubPr>
          <m:e>
            <m:r>
              <w:rPr>
                <w:rFonts w:ascii="Cambria Math" w:hAnsi="Cambria Math"/>
              </w:rPr>
              <m:t>ω</m:t>
            </m:r>
          </m:e>
          <m:sub>
            <m:r>
              <w:rPr>
                <w:rFonts w:ascii="Cambria Math" w:hAnsi="Cambria Math"/>
              </w:rPr>
              <m:t>j</m:t>
            </m:r>
          </m:sub>
        </m:sSub>
      </m:oMath>
      <w:r w:rsidRPr="0011114E" w:rsidR="0011114E">
        <w:rPr>
          <w:rFonts w:ascii="Times New Roman" w:hAnsi="Times New Roman"/>
        </w:rPr>
        <w:t xml:space="preserve"> denotes an analytic weight for county </w:t>
      </w:r>
      <w:r w:rsidRPr="0011114E" w:rsidR="0011114E">
        <w:rPr>
          <w:rFonts w:ascii="Times New Roman" w:hAnsi="Times New Roman"/>
          <w:i/>
        </w:rPr>
        <w:t>j</w:t>
      </w:r>
      <w:r w:rsidRPr="0011114E" w:rsidR="0011114E">
        <w:rPr>
          <w:rFonts w:ascii="Times New Roman" w:hAnsi="Times New Roman"/>
        </w:rPr>
        <w:t xml:space="preserve"> in the non-self-representing </w:t>
      </w:r>
      <w:r w:rsidR="00171A1C">
        <w:rPr>
          <w:rFonts w:ascii="Times New Roman" w:hAnsi="Times New Roman"/>
        </w:rPr>
        <w:t>frame</w:t>
      </w:r>
      <w:r w:rsidRPr="0011114E" w:rsidR="00171A1C">
        <w:rPr>
          <w:rFonts w:ascii="Times New Roman" w:hAnsi="Times New Roman"/>
        </w:rPr>
        <w:t xml:space="preserve"> </w:t>
      </w:r>
      <w:r w:rsidRPr="0011114E" w:rsidR="0011114E">
        <w:rPr>
          <w:rFonts w:ascii="Times New Roman" w:hAnsi="Times New Roman"/>
        </w:rPr>
        <w:t xml:space="preserve">2, and </w:t>
      </w:r>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2</m:t>
                </m:r>
              </m:e>
              <m:sub>
                <m:r>
                  <w:rPr>
                    <w:rFonts w:ascii="Cambria Math" w:hAnsi="Cambria Math"/>
                  </w:rPr>
                  <m:t>j</m:t>
                </m:r>
              </m:sub>
            </m:sSub>
          </m:sub>
        </m:sSub>
      </m:oMath>
      <w:r w:rsidRPr="0011114E" w:rsidR="0011114E">
        <w:rPr>
          <w:rFonts w:ascii="Times New Roman" w:hAnsi="Times New Roman"/>
        </w:rPr>
        <w:t xml:space="preserve"> is the aggregated statistic t from county </w:t>
      </w:r>
      <w:r w:rsidRPr="0011114E" w:rsidR="0011114E">
        <w:rPr>
          <w:rFonts w:ascii="Times New Roman" w:hAnsi="Times New Roman"/>
          <w:i/>
        </w:rPr>
        <w:t>j</w:t>
      </w:r>
      <w:r w:rsidRPr="0011114E" w:rsidR="0011114E">
        <w:rPr>
          <w:rFonts w:ascii="Times New Roman" w:hAnsi="Times New Roman"/>
        </w:rPr>
        <w:t xml:space="preserve"> in </w:t>
      </w:r>
      <w:r w:rsidR="00171A1C">
        <w:rPr>
          <w:rFonts w:ascii="Times New Roman" w:hAnsi="Times New Roman"/>
        </w:rPr>
        <w:t>frame</w:t>
      </w:r>
      <w:r w:rsidRPr="0011114E" w:rsidR="00171A1C">
        <w:rPr>
          <w:rFonts w:ascii="Times New Roman" w:hAnsi="Times New Roman"/>
        </w:rPr>
        <w:t xml:space="preserve"> </w:t>
      </w:r>
      <w:r w:rsidRPr="0011114E" w:rsidR="0011114E">
        <w:rPr>
          <w:rFonts w:ascii="Times New Roman" w:hAnsi="Times New Roman"/>
        </w:rPr>
        <w:t>2.</w:t>
      </w:r>
    </w:p>
    <w:p w:rsidRPr="0011114E" w:rsidR="0011114E" w:rsidP="00F62B2E" w:rsidRDefault="0011114E" w14:paraId="3F0C38FA" w14:textId="77777777">
      <w:pPr>
        <w:pStyle w:val="L1-FlLSp12"/>
        <w:spacing w:line="276" w:lineRule="auto"/>
        <w:rPr>
          <w:rFonts w:ascii="Times New Roman" w:hAnsi="Times New Roman"/>
        </w:rPr>
      </w:pPr>
    </w:p>
    <w:p w:rsidRPr="0011114E" w:rsidR="0011114E" w:rsidP="00F62B2E" w:rsidRDefault="0011114E" w14:paraId="52F29F11" w14:textId="29E168BC">
      <w:pPr>
        <w:pStyle w:val="L1-FlLSp12"/>
        <w:spacing w:line="276" w:lineRule="auto"/>
        <w:rPr>
          <w:rFonts w:ascii="Times New Roman" w:hAnsi="Times New Roman"/>
        </w:rPr>
      </w:pPr>
      <w:r w:rsidRPr="0011114E">
        <w:rPr>
          <w:rFonts w:ascii="Times New Roman" w:hAnsi="Times New Roman"/>
        </w:rPr>
        <w:t xml:space="preserve">The variance of statistic </w:t>
      </w: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 xml:space="preserve"> </m:t>
        </m:r>
      </m:oMath>
      <w:r w:rsidRPr="0011114E">
        <w:rPr>
          <w:rFonts w:ascii="Times New Roman" w:hAnsi="Times New Roman"/>
        </w:rPr>
        <w:t xml:space="preserve">simplifies considerably when </w:t>
      </w:r>
      <w:r w:rsidRPr="0011114E">
        <w:rPr>
          <w:rFonts w:ascii="Times New Roman" w:hAnsi="Times New Roman"/>
          <w:i/>
        </w:rPr>
        <w:t>t</w:t>
      </w:r>
      <w:r w:rsidRPr="0011114E">
        <w:rPr>
          <w:rFonts w:ascii="Times New Roman" w:hAnsi="Times New Roman"/>
        </w:rPr>
        <w:t xml:space="preserve"> is an estimated proportion (or a percentage).  In this case the variance of </w:t>
      </w:r>
      <m:oMath>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 xml:space="preserve"> </m:t>
        </m:r>
      </m:oMath>
      <w:r w:rsidRPr="0011114E">
        <w:rPr>
          <w:rFonts w:ascii="Times New Roman" w:hAnsi="Times New Roman"/>
        </w:rPr>
        <w:t>can be written as:</w:t>
      </w:r>
    </w:p>
    <w:p w:rsidRPr="0011114E" w:rsidR="0011114E" w:rsidP="00F62B2E" w:rsidRDefault="0011114E" w14:paraId="40CD3D9F" w14:textId="77777777">
      <w:pPr>
        <w:pStyle w:val="L1-FlLSp12"/>
        <w:spacing w:line="276" w:lineRule="auto"/>
        <w:rPr>
          <w:rFonts w:ascii="Times New Roman" w:hAnsi="Times New Roman"/>
        </w:rPr>
      </w:pPr>
    </w:p>
    <w:p w:rsidRPr="0011114E" w:rsidR="0011114E" w:rsidP="00F62B2E" w:rsidRDefault="0011114E" w14:paraId="1CC1CC90" w14:textId="77777777">
      <w:pPr>
        <w:pStyle w:val="L1-FlLSp12"/>
        <w:spacing w:line="276" w:lineRule="auto"/>
        <w:rPr>
          <w:rFonts w:ascii="Times New Roman" w:hAnsi="Times New Roman"/>
        </w:rPr>
      </w:pPr>
      <m:oMathPara>
        <m:oMath>
          <m:r>
            <w:rPr>
              <w:rFonts w:ascii="Cambria Math" w:hAnsi="Cambria Math"/>
            </w:rPr>
            <m:t>Var</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e>
          </m:d>
          <m:r>
            <w:rPr>
              <w:rFonts w:ascii="Cambria Math" w:hAnsi="Cambria Math"/>
            </w:rPr>
            <m:t>=DEF</m:t>
          </m:r>
          <m:sSub>
            <m:sSubPr>
              <m:ctrlPr>
                <w:rPr>
                  <w:rFonts w:ascii="Cambria Math" w:hAnsi="Cambria Math"/>
                  <w:i/>
                </w:rPr>
              </m:ctrlPr>
            </m:sSubPr>
            <m:e>
              <m:r>
                <w:rPr>
                  <w:rFonts w:ascii="Cambria Math" w:hAnsi="Cambria Math"/>
                </w:rPr>
                <m:t>F</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m:oMathPara>
    </w:p>
    <w:p w:rsidRPr="0011114E" w:rsidR="0011114E" w:rsidP="00F62B2E" w:rsidRDefault="0011114E" w14:paraId="51D174F2" w14:textId="77777777">
      <w:pPr>
        <w:pStyle w:val="L1-FlLSp12"/>
        <w:spacing w:line="276" w:lineRule="auto"/>
        <w:rPr>
          <w:rFonts w:ascii="Times New Roman" w:hAnsi="Times New Roman"/>
        </w:rPr>
      </w:pPr>
    </w:p>
    <w:p w:rsidRPr="0011114E" w:rsidR="0011114E" w:rsidP="00F62B2E" w:rsidRDefault="0011114E" w14:paraId="6B805070" w14:textId="02DAA197">
      <w:pPr>
        <w:pStyle w:val="L1-FlLSp12"/>
        <w:spacing w:line="276" w:lineRule="auto"/>
        <w:rPr>
          <w:rFonts w:ascii="Times New Roman" w:hAnsi="Times New Roman"/>
        </w:rPr>
      </w:pPr>
      <w:r w:rsidRPr="0011114E">
        <w:rPr>
          <w:rFonts w:ascii="Times New Roman" w:hAnsi="Times New Roman"/>
        </w:rPr>
        <w:t xml:space="preserve">where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11114E">
        <w:rPr>
          <w:rFonts w:ascii="Times New Roman" w:hAnsi="Times New Roman"/>
        </w:rPr>
        <w:t xml:space="preserve"> is the estimated proportion from the </w:t>
      </w:r>
      <w:r w:rsidR="00171A1C">
        <w:rPr>
          <w:rFonts w:ascii="Times New Roman" w:hAnsi="Times New Roman"/>
        </w:rPr>
        <w:t>frame</w:t>
      </w:r>
      <w:r w:rsidRPr="0011114E" w:rsidR="00171A1C">
        <w:rPr>
          <w:rFonts w:ascii="Times New Roman" w:hAnsi="Times New Roman"/>
        </w:rPr>
        <w:t xml:space="preserve"> </w:t>
      </w:r>
      <w:r w:rsidRPr="0011114E">
        <w:rPr>
          <w:rFonts w:ascii="Times New Roman" w:hAnsi="Times New Roman"/>
        </w:rPr>
        <w:t xml:space="preserve">2 sample (calculated using analytic weights that reflect the </w:t>
      </w:r>
      <w:r w:rsidR="00F1179A">
        <w:rPr>
          <w:rFonts w:ascii="Times New Roman" w:hAnsi="Times New Roman"/>
        </w:rPr>
        <w:t>unequal probability of each sampled county</w:t>
      </w:r>
      <w:r w:rsidR="008F10B3">
        <w:rPr>
          <w:rFonts w:ascii="Times New Roman" w:hAnsi="Times New Roman"/>
        </w:rPr>
        <w:t xml:space="preserve"> from </w:t>
      </w:r>
      <w:r w:rsidR="00F1179A">
        <w:rPr>
          <w:rFonts w:ascii="Times New Roman" w:hAnsi="Times New Roman"/>
        </w:rPr>
        <w:t>probability proportional to size (PPS) selection</w:t>
      </w:r>
      <w:r w:rsidR="008F10B3">
        <w:rPr>
          <w:rFonts w:ascii="Times New Roman" w:hAnsi="Times New Roman"/>
        </w:rPr>
        <w:t xml:space="preserve">), </w:t>
      </w:r>
      <w:r w:rsidRPr="0011114E">
        <w:rPr>
          <w:rFonts w:ascii="Times New Roman" w:hAnsi="Times New Roman"/>
        </w:rPr>
        <w:t xml:space="preserve">and </w:t>
      </w:r>
      <m:oMath>
        <m:sSub>
          <m:sSubPr>
            <m:ctrlPr>
              <w:rPr>
                <w:rFonts w:ascii="Cambria Math" w:hAnsi="Cambria Math"/>
                <w:i/>
              </w:rPr>
            </m:ctrlPr>
          </m:sSubPr>
          <m:e>
            <m:r>
              <w:rPr>
                <w:rFonts w:ascii="Cambria Math" w:hAnsi="Cambria Math"/>
              </w:rPr>
              <m:t>DEFF</m:t>
            </m:r>
          </m:e>
          <m:sub>
            <m:r>
              <w:rPr>
                <w:rFonts w:ascii="Cambria Math" w:hAnsi="Cambria Math"/>
              </w:rPr>
              <m:t>w</m:t>
            </m:r>
          </m:sub>
        </m:sSub>
      </m:oMath>
      <w:r w:rsidRPr="0011114E">
        <w:rPr>
          <w:rFonts w:ascii="Times New Roman" w:hAnsi="Times New Roman"/>
        </w:rPr>
        <w:t xml:space="preserve"> represents the design effect due to weighting (i.e., the weighting effect). The term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11114E">
        <w:rPr>
          <w:rFonts w:ascii="Times New Roman" w:hAnsi="Times New Roman"/>
        </w:rPr>
        <w:t xml:space="preserve"> denotes the number of non-self-representing counties sampled in </w:t>
      </w:r>
      <w:r w:rsidR="00171A1C">
        <w:rPr>
          <w:rFonts w:ascii="Times New Roman" w:hAnsi="Times New Roman"/>
        </w:rPr>
        <w:t>frame</w:t>
      </w:r>
      <w:r w:rsidRPr="0011114E" w:rsidR="00171A1C">
        <w:rPr>
          <w:rFonts w:ascii="Times New Roman" w:hAnsi="Times New Roman"/>
        </w:rPr>
        <w:t xml:space="preserve"> </w:t>
      </w:r>
      <w:r w:rsidRPr="0011114E">
        <w:rPr>
          <w:rFonts w:ascii="Times New Roman" w:hAnsi="Times New Roman"/>
        </w:rPr>
        <w:t>2.</w:t>
      </w:r>
    </w:p>
    <w:p w:rsidRPr="0011114E" w:rsidR="0011114E" w:rsidP="00F62B2E" w:rsidRDefault="0011114E" w14:paraId="349AC170" w14:textId="77777777">
      <w:pPr>
        <w:pStyle w:val="L1-FlLSp12"/>
        <w:spacing w:line="276" w:lineRule="auto"/>
        <w:rPr>
          <w:rFonts w:ascii="Times New Roman" w:hAnsi="Times New Roman"/>
        </w:rPr>
      </w:pPr>
    </w:p>
    <w:p w:rsidRPr="0011114E" w:rsidR="0011114E" w:rsidP="00F62B2E" w:rsidRDefault="0011114E" w14:paraId="2FFBBCFB" w14:textId="2CE34260">
      <w:pPr>
        <w:pStyle w:val="L1-FlLSp12"/>
        <w:spacing w:line="276" w:lineRule="auto"/>
        <w:rPr>
          <w:rFonts w:ascii="Times New Roman" w:hAnsi="Times New Roman"/>
        </w:rPr>
      </w:pPr>
      <w:r w:rsidRPr="0011114E">
        <w:rPr>
          <w:rFonts w:ascii="Times New Roman" w:hAnsi="Times New Roman"/>
        </w:rPr>
        <w:t xml:space="preserve">The DEFF </w:t>
      </w:r>
      <w:r w:rsidR="008F10B3">
        <w:rPr>
          <w:rFonts w:ascii="Times New Roman" w:hAnsi="Times New Roman"/>
        </w:rPr>
        <w:t xml:space="preserve">is </w:t>
      </w:r>
      <w:r w:rsidRPr="0011114E">
        <w:rPr>
          <w:rFonts w:ascii="Times New Roman" w:hAnsi="Times New Roman"/>
        </w:rPr>
        <w:t>due to unequal probability sampling</w:t>
      </w:r>
      <w:r w:rsidR="008C6F6F">
        <w:rPr>
          <w:rFonts w:ascii="Times New Roman" w:hAnsi="Times New Roman"/>
        </w:rPr>
        <w:t>.</w:t>
      </w:r>
      <w:r w:rsidR="008F10B3">
        <w:rPr>
          <w:rFonts w:ascii="Times New Roman" w:hAnsi="Times New Roman"/>
        </w:rPr>
        <w:t xml:space="preserve"> </w:t>
      </w:r>
      <w:r w:rsidR="008C6F6F">
        <w:rPr>
          <w:rFonts w:ascii="Times New Roman" w:hAnsi="Times New Roman"/>
        </w:rPr>
        <w:t>D</w:t>
      </w:r>
      <w:r w:rsidRPr="0011114E">
        <w:rPr>
          <w:rFonts w:ascii="Times New Roman" w:hAnsi="Times New Roman"/>
        </w:rPr>
        <w:t xml:space="preserve">ifferential weighting can </w:t>
      </w:r>
      <w:r w:rsidR="008F10B3">
        <w:rPr>
          <w:rFonts w:ascii="Times New Roman" w:hAnsi="Times New Roman"/>
        </w:rPr>
        <w:t xml:space="preserve">therefore </w:t>
      </w:r>
      <w:r w:rsidRPr="0011114E">
        <w:rPr>
          <w:rFonts w:ascii="Times New Roman" w:hAnsi="Times New Roman"/>
        </w:rPr>
        <w:t xml:space="preserve">vary by sample and can be estimated using the </w:t>
      </w:r>
      <w:r w:rsidR="008C6F6F">
        <w:rPr>
          <w:rFonts w:ascii="Times New Roman" w:hAnsi="Times New Roman"/>
        </w:rPr>
        <w:t xml:space="preserve">following </w:t>
      </w:r>
      <w:r w:rsidRPr="0011114E">
        <w:rPr>
          <w:rFonts w:ascii="Times New Roman" w:hAnsi="Times New Roman"/>
        </w:rPr>
        <w:t>formula:</w:t>
      </w:r>
    </w:p>
    <w:p w:rsidRPr="0011114E" w:rsidR="0011114E" w:rsidP="00F62B2E" w:rsidRDefault="0011114E" w14:paraId="678DB41C" w14:textId="77777777">
      <w:pPr>
        <w:pStyle w:val="L1-FlLSp12"/>
        <w:spacing w:line="276" w:lineRule="auto"/>
        <w:rPr>
          <w:rFonts w:ascii="Times New Roman" w:hAnsi="Times New Roman"/>
        </w:rPr>
      </w:pPr>
    </w:p>
    <w:p w:rsidRPr="0011114E" w:rsidR="0011114E" w:rsidP="00F62B2E" w:rsidRDefault="00FB708D" w14:paraId="42438896" w14:textId="77777777">
      <w:pPr>
        <w:pStyle w:val="L1-FlLSp12"/>
        <w:spacing w:line="276" w:lineRule="auto"/>
        <w:rPr>
          <w:rFonts w:ascii="Times New Roman" w:hAnsi="Times New Roman"/>
        </w:rPr>
      </w:pPr>
      <m:oMathPara>
        <m:oMath>
          <m:sSub>
            <m:sSubPr>
              <m:ctrlPr>
                <w:rPr>
                  <w:rFonts w:ascii="Cambria Math" w:hAnsi="Cambria Math"/>
                  <w:i/>
                </w:rPr>
              </m:ctrlPr>
            </m:sSubPr>
            <m:e>
              <m:r>
                <w:rPr>
                  <w:rFonts w:ascii="Cambria Math" w:hAnsi="Cambria Math"/>
                </w:rPr>
                <m:t>DEFF</m:t>
              </m:r>
            </m:e>
            <m:sub>
              <m:r>
                <w:rPr>
                  <w:rFonts w:ascii="Cambria Math" w:hAnsi="Cambria Math"/>
                </w:rPr>
                <m:t>w</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ary>
                <m:naryPr>
                  <m:chr m:val="∑"/>
                  <m:limLoc m:val="subSup"/>
                  <m:supHide m:val="1"/>
                  <m:ctrlPr>
                    <w:rPr>
                      <w:rFonts w:ascii="Cambria Math" w:hAnsi="Cambria Math"/>
                      <w:i/>
                    </w:rPr>
                  </m:ctrlPr>
                </m:naryPr>
                <m:sub>
                  <m:r>
                    <w:rPr>
                      <w:rFonts w:ascii="Cambria Math" w:hAnsi="Cambria Math"/>
                    </w:rPr>
                    <m:t>j</m:t>
                  </m:r>
                </m:sub>
                <m:sup/>
                <m:e>
                  <m:sSubSup>
                    <m:sSubSupPr>
                      <m:ctrlPr>
                        <w:rPr>
                          <w:rFonts w:ascii="Cambria Math" w:hAnsi="Cambria Math"/>
                          <w:i/>
                        </w:rPr>
                      </m:ctrlPr>
                    </m:sSubSupPr>
                    <m:e>
                      <m:r>
                        <w:rPr>
                          <w:rFonts w:ascii="Cambria Math" w:hAnsi="Cambria Math"/>
                        </w:rPr>
                        <m:t>ω</m:t>
                      </m:r>
                    </m:e>
                    <m:sub>
                      <m:r>
                        <w:rPr>
                          <w:rFonts w:ascii="Cambria Math" w:hAnsi="Cambria Math"/>
                        </w:rPr>
                        <m:t>j</m:t>
                      </m:r>
                    </m:sub>
                    <m:sup>
                      <m:r>
                        <w:rPr>
                          <w:rFonts w:ascii="Cambria Math" w:hAnsi="Cambria Math"/>
                        </w:rPr>
                        <m:t>2</m:t>
                      </m:r>
                    </m:sup>
                  </m:sSubSup>
                </m:e>
              </m:nary>
            </m:num>
            <m:den>
              <m:r>
                <w:rPr>
                  <w:rFonts w:ascii="Cambria Math" w:hAnsi="Cambria Math"/>
                </w:rPr>
                <m:t>(</m:t>
              </m:r>
              <m:nary>
                <m:naryPr>
                  <m:chr m:val="∑"/>
                  <m:limLoc m:val="subSup"/>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ω</m:t>
                      </m:r>
                    </m:e>
                    <m:sub>
                      <m:r>
                        <w:rPr>
                          <w:rFonts w:ascii="Cambria Math" w:hAnsi="Cambria Math"/>
                        </w:rPr>
                        <m:t>j</m:t>
                      </m:r>
                    </m:sub>
                  </m:sSub>
                </m:e>
              </m:nary>
              <m:sSup>
                <m:sSupPr>
                  <m:ctrlPr>
                    <w:rPr>
                      <w:rFonts w:ascii="Cambria Math" w:hAnsi="Cambria Math"/>
                      <w:i/>
                    </w:rPr>
                  </m:ctrlPr>
                </m:sSupPr>
                <m:e>
                  <m:r>
                    <w:rPr>
                      <w:rFonts w:ascii="Cambria Math" w:hAnsi="Cambria Math"/>
                    </w:rPr>
                    <m:t>)</m:t>
                  </m:r>
                </m:e>
                <m:sup>
                  <m:r>
                    <w:rPr>
                      <w:rFonts w:ascii="Cambria Math" w:hAnsi="Cambria Math"/>
                    </w:rPr>
                    <m:t>2</m:t>
                  </m:r>
                </m:sup>
              </m:sSup>
            </m:den>
          </m:f>
        </m:oMath>
      </m:oMathPara>
    </w:p>
    <w:p w:rsidRPr="0011114E" w:rsidR="0011114E" w:rsidP="00F62B2E" w:rsidRDefault="0011114E" w14:paraId="33DBCA58" w14:textId="77777777">
      <w:pPr>
        <w:pStyle w:val="L1-FlLSp12"/>
        <w:spacing w:line="276" w:lineRule="auto"/>
        <w:rPr>
          <w:rFonts w:ascii="Times New Roman" w:hAnsi="Times New Roman"/>
        </w:rPr>
      </w:pPr>
    </w:p>
    <w:p w:rsidR="00DC654F" w:rsidP="00F62B2E" w:rsidRDefault="0011114E" w14:paraId="26B69335" w14:textId="41888E63">
      <w:pPr>
        <w:pStyle w:val="L1-FlLSp12"/>
        <w:spacing w:line="276" w:lineRule="auto"/>
        <w:rPr>
          <w:rFonts w:ascii="Times New Roman" w:hAnsi="Times New Roman"/>
          <w:noProof/>
        </w:rPr>
      </w:pPr>
      <w:r w:rsidRPr="0011114E">
        <w:rPr>
          <w:rFonts w:ascii="Times New Roman" w:hAnsi="Times New Roman"/>
          <w:noProof/>
        </w:rPr>
        <w:t xml:space="preserve">where the </w:t>
      </w:r>
      <w:r w:rsidRPr="0011114E">
        <w:rPr>
          <w:rFonts w:ascii="Times New Roman" w:hAnsi="Times New Roman"/>
          <w:i/>
          <w:noProof/>
        </w:rPr>
        <w:t xml:space="preserve">j </w:t>
      </w:r>
      <w:r w:rsidRPr="0011114E">
        <w:rPr>
          <w:rFonts w:ascii="Times New Roman" w:hAnsi="Times New Roman"/>
          <w:noProof/>
        </w:rPr>
        <w:t xml:space="preserve">are summed over the </w:t>
      </w:r>
      <m:oMath>
        <m:sSub>
          <m:sSubPr>
            <m:ctrlPr>
              <w:rPr>
                <w:rFonts w:ascii="Cambria Math" w:hAnsi="Cambria Math"/>
                <w:i/>
                <w:noProof/>
              </w:rPr>
            </m:ctrlPr>
          </m:sSubPr>
          <m:e>
            <m:r>
              <w:rPr>
                <w:rFonts w:ascii="Cambria Math" w:hAnsi="Cambria Math"/>
                <w:noProof/>
              </w:rPr>
              <m:t>n</m:t>
            </m:r>
          </m:e>
          <m:sub>
            <m:r>
              <w:rPr>
                <w:rFonts w:ascii="Cambria Math" w:hAnsi="Cambria Math"/>
                <w:noProof/>
              </w:rPr>
              <m:t>2</m:t>
            </m:r>
          </m:sub>
        </m:sSub>
      </m:oMath>
      <w:r w:rsidRPr="0011114E">
        <w:rPr>
          <w:rFonts w:ascii="Times New Roman" w:hAnsi="Times New Roman"/>
          <w:noProof/>
        </w:rPr>
        <w:t xml:space="preserve"> sampled non-self-representing counties in </w:t>
      </w:r>
      <w:r w:rsidR="00171A1C">
        <w:rPr>
          <w:rFonts w:ascii="Times New Roman" w:hAnsi="Times New Roman"/>
          <w:noProof/>
        </w:rPr>
        <w:t>frame</w:t>
      </w:r>
      <w:r w:rsidRPr="0011114E" w:rsidR="00171A1C">
        <w:rPr>
          <w:rFonts w:ascii="Times New Roman" w:hAnsi="Times New Roman"/>
          <w:noProof/>
        </w:rPr>
        <w:t xml:space="preserve"> </w:t>
      </w:r>
      <w:r w:rsidRPr="0011114E">
        <w:rPr>
          <w:rFonts w:ascii="Times New Roman" w:hAnsi="Times New Roman"/>
          <w:noProof/>
        </w:rPr>
        <w:t xml:space="preserve">2.  Based on simulated samples of </w:t>
      </w:r>
      <m:oMath>
        <m:sSub>
          <m:sSubPr>
            <m:ctrlPr>
              <w:rPr>
                <w:rFonts w:ascii="Cambria Math" w:hAnsi="Cambria Math"/>
                <w:i/>
                <w:noProof/>
              </w:rPr>
            </m:ctrlPr>
          </m:sSubPr>
          <m:e>
            <m:r>
              <w:rPr>
                <w:rFonts w:ascii="Cambria Math" w:hAnsi="Cambria Math"/>
                <w:noProof/>
              </w:rPr>
              <m:t>n</m:t>
            </m:r>
          </m:e>
          <m:sub>
            <m:r>
              <w:rPr>
                <w:rFonts w:ascii="Cambria Math" w:hAnsi="Cambria Math"/>
                <w:noProof/>
              </w:rPr>
              <m:t>2</m:t>
            </m:r>
          </m:sub>
        </m:sSub>
      </m:oMath>
      <w:r w:rsidRPr="0011114E">
        <w:rPr>
          <w:rFonts w:ascii="Times New Roman" w:hAnsi="Times New Roman"/>
          <w:noProof/>
        </w:rPr>
        <w:t>=</w:t>
      </w:r>
      <w:r w:rsidR="00A41A22">
        <w:rPr>
          <w:rFonts w:ascii="Times New Roman" w:hAnsi="Times New Roman"/>
          <w:noProof/>
        </w:rPr>
        <w:t>1</w:t>
      </w:r>
      <w:r w:rsidR="00171A1C">
        <w:rPr>
          <w:rFonts w:ascii="Times New Roman" w:hAnsi="Times New Roman"/>
          <w:noProof/>
        </w:rPr>
        <w:t>,</w:t>
      </w:r>
      <w:r w:rsidR="00E50DDC">
        <w:rPr>
          <w:rFonts w:ascii="Times New Roman" w:hAnsi="Times New Roman"/>
          <w:noProof/>
        </w:rPr>
        <w:t>155</w:t>
      </w:r>
      <w:r w:rsidR="00BB7546">
        <w:rPr>
          <w:rFonts w:ascii="Times New Roman" w:hAnsi="Times New Roman"/>
          <w:noProof/>
        </w:rPr>
        <w:t xml:space="preserve"> (somewhat greater than the 1,</w:t>
      </w:r>
      <w:r w:rsidR="00EA1B82">
        <w:rPr>
          <w:rFonts w:ascii="Times New Roman" w:hAnsi="Times New Roman"/>
          <w:noProof/>
        </w:rPr>
        <w:t>081</w:t>
      </w:r>
      <w:r w:rsidR="00BB7546">
        <w:rPr>
          <w:rFonts w:ascii="Times New Roman" w:hAnsi="Times New Roman"/>
          <w:noProof/>
        </w:rPr>
        <w:t xml:space="preserve"> </w:t>
      </w:r>
      <w:r w:rsidR="00EA1B82">
        <w:rPr>
          <w:rFonts w:ascii="Times New Roman" w:hAnsi="Times New Roman"/>
          <w:noProof/>
        </w:rPr>
        <w:t>frame 2 counties but a conservative starting value</w:t>
      </w:r>
      <w:r w:rsidR="00BB7546">
        <w:rPr>
          <w:rFonts w:ascii="Times New Roman" w:hAnsi="Times New Roman"/>
          <w:noProof/>
        </w:rPr>
        <w:t>)</w:t>
      </w:r>
      <w:r w:rsidRPr="0011114E">
        <w:rPr>
          <w:rFonts w:ascii="Times New Roman" w:hAnsi="Times New Roman"/>
          <w:noProof/>
        </w:rPr>
        <w:t xml:space="preserve">, we estimate </w:t>
      </w:r>
      <m:oMath>
        <m:sSub>
          <m:sSubPr>
            <m:ctrlPr>
              <w:rPr>
                <w:rFonts w:ascii="Cambria Math" w:hAnsi="Cambria Math"/>
                <w:i/>
                <w:noProof/>
              </w:rPr>
            </m:ctrlPr>
          </m:sSubPr>
          <m:e>
            <m:r>
              <w:rPr>
                <w:rFonts w:ascii="Cambria Math" w:hAnsi="Cambria Math"/>
                <w:noProof/>
              </w:rPr>
              <m:t>DEFF</m:t>
            </m:r>
          </m:e>
          <m:sub>
            <m:r>
              <w:rPr>
                <w:rFonts w:ascii="Cambria Math" w:hAnsi="Cambria Math"/>
                <w:noProof/>
              </w:rPr>
              <m:t>w</m:t>
            </m:r>
          </m:sub>
        </m:sSub>
        <m:r>
          <w:rPr>
            <w:rFonts w:ascii="Cambria Math" w:hAnsi="Cambria Math"/>
            <w:noProof/>
          </w:rPr>
          <m:t>&lt;1.50</m:t>
        </m:r>
      </m:oMath>
      <w:r w:rsidRPr="0011114E">
        <w:rPr>
          <w:rFonts w:ascii="Times New Roman" w:hAnsi="Times New Roman"/>
          <w:noProof/>
        </w:rPr>
        <w:t xml:space="preserve"> and use </w:t>
      </w:r>
      <w:r w:rsidR="008C6F6F">
        <w:rPr>
          <w:rFonts w:ascii="Times New Roman" w:hAnsi="Times New Roman"/>
          <w:noProof/>
        </w:rPr>
        <w:t>1.50</w:t>
      </w:r>
      <w:r w:rsidRPr="0011114E" w:rsidR="008C6F6F">
        <w:rPr>
          <w:rFonts w:ascii="Times New Roman" w:hAnsi="Times New Roman"/>
          <w:noProof/>
        </w:rPr>
        <w:t xml:space="preserve"> </w:t>
      </w:r>
      <w:r w:rsidRPr="0011114E">
        <w:rPr>
          <w:rFonts w:ascii="Times New Roman" w:hAnsi="Times New Roman"/>
          <w:noProof/>
        </w:rPr>
        <w:t>as a conservative value.</w:t>
      </w:r>
      <w:r w:rsidR="00DC654F">
        <w:rPr>
          <w:rFonts w:ascii="Times New Roman" w:hAnsi="Times New Roman"/>
          <w:noProof/>
        </w:rPr>
        <w:t xml:space="preserve"> </w:t>
      </w:r>
    </w:p>
    <w:p w:rsidR="00DC654F" w:rsidP="00F62B2E" w:rsidRDefault="00DC654F" w14:paraId="64477866" w14:textId="77777777">
      <w:pPr>
        <w:pStyle w:val="L1-FlLSp12"/>
        <w:spacing w:line="276" w:lineRule="auto"/>
        <w:rPr>
          <w:rFonts w:ascii="Times New Roman" w:hAnsi="Times New Roman"/>
          <w:noProof/>
        </w:rPr>
      </w:pPr>
    </w:p>
    <w:p w:rsidRPr="0011114E" w:rsidR="0011114E" w:rsidP="00F62B2E" w:rsidRDefault="00DC654F" w14:paraId="2367E72E" w14:textId="5C53D522">
      <w:pPr>
        <w:pStyle w:val="L1-FlLSp12"/>
        <w:spacing w:line="276" w:lineRule="auto"/>
        <w:rPr>
          <w:rFonts w:ascii="Times New Roman" w:hAnsi="Times New Roman"/>
        </w:rPr>
      </w:pPr>
      <w:r>
        <w:rPr>
          <w:rFonts w:ascii="Times New Roman" w:hAnsi="Times New Roman"/>
          <w:noProof/>
        </w:rPr>
        <w:t xml:space="preserve">In addition, the </w:t>
      </w:r>
      <w:r w:rsidRPr="0011114E" w:rsidR="0011114E">
        <w:rPr>
          <w:rFonts w:ascii="Times New Roman" w:hAnsi="Times New Roman"/>
        </w:rPr>
        <w:t xml:space="preserve">maximum variance of an estimated proportion occurs when </w:t>
      </w:r>
      <w:r w:rsidRPr="0011114E" w:rsidR="0011114E">
        <w:rPr>
          <w:rFonts w:ascii="Times New Roman" w:hAnsi="Times New Roman"/>
          <w:i/>
        </w:rPr>
        <w:t>p</w:t>
      </w:r>
      <w:r w:rsidRPr="0011114E" w:rsidR="0011114E">
        <w:rPr>
          <w:rFonts w:ascii="Times New Roman" w:hAnsi="Times New Roman"/>
        </w:rPr>
        <w:t xml:space="preserve"> = 0.50.  Thus, the estimated maximum variance of an estimated </w:t>
      </w:r>
      <w:r>
        <w:rPr>
          <w:rFonts w:ascii="Times New Roman" w:hAnsi="Times New Roman"/>
        </w:rPr>
        <w:t xml:space="preserve">statistic </w:t>
      </w:r>
      <w:r w:rsidRPr="0011114E" w:rsidR="0011114E">
        <w:rPr>
          <w:rFonts w:ascii="Times New Roman" w:hAnsi="Times New Roman"/>
        </w:rPr>
        <w:t xml:space="preserve">under this design will </w:t>
      </w:r>
      <w:r>
        <w:rPr>
          <w:rFonts w:ascii="Times New Roman" w:hAnsi="Times New Roman"/>
        </w:rPr>
        <w:t>take the following form:</w:t>
      </w:r>
    </w:p>
    <w:p w:rsidRPr="0011114E" w:rsidR="0011114E" w:rsidP="00F62B2E" w:rsidRDefault="0011114E" w14:paraId="641C9518" w14:textId="77777777">
      <w:pPr>
        <w:pStyle w:val="L1-FlLSp12"/>
        <w:spacing w:line="276" w:lineRule="auto"/>
        <w:rPr>
          <w:rFonts w:ascii="Times New Roman" w:hAnsi="Times New Roman"/>
        </w:rPr>
      </w:pPr>
    </w:p>
    <w:p w:rsidRPr="0011114E" w:rsidR="0011114E" w:rsidP="00F62B2E" w:rsidRDefault="0011114E" w14:paraId="3790A6B4" w14:textId="77777777">
      <w:pPr>
        <w:pStyle w:val="L1-FlLSp12"/>
        <w:spacing w:line="276" w:lineRule="auto"/>
        <w:rPr>
          <w:rFonts w:ascii="Times New Roman" w:hAnsi="Times New Roman"/>
        </w:rPr>
      </w:pPr>
      <m:oMathPara>
        <m:oMath>
          <m:r>
            <w:rPr>
              <w:rFonts w:ascii="Cambria Math" w:hAnsi="Cambria Math"/>
            </w:rPr>
            <m:t>Var</m:t>
          </m:r>
          <m:d>
            <m:dPr>
              <m:ctrlPr>
                <w:rPr>
                  <w:rFonts w:ascii="Cambria Math" w:hAnsi="Cambria Math"/>
                  <w:i/>
                </w:rPr>
              </m:ctrlPr>
            </m:dPr>
            <m:e>
              <m:r>
                <w:rPr>
                  <w:rFonts w:ascii="Cambria Math" w:hAnsi="Cambria Math"/>
                </w:rPr>
                <m:t>p</m:t>
              </m:r>
            </m:e>
          </m:d>
          <m:r>
            <w:rPr>
              <w:rFonts w:ascii="Cambria Math" w:hAnsi="Cambria Math"/>
            </w:rPr>
            <m:t xml:space="preserve">= </m:t>
          </m:r>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2</m:t>
              </m:r>
            </m:sup>
          </m:sSubSup>
          <m:r>
            <w:rPr>
              <w:rFonts w:ascii="Cambria Math" w:hAnsi="Cambria Math"/>
            </w:rPr>
            <m:t>Var</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e>
          </m:d>
          <m:r>
            <w:rPr>
              <w:rFonts w:ascii="Cambria Math" w:hAnsi="Cambria Math"/>
            </w:rPr>
            <m:t>+</m:t>
          </m:r>
          <m:sSubSup>
            <m:sSubSupPr>
              <m:ctrlPr>
                <w:rPr>
                  <w:rFonts w:ascii="Cambria Math" w:hAnsi="Cambria Math"/>
                  <w:i/>
                </w:rPr>
              </m:ctrlPr>
            </m:sSubSupPr>
            <m:e>
              <m:r>
                <w:rPr>
                  <w:rFonts w:ascii="Cambria Math" w:hAnsi="Cambria Math"/>
                </w:rPr>
                <m:t>W</m:t>
              </m:r>
            </m:e>
            <m:sub>
              <m:r>
                <w:rPr>
                  <w:rFonts w:ascii="Cambria Math" w:hAnsi="Cambria Math"/>
                </w:rPr>
                <m:t>2</m:t>
              </m:r>
            </m:sub>
            <m:sup>
              <m:r>
                <w:rPr>
                  <w:rFonts w:ascii="Cambria Math" w:hAnsi="Cambria Math"/>
                </w:rPr>
                <m:t>2</m:t>
              </m:r>
            </m:sup>
          </m:sSubSup>
          <m:r>
            <w:rPr>
              <w:rFonts w:ascii="Cambria Math" w:hAnsi="Cambria Math"/>
            </w:rPr>
            <m:t>Var</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e>
          </m:d>
          <m:r>
            <w:rPr>
              <w:rFonts w:ascii="Cambria Math" w:hAnsi="Cambria Math"/>
            </w:rPr>
            <m:t>=</m:t>
          </m:r>
          <m:sSubSup>
            <m:sSubSupPr>
              <m:ctrlPr>
                <w:rPr>
                  <w:rFonts w:ascii="Cambria Math" w:hAnsi="Cambria Math"/>
                  <w:i/>
                </w:rPr>
              </m:ctrlPr>
            </m:sSubSupPr>
            <m:e>
              <m:r>
                <w:rPr>
                  <w:rFonts w:ascii="Cambria Math" w:hAnsi="Cambria Math"/>
                </w:rPr>
                <m:t>W</m:t>
              </m:r>
            </m:e>
            <m:sub>
              <m:r>
                <w:rPr>
                  <w:rFonts w:ascii="Cambria Math" w:hAnsi="Cambria Math"/>
                </w:rPr>
                <m:t>2</m:t>
              </m:r>
            </m:sub>
            <m:sup>
              <m:r>
                <w:rPr>
                  <w:rFonts w:ascii="Cambria Math" w:hAnsi="Cambria Math"/>
                </w:rPr>
                <m:t>2</m:t>
              </m:r>
            </m:sup>
          </m:sSubSup>
          <m:r>
            <w:rPr>
              <w:rFonts w:ascii="Cambria Math" w:hAnsi="Cambria Math"/>
            </w:rPr>
            <m:t>Var(</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oMath>
      </m:oMathPara>
    </w:p>
    <w:p w:rsidRPr="0011114E" w:rsidR="0011114E" w:rsidP="00F62B2E" w:rsidRDefault="0011114E" w14:paraId="4358159E" w14:textId="77777777">
      <w:pPr>
        <w:pStyle w:val="L1-FlLSp12"/>
        <w:spacing w:line="276" w:lineRule="auto"/>
        <w:rPr>
          <w:rFonts w:ascii="Times New Roman" w:hAnsi="Times New Roman"/>
        </w:rPr>
      </w:pPr>
    </w:p>
    <w:p w:rsidR="008C6F6F" w:rsidP="00F62B2E" w:rsidRDefault="0011114E" w14:paraId="32691D85" w14:textId="77777777">
      <w:pPr>
        <w:pStyle w:val="L1-FlLSp12"/>
        <w:spacing w:line="276" w:lineRule="auto"/>
        <w:rPr>
          <w:rFonts w:ascii="Times New Roman" w:hAnsi="Times New Roman"/>
        </w:rPr>
      </w:pPr>
      <w:r w:rsidRPr="0011114E">
        <w:rPr>
          <w:rFonts w:ascii="Times New Roman" w:hAnsi="Times New Roman"/>
        </w:rPr>
        <w:t xml:space="preserve">because the variance of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11114E">
        <w:rPr>
          <w:rFonts w:ascii="Times New Roman" w:hAnsi="Times New Roman"/>
        </w:rPr>
        <w:t xml:space="preserve"> is zero by virtue of it being self-representing. </w:t>
      </w:r>
    </w:p>
    <w:p w:rsidR="008C6F6F" w:rsidP="00F62B2E" w:rsidRDefault="008C6F6F" w14:paraId="7A439836" w14:textId="77777777">
      <w:pPr>
        <w:pStyle w:val="L1-FlLSp12"/>
        <w:spacing w:line="276" w:lineRule="auto"/>
        <w:rPr>
          <w:rFonts w:ascii="Times New Roman" w:hAnsi="Times New Roman"/>
        </w:rPr>
      </w:pPr>
    </w:p>
    <w:p w:rsidRPr="0011114E" w:rsidR="0011114E" w:rsidP="00F62B2E" w:rsidRDefault="008C6F6F" w14:paraId="25421A27" w14:textId="48081896">
      <w:pPr>
        <w:pStyle w:val="L1-FlLSp12"/>
        <w:spacing w:line="276" w:lineRule="auto"/>
        <w:rPr>
          <w:rFonts w:ascii="Times New Roman" w:hAnsi="Times New Roman"/>
        </w:rPr>
      </w:pPr>
      <w:r>
        <w:rPr>
          <w:rFonts w:ascii="Times New Roman" w:hAnsi="Times New Roman"/>
        </w:rPr>
        <w:lastRenderedPageBreak/>
        <w:t>U</w:t>
      </w:r>
      <w:r w:rsidRPr="0011114E" w:rsidR="0011114E">
        <w:rPr>
          <w:rFonts w:ascii="Times New Roman" w:hAnsi="Times New Roman"/>
        </w:rPr>
        <w:t xml:space="preserve">sing </w:t>
      </w:r>
      <m:oMath>
        <m:sSub>
          <m:sSubPr>
            <m:ctrlPr>
              <w:rPr>
                <w:rFonts w:ascii="Cambria Math" w:hAnsi="Cambria Math"/>
                <w:i/>
              </w:rPr>
            </m:ctrlPr>
          </m:sSubPr>
          <m:e>
            <m:r>
              <w:rPr>
                <w:rFonts w:ascii="Cambria Math" w:hAnsi="Cambria Math"/>
              </w:rPr>
              <m:t>DEFF</m:t>
            </m:r>
          </m:e>
          <m:sub>
            <m:r>
              <w:rPr>
                <w:rFonts w:ascii="Cambria Math" w:hAnsi="Cambria Math"/>
              </w:rPr>
              <m:t>w</m:t>
            </m:r>
          </m:sub>
        </m:sSub>
        <m:r>
          <w:rPr>
            <w:rFonts w:ascii="Cambria Math" w:hAnsi="Cambria Math"/>
          </w:rPr>
          <m:t xml:space="preserve">=1.50 </m:t>
        </m:r>
      </m:oMath>
      <w:r w:rsidRPr="0011114E" w:rsidR="0011114E">
        <w:rPr>
          <w:rFonts w:ascii="Times New Roman" w:hAnsi="Times New Roman"/>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=0.50</m:t>
        </m:r>
      </m:oMath>
      <w:r w:rsidRPr="0011114E" w:rsidR="0011114E">
        <w:rPr>
          <w:rFonts w:ascii="Times New Roman" w:hAnsi="Times New Roman"/>
        </w:rPr>
        <w:t xml:space="preserve">, and assuming a sample of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=84</m:t>
        </m:r>
      </m:oMath>
      <w:r w:rsidRPr="0011114E" w:rsidR="0011114E">
        <w:rPr>
          <w:rFonts w:ascii="Times New Roman" w:hAnsi="Times New Roman"/>
        </w:rPr>
        <w:t xml:space="preserve"> from non-self-representing </w:t>
      </w:r>
      <w:r w:rsidR="00171A1C">
        <w:rPr>
          <w:rFonts w:ascii="Times New Roman" w:hAnsi="Times New Roman"/>
        </w:rPr>
        <w:t>frame</w:t>
      </w:r>
      <w:r w:rsidRPr="0011114E" w:rsidR="00171A1C">
        <w:rPr>
          <w:rFonts w:ascii="Times New Roman" w:hAnsi="Times New Roman"/>
        </w:rPr>
        <w:t xml:space="preserve"> </w:t>
      </w:r>
      <w:r w:rsidRPr="0011114E" w:rsidR="0011114E">
        <w:rPr>
          <w:rFonts w:ascii="Times New Roman" w:hAnsi="Times New Roman"/>
        </w:rPr>
        <w:t xml:space="preserve">2, and that the population weight </w:t>
      </w:r>
      <m:oMath>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=0.28</m:t>
        </m:r>
      </m:oMath>
      <w:r w:rsidRPr="0011114E" w:rsidR="0011114E">
        <w:rPr>
          <w:rFonts w:ascii="Times New Roman" w:hAnsi="Times New Roman"/>
        </w:rPr>
        <w:t xml:space="preserve"> (</w:t>
      </w:r>
      <w:r w:rsidR="00313DB4">
        <w:rPr>
          <w:rFonts w:ascii="Times New Roman" w:hAnsi="Times New Roman"/>
        </w:rPr>
        <w:t xml:space="preserve">= 1 – the proportion covered by </w:t>
      </w:r>
      <w:r w:rsidR="00171A1C">
        <w:rPr>
          <w:rFonts w:ascii="Times New Roman" w:hAnsi="Times New Roman"/>
        </w:rPr>
        <w:t xml:space="preserve">frame </w:t>
      </w:r>
      <w:r w:rsidR="00313DB4">
        <w:rPr>
          <w:rFonts w:ascii="Times New Roman" w:hAnsi="Times New Roman"/>
        </w:rPr>
        <w:t>1 data collection)</w:t>
      </w:r>
      <w:r w:rsidRPr="0011114E" w:rsidR="0011114E">
        <w:rPr>
          <w:rFonts w:ascii="Times New Roman" w:hAnsi="Times New Roman"/>
        </w:rPr>
        <w:t xml:space="preserve">, we </w:t>
      </w:r>
      <w:r>
        <w:rPr>
          <w:rFonts w:ascii="Times New Roman" w:hAnsi="Times New Roman"/>
        </w:rPr>
        <w:t>expect</w:t>
      </w:r>
      <w:r w:rsidRPr="0011114E">
        <w:rPr>
          <w:rFonts w:ascii="Times New Roman" w:hAnsi="Times New Roman"/>
        </w:rPr>
        <w:t xml:space="preserve"> </w:t>
      </w:r>
      <w:r w:rsidRPr="0011114E" w:rsidR="0011114E">
        <w:rPr>
          <w:rFonts w:ascii="Times New Roman" w:hAnsi="Times New Roman"/>
        </w:rPr>
        <w:t xml:space="preserve">that the maximum variance of an estimated proportion </w:t>
      </w:r>
      <w:r w:rsidRPr="0011114E" w:rsidR="0011114E">
        <w:rPr>
          <w:rFonts w:ascii="Times New Roman" w:hAnsi="Times New Roman"/>
          <w:i/>
        </w:rPr>
        <w:t>p</w:t>
      </w:r>
      <w:r w:rsidRPr="0011114E" w:rsidR="0011114E">
        <w:rPr>
          <w:rFonts w:ascii="Times New Roman" w:hAnsi="Times New Roman"/>
        </w:rPr>
        <w:t xml:space="preserve"> will be</w:t>
      </w:r>
    </w:p>
    <w:p w:rsidRPr="0011114E" w:rsidR="0011114E" w:rsidP="00F62B2E" w:rsidRDefault="0011114E" w14:paraId="73F21624" w14:textId="68C241AE">
      <w:pPr>
        <w:pStyle w:val="L1-FlLSp12"/>
        <w:spacing w:line="276" w:lineRule="auto"/>
        <w:rPr>
          <w:rFonts w:ascii="Times New Roman" w:hAnsi="Times New Roman"/>
        </w:rPr>
      </w:pPr>
      <m:oMathPara>
        <m:oMath>
          <m:r>
            <w:rPr>
              <w:rFonts w:ascii="Cambria Math" w:hAnsi="Cambria Math"/>
            </w:rPr>
            <m:t>Var</m:t>
          </m:r>
          <m:d>
            <m:dPr>
              <m:ctrlPr>
                <w:rPr>
                  <w:rFonts w:ascii="Cambria Math" w:hAnsi="Cambria Math"/>
                  <w:i/>
                </w:rPr>
              </m:ctrlPr>
            </m:dPr>
            <m:e>
              <m:r>
                <w:rPr>
                  <w:rFonts w:ascii="Cambria Math" w:hAnsi="Cambria Math"/>
                </w:rPr>
                <m:t>p</m:t>
              </m:r>
            </m:e>
          </m:d>
          <m:r>
            <w:rPr>
              <w:rFonts w:ascii="Cambria Math" w:hAnsi="Cambria Math"/>
            </w:rPr>
            <m:t>=</m:t>
          </m:r>
          <m:sSup>
            <m:sSupPr>
              <m:ctrlPr>
                <w:rPr>
                  <w:rFonts w:ascii="Cambria Math" w:hAnsi="Cambria Math"/>
                  <w:i/>
                </w:rPr>
              </m:ctrlPr>
            </m:sSupPr>
            <m:e>
              <m:r>
                <w:rPr>
                  <w:rFonts w:ascii="Cambria Math" w:hAnsi="Cambria Math"/>
                </w:rPr>
                <m:t>(1.5)×(0.28)</m:t>
              </m:r>
            </m:e>
            <m:sup>
              <m:r>
                <w:rPr>
                  <w:rFonts w:ascii="Cambria Math" w:hAnsi="Cambria Math"/>
                </w:rPr>
                <m:t>2</m:t>
              </m:r>
            </m:sup>
          </m:sSup>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.5</m:t>
                  </m:r>
                </m:e>
              </m:d>
              <m:d>
                <m:dPr>
                  <m:ctrlPr>
                    <w:rPr>
                      <w:rFonts w:ascii="Cambria Math" w:hAnsi="Cambria Math"/>
                      <w:i/>
                    </w:rPr>
                  </m:ctrlPr>
                </m:dPr>
                <m:e>
                  <m:r>
                    <w:rPr>
                      <w:rFonts w:ascii="Cambria Math" w:hAnsi="Cambria Math"/>
                    </w:rPr>
                    <m:t>.5</m:t>
                  </m:r>
                </m:e>
              </m:d>
            </m:num>
            <m:den>
              <m:r>
                <w:rPr>
                  <w:rFonts w:ascii="Cambria Math" w:hAnsi="Cambria Math"/>
                </w:rPr>
                <m:t>84</m:t>
              </m:r>
            </m:den>
          </m:f>
          <m:r>
            <w:rPr>
              <w:rFonts w:ascii="Cambria Math" w:hAnsi="Cambria Math"/>
            </w:rPr>
            <m:t>=0.00035</m:t>
          </m:r>
        </m:oMath>
      </m:oMathPara>
    </w:p>
    <w:p w:rsidRPr="0011114E" w:rsidR="0011114E" w:rsidP="00F62B2E" w:rsidRDefault="0011114E" w14:paraId="29486A53" w14:textId="77777777">
      <w:pPr>
        <w:pStyle w:val="L1-FlLSp12"/>
        <w:spacing w:line="276" w:lineRule="auto"/>
        <w:rPr>
          <w:rFonts w:ascii="Times New Roman" w:hAnsi="Times New Roman"/>
        </w:rPr>
      </w:pPr>
    </w:p>
    <w:p w:rsidRPr="0011114E" w:rsidR="0011114E" w:rsidP="00F62B2E" w:rsidRDefault="008C6F6F" w14:paraId="5A23C6BF" w14:textId="230A269E">
      <w:pPr>
        <w:pStyle w:val="L1-FlLSp12"/>
        <w:spacing w:line="276" w:lineRule="auto"/>
        <w:rPr>
          <w:rFonts w:ascii="Times New Roman" w:hAnsi="Times New Roman"/>
        </w:rPr>
      </w:pPr>
      <w:r>
        <w:rPr>
          <w:rFonts w:ascii="Times New Roman" w:hAnsi="Times New Roman"/>
        </w:rPr>
        <w:t>a</w:t>
      </w:r>
      <w:r w:rsidRPr="0011114E" w:rsidR="0011114E">
        <w:rPr>
          <w:rFonts w:ascii="Times New Roman" w:hAnsi="Times New Roman"/>
        </w:rPr>
        <w:t xml:space="preserve">nd the maximum margin of error (MOE) at a 95 percent level of confidence </w:t>
      </w:r>
      <w:r>
        <w:rPr>
          <w:rFonts w:ascii="Times New Roman" w:hAnsi="Times New Roman"/>
        </w:rPr>
        <w:t>will</w:t>
      </w:r>
      <w:r w:rsidRPr="0011114E">
        <w:rPr>
          <w:rFonts w:ascii="Times New Roman" w:hAnsi="Times New Roman"/>
        </w:rPr>
        <w:t xml:space="preserve"> </w:t>
      </w:r>
      <w:r w:rsidRPr="0011114E" w:rsidR="0011114E">
        <w:rPr>
          <w:rFonts w:ascii="Times New Roman" w:hAnsi="Times New Roman"/>
        </w:rPr>
        <w:t xml:space="preserve">be </w:t>
      </w:r>
    </w:p>
    <w:p w:rsidRPr="0011114E" w:rsidR="0011114E" w:rsidP="00F62B2E" w:rsidRDefault="0011114E" w14:paraId="298C6A00" w14:textId="77777777">
      <w:pPr>
        <w:pStyle w:val="L1-FlLSp12"/>
        <w:spacing w:line="276" w:lineRule="auto"/>
        <w:rPr>
          <w:rFonts w:ascii="Times New Roman" w:hAnsi="Times New Roman"/>
        </w:rPr>
      </w:pPr>
    </w:p>
    <w:p w:rsidRPr="00DC654F" w:rsidR="0011114E" w:rsidP="00F62B2E" w:rsidRDefault="00FB708D" w14:paraId="0ACB48F6" w14:textId="56440D09">
      <w:pPr>
        <w:pStyle w:val="L1-FlLSp12"/>
        <w:spacing w:line="276" w:lineRule="auto"/>
        <w:rPr>
          <w:rFonts w:ascii="Times New Roman" w:hAnsi="Times New Roman"/>
        </w:rPr>
      </w:pPr>
      <m:oMathPara>
        <m:oMath>
          <m:sSub>
            <m:sSubPr>
              <m:ctrlPr>
                <w:rPr>
                  <w:rFonts w:ascii="Cambria Math" w:hAnsi="Cambria Math"/>
                  <w:i/>
                </w:rPr>
              </m:ctrlPr>
            </m:sSubPr>
            <m:e>
              <m:r>
                <w:rPr>
                  <w:rFonts w:ascii="Cambria Math" w:hAnsi="Cambria Math"/>
                </w:rPr>
                <m:t>maximum MOE</m:t>
              </m:r>
            </m:e>
            <m:sub>
              <m:r>
                <w:rPr>
                  <w:rFonts w:ascii="Cambria Math" w:hAnsi="Cambria Math"/>
                </w:rPr>
                <m:t>.95</m:t>
              </m:r>
            </m:sub>
          </m:sSub>
          <m:d>
            <m:dPr>
              <m:ctrlPr>
                <w:rPr>
                  <w:rFonts w:ascii="Cambria Math" w:hAnsi="Cambria Math"/>
                  <w:i/>
                </w:rPr>
              </m:ctrlPr>
            </m:dPr>
            <m:e>
              <m:r>
                <w:rPr>
                  <w:rFonts w:ascii="Cambria Math" w:hAnsi="Cambria Math"/>
                </w:rPr>
                <m:t>p</m:t>
              </m:r>
            </m:e>
          </m:d>
          <m:r>
            <w:rPr>
              <w:rFonts w:ascii="Cambria Math" w:hAnsi="Cambria Math"/>
            </w:rPr>
            <m:t>=</m:t>
          </m:r>
          <m:d>
            <m:dPr>
              <m:ctrlPr>
                <w:rPr>
                  <w:rFonts w:ascii="Cambria Math" w:hAnsi="Cambria Math"/>
                  <w:i/>
                </w:rPr>
              </m:ctrlPr>
            </m:dPr>
            <m:e>
              <m:r>
                <w:rPr>
                  <w:rFonts w:ascii="Cambria Math" w:hAnsi="Cambria Math"/>
                </w:rPr>
                <m:t>1.96</m:t>
              </m:r>
            </m:e>
          </m:d>
          <m:r>
            <w:rPr>
              <w:rFonts w:ascii="Cambria Math" w:hAnsi="Cambria Math"/>
            </w:rPr>
            <m:t>×</m:t>
          </m:r>
          <m:rad>
            <m:radPr>
              <m:degHide m:val="1"/>
              <m:ctrlPr>
                <w:rPr>
                  <w:rFonts w:ascii="Cambria Math" w:hAnsi="Cambria Math"/>
                  <w:i/>
                </w:rPr>
              </m:ctrlPr>
            </m:radPr>
            <m:deg/>
            <m:e>
              <m:r>
                <w:rPr>
                  <w:rFonts w:ascii="Cambria Math" w:hAnsi="Cambria Math"/>
                </w:rPr>
                <m:t>0.00035</m:t>
              </m:r>
            </m:e>
          </m:rad>
          <m:r>
            <w:rPr>
              <w:rFonts w:ascii="Cambria Math" w:hAnsi="Cambria Math"/>
            </w:rPr>
            <m:t>=0.0366</m:t>
          </m:r>
        </m:oMath>
      </m:oMathPara>
    </w:p>
    <w:p w:rsidR="00DC654F" w:rsidP="00F62B2E" w:rsidRDefault="00DC654F" w14:paraId="77199B5C" w14:textId="77777777">
      <w:pPr>
        <w:pStyle w:val="L1-FlLSp12"/>
        <w:spacing w:line="276" w:lineRule="auto"/>
        <w:rPr>
          <w:rFonts w:ascii="Times New Roman" w:hAnsi="Times New Roman"/>
        </w:rPr>
      </w:pPr>
    </w:p>
    <w:p w:rsidR="00BF40E4" w:rsidP="00F62B2E" w:rsidRDefault="00DC654F" w14:paraId="142FA6C1" w14:textId="480C5C08">
      <w:pPr>
        <w:pStyle w:val="L1-FlLSp12"/>
        <w:spacing w:line="276" w:lineRule="auto"/>
        <w:rPr>
          <w:rFonts w:ascii="Times New Roman" w:hAnsi="Times New Roman"/>
        </w:rPr>
      </w:pPr>
      <w:r>
        <w:rPr>
          <w:rFonts w:ascii="Times New Roman" w:hAnsi="Times New Roman"/>
        </w:rPr>
        <w:t xml:space="preserve">or </w:t>
      </w:r>
      <w:r w:rsidR="00EA1B82">
        <w:rPr>
          <w:rFonts w:ascii="Times New Roman" w:hAnsi="Times New Roman"/>
        </w:rPr>
        <w:t>3.7</w:t>
      </w:r>
      <w:r>
        <w:rPr>
          <w:rFonts w:ascii="Times New Roman" w:hAnsi="Times New Roman"/>
        </w:rPr>
        <w:t xml:space="preserve"> percentage points. </w:t>
      </w:r>
      <w:r w:rsidR="00BF40E4">
        <w:rPr>
          <w:rFonts w:ascii="Times New Roman" w:hAnsi="Times New Roman"/>
        </w:rPr>
        <w:t>This stratified probability sample features a large number of self-represented units. This is a highly efficient approach as the self-represented units contribute zero to the overall standard error.</w:t>
      </w:r>
    </w:p>
    <w:p w:rsidR="00BF40E4" w:rsidP="00F62B2E" w:rsidRDefault="00BF40E4" w14:paraId="2E15D188" w14:textId="77777777">
      <w:pPr>
        <w:pStyle w:val="L1-FlLSp12"/>
        <w:spacing w:line="276" w:lineRule="auto"/>
        <w:rPr>
          <w:rFonts w:ascii="Times New Roman" w:hAnsi="Times New Roman"/>
        </w:rPr>
      </w:pPr>
    </w:p>
    <w:p w:rsidRPr="008F6829" w:rsidR="0052420A" w:rsidP="00F62B2E" w:rsidRDefault="0052420A" w14:paraId="4D87A34B" w14:textId="57783A69">
      <w:pPr>
        <w:pStyle w:val="L1-FlLSp12"/>
        <w:spacing w:line="276" w:lineRule="auto"/>
        <w:rPr>
          <w:rFonts w:ascii="Times New Roman" w:hAnsi="Times New Roman"/>
        </w:rPr>
      </w:pPr>
      <w:r w:rsidRPr="008F6829">
        <w:rPr>
          <w:rFonts w:ascii="Times New Roman" w:hAnsi="Times New Roman"/>
        </w:rPr>
        <w:t xml:space="preserve">For the purposes of </w:t>
      </w:r>
      <w:r w:rsidR="008C6F6F">
        <w:rPr>
          <w:rFonts w:ascii="Times New Roman" w:hAnsi="Times New Roman"/>
        </w:rPr>
        <w:t>the overall design</w:t>
      </w:r>
      <w:r w:rsidRPr="008F6829">
        <w:rPr>
          <w:rFonts w:ascii="Times New Roman" w:hAnsi="Times New Roman"/>
        </w:rPr>
        <w:t xml:space="preserve">, </w:t>
      </w:r>
      <w:r w:rsidR="007140EB">
        <w:rPr>
          <w:rFonts w:ascii="Times New Roman" w:hAnsi="Times New Roman"/>
        </w:rPr>
        <w:t>BJS has</w:t>
      </w:r>
      <w:r w:rsidRPr="008F6829">
        <w:rPr>
          <w:rFonts w:ascii="Times New Roman" w:hAnsi="Times New Roman"/>
        </w:rPr>
        <w:t xml:space="preserve"> assumed the following:</w:t>
      </w:r>
    </w:p>
    <w:p w:rsidRPr="008F6829" w:rsidR="004C54AE" w:rsidP="00580A55" w:rsidRDefault="004C54AE" w14:paraId="67905B92" w14:textId="77777777">
      <w:pPr>
        <w:pStyle w:val="L1-FlLSp12"/>
        <w:spacing w:line="276" w:lineRule="auto"/>
        <w:rPr>
          <w:rFonts w:ascii="Times New Roman" w:hAnsi="Times New Roman"/>
        </w:rPr>
      </w:pPr>
    </w:p>
    <w:p w:rsidRPr="00F84FF2" w:rsidR="00C04FE1" w:rsidP="00580A55" w:rsidRDefault="00AF0927" w14:paraId="74F5D3BA" w14:textId="6D486DE9">
      <w:pPr>
        <w:pStyle w:val="L1-FlLSp12"/>
        <w:tabs>
          <w:tab w:val="clear" w:pos="1152"/>
          <w:tab w:val="left" w:pos="360"/>
        </w:tabs>
        <w:spacing w:line="276" w:lineRule="auto"/>
        <w:rPr>
          <w:rFonts w:ascii="Times New Roman" w:hAnsi="Times New Roman"/>
          <w:i/>
        </w:rPr>
      </w:pPr>
      <w:r>
        <w:rPr>
          <w:rFonts w:ascii="Times New Roman" w:hAnsi="Times New Roman"/>
          <w:i/>
        </w:rPr>
        <w:t>Stage 1 – C</w:t>
      </w:r>
      <w:r w:rsidR="008C6F6F">
        <w:rPr>
          <w:rFonts w:ascii="Times New Roman" w:hAnsi="Times New Roman"/>
          <w:i/>
        </w:rPr>
        <w:t>ollection from c</w:t>
      </w:r>
      <w:r>
        <w:rPr>
          <w:rFonts w:ascii="Times New Roman" w:hAnsi="Times New Roman"/>
          <w:i/>
        </w:rPr>
        <w:t>entralized state data and certainty count</w:t>
      </w:r>
      <w:r w:rsidR="003D3E65">
        <w:rPr>
          <w:rFonts w:ascii="Times New Roman" w:hAnsi="Times New Roman"/>
          <w:i/>
        </w:rPr>
        <w:t>ies</w:t>
      </w:r>
    </w:p>
    <w:p w:rsidR="004F0C9E" w:rsidP="00580A55" w:rsidRDefault="004F0C9E" w14:paraId="15C87518" w14:textId="77777777">
      <w:pPr>
        <w:pStyle w:val="L1-FlLSp12"/>
        <w:spacing w:line="276" w:lineRule="auto"/>
        <w:rPr>
          <w:rFonts w:ascii="Times New Roman" w:hAnsi="Times New Roman"/>
        </w:rPr>
      </w:pPr>
    </w:p>
    <w:p w:rsidR="00FC6366" w:rsidP="001A4D9D" w:rsidRDefault="00BB1627" w14:paraId="66BA7CDF" w14:textId="2D10428D">
      <w:pPr>
        <w:pStyle w:val="L1-FlLSp12"/>
        <w:spacing w:line="276" w:lineRule="auto"/>
        <w:rPr>
          <w:rFonts w:ascii="Times New Roman" w:hAnsi="Times New Roman"/>
        </w:rPr>
      </w:pPr>
      <w:r>
        <w:rPr>
          <w:rFonts w:ascii="Times New Roman" w:hAnsi="Times New Roman"/>
        </w:rPr>
        <w:t>During work under</w:t>
      </w:r>
      <w:r w:rsidR="00FC6366">
        <w:rPr>
          <w:rFonts w:ascii="Times New Roman" w:hAnsi="Times New Roman"/>
        </w:rPr>
        <w:t xml:space="preserve"> a generic clearance, BJS contacted state court technology leaders to determine if the state had </w:t>
      </w:r>
      <w:r w:rsidRPr="008F6829" w:rsidR="00F67DAB">
        <w:rPr>
          <w:rFonts w:ascii="Times New Roman" w:hAnsi="Times New Roman"/>
        </w:rPr>
        <w:t>a statewide</w:t>
      </w:r>
      <w:r w:rsidR="00582045">
        <w:rPr>
          <w:rFonts w:ascii="Times New Roman" w:hAnsi="Times New Roman"/>
        </w:rPr>
        <w:t xml:space="preserve"> </w:t>
      </w:r>
      <w:r w:rsidRPr="008F6829" w:rsidR="00F67DAB">
        <w:rPr>
          <w:rFonts w:ascii="Times New Roman" w:hAnsi="Times New Roman"/>
        </w:rPr>
        <w:t xml:space="preserve">electronic case-level records system which can provide all or most of the relevant </w:t>
      </w:r>
      <w:r w:rsidR="00317BE5">
        <w:rPr>
          <w:rFonts w:ascii="Times New Roman" w:hAnsi="Times New Roman"/>
        </w:rPr>
        <w:t>CCSC</w:t>
      </w:r>
      <w:r w:rsidRPr="008F6829" w:rsidR="00F67DAB">
        <w:rPr>
          <w:rFonts w:ascii="Times New Roman" w:hAnsi="Times New Roman"/>
        </w:rPr>
        <w:t xml:space="preserve"> data items. </w:t>
      </w:r>
      <w:r w:rsidR="001C2550">
        <w:rPr>
          <w:rFonts w:ascii="Times New Roman" w:hAnsi="Times New Roman"/>
        </w:rPr>
        <w:t xml:space="preserve">The state court </w:t>
      </w:r>
      <w:r w:rsidR="002F4A95">
        <w:rPr>
          <w:rFonts w:ascii="Times New Roman" w:hAnsi="Times New Roman"/>
        </w:rPr>
        <w:t>leaders indicated that state</w:t>
      </w:r>
      <w:r w:rsidR="001C2550">
        <w:rPr>
          <w:rFonts w:ascii="Times New Roman" w:hAnsi="Times New Roman"/>
        </w:rPr>
        <w:t xml:space="preserve"> systems vary in coverage in terms of both geographic location (</w:t>
      </w:r>
      <w:r w:rsidR="00402C55">
        <w:rPr>
          <w:rFonts w:ascii="Times New Roman" w:hAnsi="Times New Roman"/>
        </w:rPr>
        <w:t>i.e.</w:t>
      </w:r>
      <w:r w:rsidR="00171A1C">
        <w:rPr>
          <w:rFonts w:ascii="Times New Roman" w:hAnsi="Times New Roman"/>
        </w:rPr>
        <w:t>,</w:t>
      </w:r>
      <w:r w:rsidR="00402C55">
        <w:rPr>
          <w:rFonts w:ascii="Times New Roman" w:hAnsi="Times New Roman"/>
        </w:rPr>
        <w:t xml:space="preserve"> </w:t>
      </w:r>
      <w:r w:rsidR="001C2550">
        <w:rPr>
          <w:rFonts w:ascii="Times New Roman" w:hAnsi="Times New Roman"/>
        </w:rPr>
        <w:t>counties) and types of courts that contribute data (</w:t>
      </w:r>
      <w:r w:rsidR="00402C55">
        <w:rPr>
          <w:rFonts w:ascii="Times New Roman" w:hAnsi="Times New Roman"/>
        </w:rPr>
        <w:t>i.e.</w:t>
      </w:r>
      <w:r w:rsidR="00171A1C">
        <w:rPr>
          <w:rFonts w:ascii="Times New Roman" w:hAnsi="Times New Roman"/>
        </w:rPr>
        <w:t>,</w:t>
      </w:r>
      <w:r w:rsidR="00402C55">
        <w:rPr>
          <w:rFonts w:ascii="Times New Roman" w:hAnsi="Times New Roman"/>
        </w:rPr>
        <w:t xml:space="preserve"> </w:t>
      </w:r>
      <w:r w:rsidR="005D6552">
        <w:rPr>
          <w:rFonts w:ascii="Times New Roman" w:hAnsi="Times New Roman"/>
        </w:rPr>
        <w:t>general jurisdiction, limited jurisdiction</w:t>
      </w:r>
      <w:r w:rsidR="001C2550">
        <w:rPr>
          <w:rFonts w:ascii="Times New Roman" w:hAnsi="Times New Roman"/>
        </w:rPr>
        <w:t xml:space="preserve">, or both). The state data systems </w:t>
      </w:r>
      <w:r w:rsidR="005D6552">
        <w:rPr>
          <w:rFonts w:ascii="Times New Roman" w:hAnsi="Times New Roman"/>
        </w:rPr>
        <w:t xml:space="preserve">are </w:t>
      </w:r>
      <w:r w:rsidR="001C2550">
        <w:rPr>
          <w:rFonts w:ascii="Times New Roman" w:hAnsi="Times New Roman"/>
        </w:rPr>
        <w:t>largely used for case management, and include data elements related to general case information, defendant</w:t>
      </w:r>
      <w:r w:rsidR="00402C55">
        <w:rPr>
          <w:rFonts w:ascii="Times New Roman" w:hAnsi="Times New Roman"/>
        </w:rPr>
        <w:t>s and attorneys</w:t>
      </w:r>
      <w:r w:rsidR="001C2550">
        <w:rPr>
          <w:rFonts w:ascii="Times New Roman" w:hAnsi="Times New Roman"/>
        </w:rPr>
        <w:t xml:space="preserve">, charges, disposition, and sentencing. Some of these data, primarily related to sentencing, are in text fields or </w:t>
      </w:r>
      <w:r w:rsidR="005D6552">
        <w:rPr>
          <w:rFonts w:ascii="Times New Roman" w:hAnsi="Times New Roman"/>
        </w:rPr>
        <w:t xml:space="preserve">are </w:t>
      </w:r>
      <w:r w:rsidR="001C2550">
        <w:rPr>
          <w:rFonts w:ascii="Times New Roman" w:hAnsi="Times New Roman"/>
        </w:rPr>
        <w:t>maintained by separate systems (e.g.</w:t>
      </w:r>
      <w:r w:rsidR="005D6552">
        <w:rPr>
          <w:rFonts w:ascii="Times New Roman" w:hAnsi="Times New Roman"/>
        </w:rPr>
        <w:t>,</w:t>
      </w:r>
      <w:r w:rsidR="001C2550">
        <w:rPr>
          <w:rFonts w:ascii="Times New Roman" w:hAnsi="Times New Roman"/>
        </w:rPr>
        <w:t xml:space="preserve"> probation). Data elements related to pretrial release, diversion, and warrants </w:t>
      </w:r>
      <w:r w:rsidR="005D6552">
        <w:rPr>
          <w:rFonts w:ascii="Times New Roman" w:hAnsi="Times New Roman"/>
        </w:rPr>
        <w:t xml:space="preserve">are </w:t>
      </w:r>
      <w:r w:rsidR="001C2550">
        <w:rPr>
          <w:rFonts w:ascii="Times New Roman" w:hAnsi="Times New Roman"/>
        </w:rPr>
        <w:t xml:space="preserve">also </w:t>
      </w:r>
      <w:r w:rsidR="008C6F6F">
        <w:rPr>
          <w:rFonts w:ascii="Times New Roman" w:hAnsi="Times New Roman"/>
        </w:rPr>
        <w:t>typically</w:t>
      </w:r>
      <w:r w:rsidR="001C2550">
        <w:rPr>
          <w:rFonts w:ascii="Times New Roman" w:hAnsi="Times New Roman"/>
        </w:rPr>
        <w:t xml:space="preserve"> maintained separately. </w:t>
      </w:r>
    </w:p>
    <w:p w:rsidR="008D6F77" w:rsidP="001A4D9D" w:rsidRDefault="008D6F77" w14:paraId="10432EE4" w14:textId="77777777">
      <w:pPr>
        <w:pStyle w:val="L1-FlLSp12"/>
        <w:spacing w:line="276" w:lineRule="auto"/>
        <w:rPr>
          <w:rFonts w:ascii="Times New Roman" w:hAnsi="Times New Roman"/>
        </w:rPr>
      </w:pPr>
    </w:p>
    <w:p w:rsidR="00CD6FC6" w:rsidP="001A4D9D" w:rsidRDefault="009F6DEE" w14:paraId="5A991E0B" w14:textId="5794BE3F">
      <w:pPr>
        <w:pStyle w:val="L1-FlLSp12"/>
        <w:spacing w:line="276" w:lineRule="auto"/>
        <w:rPr>
          <w:rFonts w:ascii="Times New Roman" w:hAnsi="Times New Roman"/>
        </w:rPr>
      </w:pPr>
      <w:r>
        <w:rPr>
          <w:rFonts w:ascii="Times New Roman" w:hAnsi="Times New Roman"/>
        </w:rPr>
        <w:t xml:space="preserve">Any state </w:t>
      </w:r>
      <w:r w:rsidR="00AF0927">
        <w:rPr>
          <w:rFonts w:ascii="Times New Roman" w:hAnsi="Times New Roman"/>
        </w:rPr>
        <w:t xml:space="preserve">with centralized data </w:t>
      </w:r>
      <w:r w:rsidR="00171A1C">
        <w:rPr>
          <w:rFonts w:ascii="Times New Roman" w:hAnsi="Times New Roman"/>
        </w:rPr>
        <w:t>(i.e., Class 1</w:t>
      </w:r>
      <w:r w:rsidR="008C6F6F">
        <w:rPr>
          <w:rFonts w:ascii="Times New Roman" w:hAnsi="Times New Roman"/>
        </w:rPr>
        <w:t xml:space="preserve"> states</w:t>
      </w:r>
      <w:r w:rsidR="00171A1C">
        <w:rPr>
          <w:rFonts w:ascii="Times New Roman" w:hAnsi="Times New Roman"/>
        </w:rPr>
        <w:t xml:space="preserve">) </w:t>
      </w:r>
      <w:r>
        <w:rPr>
          <w:rFonts w:ascii="Times New Roman" w:hAnsi="Times New Roman"/>
        </w:rPr>
        <w:t xml:space="preserve">will be asked for an electronic file for all criminal cases </w:t>
      </w:r>
      <w:r w:rsidR="00CD6FC6">
        <w:rPr>
          <w:rFonts w:ascii="Times New Roman" w:hAnsi="Times New Roman"/>
        </w:rPr>
        <w:t>filed as felonies</w:t>
      </w:r>
      <w:r w:rsidR="008D6F77">
        <w:rPr>
          <w:rFonts w:ascii="Times New Roman" w:hAnsi="Times New Roman"/>
        </w:rPr>
        <w:t xml:space="preserve"> and </w:t>
      </w:r>
      <w:r w:rsidR="008C6F6F">
        <w:rPr>
          <w:rFonts w:ascii="Times New Roman" w:hAnsi="Times New Roman"/>
        </w:rPr>
        <w:t xml:space="preserve">serious </w:t>
      </w:r>
      <w:r w:rsidR="008D6F77">
        <w:rPr>
          <w:rFonts w:ascii="Times New Roman" w:hAnsi="Times New Roman"/>
        </w:rPr>
        <w:t>mis</w:t>
      </w:r>
      <w:r w:rsidR="005D6552">
        <w:rPr>
          <w:rFonts w:ascii="Times New Roman" w:hAnsi="Times New Roman"/>
        </w:rPr>
        <w:t>d</w:t>
      </w:r>
      <w:r w:rsidR="008D6F77">
        <w:rPr>
          <w:rFonts w:ascii="Times New Roman" w:hAnsi="Times New Roman"/>
        </w:rPr>
        <w:t>emeanors</w:t>
      </w:r>
      <w:r w:rsidR="00CD6FC6">
        <w:rPr>
          <w:rFonts w:ascii="Times New Roman" w:hAnsi="Times New Roman"/>
        </w:rPr>
        <w:t xml:space="preserve"> that were </w:t>
      </w:r>
      <w:r>
        <w:rPr>
          <w:rFonts w:ascii="Times New Roman" w:hAnsi="Times New Roman"/>
        </w:rPr>
        <w:t xml:space="preserve">disposed of in </w:t>
      </w:r>
      <w:r w:rsidRPr="002A20ED">
        <w:rPr>
          <w:rFonts w:ascii="Times New Roman" w:hAnsi="Times New Roman"/>
        </w:rPr>
        <w:t>2019</w:t>
      </w:r>
      <w:r>
        <w:rPr>
          <w:rFonts w:ascii="Times New Roman" w:hAnsi="Times New Roman"/>
        </w:rPr>
        <w:t>.</w:t>
      </w:r>
      <w:r w:rsidRPr="008F6829" w:rsidR="00F67DAB">
        <w:rPr>
          <w:rFonts w:ascii="Times New Roman" w:hAnsi="Times New Roman"/>
        </w:rPr>
        <w:t xml:space="preserve"> </w:t>
      </w:r>
      <w:r w:rsidR="00937DEB">
        <w:rPr>
          <w:rFonts w:ascii="Times New Roman" w:hAnsi="Times New Roman"/>
        </w:rPr>
        <w:t>“</w:t>
      </w:r>
      <w:r>
        <w:rPr>
          <w:rFonts w:ascii="Times New Roman" w:hAnsi="Times New Roman"/>
        </w:rPr>
        <w:t>Disposed of</w:t>
      </w:r>
      <w:r w:rsidR="00937DEB">
        <w:rPr>
          <w:rFonts w:ascii="Times New Roman" w:hAnsi="Times New Roman"/>
        </w:rPr>
        <w:t>”</w:t>
      </w:r>
      <w:r>
        <w:rPr>
          <w:rFonts w:ascii="Times New Roman" w:hAnsi="Times New Roman"/>
        </w:rPr>
        <w:t xml:space="preserve"> </w:t>
      </w:r>
      <w:r w:rsidR="006430C5">
        <w:rPr>
          <w:rFonts w:ascii="Times New Roman" w:hAnsi="Times New Roman"/>
        </w:rPr>
        <w:t>is defined as</w:t>
      </w:r>
      <w:r>
        <w:rPr>
          <w:rFonts w:ascii="Times New Roman" w:hAnsi="Times New Roman"/>
        </w:rPr>
        <w:t xml:space="preserve"> a final finding </w:t>
      </w:r>
      <w:r w:rsidR="006430C5">
        <w:rPr>
          <w:rFonts w:ascii="Times New Roman" w:hAnsi="Times New Roman"/>
        </w:rPr>
        <w:t>by a judicial officer (</w:t>
      </w:r>
      <w:r w:rsidR="00CD6FC6">
        <w:rPr>
          <w:rFonts w:ascii="Times New Roman" w:hAnsi="Times New Roman"/>
        </w:rPr>
        <w:t>typi</w:t>
      </w:r>
      <w:r w:rsidR="003A2BC9">
        <w:rPr>
          <w:rFonts w:ascii="Times New Roman" w:hAnsi="Times New Roman"/>
        </w:rPr>
        <w:t>c</w:t>
      </w:r>
      <w:r w:rsidR="00CD6FC6">
        <w:rPr>
          <w:rFonts w:ascii="Times New Roman" w:hAnsi="Times New Roman"/>
        </w:rPr>
        <w:t>ally</w:t>
      </w:r>
      <w:r w:rsidR="006430C5">
        <w:rPr>
          <w:rFonts w:ascii="Times New Roman" w:hAnsi="Times New Roman"/>
        </w:rPr>
        <w:t xml:space="preserve"> a judge), </w:t>
      </w:r>
      <w:r>
        <w:rPr>
          <w:rFonts w:ascii="Times New Roman" w:hAnsi="Times New Roman"/>
        </w:rPr>
        <w:t xml:space="preserve">and includes dismissal, </w:t>
      </w:r>
      <w:r w:rsidRPr="001B6135">
        <w:rPr>
          <w:rFonts w:ascii="Times New Roman" w:hAnsi="Times New Roman"/>
          <w:i/>
        </w:rPr>
        <w:t>nolle prosequi</w:t>
      </w:r>
      <w:r>
        <w:rPr>
          <w:rFonts w:ascii="Times New Roman" w:hAnsi="Times New Roman"/>
        </w:rPr>
        <w:t xml:space="preserve">, placement on an inactive docket (stay of prosecution), placement in a </w:t>
      </w:r>
      <w:r w:rsidR="006430C5">
        <w:rPr>
          <w:rFonts w:ascii="Times New Roman" w:hAnsi="Times New Roman"/>
        </w:rPr>
        <w:t>diversion program</w:t>
      </w:r>
      <w:r w:rsidR="001B6135">
        <w:rPr>
          <w:rFonts w:ascii="Times New Roman" w:hAnsi="Times New Roman"/>
        </w:rPr>
        <w:t xml:space="preserve">, guilty, not guilty, </w:t>
      </w:r>
      <w:r>
        <w:rPr>
          <w:rFonts w:ascii="Times New Roman" w:hAnsi="Times New Roman"/>
        </w:rPr>
        <w:t>acquittal</w:t>
      </w:r>
      <w:r w:rsidR="001B6135">
        <w:rPr>
          <w:rFonts w:ascii="Times New Roman" w:hAnsi="Times New Roman"/>
        </w:rPr>
        <w:t xml:space="preserve">, </w:t>
      </w:r>
      <w:r w:rsidR="005D6552">
        <w:rPr>
          <w:rFonts w:ascii="Times New Roman" w:hAnsi="Times New Roman"/>
        </w:rPr>
        <w:t xml:space="preserve">or </w:t>
      </w:r>
      <w:r w:rsidR="001B6135">
        <w:rPr>
          <w:rFonts w:ascii="Times New Roman" w:hAnsi="Times New Roman"/>
        </w:rPr>
        <w:t>other finding</w:t>
      </w:r>
      <w:r>
        <w:rPr>
          <w:rFonts w:ascii="Times New Roman" w:hAnsi="Times New Roman"/>
        </w:rPr>
        <w:t xml:space="preserve">. </w:t>
      </w:r>
      <w:r w:rsidR="00A875A4">
        <w:rPr>
          <w:rFonts w:ascii="Times New Roman" w:hAnsi="Times New Roman"/>
        </w:rPr>
        <w:t>S</w:t>
      </w:r>
      <w:r w:rsidRPr="008F6829" w:rsidR="00F67DAB">
        <w:rPr>
          <w:rFonts w:ascii="Times New Roman" w:hAnsi="Times New Roman"/>
        </w:rPr>
        <w:t>tate</w:t>
      </w:r>
      <w:r w:rsidR="00A875A4">
        <w:rPr>
          <w:rFonts w:ascii="Times New Roman" w:hAnsi="Times New Roman"/>
        </w:rPr>
        <w:t>s</w:t>
      </w:r>
      <w:r w:rsidRPr="008F6829" w:rsidR="00F67DAB">
        <w:rPr>
          <w:rFonts w:ascii="Times New Roman" w:hAnsi="Times New Roman"/>
        </w:rPr>
        <w:t xml:space="preserve"> </w:t>
      </w:r>
      <w:r w:rsidR="008C6F6F">
        <w:rPr>
          <w:rFonts w:ascii="Times New Roman" w:hAnsi="Times New Roman"/>
        </w:rPr>
        <w:t>may</w:t>
      </w:r>
      <w:r w:rsidRPr="008F6829" w:rsidR="008C6F6F">
        <w:rPr>
          <w:rFonts w:ascii="Times New Roman" w:hAnsi="Times New Roman"/>
        </w:rPr>
        <w:t xml:space="preserve"> </w:t>
      </w:r>
      <w:r w:rsidRPr="008F6829" w:rsidR="00F67DAB">
        <w:rPr>
          <w:rFonts w:ascii="Times New Roman" w:hAnsi="Times New Roman"/>
        </w:rPr>
        <w:t xml:space="preserve">provide all such cases in </w:t>
      </w:r>
      <w:r w:rsidR="00171A1C">
        <w:rPr>
          <w:rFonts w:ascii="Times New Roman" w:hAnsi="Times New Roman"/>
        </w:rPr>
        <w:t>any format</w:t>
      </w:r>
      <w:r w:rsidR="00A306C4">
        <w:rPr>
          <w:rFonts w:ascii="Times New Roman" w:hAnsi="Times New Roman"/>
        </w:rPr>
        <w:t xml:space="preserve">, including a formatted data extract, where the data are extracted to meet BJS data coding; unformatted data extract, where the data are extracted from the system as-is and BJS will work with the state to clean and standardize </w:t>
      </w:r>
      <w:r w:rsidR="008C6F6F">
        <w:rPr>
          <w:rFonts w:ascii="Times New Roman" w:hAnsi="Times New Roman"/>
        </w:rPr>
        <w:t>the</w:t>
      </w:r>
      <w:r w:rsidR="00A306C4">
        <w:rPr>
          <w:rFonts w:ascii="Times New Roman" w:hAnsi="Times New Roman"/>
        </w:rPr>
        <w:t xml:space="preserve"> data; or a system extract (“data dump”) of the entire case records system.</w:t>
      </w:r>
      <w:r w:rsidR="00171A1C">
        <w:rPr>
          <w:rFonts w:ascii="Times New Roman" w:hAnsi="Times New Roman"/>
        </w:rPr>
        <w:t xml:space="preserve"> </w:t>
      </w:r>
      <w:r w:rsidR="00105922">
        <w:rPr>
          <w:rFonts w:ascii="Times New Roman" w:hAnsi="Times New Roman"/>
        </w:rPr>
        <w:t>T</w:t>
      </w:r>
      <w:r w:rsidR="001B6135">
        <w:rPr>
          <w:rFonts w:ascii="Times New Roman" w:hAnsi="Times New Roman"/>
        </w:rPr>
        <w:t>he state could</w:t>
      </w:r>
      <w:r w:rsidR="00105922">
        <w:rPr>
          <w:rFonts w:ascii="Times New Roman" w:hAnsi="Times New Roman"/>
        </w:rPr>
        <w:t xml:space="preserve"> also</w:t>
      </w:r>
      <w:r w:rsidR="001B6135">
        <w:rPr>
          <w:rFonts w:ascii="Times New Roman" w:hAnsi="Times New Roman"/>
        </w:rPr>
        <w:t xml:space="preserve"> allow BJS </w:t>
      </w:r>
      <w:r w:rsidR="00012B78">
        <w:rPr>
          <w:rFonts w:ascii="Times New Roman" w:hAnsi="Times New Roman"/>
        </w:rPr>
        <w:t xml:space="preserve">access to the case management system </w:t>
      </w:r>
      <w:r w:rsidR="001B6135">
        <w:rPr>
          <w:rFonts w:ascii="Times New Roman" w:hAnsi="Times New Roman"/>
        </w:rPr>
        <w:t xml:space="preserve">to help extract the data, or to scrape the data </w:t>
      </w:r>
      <w:r w:rsidR="00012B78">
        <w:rPr>
          <w:rFonts w:ascii="Times New Roman" w:hAnsi="Times New Roman"/>
        </w:rPr>
        <w:t>from</w:t>
      </w:r>
      <w:r w:rsidR="001B6135">
        <w:rPr>
          <w:rFonts w:ascii="Times New Roman" w:hAnsi="Times New Roman"/>
        </w:rPr>
        <w:t xml:space="preserve"> a website. </w:t>
      </w:r>
      <w:r w:rsidR="00012B78">
        <w:rPr>
          <w:rFonts w:ascii="Times New Roman" w:hAnsi="Times New Roman"/>
        </w:rPr>
        <w:t xml:space="preserve">Based on data submitted in </w:t>
      </w:r>
      <w:r w:rsidR="00012B78">
        <w:rPr>
          <w:rFonts w:ascii="Times New Roman" w:hAnsi="Times New Roman"/>
        </w:rPr>
        <w:lastRenderedPageBreak/>
        <w:t xml:space="preserve">the Survey of Juveniles Charged in Adult Criminal Courts (SJCACC), </w:t>
      </w:r>
      <w:r w:rsidR="00AF0927">
        <w:rPr>
          <w:rFonts w:ascii="Times New Roman" w:hAnsi="Times New Roman"/>
        </w:rPr>
        <w:t xml:space="preserve">BJS expects most of the states to provide unformatted extracts. </w:t>
      </w:r>
      <w:r w:rsidRPr="008F6829" w:rsidR="00F67DAB">
        <w:rPr>
          <w:rFonts w:ascii="Times New Roman" w:hAnsi="Times New Roman"/>
        </w:rPr>
        <w:t>The data obtained from the state approach is a census of all cases</w:t>
      </w:r>
      <w:r w:rsidR="00012B78">
        <w:rPr>
          <w:rFonts w:ascii="Times New Roman" w:hAnsi="Times New Roman"/>
        </w:rPr>
        <w:t xml:space="preserve"> within and across</w:t>
      </w:r>
      <w:r w:rsidR="00FF46AE">
        <w:rPr>
          <w:rFonts w:ascii="Times New Roman" w:hAnsi="Times New Roman"/>
        </w:rPr>
        <w:t xml:space="preserve"> </w:t>
      </w:r>
      <w:r w:rsidR="003A2BC9">
        <w:rPr>
          <w:rFonts w:ascii="Times New Roman" w:hAnsi="Times New Roman"/>
        </w:rPr>
        <w:t>courts (</w:t>
      </w:r>
      <w:r w:rsidR="005D6552">
        <w:rPr>
          <w:rFonts w:ascii="Times New Roman" w:hAnsi="Times New Roman"/>
        </w:rPr>
        <w:t>general jurisdiction</w:t>
      </w:r>
      <w:r w:rsidR="00FF46AE">
        <w:rPr>
          <w:rFonts w:ascii="Times New Roman" w:hAnsi="Times New Roman"/>
        </w:rPr>
        <w:t xml:space="preserve"> and</w:t>
      </w:r>
      <w:r w:rsidR="005D6552">
        <w:rPr>
          <w:rFonts w:ascii="Times New Roman" w:hAnsi="Times New Roman"/>
        </w:rPr>
        <w:t xml:space="preserve"> limited jurisdiction</w:t>
      </w:r>
      <w:r w:rsidR="008C6F6F">
        <w:rPr>
          <w:rFonts w:ascii="Times New Roman" w:hAnsi="Times New Roman"/>
        </w:rPr>
        <w:t>)</w:t>
      </w:r>
      <w:r w:rsidR="00FF46AE">
        <w:rPr>
          <w:rFonts w:ascii="Times New Roman" w:hAnsi="Times New Roman"/>
        </w:rPr>
        <w:t>, excluding municipal</w:t>
      </w:r>
      <w:r w:rsidR="008C6F6F">
        <w:rPr>
          <w:rFonts w:ascii="Times New Roman" w:hAnsi="Times New Roman"/>
        </w:rPr>
        <w:t xml:space="preserve"> courts. </w:t>
      </w:r>
      <w:r w:rsidR="00012B78">
        <w:rPr>
          <w:rFonts w:ascii="Times New Roman" w:hAnsi="Times New Roman"/>
        </w:rPr>
        <w:t xml:space="preserve"> </w:t>
      </w:r>
    </w:p>
    <w:p w:rsidR="005D6552" w:rsidP="005D6552" w:rsidRDefault="005D6552" w14:paraId="3793E505" w14:textId="77777777">
      <w:pPr>
        <w:pStyle w:val="L1-FlLSp12"/>
        <w:spacing w:line="276" w:lineRule="auto"/>
        <w:rPr>
          <w:rFonts w:ascii="Times New Roman" w:hAnsi="Times New Roman"/>
        </w:rPr>
      </w:pPr>
    </w:p>
    <w:p w:rsidR="005D6552" w:rsidP="005D6552" w:rsidRDefault="005D6552" w14:paraId="09DCBDFD" w14:textId="195AC994">
      <w:pPr>
        <w:pStyle w:val="L1-FlLSp12"/>
        <w:spacing w:line="276" w:lineRule="auto"/>
        <w:rPr>
          <w:rFonts w:ascii="Times New Roman" w:hAnsi="Times New Roman"/>
        </w:rPr>
      </w:pPr>
      <w:r>
        <w:rPr>
          <w:rFonts w:ascii="Times New Roman" w:hAnsi="Times New Roman"/>
        </w:rPr>
        <w:t xml:space="preserve">BJS will also collect data in a similar manner from the counties in </w:t>
      </w:r>
      <w:r w:rsidR="00217925">
        <w:rPr>
          <w:rFonts w:ascii="Times New Roman" w:hAnsi="Times New Roman"/>
        </w:rPr>
        <w:t>C</w:t>
      </w:r>
      <w:r>
        <w:rPr>
          <w:rFonts w:ascii="Times New Roman" w:hAnsi="Times New Roman"/>
        </w:rPr>
        <w:t xml:space="preserve">lass </w:t>
      </w:r>
      <w:r w:rsidR="00217925">
        <w:rPr>
          <w:rFonts w:ascii="Times New Roman" w:hAnsi="Times New Roman"/>
        </w:rPr>
        <w:t>2</w:t>
      </w:r>
      <w:r>
        <w:rPr>
          <w:rFonts w:ascii="Times New Roman" w:hAnsi="Times New Roman"/>
        </w:rPr>
        <w:t xml:space="preserve"> with a total county </w:t>
      </w:r>
      <w:r w:rsidRPr="00A2580F">
        <w:rPr>
          <w:rFonts w:ascii="Times New Roman" w:hAnsi="Times New Roman"/>
        </w:rPr>
        <w:t xml:space="preserve">population of </w:t>
      </w:r>
      <w:r w:rsidR="008C6F6F">
        <w:rPr>
          <w:rFonts w:ascii="Times New Roman" w:hAnsi="Times New Roman"/>
        </w:rPr>
        <w:t>one million or more</w:t>
      </w:r>
      <w:r>
        <w:rPr>
          <w:rFonts w:ascii="Times New Roman" w:hAnsi="Times New Roman"/>
        </w:rPr>
        <w:t xml:space="preserve"> </w:t>
      </w:r>
      <w:r w:rsidR="008C6F6F">
        <w:rPr>
          <w:rFonts w:ascii="Times New Roman" w:hAnsi="Times New Roman"/>
        </w:rPr>
        <w:t>residents aged eighteen or over</w:t>
      </w:r>
      <w:r>
        <w:rPr>
          <w:rFonts w:ascii="Times New Roman" w:hAnsi="Times New Roman"/>
        </w:rPr>
        <w:t>.</w:t>
      </w:r>
    </w:p>
    <w:p w:rsidR="005D6552" w:rsidP="001A4D9D" w:rsidRDefault="005D6552" w14:paraId="2A7BCC6E" w14:textId="77777777">
      <w:pPr>
        <w:pStyle w:val="L1-FlLSp12"/>
        <w:spacing w:line="276" w:lineRule="auto"/>
        <w:rPr>
          <w:rFonts w:ascii="Times New Roman" w:hAnsi="Times New Roman"/>
        </w:rPr>
      </w:pPr>
    </w:p>
    <w:p w:rsidR="00CD6FC6" w:rsidP="001A4D9D" w:rsidRDefault="00CD6FC6" w14:paraId="4CFB9E14" w14:textId="4AF3F2E8">
      <w:pPr>
        <w:pStyle w:val="L1-FlLSp12"/>
        <w:spacing w:line="276" w:lineRule="auto"/>
        <w:rPr>
          <w:rFonts w:ascii="Times New Roman" w:hAnsi="Times New Roman"/>
        </w:rPr>
      </w:pPr>
      <w:r>
        <w:rPr>
          <w:rFonts w:ascii="Times New Roman" w:hAnsi="Times New Roman"/>
        </w:rPr>
        <w:t xml:space="preserve">There may be states in </w:t>
      </w:r>
      <w:r w:rsidR="005D6552">
        <w:rPr>
          <w:rFonts w:ascii="Times New Roman" w:hAnsi="Times New Roman"/>
        </w:rPr>
        <w:t>C</w:t>
      </w:r>
      <w:r>
        <w:rPr>
          <w:rFonts w:ascii="Times New Roman" w:hAnsi="Times New Roman"/>
        </w:rPr>
        <w:t xml:space="preserve">lass 1 that decline to provide data; BJS will ask the state court </w:t>
      </w:r>
      <w:r w:rsidR="008C6F6F">
        <w:rPr>
          <w:rFonts w:ascii="Times New Roman" w:hAnsi="Times New Roman"/>
        </w:rPr>
        <w:t xml:space="preserve">administrator </w:t>
      </w:r>
      <w:r>
        <w:rPr>
          <w:rFonts w:ascii="Times New Roman" w:hAnsi="Times New Roman"/>
        </w:rPr>
        <w:t xml:space="preserve">if BJS can contact counties and move the counties in the state to </w:t>
      </w:r>
      <w:r w:rsidR="006D3E65">
        <w:rPr>
          <w:rFonts w:ascii="Times New Roman" w:hAnsi="Times New Roman"/>
        </w:rPr>
        <w:t>C</w:t>
      </w:r>
      <w:r>
        <w:rPr>
          <w:rFonts w:ascii="Times New Roman" w:hAnsi="Times New Roman"/>
        </w:rPr>
        <w:t xml:space="preserve">lass </w:t>
      </w:r>
      <w:r w:rsidR="00AB06FF">
        <w:rPr>
          <w:rFonts w:ascii="Times New Roman" w:hAnsi="Times New Roman"/>
        </w:rPr>
        <w:t>2</w:t>
      </w:r>
      <w:r>
        <w:rPr>
          <w:rFonts w:ascii="Times New Roman" w:hAnsi="Times New Roman"/>
        </w:rPr>
        <w:t>.</w:t>
      </w:r>
      <w:r w:rsidR="008C6F6F">
        <w:rPr>
          <w:rFonts w:ascii="Times New Roman" w:hAnsi="Times New Roman"/>
        </w:rPr>
        <w:t xml:space="preserve"> If the state administrator prevents BJS from contacting the counties directly, BJS will move the counties within that state to the sample strata, calculate the number of counties to be drawn from the strata, and then remove the state from the sample. BJS expects that this will be unlikely to occur.</w:t>
      </w:r>
      <w:r>
        <w:rPr>
          <w:rFonts w:ascii="Times New Roman" w:hAnsi="Times New Roman"/>
        </w:rPr>
        <w:t xml:space="preserve"> </w:t>
      </w:r>
    </w:p>
    <w:p w:rsidR="00CD6FC6" w:rsidP="001A4D9D" w:rsidRDefault="00CD6FC6" w14:paraId="73EE672E" w14:textId="77777777">
      <w:pPr>
        <w:pStyle w:val="L1-FlLSp12"/>
        <w:spacing w:line="276" w:lineRule="auto"/>
        <w:rPr>
          <w:rFonts w:ascii="Times New Roman" w:hAnsi="Times New Roman"/>
        </w:rPr>
      </w:pPr>
    </w:p>
    <w:p w:rsidRPr="00F84FF2" w:rsidR="00975A86" w:rsidP="00580A55" w:rsidRDefault="00AF0927" w14:paraId="459A7E4D" w14:textId="0BBA82B6">
      <w:pPr>
        <w:tabs>
          <w:tab w:val="left" w:pos="360"/>
          <w:tab w:val="left" w:pos="630"/>
        </w:tabs>
        <w:spacing w:line="276" w:lineRule="auto"/>
        <w:rPr>
          <w:rFonts w:ascii="Times New Roman" w:hAnsi="Times New Roman"/>
          <w:i/>
        </w:rPr>
      </w:pPr>
      <w:r>
        <w:rPr>
          <w:rFonts w:ascii="Times New Roman" w:hAnsi="Times New Roman"/>
          <w:i/>
        </w:rPr>
        <w:t xml:space="preserve">Stage 2 - </w:t>
      </w:r>
      <w:r w:rsidR="00BB1627">
        <w:rPr>
          <w:rFonts w:ascii="Times New Roman" w:hAnsi="Times New Roman"/>
          <w:i/>
        </w:rPr>
        <w:t xml:space="preserve">Sampling </w:t>
      </w:r>
      <w:r w:rsidR="00036FA9">
        <w:rPr>
          <w:rFonts w:ascii="Times New Roman" w:hAnsi="Times New Roman"/>
          <w:i/>
        </w:rPr>
        <w:t>of Non-Certainty Counties</w:t>
      </w:r>
    </w:p>
    <w:p w:rsidR="004F0C9E" w:rsidP="00580A55" w:rsidRDefault="004F0C9E" w14:paraId="52EC1E59" w14:textId="77777777">
      <w:pPr>
        <w:pStyle w:val="L1-FlLSp12"/>
        <w:spacing w:line="276" w:lineRule="auto"/>
        <w:rPr>
          <w:rFonts w:ascii="Times New Roman" w:hAnsi="Times New Roman"/>
        </w:rPr>
      </w:pPr>
    </w:p>
    <w:p w:rsidR="00E13EA4" w:rsidP="00580A55" w:rsidRDefault="00B533AE" w14:paraId="47551605" w14:textId="613CD8D7">
      <w:pPr>
        <w:pStyle w:val="L1-FlLSp12"/>
        <w:spacing w:line="276" w:lineRule="auto"/>
        <w:rPr>
          <w:rFonts w:ascii="Times New Roman" w:hAnsi="Times New Roman"/>
        </w:rPr>
      </w:pPr>
      <w:r w:rsidRPr="008F6829">
        <w:rPr>
          <w:rFonts w:ascii="Times New Roman" w:hAnsi="Times New Roman"/>
        </w:rPr>
        <w:t xml:space="preserve">States </w:t>
      </w:r>
      <w:r w:rsidRPr="008F6829" w:rsidR="006D4EC5">
        <w:rPr>
          <w:rFonts w:ascii="Times New Roman" w:hAnsi="Times New Roman"/>
        </w:rPr>
        <w:t xml:space="preserve">and counties </w:t>
      </w:r>
      <w:r w:rsidR="004B11D0">
        <w:rPr>
          <w:rFonts w:ascii="Times New Roman" w:hAnsi="Times New Roman"/>
        </w:rPr>
        <w:t>that</w:t>
      </w:r>
      <w:r w:rsidR="00AF0927">
        <w:rPr>
          <w:rFonts w:ascii="Times New Roman" w:hAnsi="Times New Roman"/>
        </w:rPr>
        <w:t xml:space="preserve"> are not covered in the centralized data</w:t>
      </w:r>
      <w:r w:rsidR="00E910AD">
        <w:rPr>
          <w:rFonts w:ascii="Times New Roman" w:hAnsi="Times New Roman"/>
        </w:rPr>
        <w:t xml:space="preserve"> and counties not sampled with certainty</w:t>
      </w:r>
      <w:r w:rsidRPr="008F6829">
        <w:rPr>
          <w:rFonts w:ascii="Times New Roman" w:hAnsi="Times New Roman"/>
        </w:rPr>
        <w:t xml:space="preserve"> will be</w:t>
      </w:r>
      <w:r w:rsidR="00AF0927">
        <w:rPr>
          <w:rFonts w:ascii="Times New Roman" w:hAnsi="Times New Roman"/>
        </w:rPr>
        <w:t xml:space="preserve"> stratified by county population.</w:t>
      </w:r>
      <w:r w:rsidRPr="008F6829">
        <w:rPr>
          <w:rFonts w:ascii="Times New Roman" w:hAnsi="Times New Roman"/>
        </w:rPr>
        <w:t xml:space="preserve"> </w:t>
      </w:r>
      <w:r w:rsidR="00AE5567">
        <w:rPr>
          <w:rFonts w:ascii="Times New Roman" w:hAnsi="Times New Roman"/>
        </w:rPr>
        <w:t xml:space="preserve">This will include parts of </w:t>
      </w:r>
      <w:r w:rsidR="00A02F50">
        <w:rPr>
          <w:rFonts w:ascii="Times New Roman" w:hAnsi="Times New Roman"/>
        </w:rPr>
        <w:t>C</w:t>
      </w:r>
      <w:r w:rsidR="00102621">
        <w:rPr>
          <w:rFonts w:ascii="Times New Roman" w:hAnsi="Times New Roman"/>
        </w:rPr>
        <w:t xml:space="preserve">lass </w:t>
      </w:r>
      <w:r w:rsidR="00A02F50">
        <w:rPr>
          <w:rFonts w:ascii="Times New Roman" w:hAnsi="Times New Roman"/>
        </w:rPr>
        <w:t>1</w:t>
      </w:r>
      <w:r w:rsidR="00AE5567">
        <w:rPr>
          <w:rFonts w:ascii="Times New Roman" w:hAnsi="Times New Roman"/>
        </w:rPr>
        <w:t xml:space="preserve"> and all of </w:t>
      </w:r>
      <w:r w:rsidR="00A02F50">
        <w:rPr>
          <w:rFonts w:ascii="Times New Roman" w:hAnsi="Times New Roman"/>
        </w:rPr>
        <w:t>C</w:t>
      </w:r>
      <w:r w:rsidR="00102621">
        <w:rPr>
          <w:rFonts w:ascii="Times New Roman" w:hAnsi="Times New Roman"/>
        </w:rPr>
        <w:t xml:space="preserve">lass </w:t>
      </w:r>
      <w:r w:rsidR="00A02F50">
        <w:rPr>
          <w:rFonts w:ascii="Times New Roman" w:hAnsi="Times New Roman"/>
        </w:rPr>
        <w:t>2</w:t>
      </w:r>
      <w:r w:rsidR="00AE5567">
        <w:rPr>
          <w:rFonts w:ascii="Times New Roman" w:hAnsi="Times New Roman"/>
        </w:rPr>
        <w:t xml:space="preserve">. </w:t>
      </w:r>
      <w:r w:rsidR="00DD7A28">
        <w:rPr>
          <w:rFonts w:ascii="Times New Roman" w:hAnsi="Times New Roman"/>
        </w:rPr>
        <w:t xml:space="preserve">Although </w:t>
      </w:r>
      <w:r w:rsidR="00AE5567">
        <w:rPr>
          <w:rFonts w:ascii="Times New Roman" w:hAnsi="Times New Roman"/>
        </w:rPr>
        <w:t xml:space="preserve">BJS does not know which states will decline to participate, this section assumes </w:t>
      </w:r>
      <w:r w:rsidR="007431AC">
        <w:rPr>
          <w:rFonts w:ascii="Times New Roman" w:hAnsi="Times New Roman"/>
        </w:rPr>
        <w:t xml:space="preserve">an </w:t>
      </w:r>
      <w:r w:rsidR="009C4956">
        <w:rPr>
          <w:rFonts w:ascii="Times New Roman" w:hAnsi="Times New Roman"/>
        </w:rPr>
        <w:t>80% to 100% response rate</w:t>
      </w:r>
      <w:r w:rsidR="00AE5567">
        <w:rPr>
          <w:rFonts w:ascii="Times New Roman" w:hAnsi="Times New Roman"/>
        </w:rPr>
        <w:t xml:space="preserve"> </w:t>
      </w:r>
      <w:r w:rsidR="002673D1">
        <w:rPr>
          <w:rFonts w:ascii="Times New Roman" w:hAnsi="Times New Roman"/>
        </w:rPr>
        <w:t xml:space="preserve">in </w:t>
      </w:r>
      <w:r w:rsidR="00A306C4">
        <w:rPr>
          <w:rFonts w:ascii="Times New Roman" w:hAnsi="Times New Roman"/>
        </w:rPr>
        <w:t>S</w:t>
      </w:r>
      <w:r w:rsidR="009C4956">
        <w:rPr>
          <w:rFonts w:ascii="Times New Roman" w:hAnsi="Times New Roman"/>
        </w:rPr>
        <w:t xml:space="preserve">tage </w:t>
      </w:r>
      <w:r w:rsidR="00A306C4">
        <w:rPr>
          <w:rFonts w:ascii="Times New Roman" w:hAnsi="Times New Roman"/>
        </w:rPr>
        <w:t>1</w:t>
      </w:r>
      <w:r w:rsidR="009C4956">
        <w:rPr>
          <w:rFonts w:ascii="Times New Roman" w:hAnsi="Times New Roman"/>
        </w:rPr>
        <w:t xml:space="preserve">, which </w:t>
      </w:r>
      <w:r w:rsidR="002673D1">
        <w:rPr>
          <w:rFonts w:ascii="Times New Roman" w:hAnsi="Times New Roman"/>
        </w:rPr>
        <w:t xml:space="preserve">will </w:t>
      </w:r>
      <w:r w:rsidR="009C4956">
        <w:rPr>
          <w:rFonts w:ascii="Times New Roman" w:hAnsi="Times New Roman"/>
        </w:rPr>
        <w:t>provide</w:t>
      </w:r>
      <w:r w:rsidR="002673D1">
        <w:rPr>
          <w:rFonts w:ascii="Times New Roman" w:hAnsi="Times New Roman"/>
        </w:rPr>
        <w:t xml:space="preserve"> an estimated</w:t>
      </w:r>
      <w:r w:rsidR="009C4956">
        <w:rPr>
          <w:rFonts w:ascii="Times New Roman" w:hAnsi="Times New Roman"/>
        </w:rPr>
        <w:t xml:space="preserve"> 5</w:t>
      </w:r>
      <w:r w:rsidR="007431AC">
        <w:rPr>
          <w:rFonts w:ascii="Times New Roman" w:hAnsi="Times New Roman"/>
        </w:rPr>
        <w:t>7</w:t>
      </w:r>
      <w:r w:rsidR="009C4956">
        <w:rPr>
          <w:rFonts w:ascii="Times New Roman" w:hAnsi="Times New Roman"/>
        </w:rPr>
        <w:t xml:space="preserve">% to </w:t>
      </w:r>
      <w:r w:rsidR="007431AC">
        <w:rPr>
          <w:rFonts w:ascii="Times New Roman" w:hAnsi="Times New Roman"/>
        </w:rPr>
        <w:t>72</w:t>
      </w:r>
      <w:r w:rsidR="009C4956">
        <w:rPr>
          <w:rFonts w:ascii="Times New Roman" w:hAnsi="Times New Roman"/>
        </w:rPr>
        <w:t>% coverage of the U.S. population ages 18 and over (</w:t>
      </w:r>
      <w:r w:rsidR="00A02F50">
        <w:rPr>
          <w:rFonts w:ascii="Times New Roman" w:hAnsi="Times New Roman"/>
        </w:rPr>
        <w:t>T</w:t>
      </w:r>
      <w:r w:rsidR="009C4956">
        <w:rPr>
          <w:rFonts w:ascii="Times New Roman" w:hAnsi="Times New Roman"/>
        </w:rPr>
        <w:t xml:space="preserve">able </w:t>
      </w:r>
      <w:r w:rsidR="00A02F50">
        <w:rPr>
          <w:rFonts w:ascii="Times New Roman" w:hAnsi="Times New Roman"/>
        </w:rPr>
        <w:t>4</w:t>
      </w:r>
      <w:r w:rsidR="009C4956">
        <w:rPr>
          <w:rFonts w:ascii="Times New Roman" w:hAnsi="Times New Roman"/>
        </w:rPr>
        <w:t>)</w:t>
      </w:r>
      <w:r w:rsidR="00AE5567">
        <w:rPr>
          <w:rFonts w:ascii="Times New Roman" w:hAnsi="Times New Roman"/>
        </w:rPr>
        <w:t>.</w:t>
      </w:r>
    </w:p>
    <w:p w:rsidR="00A02F50" w:rsidP="00580A55" w:rsidRDefault="00A02F50" w14:paraId="72449F24" w14:textId="77777777">
      <w:pPr>
        <w:pStyle w:val="L1-FlLSp12"/>
        <w:spacing w:line="276" w:lineRule="auto"/>
        <w:rPr>
          <w:rFonts w:ascii="Times New Roman" w:hAnsi="Times New Roman"/>
        </w:rPr>
      </w:pPr>
    </w:p>
    <w:p w:rsidR="00A02F50" w:rsidP="00FB708D" w:rsidRDefault="00A02F50" w14:paraId="2660074C" w14:textId="441A261F">
      <w:pPr>
        <w:spacing w:line="276" w:lineRule="auto"/>
        <w:rPr>
          <w:rFonts w:ascii="Times New Roman" w:hAnsi="Times New Roman"/>
          <w:szCs w:val="24"/>
        </w:rPr>
      </w:pPr>
      <w:r w:rsidRPr="00D052F2">
        <w:rPr>
          <w:rFonts w:ascii="Times New Roman" w:hAnsi="Times New Roman"/>
          <w:szCs w:val="24"/>
        </w:rPr>
        <w:t xml:space="preserve">Table </w:t>
      </w:r>
      <w:r>
        <w:rPr>
          <w:rFonts w:ascii="Times New Roman" w:hAnsi="Times New Roman"/>
          <w:szCs w:val="24"/>
        </w:rPr>
        <w:t>4</w:t>
      </w:r>
      <w:r w:rsidRPr="00D052F2">
        <w:rPr>
          <w:rFonts w:ascii="Times New Roman" w:hAnsi="Times New Roman"/>
          <w:szCs w:val="24"/>
        </w:rPr>
        <w:t>.</w:t>
      </w:r>
      <w:r w:rsidR="00DA357A">
        <w:rPr>
          <w:rFonts w:hint="eastAsia" w:ascii="Times New Roman" w:hAnsi="Times New Roman" w:eastAsiaTheme="minorEastAsia"/>
          <w:szCs w:val="24"/>
          <w:lang w:eastAsia="ko-KR"/>
        </w:rPr>
        <w:t xml:space="preserve"> </w:t>
      </w:r>
      <w:r w:rsidRPr="00D052F2">
        <w:rPr>
          <w:rFonts w:ascii="Times New Roman" w:hAnsi="Times New Roman"/>
          <w:szCs w:val="24"/>
        </w:rPr>
        <w:t xml:space="preserve">Target </w:t>
      </w:r>
      <w:r>
        <w:rPr>
          <w:rFonts w:ascii="Times New Roman" w:hAnsi="Times New Roman"/>
          <w:szCs w:val="24"/>
        </w:rPr>
        <w:t>P</w:t>
      </w:r>
      <w:r w:rsidRPr="00D052F2">
        <w:rPr>
          <w:rFonts w:ascii="Times New Roman" w:hAnsi="Times New Roman"/>
          <w:szCs w:val="24"/>
        </w:rPr>
        <w:t xml:space="preserve">opulation by </w:t>
      </w:r>
      <w:r>
        <w:rPr>
          <w:rFonts w:ascii="Times New Roman" w:hAnsi="Times New Roman"/>
          <w:szCs w:val="24"/>
        </w:rPr>
        <w:t>Stage</w:t>
      </w:r>
    </w:p>
    <w:tbl>
      <w:tblPr>
        <w:tblW w:w="9401" w:type="dxa"/>
        <w:tblInd w:w="93" w:type="dxa"/>
        <w:tblLook w:val="04A0" w:firstRow="1" w:lastRow="0" w:firstColumn="1" w:lastColumn="0" w:noHBand="0" w:noVBand="1"/>
      </w:tblPr>
      <w:tblGrid>
        <w:gridCol w:w="7148"/>
        <w:gridCol w:w="1316"/>
        <w:gridCol w:w="937"/>
      </w:tblGrid>
      <w:tr w:rsidRPr="00313DB4" w:rsidR="00A02F50" w:rsidTr="002A20ED" w14:paraId="31C368B8" w14:textId="77777777">
        <w:trPr>
          <w:trHeight w:val="287"/>
        </w:trPr>
        <w:tc>
          <w:tcPr>
            <w:tcW w:w="7221" w:type="dxa"/>
            <w:tcBorders>
              <w:top w:val="single" w:color="auto" w:sz="4" w:space="0"/>
              <w:left w:val="single" w:color="BFBFBF" w:sz="8" w:space="0"/>
              <w:bottom w:val="single" w:color="auto" w:sz="4" w:space="0"/>
              <w:right w:val="single" w:color="BFBFBF" w:sz="8" w:space="0"/>
            </w:tcBorders>
            <w:shd w:val="clear" w:color="auto" w:fill="AFBED7"/>
            <w:vAlign w:val="center"/>
            <w:hideMark/>
          </w:tcPr>
          <w:p w:rsidRPr="00313DB4" w:rsidR="00A02F50" w:rsidP="007431AC" w:rsidRDefault="00A02F50" w14:paraId="46DC0B61" w14:textId="76175192">
            <w:pPr>
              <w:spacing w:line="240" w:lineRule="auto"/>
              <w:rPr>
                <w:rFonts w:ascii="Times New Roman" w:hAnsi="Times New Roman"/>
                <w:b/>
                <w:bCs/>
                <w:color w:val="000000"/>
                <w:sz w:val="22"/>
                <w:szCs w:val="22"/>
                <w:lang w:eastAsia="ko-KR"/>
              </w:rPr>
            </w:pPr>
            <w:r w:rsidRPr="00313DB4">
              <w:rPr>
                <w:rFonts w:ascii="Times New Roman" w:hAnsi="Times New Roman"/>
                <w:b/>
                <w:bCs/>
                <w:color w:val="000000"/>
                <w:sz w:val="22"/>
                <w:szCs w:val="22"/>
                <w:lang w:eastAsia="ko-KR"/>
              </w:rPr>
              <w:t>Population</w:t>
            </w:r>
            <w:r w:rsidR="007431AC">
              <w:rPr>
                <w:rFonts w:ascii="Times New Roman" w:hAnsi="Times New Roman"/>
                <w:b/>
                <w:bCs/>
                <w:color w:val="000000"/>
                <w:sz w:val="22"/>
                <w:szCs w:val="22"/>
                <w:lang w:eastAsia="ko-KR"/>
              </w:rPr>
              <w:t xml:space="preserve"> age 18+</w:t>
            </w:r>
          </w:p>
        </w:tc>
        <w:tc>
          <w:tcPr>
            <w:tcW w:w="1311" w:type="dxa"/>
            <w:tcBorders>
              <w:top w:val="single" w:color="auto" w:sz="4" w:space="0"/>
              <w:left w:val="nil"/>
              <w:bottom w:val="single" w:color="auto" w:sz="4" w:space="0"/>
              <w:right w:val="single" w:color="BFBFBF" w:sz="8" w:space="0"/>
            </w:tcBorders>
            <w:shd w:val="clear" w:color="auto" w:fill="AFBED7"/>
            <w:vAlign w:val="center"/>
            <w:hideMark/>
          </w:tcPr>
          <w:p w:rsidRPr="00313DB4" w:rsidR="00A02F50" w:rsidP="00AF73A8" w:rsidRDefault="00A02F50" w14:paraId="02AD59C4" w14:textId="77777777">
            <w:pPr>
              <w:spacing w:line="240" w:lineRule="auto"/>
              <w:rPr>
                <w:rFonts w:ascii="Times New Roman" w:hAnsi="Times New Roman"/>
                <w:b/>
                <w:bCs/>
                <w:color w:val="000000"/>
                <w:sz w:val="22"/>
                <w:szCs w:val="22"/>
                <w:lang w:eastAsia="ko-KR"/>
              </w:rPr>
            </w:pPr>
            <w:r w:rsidRPr="00313DB4">
              <w:rPr>
                <w:rFonts w:ascii="Times New Roman" w:hAnsi="Times New Roman"/>
                <w:b/>
                <w:bCs/>
                <w:color w:val="000000"/>
                <w:sz w:val="22"/>
                <w:szCs w:val="22"/>
                <w:lang w:eastAsia="ko-KR"/>
              </w:rPr>
              <w:t>N</w:t>
            </w:r>
          </w:p>
        </w:tc>
        <w:tc>
          <w:tcPr>
            <w:tcW w:w="868" w:type="dxa"/>
            <w:tcBorders>
              <w:top w:val="single" w:color="auto" w:sz="4" w:space="0"/>
              <w:left w:val="nil"/>
              <w:bottom w:val="single" w:color="auto" w:sz="4" w:space="0"/>
              <w:right w:val="single" w:color="BFBFBF" w:sz="8" w:space="0"/>
            </w:tcBorders>
            <w:shd w:val="clear" w:color="auto" w:fill="AFBED7"/>
            <w:vAlign w:val="center"/>
            <w:hideMark/>
          </w:tcPr>
          <w:p w:rsidRPr="00313DB4" w:rsidR="00A02F50" w:rsidP="00AF73A8" w:rsidRDefault="00A02F50" w14:paraId="4F59594B" w14:textId="77777777">
            <w:pPr>
              <w:spacing w:line="240" w:lineRule="auto"/>
              <w:rPr>
                <w:rFonts w:ascii="Times New Roman" w:hAnsi="Times New Roman"/>
                <w:b/>
                <w:bCs/>
                <w:color w:val="000000"/>
                <w:sz w:val="22"/>
                <w:szCs w:val="22"/>
                <w:lang w:eastAsia="ko-KR"/>
              </w:rPr>
            </w:pPr>
            <w:r w:rsidRPr="00313DB4">
              <w:rPr>
                <w:rFonts w:ascii="Times New Roman" w:hAnsi="Times New Roman"/>
                <w:b/>
                <w:bCs/>
                <w:color w:val="000000"/>
                <w:sz w:val="22"/>
                <w:szCs w:val="22"/>
                <w:lang w:eastAsia="ko-KR"/>
              </w:rPr>
              <w:t>Percent</w:t>
            </w:r>
          </w:p>
        </w:tc>
      </w:tr>
      <w:tr w:rsidRPr="00313DB4" w:rsidR="00A02F50" w:rsidTr="00DD7A28" w14:paraId="495AB94E" w14:textId="77777777">
        <w:trPr>
          <w:trHeight w:val="287"/>
        </w:trPr>
        <w:tc>
          <w:tcPr>
            <w:tcW w:w="7221" w:type="dxa"/>
            <w:tcBorders>
              <w:top w:val="single" w:color="auto" w:sz="4" w:space="0"/>
              <w:left w:val="single" w:color="BFBFBF" w:sz="8" w:space="0"/>
              <w:bottom w:val="single" w:color="BFBFBF" w:sz="8" w:space="0"/>
              <w:right w:val="single" w:color="BFBFBF" w:sz="8" w:space="0"/>
            </w:tcBorders>
            <w:shd w:val="clear" w:color="000000" w:fill="F2F2F2"/>
            <w:vAlign w:val="bottom"/>
            <w:hideMark/>
          </w:tcPr>
          <w:p w:rsidRPr="005D6552" w:rsidR="00A02F50" w:rsidP="00E20EE6" w:rsidRDefault="00A02F50" w14:paraId="3095167D" w14:textId="17879843">
            <w:pPr>
              <w:spacing w:line="240" w:lineRule="auto"/>
              <w:rPr>
                <w:rFonts w:ascii="Times New Roman" w:hAnsi="Times New Roman"/>
                <w:bCs/>
                <w:color w:val="000000"/>
                <w:sz w:val="22"/>
                <w:szCs w:val="22"/>
                <w:lang w:eastAsia="ko-KR"/>
              </w:rPr>
            </w:pPr>
            <w:r w:rsidRPr="005D6552">
              <w:rPr>
                <w:rFonts w:ascii="Times New Roman" w:hAnsi="Times New Roman"/>
                <w:bCs/>
                <w:color w:val="000000"/>
                <w:sz w:val="22"/>
                <w:szCs w:val="22"/>
                <w:lang w:eastAsia="ko-KR"/>
              </w:rPr>
              <w:t>U.S. Population July 1, 201</w:t>
            </w:r>
            <w:r w:rsidR="00E20EE6">
              <w:rPr>
                <w:rFonts w:ascii="Times New Roman" w:hAnsi="Times New Roman"/>
                <w:bCs/>
                <w:color w:val="000000"/>
                <w:sz w:val="22"/>
                <w:szCs w:val="22"/>
                <w:lang w:eastAsia="ko-KR"/>
              </w:rPr>
              <w:t>8</w:t>
            </w:r>
            <w:r w:rsidRPr="005D6552">
              <w:rPr>
                <w:rFonts w:ascii="Times New Roman" w:hAnsi="Times New Roman"/>
                <w:bCs/>
                <w:color w:val="000000"/>
                <w:sz w:val="22"/>
                <w:szCs w:val="22"/>
                <w:lang w:eastAsia="ko-KR"/>
              </w:rPr>
              <w:t>, ages 18+</w:t>
            </w:r>
          </w:p>
        </w:tc>
        <w:tc>
          <w:tcPr>
            <w:tcW w:w="1311" w:type="dxa"/>
            <w:tcBorders>
              <w:top w:val="single" w:color="auto" w:sz="4" w:space="0"/>
              <w:left w:val="nil"/>
              <w:bottom w:val="single" w:color="BFBFBF" w:sz="8" w:space="0"/>
              <w:right w:val="single" w:color="BFBFBF" w:sz="8" w:space="0"/>
            </w:tcBorders>
            <w:shd w:val="clear" w:color="000000" w:fill="F2F2F2"/>
            <w:vAlign w:val="bottom"/>
            <w:hideMark/>
          </w:tcPr>
          <w:p w:rsidRPr="00313DB4" w:rsidR="00A02F50" w:rsidP="00DD7A28" w:rsidRDefault="00671830" w14:paraId="628C835D" w14:textId="39967EF8">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253,768,092</w:t>
            </w:r>
            <w:r w:rsidRPr="00313DB4" w:rsidR="00A02F50">
              <w:rPr>
                <w:rFonts w:ascii="Times New Roman" w:hAnsi="Times New Roman"/>
                <w:color w:val="000000"/>
                <w:sz w:val="22"/>
                <w:szCs w:val="22"/>
                <w:lang w:eastAsia="ko-KR"/>
              </w:rPr>
              <w:t xml:space="preserve"> </w:t>
            </w:r>
          </w:p>
        </w:tc>
        <w:tc>
          <w:tcPr>
            <w:tcW w:w="868" w:type="dxa"/>
            <w:tcBorders>
              <w:top w:val="single" w:color="auto" w:sz="4" w:space="0"/>
              <w:left w:val="nil"/>
              <w:bottom w:val="single" w:color="BFBFBF" w:sz="8" w:space="0"/>
              <w:right w:val="single" w:color="BFBFBF" w:sz="8" w:space="0"/>
            </w:tcBorders>
            <w:shd w:val="clear" w:color="000000" w:fill="F2F2F2"/>
            <w:vAlign w:val="bottom"/>
            <w:hideMark/>
          </w:tcPr>
          <w:p w:rsidRPr="00313DB4" w:rsidR="00A02F50" w:rsidP="00DD7A28" w:rsidRDefault="00A02F50" w14:paraId="43986B57" w14:textId="77777777">
            <w:pPr>
              <w:spacing w:line="240" w:lineRule="auto"/>
              <w:rPr>
                <w:rFonts w:ascii="Times New Roman" w:hAnsi="Times New Roman"/>
                <w:color w:val="000000"/>
                <w:sz w:val="22"/>
                <w:szCs w:val="22"/>
                <w:lang w:eastAsia="ko-KR"/>
              </w:rPr>
            </w:pPr>
            <w:r w:rsidRPr="00313DB4">
              <w:rPr>
                <w:rFonts w:ascii="Times New Roman" w:hAnsi="Times New Roman"/>
                <w:color w:val="000000"/>
                <w:sz w:val="22"/>
                <w:szCs w:val="22"/>
                <w:lang w:eastAsia="ko-KR"/>
              </w:rPr>
              <w:t>100%</w:t>
            </w:r>
          </w:p>
        </w:tc>
      </w:tr>
      <w:tr w:rsidRPr="00313DB4" w:rsidR="00A02F50" w:rsidTr="00DD7A28" w14:paraId="164248C1" w14:textId="77777777">
        <w:trPr>
          <w:trHeight w:val="556"/>
        </w:trPr>
        <w:tc>
          <w:tcPr>
            <w:tcW w:w="7221" w:type="dxa"/>
            <w:tcBorders>
              <w:top w:val="nil"/>
              <w:left w:val="single" w:color="BFBFBF" w:sz="8" w:space="0"/>
              <w:bottom w:val="single" w:color="BFBFBF" w:sz="8" w:space="0"/>
              <w:right w:val="single" w:color="BFBFBF" w:sz="8" w:space="0"/>
            </w:tcBorders>
            <w:shd w:val="clear" w:color="auto" w:fill="auto"/>
            <w:vAlign w:val="bottom"/>
            <w:hideMark/>
          </w:tcPr>
          <w:p w:rsidRPr="005D6552" w:rsidR="00A02F50" w:rsidP="00AF73A8" w:rsidRDefault="00A02F50" w14:paraId="3883B0DD" w14:textId="0000EA6C">
            <w:pPr>
              <w:spacing w:line="240" w:lineRule="auto"/>
              <w:rPr>
                <w:rFonts w:ascii="Times New Roman" w:hAnsi="Times New Roman"/>
                <w:bCs/>
                <w:color w:val="000000"/>
                <w:sz w:val="22"/>
                <w:szCs w:val="22"/>
                <w:lang w:eastAsia="ko-KR"/>
              </w:rPr>
            </w:pPr>
            <w:r w:rsidRPr="005D6552">
              <w:rPr>
                <w:rFonts w:ascii="Times New Roman" w:hAnsi="Times New Roman"/>
                <w:bCs/>
                <w:color w:val="000000"/>
                <w:sz w:val="22"/>
                <w:szCs w:val="22"/>
                <w:lang w:eastAsia="ko-KR"/>
              </w:rPr>
              <w:t xml:space="preserve">Population ages 18+ covered in </w:t>
            </w:r>
            <w:r w:rsidR="000931AB">
              <w:rPr>
                <w:rFonts w:ascii="Times New Roman" w:hAnsi="Times New Roman"/>
                <w:bCs/>
                <w:color w:val="000000"/>
                <w:sz w:val="22"/>
                <w:szCs w:val="22"/>
                <w:lang w:eastAsia="ko-KR"/>
              </w:rPr>
              <w:t>Class 1</w:t>
            </w:r>
            <w:r w:rsidRPr="005D6552">
              <w:rPr>
                <w:rFonts w:ascii="Times New Roman" w:hAnsi="Times New Roman"/>
                <w:bCs/>
                <w:color w:val="000000"/>
                <w:sz w:val="22"/>
                <w:szCs w:val="22"/>
                <w:lang w:eastAsia="ko-KR"/>
              </w:rPr>
              <w:t xml:space="preserve"> (where state coverage is likely to be successful)</w:t>
            </w:r>
          </w:p>
        </w:tc>
        <w:tc>
          <w:tcPr>
            <w:tcW w:w="1311" w:type="dxa"/>
            <w:tcBorders>
              <w:top w:val="nil"/>
              <w:left w:val="nil"/>
              <w:bottom w:val="single" w:color="BFBFBF" w:sz="8" w:space="0"/>
              <w:right w:val="single" w:color="BFBFBF" w:sz="8" w:space="0"/>
            </w:tcBorders>
            <w:shd w:val="clear" w:color="auto" w:fill="auto"/>
            <w:vAlign w:val="bottom"/>
            <w:hideMark/>
          </w:tcPr>
          <w:p w:rsidRPr="00313DB4" w:rsidR="00A02F50" w:rsidP="00DD7A28" w:rsidRDefault="00671830" w14:paraId="2F24EBB9" w14:textId="3F79FCEE">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145,003,401</w:t>
            </w:r>
          </w:p>
        </w:tc>
        <w:tc>
          <w:tcPr>
            <w:tcW w:w="868" w:type="dxa"/>
            <w:tcBorders>
              <w:top w:val="nil"/>
              <w:left w:val="nil"/>
              <w:bottom w:val="single" w:color="BFBFBF" w:sz="8" w:space="0"/>
              <w:right w:val="single" w:color="BFBFBF" w:sz="8" w:space="0"/>
            </w:tcBorders>
            <w:shd w:val="clear" w:color="auto" w:fill="auto"/>
            <w:vAlign w:val="bottom"/>
            <w:hideMark/>
          </w:tcPr>
          <w:p w:rsidRPr="00313DB4" w:rsidR="00A02F50" w:rsidP="00DD7A28" w:rsidRDefault="00A02F50" w14:paraId="3673DF17" w14:textId="77777777">
            <w:pPr>
              <w:spacing w:line="240" w:lineRule="auto"/>
              <w:rPr>
                <w:rFonts w:ascii="Times New Roman" w:hAnsi="Times New Roman"/>
                <w:color w:val="000000"/>
                <w:sz w:val="22"/>
                <w:szCs w:val="22"/>
                <w:lang w:eastAsia="ko-KR"/>
              </w:rPr>
            </w:pPr>
            <w:r w:rsidRPr="00313DB4">
              <w:rPr>
                <w:rFonts w:ascii="Times New Roman" w:hAnsi="Times New Roman"/>
                <w:color w:val="000000"/>
                <w:sz w:val="22"/>
                <w:szCs w:val="22"/>
                <w:lang w:eastAsia="ko-KR"/>
              </w:rPr>
              <w:t>5</w:t>
            </w:r>
            <w:r>
              <w:rPr>
                <w:rFonts w:ascii="Times New Roman" w:hAnsi="Times New Roman"/>
                <w:color w:val="000000"/>
                <w:sz w:val="22"/>
                <w:szCs w:val="22"/>
                <w:lang w:eastAsia="ko-KR"/>
              </w:rPr>
              <w:t>7</w:t>
            </w:r>
            <w:r w:rsidRPr="00313DB4">
              <w:rPr>
                <w:rFonts w:ascii="Times New Roman" w:hAnsi="Times New Roman"/>
                <w:color w:val="000000"/>
                <w:sz w:val="22"/>
                <w:szCs w:val="22"/>
                <w:lang w:eastAsia="ko-KR"/>
              </w:rPr>
              <w:t>%</w:t>
            </w:r>
          </w:p>
        </w:tc>
      </w:tr>
      <w:tr w:rsidRPr="00313DB4" w:rsidR="00A02F50" w:rsidTr="00DD7A28" w14:paraId="6F8BBAC8" w14:textId="77777777">
        <w:trPr>
          <w:trHeight w:val="556"/>
        </w:trPr>
        <w:tc>
          <w:tcPr>
            <w:tcW w:w="7221" w:type="dxa"/>
            <w:tcBorders>
              <w:top w:val="nil"/>
              <w:left w:val="single" w:color="BFBFBF" w:sz="8" w:space="0"/>
              <w:bottom w:val="single" w:color="BFBFBF" w:sz="8" w:space="0"/>
              <w:right w:val="single" w:color="BFBFBF" w:sz="8" w:space="0"/>
            </w:tcBorders>
            <w:shd w:val="clear" w:color="000000" w:fill="F2F2F2"/>
            <w:vAlign w:val="bottom"/>
            <w:hideMark/>
          </w:tcPr>
          <w:p w:rsidRPr="005D6552" w:rsidR="00A02F50" w:rsidP="00AF73A8" w:rsidRDefault="00A02F50" w14:paraId="07EDCDF6" w14:textId="3E2DDF8A">
            <w:pPr>
              <w:spacing w:line="240" w:lineRule="auto"/>
              <w:rPr>
                <w:rFonts w:ascii="Times New Roman" w:hAnsi="Times New Roman"/>
                <w:bCs/>
                <w:color w:val="000000"/>
                <w:sz w:val="22"/>
                <w:szCs w:val="22"/>
                <w:lang w:eastAsia="ko-KR"/>
              </w:rPr>
            </w:pPr>
            <w:r w:rsidRPr="005D6552">
              <w:rPr>
                <w:rFonts w:ascii="Times New Roman" w:hAnsi="Times New Roman"/>
                <w:bCs/>
                <w:color w:val="000000"/>
                <w:sz w:val="22"/>
                <w:szCs w:val="22"/>
                <w:lang w:eastAsia="ko-KR"/>
              </w:rPr>
              <w:t xml:space="preserve">Population ages 18+ covered in certainty stratum (counties in </w:t>
            </w:r>
            <w:r w:rsidR="0006282D">
              <w:rPr>
                <w:rFonts w:ascii="Times New Roman" w:hAnsi="Times New Roman"/>
                <w:bCs/>
                <w:color w:val="000000"/>
                <w:sz w:val="22"/>
                <w:szCs w:val="22"/>
                <w:lang w:eastAsia="ko-KR"/>
              </w:rPr>
              <w:t>Class 2</w:t>
            </w:r>
            <w:r w:rsidRPr="005D6552">
              <w:rPr>
                <w:rFonts w:ascii="Times New Roman" w:hAnsi="Times New Roman"/>
                <w:bCs/>
                <w:color w:val="000000"/>
                <w:sz w:val="22"/>
                <w:szCs w:val="22"/>
                <w:lang w:eastAsia="ko-KR"/>
              </w:rPr>
              <w:t xml:space="preserve"> with a total county population of 1,000,000 or more)</w:t>
            </w:r>
          </w:p>
        </w:tc>
        <w:tc>
          <w:tcPr>
            <w:tcW w:w="1311" w:type="dxa"/>
            <w:tcBorders>
              <w:top w:val="nil"/>
              <w:left w:val="nil"/>
              <w:bottom w:val="single" w:color="BFBFBF" w:sz="8" w:space="0"/>
              <w:right w:val="single" w:color="BFBFBF" w:sz="8" w:space="0"/>
            </w:tcBorders>
            <w:shd w:val="clear" w:color="auto" w:fill="auto"/>
            <w:noWrap/>
            <w:vAlign w:val="bottom"/>
            <w:hideMark/>
          </w:tcPr>
          <w:p w:rsidRPr="00313DB4" w:rsidR="00A02F50" w:rsidP="00DD7A28" w:rsidRDefault="00BF7903" w14:paraId="49031289" w14:textId="558C4BF1">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38,734,025</w:t>
            </w:r>
          </w:p>
        </w:tc>
        <w:tc>
          <w:tcPr>
            <w:tcW w:w="868" w:type="dxa"/>
            <w:tcBorders>
              <w:top w:val="nil"/>
              <w:left w:val="nil"/>
              <w:bottom w:val="single" w:color="BFBFBF" w:sz="8" w:space="0"/>
              <w:right w:val="single" w:color="BFBFBF" w:sz="8" w:space="0"/>
            </w:tcBorders>
            <w:shd w:val="clear" w:color="000000" w:fill="F2F2F2"/>
            <w:vAlign w:val="bottom"/>
            <w:hideMark/>
          </w:tcPr>
          <w:p w:rsidRPr="00313DB4" w:rsidR="00A02F50" w:rsidP="00DD7A28" w:rsidRDefault="00E20EE6" w14:paraId="15EAE624" w14:textId="0D347DEF">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1</w:t>
            </w:r>
            <w:r w:rsidR="00DD7A28">
              <w:rPr>
                <w:rFonts w:ascii="Times New Roman" w:hAnsi="Times New Roman"/>
                <w:color w:val="000000"/>
                <w:sz w:val="22"/>
                <w:szCs w:val="22"/>
                <w:lang w:eastAsia="ko-KR"/>
              </w:rPr>
              <w:t>5</w:t>
            </w:r>
            <w:r w:rsidRPr="00313DB4" w:rsidR="00A02F50">
              <w:rPr>
                <w:rFonts w:ascii="Times New Roman" w:hAnsi="Times New Roman"/>
                <w:color w:val="000000"/>
                <w:sz w:val="22"/>
                <w:szCs w:val="22"/>
                <w:lang w:eastAsia="ko-KR"/>
              </w:rPr>
              <w:t>%</w:t>
            </w:r>
          </w:p>
        </w:tc>
      </w:tr>
      <w:tr w:rsidRPr="00313DB4" w:rsidR="00A02F50" w:rsidTr="00DD7A28" w14:paraId="47BD9042" w14:textId="77777777">
        <w:trPr>
          <w:trHeight w:val="287"/>
        </w:trPr>
        <w:tc>
          <w:tcPr>
            <w:tcW w:w="7221" w:type="dxa"/>
            <w:tcBorders>
              <w:top w:val="nil"/>
              <w:left w:val="single" w:color="BFBFBF" w:sz="8" w:space="0"/>
              <w:bottom w:val="single" w:color="BFBFBF" w:sz="8" w:space="0"/>
              <w:right w:val="single" w:color="BFBFBF" w:sz="8" w:space="0"/>
            </w:tcBorders>
            <w:shd w:val="clear" w:color="auto" w:fill="auto"/>
            <w:vAlign w:val="bottom"/>
            <w:hideMark/>
          </w:tcPr>
          <w:p w:rsidRPr="00937DEB" w:rsidR="00A02F50" w:rsidP="00AF73A8" w:rsidRDefault="00A02F50" w14:paraId="5E898457" w14:textId="0287011B">
            <w:pPr>
              <w:spacing w:line="240" w:lineRule="auto"/>
              <w:rPr>
                <w:rFonts w:ascii="Times New Roman" w:hAnsi="Times New Roman"/>
                <w:bCs/>
                <w:color w:val="000000"/>
                <w:sz w:val="22"/>
                <w:szCs w:val="22"/>
                <w:lang w:eastAsia="ko-KR"/>
              </w:rPr>
            </w:pPr>
            <w:r w:rsidRPr="00937DEB">
              <w:rPr>
                <w:rFonts w:ascii="Times New Roman" w:hAnsi="Times New Roman"/>
                <w:bCs/>
                <w:color w:val="000000"/>
                <w:sz w:val="22"/>
                <w:szCs w:val="22"/>
                <w:lang w:eastAsia="ko-KR"/>
              </w:rPr>
              <w:t xml:space="preserve">Complete </w:t>
            </w:r>
            <w:r w:rsidR="0006282D">
              <w:rPr>
                <w:rFonts w:ascii="Times New Roman" w:hAnsi="Times New Roman"/>
                <w:bCs/>
                <w:color w:val="000000"/>
                <w:sz w:val="22"/>
                <w:szCs w:val="22"/>
                <w:lang w:eastAsia="ko-KR"/>
              </w:rPr>
              <w:t>S</w:t>
            </w:r>
            <w:r w:rsidRPr="00937DEB">
              <w:rPr>
                <w:rFonts w:ascii="Times New Roman" w:hAnsi="Times New Roman"/>
                <w:bCs/>
                <w:color w:val="000000"/>
                <w:sz w:val="22"/>
                <w:szCs w:val="22"/>
                <w:lang w:eastAsia="ko-KR"/>
              </w:rPr>
              <w:t xml:space="preserve">tage </w:t>
            </w:r>
            <w:r w:rsidR="0006282D">
              <w:rPr>
                <w:rFonts w:ascii="Times New Roman" w:hAnsi="Times New Roman"/>
                <w:bCs/>
                <w:color w:val="000000"/>
                <w:sz w:val="22"/>
                <w:szCs w:val="22"/>
                <w:lang w:eastAsia="ko-KR"/>
              </w:rPr>
              <w:t>1</w:t>
            </w:r>
            <w:r w:rsidRPr="00937DEB">
              <w:rPr>
                <w:rFonts w:ascii="Times New Roman" w:hAnsi="Times New Roman"/>
                <w:bCs/>
                <w:color w:val="000000"/>
                <w:sz w:val="22"/>
                <w:szCs w:val="22"/>
                <w:lang w:eastAsia="ko-KR"/>
              </w:rPr>
              <w:t xml:space="preserve"> coverage (state data and certainty counties)</w:t>
            </w:r>
          </w:p>
        </w:tc>
        <w:tc>
          <w:tcPr>
            <w:tcW w:w="1311" w:type="dxa"/>
            <w:tcBorders>
              <w:top w:val="nil"/>
              <w:left w:val="nil"/>
              <w:bottom w:val="single" w:color="BFBFBF" w:sz="8" w:space="0"/>
              <w:right w:val="single" w:color="BFBFBF" w:sz="8" w:space="0"/>
            </w:tcBorders>
            <w:shd w:val="clear" w:color="auto" w:fill="auto"/>
            <w:vAlign w:val="bottom"/>
            <w:hideMark/>
          </w:tcPr>
          <w:p w:rsidRPr="00313DB4" w:rsidR="00A02F50" w:rsidP="00BF7903" w:rsidRDefault="00BF7903" w14:paraId="5CA6D6D8" w14:textId="16079EDE">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183</w:t>
            </w:r>
            <w:r w:rsidR="00DD7A28">
              <w:rPr>
                <w:rFonts w:ascii="Times New Roman" w:hAnsi="Times New Roman"/>
                <w:color w:val="000000"/>
                <w:sz w:val="22"/>
                <w:szCs w:val="22"/>
                <w:lang w:eastAsia="ko-KR"/>
              </w:rPr>
              <w:t>,</w:t>
            </w:r>
            <w:r>
              <w:rPr>
                <w:rFonts w:ascii="Times New Roman" w:hAnsi="Times New Roman"/>
                <w:color w:val="000000"/>
                <w:sz w:val="22"/>
                <w:szCs w:val="22"/>
                <w:lang w:eastAsia="ko-KR"/>
              </w:rPr>
              <w:t>737</w:t>
            </w:r>
            <w:r w:rsidR="00DD7A28">
              <w:rPr>
                <w:rFonts w:ascii="Times New Roman" w:hAnsi="Times New Roman"/>
                <w:color w:val="000000"/>
                <w:sz w:val="22"/>
                <w:szCs w:val="22"/>
                <w:lang w:eastAsia="ko-KR"/>
              </w:rPr>
              <w:t>,</w:t>
            </w:r>
            <w:r>
              <w:rPr>
                <w:rFonts w:ascii="Times New Roman" w:hAnsi="Times New Roman"/>
                <w:color w:val="000000"/>
                <w:sz w:val="22"/>
                <w:szCs w:val="22"/>
                <w:lang w:eastAsia="ko-KR"/>
              </w:rPr>
              <w:t>426</w:t>
            </w:r>
          </w:p>
        </w:tc>
        <w:tc>
          <w:tcPr>
            <w:tcW w:w="868" w:type="dxa"/>
            <w:tcBorders>
              <w:top w:val="nil"/>
              <w:left w:val="nil"/>
              <w:bottom w:val="single" w:color="BFBFBF" w:sz="8" w:space="0"/>
              <w:right w:val="single" w:color="BFBFBF" w:sz="8" w:space="0"/>
            </w:tcBorders>
            <w:shd w:val="clear" w:color="auto" w:fill="auto"/>
            <w:vAlign w:val="bottom"/>
            <w:hideMark/>
          </w:tcPr>
          <w:p w:rsidRPr="00313DB4" w:rsidR="00A02F50" w:rsidP="00DD7A28" w:rsidRDefault="00DD7A28" w14:paraId="078D0320" w14:textId="58B4F19A">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72</w:t>
            </w:r>
            <w:r w:rsidRPr="00313DB4" w:rsidR="00A02F50">
              <w:rPr>
                <w:rFonts w:ascii="Times New Roman" w:hAnsi="Times New Roman"/>
                <w:color w:val="000000"/>
                <w:sz w:val="22"/>
                <w:szCs w:val="22"/>
                <w:lang w:eastAsia="ko-KR"/>
              </w:rPr>
              <w:t>%</w:t>
            </w:r>
          </w:p>
        </w:tc>
      </w:tr>
      <w:tr w:rsidRPr="00313DB4" w:rsidR="00A02F50" w:rsidTr="00DD7A28" w14:paraId="34BEB125" w14:textId="77777777">
        <w:trPr>
          <w:trHeight w:val="287"/>
        </w:trPr>
        <w:tc>
          <w:tcPr>
            <w:tcW w:w="7221" w:type="dxa"/>
            <w:tcBorders>
              <w:top w:val="nil"/>
              <w:left w:val="single" w:color="BFBFBF" w:sz="8" w:space="0"/>
              <w:bottom w:val="single" w:color="BFBFBF" w:sz="8" w:space="0"/>
              <w:right w:val="single" w:color="BFBFBF" w:sz="8" w:space="0"/>
            </w:tcBorders>
            <w:shd w:val="clear" w:color="000000" w:fill="F2F2F2"/>
            <w:vAlign w:val="bottom"/>
            <w:hideMark/>
          </w:tcPr>
          <w:p w:rsidRPr="005D6552" w:rsidR="00A02F50" w:rsidP="00AF73A8" w:rsidRDefault="00A02F50" w14:paraId="4E53FF34" w14:textId="10422D5F">
            <w:pPr>
              <w:spacing w:line="240" w:lineRule="auto"/>
              <w:rPr>
                <w:rFonts w:ascii="Times New Roman" w:hAnsi="Times New Roman"/>
                <w:bCs/>
                <w:color w:val="000000"/>
                <w:sz w:val="22"/>
                <w:szCs w:val="22"/>
                <w:lang w:eastAsia="ko-KR"/>
              </w:rPr>
            </w:pPr>
            <w:r w:rsidRPr="005D6552">
              <w:rPr>
                <w:rFonts w:ascii="Times New Roman" w:hAnsi="Times New Roman"/>
                <w:bCs/>
                <w:color w:val="000000"/>
                <w:sz w:val="22"/>
                <w:szCs w:val="22"/>
                <w:lang w:eastAsia="ko-KR"/>
              </w:rPr>
              <w:t xml:space="preserve">Successful 80% response in </w:t>
            </w:r>
            <w:r w:rsidR="0006282D">
              <w:rPr>
                <w:rFonts w:ascii="Times New Roman" w:hAnsi="Times New Roman"/>
                <w:bCs/>
                <w:color w:val="000000"/>
                <w:sz w:val="22"/>
                <w:szCs w:val="22"/>
                <w:lang w:eastAsia="ko-KR"/>
              </w:rPr>
              <w:t>S</w:t>
            </w:r>
            <w:r w:rsidRPr="005D6552">
              <w:rPr>
                <w:rFonts w:ascii="Times New Roman" w:hAnsi="Times New Roman"/>
                <w:bCs/>
                <w:color w:val="000000"/>
                <w:sz w:val="22"/>
                <w:szCs w:val="22"/>
                <w:lang w:eastAsia="ko-KR"/>
              </w:rPr>
              <w:t>tage 1</w:t>
            </w:r>
          </w:p>
        </w:tc>
        <w:tc>
          <w:tcPr>
            <w:tcW w:w="1311" w:type="dxa"/>
            <w:tcBorders>
              <w:top w:val="nil"/>
              <w:left w:val="nil"/>
              <w:bottom w:val="single" w:color="BFBFBF" w:sz="8" w:space="0"/>
              <w:right w:val="single" w:color="BFBFBF" w:sz="8" w:space="0"/>
            </w:tcBorders>
            <w:shd w:val="clear" w:color="000000" w:fill="F2F2F2"/>
            <w:vAlign w:val="bottom"/>
            <w:hideMark/>
          </w:tcPr>
          <w:p w:rsidRPr="00313DB4" w:rsidR="00A02F50" w:rsidP="00DD7A28" w:rsidRDefault="00A02F50" w14:paraId="077255D2" w14:textId="77777777">
            <w:pPr>
              <w:spacing w:line="240" w:lineRule="auto"/>
              <w:rPr>
                <w:rFonts w:ascii="Times New Roman" w:hAnsi="Times New Roman"/>
                <w:color w:val="000000"/>
                <w:sz w:val="22"/>
                <w:szCs w:val="22"/>
                <w:lang w:eastAsia="ko-KR"/>
              </w:rPr>
            </w:pPr>
            <w:r w:rsidRPr="00313DB4">
              <w:rPr>
                <w:rFonts w:ascii="Times New Roman" w:hAnsi="Times New Roman"/>
                <w:color w:val="000000"/>
                <w:sz w:val="22"/>
                <w:szCs w:val="22"/>
                <w:lang w:eastAsia="ko-KR"/>
              </w:rPr>
              <w:t> </w:t>
            </w:r>
          </w:p>
        </w:tc>
        <w:tc>
          <w:tcPr>
            <w:tcW w:w="868" w:type="dxa"/>
            <w:tcBorders>
              <w:top w:val="nil"/>
              <w:left w:val="nil"/>
              <w:bottom w:val="single" w:color="BFBFBF" w:sz="8" w:space="0"/>
              <w:right w:val="single" w:color="BFBFBF" w:sz="8" w:space="0"/>
            </w:tcBorders>
            <w:shd w:val="clear" w:color="000000" w:fill="F2F2F2"/>
            <w:vAlign w:val="bottom"/>
            <w:hideMark/>
          </w:tcPr>
          <w:p w:rsidRPr="00313DB4" w:rsidR="00A02F50" w:rsidP="00DD7A28" w:rsidRDefault="00A02F50" w14:paraId="48530A4B" w14:textId="77777777">
            <w:pPr>
              <w:spacing w:line="240" w:lineRule="auto"/>
              <w:rPr>
                <w:rFonts w:ascii="Times New Roman" w:hAnsi="Times New Roman"/>
                <w:color w:val="000000"/>
                <w:sz w:val="22"/>
                <w:szCs w:val="22"/>
                <w:lang w:eastAsia="ko-KR"/>
              </w:rPr>
            </w:pPr>
            <w:r w:rsidRPr="00313DB4">
              <w:rPr>
                <w:rFonts w:ascii="Times New Roman" w:hAnsi="Times New Roman"/>
                <w:color w:val="000000"/>
                <w:sz w:val="22"/>
                <w:szCs w:val="22"/>
                <w:lang w:eastAsia="ko-KR"/>
              </w:rPr>
              <w:t>80%</w:t>
            </w:r>
          </w:p>
        </w:tc>
      </w:tr>
      <w:tr w:rsidRPr="00313DB4" w:rsidR="00A02F50" w:rsidTr="00DD7A28" w14:paraId="6BA8168B" w14:textId="77777777">
        <w:trPr>
          <w:trHeight w:val="287"/>
        </w:trPr>
        <w:tc>
          <w:tcPr>
            <w:tcW w:w="7221" w:type="dxa"/>
            <w:tcBorders>
              <w:top w:val="nil"/>
              <w:left w:val="single" w:color="BFBFBF" w:sz="8" w:space="0"/>
              <w:bottom w:val="single" w:color="BFBFBF" w:sz="8" w:space="0"/>
              <w:right w:val="single" w:color="BFBFBF" w:sz="8" w:space="0"/>
            </w:tcBorders>
            <w:shd w:val="clear" w:color="auto" w:fill="auto"/>
            <w:vAlign w:val="bottom"/>
            <w:hideMark/>
          </w:tcPr>
          <w:p w:rsidRPr="005D6552" w:rsidR="00A02F50" w:rsidP="00AF73A8" w:rsidRDefault="00A02F50" w14:paraId="129EA060" w14:textId="55D35C34">
            <w:pPr>
              <w:spacing w:line="240" w:lineRule="auto"/>
              <w:rPr>
                <w:rFonts w:ascii="Times New Roman" w:hAnsi="Times New Roman"/>
                <w:bCs/>
                <w:color w:val="000000"/>
                <w:sz w:val="22"/>
                <w:szCs w:val="22"/>
                <w:lang w:eastAsia="ko-KR"/>
              </w:rPr>
            </w:pPr>
            <w:r w:rsidRPr="005D6552">
              <w:rPr>
                <w:rFonts w:ascii="Times New Roman" w:hAnsi="Times New Roman"/>
                <w:bCs/>
                <w:color w:val="000000"/>
                <w:sz w:val="22"/>
                <w:szCs w:val="22"/>
                <w:lang w:eastAsia="ko-KR"/>
              </w:rPr>
              <w:t xml:space="preserve">Stage </w:t>
            </w:r>
            <w:r w:rsidR="0006282D">
              <w:rPr>
                <w:rFonts w:ascii="Times New Roman" w:hAnsi="Times New Roman"/>
                <w:bCs/>
                <w:color w:val="000000"/>
                <w:sz w:val="22"/>
                <w:szCs w:val="22"/>
                <w:lang w:eastAsia="ko-KR"/>
              </w:rPr>
              <w:t>1</w:t>
            </w:r>
            <w:r w:rsidRPr="005D6552">
              <w:rPr>
                <w:rFonts w:ascii="Times New Roman" w:hAnsi="Times New Roman"/>
                <w:bCs/>
                <w:color w:val="000000"/>
                <w:sz w:val="22"/>
                <w:szCs w:val="22"/>
                <w:lang w:eastAsia="ko-KR"/>
              </w:rPr>
              <w:t xml:space="preserve"> coverage assuming 80% provide data</w:t>
            </w:r>
          </w:p>
        </w:tc>
        <w:tc>
          <w:tcPr>
            <w:tcW w:w="1311" w:type="dxa"/>
            <w:tcBorders>
              <w:top w:val="nil"/>
              <w:left w:val="nil"/>
              <w:bottom w:val="single" w:color="BFBFBF" w:sz="8" w:space="0"/>
              <w:right w:val="single" w:color="BFBFBF" w:sz="8" w:space="0"/>
            </w:tcBorders>
            <w:shd w:val="clear" w:color="auto" w:fill="auto"/>
            <w:vAlign w:val="bottom"/>
            <w:hideMark/>
          </w:tcPr>
          <w:p w:rsidRPr="00313DB4" w:rsidR="00A02F50" w:rsidP="00BF7903" w:rsidRDefault="00DD7A28" w14:paraId="6A7B44BC" w14:textId="2C7D6280">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14</w:t>
            </w:r>
            <w:r w:rsidR="00BF7903">
              <w:rPr>
                <w:rFonts w:ascii="Times New Roman" w:hAnsi="Times New Roman"/>
                <w:color w:val="000000"/>
                <w:sz w:val="22"/>
                <w:szCs w:val="22"/>
                <w:lang w:eastAsia="ko-KR"/>
              </w:rPr>
              <w:t>6</w:t>
            </w:r>
            <w:r>
              <w:rPr>
                <w:rFonts w:ascii="Times New Roman" w:hAnsi="Times New Roman"/>
                <w:color w:val="000000"/>
                <w:sz w:val="22"/>
                <w:szCs w:val="22"/>
                <w:lang w:eastAsia="ko-KR"/>
              </w:rPr>
              <w:t>,</w:t>
            </w:r>
            <w:r w:rsidR="00BF7903">
              <w:rPr>
                <w:rFonts w:ascii="Times New Roman" w:hAnsi="Times New Roman"/>
                <w:color w:val="000000"/>
                <w:sz w:val="22"/>
                <w:szCs w:val="22"/>
                <w:lang w:eastAsia="ko-KR"/>
              </w:rPr>
              <w:t>989</w:t>
            </w:r>
            <w:r>
              <w:rPr>
                <w:rFonts w:ascii="Times New Roman" w:hAnsi="Times New Roman"/>
                <w:color w:val="000000"/>
                <w:sz w:val="22"/>
                <w:szCs w:val="22"/>
                <w:lang w:eastAsia="ko-KR"/>
              </w:rPr>
              <w:t>,</w:t>
            </w:r>
            <w:r w:rsidR="00BF7903">
              <w:rPr>
                <w:rFonts w:ascii="Times New Roman" w:hAnsi="Times New Roman"/>
                <w:color w:val="000000"/>
                <w:sz w:val="22"/>
                <w:szCs w:val="22"/>
                <w:lang w:eastAsia="ko-KR"/>
              </w:rPr>
              <w:t>941</w:t>
            </w:r>
            <w:r w:rsidRPr="00313DB4" w:rsidR="00A02F50">
              <w:rPr>
                <w:rFonts w:ascii="Times New Roman" w:hAnsi="Times New Roman"/>
                <w:color w:val="000000"/>
                <w:sz w:val="22"/>
                <w:szCs w:val="22"/>
                <w:lang w:eastAsia="ko-KR"/>
              </w:rPr>
              <w:t xml:space="preserve"> </w:t>
            </w:r>
          </w:p>
        </w:tc>
        <w:tc>
          <w:tcPr>
            <w:tcW w:w="868" w:type="dxa"/>
            <w:tcBorders>
              <w:top w:val="nil"/>
              <w:left w:val="nil"/>
              <w:bottom w:val="single" w:color="BFBFBF" w:sz="8" w:space="0"/>
              <w:right w:val="single" w:color="BFBFBF" w:sz="8" w:space="0"/>
            </w:tcBorders>
            <w:shd w:val="clear" w:color="auto" w:fill="auto"/>
            <w:vAlign w:val="bottom"/>
            <w:hideMark/>
          </w:tcPr>
          <w:p w:rsidRPr="00313DB4" w:rsidR="00A02F50" w:rsidP="00BF7903" w:rsidRDefault="00DD7A28" w14:paraId="1608D38A" w14:textId="1A89B8BD">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5</w:t>
            </w:r>
            <w:r w:rsidR="00BF7903">
              <w:rPr>
                <w:rFonts w:ascii="Times New Roman" w:hAnsi="Times New Roman"/>
                <w:color w:val="000000"/>
                <w:sz w:val="22"/>
                <w:szCs w:val="22"/>
                <w:lang w:eastAsia="ko-KR"/>
              </w:rPr>
              <w:t>8</w:t>
            </w:r>
            <w:r w:rsidRPr="00313DB4" w:rsidR="00A02F50">
              <w:rPr>
                <w:rFonts w:ascii="Times New Roman" w:hAnsi="Times New Roman"/>
                <w:color w:val="000000"/>
                <w:sz w:val="22"/>
                <w:szCs w:val="22"/>
                <w:lang w:eastAsia="ko-KR"/>
              </w:rPr>
              <w:t>%</w:t>
            </w:r>
          </w:p>
        </w:tc>
      </w:tr>
      <w:tr w:rsidRPr="00313DB4" w:rsidR="00A02F50" w:rsidTr="00DD7A28" w14:paraId="725694B1" w14:textId="77777777">
        <w:trPr>
          <w:trHeight w:val="287"/>
        </w:trPr>
        <w:tc>
          <w:tcPr>
            <w:tcW w:w="7221" w:type="dxa"/>
            <w:tcBorders>
              <w:top w:val="nil"/>
              <w:left w:val="single" w:color="BFBFBF" w:sz="8" w:space="0"/>
              <w:bottom w:val="single" w:color="BFBFBF" w:sz="8" w:space="0"/>
              <w:right w:val="single" w:color="BFBFBF" w:sz="8" w:space="0"/>
            </w:tcBorders>
            <w:shd w:val="clear" w:color="000000" w:fill="F2F2F2"/>
            <w:vAlign w:val="bottom"/>
            <w:hideMark/>
          </w:tcPr>
          <w:p w:rsidRPr="005D6552" w:rsidR="00A02F50" w:rsidP="00AF73A8" w:rsidRDefault="00A02F50" w14:paraId="2A75C24A" w14:textId="77777777">
            <w:pPr>
              <w:spacing w:line="240" w:lineRule="auto"/>
              <w:rPr>
                <w:rFonts w:ascii="Times New Roman" w:hAnsi="Times New Roman"/>
                <w:bCs/>
                <w:color w:val="000000"/>
                <w:sz w:val="22"/>
                <w:szCs w:val="22"/>
                <w:lang w:eastAsia="ko-KR"/>
              </w:rPr>
            </w:pPr>
            <w:r w:rsidRPr="005D6552">
              <w:rPr>
                <w:rFonts w:ascii="Times New Roman" w:hAnsi="Times New Roman"/>
                <w:bCs/>
                <w:color w:val="000000"/>
                <w:sz w:val="22"/>
                <w:szCs w:val="22"/>
                <w:lang w:eastAsia="ko-KR"/>
              </w:rPr>
              <w:t>Balance of population aged 18+ (to be covered by PPS sample)</w:t>
            </w:r>
          </w:p>
        </w:tc>
        <w:tc>
          <w:tcPr>
            <w:tcW w:w="1311" w:type="dxa"/>
            <w:tcBorders>
              <w:top w:val="nil"/>
              <w:left w:val="nil"/>
              <w:bottom w:val="single" w:color="BFBFBF" w:sz="8" w:space="0"/>
              <w:right w:val="single" w:color="BFBFBF" w:sz="8" w:space="0"/>
            </w:tcBorders>
            <w:shd w:val="clear" w:color="000000" w:fill="F2F2F2"/>
            <w:vAlign w:val="bottom"/>
            <w:hideMark/>
          </w:tcPr>
          <w:p w:rsidRPr="00313DB4" w:rsidR="00A02F50" w:rsidP="00BF7903" w:rsidRDefault="00DD7A28" w14:paraId="02AB6B07" w14:textId="4A61384A">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10</w:t>
            </w:r>
            <w:r w:rsidR="00BF7903">
              <w:rPr>
                <w:rFonts w:ascii="Times New Roman" w:hAnsi="Times New Roman"/>
                <w:color w:val="000000"/>
                <w:sz w:val="22"/>
                <w:szCs w:val="22"/>
                <w:lang w:eastAsia="ko-KR"/>
              </w:rPr>
              <w:t>6</w:t>
            </w:r>
            <w:r>
              <w:rPr>
                <w:rFonts w:ascii="Times New Roman" w:hAnsi="Times New Roman"/>
                <w:color w:val="000000"/>
                <w:sz w:val="22"/>
                <w:szCs w:val="22"/>
                <w:lang w:eastAsia="ko-KR"/>
              </w:rPr>
              <w:t>,</w:t>
            </w:r>
            <w:r w:rsidR="00BF7903">
              <w:rPr>
                <w:rFonts w:ascii="Times New Roman" w:hAnsi="Times New Roman"/>
                <w:color w:val="000000"/>
                <w:sz w:val="22"/>
                <w:szCs w:val="22"/>
                <w:lang w:eastAsia="ko-KR"/>
              </w:rPr>
              <w:t>778</w:t>
            </w:r>
            <w:r>
              <w:rPr>
                <w:rFonts w:ascii="Times New Roman" w:hAnsi="Times New Roman"/>
                <w:color w:val="000000"/>
                <w:sz w:val="22"/>
                <w:szCs w:val="22"/>
                <w:lang w:eastAsia="ko-KR"/>
              </w:rPr>
              <w:t>,</w:t>
            </w:r>
            <w:r w:rsidR="00BF7903">
              <w:rPr>
                <w:rFonts w:ascii="Times New Roman" w:hAnsi="Times New Roman"/>
                <w:color w:val="000000"/>
                <w:sz w:val="22"/>
                <w:szCs w:val="22"/>
                <w:lang w:eastAsia="ko-KR"/>
              </w:rPr>
              <w:t>151</w:t>
            </w:r>
            <w:r w:rsidRPr="00313DB4" w:rsidR="00A02F50">
              <w:rPr>
                <w:rFonts w:ascii="Times New Roman" w:hAnsi="Times New Roman"/>
                <w:color w:val="000000"/>
                <w:sz w:val="22"/>
                <w:szCs w:val="22"/>
                <w:lang w:eastAsia="ko-KR"/>
              </w:rPr>
              <w:t xml:space="preserve"> </w:t>
            </w:r>
          </w:p>
        </w:tc>
        <w:tc>
          <w:tcPr>
            <w:tcW w:w="868" w:type="dxa"/>
            <w:tcBorders>
              <w:top w:val="nil"/>
              <w:left w:val="nil"/>
              <w:bottom w:val="single" w:color="BFBFBF" w:sz="8" w:space="0"/>
              <w:right w:val="single" w:color="BFBFBF" w:sz="8" w:space="0"/>
            </w:tcBorders>
            <w:shd w:val="clear" w:color="000000" w:fill="F2F2F2"/>
            <w:vAlign w:val="bottom"/>
            <w:hideMark/>
          </w:tcPr>
          <w:p w:rsidRPr="00313DB4" w:rsidR="00A02F50" w:rsidP="00DD7A28" w:rsidRDefault="00BF7903" w14:paraId="05358C5E" w14:textId="45D34964">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42</w:t>
            </w:r>
            <w:r w:rsidRPr="00313DB4" w:rsidR="00A02F50">
              <w:rPr>
                <w:rFonts w:ascii="Times New Roman" w:hAnsi="Times New Roman"/>
                <w:color w:val="000000"/>
                <w:sz w:val="22"/>
                <w:szCs w:val="22"/>
                <w:lang w:eastAsia="ko-KR"/>
              </w:rPr>
              <w:t>%</w:t>
            </w:r>
          </w:p>
        </w:tc>
      </w:tr>
      <w:tr w:rsidRPr="00313DB4" w:rsidR="00A02F50" w:rsidTr="002A20ED" w14:paraId="6FCC5891" w14:textId="77777777">
        <w:trPr>
          <w:trHeight w:val="552"/>
        </w:trPr>
        <w:tc>
          <w:tcPr>
            <w:tcW w:w="9401" w:type="dxa"/>
            <w:gridSpan w:val="3"/>
            <w:tcBorders>
              <w:top w:val="single" w:color="BFBFBF" w:sz="8" w:space="0"/>
              <w:left w:val="single" w:color="BFBFBF" w:sz="8" w:space="0"/>
              <w:bottom w:val="single" w:color="BFBFBF" w:sz="8" w:space="0"/>
              <w:right w:val="single" w:color="BFBFBF" w:sz="8" w:space="0"/>
            </w:tcBorders>
            <w:shd w:val="clear" w:color="auto" w:fill="auto"/>
            <w:vAlign w:val="center"/>
            <w:hideMark/>
          </w:tcPr>
          <w:p w:rsidRPr="00313DB4" w:rsidR="00A02F50" w:rsidP="007431AC" w:rsidRDefault="00A02F50" w14:paraId="7E933104" w14:textId="47E8F7EA">
            <w:pPr>
              <w:spacing w:line="240" w:lineRule="auto"/>
              <w:rPr>
                <w:rFonts w:ascii="Times New Roman" w:hAnsi="Times New Roman"/>
                <w:color w:val="000000"/>
                <w:sz w:val="22"/>
                <w:szCs w:val="22"/>
                <w:lang w:eastAsia="ko-KR"/>
              </w:rPr>
            </w:pPr>
            <w:r w:rsidRPr="00313DB4">
              <w:rPr>
                <w:rFonts w:ascii="Times New Roman" w:hAnsi="Times New Roman"/>
                <w:color w:val="000000"/>
                <w:sz w:val="22"/>
                <w:szCs w:val="22"/>
                <w:lang w:eastAsia="ko-KR"/>
              </w:rPr>
              <w:t xml:space="preserve">Estimates of </w:t>
            </w:r>
            <w:r w:rsidR="007431AC">
              <w:rPr>
                <w:rFonts w:ascii="Times New Roman" w:hAnsi="Times New Roman"/>
                <w:color w:val="000000"/>
                <w:sz w:val="22"/>
                <w:szCs w:val="22"/>
                <w:lang w:eastAsia="ko-KR"/>
              </w:rPr>
              <w:t xml:space="preserve">resident </w:t>
            </w:r>
            <w:r w:rsidRPr="00313DB4">
              <w:rPr>
                <w:rFonts w:ascii="Times New Roman" w:hAnsi="Times New Roman"/>
                <w:color w:val="000000"/>
                <w:sz w:val="22"/>
                <w:szCs w:val="22"/>
                <w:lang w:eastAsia="ko-KR"/>
              </w:rPr>
              <w:t xml:space="preserve">population age 18 and over taken from </w:t>
            </w:r>
            <w:r w:rsidR="006C2502">
              <w:rPr>
                <w:rFonts w:ascii="Times New Roman" w:hAnsi="Times New Roman"/>
                <w:color w:val="000000"/>
                <w:sz w:val="22"/>
                <w:szCs w:val="22"/>
                <w:lang w:eastAsia="ko-KR"/>
              </w:rPr>
              <w:t xml:space="preserve">U.S. Census Bureau, Population Division. Table 1. </w:t>
            </w:r>
            <w:r w:rsidRPr="00820D6F" w:rsidR="006C2502">
              <w:rPr>
                <w:rFonts w:ascii="Times New Roman" w:hAnsi="Times New Roman"/>
                <w:color w:val="000000"/>
                <w:sz w:val="22"/>
                <w:szCs w:val="22"/>
                <w:lang w:eastAsia="ko-KR"/>
              </w:rPr>
              <w:t>Annual Estimates of the Resident Population for Selected Age Groups by Sex for the United States, States, Counties and Puerto Rico Commonwealth and Municipios: April 1, 2010 to July 1, 2018</w:t>
            </w:r>
          </w:p>
        </w:tc>
      </w:tr>
    </w:tbl>
    <w:p w:rsidR="00A02F50" w:rsidP="00A02F50" w:rsidRDefault="00A02F50" w14:paraId="0D6EA518" w14:textId="77777777">
      <w:pPr>
        <w:pStyle w:val="TT-TableTitle"/>
        <w:tabs>
          <w:tab w:val="clear" w:pos="1440"/>
          <w:tab w:val="left" w:pos="1080"/>
        </w:tabs>
        <w:spacing w:line="276" w:lineRule="auto"/>
        <w:rPr>
          <w:rFonts w:ascii="Times New Roman" w:hAnsi="Times New Roman"/>
          <w:sz w:val="24"/>
          <w:szCs w:val="24"/>
        </w:rPr>
      </w:pPr>
    </w:p>
    <w:p w:rsidR="00165788" w:rsidP="00580A55" w:rsidRDefault="00165788" w14:paraId="063681C1" w14:textId="0161165D">
      <w:pPr>
        <w:pStyle w:val="L1-FlLSp12"/>
        <w:spacing w:line="276" w:lineRule="auto"/>
        <w:rPr>
          <w:rFonts w:ascii="Times New Roman" w:hAnsi="Times New Roman"/>
        </w:rPr>
      </w:pPr>
      <w:r>
        <w:rPr>
          <w:rFonts w:ascii="Times New Roman" w:hAnsi="Times New Roman"/>
        </w:rPr>
        <w:t xml:space="preserve">All counties in </w:t>
      </w:r>
      <w:r w:rsidR="00135C17">
        <w:rPr>
          <w:rFonts w:ascii="Times New Roman" w:hAnsi="Times New Roman"/>
        </w:rPr>
        <w:t>Class 2 states</w:t>
      </w:r>
      <w:r w:rsidR="006D290E">
        <w:rPr>
          <w:rFonts w:ascii="Times New Roman" w:hAnsi="Times New Roman"/>
        </w:rPr>
        <w:t xml:space="preserve"> </w:t>
      </w:r>
      <w:r w:rsidR="00104620">
        <w:rPr>
          <w:rFonts w:ascii="Times New Roman" w:hAnsi="Times New Roman"/>
        </w:rPr>
        <w:t xml:space="preserve">will </w:t>
      </w:r>
      <w:r>
        <w:rPr>
          <w:rFonts w:ascii="Times New Roman" w:hAnsi="Times New Roman"/>
        </w:rPr>
        <w:t xml:space="preserve">be stratified by population size. As discussed, counties with populations exceeding </w:t>
      </w:r>
      <w:r w:rsidR="00104620">
        <w:rPr>
          <w:rFonts w:ascii="Times New Roman" w:hAnsi="Times New Roman"/>
        </w:rPr>
        <w:t>one million</w:t>
      </w:r>
      <w:r>
        <w:rPr>
          <w:rFonts w:ascii="Times New Roman" w:hAnsi="Times New Roman"/>
        </w:rPr>
        <w:t xml:space="preserve"> will be sampled with certainty</w:t>
      </w:r>
      <w:r w:rsidR="00FB5C41">
        <w:rPr>
          <w:rFonts w:ascii="Times New Roman" w:hAnsi="Times New Roman"/>
        </w:rPr>
        <w:t>, and BJS will collect data from these counties in Stage 1</w:t>
      </w:r>
      <w:r>
        <w:rPr>
          <w:rFonts w:ascii="Times New Roman" w:hAnsi="Times New Roman"/>
        </w:rPr>
        <w:t xml:space="preserve">. The remaining counties will be </w:t>
      </w:r>
      <w:r w:rsidR="00A02F50">
        <w:rPr>
          <w:rFonts w:ascii="Times New Roman" w:hAnsi="Times New Roman"/>
        </w:rPr>
        <w:t>divided into five strata (Table 5)</w:t>
      </w:r>
      <w:r w:rsidR="00104620">
        <w:rPr>
          <w:rFonts w:ascii="Times New Roman" w:hAnsi="Times New Roman"/>
        </w:rPr>
        <w:t>:</w:t>
      </w:r>
      <w:r w:rsidR="00A02F50">
        <w:rPr>
          <w:rFonts w:ascii="Times New Roman" w:hAnsi="Times New Roman"/>
        </w:rPr>
        <w:t xml:space="preserve"> </w:t>
      </w:r>
    </w:p>
    <w:p w:rsidR="00165788" w:rsidP="00580A55" w:rsidRDefault="00165788" w14:paraId="24053E9A" w14:textId="77777777">
      <w:pPr>
        <w:pStyle w:val="L1-FlLSp12"/>
        <w:spacing w:line="276" w:lineRule="auto"/>
        <w:rPr>
          <w:rFonts w:ascii="Times New Roman" w:hAnsi="Times New Roman"/>
        </w:rPr>
      </w:pPr>
    </w:p>
    <w:p w:rsidR="00165788" w:rsidP="00580A55" w:rsidRDefault="00165788" w14:paraId="783F6878" w14:textId="14CA54E1">
      <w:pPr>
        <w:pStyle w:val="L1-FlLSp12"/>
        <w:spacing w:line="276" w:lineRule="auto"/>
        <w:rPr>
          <w:rFonts w:ascii="Times New Roman" w:hAnsi="Times New Roman"/>
          <w:szCs w:val="24"/>
        </w:rPr>
      </w:pPr>
      <w:r w:rsidRPr="004E4E56">
        <w:rPr>
          <w:rFonts w:ascii="Times New Roman" w:hAnsi="Times New Roman"/>
          <w:szCs w:val="24"/>
        </w:rPr>
        <w:lastRenderedPageBreak/>
        <w:t xml:space="preserve">Table </w:t>
      </w:r>
      <w:r w:rsidRPr="004E4E56" w:rsidR="00135C17">
        <w:rPr>
          <w:rFonts w:ascii="Times New Roman" w:hAnsi="Times New Roman"/>
          <w:szCs w:val="24"/>
        </w:rPr>
        <w:t>5</w:t>
      </w:r>
      <w:r w:rsidRPr="004E4E56">
        <w:rPr>
          <w:rFonts w:ascii="Times New Roman" w:hAnsi="Times New Roman"/>
          <w:szCs w:val="24"/>
        </w:rPr>
        <w:t xml:space="preserve">. </w:t>
      </w:r>
      <w:r w:rsidR="00106B3D">
        <w:rPr>
          <w:rFonts w:ascii="Times New Roman" w:hAnsi="Times New Roman"/>
          <w:szCs w:val="24"/>
        </w:rPr>
        <w:t>Distribution of Counties and Population in Class 2 by Stratum</w:t>
      </w:r>
    </w:p>
    <w:tbl>
      <w:tblPr>
        <w:tblW w:w="8923" w:type="dxa"/>
        <w:tblLook w:val="04A0" w:firstRow="1" w:lastRow="0" w:firstColumn="1" w:lastColumn="0" w:noHBand="0" w:noVBand="1"/>
      </w:tblPr>
      <w:tblGrid>
        <w:gridCol w:w="1273"/>
        <w:gridCol w:w="2165"/>
        <w:gridCol w:w="1620"/>
        <w:gridCol w:w="1996"/>
        <w:gridCol w:w="1869"/>
      </w:tblGrid>
      <w:tr w:rsidRPr="00770632" w:rsidR="00770632" w:rsidTr="00EE30E8" w14:paraId="53EF48DE" w14:textId="77777777">
        <w:trPr>
          <w:trHeight w:val="630"/>
        </w:trPr>
        <w:tc>
          <w:tcPr>
            <w:tcW w:w="1273" w:type="dxa"/>
            <w:tcBorders>
              <w:top w:val="single" w:color="auto" w:sz="4" w:space="0"/>
              <w:left w:val="nil"/>
              <w:bottom w:val="single" w:color="auto" w:sz="4" w:space="0"/>
              <w:right w:val="nil"/>
            </w:tcBorders>
            <w:shd w:val="clear" w:color="auto" w:fill="AFBED7"/>
            <w:vAlign w:val="bottom"/>
            <w:hideMark/>
          </w:tcPr>
          <w:p w:rsidRPr="00770632" w:rsidR="00770632" w:rsidP="00312B0A" w:rsidRDefault="00770632" w14:paraId="1CD0D1ED" w14:textId="77777777">
            <w:pPr>
              <w:spacing w:line="240" w:lineRule="auto"/>
              <w:jc w:val="right"/>
              <w:rPr>
                <w:rFonts w:ascii="Times New Roman" w:hAnsi="Times New Roman"/>
                <w:b/>
                <w:bCs/>
                <w:color w:val="000000"/>
                <w:sz w:val="22"/>
                <w:szCs w:val="22"/>
              </w:rPr>
            </w:pPr>
            <w:r w:rsidRPr="00770632">
              <w:rPr>
                <w:rFonts w:ascii="Times New Roman" w:hAnsi="Times New Roman"/>
                <w:b/>
                <w:bCs/>
                <w:color w:val="000000"/>
                <w:sz w:val="22"/>
                <w:szCs w:val="22"/>
              </w:rPr>
              <w:t>Stratum No.</w:t>
            </w:r>
          </w:p>
        </w:tc>
        <w:tc>
          <w:tcPr>
            <w:tcW w:w="2165" w:type="dxa"/>
            <w:tcBorders>
              <w:top w:val="single" w:color="auto" w:sz="4" w:space="0"/>
              <w:left w:val="nil"/>
              <w:bottom w:val="single" w:color="auto" w:sz="4" w:space="0"/>
              <w:right w:val="nil"/>
            </w:tcBorders>
            <w:shd w:val="clear" w:color="auto" w:fill="AFBED7"/>
            <w:vAlign w:val="bottom"/>
            <w:hideMark/>
          </w:tcPr>
          <w:p w:rsidRPr="00770632" w:rsidR="00770632" w:rsidP="00104620" w:rsidRDefault="00770632" w14:paraId="12123A4E" w14:textId="3126E97B">
            <w:pPr>
              <w:spacing w:line="240" w:lineRule="auto"/>
              <w:rPr>
                <w:rFonts w:ascii="Times New Roman" w:hAnsi="Times New Roman"/>
                <w:b/>
                <w:bCs/>
                <w:color w:val="000000"/>
                <w:sz w:val="22"/>
                <w:szCs w:val="22"/>
              </w:rPr>
            </w:pPr>
            <w:r w:rsidRPr="00770632">
              <w:rPr>
                <w:rFonts w:ascii="Times New Roman" w:hAnsi="Times New Roman"/>
                <w:b/>
                <w:bCs/>
                <w:color w:val="000000"/>
                <w:sz w:val="22"/>
                <w:szCs w:val="22"/>
              </w:rPr>
              <w:t xml:space="preserve">Population </w:t>
            </w:r>
          </w:p>
        </w:tc>
        <w:tc>
          <w:tcPr>
            <w:tcW w:w="1620" w:type="dxa"/>
            <w:tcBorders>
              <w:top w:val="single" w:color="auto" w:sz="4" w:space="0"/>
              <w:left w:val="nil"/>
              <w:bottom w:val="single" w:color="auto" w:sz="4" w:space="0"/>
              <w:right w:val="nil"/>
            </w:tcBorders>
            <w:shd w:val="clear" w:color="auto" w:fill="AFBED7"/>
            <w:vAlign w:val="bottom"/>
            <w:hideMark/>
          </w:tcPr>
          <w:p w:rsidRPr="00770632" w:rsidR="00770632" w:rsidP="00EE30E8" w:rsidRDefault="00770632" w14:paraId="60538791" w14:textId="77777777">
            <w:pPr>
              <w:spacing w:line="240" w:lineRule="auto"/>
              <w:jc w:val="right"/>
              <w:rPr>
                <w:rFonts w:ascii="Times New Roman" w:hAnsi="Times New Roman"/>
                <w:b/>
                <w:bCs/>
                <w:color w:val="000000"/>
                <w:sz w:val="22"/>
                <w:szCs w:val="22"/>
              </w:rPr>
            </w:pPr>
            <w:r w:rsidRPr="00770632">
              <w:rPr>
                <w:rFonts w:ascii="Times New Roman" w:hAnsi="Times New Roman"/>
                <w:b/>
                <w:bCs/>
                <w:color w:val="000000"/>
                <w:sz w:val="22"/>
                <w:szCs w:val="22"/>
              </w:rPr>
              <w:t>Number of Counties in U.S.</w:t>
            </w:r>
          </w:p>
        </w:tc>
        <w:tc>
          <w:tcPr>
            <w:tcW w:w="1996" w:type="dxa"/>
            <w:tcBorders>
              <w:top w:val="single" w:color="auto" w:sz="4" w:space="0"/>
              <w:left w:val="nil"/>
              <w:bottom w:val="single" w:color="auto" w:sz="4" w:space="0"/>
              <w:right w:val="nil"/>
            </w:tcBorders>
            <w:shd w:val="clear" w:color="auto" w:fill="AFBED7"/>
            <w:vAlign w:val="bottom"/>
            <w:hideMark/>
          </w:tcPr>
          <w:p w:rsidRPr="00770632" w:rsidR="00770632" w:rsidP="00EE30E8" w:rsidRDefault="00A306C4" w14:paraId="7F84BF95" w14:textId="0DE50BCA">
            <w:pPr>
              <w:spacing w:line="240" w:lineRule="auto"/>
              <w:jc w:val="right"/>
              <w:rPr>
                <w:rFonts w:ascii="Times New Roman" w:hAnsi="Times New Roman"/>
                <w:b/>
                <w:bCs/>
                <w:color w:val="000000"/>
                <w:sz w:val="22"/>
                <w:szCs w:val="22"/>
              </w:rPr>
            </w:pPr>
            <w:r>
              <w:rPr>
                <w:rFonts w:ascii="Times New Roman" w:hAnsi="Times New Roman"/>
                <w:b/>
                <w:bCs/>
                <w:color w:val="000000"/>
                <w:sz w:val="22"/>
                <w:szCs w:val="22"/>
              </w:rPr>
              <w:t xml:space="preserve">Expected </w:t>
            </w:r>
            <w:r w:rsidRPr="00770632" w:rsidR="00770632">
              <w:rPr>
                <w:rFonts w:ascii="Times New Roman" w:hAnsi="Times New Roman"/>
                <w:b/>
                <w:bCs/>
                <w:color w:val="000000"/>
                <w:sz w:val="22"/>
                <w:szCs w:val="22"/>
              </w:rPr>
              <w:t>Number of Counties in Class 2</w:t>
            </w:r>
          </w:p>
        </w:tc>
        <w:tc>
          <w:tcPr>
            <w:tcW w:w="1869" w:type="dxa"/>
            <w:tcBorders>
              <w:top w:val="single" w:color="auto" w:sz="4" w:space="0"/>
              <w:left w:val="nil"/>
              <w:bottom w:val="single" w:color="auto" w:sz="4" w:space="0"/>
              <w:right w:val="nil"/>
            </w:tcBorders>
            <w:shd w:val="clear" w:color="auto" w:fill="AFBED7"/>
            <w:vAlign w:val="bottom"/>
            <w:hideMark/>
          </w:tcPr>
          <w:p w:rsidRPr="00770632" w:rsidR="00770632" w:rsidP="00EE30E8" w:rsidRDefault="00A306C4" w14:paraId="22B6A547" w14:textId="5F1ED24D">
            <w:pPr>
              <w:spacing w:line="240" w:lineRule="auto"/>
              <w:jc w:val="right"/>
              <w:rPr>
                <w:rFonts w:ascii="Times New Roman" w:hAnsi="Times New Roman"/>
                <w:b/>
                <w:bCs/>
                <w:color w:val="000000"/>
                <w:sz w:val="22"/>
                <w:szCs w:val="22"/>
              </w:rPr>
            </w:pPr>
            <w:r>
              <w:rPr>
                <w:rFonts w:ascii="Times New Roman" w:hAnsi="Times New Roman"/>
                <w:b/>
                <w:bCs/>
                <w:color w:val="000000"/>
                <w:sz w:val="22"/>
                <w:szCs w:val="22"/>
              </w:rPr>
              <w:t xml:space="preserve">Expected </w:t>
            </w:r>
            <w:r w:rsidRPr="00770632" w:rsidR="00770632">
              <w:rPr>
                <w:rFonts w:ascii="Times New Roman" w:hAnsi="Times New Roman"/>
                <w:b/>
                <w:bCs/>
                <w:color w:val="000000"/>
                <w:sz w:val="22"/>
                <w:szCs w:val="22"/>
              </w:rPr>
              <w:t>Percent of Class 2 Population</w:t>
            </w:r>
          </w:p>
        </w:tc>
      </w:tr>
      <w:tr w:rsidRPr="00770632" w:rsidR="00222065" w:rsidTr="00EE30E8" w14:paraId="29682839" w14:textId="77777777">
        <w:trPr>
          <w:trHeight w:val="216"/>
        </w:trPr>
        <w:tc>
          <w:tcPr>
            <w:tcW w:w="1273" w:type="dxa"/>
            <w:tcBorders>
              <w:top w:val="single" w:color="auto" w:sz="4" w:space="0"/>
              <w:left w:val="nil"/>
              <w:bottom w:val="nil"/>
              <w:right w:val="nil"/>
            </w:tcBorders>
            <w:shd w:val="clear" w:color="auto" w:fill="auto"/>
            <w:noWrap/>
            <w:vAlign w:val="bottom"/>
            <w:hideMark/>
          </w:tcPr>
          <w:p w:rsidRPr="00770632" w:rsidR="00222065" w:rsidP="00222065" w:rsidRDefault="00222065" w14:paraId="1DCB4FB5" w14:textId="77777777">
            <w:pPr>
              <w:spacing w:line="240" w:lineRule="auto"/>
              <w:jc w:val="right"/>
              <w:rPr>
                <w:rFonts w:ascii="Times New Roman" w:hAnsi="Times New Roman"/>
                <w:color w:val="000000"/>
                <w:sz w:val="22"/>
                <w:szCs w:val="22"/>
              </w:rPr>
            </w:pPr>
            <w:r w:rsidRPr="00770632">
              <w:rPr>
                <w:rFonts w:ascii="Times New Roman" w:hAnsi="Times New Roman"/>
                <w:color w:val="000000"/>
                <w:sz w:val="22"/>
                <w:szCs w:val="22"/>
              </w:rPr>
              <w:t>1</w:t>
            </w:r>
          </w:p>
        </w:tc>
        <w:tc>
          <w:tcPr>
            <w:tcW w:w="2165" w:type="dxa"/>
            <w:tcBorders>
              <w:top w:val="single" w:color="auto" w:sz="4" w:space="0"/>
              <w:left w:val="nil"/>
              <w:bottom w:val="nil"/>
              <w:right w:val="nil"/>
            </w:tcBorders>
            <w:shd w:val="clear" w:color="auto" w:fill="auto"/>
            <w:noWrap/>
            <w:vAlign w:val="bottom"/>
            <w:hideMark/>
          </w:tcPr>
          <w:p w:rsidRPr="00770632" w:rsidR="00222065" w:rsidP="00222065" w:rsidRDefault="00222065" w14:paraId="1BBD8B2D" w14:textId="77777777">
            <w:pPr>
              <w:spacing w:line="240" w:lineRule="auto"/>
              <w:rPr>
                <w:rFonts w:ascii="Times New Roman" w:hAnsi="Times New Roman"/>
                <w:color w:val="000000"/>
                <w:sz w:val="22"/>
                <w:szCs w:val="22"/>
              </w:rPr>
            </w:pPr>
            <w:r w:rsidRPr="00770632">
              <w:rPr>
                <w:rFonts w:ascii="Times New Roman" w:hAnsi="Times New Roman"/>
                <w:color w:val="000000"/>
                <w:sz w:val="22"/>
                <w:szCs w:val="22"/>
              </w:rPr>
              <w:t>500,000-999,999</w:t>
            </w:r>
          </w:p>
        </w:tc>
        <w:tc>
          <w:tcPr>
            <w:tcW w:w="1620" w:type="dxa"/>
            <w:tcBorders>
              <w:top w:val="single" w:color="auto" w:sz="4" w:space="0"/>
              <w:left w:val="nil"/>
              <w:bottom w:val="nil"/>
              <w:right w:val="nil"/>
            </w:tcBorders>
            <w:shd w:val="clear" w:color="auto" w:fill="auto"/>
            <w:noWrap/>
            <w:vAlign w:val="bottom"/>
            <w:hideMark/>
          </w:tcPr>
          <w:p w:rsidRPr="00770632" w:rsidR="00222065" w:rsidP="00222065" w:rsidRDefault="00222065" w14:paraId="51910E92" w14:textId="003CF1DB">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102</w:t>
            </w:r>
          </w:p>
        </w:tc>
        <w:tc>
          <w:tcPr>
            <w:tcW w:w="1996" w:type="dxa"/>
            <w:tcBorders>
              <w:top w:val="single" w:color="auto" w:sz="4" w:space="0"/>
              <w:left w:val="nil"/>
              <w:bottom w:val="nil"/>
              <w:right w:val="nil"/>
            </w:tcBorders>
            <w:shd w:val="clear" w:color="auto" w:fill="auto"/>
            <w:noWrap/>
            <w:vAlign w:val="bottom"/>
            <w:hideMark/>
          </w:tcPr>
          <w:p w:rsidRPr="00770632" w:rsidR="00222065" w:rsidP="00222065" w:rsidRDefault="00222065" w14:paraId="44E8CCFB" w14:textId="377807D3">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26*</w:t>
            </w:r>
          </w:p>
        </w:tc>
        <w:tc>
          <w:tcPr>
            <w:tcW w:w="1869" w:type="dxa"/>
            <w:tcBorders>
              <w:top w:val="single" w:color="auto" w:sz="4" w:space="0"/>
              <w:left w:val="nil"/>
              <w:bottom w:val="nil"/>
              <w:right w:val="nil"/>
            </w:tcBorders>
            <w:shd w:val="clear" w:color="auto" w:fill="auto"/>
            <w:noWrap/>
            <w:vAlign w:val="bottom"/>
            <w:hideMark/>
          </w:tcPr>
          <w:p w:rsidRPr="00770632" w:rsidR="00222065" w:rsidP="00222065" w:rsidRDefault="00222065" w14:paraId="320CA023" w14:textId="77C4C757">
            <w:pPr>
              <w:spacing w:line="240" w:lineRule="auto"/>
              <w:jc w:val="right"/>
              <w:rPr>
                <w:rFonts w:ascii="Times New Roman" w:hAnsi="Times New Roman"/>
                <w:color w:val="000000"/>
                <w:sz w:val="22"/>
                <w:szCs w:val="22"/>
              </w:rPr>
            </w:pPr>
            <w:r>
              <w:rPr>
                <w:rFonts w:ascii="Times New Roman" w:hAnsi="Times New Roman"/>
                <w:color w:val="000000"/>
                <w:sz w:val="22"/>
                <w:szCs w:val="22"/>
              </w:rPr>
              <w:t>25.6%</w:t>
            </w:r>
          </w:p>
        </w:tc>
      </w:tr>
      <w:tr w:rsidRPr="00770632" w:rsidR="00222065" w:rsidTr="00EE30E8" w14:paraId="1F0E4C72" w14:textId="77777777">
        <w:trPr>
          <w:trHeight w:val="216"/>
        </w:trPr>
        <w:tc>
          <w:tcPr>
            <w:tcW w:w="1273" w:type="dxa"/>
            <w:tcBorders>
              <w:top w:val="nil"/>
              <w:left w:val="nil"/>
              <w:bottom w:val="nil"/>
              <w:right w:val="nil"/>
            </w:tcBorders>
            <w:shd w:val="clear" w:color="auto" w:fill="auto"/>
            <w:noWrap/>
            <w:vAlign w:val="bottom"/>
            <w:hideMark/>
          </w:tcPr>
          <w:p w:rsidRPr="00770632" w:rsidR="00222065" w:rsidP="00222065" w:rsidRDefault="00222065" w14:paraId="1BDBCD74" w14:textId="77777777">
            <w:pPr>
              <w:spacing w:line="240" w:lineRule="auto"/>
              <w:jc w:val="right"/>
              <w:rPr>
                <w:rFonts w:ascii="Times New Roman" w:hAnsi="Times New Roman"/>
                <w:color w:val="000000"/>
                <w:sz w:val="22"/>
                <w:szCs w:val="22"/>
              </w:rPr>
            </w:pPr>
            <w:r w:rsidRPr="00770632">
              <w:rPr>
                <w:rFonts w:ascii="Times New Roman" w:hAnsi="Times New Roman"/>
                <w:color w:val="000000"/>
                <w:sz w:val="22"/>
                <w:szCs w:val="22"/>
              </w:rPr>
              <w:t>2</w:t>
            </w:r>
          </w:p>
        </w:tc>
        <w:tc>
          <w:tcPr>
            <w:tcW w:w="2165" w:type="dxa"/>
            <w:tcBorders>
              <w:top w:val="nil"/>
              <w:left w:val="nil"/>
              <w:bottom w:val="nil"/>
              <w:right w:val="nil"/>
            </w:tcBorders>
            <w:shd w:val="clear" w:color="auto" w:fill="auto"/>
            <w:noWrap/>
            <w:vAlign w:val="bottom"/>
            <w:hideMark/>
          </w:tcPr>
          <w:p w:rsidRPr="00770632" w:rsidR="00222065" w:rsidP="00222065" w:rsidRDefault="00222065" w14:paraId="5A659E33" w14:textId="77777777">
            <w:pPr>
              <w:spacing w:line="240" w:lineRule="auto"/>
              <w:rPr>
                <w:rFonts w:ascii="Times New Roman" w:hAnsi="Times New Roman"/>
                <w:color w:val="000000"/>
                <w:sz w:val="22"/>
                <w:szCs w:val="22"/>
              </w:rPr>
            </w:pPr>
            <w:r w:rsidRPr="00770632">
              <w:rPr>
                <w:rFonts w:ascii="Times New Roman" w:hAnsi="Times New Roman"/>
                <w:color w:val="000000"/>
                <w:sz w:val="22"/>
                <w:szCs w:val="22"/>
              </w:rPr>
              <w:t>100,000-499,999</w:t>
            </w:r>
          </w:p>
        </w:tc>
        <w:tc>
          <w:tcPr>
            <w:tcW w:w="1620" w:type="dxa"/>
            <w:tcBorders>
              <w:top w:val="nil"/>
              <w:left w:val="nil"/>
              <w:bottom w:val="nil"/>
              <w:right w:val="nil"/>
            </w:tcBorders>
            <w:shd w:val="clear" w:color="auto" w:fill="auto"/>
            <w:noWrap/>
            <w:vAlign w:val="bottom"/>
            <w:hideMark/>
          </w:tcPr>
          <w:p w:rsidRPr="00770632" w:rsidR="00222065" w:rsidP="00222065" w:rsidRDefault="00222065" w14:paraId="0772FA2D" w14:textId="16FE4201">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395</w:t>
            </w:r>
          </w:p>
        </w:tc>
        <w:tc>
          <w:tcPr>
            <w:tcW w:w="1996" w:type="dxa"/>
            <w:tcBorders>
              <w:top w:val="nil"/>
              <w:left w:val="nil"/>
              <w:bottom w:val="nil"/>
              <w:right w:val="nil"/>
            </w:tcBorders>
            <w:shd w:val="clear" w:color="auto" w:fill="auto"/>
            <w:noWrap/>
            <w:vAlign w:val="bottom"/>
            <w:hideMark/>
          </w:tcPr>
          <w:p w:rsidRPr="00770632" w:rsidR="00222065" w:rsidP="00222065" w:rsidRDefault="00222065" w14:paraId="60F4362F" w14:textId="5CED684C">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151</w:t>
            </w:r>
          </w:p>
        </w:tc>
        <w:tc>
          <w:tcPr>
            <w:tcW w:w="1869" w:type="dxa"/>
            <w:tcBorders>
              <w:top w:val="nil"/>
              <w:left w:val="nil"/>
              <w:bottom w:val="nil"/>
              <w:right w:val="nil"/>
            </w:tcBorders>
            <w:shd w:val="clear" w:color="auto" w:fill="auto"/>
            <w:noWrap/>
            <w:vAlign w:val="bottom"/>
            <w:hideMark/>
          </w:tcPr>
          <w:p w:rsidRPr="00770632" w:rsidR="00222065" w:rsidP="00222065" w:rsidRDefault="00222065" w14:paraId="13CF9EDD" w14:textId="62426643">
            <w:pPr>
              <w:spacing w:line="240" w:lineRule="auto"/>
              <w:jc w:val="right"/>
              <w:rPr>
                <w:rFonts w:ascii="Times New Roman" w:hAnsi="Times New Roman"/>
                <w:color w:val="000000"/>
                <w:sz w:val="22"/>
                <w:szCs w:val="22"/>
              </w:rPr>
            </w:pPr>
            <w:r>
              <w:rPr>
                <w:rFonts w:ascii="Times New Roman" w:hAnsi="Times New Roman"/>
                <w:color w:val="000000"/>
                <w:sz w:val="22"/>
                <w:szCs w:val="22"/>
              </w:rPr>
              <w:t>43.6%</w:t>
            </w:r>
          </w:p>
        </w:tc>
      </w:tr>
      <w:tr w:rsidRPr="00770632" w:rsidR="00222065" w:rsidTr="00EE30E8" w14:paraId="00DBA024" w14:textId="77777777">
        <w:trPr>
          <w:trHeight w:val="216"/>
        </w:trPr>
        <w:tc>
          <w:tcPr>
            <w:tcW w:w="1273" w:type="dxa"/>
            <w:tcBorders>
              <w:top w:val="nil"/>
              <w:left w:val="nil"/>
              <w:bottom w:val="nil"/>
              <w:right w:val="nil"/>
            </w:tcBorders>
            <w:shd w:val="clear" w:color="auto" w:fill="auto"/>
            <w:noWrap/>
            <w:vAlign w:val="bottom"/>
            <w:hideMark/>
          </w:tcPr>
          <w:p w:rsidRPr="00770632" w:rsidR="00222065" w:rsidP="00222065" w:rsidRDefault="00222065" w14:paraId="029761D2" w14:textId="77777777">
            <w:pPr>
              <w:spacing w:line="240" w:lineRule="auto"/>
              <w:jc w:val="right"/>
              <w:rPr>
                <w:rFonts w:ascii="Times New Roman" w:hAnsi="Times New Roman"/>
                <w:color w:val="000000"/>
                <w:sz w:val="22"/>
                <w:szCs w:val="22"/>
              </w:rPr>
            </w:pPr>
            <w:r w:rsidRPr="00770632">
              <w:rPr>
                <w:rFonts w:ascii="Times New Roman" w:hAnsi="Times New Roman"/>
                <w:color w:val="000000"/>
                <w:sz w:val="22"/>
                <w:szCs w:val="22"/>
              </w:rPr>
              <w:t>3</w:t>
            </w:r>
          </w:p>
        </w:tc>
        <w:tc>
          <w:tcPr>
            <w:tcW w:w="2165" w:type="dxa"/>
            <w:tcBorders>
              <w:top w:val="nil"/>
              <w:left w:val="nil"/>
              <w:bottom w:val="nil"/>
              <w:right w:val="nil"/>
            </w:tcBorders>
            <w:shd w:val="clear" w:color="auto" w:fill="auto"/>
            <w:noWrap/>
            <w:vAlign w:val="bottom"/>
            <w:hideMark/>
          </w:tcPr>
          <w:p w:rsidRPr="00770632" w:rsidR="00222065" w:rsidP="00222065" w:rsidRDefault="00222065" w14:paraId="049075CE" w14:textId="77777777">
            <w:pPr>
              <w:spacing w:line="240" w:lineRule="auto"/>
              <w:rPr>
                <w:rFonts w:ascii="Times New Roman" w:hAnsi="Times New Roman"/>
                <w:color w:val="000000"/>
                <w:sz w:val="22"/>
                <w:szCs w:val="22"/>
              </w:rPr>
            </w:pPr>
            <w:r w:rsidRPr="00770632">
              <w:rPr>
                <w:rFonts w:ascii="Times New Roman" w:hAnsi="Times New Roman"/>
                <w:color w:val="000000"/>
                <w:sz w:val="22"/>
                <w:szCs w:val="22"/>
              </w:rPr>
              <w:t>20,000-99,999</w:t>
            </w:r>
          </w:p>
        </w:tc>
        <w:tc>
          <w:tcPr>
            <w:tcW w:w="1620" w:type="dxa"/>
            <w:tcBorders>
              <w:top w:val="nil"/>
              <w:left w:val="nil"/>
              <w:bottom w:val="nil"/>
              <w:right w:val="nil"/>
            </w:tcBorders>
            <w:shd w:val="clear" w:color="auto" w:fill="auto"/>
            <w:noWrap/>
            <w:vAlign w:val="bottom"/>
            <w:hideMark/>
          </w:tcPr>
          <w:p w:rsidRPr="00770632" w:rsidR="00222065" w:rsidP="00222065" w:rsidRDefault="00222065" w14:paraId="35042260" w14:textId="22D9C4C4">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1,087</w:t>
            </w:r>
          </w:p>
        </w:tc>
        <w:tc>
          <w:tcPr>
            <w:tcW w:w="1996" w:type="dxa"/>
            <w:tcBorders>
              <w:top w:val="nil"/>
              <w:left w:val="nil"/>
              <w:bottom w:val="nil"/>
              <w:right w:val="nil"/>
            </w:tcBorders>
            <w:shd w:val="clear" w:color="auto" w:fill="auto"/>
            <w:noWrap/>
            <w:vAlign w:val="bottom"/>
            <w:hideMark/>
          </w:tcPr>
          <w:p w:rsidRPr="00770632" w:rsidR="00222065" w:rsidP="00222065" w:rsidRDefault="00222065" w14:paraId="7AA792BB" w14:textId="197953FA">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398</w:t>
            </w:r>
          </w:p>
        </w:tc>
        <w:tc>
          <w:tcPr>
            <w:tcW w:w="1869" w:type="dxa"/>
            <w:tcBorders>
              <w:top w:val="nil"/>
              <w:left w:val="nil"/>
              <w:bottom w:val="nil"/>
              <w:right w:val="nil"/>
            </w:tcBorders>
            <w:shd w:val="clear" w:color="auto" w:fill="auto"/>
            <w:noWrap/>
            <w:vAlign w:val="bottom"/>
            <w:hideMark/>
          </w:tcPr>
          <w:p w:rsidRPr="00770632" w:rsidR="00222065" w:rsidP="00222065" w:rsidRDefault="00222065" w14:paraId="09B50709" w14:textId="6FE56D75">
            <w:pPr>
              <w:spacing w:line="240" w:lineRule="auto"/>
              <w:jc w:val="right"/>
              <w:rPr>
                <w:rFonts w:ascii="Times New Roman" w:hAnsi="Times New Roman"/>
                <w:color w:val="000000"/>
                <w:sz w:val="22"/>
                <w:szCs w:val="22"/>
              </w:rPr>
            </w:pPr>
            <w:r>
              <w:rPr>
                <w:rFonts w:ascii="Times New Roman" w:hAnsi="Times New Roman"/>
                <w:color w:val="000000"/>
                <w:sz w:val="22"/>
                <w:szCs w:val="22"/>
              </w:rPr>
              <w:t>23.8%</w:t>
            </w:r>
          </w:p>
        </w:tc>
      </w:tr>
      <w:tr w:rsidRPr="00770632" w:rsidR="00222065" w:rsidTr="00EE30E8" w14:paraId="04626E67" w14:textId="77777777">
        <w:trPr>
          <w:trHeight w:val="216"/>
        </w:trPr>
        <w:tc>
          <w:tcPr>
            <w:tcW w:w="1273" w:type="dxa"/>
            <w:tcBorders>
              <w:top w:val="nil"/>
              <w:left w:val="nil"/>
              <w:bottom w:val="nil"/>
              <w:right w:val="nil"/>
            </w:tcBorders>
            <w:shd w:val="clear" w:color="auto" w:fill="auto"/>
            <w:noWrap/>
            <w:vAlign w:val="bottom"/>
            <w:hideMark/>
          </w:tcPr>
          <w:p w:rsidRPr="00770632" w:rsidR="00222065" w:rsidP="00222065" w:rsidRDefault="00222065" w14:paraId="049B3D94" w14:textId="77777777">
            <w:pPr>
              <w:spacing w:line="240" w:lineRule="auto"/>
              <w:jc w:val="right"/>
              <w:rPr>
                <w:rFonts w:ascii="Times New Roman" w:hAnsi="Times New Roman"/>
                <w:color w:val="000000"/>
                <w:sz w:val="22"/>
                <w:szCs w:val="22"/>
              </w:rPr>
            </w:pPr>
            <w:r w:rsidRPr="00770632">
              <w:rPr>
                <w:rFonts w:ascii="Times New Roman" w:hAnsi="Times New Roman"/>
                <w:color w:val="000000"/>
                <w:sz w:val="22"/>
                <w:szCs w:val="22"/>
              </w:rPr>
              <w:t>4</w:t>
            </w:r>
          </w:p>
        </w:tc>
        <w:tc>
          <w:tcPr>
            <w:tcW w:w="2165" w:type="dxa"/>
            <w:tcBorders>
              <w:top w:val="nil"/>
              <w:left w:val="nil"/>
              <w:bottom w:val="nil"/>
              <w:right w:val="nil"/>
            </w:tcBorders>
            <w:shd w:val="clear" w:color="auto" w:fill="auto"/>
            <w:noWrap/>
            <w:vAlign w:val="bottom"/>
            <w:hideMark/>
          </w:tcPr>
          <w:p w:rsidRPr="00770632" w:rsidR="00222065" w:rsidP="00222065" w:rsidRDefault="00222065" w14:paraId="52960898" w14:textId="77777777">
            <w:pPr>
              <w:spacing w:line="240" w:lineRule="auto"/>
              <w:rPr>
                <w:rFonts w:ascii="Times New Roman" w:hAnsi="Times New Roman"/>
                <w:color w:val="000000"/>
                <w:sz w:val="22"/>
                <w:szCs w:val="22"/>
              </w:rPr>
            </w:pPr>
            <w:r w:rsidRPr="00770632">
              <w:rPr>
                <w:rFonts w:ascii="Times New Roman" w:hAnsi="Times New Roman"/>
                <w:color w:val="000000"/>
                <w:sz w:val="22"/>
                <w:szCs w:val="22"/>
              </w:rPr>
              <w:t>5,000-19,999</w:t>
            </w:r>
          </w:p>
        </w:tc>
        <w:tc>
          <w:tcPr>
            <w:tcW w:w="1620" w:type="dxa"/>
            <w:tcBorders>
              <w:top w:val="nil"/>
              <w:left w:val="nil"/>
              <w:bottom w:val="nil"/>
              <w:right w:val="nil"/>
            </w:tcBorders>
            <w:shd w:val="clear" w:color="auto" w:fill="auto"/>
            <w:noWrap/>
            <w:vAlign w:val="bottom"/>
            <w:hideMark/>
          </w:tcPr>
          <w:p w:rsidRPr="00770632" w:rsidR="00222065" w:rsidP="00222065" w:rsidRDefault="00222065" w14:paraId="60D48C89" w14:textId="0B47A2E2">
            <w:pPr>
              <w:spacing w:line="240" w:lineRule="auto"/>
              <w:jc w:val="right"/>
              <w:rPr>
                <w:rFonts w:ascii="Times New Roman" w:hAnsi="Times New Roman"/>
                <w:color w:val="000000"/>
                <w:sz w:val="22"/>
                <w:szCs w:val="22"/>
              </w:rPr>
            </w:pPr>
            <w:r w:rsidRPr="00E50DDC">
              <w:rPr>
                <w:rFonts w:ascii="Times New Roman" w:hAnsi="Times New Roman"/>
                <w:color w:val="000000"/>
                <w:sz w:val="22"/>
                <w:szCs w:val="22"/>
                <w:lang w:eastAsia="ko-KR"/>
              </w:rPr>
              <w:t>1,1</w:t>
            </w:r>
            <w:r>
              <w:rPr>
                <w:rFonts w:ascii="Times New Roman" w:hAnsi="Times New Roman"/>
                <w:color w:val="000000"/>
                <w:sz w:val="22"/>
                <w:szCs w:val="22"/>
                <w:lang w:eastAsia="ko-KR"/>
              </w:rPr>
              <w:t>35</w:t>
            </w:r>
          </w:p>
        </w:tc>
        <w:tc>
          <w:tcPr>
            <w:tcW w:w="1996" w:type="dxa"/>
            <w:tcBorders>
              <w:top w:val="nil"/>
              <w:left w:val="nil"/>
              <w:bottom w:val="nil"/>
              <w:right w:val="nil"/>
            </w:tcBorders>
            <w:shd w:val="clear" w:color="auto" w:fill="auto"/>
            <w:noWrap/>
            <w:vAlign w:val="bottom"/>
            <w:hideMark/>
          </w:tcPr>
          <w:p w:rsidRPr="00770632" w:rsidR="00222065" w:rsidP="00222065" w:rsidRDefault="00222065" w14:paraId="55205223" w14:textId="01AAF016">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389</w:t>
            </w:r>
          </w:p>
        </w:tc>
        <w:tc>
          <w:tcPr>
            <w:tcW w:w="1869" w:type="dxa"/>
            <w:tcBorders>
              <w:top w:val="nil"/>
              <w:left w:val="nil"/>
              <w:bottom w:val="nil"/>
              <w:right w:val="nil"/>
            </w:tcBorders>
            <w:shd w:val="clear" w:color="auto" w:fill="auto"/>
            <w:noWrap/>
            <w:vAlign w:val="bottom"/>
            <w:hideMark/>
          </w:tcPr>
          <w:p w:rsidRPr="00770632" w:rsidR="00222065" w:rsidP="00222065" w:rsidRDefault="00222065" w14:paraId="53FBF7E8" w14:textId="628DBC00">
            <w:pPr>
              <w:spacing w:line="240" w:lineRule="auto"/>
              <w:jc w:val="right"/>
              <w:rPr>
                <w:rFonts w:ascii="Times New Roman" w:hAnsi="Times New Roman"/>
                <w:color w:val="000000"/>
                <w:sz w:val="22"/>
                <w:szCs w:val="22"/>
              </w:rPr>
            </w:pPr>
            <w:r>
              <w:rPr>
                <w:rFonts w:ascii="Times New Roman" w:hAnsi="Times New Roman"/>
                <w:color w:val="000000"/>
                <w:sz w:val="22"/>
                <w:szCs w:val="22"/>
              </w:rPr>
              <w:t>6.6%</w:t>
            </w:r>
          </w:p>
        </w:tc>
      </w:tr>
      <w:tr w:rsidRPr="00770632" w:rsidR="00222065" w:rsidTr="00EE30E8" w14:paraId="0DF71824" w14:textId="77777777">
        <w:trPr>
          <w:trHeight w:val="216"/>
        </w:trPr>
        <w:tc>
          <w:tcPr>
            <w:tcW w:w="1273" w:type="dxa"/>
            <w:tcBorders>
              <w:top w:val="nil"/>
              <w:left w:val="nil"/>
              <w:right w:val="nil"/>
            </w:tcBorders>
            <w:shd w:val="clear" w:color="auto" w:fill="auto"/>
            <w:noWrap/>
            <w:vAlign w:val="bottom"/>
            <w:hideMark/>
          </w:tcPr>
          <w:p w:rsidRPr="00770632" w:rsidR="00222065" w:rsidP="00222065" w:rsidRDefault="00222065" w14:paraId="4F322734" w14:textId="77777777">
            <w:pPr>
              <w:spacing w:line="240" w:lineRule="auto"/>
              <w:jc w:val="right"/>
              <w:rPr>
                <w:rFonts w:ascii="Times New Roman" w:hAnsi="Times New Roman"/>
                <w:color w:val="000000"/>
                <w:sz w:val="22"/>
                <w:szCs w:val="22"/>
              </w:rPr>
            </w:pPr>
            <w:r w:rsidRPr="00770632">
              <w:rPr>
                <w:rFonts w:ascii="Times New Roman" w:hAnsi="Times New Roman"/>
                <w:color w:val="000000"/>
                <w:sz w:val="22"/>
                <w:szCs w:val="22"/>
              </w:rPr>
              <w:t>5</w:t>
            </w:r>
          </w:p>
        </w:tc>
        <w:tc>
          <w:tcPr>
            <w:tcW w:w="2165" w:type="dxa"/>
            <w:tcBorders>
              <w:top w:val="nil"/>
              <w:left w:val="nil"/>
              <w:right w:val="nil"/>
            </w:tcBorders>
            <w:shd w:val="clear" w:color="auto" w:fill="auto"/>
            <w:noWrap/>
            <w:vAlign w:val="bottom"/>
            <w:hideMark/>
          </w:tcPr>
          <w:p w:rsidRPr="00770632" w:rsidR="00222065" w:rsidP="00222065" w:rsidRDefault="00222065" w14:paraId="5216E229" w14:textId="3CD7CE8F">
            <w:pPr>
              <w:spacing w:line="240" w:lineRule="auto"/>
              <w:rPr>
                <w:rFonts w:ascii="Times New Roman" w:hAnsi="Times New Roman"/>
                <w:color w:val="000000"/>
                <w:sz w:val="22"/>
                <w:szCs w:val="22"/>
              </w:rPr>
            </w:pPr>
            <w:r>
              <w:rPr>
                <w:rFonts w:ascii="Times New Roman" w:hAnsi="Times New Roman"/>
                <w:color w:val="000000"/>
                <w:sz w:val="22"/>
                <w:szCs w:val="22"/>
              </w:rPr>
              <w:t>&lt;5,000</w:t>
            </w:r>
          </w:p>
        </w:tc>
        <w:tc>
          <w:tcPr>
            <w:tcW w:w="1620" w:type="dxa"/>
            <w:tcBorders>
              <w:top w:val="nil"/>
              <w:left w:val="nil"/>
              <w:right w:val="nil"/>
            </w:tcBorders>
            <w:shd w:val="clear" w:color="auto" w:fill="auto"/>
            <w:noWrap/>
            <w:vAlign w:val="bottom"/>
            <w:hideMark/>
          </w:tcPr>
          <w:p w:rsidRPr="00770632" w:rsidR="00222065" w:rsidP="00222065" w:rsidRDefault="00222065" w14:paraId="52EF2ACA" w14:textId="2061B7EF">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423</w:t>
            </w:r>
          </w:p>
        </w:tc>
        <w:tc>
          <w:tcPr>
            <w:tcW w:w="1996" w:type="dxa"/>
            <w:tcBorders>
              <w:top w:val="nil"/>
              <w:left w:val="nil"/>
              <w:right w:val="nil"/>
            </w:tcBorders>
            <w:shd w:val="clear" w:color="auto" w:fill="auto"/>
            <w:noWrap/>
            <w:vAlign w:val="bottom"/>
            <w:hideMark/>
          </w:tcPr>
          <w:p w:rsidRPr="00770632" w:rsidR="00222065" w:rsidP="00222065" w:rsidRDefault="00222065" w14:paraId="3C4976CD" w14:textId="4CBBD543">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117</w:t>
            </w:r>
          </w:p>
        </w:tc>
        <w:tc>
          <w:tcPr>
            <w:tcW w:w="1869" w:type="dxa"/>
            <w:tcBorders>
              <w:top w:val="nil"/>
              <w:left w:val="nil"/>
              <w:right w:val="nil"/>
            </w:tcBorders>
            <w:shd w:val="clear" w:color="auto" w:fill="auto"/>
            <w:noWrap/>
            <w:vAlign w:val="bottom"/>
            <w:hideMark/>
          </w:tcPr>
          <w:p w:rsidRPr="00770632" w:rsidR="00222065" w:rsidP="00222065" w:rsidRDefault="00222065" w14:paraId="695F7421" w14:textId="2CBEA0FE">
            <w:pPr>
              <w:spacing w:line="240" w:lineRule="auto"/>
              <w:jc w:val="right"/>
              <w:rPr>
                <w:rFonts w:ascii="Times New Roman" w:hAnsi="Times New Roman"/>
                <w:color w:val="000000"/>
                <w:sz w:val="22"/>
                <w:szCs w:val="22"/>
              </w:rPr>
            </w:pPr>
            <w:r>
              <w:rPr>
                <w:rFonts w:ascii="Times New Roman" w:hAnsi="Times New Roman"/>
                <w:color w:val="000000"/>
                <w:sz w:val="22"/>
                <w:szCs w:val="22"/>
              </w:rPr>
              <w:t>0.4%</w:t>
            </w:r>
          </w:p>
        </w:tc>
      </w:tr>
      <w:tr w:rsidRPr="00770632" w:rsidR="00222065" w:rsidTr="00222065" w14:paraId="3B195AD4" w14:textId="77777777">
        <w:trPr>
          <w:trHeight w:val="216"/>
        </w:trPr>
        <w:tc>
          <w:tcPr>
            <w:tcW w:w="1273" w:type="dxa"/>
            <w:tcBorders>
              <w:top w:val="nil"/>
              <w:left w:val="nil"/>
              <w:right w:val="nil"/>
            </w:tcBorders>
            <w:shd w:val="clear" w:color="auto" w:fill="auto"/>
            <w:noWrap/>
            <w:vAlign w:val="bottom"/>
            <w:hideMark/>
          </w:tcPr>
          <w:p w:rsidRPr="00770632" w:rsidR="00222065" w:rsidP="00222065" w:rsidRDefault="00222065" w14:paraId="5B65E41C" w14:textId="77777777">
            <w:pPr>
              <w:spacing w:line="240" w:lineRule="auto"/>
              <w:jc w:val="right"/>
              <w:rPr>
                <w:rFonts w:ascii="Times New Roman" w:hAnsi="Times New Roman"/>
                <w:color w:val="000000"/>
                <w:sz w:val="22"/>
                <w:szCs w:val="22"/>
              </w:rPr>
            </w:pPr>
          </w:p>
        </w:tc>
        <w:tc>
          <w:tcPr>
            <w:tcW w:w="2165" w:type="dxa"/>
            <w:tcBorders>
              <w:top w:val="nil"/>
              <w:left w:val="nil"/>
              <w:right w:val="nil"/>
            </w:tcBorders>
            <w:shd w:val="clear" w:color="auto" w:fill="auto"/>
            <w:noWrap/>
            <w:vAlign w:val="bottom"/>
            <w:hideMark/>
          </w:tcPr>
          <w:p w:rsidRPr="00770632" w:rsidR="00222065" w:rsidP="00222065" w:rsidRDefault="00222065" w14:paraId="6EECE780" w14:textId="77777777">
            <w:pPr>
              <w:spacing w:line="240" w:lineRule="auto"/>
              <w:rPr>
                <w:rFonts w:ascii="Times New Roman" w:hAnsi="Times New Roman"/>
                <w:color w:val="000000"/>
                <w:sz w:val="22"/>
                <w:szCs w:val="22"/>
              </w:rPr>
            </w:pPr>
            <w:r w:rsidRPr="00770632">
              <w:rPr>
                <w:rFonts w:ascii="Times New Roman" w:hAnsi="Times New Roman"/>
                <w:color w:val="000000"/>
                <w:sz w:val="22"/>
                <w:szCs w:val="22"/>
              </w:rPr>
              <w:t>Total</w:t>
            </w:r>
          </w:p>
        </w:tc>
        <w:tc>
          <w:tcPr>
            <w:tcW w:w="1620" w:type="dxa"/>
            <w:tcBorders>
              <w:top w:val="nil"/>
              <w:left w:val="nil"/>
              <w:right w:val="nil"/>
            </w:tcBorders>
            <w:shd w:val="clear" w:color="auto" w:fill="auto"/>
            <w:noWrap/>
            <w:vAlign w:val="bottom"/>
            <w:hideMark/>
          </w:tcPr>
          <w:p w:rsidRPr="00770632" w:rsidR="00222065" w:rsidP="00222065" w:rsidRDefault="00222065" w14:paraId="117A17D5" w14:textId="44D37D5A">
            <w:pPr>
              <w:spacing w:line="240" w:lineRule="auto"/>
              <w:jc w:val="right"/>
              <w:rPr>
                <w:rFonts w:ascii="Times New Roman" w:hAnsi="Times New Roman"/>
                <w:color w:val="000000"/>
                <w:sz w:val="22"/>
                <w:szCs w:val="22"/>
              </w:rPr>
            </w:pPr>
            <w:r w:rsidRPr="00E50DDC">
              <w:rPr>
                <w:rFonts w:ascii="Times New Roman" w:hAnsi="Times New Roman"/>
                <w:color w:val="000000"/>
                <w:sz w:val="22"/>
                <w:szCs w:val="22"/>
                <w:lang w:eastAsia="ko-KR"/>
              </w:rPr>
              <w:t>3,</w:t>
            </w:r>
            <w:r>
              <w:rPr>
                <w:rFonts w:ascii="Times New Roman" w:hAnsi="Times New Roman"/>
                <w:color w:val="000000"/>
                <w:sz w:val="22"/>
                <w:szCs w:val="22"/>
                <w:lang w:eastAsia="ko-KR"/>
              </w:rPr>
              <w:t>142</w:t>
            </w:r>
          </w:p>
        </w:tc>
        <w:tc>
          <w:tcPr>
            <w:tcW w:w="1996" w:type="dxa"/>
            <w:tcBorders>
              <w:top w:val="nil"/>
              <w:left w:val="nil"/>
              <w:right w:val="nil"/>
            </w:tcBorders>
            <w:shd w:val="clear" w:color="auto" w:fill="auto"/>
            <w:noWrap/>
            <w:vAlign w:val="bottom"/>
            <w:hideMark/>
          </w:tcPr>
          <w:p w:rsidRPr="00770632" w:rsidR="00222065" w:rsidP="00222065" w:rsidRDefault="00222065" w14:paraId="13F10373" w14:textId="4BB3091D">
            <w:pPr>
              <w:spacing w:line="240" w:lineRule="auto"/>
              <w:jc w:val="right"/>
              <w:rPr>
                <w:rFonts w:ascii="Times New Roman" w:hAnsi="Times New Roman"/>
                <w:color w:val="000000"/>
                <w:sz w:val="22"/>
                <w:szCs w:val="22"/>
              </w:rPr>
            </w:pPr>
            <w:r w:rsidRPr="00E50DDC">
              <w:rPr>
                <w:rFonts w:ascii="Times New Roman" w:hAnsi="Times New Roman"/>
                <w:color w:val="000000"/>
                <w:sz w:val="22"/>
                <w:szCs w:val="22"/>
                <w:lang w:eastAsia="ko-KR"/>
              </w:rPr>
              <w:t>1,</w:t>
            </w:r>
            <w:r>
              <w:rPr>
                <w:rFonts w:ascii="Times New Roman" w:hAnsi="Times New Roman"/>
                <w:color w:val="000000"/>
                <w:sz w:val="22"/>
                <w:szCs w:val="22"/>
                <w:lang w:eastAsia="ko-KR"/>
              </w:rPr>
              <w:t>081</w:t>
            </w:r>
          </w:p>
        </w:tc>
        <w:tc>
          <w:tcPr>
            <w:tcW w:w="1869" w:type="dxa"/>
            <w:tcBorders>
              <w:top w:val="nil"/>
              <w:left w:val="nil"/>
              <w:right w:val="nil"/>
            </w:tcBorders>
            <w:shd w:val="clear" w:color="auto" w:fill="auto"/>
            <w:noWrap/>
            <w:vAlign w:val="bottom"/>
            <w:hideMark/>
          </w:tcPr>
          <w:p w:rsidRPr="00770632" w:rsidR="00222065" w:rsidP="00222065" w:rsidRDefault="00222065" w14:paraId="201E07AE" w14:textId="54F458DE">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100.0</w:t>
            </w:r>
            <w:r w:rsidRPr="00E50DDC">
              <w:rPr>
                <w:rFonts w:ascii="Times New Roman" w:hAnsi="Times New Roman"/>
                <w:color w:val="000000"/>
                <w:sz w:val="22"/>
                <w:szCs w:val="22"/>
                <w:lang w:eastAsia="ko-KR"/>
              </w:rPr>
              <w:t>%</w:t>
            </w:r>
          </w:p>
        </w:tc>
      </w:tr>
      <w:tr w:rsidRPr="00770632" w:rsidR="00222065" w:rsidTr="00222065" w14:paraId="7AA90328" w14:textId="77777777">
        <w:trPr>
          <w:trHeight w:val="445"/>
        </w:trPr>
        <w:tc>
          <w:tcPr>
            <w:tcW w:w="8923" w:type="dxa"/>
            <w:gridSpan w:val="5"/>
            <w:tcBorders>
              <w:left w:val="nil"/>
              <w:right w:val="nil"/>
            </w:tcBorders>
            <w:shd w:val="clear" w:color="auto" w:fill="auto"/>
            <w:vAlign w:val="bottom"/>
          </w:tcPr>
          <w:p w:rsidRPr="00770632" w:rsidR="00222065" w:rsidP="00104620" w:rsidRDefault="00222065" w14:paraId="46D52995" w14:textId="6582C291">
            <w:pPr>
              <w:spacing w:line="240" w:lineRule="auto"/>
              <w:rPr>
                <w:rFonts w:ascii="Times New Roman" w:hAnsi="Times New Roman"/>
                <w:bCs/>
                <w:color w:val="000000"/>
                <w:sz w:val="22"/>
                <w:szCs w:val="22"/>
              </w:rPr>
            </w:pPr>
            <w:r>
              <w:rPr>
                <w:rFonts w:ascii="Times New Roman" w:hAnsi="Times New Roman"/>
                <w:bCs/>
                <w:color w:val="000000"/>
                <w:sz w:val="22"/>
                <w:szCs w:val="22"/>
              </w:rPr>
              <w:t>*Does not include the 19 certainty counties (cannot be replaced).</w:t>
            </w:r>
          </w:p>
        </w:tc>
      </w:tr>
      <w:tr w:rsidRPr="00770632" w:rsidR="00EA1B82" w:rsidTr="007C00B4" w14:paraId="5DE316B9" w14:textId="77777777">
        <w:trPr>
          <w:trHeight w:val="445"/>
        </w:trPr>
        <w:tc>
          <w:tcPr>
            <w:tcW w:w="8923" w:type="dxa"/>
            <w:gridSpan w:val="5"/>
            <w:tcBorders>
              <w:left w:val="nil"/>
              <w:bottom w:val="single" w:color="auto" w:sz="4" w:space="0"/>
              <w:right w:val="nil"/>
            </w:tcBorders>
            <w:shd w:val="clear" w:color="auto" w:fill="auto"/>
            <w:vAlign w:val="center"/>
            <w:hideMark/>
          </w:tcPr>
          <w:p w:rsidRPr="00770632" w:rsidR="00EA1B82" w:rsidP="00EA1B82" w:rsidRDefault="00EA1B82" w14:paraId="56BE4ED5" w14:textId="3E1C1CD1">
            <w:pPr>
              <w:spacing w:line="240" w:lineRule="auto"/>
              <w:rPr>
                <w:rFonts w:ascii="Times New Roman" w:hAnsi="Times New Roman"/>
                <w:color w:val="000000"/>
                <w:sz w:val="22"/>
                <w:szCs w:val="22"/>
              </w:rPr>
            </w:pPr>
            <w:r w:rsidRPr="00313DB4">
              <w:rPr>
                <w:rFonts w:ascii="Times New Roman" w:hAnsi="Times New Roman"/>
                <w:color w:val="000000"/>
                <w:sz w:val="22"/>
                <w:szCs w:val="22"/>
                <w:lang w:eastAsia="ko-KR"/>
              </w:rPr>
              <w:t xml:space="preserve">Estimates of </w:t>
            </w:r>
            <w:r>
              <w:rPr>
                <w:rFonts w:ascii="Times New Roman" w:hAnsi="Times New Roman"/>
                <w:color w:val="000000"/>
                <w:sz w:val="22"/>
                <w:szCs w:val="22"/>
                <w:lang w:eastAsia="ko-KR"/>
              </w:rPr>
              <w:t xml:space="preserve">resident </w:t>
            </w:r>
            <w:r w:rsidRPr="00313DB4">
              <w:rPr>
                <w:rFonts w:ascii="Times New Roman" w:hAnsi="Times New Roman"/>
                <w:color w:val="000000"/>
                <w:sz w:val="22"/>
                <w:szCs w:val="22"/>
                <w:lang w:eastAsia="ko-KR"/>
              </w:rPr>
              <w:t xml:space="preserve">population age 18 and over taken from </w:t>
            </w:r>
            <w:r>
              <w:rPr>
                <w:rFonts w:ascii="Times New Roman" w:hAnsi="Times New Roman"/>
                <w:color w:val="000000"/>
                <w:sz w:val="22"/>
                <w:szCs w:val="22"/>
                <w:lang w:eastAsia="ko-KR"/>
              </w:rPr>
              <w:t xml:space="preserve">U.S. Census Bureau, Population Division. Table 1. </w:t>
            </w:r>
            <w:r w:rsidRPr="00820D6F">
              <w:rPr>
                <w:rFonts w:ascii="Times New Roman" w:hAnsi="Times New Roman"/>
                <w:color w:val="000000"/>
                <w:sz w:val="22"/>
                <w:szCs w:val="22"/>
                <w:lang w:eastAsia="ko-KR"/>
              </w:rPr>
              <w:t>Annual Estimates of the Resident Population for Selected Age Groups by Sex for the United States, States, Counties and Puerto Rico Commonwealth and Municipios: April 1, 2010 to July 1, 2018</w:t>
            </w:r>
          </w:p>
        </w:tc>
      </w:tr>
    </w:tbl>
    <w:p w:rsidR="00E50DDC" w:rsidP="00580A55" w:rsidRDefault="00E50DDC" w14:paraId="17D9B185" w14:textId="4EE2065A">
      <w:pPr>
        <w:pStyle w:val="L1-FlLSp12"/>
        <w:spacing w:line="276" w:lineRule="auto"/>
        <w:rPr>
          <w:rFonts w:ascii="Times New Roman" w:hAnsi="Times New Roman"/>
        </w:rPr>
      </w:pPr>
    </w:p>
    <w:p w:rsidRPr="00F84FF2" w:rsidR="00104620" w:rsidP="00104620" w:rsidRDefault="00104620" w14:paraId="2DDBE62B" w14:textId="0AFC3CDC">
      <w:pPr>
        <w:tabs>
          <w:tab w:val="left" w:pos="360"/>
          <w:tab w:val="left" w:pos="630"/>
        </w:tabs>
        <w:spacing w:line="276" w:lineRule="auto"/>
        <w:rPr>
          <w:rFonts w:ascii="Times New Roman" w:hAnsi="Times New Roman"/>
          <w:i/>
        </w:rPr>
      </w:pPr>
      <w:r>
        <w:rPr>
          <w:rFonts w:ascii="Times New Roman" w:hAnsi="Times New Roman"/>
          <w:i/>
        </w:rPr>
        <w:t>Alternative Scenarios</w:t>
      </w:r>
    </w:p>
    <w:p w:rsidR="00104620" w:rsidP="00580A55" w:rsidRDefault="00104620" w14:paraId="501A7986" w14:textId="77777777">
      <w:pPr>
        <w:pStyle w:val="L1-FlLSp12"/>
        <w:spacing w:line="276" w:lineRule="auto"/>
        <w:rPr>
          <w:rFonts w:ascii="Times New Roman" w:hAnsi="Times New Roman"/>
        </w:rPr>
      </w:pPr>
    </w:p>
    <w:p w:rsidRPr="008F6829" w:rsidR="00A2580F" w:rsidP="00A2580F" w:rsidRDefault="00A2580F" w14:paraId="427245F2" w14:textId="42F3B109">
      <w:pPr>
        <w:pStyle w:val="L1-FlLSp12"/>
        <w:spacing w:line="276" w:lineRule="auto"/>
        <w:rPr>
          <w:rFonts w:ascii="Times New Roman" w:hAnsi="Times New Roman"/>
          <w:snapToGrid w:val="0"/>
        </w:rPr>
      </w:pPr>
      <w:r>
        <w:rPr>
          <w:rFonts w:ascii="Times New Roman" w:hAnsi="Times New Roman"/>
          <w:snapToGrid w:val="0"/>
        </w:rPr>
        <w:t>The plan described above</w:t>
      </w:r>
      <w:r w:rsidRPr="008F6829">
        <w:rPr>
          <w:rFonts w:ascii="Times New Roman" w:hAnsi="Times New Roman"/>
          <w:snapToGrid w:val="0"/>
        </w:rPr>
        <w:t xml:space="preserve"> assume</w:t>
      </w:r>
      <w:r>
        <w:rPr>
          <w:rFonts w:ascii="Times New Roman" w:hAnsi="Times New Roman"/>
          <w:snapToGrid w:val="0"/>
        </w:rPr>
        <w:t>s</w:t>
      </w:r>
      <w:r w:rsidRPr="008F6829">
        <w:rPr>
          <w:rFonts w:ascii="Times New Roman" w:hAnsi="Times New Roman"/>
          <w:snapToGrid w:val="0"/>
        </w:rPr>
        <w:t xml:space="preserve"> a </w:t>
      </w:r>
      <w:r>
        <w:rPr>
          <w:rFonts w:ascii="Times New Roman" w:hAnsi="Times New Roman"/>
          <w:snapToGrid w:val="0"/>
        </w:rPr>
        <w:t>high</w:t>
      </w:r>
      <w:r w:rsidRPr="008F6829">
        <w:rPr>
          <w:rFonts w:ascii="Times New Roman" w:hAnsi="Times New Roman"/>
          <w:snapToGrid w:val="0"/>
        </w:rPr>
        <w:t xml:space="preserve"> level of success with the </w:t>
      </w:r>
      <w:r>
        <w:rPr>
          <w:rFonts w:ascii="Times New Roman" w:hAnsi="Times New Roman"/>
          <w:snapToGrid w:val="0"/>
        </w:rPr>
        <w:t xml:space="preserve">response of Stage </w:t>
      </w:r>
      <w:r w:rsidR="000C12CF">
        <w:rPr>
          <w:rFonts w:ascii="Times New Roman" w:hAnsi="Times New Roman"/>
          <w:snapToGrid w:val="0"/>
        </w:rPr>
        <w:t>1</w:t>
      </w:r>
      <w:r w:rsidRPr="008F6829">
        <w:rPr>
          <w:rFonts w:ascii="Times New Roman" w:hAnsi="Times New Roman"/>
          <w:snapToGrid w:val="0"/>
        </w:rPr>
        <w:t xml:space="preserve">. </w:t>
      </w:r>
      <w:r w:rsidR="00104620">
        <w:rPr>
          <w:rFonts w:ascii="Times New Roman" w:hAnsi="Times New Roman"/>
          <w:snapToGrid w:val="0"/>
        </w:rPr>
        <w:t>Because</w:t>
      </w:r>
      <w:r w:rsidRPr="008F6829" w:rsidR="00104620">
        <w:rPr>
          <w:rFonts w:ascii="Times New Roman" w:hAnsi="Times New Roman"/>
          <w:snapToGrid w:val="0"/>
        </w:rPr>
        <w:t xml:space="preserve"> </w:t>
      </w:r>
      <w:r w:rsidRPr="008F6829">
        <w:rPr>
          <w:rFonts w:ascii="Times New Roman" w:hAnsi="Times New Roman"/>
          <w:snapToGrid w:val="0"/>
        </w:rPr>
        <w:t xml:space="preserve">the likely success of the state approach is uncertain, </w:t>
      </w:r>
      <w:r w:rsidR="00104620">
        <w:rPr>
          <w:rFonts w:ascii="Times New Roman" w:hAnsi="Times New Roman"/>
          <w:snapToGrid w:val="0"/>
        </w:rPr>
        <w:t>we have</w:t>
      </w:r>
      <w:r w:rsidRPr="008F6829">
        <w:rPr>
          <w:rFonts w:ascii="Times New Roman" w:hAnsi="Times New Roman"/>
          <w:snapToGrid w:val="0"/>
        </w:rPr>
        <w:t xml:space="preserve"> consider</w:t>
      </w:r>
      <w:r w:rsidR="00790B43">
        <w:rPr>
          <w:rFonts w:ascii="Times New Roman" w:hAnsi="Times New Roman"/>
          <w:snapToGrid w:val="0"/>
        </w:rPr>
        <w:t>ed</w:t>
      </w:r>
      <w:r w:rsidRPr="008F6829">
        <w:rPr>
          <w:rFonts w:ascii="Times New Roman" w:hAnsi="Times New Roman"/>
          <w:snapToGrid w:val="0"/>
        </w:rPr>
        <w:t xml:space="preserve"> a few alternative scenarios and </w:t>
      </w:r>
      <w:r w:rsidR="00104620">
        <w:rPr>
          <w:rFonts w:ascii="Times New Roman" w:hAnsi="Times New Roman"/>
          <w:snapToGrid w:val="0"/>
        </w:rPr>
        <w:t>have</w:t>
      </w:r>
      <w:r w:rsidRPr="008F6829">
        <w:rPr>
          <w:rFonts w:ascii="Times New Roman" w:hAnsi="Times New Roman"/>
          <w:snapToGrid w:val="0"/>
        </w:rPr>
        <w:t xml:space="preserve"> contingency plans built into the overall design.</w:t>
      </w:r>
      <w:r w:rsidR="007A4A36">
        <w:rPr>
          <w:rFonts w:hint="eastAsia" w:ascii="Times New Roman" w:hAnsi="Times New Roman" w:eastAsiaTheme="minorEastAsia"/>
          <w:snapToGrid w:val="0"/>
          <w:lang w:eastAsia="ko-KR"/>
        </w:rPr>
        <w:t xml:space="preserve"> </w:t>
      </w:r>
      <w:r w:rsidR="00790B43">
        <w:rPr>
          <w:rFonts w:ascii="Times New Roman" w:hAnsi="Times New Roman" w:eastAsiaTheme="minorEastAsia"/>
          <w:snapToGrid w:val="0"/>
          <w:lang w:eastAsia="ko-KR"/>
        </w:rPr>
        <w:t>For purposes of illustration, t</w:t>
      </w:r>
      <w:r w:rsidRPr="008F6829">
        <w:rPr>
          <w:rFonts w:ascii="Times New Roman" w:hAnsi="Times New Roman"/>
          <w:snapToGrid w:val="0"/>
        </w:rPr>
        <w:t xml:space="preserve">wo alternative scenarios </w:t>
      </w:r>
      <w:r w:rsidR="00790B43">
        <w:rPr>
          <w:rFonts w:ascii="Times New Roman" w:hAnsi="Times New Roman"/>
          <w:snapToGrid w:val="0"/>
        </w:rPr>
        <w:t>are</w:t>
      </w:r>
      <w:r w:rsidRPr="008F6829">
        <w:rPr>
          <w:rFonts w:ascii="Times New Roman" w:hAnsi="Times New Roman"/>
          <w:snapToGrid w:val="0"/>
        </w:rPr>
        <w:t xml:space="preserve"> considered. Scenario </w:t>
      </w:r>
      <w:r w:rsidR="004B11D0">
        <w:rPr>
          <w:rFonts w:ascii="Times New Roman" w:hAnsi="Times New Roman"/>
          <w:snapToGrid w:val="0"/>
        </w:rPr>
        <w:t>2</w:t>
      </w:r>
      <w:r w:rsidRPr="008F6829" w:rsidR="00104620">
        <w:rPr>
          <w:rFonts w:ascii="Times New Roman" w:hAnsi="Times New Roman"/>
          <w:snapToGrid w:val="0"/>
        </w:rPr>
        <w:t xml:space="preserve"> </w:t>
      </w:r>
      <w:r w:rsidRPr="008F6829">
        <w:rPr>
          <w:rFonts w:ascii="Times New Roman" w:hAnsi="Times New Roman"/>
          <w:snapToGrid w:val="0"/>
        </w:rPr>
        <w:t>assume</w:t>
      </w:r>
      <w:r w:rsidR="00DE6200">
        <w:rPr>
          <w:rFonts w:ascii="Times New Roman" w:hAnsi="Times New Roman"/>
          <w:snapToGrid w:val="0"/>
        </w:rPr>
        <w:t>s</w:t>
      </w:r>
      <w:r w:rsidRPr="008F6829">
        <w:rPr>
          <w:rFonts w:ascii="Times New Roman" w:hAnsi="Times New Roman"/>
          <w:snapToGrid w:val="0"/>
        </w:rPr>
        <w:t xml:space="preserve"> that the state</w:t>
      </w:r>
      <w:r w:rsidR="00790B43">
        <w:rPr>
          <w:rFonts w:ascii="Times New Roman" w:hAnsi="Times New Roman"/>
          <w:snapToGrid w:val="0"/>
        </w:rPr>
        <w:t>wide</w:t>
      </w:r>
      <w:r w:rsidRPr="008F6829">
        <w:rPr>
          <w:rFonts w:ascii="Times New Roman" w:hAnsi="Times New Roman"/>
          <w:snapToGrid w:val="0"/>
        </w:rPr>
        <w:t xml:space="preserve"> success rate is 25</w:t>
      </w:r>
      <w:r>
        <w:rPr>
          <w:rFonts w:ascii="Times New Roman" w:hAnsi="Times New Roman"/>
          <w:snapToGrid w:val="0"/>
        </w:rPr>
        <w:t xml:space="preserve"> percent</w:t>
      </w:r>
      <w:r w:rsidRPr="008F6829">
        <w:rPr>
          <w:rFonts w:ascii="Times New Roman" w:hAnsi="Times New Roman"/>
          <w:snapToGrid w:val="0"/>
        </w:rPr>
        <w:t xml:space="preserve">. Table </w:t>
      </w:r>
      <w:r w:rsidR="00135C17">
        <w:rPr>
          <w:rFonts w:ascii="Times New Roman" w:hAnsi="Times New Roman"/>
          <w:snapToGrid w:val="0"/>
        </w:rPr>
        <w:t>6</w:t>
      </w:r>
      <w:r w:rsidRPr="008F6829">
        <w:rPr>
          <w:rFonts w:ascii="Times New Roman" w:hAnsi="Times New Roman"/>
          <w:snapToGrid w:val="0"/>
        </w:rPr>
        <w:t xml:space="preserve"> below, which </w:t>
      </w:r>
      <w:r w:rsidR="000C12CF">
        <w:rPr>
          <w:rFonts w:ascii="Times New Roman" w:hAnsi="Times New Roman"/>
          <w:snapToGrid w:val="0"/>
        </w:rPr>
        <w:t>is</w:t>
      </w:r>
      <w:r w:rsidRPr="008F6829">
        <w:rPr>
          <w:rFonts w:ascii="Times New Roman" w:hAnsi="Times New Roman"/>
          <w:snapToGrid w:val="0"/>
        </w:rPr>
        <w:t xml:space="preserve"> similar to </w:t>
      </w:r>
      <w:r>
        <w:rPr>
          <w:rFonts w:ascii="Times New Roman" w:hAnsi="Times New Roman"/>
          <w:snapToGrid w:val="0"/>
        </w:rPr>
        <w:t>T</w:t>
      </w:r>
      <w:r w:rsidRPr="008F6829">
        <w:rPr>
          <w:rFonts w:ascii="Times New Roman" w:hAnsi="Times New Roman"/>
          <w:snapToGrid w:val="0"/>
        </w:rPr>
        <w:t xml:space="preserve">able </w:t>
      </w:r>
      <w:r w:rsidR="00E12119">
        <w:rPr>
          <w:rFonts w:ascii="Times New Roman" w:hAnsi="Times New Roman"/>
          <w:snapToGrid w:val="0"/>
        </w:rPr>
        <w:t>4</w:t>
      </w:r>
      <w:r w:rsidRPr="008F6829">
        <w:rPr>
          <w:rFonts w:ascii="Times New Roman" w:hAnsi="Times New Roman"/>
          <w:snapToGrid w:val="0"/>
        </w:rPr>
        <w:t xml:space="preserve"> presented above, show the effects of this assumption.</w:t>
      </w:r>
    </w:p>
    <w:p w:rsidRPr="008F6829" w:rsidR="00A2580F" w:rsidP="00A2580F" w:rsidRDefault="00A2580F" w14:paraId="34F23CC4" w14:textId="77777777">
      <w:pPr>
        <w:pStyle w:val="L1-FlLSp12"/>
        <w:spacing w:line="276" w:lineRule="auto"/>
        <w:rPr>
          <w:rFonts w:ascii="Times New Roman" w:hAnsi="Times New Roman"/>
          <w:snapToGrid w:val="0"/>
        </w:rPr>
      </w:pPr>
    </w:p>
    <w:p w:rsidR="00A2580F" w:rsidP="00A2580F" w:rsidRDefault="00A2580F" w14:paraId="4C11FB9A" w14:textId="19DB7BC4">
      <w:pPr>
        <w:pStyle w:val="TT-TableTitle"/>
        <w:tabs>
          <w:tab w:val="clear" w:pos="1440"/>
          <w:tab w:val="left" w:pos="1080"/>
        </w:tabs>
        <w:spacing w:line="276" w:lineRule="auto"/>
        <w:rPr>
          <w:rFonts w:ascii="Times New Roman" w:hAnsi="Times New Roman"/>
          <w:snapToGrid w:val="0"/>
          <w:sz w:val="24"/>
          <w:szCs w:val="24"/>
        </w:rPr>
      </w:pPr>
      <w:r w:rsidRPr="003F304E">
        <w:rPr>
          <w:rFonts w:ascii="Times New Roman" w:hAnsi="Times New Roman"/>
          <w:snapToGrid w:val="0"/>
          <w:sz w:val="24"/>
          <w:szCs w:val="24"/>
        </w:rPr>
        <w:t xml:space="preserve">Table </w:t>
      </w:r>
      <w:r w:rsidR="005E6E95">
        <w:rPr>
          <w:rFonts w:ascii="Times New Roman" w:hAnsi="Times New Roman"/>
          <w:snapToGrid w:val="0"/>
          <w:sz w:val="24"/>
          <w:szCs w:val="24"/>
        </w:rPr>
        <w:t>6</w:t>
      </w:r>
      <w:r w:rsidRPr="003F304E">
        <w:rPr>
          <w:rFonts w:ascii="Times New Roman" w:hAnsi="Times New Roman"/>
          <w:snapToGrid w:val="0"/>
          <w:sz w:val="24"/>
          <w:szCs w:val="24"/>
        </w:rPr>
        <w:t>.</w:t>
      </w:r>
      <w:r w:rsidR="002A71E7">
        <w:rPr>
          <w:rFonts w:ascii="Times New Roman" w:hAnsi="Times New Roman"/>
          <w:snapToGrid w:val="0"/>
          <w:sz w:val="24"/>
          <w:szCs w:val="24"/>
        </w:rPr>
        <w:t xml:space="preserve"> </w:t>
      </w:r>
      <w:r w:rsidRPr="003F304E">
        <w:rPr>
          <w:rFonts w:ascii="Times New Roman" w:hAnsi="Times New Roman"/>
          <w:snapToGrid w:val="0"/>
          <w:sz w:val="24"/>
          <w:szCs w:val="24"/>
        </w:rPr>
        <w:t xml:space="preserve">Target </w:t>
      </w:r>
      <w:r w:rsidR="00135C17">
        <w:rPr>
          <w:rFonts w:ascii="Times New Roman" w:hAnsi="Times New Roman"/>
          <w:snapToGrid w:val="0"/>
          <w:sz w:val="24"/>
          <w:szCs w:val="24"/>
        </w:rPr>
        <w:t>P</w:t>
      </w:r>
      <w:r w:rsidRPr="003F304E">
        <w:rPr>
          <w:rFonts w:ascii="Times New Roman" w:hAnsi="Times New Roman"/>
          <w:snapToGrid w:val="0"/>
          <w:sz w:val="24"/>
          <w:szCs w:val="24"/>
        </w:rPr>
        <w:t xml:space="preserve">opulation by </w:t>
      </w:r>
      <w:r w:rsidR="00135C17">
        <w:rPr>
          <w:rFonts w:ascii="Times New Roman" w:hAnsi="Times New Roman"/>
          <w:snapToGrid w:val="0"/>
          <w:sz w:val="24"/>
          <w:szCs w:val="24"/>
        </w:rPr>
        <w:t>C</w:t>
      </w:r>
      <w:r w:rsidRPr="003F304E">
        <w:rPr>
          <w:rFonts w:ascii="Times New Roman" w:hAnsi="Times New Roman"/>
          <w:snapToGrid w:val="0"/>
          <w:sz w:val="24"/>
          <w:szCs w:val="24"/>
        </w:rPr>
        <w:t>ens</w:t>
      </w:r>
      <w:r>
        <w:rPr>
          <w:rFonts w:ascii="Times New Roman" w:hAnsi="Times New Roman"/>
          <w:snapToGrid w:val="0"/>
          <w:sz w:val="24"/>
          <w:szCs w:val="24"/>
        </w:rPr>
        <w:t>us/</w:t>
      </w:r>
      <w:r w:rsidR="00135C17">
        <w:rPr>
          <w:rFonts w:ascii="Times New Roman" w:hAnsi="Times New Roman"/>
          <w:snapToGrid w:val="0"/>
          <w:sz w:val="24"/>
          <w:szCs w:val="24"/>
        </w:rPr>
        <w:t>S</w:t>
      </w:r>
      <w:r>
        <w:rPr>
          <w:rFonts w:ascii="Times New Roman" w:hAnsi="Times New Roman"/>
          <w:snapToGrid w:val="0"/>
          <w:sz w:val="24"/>
          <w:szCs w:val="24"/>
        </w:rPr>
        <w:t xml:space="preserve">ample </w:t>
      </w:r>
      <w:r w:rsidR="00135C17">
        <w:rPr>
          <w:rFonts w:ascii="Times New Roman" w:hAnsi="Times New Roman"/>
          <w:snapToGrid w:val="0"/>
          <w:sz w:val="24"/>
          <w:szCs w:val="24"/>
        </w:rPr>
        <w:t>A</w:t>
      </w:r>
      <w:r>
        <w:rPr>
          <w:rFonts w:ascii="Times New Roman" w:hAnsi="Times New Roman"/>
          <w:snapToGrid w:val="0"/>
          <w:sz w:val="24"/>
          <w:szCs w:val="24"/>
        </w:rPr>
        <w:t xml:space="preserve">pproach – </w:t>
      </w:r>
      <w:r w:rsidR="00135C17">
        <w:rPr>
          <w:rFonts w:ascii="Times New Roman" w:hAnsi="Times New Roman"/>
          <w:snapToGrid w:val="0"/>
          <w:sz w:val="24"/>
          <w:szCs w:val="24"/>
        </w:rPr>
        <w:t>S</w:t>
      </w:r>
      <w:r>
        <w:rPr>
          <w:rFonts w:ascii="Times New Roman" w:hAnsi="Times New Roman"/>
          <w:snapToGrid w:val="0"/>
          <w:sz w:val="24"/>
          <w:szCs w:val="24"/>
        </w:rPr>
        <w:t xml:space="preserve">cenario </w:t>
      </w:r>
      <w:r w:rsidR="004B11D0">
        <w:rPr>
          <w:rFonts w:ascii="Times New Roman" w:hAnsi="Times New Roman"/>
          <w:snapToGrid w:val="0"/>
          <w:sz w:val="24"/>
          <w:szCs w:val="24"/>
        </w:rPr>
        <w:t>2</w:t>
      </w:r>
    </w:p>
    <w:tbl>
      <w:tblPr>
        <w:tblW w:w="9300" w:type="dxa"/>
        <w:tblInd w:w="93" w:type="dxa"/>
        <w:tblLook w:val="04A0" w:firstRow="1" w:lastRow="0" w:firstColumn="1" w:lastColumn="0" w:noHBand="0" w:noVBand="1"/>
      </w:tblPr>
      <w:tblGrid>
        <w:gridCol w:w="6809"/>
        <w:gridCol w:w="1453"/>
        <w:gridCol w:w="1038"/>
      </w:tblGrid>
      <w:tr w:rsidRPr="008D6F77" w:rsidR="008D6F77" w:rsidTr="002A20ED" w14:paraId="5E5B6DA8" w14:textId="77777777">
        <w:trPr>
          <w:trHeight w:val="149"/>
        </w:trPr>
        <w:tc>
          <w:tcPr>
            <w:tcW w:w="6809" w:type="dxa"/>
            <w:tcBorders>
              <w:top w:val="single" w:color="auto" w:sz="4" w:space="0"/>
              <w:left w:val="single" w:color="BFBFBF" w:sz="8" w:space="0"/>
              <w:bottom w:val="single" w:color="auto" w:sz="4" w:space="0"/>
              <w:right w:val="single" w:color="BFBFBF" w:sz="8" w:space="0"/>
            </w:tcBorders>
            <w:shd w:val="clear" w:color="auto" w:fill="AFBED7"/>
            <w:hideMark/>
          </w:tcPr>
          <w:p w:rsidRPr="000C12CF" w:rsidR="008D6F77" w:rsidP="008D6F77" w:rsidRDefault="008D6F77" w14:paraId="5BC05A5A" w14:textId="7FFFE7B7">
            <w:pPr>
              <w:spacing w:line="240" w:lineRule="auto"/>
              <w:rPr>
                <w:rFonts w:ascii="Times New Roman" w:hAnsi="Times New Roman"/>
                <w:b/>
                <w:color w:val="000000"/>
                <w:sz w:val="22"/>
                <w:szCs w:val="22"/>
                <w:lang w:eastAsia="ko-KR"/>
              </w:rPr>
            </w:pPr>
            <w:r w:rsidRPr="008D6F77">
              <w:rPr>
                <w:rFonts w:ascii="Calibri" w:hAnsi="Calibri" w:cs="Calibri"/>
                <w:color w:val="000000"/>
                <w:sz w:val="22"/>
                <w:szCs w:val="22"/>
                <w:lang w:eastAsia="ko-KR"/>
              </w:rPr>
              <w:t> </w:t>
            </w:r>
            <w:r w:rsidRPr="000C12CF" w:rsidR="00135C17">
              <w:rPr>
                <w:rFonts w:ascii="Times New Roman" w:hAnsi="Times New Roman"/>
                <w:b/>
                <w:color w:val="000000"/>
                <w:sz w:val="22"/>
                <w:szCs w:val="22"/>
                <w:lang w:eastAsia="ko-KR"/>
              </w:rPr>
              <w:t>Population</w:t>
            </w:r>
          </w:p>
        </w:tc>
        <w:tc>
          <w:tcPr>
            <w:tcW w:w="1453" w:type="dxa"/>
            <w:tcBorders>
              <w:top w:val="single" w:color="auto" w:sz="4" w:space="0"/>
              <w:left w:val="nil"/>
              <w:bottom w:val="single" w:color="auto" w:sz="4" w:space="0"/>
              <w:right w:val="single" w:color="BFBFBF" w:sz="8" w:space="0"/>
            </w:tcBorders>
            <w:shd w:val="clear" w:color="auto" w:fill="AFBED7"/>
            <w:vAlign w:val="center"/>
            <w:hideMark/>
          </w:tcPr>
          <w:p w:rsidRPr="000C12CF" w:rsidR="008D6F77" w:rsidP="008D6F77" w:rsidRDefault="008D6F77" w14:paraId="7D5709CE" w14:textId="77777777">
            <w:pPr>
              <w:spacing w:line="240" w:lineRule="auto"/>
              <w:jc w:val="center"/>
              <w:rPr>
                <w:rFonts w:ascii="Times New Roman" w:hAnsi="Times New Roman"/>
                <w:b/>
                <w:color w:val="000000"/>
                <w:sz w:val="20"/>
                <w:lang w:eastAsia="ko-KR"/>
              </w:rPr>
            </w:pPr>
            <w:r w:rsidRPr="000C12CF">
              <w:rPr>
                <w:rFonts w:ascii="Times New Roman" w:hAnsi="Times New Roman"/>
                <w:b/>
                <w:color w:val="000000"/>
                <w:sz w:val="20"/>
                <w:lang w:eastAsia="ko-KR"/>
              </w:rPr>
              <w:t>N</w:t>
            </w:r>
          </w:p>
        </w:tc>
        <w:tc>
          <w:tcPr>
            <w:tcW w:w="1038" w:type="dxa"/>
            <w:tcBorders>
              <w:top w:val="single" w:color="auto" w:sz="4" w:space="0"/>
              <w:left w:val="nil"/>
              <w:bottom w:val="single" w:color="auto" w:sz="4" w:space="0"/>
              <w:right w:val="single" w:color="BFBFBF" w:sz="8" w:space="0"/>
            </w:tcBorders>
            <w:shd w:val="clear" w:color="auto" w:fill="AFBED7"/>
            <w:vAlign w:val="center"/>
            <w:hideMark/>
          </w:tcPr>
          <w:p w:rsidRPr="000C12CF" w:rsidR="008D6F77" w:rsidP="008D6F77" w:rsidRDefault="008D6F77" w14:paraId="0F201F3F" w14:textId="77777777">
            <w:pPr>
              <w:spacing w:line="240" w:lineRule="auto"/>
              <w:jc w:val="center"/>
              <w:rPr>
                <w:rFonts w:ascii="Times New Roman" w:hAnsi="Times New Roman"/>
                <w:b/>
                <w:color w:val="000000"/>
                <w:sz w:val="20"/>
                <w:lang w:eastAsia="ko-KR"/>
              </w:rPr>
            </w:pPr>
            <w:r w:rsidRPr="000C12CF">
              <w:rPr>
                <w:rFonts w:ascii="Times New Roman" w:hAnsi="Times New Roman"/>
                <w:b/>
                <w:color w:val="000000"/>
                <w:sz w:val="20"/>
                <w:lang w:eastAsia="ko-KR"/>
              </w:rPr>
              <w:t>%</w:t>
            </w:r>
          </w:p>
        </w:tc>
      </w:tr>
      <w:tr w:rsidRPr="008D6F77" w:rsidR="00DD7A28" w:rsidTr="007D2C7D" w14:paraId="6E73A77D" w14:textId="77777777">
        <w:trPr>
          <w:trHeight w:val="149"/>
        </w:trPr>
        <w:tc>
          <w:tcPr>
            <w:tcW w:w="6809" w:type="dxa"/>
            <w:tcBorders>
              <w:top w:val="single" w:color="auto" w:sz="4" w:space="0"/>
              <w:left w:val="single" w:color="BFBFBF" w:sz="8" w:space="0"/>
              <w:bottom w:val="single" w:color="BFBFBF" w:sz="8" w:space="0"/>
              <w:right w:val="single" w:color="BFBFBF" w:sz="8" w:space="0"/>
            </w:tcBorders>
            <w:shd w:val="clear" w:color="000000" w:fill="F2F2F2"/>
            <w:vAlign w:val="center"/>
            <w:hideMark/>
          </w:tcPr>
          <w:p w:rsidRPr="00135C17" w:rsidR="00DD7A28" w:rsidP="00DD7A28" w:rsidRDefault="00DD7A28" w14:paraId="748AA197" w14:textId="77777777">
            <w:pPr>
              <w:spacing w:line="240" w:lineRule="auto"/>
              <w:rPr>
                <w:rFonts w:ascii="Times New Roman" w:hAnsi="Times New Roman"/>
                <w:bCs/>
                <w:color w:val="000000"/>
                <w:sz w:val="22"/>
                <w:szCs w:val="22"/>
                <w:lang w:eastAsia="ko-KR"/>
              </w:rPr>
            </w:pPr>
            <w:r w:rsidRPr="00135C17">
              <w:rPr>
                <w:rFonts w:ascii="Times New Roman" w:hAnsi="Times New Roman"/>
                <w:bCs/>
                <w:color w:val="000000"/>
                <w:sz w:val="22"/>
                <w:szCs w:val="22"/>
                <w:lang w:eastAsia="ko-KR"/>
              </w:rPr>
              <w:t>Total Population aged 18+</w:t>
            </w:r>
          </w:p>
        </w:tc>
        <w:tc>
          <w:tcPr>
            <w:tcW w:w="1453" w:type="dxa"/>
            <w:tcBorders>
              <w:top w:val="single" w:color="auto" w:sz="4" w:space="0"/>
              <w:left w:val="nil"/>
              <w:bottom w:val="single" w:color="BFBFBF" w:sz="8" w:space="0"/>
              <w:right w:val="single" w:color="BFBFBF" w:sz="8" w:space="0"/>
            </w:tcBorders>
            <w:shd w:val="clear" w:color="000000" w:fill="F2F2F2"/>
            <w:vAlign w:val="bottom"/>
            <w:hideMark/>
          </w:tcPr>
          <w:p w:rsidRPr="008D6F77" w:rsidR="00DD7A28" w:rsidP="00DD7A28" w:rsidRDefault="00DD7A28" w14:paraId="05661CB7" w14:textId="75467CF5">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253,768,092</w:t>
            </w:r>
            <w:r w:rsidRPr="00313DB4">
              <w:rPr>
                <w:rFonts w:ascii="Times New Roman" w:hAnsi="Times New Roman"/>
                <w:color w:val="000000"/>
                <w:sz w:val="22"/>
                <w:szCs w:val="22"/>
                <w:lang w:eastAsia="ko-KR"/>
              </w:rPr>
              <w:t xml:space="preserve"> </w:t>
            </w:r>
          </w:p>
        </w:tc>
        <w:tc>
          <w:tcPr>
            <w:tcW w:w="1038" w:type="dxa"/>
            <w:tcBorders>
              <w:top w:val="single" w:color="auto" w:sz="4" w:space="0"/>
              <w:left w:val="nil"/>
              <w:bottom w:val="single" w:color="BFBFBF" w:sz="8" w:space="0"/>
              <w:right w:val="single" w:color="BFBFBF" w:sz="8" w:space="0"/>
            </w:tcBorders>
            <w:shd w:val="clear" w:color="000000" w:fill="F2F2F2"/>
            <w:vAlign w:val="bottom"/>
            <w:hideMark/>
          </w:tcPr>
          <w:p w:rsidRPr="008D6F77" w:rsidR="00DD7A28" w:rsidP="00DD7A28" w:rsidRDefault="00DD7A28" w14:paraId="39683986" w14:textId="7C37DC58">
            <w:pPr>
              <w:spacing w:line="240" w:lineRule="auto"/>
              <w:jc w:val="center"/>
              <w:rPr>
                <w:rFonts w:ascii="Times New Roman" w:hAnsi="Times New Roman"/>
                <w:color w:val="000000"/>
                <w:sz w:val="22"/>
                <w:szCs w:val="22"/>
                <w:lang w:eastAsia="ko-KR"/>
              </w:rPr>
            </w:pPr>
            <w:r w:rsidRPr="00313DB4">
              <w:rPr>
                <w:rFonts w:ascii="Times New Roman" w:hAnsi="Times New Roman"/>
                <w:color w:val="000000"/>
                <w:sz w:val="22"/>
                <w:szCs w:val="22"/>
                <w:lang w:eastAsia="ko-KR"/>
              </w:rPr>
              <w:t>100%</w:t>
            </w:r>
          </w:p>
        </w:tc>
      </w:tr>
      <w:tr w:rsidRPr="008D6F77" w:rsidR="00DD7A28" w:rsidTr="007D2C7D" w14:paraId="4C3A51BA" w14:textId="77777777">
        <w:trPr>
          <w:trHeight w:val="291"/>
        </w:trPr>
        <w:tc>
          <w:tcPr>
            <w:tcW w:w="6809" w:type="dxa"/>
            <w:tcBorders>
              <w:top w:val="nil"/>
              <w:left w:val="single" w:color="BFBFBF" w:sz="8" w:space="0"/>
              <w:bottom w:val="single" w:color="BFBFBF" w:sz="8" w:space="0"/>
              <w:right w:val="single" w:color="BFBFBF" w:sz="8" w:space="0"/>
            </w:tcBorders>
            <w:shd w:val="clear" w:color="auto" w:fill="auto"/>
            <w:vAlign w:val="center"/>
            <w:hideMark/>
          </w:tcPr>
          <w:p w:rsidRPr="00135C17" w:rsidR="00DD7A28" w:rsidP="00DD7A28" w:rsidRDefault="00DD7A28" w14:paraId="65ED5022" w14:textId="7A0C87A7">
            <w:pPr>
              <w:spacing w:line="240" w:lineRule="auto"/>
              <w:rPr>
                <w:rFonts w:ascii="Times New Roman" w:hAnsi="Times New Roman"/>
                <w:bCs/>
                <w:color w:val="000000"/>
                <w:sz w:val="22"/>
                <w:szCs w:val="22"/>
                <w:lang w:eastAsia="ko-KR"/>
              </w:rPr>
            </w:pPr>
            <w:r w:rsidRPr="00135C17">
              <w:rPr>
                <w:rFonts w:ascii="Times New Roman" w:hAnsi="Times New Roman"/>
                <w:bCs/>
                <w:color w:val="000000"/>
                <w:sz w:val="22"/>
                <w:szCs w:val="22"/>
                <w:lang w:eastAsia="ko-KR"/>
              </w:rPr>
              <w:t xml:space="preserve">Population aged 18+ in </w:t>
            </w:r>
            <w:r>
              <w:rPr>
                <w:rFonts w:ascii="Times New Roman" w:hAnsi="Times New Roman"/>
                <w:bCs/>
                <w:color w:val="000000"/>
                <w:sz w:val="22"/>
                <w:szCs w:val="22"/>
                <w:lang w:eastAsia="ko-KR"/>
              </w:rPr>
              <w:t>Class 1</w:t>
            </w:r>
            <w:r w:rsidRPr="00135C17">
              <w:rPr>
                <w:rFonts w:ascii="Times New Roman" w:hAnsi="Times New Roman"/>
                <w:bCs/>
                <w:color w:val="000000"/>
                <w:sz w:val="22"/>
                <w:szCs w:val="22"/>
                <w:lang w:eastAsia="ko-KR"/>
              </w:rPr>
              <w:t xml:space="preserve"> (where state approach is attempted) </w:t>
            </w:r>
          </w:p>
        </w:tc>
        <w:tc>
          <w:tcPr>
            <w:tcW w:w="1453" w:type="dxa"/>
            <w:tcBorders>
              <w:top w:val="nil"/>
              <w:left w:val="nil"/>
              <w:bottom w:val="single" w:color="BFBFBF" w:sz="8" w:space="0"/>
              <w:right w:val="single" w:color="BFBFBF" w:sz="8" w:space="0"/>
            </w:tcBorders>
            <w:shd w:val="clear" w:color="auto" w:fill="auto"/>
            <w:vAlign w:val="bottom"/>
            <w:hideMark/>
          </w:tcPr>
          <w:p w:rsidRPr="008D6F77" w:rsidR="00DD7A28" w:rsidP="00DD7A28" w:rsidRDefault="00DD7A28" w14:paraId="5C280D94" w14:textId="3C7A153A">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145,003,401</w:t>
            </w:r>
          </w:p>
        </w:tc>
        <w:tc>
          <w:tcPr>
            <w:tcW w:w="1038" w:type="dxa"/>
            <w:tcBorders>
              <w:top w:val="nil"/>
              <w:left w:val="nil"/>
              <w:bottom w:val="single" w:color="BFBFBF" w:sz="8" w:space="0"/>
              <w:right w:val="single" w:color="BFBFBF" w:sz="8" w:space="0"/>
            </w:tcBorders>
            <w:shd w:val="clear" w:color="auto" w:fill="auto"/>
            <w:vAlign w:val="bottom"/>
            <w:hideMark/>
          </w:tcPr>
          <w:p w:rsidRPr="008D6F77" w:rsidR="00DD7A28" w:rsidP="00DD7A28" w:rsidRDefault="00DD7A28" w14:paraId="079DCFD2" w14:textId="6E9DA702">
            <w:pPr>
              <w:spacing w:line="240" w:lineRule="auto"/>
              <w:jc w:val="center"/>
              <w:rPr>
                <w:rFonts w:ascii="Times New Roman" w:hAnsi="Times New Roman"/>
                <w:color w:val="000000"/>
                <w:sz w:val="22"/>
                <w:szCs w:val="22"/>
                <w:lang w:eastAsia="ko-KR"/>
              </w:rPr>
            </w:pPr>
            <w:r w:rsidRPr="00313DB4">
              <w:rPr>
                <w:rFonts w:ascii="Times New Roman" w:hAnsi="Times New Roman"/>
                <w:color w:val="000000"/>
                <w:sz w:val="22"/>
                <w:szCs w:val="22"/>
                <w:lang w:eastAsia="ko-KR"/>
              </w:rPr>
              <w:t>5</w:t>
            </w:r>
            <w:r>
              <w:rPr>
                <w:rFonts w:ascii="Times New Roman" w:hAnsi="Times New Roman"/>
                <w:color w:val="000000"/>
                <w:sz w:val="22"/>
                <w:szCs w:val="22"/>
                <w:lang w:eastAsia="ko-KR"/>
              </w:rPr>
              <w:t>7</w:t>
            </w:r>
            <w:r w:rsidRPr="00313DB4">
              <w:rPr>
                <w:rFonts w:ascii="Times New Roman" w:hAnsi="Times New Roman"/>
                <w:color w:val="000000"/>
                <w:sz w:val="22"/>
                <w:szCs w:val="22"/>
                <w:lang w:eastAsia="ko-KR"/>
              </w:rPr>
              <w:t>%</w:t>
            </w:r>
          </w:p>
        </w:tc>
      </w:tr>
      <w:tr w:rsidRPr="008D6F77" w:rsidR="00DD7A28" w:rsidTr="007D2C7D" w14:paraId="714D0660" w14:textId="77777777">
        <w:trPr>
          <w:trHeight w:val="149"/>
        </w:trPr>
        <w:tc>
          <w:tcPr>
            <w:tcW w:w="6809" w:type="dxa"/>
            <w:tcBorders>
              <w:top w:val="nil"/>
              <w:left w:val="single" w:color="BFBFBF" w:sz="8" w:space="0"/>
              <w:bottom w:val="single" w:color="BFBFBF" w:sz="8" w:space="0"/>
              <w:right w:val="single" w:color="BFBFBF" w:sz="8" w:space="0"/>
            </w:tcBorders>
            <w:shd w:val="clear" w:color="000000" w:fill="F2F2F2"/>
            <w:vAlign w:val="center"/>
            <w:hideMark/>
          </w:tcPr>
          <w:p w:rsidRPr="00135C17" w:rsidR="00DD7A28" w:rsidP="00DD7A28" w:rsidRDefault="00DD7A28" w14:paraId="745E2D60" w14:textId="77777777">
            <w:pPr>
              <w:spacing w:line="240" w:lineRule="auto"/>
              <w:rPr>
                <w:rFonts w:ascii="Times New Roman" w:hAnsi="Times New Roman"/>
                <w:bCs/>
                <w:color w:val="000000"/>
                <w:sz w:val="22"/>
                <w:szCs w:val="22"/>
                <w:lang w:eastAsia="ko-KR"/>
              </w:rPr>
            </w:pPr>
            <w:r w:rsidRPr="00135C17">
              <w:rPr>
                <w:rFonts w:ascii="Times New Roman" w:hAnsi="Times New Roman"/>
                <w:bCs/>
                <w:color w:val="000000"/>
                <w:sz w:val="22"/>
                <w:szCs w:val="22"/>
                <w:lang w:eastAsia="ko-KR"/>
              </w:rPr>
              <w:t>Population aged 18+ in county certainty stratum</w:t>
            </w:r>
          </w:p>
        </w:tc>
        <w:tc>
          <w:tcPr>
            <w:tcW w:w="1453" w:type="dxa"/>
            <w:tcBorders>
              <w:top w:val="nil"/>
              <w:left w:val="nil"/>
              <w:bottom w:val="single" w:color="BFBFBF" w:sz="8" w:space="0"/>
              <w:right w:val="single" w:color="BFBFBF" w:sz="8" w:space="0"/>
            </w:tcBorders>
            <w:shd w:val="clear" w:color="auto" w:fill="auto"/>
            <w:noWrap/>
            <w:vAlign w:val="bottom"/>
            <w:hideMark/>
          </w:tcPr>
          <w:p w:rsidRPr="008D6F77" w:rsidR="00DD7A28" w:rsidP="00DD7A28" w:rsidRDefault="006C2502" w14:paraId="5BFFAFCA" w14:textId="1C7F107A">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38,734,025</w:t>
            </w:r>
          </w:p>
        </w:tc>
        <w:tc>
          <w:tcPr>
            <w:tcW w:w="1038" w:type="dxa"/>
            <w:tcBorders>
              <w:top w:val="nil"/>
              <w:left w:val="nil"/>
              <w:bottom w:val="single" w:color="BFBFBF" w:sz="8" w:space="0"/>
              <w:right w:val="single" w:color="BFBFBF" w:sz="8" w:space="0"/>
            </w:tcBorders>
            <w:shd w:val="clear" w:color="000000" w:fill="F2F2F2"/>
            <w:vAlign w:val="bottom"/>
            <w:hideMark/>
          </w:tcPr>
          <w:p w:rsidRPr="008D6F77" w:rsidR="00DD7A28" w:rsidP="00DD7A28" w:rsidRDefault="00DD7A28" w14:paraId="7B07B238" w14:textId="1AEE93CF">
            <w:pPr>
              <w:spacing w:line="240" w:lineRule="auto"/>
              <w:jc w:val="center"/>
              <w:rPr>
                <w:rFonts w:ascii="Times New Roman" w:hAnsi="Times New Roman"/>
                <w:color w:val="000000"/>
                <w:sz w:val="22"/>
                <w:szCs w:val="22"/>
                <w:lang w:eastAsia="ko-KR"/>
              </w:rPr>
            </w:pPr>
            <w:r>
              <w:rPr>
                <w:rFonts w:ascii="Times New Roman" w:hAnsi="Times New Roman"/>
                <w:color w:val="000000"/>
                <w:sz w:val="22"/>
                <w:szCs w:val="22"/>
                <w:lang w:eastAsia="ko-KR"/>
              </w:rPr>
              <w:t>15</w:t>
            </w:r>
            <w:r w:rsidRPr="00313DB4">
              <w:rPr>
                <w:rFonts w:ascii="Times New Roman" w:hAnsi="Times New Roman"/>
                <w:color w:val="000000"/>
                <w:sz w:val="22"/>
                <w:szCs w:val="22"/>
                <w:lang w:eastAsia="ko-KR"/>
              </w:rPr>
              <w:t>%</w:t>
            </w:r>
          </w:p>
        </w:tc>
      </w:tr>
      <w:tr w:rsidRPr="008D6F77" w:rsidR="006C2502" w:rsidTr="007D2C7D" w14:paraId="746239A9" w14:textId="77777777">
        <w:trPr>
          <w:trHeight w:val="149"/>
        </w:trPr>
        <w:tc>
          <w:tcPr>
            <w:tcW w:w="6809" w:type="dxa"/>
            <w:tcBorders>
              <w:top w:val="nil"/>
              <w:left w:val="single" w:color="BFBFBF" w:sz="8" w:space="0"/>
              <w:bottom w:val="single" w:color="BFBFBF" w:sz="8" w:space="0"/>
              <w:right w:val="single" w:color="BFBFBF" w:sz="8" w:space="0"/>
            </w:tcBorders>
            <w:shd w:val="clear" w:color="auto" w:fill="auto"/>
            <w:vAlign w:val="center"/>
            <w:hideMark/>
          </w:tcPr>
          <w:p w:rsidRPr="00135C17" w:rsidR="006C2502" w:rsidP="006C2502" w:rsidRDefault="006C2502" w14:paraId="32FA90A1" w14:textId="4DBD0BE0">
            <w:pPr>
              <w:spacing w:line="240" w:lineRule="auto"/>
              <w:rPr>
                <w:rFonts w:ascii="Times New Roman" w:hAnsi="Times New Roman"/>
                <w:bCs/>
                <w:color w:val="000000"/>
                <w:sz w:val="22"/>
                <w:szCs w:val="22"/>
                <w:lang w:eastAsia="ko-KR"/>
              </w:rPr>
            </w:pPr>
            <w:r w:rsidRPr="00135C17">
              <w:rPr>
                <w:rFonts w:ascii="Times New Roman" w:hAnsi="Times New Roman"/>
                <w:bCs/>
                <w:color w:val="000000"/>
                <w:sz w:val="22"/>
                <w:szCs w:val="22"/>
                <w:lang w:eastAsia="ko-KR"/>
              </w:rPr>
              <w:t xml:space="preserve">Stage </w:t>
            </w:r>
            <w:r>
              <w:rPr>
                <w:rFonts w:ascii="Times New Roman" w:hAnsi="Times New Roman"/>
                <w:bCs/>
                <w:color w:val="000000"/>
                <w:sz w:val="22"/>
                <w:szCs w:val="22"/>
                <w:lang w:eastAsia="ko-KR"/>
              </w:rPr>
              <w:t>1</w:t>
            </w:r>
            <w:r w:rsidRPr="00135C17">
              <w:rPr>
                <w:rFonts w:ascii="Times New Roman" w:hAnsi="Times New Roman"/>
                <w:bCs/>
                <w:color w:val="000000"/>
                <w:sz w:val="22"/>
                <w:szCs w:val="22"/>
                <w:lang w:eastAsia="ko-KR"/>
              </w:rPr>
              <w:t xml:space="preserve"> coverage fully successful (state and certainty counties)</w:t>
            </w:r>
          </w:p>
        </w:tc>
        <w:tc>
          <w:tcPr>
            <w:tcW w:w="1453" w:type="dxa"/>
            <w:tcBorders>
              <w:top w:val="nil"/>
              <w:left w:val="nil"/>
              <w:bottom w:val="single" w:color="BFBFBF" w:sz="8" w:space="0"/>
              <w:right w:val="single" w:color="BFBFBF" w:sz="8" w:space="0"/>
            </w:tcBorders>
            <w:shd w:val="clear" w:color="auto" w:fill="auto"/>
            <w:vAlign w:val="bottom"/>
            <w:hideMark/>
          </w:tcPr>
          <w:p w:rsidRPr="008D6F77" w:rsidR="006C2502" w:rsidP="006C2502" w:rsidRDefault="006C2502" w14:paraId="518B3ECA" w14:textId="3B849504">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183,737,426</w:t>
            </w:r>
          </w:p>
        </w:tc>
        <w:tc>
          <w:tcPr>
            <w:tcW w:w="1038" w:type="dxa"/>
            <w:tcBorders>
              <w:top w:val="nil"/>
              <w:left w:val="nil"/>
              <w:bottom w:val="single" w:color="BFBFBF" w:sz="8" w:space="0"/>
              <w:right w:val="single" w:color="BFBFBF" w:sz="8" w:space="0"/>
            </w:tcBorders>
            <w:shd w:val="clear" w:color="auto" w:fill="auto"/>
            <w:vAlign w:val="bottom"/>
            <w:hideMark/>
          </w:tcPr>
          <w:p w:rsidRPr="008D6F77" w:rsidR="006C2502" w:rsidP="006C2502" w:rsidRDefault="006C2502" w14:paraId="65F49E1A" w14:textId="24D73648">
            <w:pPr>
              <w:spacing w:line="240" w:lineRule="auto"/>
              <w:jc w:val="center"/>
              <w:rPr>
                <w:rFonts w:ascii="Times New Roman" w:hAnsi="Times New Roman"/>
                <w:color w:val="000000"/>
                <w:sz w:val="22"/>
                <w:szCs w:val="22"/>
                <w:lang w:eastAsia="ko-KR"/>
              </w:rPr>
            </w:pPr>
            <w:r>
              <w:rPr>
                <w:rFonts w:ascii="Times New Roman" w:hAnsi="Times New Roman"/>
                <w:color w:val="000000"/>
                <w:sz w:val="22"/>
                <w:szCs w:val="22"/>
                <w:lang w:eastAsia="ko-KR"/>
              </w:rPr>
              <w:t>72</w:t>
            </w:r>
            <w:r w:rsidRPr="00313DB4">
              <w:rPr>
                <w:rFonts w:ascii="Times New Roman" w:hAnsi="Times New Roman"/>
                <w:color w:val="000000"/>
                <w:sz w:val="22"/>
                <w:szCs w:val="22"/>
                <w:lang w:eastAsia="ko-KR"/>
              </w:rPr>
              <w:t>%</w:t>
            </w:r>
          </w:p>
        </w:tc>
      </w:tr>
      <w:tr w:rsidRPr="008D6F77" w:rsidR="008D6F77" w:rsidTr="002A20ED" w14:paraId="51FCD288" w14:textId="77777777">
        <w:trPr>
          <w:trHeight w:val="149"/>
        </w:trPr>
        <w:tc>
          <w:tcPr>
            <w:tcW w:w="6809" w:type="dxa"/>
            <w:tcBorders>
              <w:top w:val="nil"/>
              <w:left w:val="single" w:color="BFBFBF" w:sz="8" w:space="0"/>
              <w:bottom w:val="single" w:color="BFBFBF" w:sz="8" w:space="0"/>
              <w:right w:val="single" w:color="BFBFBF" w:sz="8" w:space="0"/>
            </w:tcBorders>
            <w:shd w:val="clear" w:color="000000" w:fill="F2F2F2"/>
            <w:vAlign w:val="center"/>
            <w:hideMark/>
          </w:tcPr>
          <w:p w:rsidRPr="00135C17" w:rsidR="008D6F77" w:rsidP="008D6F77" w:rsidRDefault="008D6F77" w14:paraId="774B1003" w14:textId="687D741A">
            <w:pPr>
              <w:spacing w:line="240" w:lineRule="auto"/>
              <w:rPr>
                <w:rFonts w:ascii="Times New Roman" w:hAnsi="Times New Roman"/>
                <w:bCs/>
                <w:color w:val="000000"/>
                <w:sz w:val="22"/>
                <w:szCs w:val="22"/>
                <w:lang w:eastAsia="ko-KR"/>
              </w:rPr>
            </w:pPr>
            <w:r w:rsidRPr="00135C17">
              <w:rPr>
                <w:rFonts w:ascii="Times New Roman" w:hAnsi="Times New Roman"/>
                <w:bCs/>
                <w:color w:val="000000"/>
                <w:sz w:val="22"/>
                <w:szCs w:val="22"/>
                <w:lang w:eastAsia="ko-KR"/>
              </w:rPr>
              <w:t xml:space="preserve">Stage </w:t>
            </w:r>
            <w:r w:rsidR="0006282D">
              <w:rPr>
                <w:rFonts w:ascii="Times New Roman" w:hAnsi="Times New Roman"/>
                <w:bCs/>
                <w:color w:val="000000"/>
                <w:sz w:val="22"/>
                <w:szCs w:val="22"/>
                <w:lang w:eastAsia="ko-KR"/>
              </w:rPr>
              <w:t>1</w:t>
            </w:r>
            <w:r w:rsidRPr="00135C17">
              <w:rPr>
                <w:rFonts w:ascii="Times New Roman" w:hAnsi="Times New Roman"/>
                <w:bCs/>
                <w:color w:val="000000"/>
                <w:sz w:val="22"/>
                <w:szCs w:val="22"/>
                <w:lang w:eastAsia="ko-KR"/>
              </w:rPr>
              <w:t xml:space="preserve"> coverage with low success rate assumed</w:t>
            </w:r>
          </w:p>
        </w:tc>
        <w:tc>
          <w:tcPr>
            <w:tcW w:w="1453" w:type="dxa"/>
            <w:tcBorders>
              <w:top w:val="nil"/>
              <w:left w:val="nil"/>
              <w:bottom w:val="single" w:color="BFBFBF" w:sz="8" w:space="0"/>
              <w:right w:val="single" w:color="BFBFBF" w:sz="8" w:space="0"/>
            </w:tcBorders>
            <w:shd w:val="clear" w:color="000000" w:fill="F2F2F2"/>
            <w:vAlign w:val="center"/>
            <w:hideMark/>
          </w:tcPr>
          <w:p w:rsidRPr="008D6F77" w:rsidR="008D6F77" w:rsidP="005E6E95" w:rsidRDefault="008D6F77" w14:paraId="15B23A74" w14:textId="77777777">
            <w:pPr>
              <w:spacing w:line="240" w:lineRule="auto"/>
              <w:rPr>
                <w:rFonts w:ascii="Times New Roman" w:hAnsi="Times New Roman"/>
                <w:color w:val="000000"/>
                <w:sz w:val="22"/>
                <w:szCs w:val="22"/>
                <w:lang w:eastAsia="ko-KR"/>
              </w:rPr>
            </w:pPr>
            <w:r w:rsidRPr="008D6F77">
              <w:rPr>
                <w:rFonts w:ascii="Times New Roman" w:hAnsi="Times New Roman"/>
                <w:color w:val="000000"/>
                <w:sz w:val="22"/>
                <w:szCs w:val="22"/>
                <w:lang w:eastAsia="ko-KR"/>
              </w:rPr>
              <w:t>--</w:t>
            </w:r>
          </w:p>
        </w:tc>
        <w:tc>
          <w:tcPr>
            <w:tcW w:w="1038" w:type="dxa"/>
            <w:tcBorders>
              <w:top w:val="nil"/>
              <w:left w:val="nil"/>
              <w:bottom w:val="single" w:color="BFBFBF" w:sz="8" w:space="0"/>
              <w:right w:val="single" w:color="BFBFBF" w:sz="8" w:space="0"/>
            </w:tcBorders>
            <w:shd w:val="clear" w:color="000000" w:fill="F2F2F2"/>
            <w:vAlign w:val="center"/>
            <w:hideMark/>
          </w:tcPr>
          <w:p w:rsidRPr="008D6F77" w:rsidR="008D6F77" w:rsidP="008D6F77" w:rsidRDefault="008D6F77" w14:paraId="71793540" w14:textId="77777777">
            <w:pPr>
              <w:spacing w:line="240" w:lineRule="auto"/>
              <w:jc w:val="center"/>
              <w:rPr>
                <w:rFonts w:ascii="Times New Roman" w:hAnsi="Times New Roman"/>
                <w:color w:val="000000"/>
                <w:sz w:val="22"/>
                <w:szCs w:val="22"/>
                <w:lang w:eastAsia="ko-KR"/>
              </w:rPr>
            </w:pPr>
            <w:r w:rsidRPr="008D6F77">
              <w:rPr>
                <w:rFonts w:ascii="Times New Roman" w:hAnsi="Times New Roman"/>
                <w:color w:val="000000"/>
                <w:sz w:val="22"/>
                <w:szCs w:val="22"/>
                <w:lang w:eastAsia="ko-KR"/>
              </w:rPr>
              <w:t>25%</w:t>
            </w:r>
          </w:p>
        </w:tc>
      </w:tr>
      <w:tr w:rsidRPr="008D6F77" w:rsidR="008D6F77" w:rsidTr="002A20ED" w14:paraId="67B53B40" w14:textId="77777777">
        <w:trPr>
          <w:trHeight w:val="149"/>
        </w:trPr>
        <w:tc>
          <w:tcPr>
            <w:tcW w:w="6809" w:type="dxa"/>
            <w:tcBorders>
              <w:top w:val="nil"/>
              <w:left w:val="single" w:color="BFBFBF" w:sz="8" w:space="0"/>
              <w:bottom w:val="single" w:color="BFBFBF" w:sz="8" w:space="0"/>
              <w:right w:val="single" w:color="BFBFBF" w:sz="8" w:space="0"/>
            </w:tcBorders>
            <w:shd w:val="clear" w:color="auto" w:fill="auto"/>
            <w:vAlign w:val="center"/>
            <w:hideMark/>
          </w:tcPr>
          <w:p w:rsidRPr="00135C17" w:rsidR="008D6F77" w:rsidP="008D6F77" w:rsidRDefault="008D6F77" w14:paraId="6B259607" w14:textId="77777777">
            <w:pPr>
              <w:spacing w:line="240" w:lineRule="auto"/>
              <w:rPr>
                <w:rFonts w:ascii="Times New Roman" w:hAnsi="Times New Roman"/>
                <w:bCs/>
                <w:color w:val="000000"/>
                <w:sz w:val="22"/>
                <w:szCs w:val="22"/>
                <w:lang w:eastAsia="ko-KR"/>
              </w:rPr>
            </w:pPr>
            <w:r w:rsidRPr="00135C17">
              <w:rPr>
                <w:rFonts w:ascii="Times New Roman" w:hAnsi="Times New Roman"/>
                <w:bCs/>
                <w:color w:val="000000"/>
                <w:sz w:val="22"/>
                <w:szCs w:val="22"/>
                <w:lang w:eastAsia="ko-KR"/>
              </w:rPr>
              <w:t>Population covered by 25% successful statewide approach</w:t>
            </w:r>
          </w:p>
        </w:tc>
        <w:tc>
          <w:tcPr>
            <w:tcW w:w="1453" w:type="dxa"/>
            <w:tcBorders>
              <w:top w:val="nil"/>
              <w:left w:val="nil"/>
              <w:bottom w:val="single" w:color="BFBFBF" w:sz="8" w:space="0"/>
              <w:right w:val="single" w:color="BFBFBF" w:sz="8" w:space="0"/>
            </w:tcBorders>
            <w:shd w:val="clear" w:color="auto" w:fill="auto"/>
            <w:vAlign w:val="center"/>
            <w:hideMark/>
          </w:tcPr>
          <w:p w:rsidRPr="008D6F77" w:rsidR="008D6F77" w:rsidP="006C2502" w:rsidRDefault="00DD7A28" w14:paraId="1BF97698" w14:textId="0150289D">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45,</w:t>
            </w:r>
            <w:r w:rsidR="006C2502">
              <w:rPr>
                <w:rFonts w:ascii="Times New Roman" w:hAnsi="Times New Roman"/>
                <w:color w:val="000000"/>
                <w:sz w:val="22"/>
                <w:szCs w:val="22"/>
                <w:lang w:eastAsia="ko-KR"/>
              </w:rPr>
              <w:t>934,357</w:t>
            </w:r>
            <w:r w:rsidRPr="008D6F77" w:rsidR="008D6F77">
              <w:rPr>
                <w:rFonts w:ascii="Times New Roman" w:hAnsi="Times New Roman"/>
                <w:color w:val="000000"/>
                <w:sz w:val="22"/>
                <w:szCs w:val="22"/>
                <w:lang w:eastAsia="ko-KR"/>
              </w:rPr>
              <w:t xml:space="preserve"> </w:t>
            </w:r>
          </w:p>
        </w:tc>
        <w:tc>
          <w:tcPr>
            <w:tcW w:w="1038" w:type="dxa"/>
            <w:tcBorders>
              <w:top w:val="nil"/>
              <w:left w:val="nil"/>
              <w:bottom w:val="single" w:color="BFBFBF" w:sz="8" w:space="0"/>
              <w:right w:val="single" w:color="BFBFBF" w:sz="8" w:space="0"/>
            </w:tcBorders>
            <w:shd w:val="clear" w:color="auto" w:fill="auto"/>
            <w:vAlign w:val="center"/>
            <w:hideMark/>
          </w:tcPr>
          <w:p w:rsidRPr="008D6F77" w:rsidR="008D6F77" w:rsidP="005E6E95" w:rsidRDefault="008D6F77" w14:paraId="4C4755D9" w14:textId="26F788A2">
            <w:pPr>
              <w:spacing w:line="240" w:lineRule="auto"/>
              <w:jc w:val="center"/>
              <w:rPr>
                <w:rFonts w:ascii="Times New Roman" w:hAnsi="Times New Roman"/>
                <w:color w:val="000000"/>
                <w:sz w:val="22"/>
                <w:szCs w:val="22"/>
                <w:lang w:eastAsia="ko-KR"/>
              </w:rPr>
            </w:pPr>
            <w:r w:rsidRPr="008D6F77">
              <w:rPr>
                <w:rFonts w:ascii="Times New Roman" w:hAnsi="Times New Roman"/>
                <w:color w:val="000000"/>
                <w:sz w:val="22"/>
                <w:szCs w:val="22"/>
                <w:lang w:eastAsia="ko-KR"/>
              </w:rPr>
              <w:t>1</w:t>
            </w:r>
            <w:r w:rsidR="005E6E95">
              <w:rPr>
                <w:rFonts w:ascii="Times New Roman" w:hAnsi="Times New Roman"/>
                <w:color w:val="000000"/>
                <w:sz w:val="22"/>
                <w:szCs w:val="22"/>
                <w:lang w:eastAsia="ko-KR"/>
              </w:rPr>
              <w:t>8</w:t>
            </w:r>
            <w:r w:rsidRPr="008D6F77">
              <w:rPr>
                <w:rFonts w:ascii="Times New Roman" w:hAnsi="Times New Roman"/>
                <w:color w:val="000000"/>
                <w:sz w:val="22"/>
                <w:szCs w:val="22"/>
                <w:lang w:eastAsia="ko-KR"/>
              </w:rPr>
              <w:t>%</w:t>
            </w:r>
          </w:p>
        </w:tc>
      </w:tr>
      <w:tr w:rsidRPr="008D6F77" w:rsidR="008D6F77" w:rsidTr="002A20ED" w14:paraId="1C59DB5A" w14:textId="77777777">
        <w:trPr>
          <w:trHeight w:val="149"/>
        </w:trPr>
        <w:tc>
          <w:tcPr>
            <w:tcW w:w="6809" w:type="dxa"/>
            <w:tcBorders>
              <w:top w:val="nil"/>
              <w:left w:val="single" w:color="BFBFBF" w:sz="8" w:space="0"/>
              <w:bottom w:val="single" w:color="BFBFBF" w:sz="8" w:space="0"/>
              <w:right w:val="single" w:color="BFBFBF" w:sz="8" w:space="0"/>
            </w:tcBorders>
            <w:shd w:val="clear" w:color="000000" w:fill="F2F2F2"/>
            <w:vAlign w:val="center"/>
            <w:hideMark/>
          </w:tcPr>
          <w:p w:rsidRPr="00135C17" w:rsidR="008D6F77" w:rsidP="00790B43" w:rsidRDefault="008D6F77" w14:paraId="2EAEE2CA" w14:textId="1427CB59">
            <w:pPr>
              <w:spacing w:line="240" w:lineRule="auto"/>
              <w:rPr>
                <w:rFonts w:ascii="Times New Roman" w:hAnsi="Times New Roman"/>
                <w:bCs/>
                <w:color w:val="000000"/>
                <w:sz w:val="22"/>
                <w:szCs w:val="22"/>
                <w:lang w:eastAsia="ko-KR"/>
              </w:rPr>
            </w:pPr>
            <w:r w:rsidRPr="00135C17">
              <w:rPr>
                <w:rFonts w:ascii="Times New Roman" w:hAnsi="Times New Roman"/>
                <w:bCs/>
                <w:color w:val="000000"/>
                <w:sz w:val="22"/>
                <w:szCs w:val="22"/>
                <w:lang w:eastAsia="ko-KR"/>
              </w:rPr>
              <w:t xml:space="preserve">Balance of population (to be covered by </w:t>
            </w:r>
            <w:r w:rsidR="00790B43">
              <w:rPr>
                <w:rFonts w:ascii="Times New Roman" w:hAnsi="Times New Roman"/>
                <w:bCs/>
                <w:color w:val="000000"/>
                <w:sz w:val="22"/>
                <w:szCs w:val="22"/>
                <w:lang w:eastAsia="ko-KR"/>
              </w:rPr>
              <w:t>PPS</w:t>
            </w:r>
            <w:r w:rsidRPr="00135C17" w:rsidR="00790B43">
              <w:rPr>
                <w:rFonts w:ascii="Times New Roman" w:hAnsi="Times New Roman"/>
                <w:bCs/>
                <w:color w:val="000000"/>
                <w:sz w:val="22"/>
                <w:szCs w:val="22"/>
                <w:lang w:eastAsia="ko-KR"/>
              </w:rPr>
              <w:t xml:space="preserve"> </w:t>
            </w:r>
            <w:r w:rsidRPr="00135C17">
              <w:rPr>
                <w:rFonts w:ascii="Times New Roman" w:hAnsi="Times New Roman"/>
                <w:bCs/>
                <w:color w:val="000000"/>
                <w:sz w:val="22"/>
                <w:szCs w:val="22"/>
                <w:lang w:eastAsia="ko-KR"/>
              </w:rPr>
              <w:t>sample)</w:t>
            </w:r>
          </w:p>
        </w:tc>
        <w:tc>
          <w:tcPr>
            <w:tcW w:w="1453" w:type="dxa"/>
            <w:tcBorders>
              <w:top w:val="nil"/>
              <w:left w:val="nil"/>
              <w:bottom w:val="single" w:color="BFBFBF" w:sz="8" w:space="0"/>
              <w:right w:val="single" w:color="BFBFBF" w:sz="8" w:space="0"/>
            </w:tcBorders>
            <w:shd w:val="clear" w:color="000000" w:fill="F2F2F2"/>
            <w:vAlign w:val="center"/>
            <w:hideMark/>
          </w:tcPr>
          <w:p w:rsidRPr="008D6F77" w:rsidR="008D6F77" w:rsidP="006C2502" w:rsidRDefault="008D6F77" w14:paraId="063F1F60" w14:textId="3EAD2BF5">
            <w:pPr>
              <w:spacing w:line="240" w:lineRule="auto"/>
              <w:rPr>
                <w:rFonts w:ascii="Times New Roman" w:hAnsi="Times New Roman"/>
                <w:color w:val="000000"/>
                <w:sz w:val="22"/>
                <w:szCs w:val="22"/>
                <w:lang w:eastAsia="ko-KR"/>
              </w:rPr>
            </w:pPr>
            <w:r w:rsidRPr="008D6F77">
              <w:rPr>
                <w:rFonts w:ascii="Times New Roman" w:hAnsi="Times New Roman"/>
                <w:color w:val="000000"/>
                <w:sz w:val="22"/>
                <w:szCs w:val="22"/>
                <w:lang w:eastAsia="ko-KR"/>
              </w:rPr>
              <w:t>20</w:t>
            </w:r>
            <w:r w:rsidR="006C2502">
              <w:rPr>
                <w:rFonts w:ascii="Times New Roman" w:hAnsi="Times New Roman"/>
                <w:color w:val="000000"/>
                <w:sz w:val="22"/>
                <w:szCs w:val="22"/>
                <w:lang w:eastAsia="ko-KR"/>
              </w:rPr>
              <w:t>7</w:t>
            </w:r>
            <w:r w:rsidR="005E6E95">
              <w:rPr>
                <w:rFonts w:ascii="Times New Roman" w:hAnsi="Times New Roman"/>
                <w:color w:val="000000"/>
                <w:sz w:val="22"/>
                <w:szCs w:val="22"/>
                <w:lang w:eastAsia="ko-KR"/>
              </w:rPr>
              <w:t>,</w:t>
            </w:r>
            <w:r w:rsidR="006C2502">
              <w:rPr>
                <w:rFonts w:ascii="Times New Roman" w:hAnsi="Times New Roman"/>
                <w:color w:val="000000"/>
                <w:sz w:val="22"/>
                <w:szCs w:val="22"/>
                <w:lang w:eastAsia="ko-KR"/>
              </w:rPr>
              <w:t>833</w:t>
            </w:r>
            <w:r w:rsidR="00DD7A28">
              <w:rPr>
                <w:rFonts w:ascii="Times New Roman" w:hAnsi="Times New Roman"/>
                <w:color w:val="000000"/>
                <w:sz w:val="22"/>
                <w:szCs w:val="22"/>
                <w:lang w:eastAsia="ko-KR"/>
              </w:rPr>
              <w:t>,</w:t>
            </w:r>
            <w:r w:rsidR="006C2502">
              <w:rPr>
                <w:rFonts w:ascii="Times New Roman" w:hAnsi="Times New Roman"/>
                <w:color w:val="000000"/>
                <w:sz w:val="22"/>
                <w:szCs w:val="22"/>
                <w:lang w:eastAsia="ko-KR"/>
              </w:rPr>
              <w:t>735</w:t>
            </w:r>
          </w:p>
        </w:tc>
        <w:tc>
          <w:tcPr>
            <w:tcW w:w="1038" w:type="dxa"/>
            <w:tcBorders>
              <w:top w:val="nil"/>
              <w:left w:val="nil"/>
              <w:bottom w:val="single" w:color="BFBFBF" w:sz="8" w:space="0"/>
              <w:right w:val="single" w:color="BFBFBF" w:sz="8" w:space="0"/>
            </w:tcBorders>
            <w:shd w:val="clear" w:color="000000" w:fill="F2F2F2"/>
            <w:vAlign w:val="center"/>
            <w:hideMark/>
          </w:tcPr>
          <w:p w:rsidRPr="008D6F77" w:rsidR="008D6F77" w:rsidP="008D6F77" w:rsidRDefault="008D6F77" w14:paraId="3EA35DFF" w14:textId="5D3448D3">
            <w:pPr>
              <w:spacing w:line="240" w:lineRule="auto"/>
              <w:jc w:val="center"/>
              <w:rPr>
                <w:rFonts w:ascii="Times New Roman" w:hAnsi="Times New Roman"/>
                <w:color w:val="000000"/>
                <w:sz w:val="22"/>
                <w:szCs w:val="22"/>
                <w:lang w:eastAsia="ko-KR"/>
              </w:rPr>
            </w:pPr>
            <w:r w:rsidRPr="008D6F77">
              <w:rPr>
                <w:rFonts w:ascii="Times New Roman" w:hAnsi="Times New Roman"/>
                <w:color w:val="000000"/>
                <w:sz w:val="22"/>
                <w:szCs w:val="22"/>
                <w:lang w:eastAsia="ko-KR"/>
              </w:rPr>
              <w:t>8</w:t>
            </w:r>
            <w:r w:rsidR="005E6E95">
              <w:rPr>
                <w:rFonts w:ascii="Times New Roman" w:hAnsi="Times New Roman"/>
                <w:color w:val="000000"/>
                <w:sz w:val="22"/>
                <w:szCs w:val="22"/>
                <w:lang w:eastAsia="ko-KR"/>
              </w:rPr>
              <w:t>2</w:t>
            </w:r>
            <w:r w:rsidRPr="008D6F77">
              <w:rPr>
                <w:rFonts w:ascii="Times New Roman" w:hAnsi="Times New Roman"/>
                <w:color w:val="000000"/>
                <w:sz w:val="22"/>
                <w:szCs w:val="22"/>
                <w:lang w:eastAsia="ko-KR"/>
              </w:rPr>
              <w:t>%</w:t>
            </w:r>
          </w:p>
        </w:tc>
      </w:tr>
    </w:tbl>
    <w:p w:rsidR="008D6F77" w:rsidP="00A2580F" w:rsidRDefault="008D6F77" w14:paraId="76B7A3B3" w14:textId="77777777">
      <w:pPr>
        <w:pStyle w:val="TT-TableTitle"/>
        <w:tabs>
          <w:tab w:val="clear" w:pos="1440"/>
          <w:tab w:val="left" w:pos="1080"/>
        </w:tabs>
        <w:spacing w:line="276" w:lineRule="auto"/>
        <w:rPr>
          <w:rFonts w:ascii="Times New Roman" w:hAnsi="Times New Roman"/>
          <w:snapToGrid w:val="0"/>
          <w:sz w:val="24"/>
          <w:szCs w:val="24"/>
        </w:rPr>
      </w:pPr>
    </w:p>
    <w:p w:rsidR="007A4A36" w:rsidP="002A20ED" w:rsidRDefault="00A2580F" w14:paraId="3D1FDB60" w14:textId="5228111E">
      <w:pPr>
        <w:pStyle w:val="L1-FlLSp12"/>
        <w:spacing w:line="276" w:lineRule="auto"/>
        <w:rPr>
          <w:rFonts w:ascii="Times New Roman" w:hAnsi="Times New Roman" w:eastAsiaTheme="minorEastAsia"/>
          <w:snapToGrid w:val="0"/>
          <w:lang w:eastAsia="ko-KR"/>
        </w:rPr>
      </w:pPr>
      <w:r w:rsidRPr="008F6829">
        <w:rPr>
          <w:rFonts w:ascii="Times New Roman" w:hAnsi="Times New Roman"/>
          <w:snapToGrid w:val="0"/>
        </w:rPr>
        <w:t>Scenario 3 assume</w:t>
      </w:r>
      <w:r w:rsidR="005E6E95">
        <w:rPr>
          <w:rFonts w:ascii="Times New Roman" w:hAnsi="Times New Roman"/>
          <w:snapToGrid w:val="0"/>
        </w:rPr>
        <w:t>s</w:t>
      </w:r>
      <w:r w:rsidRPr="008F6829">
        <w:rPr>
          <w:rFonts w:ascii="Times New Roman" w:hAnsi="Times New Roman"/>
          <w:snapToGrid w:val="0"/>
        </w:rPr>
        <w:t xml:space="preserve"> that the state approach success rate is 50</w:t>
      </w:r>
      <w:r>
        <w:rPr>
          <w:rFonts w:ascii="Times New Roman" w:hAnsi="Times New Roman"/>
          <w:snapToGrid w:val="0"/>
        </w:rPr>
        <w:t xml:space="preserve"> percent</w:t>
      </w:r>
      <w:r w:rsidRPr="008F6829">
        <w:rPr>
          <w:rFonts w:ascii="Times New Roman" w:hAnsi="Times New Roman"/>
          <w:snapToGrid w:val="0"/>
        </w:rPr>
        <w:t xml:space="preserve">. Table </w:t>
      </w:r>
      <w:r>
        <w:rPr>
          <w:rFonts w:ascii="Times New Roman" w:hAnsi="Times New Roman"/>
          <w:snapToGrid w:val="0"/>
        </w:rPr>
        <w:t>7</w:t>
      </w:r>
      <w:r w:rsidRPr="008F6829">
        <w:rPr>
          <w:rFonts w:ascii="Times New Roman" w:hAnsi="Times New Roman"/>
          <w:snapToGrid w:val="0"/>
        </w:rPr>
        <w:t xml:space="preserve"> below show</w:t>
      </w:r>
      <w:r w:rsidR="000C12CF">
        <w:rPr>
          <w:rFonts w:ascii="Times New Roman" w:hAnsi="Times New Roman"/>
          <w:snapToGrid w:val="0"/>
        </w:rPr>
        <w:t>s</w:t>
      </w:r>
      <w:r w:rsidRPr="008F6829">
        <w:rPr>
          <w:rFonts w:ascii="Times New Roman" w:hAnsi="Times New Roman"/>
          <w:snapToGrid w:val="0"/>
        </w:rPr>
        <w:t xml:space="preserve"> the effects of this assumption.</w:t>
      </w:r>
    </w:p>
    <w:p w:rsidR="00FB708D" w:rsidRDefault="00FB708D" w14:paraId="0A2FB70A" w14:textId="11899919">
      <w:pPr>
        <w:spacing w:after="200" w:line="276" w:lineRule="auto"/>
        <w:rPr>
          <w:rFonts w:ascii="Times New Roman" w:hAnsi="Times New Roman" w:eastAsiaTheme="minorEastAsia"/>
          <w:snapToGrid w:val="0"/>
          <w:lang w:eastAsia="ko-KR"/>
        </w:rPr>
      </w:pPr>
      <w:r>
        <w:rPr>
          <w:rFonts w:ascii="Times New Roman" w:hAnsi="Times New Roman" w:eastAsiaTheme="minorEastAsia"/>
          <w:snapToGrid w:val="0"/>
          <w:lang w:eastAsia="ko-KR"/>
        </w:rPr>
        <w:br w:type="page"/>
      </w:r>
    </w:p>
    <w:p w:rsidR="00A2580F" w:rsidP="002A20ED" w:rsidRDefault="00A2580F" w14:paraId="0F3A476B" w14:textId="66258E5A">
      <w:pPr>
        <w:spacing w:line="276" w:lineRule="auto"/>
        <w:rPr>
          <w:rFonts w:ascii="Times New Roman" w:hAnsi="Times New Roman"/>
          <w:snapToGrid w:val="0"/>
          <w:szCs w:val="24"/>
        </w:rPr>
      </w:pPr>
      <w:r w:rsidRPr="003F304E">
        <w:rPr>
          <w:rFonts w:ascii="Times New Roman" w:hAnsi="Times New Roman"/>
          <w:snapToGrid w:val="0"/>
          <w:szCs w:val="24"/>
        </w:rPr>
        <w:lastRenderedPageBreak/>
        <w:t xml:space="preserve">Table </w:t>
      </w:r>
      <w:r w:rsidR="00811AA5">
        <w:rPr>
          <w:rFonts w:ascii="Times New Roman" w:hAnsi="Times New Roman"/>
          <w:snapToGrid w:val="0"/>
          <w:szCs w:val="24"/>
        </w:rPr>
        <w:t>7</w:t>
      </w:r>
      <w:r w:rsidR="005E6E95">
        <w:rPr>
          <w:rFonts w:ascii="Times New Roman" w:hAnsi="Times New Roman"/>
          <w:snapToGrid w:val="0"/>
          <w:szCs w:val="24"/>
        </w:rPr>
        <w:t>.</w:t>
      </w:r>
      <w:r w:rsidR="002A71E7">
        <w:rPr>
          <w:rFonts w:ascii="Times New Roman" w:hAnsi="Times New Roman"/>
          <w:snapToGrid w:val="0"/>
          <w:szCs w:val="24"/>
        </w:rPr>
        <w:t xml:space="preserve"> </w:t>
      </w:r>
      <w:r w:rsidR="005E6E95">
        <w:rPr>
          <w:rFonts w:ascii="Times New Roman" w:hAnsi="Times New Roman"/>
          <w:snapToGrid w:val="0"/>
          <w:szCs w:val="24"/>
        </w:rPr>
        <w:t>Target P</w:t>
      </w:r>
      <w:r w:rsidRPr="003F304E">
        <w:rPr>
          <w:rFonts w:ascii="Times New Roman" w:hAnsi="Times New Roman"/>
          <w:snapToGrid w:val="0"/>
          <w:szCs w:val="24"/>
        </w:rPr>
        <w:t xml:space="preserve">opulation by </w:t>
      </w:r>
      <w:r w:rsidR="005E6E95">
        <w:rPr>
          <w:rFonts w:ascii="Times New Roman" w:hAnsi="Times New Roman"/>
          <w:snapToGrid w:val="0"/>
          <w:szCs w:val="24"/>
        </w:rPr>
        <w:t>C</w:t>
      </w:r>
      <w:r w:rsidRPr="003F304E">
        <w:rPr>
          <w:rFonts w:ascii="Times New Roman" w:hAnsi="Times New Roman"/>
          <w:snapToGrid w:val="0"/>
          <w:szCs w:val="24"/>
        </w:rPr>
        <w:t>ensus/</w:t>
      </w:r>
      <w:r w:rsidR="005E6E95">
        <w:rPr>
          <w:rFonts w:ascii="Times New Roman" w:hAnsi="Times New Roman"/>
          <w:snapToGrid w:val="0"/>
          <w:szCs w:val="24"/>
        </w:rPr>
        <w:t>S</w:t>
      </w:r>
      <w:r w:rsidRPr="003F304E">
        <w:rPr>
          <w:rFonts w:ascii="Times New Roman" w:hAnsi="Times New Roman"/>
          <w:snapToGrid w:val="0"/>
          <w:szCs w:val="24"/>
        </w:rPr>
        <w:t xml:space="preserve">ample </w:t>
      </w:r>
      <w:r w:rsidR="005E6E95">
        <w:rPr>
          <w:rFonts w:ascii="Times New Roman" w:hAnsi="Times New Roman"/>
          <w:snapToGrid w:val="0"/>
          <w:szCs w:val="24"/>
        </w:rPr>
        <w:t>A</w:t>
      </w:r>
      <w:r w:rsidRPr="003F304E">
        <w:rPr>
          <w:rFonts w:ascii="Times New Roman" w:hAnsi="Times New Roman"/>
          <w:snapToGrid w:val="0"/>
          <w:szCs w:val="24"/>
        </w:rPr>
        <w:t xml:space="preserve">pproach – </w:t>
      </w:r>
      <w:r w:rsidR="005E6E95">
        <w:rPr>
          <w:rFonts w:ascii="Times New Roman" w:hAnsi="Times New Roman"/>
          <w:snapToGrid w:val="0"/>
          <w:szCs w:val="24"/>
        </w:rPr>
        <w:t>S</w:t>
      </w:r>
      <w:r w:rsidRPr="003F304E">
        <w:rPr>
          <w:rFonts w:ascii="Times New Roman" w:hAnsi="Times New Roman"/>
          <w:snapToGrid w:val="0"/>
          <w:szCs w:val="24"/>
        </w:rPr>
        <w:t>cenario 3</w:t>
      </w:r>
    </w:p>
    <w:tbl>
      <w:tblPr>
        <w:tblW w:w="9412" w:type="dxa"/>
        <w:tblInd w:w="93" w:type="dxa"/>
        <w:tblLook w:val="04A0" w:firstRow="1" w:lastRow="0" w:firstColumn="1" w:lastColumn="0" w:noHBand="0" w:noVBand="1"/>
      </w:tblPr>
      <w:tblGrid>
        <w:gridCol w:w="6787"/>
        <w:gridCol w:w="1533"/>
        <w:gridCol w:w="1092"/>
      </w:tblGrid>
      <w:tr w:rsidRPr="008D6F77" w:rsidR="008D6F77" w:rsidTr="002A20ED" w14:paraId="0DC29305" w14:textId="77777777">
        <w:trPr>
          <w:trHeight w:val="190"/>
        </w:trPr>
        <w:tc>
          <w:tcPr>
            <w:tcW w:w="6787" w:type="dxa"/>
            <w:tcBorders>
              <w:top w:val="single" w:color="auto" w:sz="4" w:space="0"/>
              <w:left w:val="single" w:color="BFBFBF" w:sz="8" w:space="0"/>
              <w:bottom w:val="single" w:color="auto" w:sz="4" w:space="0"/>
              <w:right w:val="single" w:color="BFBFBF" w:sz="8" w:space="0"/>
            </w:tcBorders>
            <w:shd w:val="clear" w:color="auto" w:fill="AFBED7"/>
            <w:hideMark/>
          </w:tcPr>
          <w:p w:rsidRPr="000C12CF" w:rsidR="008D6F77" w:rsidP="008D6F77" w:rsidRDefault="008D6F77" w14:paraId="2483EB7E" w14:textId="616BDF02">
            <w:pPr>
              <w:spacing w:line="240" w:lineRule="auto"/>
              <w:rPr>
                <w:rFonts w:ascii="Times New Roman" w:hAnsi="Times New Roman"/>
                <w:b/>
                <w:color w:val="000000"/>
                <w:sz w:val="22"/>
                <w:szCs w:val="22"/>
                <w:lang w:eastAsia="ko-KR"/>
              </w:rPr>
            </w:pPr>
            <w:r w:rsidRPr="008D6F77">
              <w:rPr>
                <w:rFonts w:ascii="Calibri" w:hAnsi="Calibri" w:cs="Calibri"/>
                <w:color w:val="000000"/>
                <w:sz w:val="22"/>
                <w:szCs w:val="22"/>
                <w:lang w:eastAsia="ko-KR"/>
              </w:rPr>
              <w:t> </w:t>
            </w:r>
            <w:r w:rsidRPr="000C12CF" w:rsidR="005E6E95">
              <w:rPr>
                <w:rFonts w:ascii="Times New Roman" w:hAnsi="Times New Roman"/>
                <w:b/>
                <w:color w:val="000000"/>
                <w:sz w:val="22"/>
                <w:szCs w:val="22"/>
                <w:lang w:eastAsia="ko-KR"/>
              </w:rPr>
              <w:t>Population</w:t>
            </w:r>
          </w:p>
        </w:tc>
        <w:tc>
          <w:tcPr>
            <w:tcW w:w="1533" w:type="dxa"/>
            <w:tcBorders>
              <w:top w:val="single" w:color="auto" w:sz="4" w:space="0"/>
              <w:left w:val="nil"/>
              <w:bottom w:val="single" w:color="auto" w:sz="4" w:space="0"/>
              <w:right w:val="single" w:color="BFBFBF" w:sz="8" w:space="0"/>
            </w:tcBorders>
            <w:shd w:val="clear" w:color="auto" w:fill="AFBED7"/>
            <w:vAlign w:val="center"/>
            <w:hideMark/>
          </w:tcPr>
          <w:p w:rsidRPr="008D6F77" w:rsidR="008D6F77" w:rsidP="008D6F77" w:rsidRDefault="008D6F77" w14:paraId="73EE1537" w14:textId="77777777">
            <w:pPr>
              <w:spacing w:line="240" w:lineRule="auto"/>
              <w:jc w:val="center"/>
              <w:rPr>
                <w:rFonts w:ascii="Times New Roman" w:hAnsi="Times New Roman"/>
                <w:color w:val="000000"/>
                <w:sz w:val="20"/>
                <w:lang w:eastAsia="ko-KR"/>
              </w:rPr>
            </w:pPr>
            <w:r w:rsidRPr="008D6F77">
              <w:rPr>
                <w:rFonts w:ascii="Times New Roman" w:hAnsi="Times New Roman"/>
                <w:color w:val="000000"/>
                <w:sz w:val="20"/>
                <w:lang w:eastAsia="ko-KR"/>
              </w:rPr>
              <w:t>N</w:t>
            </w:r>
          </w:p>
        </w:tc>
        <w:tc>
          <w:tcPr>
            <w:tcW w:w="1092" w:type="dxa"/>
            <w:tcBorders>
              <w:top w:val="single" w:color="auto" w:sz="4" w:space="0"/>
              <w:left w:val="nil"/>
              <w:bottom w:val="single" w:color="auto" w:sz="4" w:space="0"/>
              <w:right w:val="single" w:color="BFBFBF" w:sz="8" w:space="0"/>
            </w:tcBorders>
            <w:shd w:val="clear" w:color="auto" w:fill="AFBED7"/>
            <w:vAlign w:val="center"/>
            <w:hideMark/>
          </w:tcPr>
          <w:p w:rsidRPr="008D6F77" w:rsidR="008D6F77" w:rsidP="008D6F77" w:rsidRDefault="008D6F77" w14:paraId="0FB0D406" w14:textId="77777777">
            <w:pPr>
              <w:spacing w:line="240" w:lineRule="auto"/>
              <w:jc w:val="center"/>
              <w:rPr>
                <w:rFonts w:ascii="Times New Roman" w:hAnsi="Times New Roman"/>
                <w:color w:val="000000"/>
                <w:sz w:val="20"/>
                <w:lang w:eastAsia="ko-KR"/>
              </w:rPr>
            </w:pPr>
            <w:r w:rsidRPr="008D6F77">
              <w:rPr>
                <w:rFonts w:ascii="Times New Roman" w:hAnsi="Times New Roman"/>
                <w:color w:val="000000"/>
                <w:sz w:val="20"/>
                <w:lang w:eastAsia="ko-KR"/>
              </w:rPr>
              <w:t>%</w:t>
            </w:r>
          </w:p>
        </w:tc>
      </w:tr>
      <w:tr w:rsidRPr="008D6F77" w:rsidR="00DD7A28" w:rsidTr="007D2C7D" w14:paraId="45710654" w14:textId="77777777">
        <w:trPr>
          <w:trHeight w:val="190"/>
        </w:trPr>
        <w:tc>
          <w:tcPr>
            <w:tcW w:w="6787" w:type="dxa"/>
            <w:tcBorders>
              <w:top w:val="single" w:color="auto" w:sz="4" w:space="0"/>
              <w:left w:val="single" w:color="BFBFBF" w:sz="8" w:space="0"/>
              <w:bottom w:val="single" w:color="BFBFBF" w:sz="8" w:space="0"/>
              <w:right w:val="single" w:color="BFBFBF" w:sz="8" w:space="0"/>
            </w:tcBorders>
            <w:shd w:val="clear" w:color="000000" w:fill="F2F2F2"/>
            <w:vAlign w:val="center"/>
            <w:hideMark/>
          </w:tcPr>
          <w:p w:rsidRPr="005E6E95" w:rsidR="00DD7A28" w:rsidP="00DD7A28" w:rsidRDefault="00DD7A28" w14:paraId="7C8EDA10" w14:textId="574DDB48">
            <w:pPr>
              <w:spacing w:line="240" w:lineRule="auto"/>
              <w:rPr>
                <w:rFonts w:ascii="Times New Roman" w:hAnsi="Times New Roman"/>
                <w:bCs/>
                <w:color w:val="000000"/>
                <w:sz w:val="22"/>
                <w:szCs w:val="22"/>
                <w:lang w:eastAsia="ko-KR"/>
              </w:rPr>
            </w:pPr>
            <w:r w:rsidRPr="005E6E95">
              <w:rPr>
                <w:rFonts w:ascii="Times New Roman" w:hAnsi="Times New Roman"/>
                <w:bCs/>
                <w:color w:val="000000"/>
                <w:sz w:val="22"/>
                <w:szCs w:val="22"/>
                <w:lang w:eastAsia="ko-KR"/>
              </w:rPr>
              <w:t>Total Population aged 18+</w:t>
            </w:r>
          </w:p>
        </w:tc>
        <w:tc>
          <w:tcPr>
            <w:tcW w:w="1533" w:type="dxa"/>
            <w:tcBorders>
              <w:top w:val="single" w:color="auto" w:sz="4" w:space="0"/>
              <w:left w:val="nil"/>
              <w:bottom w:val="single" w:color="BFBFBF" w:sz="8" w:space="0"/>
              <w:right w:val="single" w:color="BFBFBF" w:sz="8" w:space="0"/>
            </w:tcBorders>
            <w:shd w:val="clear" w:color="000000" w:fill="F2F2F2"/>
            <w:vAlign w:val="bottom"/>
            <w:hideMark/>
          </w:tcPr>
          <w:p w:rsidRPr="008D6F77" w:rsidR="00DD7A28" w:rsidP="00DD7A28" w:rsidRDefault="00DD7A28" w14:paraId="0F50A14F" w14:textId="78D23528">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253,768,092</w:t>
            </w:r>
            <w:r w:rsidRPr="00313DB4">
              <w:rPr>
                <w:rFonts w:ascii="Times New Roman" w:hAnsi="Times New Roman"/>
                <w:color w:val="000000"/>
                <w:sz w:val="22"/>
                <w:szCs w:val="22"/>
                <w:lang w:eastAsia="ko-KR"/>
              </w:rPr>
              <w:t xml:space="preserve"> </w:t>
            </w:r>
          </w:p>
        </w:tc>
        <w:tc>
          <w:tcPr>
            <w:tcW w:w="1092" w:type="dxa"/>
            <w:tcBorders>
              <w:top w:val="single" w:color="auto" w:sz="4" w:space="0"/>
              <w:left w:val="nil"/>
              <w:bottom w:val="single" w:color="BFBFBF" w:sz="8" w:space="0"/>
              <w:right w:val="single" w:color="BFBFBF" w:sz="8" w:space="0"/>
            </w:tcBorders>
            <w:shd w:val="clear" w:color="000000" w:fill="F2F2F2"/>
            <w:vAlign w:val="bottom"/>
            <w:hideMark/>
          </w:tcPr>
          <w:p w:rsidRPr="008D6F77" w:rsidR="00DD7A28" w:rsidP="00DD7A28" w:rsidRDefault="00DD7A28" w14:paraId="2349132A" w14:textId="58CDE50D">
            <w:pPr>
              <w:spacing w:line="240" w:lineRule="auto"/>
              <w:jc w:val="center"/>
              <w:rPr>
                <w:rFonts w:ascii="Times New Roman" w:hAnsi="Times New Roman"/>
                <w:color w:val="000000"/>
                <w:sz w:val="22"/>
                <w:szCs w:val="22"/>
                <w:lang w:eastAsia="ko-KR"/>
              </w:rPr>
            </w:pPr>
            <w:r w:rsidRPr="00313DB4">
              <w:rPr>
                <w:rFonts w:ascii="Times New Roman" w:hAnsi="Times New Roman"/>
                <w:color w:val="000000"/>
                <w:sz w:val="22"/>
                <w:szCs w:val="22"/>
                <w:lang w:eastAsia="ko-KR"/>
              </w:rPr>
              <w:t>100%</w:t>
            </w:r>
          </w:p>
        </w:tc>
      </w:tr>
      <w:tr w:rsidRPr="008D6F77" w:rsidR="00DD7A28" w:rsidTr="007D2C7D" w14:paraId="36BC76B2" w14:textId="77777777">
        <w:trPr>
          <w:trHeight w:val="367"/>
        </w:trPr>
        <w:tc>
          <w:tcPr>
            <w:tcW w:w="6787" w:type="dxa"/>
            <w:tcBorders>
              <w:top w:val="nil"/>
              <w:left w:val="single" w:color="BFBFBF" w:sz="8" w:space="0"/>
              <w:bottom w:val="single" w:color="BFBFBF" w:sz="8" w:space="0"/>
              <w:right w:val="single" w:color="BFBFBF" w:sz="8" w:space="0"/>
            </w:tcBorders>
            <w:shd w:val="clear" w:color="auto" w:fill="auto"/>
            <w:vAlign w:val="center"/>
            <w:hideMark/>
          </w:tcPr>
          <w:p w:rsidRPr="005E6E95" w:rsidR="00DD7A28" w:rsidP="00DD7A28" w:rsidRDefault="00DD7A28" w14:paraId="1C0C96B7" w14:textId="3E9606C5">
            <w:pPr>
              <w:spacing w:line="240" w:lineRule="auto"/>
              <w:rPr>
                <w:rFonts w:ascii="Times New Roman" w:hAnsi="Times New Roman"/>
                <w:bCs/>
                <w:color w:val="000000"/>
                <w:sz w:val="22"/>
                <w:szCs w:val="22"/>
                <w:lang w:eastAsia="ko-KR"/>
              </w:rPr>
            </w:pPr>
            <w:r w:rsidRPr="005E6E95">
              <w:rPr>
                <w:rFonts w:ascii="Times New Roman" w:hAnsi="Times New Roman"/>
                <w:bCs/>
                <w:color w:val="000000"/>
                <w:sz w:val="22"/>
                <w:szCs w:val="22"/>
                <w:lang w:eastAsia="ko-KR"/>
              </w:rPr>
              <w:t xml:space="preserve">Population aged 18+ in </w:t>
            </w:r>
            <w:r>
              <w:rPr>
                <w:rFonts w:ascii="Times New Roman" w:hAnsi="Times New Roman"/>
                <w:bCs/>
                <w:color w:val="000000"/>
                <w:sz w:val="22"/>
                <w:szCs w:val="22"/>
                <w:lang w:eastAsia="ko-KR"/>
              </w:rPr>
              <w:t>Class 1</w:t>
            </w:r>
            <w:r w:rsidRPr="005E6E95">
              <w:rPr>
                <w:rFonts w:ascii="Times New Roman" w:hAnsi="Times New Roman"/>
                <w:bCs/>
                <w:color w:val="000000"/>
                <w:sz w:val="22"/>
                <w:szCs w:val="22"/>
                <w:lang w:eastAsia="ko-KR"/>
              </w:rPr>
              <w:t xml:space="preserve"> (where state approach is attempted) </w:t>
            </w:r>
          </w:p>
        </w:tc>
        <w:tc>
          <w:tcPr>
            <w:tcW w:w="1533" w:type="dxa"/>
            <w:tcBorders>
              <w:top w:val="nil"/>
              <w:left w:val="nil"/>
              <w:bottom w:val="single" w:color="BFBFBF" w:sz="8" w:space="0"/>
              <w:right w:val="single" w:color="BFBFBF" w:sz="8" w:space="0"/>
            </w:tcBorders>
            <w:shd w:val="clear" w:color="auto" w:fill="auto"/>
            <w:vAlign w:val="bottom"/>
            <w:hideMark/>
          </w:tcPr>
          <w:p w:rsidRPr="008D6F77" w:rsidR="00DD7A28" w:rsidP="00DD7A28" w:rsidRDefault="00DD7A28" w14:paraId="29FEA7EC" w14:textId="3847F1B3">
            <w:pPr>
              <w:spacing w:line="240" w:lineRule="auto"/>
              <w:jc w:val="both"/>
              <w:rPr>
                <w:rFonts w:ascii="Times New Roman" w:hAnsi="Times New Roman"/>
                <w:color w:val="000000"/>
                <w:sz w:val="22"/>
                <w:szCs w:val="22"/>
                <w:lang w:eastAsia="ko-KR"/>
              </w:rPr>
            </w:pPr>
            <w:r>
              <w:rPr>
                <w:rFonts w:ascii="Times New Roman" w:hAnsi="Times New Roman"/>
                <w:color w:val="000000"/>
                <w:sz w:val="22"/>
                <w:szCs w:val="22"/>
                <w:lang w:eastAsia="ko-KR"/>
              </w:rPr>
              <w:t>145,003,401</w:t>
            </w:r>
          </w:p>
        </w:tc>
        <w:tc>
          <w:tcPr>
            <w:tcW w:w="1092" w:type="dxa"/>
            <w:tcBorders>
              <w:top w:val="nil"/>
              <w:left w:val="nil"/>
              <w:bottom w:val="single" w:color="BFBFBF" w:sz="8" w:space="0"/>
              <w:right w:val="single" w:color="BFBFBF" w:sz="8" w:space="0"/>
            </w:tcBorders>
            <w:shd w:val="clear" w:color="auto" w:fill="auto"/>
            <w:vAlign w:val="bottom"/>
            <w:hideMark/>
          </w:tcPr>
          <w:p w:rsidRPr="008D6F77" w:rsidR="00DD7A28" w:rsidP="00DD7A28" w:rsidRDefault="00DD7A28" w14:paraId="297CE07A" w14:textId="79F2FB06">
            <w:pPr>
              <w:spacing w:line="240" w:lineRule="auto"/>
              <w:jc w:val="center"/>
              <w:rPr>
                <w:rFonts w:ascii="Times New Roman" w:hAnsi="Times New Roman"/>
                <w:color w:val="000000"/>
                <w:sz w:val="22"/>
                <w:szCs w:val="22"/>
                <w:lang w:eastAsia="ko-KR"/>
              </w:rPr>
            </w:pPr>
            <w:r w:rsidRPr="00313DB4">
              <w:rPr>
                <w:rFonts w:ascii="Times New Roman" w:hAnsi="Times New Roman"/>
                <w:color w:val="000000"/>
                <w:sz w:val="22"/>
                <w:szCs w:val="22"/>
                <w:lang w:eastAsia="ko-KR"/>
              </w:rPr>
              <w:t>5</w:t>
            </w:r>
            <w:r>
              <w:rPr>
                <w:rFonts w:ascii="Times New Roman" w:hAnsi="Times New Roman"/>
                <w:color w:val="000000"/>
                <w:sz w:val="22"/>
                <w:szCs w:val="22"/>
                <w:lang w:eastAsia="ko-KR"/>
              </w:rPr>
              <w:t>7</w:t>
            </w:r>
            <w:r w:rsidRPr="00313DB4">
              <w:rPr>
                <w:rFonts w:ascii="Times New Roman" w:hAnsi="Times New Roman"/>
                <w:color w:val="000000"/>
                <w:sz w:val="22"/>
                <w:szCs w:val="22"/>
                <w:lang w:eastAsia="ko-KR"/>
              </w:rPr>
              <w:t>%</w:t>
            </w:r>
          </w:p>
        </w:tc>
      </w:tr>
      <w:tr w:rsidRPr="008D6F77" w:rsidR="00DE6200" w:rsidTr="007D2C7D" w14:paraId="641859CA" w14:textId="77777777">
        <w:trPr>
          <w:trHeight w:val="190"/>
        </w:trPr>
        <w:tc>
          <w:tcPr>
            <w:tcW w:w="6787" w:type="dxa"/>
            <w:tcBorders>
              <w:top w:val="nil"/>
              <w:left w:val="single" w:color="BFBFBF" w:sz="8" w:space="0"/>
              <w:bottom w:val="single" w:color="BFBFBF" w:sz="8" w:space="0"/>
              <w:right w:val="single" w:color="BFBFBF" w:sz="8" w:space="0"/>
            </w:tcBorders>
            <w:shd w:val="clear" w:color="000000" w:fill="F2F2F2"/>
            <w:vAlign w:val="center"/>
            <w:hideMark/>
          </w:tcPr>
          <w:p w:rsidRPr="005E6E95" w:rsidR="00DE6200" w:rsidP="00DE6200" w:rsidRDefault="00DE6200" w14:paraId="7722645A" w14:textId="56E60941">
            <w:pPr>
              <w:spacing w:line="240" w:lineRule="auto"/>
              <w:rPr>
                <w:rFonts w:ascii="Times New Roman" w:hAnsi="Times New Roman"/>
                <w:bCs/>
                <w:color w:val="000000"/>
                <w:sz w:val="22"/>
                <w:szCs w:val="22"/>
                <w:lang w:eastAsia="ko-KR"/>
              </w:rPr>
            </w:pPr>
            <w:r w:rsidRPr="005E6E95">
              <w:rPr>
                <w:rFonts w:ascii="Times New Roman" w:hAnsi="Times New Roman"/>
                <w:bCs/>
                <w:color w:val="000000"/>
                <w:sz w:val="22"/>
                <w:szCs w:val="22"/>
                <w:lang w:eastAsia="ko-KR"/>
              </w:rPr>
              <w:t>Population aged 18+ in county certainty stratum</w:t>
            </w:r>
          </w:p>
        </w:tc>
        <w:tc>
          <w:tcPr>
            <w:tcW w:w="1533" w:type="dxa"/>
            <w:tcBorders>
              <w:top w:val="nil"/>
              <w:left w:val="nil"/>
              <w:bottom w:val="single" w:color="BFBFBF" w:sz="8" w:space="0"/>
              <w:right w:val="single" w:color="BFBFBF" w:sz="8" w:space="0"/>
            </w:tcBorders>
            <w:shd w:val="clear" w:color="auto" w:fill="auto"/>
            <w:vAlign w:val="bottom"/>
            <w:hideMark/>
          </w:tcPr>
          <w:p w:rsidRPr="008D6F77" w:rsidR="00DE6200" w:rsidP="00DE6200" w:rsidRDefault="00DE6200" w14:paraId="7D70BACA" w14:textId="2295612B">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38,734,025</w:t>
            </w:r>
          </w:p>
        </w:tc>
        <w:tc>
          <w:tcPr>
            <w:tcW w:w="1092" w:type="dxa"/>
            <w:tcBorders>
              <w:top w:val="nil"/>
              <w:left w:val="nil"/>
              <w:bottom w:val="single" w:color="BFBFBF" w:sz="8" w:space="0"/>
              <w:right w:val="single" w:color="BFBFBF" w:sz="8" w:space="0"/>
            </w:tcBorders>
            <w:shd w:val="clear" w:color="000000" w:fill="F2F2F2"/>
            <w:vAlign w:val="bottom"/>
            <w:hideMark/>
          </w:tcPr>
          <w:p w:rsidRPr="008D6F77" w:rsidR="00DE6200" w:rsidP="00DE6200" w:rsidRDefault="00DE6200" w14:paraId="68BADF60" w14:textId="3962C780">
            <w:pPr>
              <w:spacing w:line="240" w:lineRule="auto"/>
              <w:jc w:val="center"/>
              <w:rPr>
                <w:rFonts w:ascii="Times New Roman" w:hAnsi="Times New Roman"/>
                <w:color w:val="000000"/>
                <w:sz w:val="22"/>
                <w:szCs w:val="22"/>
                <w:lang w:eastAsia="ko-KR"/>
              </w:rPr>
            </w:pPr>
            <w:r>
              <w:rPr>
                <w:rFonts w:ascii="Times New Roman" w:hAnsi="Times New Roman"/>
                <w:color w:val="000000"/>
                <w:sz w:val="22"/>
                <w:szCs w:val="22"/>
                <w:lang w:eastAsia="ko-KR"/>
              </w:rPr>
              <w:t>15</w:t>
            </w:r>
            <w:r w:rsidRPr="00313DB4">
              <w:rPr>
                <w:rFonts w:ascii="Times New Roman" w:hAnsi="Times New Roman"/>
                <w:color w:val="000000"/>
                <w:sz w:val="22"/>
                <w:szCs w:val="22"/>
                <w:lang w:eastAsia="ko-KR"/>
              </w:rPr>
              <w:t>%</w:t>
            </w:r>
          </w:p>
        </w:tc>
      </w:tr>
      <w:tr w:rsidRPr="008D6F77" w:rsidR="00DE6200" w:rsidTr="007D2C7D" w14:paraId="16C7B883" w14:textId="77777777">
        <w:trPr>
          <w:trHeight w:val="367"/>
        </w:trPr>
        <w:tc>
          <w:tcPr>
            <w:tcW w:w="6787" w:type="dxa"/>
            <w:tcBorders>
              <w:top w:val="nil"/>
              <w:left w:val="single" w:color="BFBFBF" w:sz="8" w:space="0"/>
              <w:bottom w:val="single" w:color="BFBFBF" w:sz="8" w:space="0"/>
              <w:right w:val="single" w:color="BFBFBF" w:sz="8" w:space="0"/>
            </w:tcBorders>
            <w:shd w:val="clear" w:color="auto" w:fill="auto"/>
            <w:vAlign w:val="center"/>
            <w:hideMark/>
          </w:tcPr>
          <w:p w:rsidRPr="005E6E95" w:rsidR="00DE6200" w:rsidP="00DE6200" w:rsidRDefault="00DE6200" w14:paraId="15397426" w14:textId="1C8E7654">
            <w:pPr>
              <w:spacing w:line="240" w:lineRule="auto"/>
              <w:rPr>
                <w:rFonts w:ascii="Times New Roman" w:hAnsi="Times New Roman"/>
                <w:bCs/>
                <w:color w:val="000000"/>
                <w:sz w:val="22"/>
                <w:szCs w:val="22"/>
                <w:lang w:eastAsia="ko-KR"/>
              </w:rPr>
            </w:pPr>
            <w:r w:rsidRPr="005E6E95">
              <w:rPr>
                <w:rFonts w:ascii="Times New Roman" w:hAnsi="Times New Roman"/>
                <w:bCs/>
                <w:color w:val="000000"/>
                <w:sz w:val="22"/>
                <w:szCs w:val="22"/>
                <w:lang w:eastAsia="ko-KR"/>
              </w:rPr>
              <w:t xml:space="preserve">Stage </w:t>
            </w:r>
            <w:r>
              <w:rPr>
                <w:rFonts w:ascii="Times New Roman" w:hAnsi="Times New Roman"/>
                <w:bCs/>
                <w:color w:val="000000"/>
                <w:sz w:val="22"/>
                <w:szCs w:val="22"/>
                <w:lang w:eastAsia="ko-KR"/>
              </w:rPr>
              <w:t>1</w:t>
            </w:r>
            <w:r w:rsidRPr="005E6E95">
              <w:rPr>
                <w:rFonts w:ascii="Times New Roman" w:hAnsi="Times New Roman"/>
                <w:bCs/>
                <w:color w:val="000000"/>
                <w:sz w:val="22"/>
                <w:szCs w:val="22"/>
                <w:lang w:eastAsia="ko-KR"/>
              </w:rPr>
              <w:t xml:space="preserve"> coverage fully successful (state and certainty counties)</w:t>
            </w:r>
          </w:p>
        </w:tc>
        <w:tc>
          <w:tcPr>
            <w:tcW w:w="1533" w:type="dxa"/>
            <w:tcBorders>
              <w:top w:val="nil"/>
              <w:left w:val="nil"/>
              <w:bottom w:val="single" w:color="BFBFBF" w:sz="8" w:space="0"/>
              <w:right w:val="single" w:color="BFBFBF" w:sz="8" w:space="0"/>
            </w:tcBorders>
            <w:shd w:val="clear" w:color="auto" w:fill="auto"/>
            <w:vAlign w:val="bottom"/>
            <w:hideMark/>
          </w:tcPr>
          <w:p w:rsidRPr="008D6F77" w:rsidR="00DE6200" w:rsidP="00DE6200" w:rsidRDefault="00DE6200" w14:paraId="5829A082" w14:textId="1C0C5558">
            <w:pPr>
              <w:spacing w:line="240" w:lineRule="auto"/>
              <w:jc w:val="both"/>
              <w:rPr>
                <w:rFonts w:ascii="Times New Roman" w:hAnsi="Times New Roman"/>
                <w:color w:val="000000"/>
                <w:sz w:val="22"/>
                <w:szCs w:val="22"/>
                <w:lang w:eastAsia="ko-KR"/>
              </w:rPr>
            </w:pPr>
            <w:r>
              <w:rPr>
                <w:rFonts w:ascii="Times New Roman" w:hAnsi="Times New Roman"/>
                <w:color w:val="000000"/>
                <w:sz w:val="22"/>
                <w:szCs w:val="22"/>
                <w:lang w:eastAsia="ko-KR"/>
              </w:rPr>
              <w:t>183,737,426</w:t>
            </w:r>
          </w:p>
        </w:tc>
        <w:tc>
          <w:tcPr>
            <w:tcW w:w="1092" w:type="dxa"/>
            <w:tcBorders>
              <w:top w:val="nil"/>
              <w:left w:val="nil"/>
              <w:bottom w:val="single" w:color="BFBFBF" w:sz="8" w:space="0"/>
              <w:right w:val="single" w:color="BFBFBF" w:sz="8" w:space="0"/>
            </w:tcBorders>
            <w:shd w:val="clear" w:color="auto" w:fill="auto"/>
            <w:vAlign w:val="bottom"/>
            <w:hideMark/>
          </w:tcPr>
          <w:p w:rsidRPr="008D6F77" w:rsidR="00DE6200" w:rsidP="00DE6200" w:rsidRDefault="00DE6200" w14:paraId="4FFF78BD" w14:textId="621A0D09">
            <w:pPr>
              <w:spacing w:line="240" w:lineRule="auto"/>
              <w:jc w:val="center"/>
              <w:rPr>
                <w:rFonts w:ascii="Times New Roman" w:hAnsi="Times New Roman"/>
                <w:color w:val="000000"/>
                <w:sz w:val="22"/>
                <w:szCs w:val="22"/>
                <w:lang w:eastAsia="ko-KR"/>
              </w:rPr>
            </w:pPr>
            <w:r>
              <w:rPr>
                <w:rFonts w:ascii="Times New Roman" w:hAnsi="Times New Roman"/>
                <w:color w:val="000000"/>
                <w:sz w:val="22"/>
                <w:szCs w:val="22"/>
                <w:lang w:eastAsia="ko-KR"/>
              </w:rPr>
              <w:t>72</w:t>
            </w:r>
            <w:r w:rsidRPr="00313DB4">
              <w:rPr>
                <w:rFonts w:ascii="Times New Roman" w:hAnsi="Times New Roman"/>
                <w:color w:val="000000"/>
                <w:sz w:val="22"/>
                <w:szCs w:val="22"/>
                <w:lang w:eastAsia="ko-KR"/>
              </w:rPr>
              <w:t>%</w:t>
            </w:r>
          </w:p>
        </w:tc>
      </w:tr>
      <w:tr w:rsidRPr="008D6F77" w:rsidR="008D6F77" w:rsidTr="002A20ED" w14:paraId="44F4A029" w14:textId="77777777">
        <w:trPr>
          <w:trHeight w:val="190"/>
        </w:trPr>
        <w:tc>
          <w:tcPr>
            <w:tcW w:w="6787" w:type="dxa"/>
            <w:tcBorders>
              <w:top w:val="nil"/>
              <w:left w:val="single" w:color="BFBFBF" w:sz="8" w:space="0"/>
              <w:bottom w:val="single" w:color="BFBFBF" w:sz="8" w:space="0"/>
              <w:right w:val="single" w:color="BFBFBF" w:sz="8" w:space="0"/>
            </w:tcBorders>
            <w:shd w:val="clear" w:color="000000" w:fill="F2F2F2"/>
            <w:vAlign w:val="center"/>
            <w:hideMark/>
          </w:tcPr>
          <w:p w:rsidRPr="005E6E95" w:rsidR="008D6F77" w:rsidP="008D6F77" w:rsidRDefault="008D6F77" w14:paraId="06FE48DE" w14:textId="205E484A">
            <w:pPr>
              <w:spacing w:line="240" w:lineRule="auto"/>
              <w:rPr>
                <w:rFonts w:ascii="Times New Roman" w:hAnsi="Times New Roman"/>
                <w:bCs/>
                <w:color w:val="000000"/>
                <w:sz w:val="22"/>
                <w:szCs w:val="22"/>
                <w:lang w:eastAsia="ko-KR"/>
              </w:rPr>
            </w:pPr>
            <w:r w:rsidRPr="005E6E95">
              <w:rPr>
                <w:rFonts w:ascii="Times New Roman" w:hAnsi="Times New Roman"/>
                <w:bCs/>
                <w:color w:val="000000"/>
                <w:sz w:val="22"/>
                <w:szCs w:val="22"/>
                <w:lang w:eastAsia="ko-KR"/>
              </w:rPr>
              <w:t xml:space="preserve">Stage </w:t>
            </w:r>
            <w:r w:rsidR="0006282D">
              <w:rPr>
                <w:rFonts w:ascii="Times New Roman" w:hAnsi="Times New Roman"/>
                <w:bCs/>
                <w:color w:val="000000"/>
                <w:sz w:val="22"/>
                <w:szCs w:val="22"/>
                <w:lang w:eastAsia="ko-KR"/>
              </w:rPr>
              <w:t>1</w:t>
            </w:r>
            <w:r w:rsidRPr="005E6E95">
              <w:rPr>
                <w:rFonts w:ascii="Times New Roman" w:hAnsi="Times New Roman"/>
                <w:bCs/>
                <w:color w:val="000000"/>
                <w:sz w:val="22"/>
                <w:szCs w:val="22"/>
                <w:lang w:eastAsia="ko-KR"/>
              </w:rPr>
              <w:t xml:space="preserve"> coverage with low success rate assumed</w:t>
            </w:r>
          </w:p>
        </w:tc>
        <w:tc>
          <w:tcPr>
            <w:tcW w:w="1533" w:type="dxa"/>
            <w:tcBorders>
              <w:top w:val="nil"/>
              <w:left w:val="nil"/>
              <w:bottom w:val="single" w:color="BFBFBF" w:sz="8" w:space="0"/>
              <w:right w:val="single" w:color="BFBFBF" w:sz="8" w:space="0"/>
            </w:tcBorders>
            <w:shd w:val="clear" w:color="000000" w:fill="F2F2F2"/>
            <w:vAlign w:val="center"/>
            <w:hideMark/>
          </w:tcPr>
          <w:p w:rsidRPr="008D6F77" w:rsidR="008D6F77" w:rsidP="005E6E95" w:rsidRDefault="008D6F77" w14:paraId="643E26DE" w14:textId="77777777">
            <w:pPr>
              <w:spacing w:line="240" w:lineRule="auto"/>
              <w:rPr>
                <w:rFonts w:ascii="Times New Roman" w:hAnsi="Times New Roman"/>
                <w:color w:val="000000"/>
                <w:sz w:val="22"/>
                <w:szCs w:val="22"/>
                <w:lang w:eastAsia="ko-KR"/>
              </w:rPr>
            </w:pPr>
            <w:r w:rsidRPr="008D6F77">
              <w:rPr>
                <w:rFonts w:ascii="Times New Roman" w:hAnsi="Times New Roman"/>
                <w:color w:val="000000"/>
                <w:sz w:val="22"/>
                <w:szCs w:val="22"/>
                <w:lang w:eastAsia="ko-KR"/>
              </w:rPr>
              <w:t>--</w:t>
            </w:r>
          </w:p>
        </w:tc>
        <w:tc>
          <w:tcPr>
            <w:tcW w:w="1092" w:type="dxa"/>
            <w:tcBorders>
              <w:top w:val="nil"/>
              <w:left w:val="nil"/>
              <w:bottom w:val="single" w:color="BFBFBF" w:sz="8" w:space="0"/>
              <w:right w:val="single" w:color="BFBFBF" w:sz="8" w:space="0"/>
            </w:tcBorders>
            <w:shd w:val="clear" w:color="000000" w:fill="F2F2F2"/>
            <w:vAlign w:val="center"/>
            <w:hideMark/>
          </w:tcPr>
          <w:p w:rsidRPr="008D6F77" w:rsidR="008D6F77" w:rsidP="008D6F77" w:rsidRDefault="008D6F77" w14:paraId="3F65F1A8" w14:textId="77777777">
            <w:pPr>
              <w:spacing w:line="240" w:lineRule="auto"/>
              <w:jc w:val="center"/>
              <w:rPr>
                <w:rFonts w:ascii="Times New Roman" w:hAnsi="Times New Roman"/>
                <w:color w:val="000000"/>
                <w:sz w:val="22"/>
                <w:szCs w:val="22"/>
                <w:lang w:eastAsia="ko-KR"/>
              </w:rPr>
            </w:pPr>
            <w:r w:rsidRPr="008D6F77">
              <w:rPr>
                <w:rFonts w:ascii="Times New Roman" w:hAnsi="Times New Roman"/>
                <w:color w:val="000000"/>
                <w:sz w:val="22"/>
                <w:szCs w:val="22"/>
                <w:lang w:eastAsia="ko-KR"/>
              </w:rPr>
              <w:t>50%</w:t>
            </w:r>
          </w:p>
        </w:tc>
      </w:tr>
      <w:tr w:rsidRPr="008D6F77" w:rsidR="008D6F77" w:rsidTr="002A20ED" w14:paraId="65EC9924" w14:textId="77777777">
        <w:trPr>
          <w:trHeight w:val="190"/>
        </w:trPr>
        <w:tc>
          <w:tcPr>
            <w:tcW w:w="6787" w:type="dxa"/>
            <w:tcBorders>
              <w:top w:val="nil"/>
              <w:left w:val="single" w:color="BFBFBF" w:sz="8" w:space="0"/>
              <w:bottom w:val="single" w:color="BFBFBF" w:sz="8" w:space="0"/>
              <w:right w:val="single" w:color="BFBFBF" w:sz="8" w:space="0"/>
            </w:tcBorders>
            <w:shd w:val="clear" w:color="auto" w:fill="auto"/>
            <w:vAlign w:val="center"/>
            <w:hideMark/>
          </w:tcPr>
          <w:p w:rsidRPr="005E6E95" w:rsidR="008D6F77" w:rsidP="005E6E95" w:rsidRDefault="008D6F77" w14:paraId="77B10E79" w14:textId="6C5BD4A1">
            <w:pPr>
              <w:spacing w:line="240" w:lineRule="auto"/>
              <w:rPr>
                <w:rFonts w:ascii="Times New Roman" w:hAnsi="Times New Roman"/>
                <w:bCs/>
                <w:color w:val="000000"/>
                <w:sz w:val="22"/>
                <w:szCs w:val="22"/>
                <w:lang w:eastAsia="ko-KR"/>
              </w:rPr>
            </w:pPr>
            <w:r w:rsidRPr="005E6E95">
              <w:rPr>
                <w:rFonts w:ascii="Times New Roman" w:hAnsi="Times New Roman"/>
                <w:bCs/>
                <w:color w:val="000000"/>
                <w:sz w:val="22"/>
                <w:szCs w:val="22"/>
                <w:lang w:eastAsia="ko-KR"/>
              </w:rPr>
              <w:t xml:space="preserve">Population covered by </w:t>
            </w:r>
            <w:r w:rsidR="005E6E95">
              <w:rPr>
                <w:rFonts w:ascii="Times New Roman" w:hAnsi="Times New Roman"/>
                <w:bCs/>
                <w:color w:val="000000"/>
                <w:sz w:val="22"/>
                <w:szCs w:val="22"/>
                <w:lang w:eastAsia="ko-KR"/>
              </w:rPr>
              <w:t>50</w:t>
            </w:r>
            <w:r w:rsidRPr="005E6E95">
              <w:rPr>
                <w:rFonts w:ascii="Times New Roman" w:hAnsi="Times New Roman"/>
                <w:bCs/>
                <w:color w:val="000000"/>
                <w:sz w:val="22"/>
                <w:szCs w:val="22"/>
                <w:lang w:eastAsia="ko-KR"/>
              </w:rPr>
              <w:t>% successful statewide approach</w:t>
            </w:r>
          </w:p>
        </w:tc>
        <w:tc>
          <w:tcPr>
            <w:tcW w:w="1533" w:type="dxa"/>
            <w:tcBorders>
              <w:top w:val="nil"/>
              <w:left w:val="nil"/>
              <w:bottom w:val="single" w:color="BFBFBF" w:sz="8" w:space="0"/>
              <w:right w:val="single" w:color="BFBFBF" w:sz="8" w:space="0"/>
            </w:tcBorders>
            <w:shd w:val="clear" w:color="auto" w:fill="auto"/>
            <w:vAlign w:val="center"/>
            <w:hideMark/>
          </w:tcPr>
          <w:p w:rsidRPr="008D6F77" w:rsidR="008D6F77" w:rsidP="00DE6200" w:rsidRDefault="00DE6200" w14:paraId="5E852008" w14:textId="379542D9">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91</w:t>
            </w:r>
            <w:r w:rsidR="00DD7A28">
              <w:rPr>
                <w:rFonts w:ascii="Times New Roman" w:hAnsi="Times New Roman"/>
                <w:color w:val="000000"/>
                <w:sz w:val="22"/>
                <w:szCs w:val="22"/>
                <w:lang w:eastAsia="ko-KR"/>
              </w:rPr>
              <w:t>,</w:t>
            </w:r>
            <w:r>
              <w:rPr>
                <w:rFonts w:ascii="Times New Roman" w:hAnsi="Times New Roman"/>
                <w:color w:val="000000"/>
                <w:sz w:val="22"/>
                <w:szCs w:val="22"/>
                <w:lang w:eastAsia="ko-KR"/>
              </w:rPr>
              <w:t>868</w:t>
            </w:r>
            <w:r w:rsidR="00DD7A28">
              <w:rPr>
                <w:rFonts w:ascii="Times New Roman" w:hAnsi="Times New Roman"/>
                <w:color w:val="000000"/>
                <w:sz w:val="22"/>
                <w:szCs w:val="22"/>
                <w:lang w:eastAsia="ko-KR"/>
              </w:rPr>
              <w:t>,</w:t>
            </w:r>
            <w:r>
              <w:rPr>
                <w:rFonts w:ascii="Times New Roman" w:hAnsi="Times New Roman"/>
                <w:color w:val="000000"/>
                <w:sz w:val="22"/>
                <w:szCs w:val="22"/>
                <w:lang w:eastAsia="ko-KR"/>
              </w:rPr>
              <w:t>713</w:t>
            </w:r>
            <w:r w:rsidRPr="008D6F77" w:rsidR="008D6F77">
              <w:rPr>
                <w:rFonts w:ascii="Times New Roman" w:hAnsi="Times New Roman"/>
                <w:color w:val="000000"/>
                <w:sz w:val="22"/>
                <w:szCs w:val="22"/>
                <w:lang w:eastAsia="ko-KR"/>
              </w:rPr>
              <w:t xml:space="preserve"> </w:t>
            </w:r>
          </w:p>
        </w:tc>
        <w:tc>
          <w:tcPr>
            <w:tcW w:w="1092" w:type="dxa"/>
            <w:tcBorders>
              <w:top w:val="nil"/>
              <w:left w:val="nil"/>
              <w:bottom w:val="single" w:color="BFBFBF" w:sz="8" w:space="0"/>
              <w:right w:val="single" w:color="BFBFBF" w:sz="8" w:space="0"/>
            </w:tcBorders>
            <w:shd w:val="clear" w:color="auto" w:fill="auto"/>
            <w:vAlign w:val="center"/>
            <w:hideMark/>
          </w:tcPr>
          <w:p w:rsidRPr="008D6F77" w:rsidR="008D6F77" w:rsidP="008D6F77" w:rsidRDefault="00DD7A28" w14:paraId="342AB849" w14:textId="3B0DA1E4">
            <w:pPr>
              <w:spacing w:line="240" w:lineRule="auto"/>
              <w:jc w:val="center"/>
              <w:rPr>
                <w:rFonts w:ascii="Times New Roman" w:hAnsi="Times New Roman"/>
                <w:color w:val="000000"/>
                <w:sz w:val="22"/>
                <w:szCs w:val="22"/>
                <w:lang w:eastAsia="ko-KR"/>
              </w:rPr>
            </w:pPr>
            <w:r>
              <w:rPr>
                <w:rFonts w:ascii="Times New Roman" w:hAnsi="Times New Roman"/>
                <w:color w:val="000000"/>
                <w:sz w:val="22"/>
                <w:szCs w:val="22"/>
                <w:lang w:eastAsia="ko-KR"/>
              </w:rPr>
              <w:t>36</w:t>
            </w:r>
            <w:r w:rsidRPr="008D6F77" w:rsidR="008D6F77">
              <w:rPr>
                <w:rFonts w:ascii="Times New Roman" w:hAnsi="Times New Roman"/>
                <w:color w:val="000000"/>
                <w:sz w:val="22"/>
                <w:szCs w:val="22"/>
                <w:lang w:eastAsia="ko-KR"/>
              </w:rPr>
              <w:t>%</w:t>
            </w:r>
          </w:p>
        </w:tc>
      </w:tr>
      <w:tr w:rsidRPr="008D6F77" w:rsidR="008D6F77" w:rsidTr="002A20ED" w14:paraId="7610656C" w14:textId="77777777">
        <w:trPr>
          <w:trHeight w:val="190"/>
        </w:trPr>
        <w:tc>
          <w:tcPr>
            <w:tcW w:w="6787" w:type="dxa"/>
            <w:tcBorders>
              <w:top w:val="nil"/>
              <w:left w:val="single" w:color="BFBFBF" w:sz="8" w:space="0"/>
              <w:bottom w:val="single" w:color="BFBFBF" w:sz="8" w:space="0"/>
              <w:right w:val="single" w:color="BFBFBF" w:sz="8" w:space="0"/>
            </w:tcBorders>
            <w:shd w:val="clear" w:color="000000" w:fill="F2F2F2"/>
            <w:vAlign w:val="center"/>
            <w:hideMark/>
          </w:tcPr>
          <w:p w:rsidRPr="005E6E95" w:rsidR="008D6F77" w:rsidP="00790B43" w:rsidRDefault="008D6F77" w14:paraId="40BBE500" w14:textId="55B0D133">
            <w:pPr>
              <w:spacing w:line="240" w:lineRule="auto"/>
              <w:rPr>
                <w:rFonts w:ascii="Times New Roman" w:hAnsi="Times New Roman"/>
                <w:bCs/>
                <w:color w:val="000000"/>
                <w:sz w:val="22"/>
                <w:szCs w:val="22"/>
                <w:lang w:eastAsia="ko-KR"/>
              </w:rPr>
            </w:pPr>
            <w:r w:rsidRPr="005E6E95">
              <w:rPr>
                <w:rFonts w:ascii="Times New Roman" w:hAnsi="Times New Roman"/>
                <w:bCs/>
                <w:color w:val="000000"/>
                <w:sz w:val="22"/>
                <w:szCs w:val="22"/>
                <w:lang w:eastAsia="ko-KR"/>
              </w:rPr>
              <w:t xml:space="preserve">Balance of population (to be covered by </w:t>
            </w:r>
            <w:r w:rsidR="00790B43">
              <w:rPr>
                <w:rFonts w:ascii="Times New Roman" w:hAnsi="Times New Roman"/>
                <w:bCs/>
                <w:color w:val="000000"/>
                <w:sz w:val="22"/>
                <w:szCs w:val="22"/>
                <w:lang w:eastAsia="ko-KR"/>
              </w:rPr>
              <w:t>PPS</w:t>
            </w:r>
            <w:r w:rsidRPr="005E6E95" w:rsidR="00790B43">
              <w:rPr>
                <w:rFonts w:ascii="Times New Roman" w:hAnsi="Times New Roman"/>
                <w:bCs/>
                <w:color w:val="000000"/>
                <w:sz w:val="22"/>
                <w:szCs w:val="22"/>
                <w:lang w:eastAsia="ko-KR"/>
              </w:rPr>
              <w:t xml:space="preserve"> </w:t>
            </w:r>
            <w:r w:rsidRPr="005E6E95">
              <w:rPr>
                <w:rFonts w:ascii="Times New Roman" w:hAnsi="Times New Roman"/>
                <w:bCs/>
                <w:color w:val="000000"/>
                <w:sz w:val="22"/>
                <w:szCs w:val="22"/>
                <w:lang w:eastAsia="ko-KR"/>
              </w:rPr>
              <w:t>sample)</w:t>
            </w:r>
          </w:p>
        </w:tc>
        <w:tc>
          <w:tcPr>
            <w:tcW w:w="1533" w:type="dxa"/>
            <w:tcBorders>
              <w:top w:val="nil"/>
              <w:left w:val="nil"/>
              <w:bottom w:val="single" w:color="BFBFBF" w:sz="8" w:space="0"/>
              <w:right w:val="single" w:color="BFBFBF" w:sz="8" w:space="0"/>
            </w:tcBorders>
            <w:shd w:val="clear" w:color="000000" w:fill="F2F2F2"/>
            <w:vAlign w:val="center"/>
            <w:hideMark/>
          </w:tcPr>
          <w:p w:rsidRPr="008D6F77" w:rsidR="008D6F77" w:rsidP="00DE6200" w:rsidRDefault="00DD7A28" w14:paraId="034D1290" w14:textId="3975358D">
            <w:pPr>
              <w:spacing w:line="240" w:lineRule="auto"/>
              <w:rPr>
                <w:rFonts w:ascii="Times New Roman" w:hAnsi="Times New Roman"/>
                <w:color w:val="000000"/>
                <w:sz w:val="22"/>
                <w:szCs w:val="22"/>
                <w:lang w:eastAsia="ko-KR"/>
              </w:rPr>
            </w:pPr>
            <w:r>
              <w:rPr>
                <w:rFonts w:ascii="Times New Roman" w:hAnsi="Times New Roman"/>
                <w:color w:val="000000"/>
                <w:sz w:val="22"/>
                <w:szCs w:val="22"/>
                <w:lang w:eastAsia="ko-KR"/>
              </w:rPr>
              <w:t>16</w:t>
            </w:r>
            <w:r w:rsidR="00DE6200">
              <w:rPr>
                <w:rFonts w:ascii="Times New Roman" w:hAnsi="Times New Roman"/>
                <w:color w:val="000000"/>
                <w:sz w:val="22"/>
                <w:szCs w:val="22"/>
                <w:lang w:eastAsia="ko-KR"/>
              </w:rPr>
              <w:t>1</w:t>
            </w:r>
            <w:r>
              <w:rPr>
                <w:rFonts w:ascii="Times New Roman" w:hAnsi="Times New Roman"/>
                <w:color w:val="000000"/>
                <w:sz w:val="22"/>
                <w:szCs w:val="22"/>
                <w:lang w:eastAsia="ko-KR"/>
              </w:rPr>
              <w:t>,</w:t>
            </w:r>
            <w:r w:rsidR="00DE6200">
              <w:rPr>
                <w:rFonts w:ascii="Times New Roman" w:hAnsi="Times New Roman"/>
                <w:color w:val="000000"/>
                <w:sz w:val="22"/>
                <w:szCs w:val="22"/>
                <w:lang w:eastAsia="ko-KR"/>
              </w:rPr>
              <w:t>899,379</w:t>
            </w:r>
          </w:p>
        </w:tc>
        <w:tc>
          <w:tcPr>
            <w:tcW w:w="1092" w:type="dxa"/>
            <w:tcBorders>
              <w:top w:val="nil"/>
              <w:left w:val="nil"/>
              <w:bottom w:val="single" w:color="BFBFBF" w:sz="8" w:space="0"/>
              <w:right w:val="single" w:color="BFBFBF" w:sz="8" w:space="0"/>
            </w:tcBorders>
            <w:shd w:val="clear" w:color="000000" w:fill="F2F2F2"/>
            <w:vAlign w:val="center"/>
            <w:hideMark/>
          </w:tcPr>
          <w:p w:rsidRPr="008D6F77" w:rsidR="008D6F77" w:rsidP="005E6E95" w:rsidRDefault="00DD7A28" w14:paraId="3ECDBE75" w14:textId="30F38AEB">
            <w:pPr>
              <w:spacing w:line="240" w:lineRule="auto"/>
              <w:jc w:val="center"/>
              <w:rPr>
                <w:rFonts w:ascii="Times New Roman" w:hAnsi="Times New Roman"/>
                <w:color w:val="000000"/>
                <w:sz w:val="22"/>
                <w:szCs w:val="22"/>
                <w:lang w:eastAsia="ko-KR"/>
              </w:rPr>
            </w:pPr>
            <w:r>
              <w:rPr>
                <w:rFonts w:ascii="Times New Roman" w:hAnsi="Times New Roman"/>
                <w:color w:val="000000"/>
                <w:sz w:val="22"/>
                <w:szCs w:val="22"/>
                <w:lang w:eastAsia="ko-KR"/>
              </w:rPr>
              <w:t>64%</w:t>
            </w:r>
          </w:p>
        </w:tc>
      </w:tr>
    </w:tbl>
    <w:p w:rsidR="008D6F77" w:rsidP="002A20ED" w:rsidRDefault="008D6F77" w14:paraId="75286B9C" w14:textId="77777777">
      <w:pPr>
        <w:spacing w:line="276" w:lineRule="auto"/>
        <w:rPr>
          <w:rFonts w:ascii="Times New Roman" w:hAnsi="Times New Roman"/>
          <w:snapToGrid w:val="0"/>
          <w:szCs w:val="24"/>
        </w:rPr>
      </w:pPr>
    </w:p>
    <w:p w:rsidRPr="00F84FF2" w:rsidR="0077503D" w:rsidP="009264E7" w:rsidRDefault="00B539E2" w14:paraId="1BF78E4B" w14:textId="4AA3ECE6">
      <w:pPr>
        <w:pStyle w:val="L1-FlLSp12"/>
        <w:keepNext/>
        <w:tabs>
          <w:tab w:val="clear" w:pos="1152"/>
          <w:tab w:val="left" w:pos="360"/>
        </w:tabs>
        <w:spacing w:line="276" w:lineRule="auto"/>
        <w:rPr>
          <w:rFonts w:ascii="Times New Roman" w:hAnsi="Times New Roman"/>
          <w:i/>
        </w:rPr>
      </w:pPr>
      <w:r w:rsidRPr="00F84FF2">
        <w:rPr>
          <w:rFonts w:ascii="Times New Roman" w:hAnsi="Times New Roman"/>
          <w:i/>
        </w:rPr>
        <w:t>Nonresponse</w:t>
      </w:r>
      <w:r w:rsidRPr="00F84FF2" w:rsidR="00473C91">
        <w:rPr>
          <w:rFonts w:ascii="Times New Roman" w:hAnsi="Times New Roman"/>
          <w:i/>
        </w:rPr>
        <w:t xml:space="preserve"> and</w:t>
      </w:r>
      <w:r w:rsidRPr="00F84FF2">
        <w:rPr>
          <w:rFonts w:ascii="Times New Roman" w:hAnsi="Times New Roman"/>
          <w:i/>
        </w:rPr>
        <w:t xml:space="preserve"> Substitution</w:t>
      </w:r>
    </w:p>
    <w:p w:rsidR="00B539E2" w:rsidP="005D48AE" w:rsidRDefault="00B539E2" w14:paraId="031A92F0" w14:textId="77777777">
      <w:pPr>
        <w:pStyle w:val="L1-FlLSp12"/>
        <w:spacing w:line="276" w:lineRule="auto"/>
        <w:rPr>
          <w:rFonts w:ascii="Times New Roman" w:hAnsi="Times New Roman"/>
          <w:snapToGrid w:val="0"/>
        </w:rPr>
      </w:pPr>
    </w:p>
    <w:p w:rsidRPr="008F6829" w:rsidR="00202B93" w:rsidP="00312B0A" w:rsidRDefault="00400F56" w14:paraId="2D83C3CD" w14:textId="5466479F">
      <w:pPr>
        <w:pStyle w:val="L1-FlLSp12"/>
        <w:spacing w:line="276" w:lineRule="auto"/>
        <w:rPr>
          <w:rFonts w:ascii="Times New Roman" w:hAnsi="Times New Roman"/>
          <w:snapToGrid w:val="0"/>
        </w:rPr>
      </w:pPr>
      <w:r>
        <w:rPr>
          <w:rFonts w:ascii="Times New Roman" w:hAnsi="Times New Roman"/>
          <w:snapToGrid w:val="0"/>
        </w:rPr>
        <w:t xml:space="preserve">Since the data collection is staged, and nonresponse in Stage 1 moves the </w:t>
      </w:r>
      <w:r w:rsidR="003541B0">
        <w:rPr>
          <w:rFonts w:ascii="Times New Roman" w:hAnsi="Times New Roman"/>
          <w:snapToGrid w:val="0"/>
        </w:rPr>
        <w:t>counties</w:t>
      </w:r>
      <w:r>
        <w:rPr>
          <w:rFonts w:ascii="Times New Roman" w:hAnsi="Times New Roman"/>
          <w:snapToGrid w:val="0"/>
        </w:rPr>
        <w:t xml:space="preserve"> to </w:t>
      </w:r>
      <w:r w:rsidR="000C12CF">
        <w:rPr>
          <w:rFonts w:ascii="Times New Roman" w:hAnsi="Times New Roman"/>
          <w:snapToGrid w:val="0"/>
        </w:rPr>
        <w:t>C</w:t>
      </w:r>
      <w:r w:rsidR="00284476">
        <w:rPr>
          <w:rFonts w:ascii="Times New Roman" w:hAnsi="Times New Roman"/>
          <w:snapToGrid w:val="0"/>
        </w:rPr>
        <w:t>lass</w:t>
      </w:r>
      <w:r>
        <w:rPr>
          <w:rFonts w:ascii="Times New Roman" w:hAnsi="Times New Roman"/>
          <w:snapToGrid w:val="0"/>
        </w:rPr>
        <w:t xml:space="preserve"> </w:t>
      </w:r>
      <w:r w:rsidR="009060FE">
        <w:rPr>
          <w:rFonts w:ascii="Times New Roman" w:hAnsi="Times New Roman"/>
          <w:snapToGrid w:val="0"/>
        </w:rPr>
        <w:t>2</w:t>
      </w:r>
      <w:r>
        <w:rPr>
          <w:rFonts w:ascii="Times New Roman" w:hAnsi="Times New Roman"/>
          <w:snapToGrid w:val="0"/>
        </w:rPr>
        <w:t xml:space="preserve"> for sampling, v</w:t>
      </w:r>
      <w:r w:rsidRPr="008F6829" w:rsidR="00202B93">
        <w:rPr>
          <w:rFonts w:ascii="Times New Roman" w:hAnsi="Times New Roman"/>
          <w:snapToGrid w:val="0"/>
        </w:rPr>
        <w:t xml:space="preserve">irtually all nonresponse </w:t>
      </w:r>
      <w:r w:rsidR="002073E9">
        <w:rPr>
          <w:rFonts w:ascii="Times New Roman" w:hAnsi="Times New Roman"/>
          <w:snapToGrid w:val="0"/>
        </w:rPr>
        <w:t>will be in Stage 2, due to the failure of a s</w:t>
      </w:r>
      <w:r w:rsidR="003541B0">
        <w:rPr>
          <w:rFonts w:ascii="Times New Roman" w:hAnsi="Times New Roman"/>
          <w:snapToGrid w:val="0"/>
        </w:rPr>
        <w:t xml:space="preserve">elected county to provide data. </w:t>
      </w:r>
      <w:r w:rsidR="002073E9">
        <w:rPr>
          <w:rFonts w:ascii="Times New Roman" w:hAnsi="Times New Roman"/>
          <w:snapToGrid w:val="0"/>
        </w:rPr>
        <w:t>BJS also expects item nonresponse in the context of missing or incomplete data extracts.</w:t>
      </w:r>
    </w:p>
    <w:p w:rsidRPr="008F6829" w:rsidR="00202B93" w:rsidP="00312B0A" w:rsidRDefault="00202B93" w14:paraId="32FB554F" w14:textId="77777777">
      <w:pPr>
        <w:pStyle w:val="L1-FlLSp12"/>
        <w:spacing w:line="276" w:lineRule="auto"/>
        <w:rPr>
          <w:rFonts w:ascii="Times New Roman" w:hAnsi="Times New Roman"/>
          <w:snapToGrid w:val="0"/>
        </w:rPr>
      </w:pPr>
    </w:p>
    <w:p w:rsidR="00202B93" w:rsidP="00312B0A" w:rsidRDefault="00202B93" w14:paraId="6F048D44" w14:textId="7DD772E2">
      <w:pPr>
        <w:pStyle w:val="L1-FlLSp12"/>
        <w:spacing w:line="276" w:lineRule="auto"/>
        <w:rPr>
          <w:rFonts w:ascii="Times New Roman" w:hAnsi="Times New Roman"/>
          <w:snapToGrid w:val="0"/>
        </w:rPr>
      </w:pPr>
      <w:r w:rsidRPr="008F6829">
        <w:rPr>
          <w:rFonts w:ascii="Times New Roman" w:hAnsi="Times New Roman"/>
          <w:snapToGrid w:val="0"/>
        </w:rPr>
        <w:t xml:space="preserve">Nonresponse adjustment can be used to adjust the weights of responding </w:t>
      </w:r>
      <w:r w:rsidR="002073E9">
        <w:rPr>
          <w:rFonts w:ascii="Times New Roman" w:hAnsi="Times New Roman"/>
          <w:snapToGrid w:val="0"/>
        </w:rPr>
        <w:t>sampled counties</w:t>
      </w:r>
      <w:r w:rsidRPr="008F6829">
        <w:rPr>
          <w:rFonts w:ascii="Times New Roman" w:hAnsi="Times New Roman"/>
          <w:snapToGrid w:val="0"/>
        </w:rPr>
        <w:t xml:space="preserve"> to the weights of all sampled </w:t>
      </w:r>
      <w:r w:rsidR="002073E9">
        <w:rPr>
          <w:rFonts w:ascii="Times New Roman" w:hAnsi="Times New Roman"/>
          <w:snapToGrid w:val="0"/>
        </w:rPr>
        <w:t>counties</w:t>
      </w:r>
      <w:r w:rsidRPr="008F6829">
        <w:rPr>
          <w:rFonts w:ascii="Times New Roman" w:hAnsi="Times New Roman"/>
          <w:snapToGrid w:val="0"/>
        </w:rPr>
        <w:t xml:space="preserve">. Although unbiased estimates might result, a shortfall in cases and consequently precision might </w:t>
      </w:r>
      <w:r w:rsidR="003F304E">
        <w:rPr>
          <w:rFonts w:ascii="Times New Roman" w:hAnsi="Times New Roman"/>
          <w:snapToGrid w:val="0"/>
        </w:rPr>
        <w:t xml:space="preserve">also </w:t>
      </w:r>
      <w:r w:rsidRPr="008F6829">
        <w:rPr>
          <w:rFonts w:ascii="Times New Roman" w:hAnsi="Times New Roman"/>
          <w:snapToGrid w:val="0"/>
        </w:rPr>
        <w:t xml:space="preserve">result. Alternatively, the actual sample could be inflated by the inverse of the expected response rate. This works well when the actual response rate can be estimated accurately in advance. A third possibility is to use release groups of </w:t>
      </w:r>
      <w:r w:rsidR="00A13E38">
        <w:rPr>
          <w:rFonts w:ascii="Times New Roman" w:hAnsi="Times New Roman"/>
          <w:snapToGrid w:val="0"/>
        </w:rPr>
        <w:t>count</w:t>
      </w:r>
      <w:r w:rsidR="00400F56">
        <w:rPr>
          <w:rFonts w:ascii="Times New Roman" w:hAnsi="Times New Roman"/>
          <w:snapToGrid w:val="0"/>
        </w:rPr>
        <w:t>ies</w:t>
      </w:r>
      <w:r w:rsidR="00790B43">
        <w:rPr>
          <w:rFonts w:ascii="Times New Roman" w:hAnsi="Times New Roman"/>
          <w:snapToGrid w:val="0"/>
        </w:rPr>
        <w:t xml:space="preserve"> (e.g., a reserve sample)</w:t>
      </w:r>
      <w:r w:rsidRPr="008F6829">
        <w:rPr>
          <w:rFonts w:ascii="Times New Roman" w:hAnsi="Times New Roman"/>
          <w:snapToGrid w:val="0"/>
        </w:rPr>
        <w:t xml:space="preserve">, </w:t>
      </w:r>
      <w:r w:rsidR="00980831">
        <w:rPr>
          <w:rFonts w:ascii="Times New Roman" w:hAnsi="Times New Roman"/>
          <w:snapToGrid w:val="0"/>
        </w:rPr>
        <w:t xml:space="preserve">with </w:t>
      </w:r>
      <w:r w:rsidRPr="008F6829">
        <w:rPr>
          <w:rFonts w:ascii="Times New Roman" w:hAnsi="Times New Roman"/>
          <w:snapToGrid w:val="0"/>
        </w:rPr>
        <w:t xml:space="preserve">the exact number of </w:t>
      </w:r>
      <w:r w:rsidR="00A13E38">
        <w:rPr>
          <w:rFonts w:ascii="Times New Roman" w:hAnsi="Times New Roman"/>
          <w:snapToGrid w:val="0"/>
        </w:rPr>
        <w:t>counties</w:t>
      </w:r>
      <w:r w:rsidRPr="008F6829">
        <w:rPr>
          <w:rFonts w:ascii="Times New Roman" w:hAnsi="Times New Roman"/>
          <w:snapToGrid w:val="0"/>
        </w:rPr>
        <w:t xml:space="preserve"> released to be determined as the sample is implemented and actual resp</w:t>
      </w:r>
      <w:r w:rsidRPr="008F6829" w:rsidR="00AD4310">
        <w:rPr>
          <w:rFonts w:ascii="Times New Roman" w:hAnsi="Times New Roman"/>
          <w:snapToGrid w:val="0"/>
        </w:rPr>
        <w:t xml:space="preserve">onse rates manifest themselves. </w:t>
      </w:r>
      <w:r w:rsidR="00790B43">
        <w:rPr>
          <w:rFonts w:ascii="Times New Roman" w:hAnsi="Times New Roman"/>
          <w:snapToGrid w:val="0"/>
        </w:rPr>
        <w:t>BJS will li</w:t>
      </w:r>
      <w:r w:rsidR="00B40764">
        <w:rPr>
          <w:rFonts w:ascii="Times New Roman" w:hAnsi="Times New Roman"/>
          <w:snapToGrid w:val="0"/>
        </w:rPr>
        <w:t>kely follow this third strategy, with a reserve sample roughly half the size of the expected sample of counties.</w:t>
      </w:r>
      <w:r w:rsidR="00790B43">
        <w:rPr>
          <w:rFonts w:ascii="Times New Roman" w:hAnsi="Times New Roman"/>
          <w:snapToGrid w:val="0"/>
        </w:rPr>
        <w:t xml:space="preserve"> </w:t>
      </w:r>
    </w:p>
    <w:p w:rsidR="00790B43" w:rsidP="00312B0A" w:rsidRDefault="00790B43" w14:paraId="066AF5BA" w14:textId="20607A9F">
      <w:pPr>
        <w:pStyle w:val="L1-FlLSp12"/>
        <w:spacing w:line="276" w:lineRule="auto"/>
        <w:rPr>
          <w:rFonts w:ascii="Times New Roman" w:hAnsi="Times New Roman"/>
          <w:snapToGrid w:val="0"/>
        </w:rPr>
      </w:pPr>
    </w:p>
    <w:p w:rsidR="00790B43" w:rsidP="00312B0A" w:rsidRDefault="00BA516C" w14:paraId="304CF064" w14:textId="035CC606">
      <w:pPr>
        <w:pStyle w:val="L1-FlLSp12"/>
        <w:spacing w:line="276" w:lineRule="auto"/>
        <w:rPr>
          <w:rFonts w:ascii="Times New Roman" w:hAnsi="Times New Roman"/>
          <w:snapToGrid w:val="0"/>
        </w:rPr>
      </w:pPr>
      <w:r>
        <w:rPr>
          <w:rFonts w:ascii="Times New Roman" w:hAnsi="Times New Roman"/>
          <w:snapToGrid w:val="0"/>
        </w:rPr>
        <w:t>If</w:t>
      </w:r>
      <w:r w:rsidR="00790B43">
        <w:rPr>
          <w:rFonts w:ascii="Times New Roman" w:hAnsi="Times New Roman"/>
          <w:snapToGrid w:val="0"/>
        </w:rPr>
        <w:t xml:space="preserve"> </w:t>
      </w:r>
      <w:r w:rsidR="00B40764">
        <w:rPr>
          <w:rFonts w:ascii="Times New Roman" w:hAnsi="Times New Roman"/>
          <w:snapToGrid w:val="0"/>
        </w:rPr>
        <w:t xml:space="preserve">all 36 states, the District of Columbia, and all 18 certainty counties provide data in Stage 1, the </w:t>
      </w:r>
      <w:r>
        <w:rPr>
          <w:rFonts w:ascii="Times New Roman" w:hAnsi="Times New Roman"/>
          <w:snapToGrid w:val="0"/>
        </w:rPr>
        <w:t xml:space="preserve">total </w:t>
      </w:r>
      <w:r w:rsidR="00DE6200">
        <w:rPr>
          <w:rFonts w:ascii="Times New Roman" w:hAnsi="Times New Roman"/>
          <w:snapToGrid w:val="0"/>
        </w:rPr>
        <w:t xml:space="preserve">coverage of the </w:t>
      </w:r>
      <w:r>
        <w:rPr>
          <w:rFonts w:ascii="Times New Roman" w:hAnsi="Times New Roman"/>
          <w:snapToGrid w:val="0"/>
        </w:rPr>
        <w:t xml:space="preserve">U.S. population age 18 and over is 72%. In order to increase coverage of the total population, BJS estimates a </w:t>
      </w:r>
      <w:r w:rsidR="00B40764">
        <w:rPr>
          <w:rFonts w:ascii="Times New Roman" w:hAnsi="Times New Roman"/>
          <w:snapToGrid w:val="0"/>
        </w:rPr>
        <w:t xml:space="preserve">sample size for </w:t>
      </w:r>
      <w:r>
        <w:rPr>
          <w:rFonts w:ascii="Times New Roman" w:hAnsi="Times New Roman"/>
          <w:snapToGrid w:val="0"/>
        </w:rPr>
        <w:t xml:space="preserve">the </w:t>
      </w:r>
      <w:r w:rsidR="00B40764">
        <w:rPr>
          <w:rFonts w:ascii="Times New Roman" w:hAnsi="Times New Roman"/>
          <w:snapToGrid w:val="0"/>
        </w:rPr>
        <w:t xml:space="preserve">Class 2 </w:t>
      </w:r>
      <w:r>
        <w:rPr>
          <w:rFonts w:ascii="Times New Roman" w:hAnsi="Times New Roman"/>
          <w:snapToGrid w:val="0"/>
        </w:rPr>
        <w:t xml:space="preserve">states at approximately </w:t>
      </w:r>
      <w:r w:rsidR="00222065">
        <w:rPr>
          <w:rFonts w:ascii="Times New Roman" w:hAnsi="Times New Roman"/>
          <w:snapToGrid w:val="0"/>
        </w:rPr>
        <w:t>84</w:t>
      </w:r>
      <w:r>
        <w:rPr>
          <w:rFonts w:ascii="Times New Roman" w:hAnsi="Times New Roman"/>
          <w:snapToGrid w:val="0"/>
        </w:rPr>
        <w:t xml:space="preserve"> counties. </w:t>
      </w:r>
      <w:r w:rsidRPr="00BA516C" w:rsidR="00790B43">
        <w:rPr>
          <w:rFonts w:ascii="Times New Roman" w:hAnsi="Times New Roman"/>
          <w:b/>
          <w:snapToGrid w:val="0"/>
        </w:rPr>
        <w:t>Table 8</w:t>
      </w:r>
      <w:r w:rsidR="00790B43">
        <w:rPr>
          <w:rFonts w:ascii="Times New Roman" w:hAnsi="Times New Roman"/>
          <w:snapToGrid w:val="0"/>
        </w:rPr>
        <w:t xml:space="preserve"> below describes the expected draw rate and estimates a reserve sample </w:t>
      </w:r>
      <w:r w:rsidR="00222065">
        <w:rPr>
          <w:rFonts w:ascii="Times New Roman" w:hAnsi="Times New Roman"/>
          <w:snapToGrid w:val="0"/>
        </w:rPr>
        <w:t xml:space="preserve">of roughly </w:t>
      </w:r>
      <w:r w:rsidR="000B3CAF">
        <w:rPr>
          <w:rFonts w:ascii="Times New Roman" w:hAnsi="Times New Roman"/>
          <w:snapToGrid w:val="0"/>
        </w:rPr>
        <w:t>3</w:t>
      </w:r>
      <w:r w:rsidR="00790B43">
        <w:rPr>
          <w:rFonts w:ascii="Times New Roman" w:hAnsi="Times New Roman"/>
          <w:snapToGrid w:val="0"/>
        </w:rPr>
        <w:t>0 additional counties.</w:t>
      </w:r>
    </w:p>
    <w:p w:rsidR="00FB708D" w:rsidRDefault="00FB708D" w14:paraId="5574ACED" w14:textId="64F539CA">
      <w:pPr>
        <w:spacing w:after="200" w:line="276" w:lineRule="auto"/>
        <w:rPr>
          <w:rFonts w:ascii="Times New Roman" w:hAnsi="Times New Roman"/>
          <w:snapToGrid w:val="0"/>
        </w:rPr>
      </w:pPr>
      <w:r>
        <w:rPr>
          <w:rFonts w:ascii="Times New Roman" w:hAnsi="Times New Roman"/>
          <w:snapToGrid w:val="0"/>
        </w:rPr>
        <w:br w:type="page"/>
      </w:r>
    </w:p>
    <w:p w:rsidR="00790B43" w:rsidP="00312B0A" w:rsidRDefault="00B40764" w14:paraId="61CB8E3E" w14:textId="5A9BE492">
      <w:pPr>
        <w:pStyle w:val="L1-FlLSp12"/>
        <w:spacing w:line="276" w:lineRule="auto"/>
        <w:rPr>
          <w:rFonts w:ascii="Times New Roman" w:hAnsi="Times New Roman"/>
          <w:snapToGrid w:val="0"/>
        </w:rPr>
      </w:pPr>
      <w:r>
        <w:rPr>
          <w:rFonts w:ascii="Times New Roman" w:hAnsi="Times New Roman"/>
          <w:snapToGrid w:val="0"/>
        </w:rPr>
        <w:lastRenderedPageBreak/>
        <w:t>Table 8. Expected Sample and Reserve Sample Distribution</w:t>
      </w:r>
    </w:p>
    <w:tbl>
      <w:tblPr>
        <w:tblStyle w:val="TableWestatStandardFormat"/>
        <w:tblW w:w="9472" w:type="dxa"/>
        <w:tblLook w:val="04A0" w:firstRow="1" w:lastRow="0" w:firstColumn="1" w:lastColumn="0" w:noHBand="0" w:noVBand="1"/>
      </w:tblPr>
      <w:tblGrid>
        <w:gridCol w:w="999"/>
        <w:gridCol w:w="1786"/>
        <w:gridCol w:w="1170"/>
        <w:gridCol w:w="1350"/>
        <w:gridCol w:w="1530"/>
        <w:gridCol w:w="1350"/>
        <w:gridCol w:w="1287"/>
      </w:tblGrid>
      <w:tr w:rsidRPr="00770632" w:rsidR="00B40764" w:rsidTr="00B40764" w14:paraId="57AFA38C" w14:textId="29713001">
        <w:trPr>
          <w:cnfStyle w:val="100000000000" w:firstRow="1" w:lastRow="0" w:firstColumn="0" w:lastColumn="0" w:oddVBand="0" w:evenVBand="0" w:oddHBand="0" w:evenHBand="0" w:firstRowFirstColumn="0" w:firstRowLastColumn="0" w:lastRowFirstColumn="0" w:lastRowLastColumn="0"/>
          <w:trHeight w:val="630"/>
        </w:trPr>
        <w:tc>
          <w:tcPr>
            <w:tcW w:w="999" w:type="dxa"/>
            <w:hideMark/>
          </w:tcPr>
          <w:p w:rsidRPr="00770632" w:rsidR="00790B43" w:rsidP="007D2C7D" w:rsidRDefault="00790B43" w14:paraId="2901371F" w14:textId="77777777">
            <w:pPr>
              <w:spacing w:line="240" w:lineRule="auto"/>
              <w:jc w:val="right"/>
              <w:rPr>
                <w:rFonts w:ascii="Times New Roman" w:hAnsi="Times New Roman"/>
                <w:b/>
                <w:bCs/>
                <w:color w:val="000000"/>
                <w:sz w:val="22"/>
                <w:szCs w:val="22"/>
              </w:rPr>
            </w:pPr>
            <w:r w:rsidRPr="00770632">
              <w:rPr>
                <w:rFonts w:ascii="Times New Roman" w:hAnsi="Times New Roman"/>
                <w:b/>
                <w:bCs/>
                <w:color w:val="000000"/>
                <w:sz w:val="22"/>
                <w:szCs w:val="22"/>
              </w:rPr>
              <w:t>Stratum No.</w:t>
            </w:r>
          </w:p>
        </w:tc>
        <w:tc>
          <w:tcPr>
            <w:tcW w:w="1786" w:type="dxa"/>
            <w:hideMark/>
          </w:tcPr>
          <w:p w:rsidRPr="00770632" w:rsidR="00790B43" w:rsidP="00790B43" w:rsidRDefault="00790B43" w14:paraId="2EAC644C" w14:textId="4A067347">
            <w:pPr>
              <w:spacing w:line="240" w:lineRule="auto"/>
              <w:jc w:val="left"/>
              <w:rPr>
                <w:rFonts w:ascii="Times New Roman" w:hAnsi="Times New Roman"/>
                <w:b/>
                <w:bCs/>
                <w:color w:val="000000"/>
                <w:sz w:val="22"/>
                <w:szCs w:val="22"/>
              </w:rPr>
            </w:pPr>
            <w:r w:rsidRPr="00770632">
              <w:rPr>
                <w:rFonts w:ascii="Times New Roman" w:hAnsi="Times New Roman"/>
                <w:b/>
                <w:bCs/>
                <w:color w:val="000000"/>
                <w:sz w:val="22"/>
                <w:szCs w:val="22"/>
              </w:rPr>
              <w:t xml:space="preserve">Population </w:t>
            </w:r>
          </w:p>
        </w:tc>
        <w:tc>
          <w:tcPr>
            <w:tcW w:w="1170" w:type="dxa"/>
            <w:hideMark/>
          </w:tcPr>
          <w:p w:rsidRPr="00770632" w:rsidR="00790B43" w:rsidP="00790B43" w:rsidRDefault="00790B43" w14:paraId="26908EC1" w14:textId="4D2D55D2">
            <w:pPr>
              <w:spacing w:line="240" w:lineRule="auto"/>
              <w:jc w:val="left"/>
              <w:rPr>
                <w:rFonts w:ascii="Times New Roman" w:hAnsi="Times New Roman"/>
                <w:b/>
                <w:bCs/>
                <w:color w:val="000000"/>
                <w:sz w:val="22"/>
                <w:szCs w:val="22"/>
              </w:rPr>
            </w:pPr>
            <w:r w:rsidRPr="00770632">
              <w:rPr>
                <w:rFonts w:ascii="Times New Roman" w:hAnsi="Times New Roman"/>
                <w:b/>
                <w:bCs/>
                <w:color w:val="000000"/>
                <w:sz w:val="22"/>
                <w:szCs w:val="22"/>
              </w:rPr>
              <w:t xml:space="preserve">Number of Counties </w:t>
            </w:r>
          </w:p>
        </w:tc>
        <w:tc>
          <w:tcPr>
            <w:tcW w:w="1350" w:type="dxa"/>
            <w:hideMark/>
          </w:tcPr>
          <w:p w:rsidRPr="00770632" w:rsidR="00790B43" w:rsidP="00790B43" w:rsidRDefault="00790B43" w14:paraId="12C13F1C" w14:textId="77777777">
            <w:pPr>
              <w:spacing w:line="240" w:lineRule="auto"/>
              <w:jc w:val="left"/>
              <w:rPr>
                <w:rFonts w:ascii="Times New Roman" w:hAnsi="Times New Roman"/>
                <w:b/>
                <w:bCs/>
                <w:color w:val="000000"/>
                <w:sz w:val="22"/>
                <w:szCs w:val="22"/>
              </w:rPr>
            </w:pPr>
            <w:r>
              <w:rPr>
                <w:rFonts w:ascii="Times New Roman" w:hAnsi="Times New Roman"/>
                <w:b/>
                <w:bCs/>
                <w:color w:val="000000"/>
                <w:sz w:val="22"/>
                <w:szCs w:val="22"/>
              </w:rPr>
              <w:t xml:space="preserve">Expected </w:t>
            </w:r>
            <w:r w:rsidRPr="00770632">
              <w:rPr>
                <w:rFonts w:ascii="Times New Roman" w:hAnsi="Times New Roman"/>
                <w:b/>
                <w:bCs/>
                <w:color w:val="000000"/>
                <w:sz w:val="22"/>
                <w:szCs w:val="22"/>
              </w:rPr>
              <w:t>Number of Counties in Class 2</w:t>
            </w:r>
          </w:p>
        </w:tc>
        <w:tc>
          <w:tcPr>
            <w:tcW w:w="1530" w:type="dxa"/>
            <w:hideMark/>
          </w:tcPr>
          <w:p w:rsidRPr="00770632" w:rsidR="00790B43" w:rsidP="00790B43" w:rsidRDefault="00790B43" w14:paraId="1A9EC31B" w14:textId="77777777">
            <w:pPr>
              <w:spacing w:line="240" w:lineRule="auto"/>
              <w:jc w:val="left"/>
              <w:rPr>
                <w:rFonts w:ascii="Times New Roman" w:hAnsi="Times New Roman"/>
                <w:b/>
                <w:bCs/>
                <w:color w:val="000000"/>
                <w:sz w:val="22"/>
                <w:szCs w:val="22"/>
              </w:rPr>
            </w:pPr>
            <w:r>
              <w:rPr>
                <w:rFonts w:ascii="Times New Roman" w:hAnsi="Times New Roman"/>
                <w:b/>
                <w:bCs/>
                <w:color w:val="000000"/>
                <w:sz w:val="22"/>
                <w:szCs w:val="22"/>
              </w:rPr>
              <w:t xml:space="preserve">Expected </w:t>
            </w:r>
            <w:r w:rsidRPr="00770632">
              <w:rPr>
                <w:rFonts w:ascii="Times New Roman" w:hAnsi="Times New Roman"/>
                <w:b/>
                <w:bCs/>
                <w:color w:val="000000"/>
                <w:sz w:val="22"/>
                <w:szCs w:val="22"/>
              </w:rPr>
              <w:t>Percent of Class 2 Population</w:t>
            </w:r>
          </w:p>
        </w:tc>
        <w:tc>
          <w:tcPr>
            <w:tcW w:w="1350" w:type="dxa"/>
          </w:tcPr>
          <w:p w:rsidR="00790B43" w:rsidP="00B40764" w:rsidRDefault="00790B43" w14:paraId="403152C0" w14:textId="3F9565F6">
            <w:pPr>
              <w:spacing w:line="240" w:lineRule="auto"/>
              <w:rPr>
                <w:rFonts w:ascii="Times New Roman" w:hAnsi="Times New Roman"/>
                <w:b/>
                <w:bCs/>
                <w:color w:val="000000"/>
                <w:sz w:val="22"/>
                <w:szCs w:val="22"/>
              </w:rPr>
            </w:pPr>
            <w:r>
              <w:rPr>
                <w:rFonts w:ascii="Times New Roman" w:hAnsi="Times New Roman"/>
                <w:b/>
                <w:bCs/>
                <w:color w:val="000000"/>
                <w:sz w:val="22"/>
                <w:szCs w:val="22"/>
              </w:rPr>
              <w:t>Expected</w:t>
            </w:r>
            <w:r w:rsidR="00B40764">
              <w:rPr>
                <w:rFonts w:ascii="Times New Roman" w:hAnsi="Times New Roman"/>
                <w:b/>
                <w:bCs/>
                <w:color w:val="000000"/>
                <w:sz w:val="22"/>
                <w:szCs w:val="22"/>
              </w:rPr>
              <w:t xml:space="preserve"> Number of Sampled</w:t>
            </w:r>
            <w:r>
              <w:rPr>
                <w:rFonts w:ascii="Times New Roman" w:hAnsi="Times New Roman"/>
                <w:b/>
                <w:bCs/>
                <w:color w:val="000000"/>
                <w:sz w:val="22"/>
                <w:szCs w:val="22"/>
              </w:rPr>
              <w:t xml:space="preserve"> </w:t>
            </w:r>
            <w:r w:rsidR="00B40764">
              <w:rPr>
                <w:rFonts w:ascii="Times New Roman" w:hAnsi="Times New Roman"/>
                <w:b/>
                <w:bCs/>
                <w:color w:val="000000"/>
                <w:sz w:val="22"/>
                <w:szCs w:val="22"/>
              </w:rPr>
              <w:t>C</w:t>
            </w:r>
            <w:r>
              <w:rPr>
                <w:rFonts w:ascii="Times New Roman" w:hAnsi="Times New Roman"/>
                <w:b/>
                <w:bCs/>
                <w:color w:val="000000"/>
                <w:sz w:val="22"/>
                <w:szCs w:val="22"/>
              </w:rPr>
              <w:t xml:space="preserve">ounties </w:t>
            </w:r>
          </w:p>
        </w:tc>
        <w:tc>
          <w:tcPr>
            <w:tcW w:w="1287" w:type="dxa"/>
          </w:tcPr>
          <w:p w:rsidR="00790B43" w:rsidP="00790B43" w:rsidRDefault="00B40764" w14:paraId="764B4C4F" w14:textId="09A3C69A">
            <w:pPr>
              <w:spacing w:line="240" w:lineRule="auto"/>
              <w:jc w:val="left"/>
              <w:rPr>
                <w:rFonts w:ascii="Times New Roman" w:hAnsi="Times New Roman"/>
                <w:b/>
                <w:bCs/>
                <w:color w:val="000000"/>
                <w:sz w:val="22"/>
                <w:szCs w:val="22"/>
              </w:rPr>
            </w:pPr>
            <w:r>
              <w:rPr>
                <w:rFonts w:ascii="Times New Roman" w:hAnsi="Times New Roman"/>
                <w:b/>
                <w:bCs/>
                <w:color w:val="000000"/>
                <w:sz w:val="22"/>
                <w:szCs w:val="22"/>
              </w:rPr>
              <w:t>Expected Number of Reserve Counties</w:t>
            </w:r>
          </w:p>
        </w:tc>
      </w:tr>
      <w:tr w:rsidRPr="00770632" w:rsidR="00222065" w:rsidTr="00270941" w14:paraId="3F59E0B7" w14:textId="41BB6A83">
        <w:trPr>
          <w:trHeight w:val="216"/>
        </w:trPr>
        <w:tc>
          <w:tcPr>
            <w:tcW w:w="999" w:type="dxa"/>
            <w:noWrap/>
            <w:hideMark/>
          </w:tcPr>
          <w:p w:rsidRPr="00770632" w:rsidR="00222065" w:rsidP="00222065" w:rsidRDefault="00222065" w14:paraId="0822094E" w14:textId="61913DD8">
            <w:pPr>
              <w:spacing w:line="240" w:lineRule="auto"/>
              <w:jc w:val="right"/>
              <w:rPr>
                <w:rFonts w:ascii="Times New Roman" w:hAnsi="Times New Roman"/>
                <w:color w:val="000000"/>
                <w:sz w:val="22"/>
                <w:szCs w:val="22"/>
              </w:rPr>
            </w:pPr>
            <w:r w:rsidRPr="00770632">
              <w:rPr>
                <w:rFonts w:ascii="Times New Roman" w:hAnsi="Times New Roman"/>
                <w:color w:val="000000"/>
                <w:sz w:val="22"/>
                <w:szCs w:val="22"/>
              </w:rPr>
              <w:t>1</w:t>
            </w:r>
          </w:p>
        </w:tc>
        <w:tc>
          <w:tcPr>
            <w:tcW w:w="1786" w:type="dxa"/>
            <w:noWrap/>
            <w:hideMark/>
          </w:tcPr>
          <w:p w:rsidRPr="00770632" w:rsidR="00222065" w:rsidP="00222065" w:rsidRDefault="00222065" w14:paraId="1CCBA7D7" w14:textId="0E2C08B8">
            <w:pPr>
              <w:spacing w:line="240" w:lineRule="auto"/>
              <w:rPr>
                <w:rFonts w:ascii="Times New Roman" w:hAnsi="Times New Roman"/>
                <w:color w:val="000000"/>
                <w:sz w:val="22"/>
                <w:szCs w:val="22"/>
              </w:rPr>
            </w:pPr>
            <w:r w:rsidRPr="00770632">
              <w:rPr>
                <w:rFonts w:ascii="Times New Roman" w:hAnsi="Times New Roman"/>
                <w:color w:val="000000"/>
                <w:sz w:val="22"/>
                <w:szCs w:val="22"/>
              </w:rPr>
              <w:t>500,000-</w:t>
            </w:r>
            <w:r>
              <w:rPr>
                <w:rFonts w:ascii="Times New Roman" w:hAnsi="Times New Roman"/>
                <w:color w:val="000000"/>
                <w:sz w:val="22"/>
                <w:szCs w:val="22"/>
              </w:rPr>
              <w:t xml:space="preserve"> </w:t>
            </w:r>
            <w:r w:rsidRPr="00770632">
              <w:rPr>
                <w:rFonts w:ascii="Times New Roman" w:hAnsi="Times New Roman"/>
                <w:color w:val="000000"/>
                <w:sz w:val="22"/>
                <w:szCs w:val="22"/>
              </w:rPr>
              <w:t>999,999</w:t>
            </w:r>
          </w:p>
        </w:tc>
        <w:tc>
          <w:tcPr>
            <w:tcW w:w="1170" w:type="dxa"/>
            <w:noWrap/>
            <w:vAlign w:val="bottom"/>
            <w:hideMark/>
          </w:tcPr>
          <w:p w:rsidRPr="00770632" w:rsidR="00222065" w:rsidP="00222065" w:rsidRDefault="00222065" w14:paraId="4BF2A6EA" w14:textId="1116C93E">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102</w:t>
            </w:r>
          </w:p>
        </w:tc>
        <w:tc>
          <w:tcPr>
            <w:tcW w:w="1350" w:type="dxa"/>
            <w:noWrap/>
            <w:vAlign w:val="bottom"/>
            <w:hideMark/>
          </w:tcPr>
          <w:p w:rsidRPr="00770632" w:rsidR="00222065" w:rsidP="00222065" w:rsidRDefault="00222065" w14:paraId="36FA479C" w14:textId="6D5CA242">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26*</w:t>
            </w:r>
          </w:p>
        </w:tc>
        <w:tc>
          <w:tcPr>
            <w:tcW w:w="1530" w:type="dxa"/>
            <w:noWrap/>
            <w:vAlign w:val="bottom"/>
            <w:hideMark/>
          </w:tcPr>
          <w:p w:rsidRPr="00770632" w:rsidR="00222065" w:rsidP="00222065" w:rsidRDefault="00222065" w14:paraId="3A99F507" w14:textId="780D56F8">
            <w:pPr>
              <w:spacing w:line="240" w:lineRule="auto"/>
              <w:jc w:val="right"/>
              <w:rPr>
                <w:rFonts w:ascii="Times New Roman" w:hAnsi="Times New Roman"/>
                <w:color w:val="000000"/>
                <w:sz w:val="22"/>
                <w:szCs w:val="22"/>
              </w:rPr>
            </w:pPr>
            <w:r>
              <w:rPr>
                <w:rFonts w:ascii="Times New Roman" w:hAnsi="Times New Roman"/>
                <w:color w:val="000000"/>
                <w:sz w:val="22"/>
                <w:szCs w:val="22"/>
              </w:rPr>
              <w:t>25.6%</w:t>
            </w:r>
          </w:p>
        </w:tc>
        <w:tc>
          <w:tcPr>
            <w:tcW w:w="1350" w:type="dxa"/>
            <w:vAlign w:val="bottom"/>
          </w:tcPr>
          <w:p w:rsidRPr="00E50DDC" w:rsidR="00222065" w:rsidP="00222065" w:rsidRDefault="00222065" w14:paraId="27307FBC" w14:textId="31FA2F26">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rPr>
              <w:t>22*</w:t>
            </w:r>
          </w:p>
        </w:tc>
        <w:tc>
          <w:tcPr>
            <w:tcW w:w="1287" w:type="dxa"/>
            <w:vAlign w:val="bottom"/>
          </w:tcPr>
          <w:p w:rsidRPr="00E50DDC" w:rsidR="00222065" w:rsidP="00222065" w:rsidRDefault="00222065" w14:paraId="4DF1E826" w14:textId="350A8D16">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rPr>
              <w:t>8</w:t>
            </w:r>
          </w:p>
        </w:tc>
      </w:tr>
      <w:tr w:rsidRPr="00770632" w:rsidR="00222065" w:rsidTr="00270941" w14:paraId="6B5332CF" w14:textId="5463DB5C">
        <w:trPr>
          <w:trHeight w:val="216"/>
        </w:trPr>
        <w:tc>
          <w:tcPr>
            <w:tcW w:w="999" w:type="dxa"/>
            <w:noWrap/>
            <w:hideMark/>
          </w:tcPr>
          <w:p w:rsidRPr="00770632" w:rsidR="00222065" w:rsidP="00222065" w:rsidRDefault="00222065" w14:paraId="760E97C8" w14:textId="793A33EB">
            <w:pPr>
              <w:spacing w:line="240" w:lineRule="auto"/>
              <w:jc w:val="right"/>
              <w:rPr>
                <w:rFonts w:ascii="Times New Roman" w:hAnsi="Times New Roman"/>
                <w:color w:val="000000"/>
                <w:sz w:val="22"/>
                <w:szCs w:val="22"/>
              </w:rPr>
            </w:pPr>
            <w:r w:rsidRPr="00770632">
              <w:rPr>
                <w:rFonts w:ascii="Times New Roman" w:hAnsi="Times New Roman"/>
                <w:color w:val="000000"/>
                <w:sz w:val="22"/>
                <w:szCs w:val="22"/>
              </w:rPr>
              <w:t>2</w:t>
            </w:r>
          </w:p>
        </w:tc>
        <w:tc>
          <w:tcPr>
            <w:tcW w:w="1786" w:type="dxa"/>
            <w:noWrap/>
            <w:hideMark/>
          </w:tcPr>
          <w:p w:rsidRPr="00770632" w:rsidR="00222065" w:rsidP="00222065" w:rsidRDefault="00222065" w14:paraId="28E1C28D" w14:textId="53D7056E">
            <w:pPr>
              <w:spacing w:line="240" w:lineRule="auto"/>
              <w:rPr>
                <w:rFonts w:ascii="Times New Roman" w:hAnsi="Times New Roman"/>
                <w:color w:val="000000"/>
                <w:sz w:val="22"/>
                <w:szCs w:val="22"/>
              </w:rPr>
            </w:pPr>
            <w:r w:rsidRPr="00770632">
              <w:rPr>
                <w:rFonts w:ascii="Times New Roman" w:hAnsi="Times New Roman"/>
                <w:color w:val="000000"/>
                <w:sz w:val="22"/>
                <w:szCs w:val="22"/>
              </w:rPr>
              <w:t>100,000-499,999</w:t>
            </w:r>
          </w:p>
        </w:tc>
        <w:tc>
          <w:tcPr>
            <w:tcW w:w="1170" w:type="dxa"/>
            <w:noWrap/>
            <w:vAlign w:val="bottom"/>
            <w:hideMark/>
          </w:tcPr>
          <w:p w:rsidRPr="00770632" w:rsidR="00222065" w:rsidP="00222065" w:rsidRDefault="00222065" w14:paraId="77F16E77" w14:textId="1CC47A58">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395</w:t>
            </w:r>
          </w:p>
        </w:tc>
        <w:tc>
          <w:tcPr>
            <w:tcW w:w="1350" w:type="dxa"/>
            <w:noWrap/>
            <w:vAlign w:val="bottom"/>
            <w:hideMark/>
          </w:tcPr>
          <w:p w:rsidRPr="00770632" w:rsidR="00222065" w:rsidP="00222065" w:rsidRDefault="00222065" w14:paraId="0427C3DE" w14:textId="7A3EB206">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151</w:t>
            </w:r>
          </w:p>
        </w:tc>
        <w:tc>
          <w:tcPr>
            <w:tcW w:w="1530" w:type="dxa"/>
            <w:noWrap/>
            <w:vAlign w:val="bottom"/>
            <w:hideMark/>
          </w:tcPr>
          <w:p w:rsidRPr="00770632" w:rsidR="00222065" w:rsidP="00222065" w:rsidRDefault="00222065" w14:paraId="0491E036" w14:textId="126E4BA9">
            <w:pPr>
              <w:spacing w:line="240" w:lineRule="auto"/>
              <w:jc w:val="right"/>
              <w:rPr>
                <w:rFonts w:ascii="Times New Roman" w:hAnsi="Times New Roman"/>
                <w:color w:val="000000"/>
                <w:sz w:val="22"/>
                <w:szCs w:val="22"/>
              </w:rPr>
            </w:pPr>
            <w:r>
              <w:rPr>
                <w:rFonts w:ascii="Times New Roman" w:hAnsi="Times New Roman"/>
                <w:color w:val="000000"/>
                <w:sz w:val="22"/>
                <w:szCs w:val="22"/>
              </w:rPr>
              <w:t>43.6%</w:t>
            </w:r>
          </w:p>
        </w:tc>
        <w:tc>
          <w:tcPr>
            <w:tcW w:w="1350" w:type="dxa"/>
            <w:vAlign w:val="bottom"/>
          </w:tcPr>
          <w:p w:rsidRPr="00E50DDC" w:rsidR="00222065" w:rsidP="00222065" w:rsidRDefault="00222065" w14:paraId="5F3BE8DB" w14:textId="7A66D053">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rPr>
              <w:t>37</w:t>
            </w:r>
          </w:p>
        </w:tc>
        <w:tc>
          <w:tcPr>
            <w:tcW w:w="1287" w:type="dxa"/>
            <w:vAlign w:val="bottom"/>
          </w:tcPr>
          <w:p w:rsidRPr="00E50DDC" w:rsidR="00222065" w:rsidP="00222065" w:rsidRDefault="00222065" w14:paraId="15E3454C" w14:textId="69F9EEFB">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rPr>
              <w:t>13</w:t>
            </w:r>
          </w:p>
        </w:tc>
      </w:tr>
      <w:tr w:rsidRPr="00770632" w:rsidR="00222065" w:rsidTr="00270941" w14:paraId="3AFA9EF6" w14:textId="4AE6252A">
        <w:trPr>
          <w:trHeight w:val="216"/>
        </w:trPr>
        <w:tc>
          <w:tcPr>
            <w:tcW w:w="999" w:type="dxa"/>
            <w:noWrap/>
            <w:hideMark/>
          </w:tcPr>
          <w:p w:rsidRPr="00770632" w:rsidR="00222065" w:rsidP="00222065" w:rsidRDefault="00222065" w14:paraId="71D11C11" w14:textId="4A90BC37">
            <w:pPr>
              <w:spacing w:line="240" w:lineRule="auto"/>
              <w:jc w:val="right"/>
              <w:rPr>
                <w:rFonts w:ascii="Times New Roman" w:hAnsi="Times New Roman"/>
                <w:color w:val="000000"/>
                <w:sz w:val="22"/>
                <w:szCs w:val="22"/>
              </w:rPr>
            </w:pPr>
            <w:r w:rsidRPr="00770632">
              <w:rPr>
                <w:rFonts w:ascii="Times New Roman" w:hAnsi="Times New Roman"/>
                <w:color w:val="000000"/>
                <w:sz w:val="22"/>
                <w:szCs w:val="22"/>
              </w:rPr>
              <w:t>3</w:t>
            </w:r>
          </w:p>
        </w:tc>
        <w:tc>
          <w:tcPr>
            <w:tcW w:w="1786" w:type="dxa"/>
            <w:noWrap/>
            <w:hideMark/>
          </w:tcPr>
          <w:p w:rsidRPr="00770632" w:rsidR="00222065" w:rsidP="00222065" w:rsidRDefault="00222065" w14:paraId="7E2EB587" w14:textId="3F390F3E">
            <w:pPr>
              <w:spacing w:line="240" w:lineRule="auto"/>
              <w:rPr>
                <w:rFonts w:ascii="Times New Roman" w:hAnsi="Times New Roman"/>
                <w:color w:val="000000"/>
                <w:sz w:val="22"/>
                <w:szCs w:val="22"/>
              </w:rPr>
            </w:pPr>
            <w:r w:rsidRPr="00770632">
              <w:rPr>
                <w:rFonts w:ascii="Times New Roman" w:hAnsi="Times New Roman"/>
                <w:color w:val="000000"/>
                <w:sz w:val="22"/>
                <w:szCs w:val="22"/>
              </w:rPr>
              <w:t>20,000-99,999</w:t>
            </w:r>
          </w:p>
        </w:tc>
        <w:tc>
          <w:tcPr>
            <w:tcW w:w="1170" w:type="dxa"/>
            <w:noWrap/>
            <w:vAlign w:val="bottom"/>
            <w:hideMark/>
          </w:tcPr>
          <w:p w:rsidRPr="00770632" w:rsidR="00222065" w:rsidP="00222065" w:rsidRDefault="00222065" w14:paraId="60F6F7E6" w14:textId="31ED2A7B">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1,087</w:t>
            </w:r>
          </w:p>
        </w:tc>
        <w:tc>
          <w:tcPr>
            <w:tcW w:w="1350" w:type="dxa"/>
            <w:noWrap/>
            <w:vAlign w:val="bottom"/>
            <w:hideMark/>
          </w:tcPr>
          <w:p w:rsidRPr="00770632" w:rsidR="00222065" w:rsidP="00222065" w:rsidRDefault="00222065" w14:paraId="7D911622" w14:textId="3BB9649A">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398</w:t>
            </w:r>
          </w:p>
        </w:tc>
        <w:tc>
          <w:tcPr>
            <w:tcW w:w="1530" w:type="dxa"/>
            <w:noWrap/>
            <w:vAlign w:val="bottom"/>
            <w:hideMark/>
          </w:tcPr>
          <w:p w:rsidRPr="00770632" w:rsidR="00222065" w:rsidP="00222065" w:rsidRDefault="00222065" w14:paraId="420AFF8D" w14:textId="2B1195F8">
            <w:pPr>
              <w:spacing w:line="240" w:lineRule="auto"/>
              <w:jc w:val="right"/>
              <w:rPr>
                <w:rFonts w:ascii="Times New Roman" w:hAnsi="Times New Roman"/>
                <w:color w:val="000000"/>
                <w:sz w:val="22"/>
                <w:szCs w:val="22"/>
              </w:rPr>
            </w:pPr>
            <w:r>
              <w:rPr>
                <w:rFonts w:ascii="Times New Roman" w:hAnsi="Times New Roman"/>
                <w:color w:val="000000"/>
                <w:sz w:val="22"/>
                <w:szCs w:val="22"/>
              </w:rPr>
              <w:t>23.8%</w:t>
            </w:r>
          </w:p>
        </w:tc>
        <w:tc>
          <w:tcPr>
            <w:tcW w:w="1350" w:type="dxa"/>
            <w:vAlign w:val="bottom"/>
          </w:tcPr>
          <w:p w:rsidRPr="00E50DDC" w:rsidR="00222065" w:rsidP="00222065" w:rsidRDefault="00222065" w14:paraId="5EAAB095" w14:textId="5ED37F8C">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rPr>
              <w:t>20</w:t>
            </w:r>
          </w:p>
        </w:tc>
        <w:tc>
          <w:tcPr>
            <w:tcW w:w="1287" w:type="dxa"/>
            <w:vAlign w:val="bottom"/>
          </w:tcPr>
          <w:p w:rsidRPr="00E50DDC" w:rsidR="00222065" w:rsidP="00222065" w:rsidRDefault="00222065" w14:paraId="7A2C8AB4" w14:textId="58A6BE13">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rPr>
              <w:t>7</w:t>
            </w:r>
          </w:p>
        </w:tc>
      </w:tr>
      <w:tr w:rsidRPr="00770632" w:rsidR="00222065" w:rsidTr="00270941" w14:paraId="32055989" w14:textId="19D2226A">
        <w:trPr>
          <w:trHeight w:val="216"/>
        </w:trPr>
        <w:tc>
          <w:tcPr>
            <w:tcW w:w="999" w:type="dxa"/>
            <w:noWrap/>
            <w:hideMark/>
          </w:tcPr>
          <w:p w:rsidRPr="00770632" w:rsidR="00222065" w:rsidP="00222065" w:rsidRDefault="00222065" w14:paraId="3BB11BEF" w14:textId="3BD61E8F">
            <w:pPr>
              <w:spacing w:line="240" w:lineRule="auto"/>
              <w:jc w:val="right"/>
              <w:rPr>
                <w:rFonts w:ascii="Times New Roman" w:hAnsi="Times New Roman"/>
                <w:color w:val="000000"/>
                <w:sz w:val="22"/>
                <w:szCs w:val="22"/>
              </w:rPr>
            </w:pPr>
            <w:r w:rsidRPr="00770632">
              <w:rPr>
                <w:rFonts w:ascii="Times New Roman" w:hAnsi="Times New Roman"/>
                <w:color w:val="000000"/>
                <w:sz w:val="22"/>
                <w:szCs w:val="22"/>
              </w:rPr>
              <w:t>4</w:t>
            </w:r>
          </w:p>
        </w:tc>
        <w:tc>
          <w:tcPr>
            <w:tcW w:w="1786" w:type="dxa"/>
            <w:noWrap/>
            <w:hideMark/>
          </w:tcPr>
          <w:p w:rsidRPr="00770632" w:rsidR="00222065" w:rsidP="00222065" w:rsidRDefault="00222065" w14:paraId="14896E21" w14:textId="7BD74DCC">
            <w:pPr>
              <w:spacing w:line="240" w:lineRule="auto"/>
              <w:rPr>
                <w:rFonts w:ascii="Times New Roman" w:hAnsi="Times New Roman"/>
                <w:color w:val="000000"/>
                <w:sz w:val="22"/>
                <w:szCs w:val="22"/>
              </w:rPr>
            </w:pPr>
            <w:r w:rsidRPr="00770632">
              <w:rPr>
                <w:rFonts w:ascii="Times New Roman" w:hAnsi="Times New Roman"/>
                <w:color w:val="000000"/>
                <w:sz w:val="22"/>
                <w:szCs w:val="22"/>
              </w:rPr>
              <w:t>5,000-19,999</w:t>
            </w:r>
          </w:p>
        </w:tc>
        <w:tc>
          <w:tcPr>
            <w:tcW w:w="1170" w:type="dxa"/>
            <w:noWrap/>
            <w:vAlign w:val="bottom"/>
            <w:hideMark/>
          </w:tcPr>
          <w:p w:rsidRPr="00770632" w:rsidR="00222065" w:rsidP="00222065" w:rsidRDefault="00222065" w14:paraId="77529458" w14:textId="12BCE1FD">
            <w:pPr>
              <w:spacing w:line="240" w:lineRule="auto"/>
              <w:jc w:val="right"/>
              <w:rPr>
                <w:rFonts w:ascii="Times New Roman" w:hAnsi="Times New Roman"/>
                <w:color w:val="000000"/>
                <w:sz w:val="22"/>
                <w:szCs w:val="22"/>
              </w:rPr>
            </w:pPr>
            <w:r w:rsidRPr="00E50DDC">
              <w:rPr>
                <w:rFonts w:ascii="Times New Roman" w:hAnsi="Times New Roman"/>
                <w:color w:val="000000"/>
                <w:sz w:val="22"/>
                <w:szCs w:val="22"/>
                <w:lang w:eastAsia="ko-KR"/>
              </w:rPr>
              <w:t>1,1</w:t>
            </w:r>
            <w:r>
              <w:rPr>
                <w:rFonts w:ascii="Times New Roman" w:hAnsi="Times New Roman"/>
                <w:color w:val="000000"/>
                <w:sz w:val="22"/>
                <w:szCs w:val="22"/>
                <w:lang w:eastAsia="ko-KR"/>
              </w:rPr>
              <w:t>35</w:t>
            </w:r>
          </w:p>
        </w:tc>
        <w:tc>
          <w:tcPr>
            <w:tcW w:w="1350" w:type="dxa"/>
            <w:noWrap/>
            <w:vAlign w:val="bottom"/>
            <w:hideMark/>
          </w:tcPr>
          <w:p w:rsidRPr="00770632" w:rsidR="00222065" w:rsidP="00222065" w:rsidRDefault="00222065" w14:paraId="3611E230" w14:textId="06CBFE6D">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389</w:t>
            </w:r>
          </w:p>
        </w:tc>
        <w:tc>
          <w:tcPr>
            <w:tcW w:w="1530" w:type="dxa"/>
            <w:noWrap/>
            <w:vAlign w:val="bottom"/>
            <w:hideMark/>
          </w:tcPr>
          <w:p w:rsidRPr="00770632" w:rsidR="00222065" w:rsidP="00222065" w:rsidRDefault="00222065" w14:paraId="671F2CC4" w14:textId="366E9FE7">
            <w:pPr>
              <w:spacing w:line="240" w:lineRule="auto"/>
              <w:jc w:val="right"/>
              <w:rPr>
                <w:rFonts w:ascii="Times New Roman" w:hAnsi="Times New Roman"/>
                <w:color w:val="000000"/>
                <w:sz w:val="22"/>
                <w:szCs w:val="22"/>
              </w:rPr>
            </w:pPr>
            <w:r>
              <w:rPr>
                <w:rFonts w:ascii="Times New Roman" w:hAnsi="Times New Roman"/>
                <w:color w:val="000000"/>
                <w:sz w:val="22"/>
                <w:szCs w:val="22"/>
              </w:rPr>
              <w:t>6.6%</w:t>
            </w:r>
          </w:p>
        </w:tc>
        <w:tc>
          <w:tcPr>
            <w:tcW w:w="1350" w:type="dxa"/>
            <w:vAlign w:val="bottom"/>
          </w:tcPr>
          <w:p w:rsidRPr="00E50DDC" w:rsidR="00222065" w:rsidP="00222065" w:rsidRDefault="00222065" w14:paraId="5892B9A4" w14:textId="0FDCFB53">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rPr>
              <w:t>5</w:t>
            </w:r>
          </w:p>
        </w:tc>
        <w:tc>
          <w:tcPr>
            <w:tcW w:w="1287" w:type="dxa"/>
            <w:vAlign w:val="bottom"/>
          </w:tcPr>
          <w:p w:rsidRPr="00E50DDC" w:rsidR="00222065" w:rsidP="00222065" w:rsidRDefault="00222065" w14:paraId="2D7EFC46" w14:textId="0EEC6948">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rPr>
              <w:t>2</w:t>
            </w:r>
          </w:p>
        </w:tc>
      </w:tr>
      <w:tr w:rsidRPr="00770632" w:rsidR="00222065" w:rsidTr="00270941" w14:paraId="409EB18A" w14:textId="7BA0D302">
        <w:trPr>
          <w:trHeight w:val="216"/>
        </w:trPr>
        <w:tc>
          <w:tcPr>
            <w:tcW w:w="999" w:type="dxa"/>
            <w:noWrap/>
            <w:hideMark/>
          </w:tcPr>
          <w:p w:rsidRPr="00770632" w:rsidR="00222065" w:rsidP="00222065" w:rsidRDefault="00222065" w14:paraId="124899B0" w14:textId="091F5E5A">
            <w:pPr>
              <w:spacing w:line="240" w:lineRule="auto"/>
              <w:jc w:val="right"/>
              <w:rPr>
                <w:rFonts w:ascii="Times New Roman" w:hAnsi="Times New Roman"/>
                <w:color w:val="000000"/>
                <w:sz w:val="22"/>
                <w:szCs w:val="22"/>
              </w:rPr>
            </w:pPr>
            <w:r w:rsidRPr="00770632">
              <w:rPr>
                <w:rFonts w:ascii="Times New Roman" w:hAnsi="Times New Roman"/>
                <w:color w:val="000000"/>
                <w:sz w:val="22"/>
                <w:szCs w:val="22"/>
              </w:rPr>
              <w:t>5</w:t>
            </w:r>
          </w:p>
        </w:tc>
        <w:tc>
          <w:tcPr>
            <w:tcW w:w="1786" w:type="dxa"/>
            <w:noWrap/>
            <w:hideMark/>
          </w:tcPr>
          <w:p w:rsidRPr="00770632" w:rsidR="00222065" w:rsidP="00222065" w:rsidRDefault="00222065" w14:paraId="063CC244" w14:textId="4C10D865">
            <w:pPr>
              <w:spacing w:line="240" w:lineRule="auto"/>
              <w:rPr>
                <w:rFonts w:ascii="Times New Roman" w:hAnsi="Times New Roman"/>
                <w:color w:val="000000"/>
                <w:sz w:val="22"/>
                <w:szCs w:val="22"/>
              </w:rPr>
            </w:pPr>
            <w:r>
              <w:rPr>
                <w:rFonts w:ascii="Times New Roman" w:hAnsi="Times New Roman"/>
                <w:color w:val="000000"/>
                <w:sz w:val="22"/>
                <w:szCs w:val="22"/>
              </w:rPr>
              <w:t>&lt;5,000</w:t>
            </w:r>
          </w:p>
        </w:tc>
        <w:tc>
          <w:tcPr>
            <w:tcW w:w="1170" w:type="dxa"/>
            <w:noWrap/>
            <w:vAlign w:val="bottom"/>
            <w:hideMark/>
          </w:tcPr>
          <w:p w:rsidRPr="00770632" w:rsidR="00222065" w:rsidP="00222065" w:rsidRDefault="00222065" w14:paraId="63F56F8F" w14:textId="6E314262">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423</w:t>
            </w:r>
          </w:p>
        </w:tc>
        <w:tc>
          <w:tcPr>
            <w:tcW w:w="1350" w:type="dxa"/>
            <w:noWrap/>
            <w:vAlign w:val="bottom"/>
            <w:hideMark/>
          </w:tcPr>
          <w:p w:rsidRPr="00770632" w:rsidR="00222065" w:rsidP="00222065" w:rsidRDefault="00222065" w14:paraId="59C5BE61" w14:textId="2F75E2C6">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117</w:t>
            </w:r>
          </w:p>
        </w:tc>
        <w:tc>
          <w:tcPr>
            <w:tcW w:w="1530" w:type="dxa"/>
            <w:noWrap/>
            <w:vAlign w:val="bottom"/>
            <w:hideMark/>
          </w:tcPr>
          <w:p w:rsidRPr="00770632" w:rsidR="00222065" w:rsidP="00222065" w:rsidRDefault="00222065" w14:paraId="12256BA1" w14:textId="3380D1B4">
            <w:pPr>
              <w:spacing w:line="240" w:lineRule="auto"/>
              <w:jc w:val="right"/>
              <w:rPr>
                <w:rFonts w:ascii="Times New Roman" w:hAnsi="Times New Roman"/>
                <w:color w:val="000000"/>
                <w:sz w:val="22"/>
                <w:szCs w:val="22"/>
              </w:rPr>
            </w:pPr>
            <w:r>
              <w:rPr>
                <w:rFonts w:ascii="Times New Roman" w:hAnsi="Times New Roman"/>
                <w:color w:val="000000"/>
                <w:sz w:val="22"/>
                <w:szCs w:val="22"/>
              </w:rPr>
              <w:t>0.4%</w:t>
            </w:r>
          </w:p>
        </w:tc>
        <w:tc>
          <w:tcPr>
            <w:tcW w:w="1350" w:type="dxa"/>
            <w:vAlign w:val="bottom"/>
          </w:tcPr>
          <w:p w:rsidRPr="00E50DDC" w:rsidR="00222065" w:rsidP="00222065" w:rsidRDefault="00222065" w14:paraId="6EFB82E1" w14:textId="5ABAEFD4">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rPr>
              <w:t>0</w:t>
            </w:r>
          </w:p>
        </w:tc>
        <w:tc>
          <w:tcPr>
            <w:tcW w:w="1287" w:type="dxa"/>
            <w:vAlign w:val="bottom"/>
          </w:tcPr>
          <w:p w:rsidRPr="00E50DDC" w:rsidR="00222065" w:rsidP="00222065" w:rsidRDefault="00222065" w14:paraId="63CBDBCD" w14:textId="2D6289F4">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rPr>
              <w:t>0</w:t>
            </w:r>
          </w:p>
        </w:tc>
      </w:tr>
      <w:tr w:rsidRPr="00770632" w:rsidR="00222065" w:rsidTr="00270941" w14:paraId="1883EF6F" w14:textId="1EBC2CDA">
        <w:trPr>
          <w:trHeight w:val="216"/>
        </w:trPr>
        <w:tc>
          <w:tcPr>
            <w:tcW w:w="999" w:type="dxa"/>
            <w:noWrap/>
            <w:hideMark/>
          </w:tcPr>
          <w:p w:rsidRPr="00770632" w:rsidR="00222065" w:rsidP="00222065" w:rsidRDefault="00222065" w14:paraId="230DE1DD" w14:textId="77777777">
            <w:pPr>
              <w:spacing w:line="240" w:lineRule="auto"/>
              <w:jc w:val="right"/>
              <w:rPr>
                <w:rFonts w:ascii="Times New Roman" w:hAnsi="Times New Roman"/>
                <w:color w:val="000000"/>
                <w:sz w:val="22"/>
                <w:szCs w:val="22"/>
              </w:rPr>
            </w:pPr>
          </w:p>
        </w:tc>
        <w:tc>
          <w:tcPr>
            <w:tcW w:w="1786" w:type="dxa"/>
            <w:noWrap/>
            <w:hideMark/>
          </w:tcPr>
          <w:p w:rsidRPr="00770632" w:rsidR="00222065" w:rsidP="00222065" w:rsidRDefault="00222065" w14:paraId="669E8FE2" w14:textId="65AB48E5">
            <w:pPr>
              <w:spacing w:line="240" w:lineRule="auto"/>
              <w:rPr>
                <w:rFonts w:ascii="Times New Roman" w:hAnsi="Times New Roman"/>
                <w:color w:val="000000"/>
                <w:sz w:val="22"/>
                <w:szCs w:val="22"/>
              </w:rPr>
            </w:pPr>
            <w:r w:rsidRPr="00770632">
              <w:rPr>
                <w:rFonts w:ascii="Times New Roman" w:hAnsi="Times New Roman"/>
                <w:color w:val="000000"/>
                <w:sz w:val="22"/>
                <w:szCs w:val="22"/>
              </w:rPr>
              <w:t>Total</w:t>
            </w:r>
          </w:p>
        </w:tc>
        <w:tc>
          <w:tcPr>
            <w:tcW w:w="1170" w:type="dxa"/>
            <w:noWrap/>
            <w:vAlign w:val="bottom"/>
            <w:hideMark/>
          </w:tcPr>
          <w:p w:rsidRPr="00770632" w:rsidR="00222065" w:rsidP="00222065" w:rsidRDefault="00222065" w14:paraId="6C02BE92" w14:textId="7DDC8D0E">
            <w:pPr>
              <w:spacing w:line="240" w:lineRule="auto"/>
              <w:jc w:val="right"/>
              <w:rPr>
                <w:rFonts w:ascii="Times New Roman" w:hAnsi="Times New Roman"/>
                <w:color w:val="000000"/>
                <w:sz w:val="22"/>
                <w:szCs w:val="22"/>
              </w:rPr>
            </w:pPr>
            <w:r w:rsidRPr="00E50DDC">
              <w:rPr>
                <w:rFonts w:ascii="Times New Roman" w:hAnsi="Times New Roman"/>
                <w:color w:val="000000"/>
                <w:sz w:val="22"/>
                <w:szCs w:val="22"/>
                <w:lang w:eastAsia="ko-KR"/>
              </w:rPr>
              <w:t>3,</w:t>
            </w:r>
            <w:r>
              <w:rPr>
                <w:rFonts w:ascii="Times New Roman" w:hAnsi="Times New Roman"/>
                <w:color w:val="000000"/>
                <w:sz w:val="22"/>
                <w:szCs w:val="22"/>
                <w:lang w:eastAsia="ko-KR"/>
              </w:rPr>
              <w:t>142</w:t>
            </w:r>
          </w:p>
        </w:tc>
        <w:tc>
          <w:tcPr>
            <w:tcW w:w="1350" w:type="dxa"/>
            <w:noWrap/>
            <w:vAlign w:val="bottom"/>
            <w:hideMark/>
          </w:tcPr>
          <w:p w:rsidRPr="00770632" w:rsidR="00222065" w:rsidP="00222065" w:rsidRDefault="00222065" w14:paraId="4055CF57" w14:textId="047CCA6E">
            <w:pPr>
              <w:spacing w:line="240" w:lineRule="auto"/>
              <w:jc w:val="right"/>
              <w:rPr>
                <w:rFonts w:ascii="Times New Roman" w:hAnsi="Times New Roman"/>
                <w:color w:val="000000"/>
                <w:sz w:val="22"/>
                <w:szCs w:val="22"/>
              </w:rPr>
            </w:pPr>
            <w:r w:rsidRPr="00E50DDC">
              <w:rPr>
                <w:rFonts w:ascii="Times New Roman" w:hAnsi="Times New Roman"/>
                <w:color w:val="000000"/>
                <w:sz w:val="22"/>
                <w:szCs w:val="22"/>
                <w:lang w:eastAsia="ko-KR"/>
              </w:rPr>
              <w:t>1,</w:t>
            </w:r>
            <w:r>
              <w:rPr>
                <w:rFonts w:ascii="Times New Roman" w:hAnsi="Times New Roman"/>
                <w:color w:val="000000"/>
                <w:sz w:val="22"/>
                <w:szCs w:val="22"/>
                <w:lang w:eastAsia="ko-KR"/>
              </w:rPr>
              <w:t>081</w:t>
            </w:r>
          </w:p>
        </w:tc>
        <w:tc>
          <w:tcPr>
            <w:tcW w:w="1530" w:type="dxa"/>
            <w:noWrap/>
            <w:vAlign w:val="bottom"/>
            <w:hideMark/>
          </w:tcPr>
          <w:p w:rsidRPr="00770632" w:rsidR="00222065" w:rsidP="00222065" w:rsidRDefault="00222065" w14:paraId="37001073" w14:textId="266F6BA1">
            <w:pPr>
              <w:spacing w:line="240" w:lineRule="auto"/>
              <w:jc w:val="right"/>
              <w:rPr>
                <w:rFonts w:ascii="Times New Roman" w:hAnsi="Times New Roman"/>
                <w:color w:val="000000"/>
                <w:sz w:val="22"/>
                <w:szCs w:val="22"/>
              </w:rPr>
            </w:pPr>
            <w:r>
              <w:rPr>
                <w:rFonts w:ascii="Times New Roman" w:hAnsi="Times New Roman"/>
                <w:color w:val="000000"/>
                <w:sz w:val="22"/>
                <w:szCs w:val="22"/>
                <w:lang w:eastAsia="ko-KR"/>
              </w:rPr>
              <w:t>100.0</w:t>
            </w:r>
            <w:r w:rsidRPr="00E50DDC">
              <w:rPr>
                <w:rFonts w:ascii="Times New Roman" w:hAnsi="Times New Roman"/>
                <w:color w:val="000000"/>
                <w:sz w:val="22"/>
                <w:szCs w:val="22"/>
                <w:lang w:eastAsia="ko-KR"/>
              </w:rPr>
              <w:t>%</w:t>
            </w:r>
          </w:p>
        </w:tc>
        <w:tc>
          <w:tcPr>
            <w:tcW w:w="1350" w:type="dxa"/>
            <w:vAlign w:val="bottom"/>
          </w:tcPr>
          <w:p w:rsidRPr="00E50DDC" w:rsidR="00222065" w:rsidP="00222065" w:rsidRDefault="00222065" w14:paraId="39454DA1" w14:textId="4C4B95E6">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rPr>
              <w:t>84</w:t>
            </w:r>
          </w:p>
        </w:tc>
        <w:tc>
          <w:tcPr>
            <w:tcW w:w="1287" w:type="dxa"/>
            <w:vAlign w:val="bottom"/>
          </w:tcPr>
          <w:p w:rsidRPr="00E50DDC" w:rsidR="00222065" w:rsidP="00222065" w:rsidRDefault="00222065" w14:paraId="341177D2" w14:textId="057839C9">
            <w:pPr>
              <w:spacing w:line="240" w:lineRule="auto"/>
              <w:jc w:val="right"/>
              <w:rPr>
                <w:rFonts w:ascii="Times New Roman" w:hAnsi="Times New Roman"/>
                <w:color w:val="000000"/>
                <w:sz w:val="22"/>
                <w:szCs w:val="22"/>
                <w:lang w:eastAsia="ko-KR"/>
              </w:rPr>
            </w:pPr>
            <w:r>
              <w:rPr>
                <w:rFonts w:ascii="Times New Roman" w:hAnsi="Times New Roman"/>
                <w:color w:val="000000"/>
                <w:sz w:val="22"/>
                <w:szCs w:val="22"/>
              </w:rPr>
              <w:t>30</w:t>
            </w:r>
          </w:p>
        </w:tc>
      </w:tr>
      <w:tr w:rsidRPr="00770632" w:rsidR="00222065" w:rsidTr="007D2C7D" w14:paraId="5DB3E510" w14:textId="77777777">
        <w:trPr>
          <w:trHeight w:val="445"/>
        </w:trPr>
        <w:tc>
          <w:tcPr>
            <w:tcW w:w="9472" w:type="dxa"/>
            <w:gridSpan w:val="7"/>
          </w:tcPr>
          <w:p w:rsidRPr="00770632" w:rsidR="00222065" w:rsidP="007D2C7D" w:rsidRDefault="00222065" w14:paraId="227E2DE8" w14:textId="2AFC5E62">
            <w:pPr>
              <w:spacing w:line="240" w:lineRule="auto"/>
              <w:rPr>
                <w:rFonts w:ascii="Times New Roman" w:hAnsi="Times New Roman"/>
                <w:bCs/>
                <w:color w:val="000000"/>
                <w:sz w:val="22"/>
                <w:szCs w:val="22"/>
              </w:rPr>
            </w:pPr>
            <w:r>
              <w:rPr>
                <w:rFonts w:ascii="Times New Roman" w:hAnsi="Times New Roman"/>
                <w:bCs/>
                <w:color w:val="000000"/>
                <w:sz w:val="22"/>
                <w:szCs w:val="22"/>
              </w:rPr>
              <w:t>*Does not include the 19 certainty counties (cannot be replaced).</w:t>
            </w:r>
          </w:p>
        </w:tc>
      </w:tr>
      <w:tr w:rsidRPr="00770632" w:rsidR="00EA1B82" w:rsidTr="007C00B4" w14:paraId="4AD3AB9B" w14:textId="1D2E77DA">
        <w:trPr>
          <w:trHeight w:val="445"/>
        </w:trPr>
        <w:tc>
          <w:tcPr>
            <w:tcW w:w="9472" w:type="dxa"/>
            <w:gridSpan w:val="7"/>
            <w:vAlign w:val="center"/>
            <w:hideMark/>
          </w:tcPr>
          <w:p w:rsidRPr="00770632" w:rsidR="00EA1B82" w:rsidP="00EA1B82" w:rsidRDefault="00EA1B82" w14:paraId="1AB8A164" w14:textId="7B567062">
            <w:pPr>
              <w:spacing w:line="240" w:lineRule="auto"/>
              <w:rPr>
                <w:rFonts w:ascii="Times New Roman" w:hAnsi="Times New Roman"/>
                <w:bCs/>
                <w:color w:val="000000"/>
                <w:sz w:val="22"/>
                <w:szCs w:val="22"/>
              </w:rPr>
            </w:pPr>
            <w:r w:rsidRPr="00313DB4">
              <w:rPr>
                <w:rFonts w:ascii="Times New Roman" w:hAnsi="Times New Roman"/>
                <w:color w:val="000000"/>
                <w:sz w:val="22"/>
                <w:szCs w:val="22"/>
                <w:lang w:eastAsia="ko-KR"/>
              </w:rPr>
              <w:t xml:space="preserve">Estimates of </w:t>
            </w:r>
            <w:r>
              <w:rPr>
                <w:rFonts w:ascii="Times New Roman" w:hAnsi="Times New Roman"/>
                <w:color w:val="000000"/>
                <w:sz w:val="22"/>
                <w:szCs w:val="22"/>
                <w:lang w:eastAsia="ko-KR"/>
              </w:rPr>
              <w:t xml:space="preserve">resident </w:t>
            </w:r>
            <w:r w:rsidRPr="00313DB4">
              <w:rPr>
                <w:rFonts w:ascii="Times New Roman" w:hAnsi="Times New Roman"/>
                <w:color w:val="000000"/>
                <w:sz w:val="22"/>
                <w:szCs w:val="22"/>
                <w:lang w:eastAsia="ko-KR"/>
              </w:rPr>
              <w:t xml:space="preserve">population age 18 and over taken from </w:t>
            </w:r>
            <w:r>
              <w:rPr>
                <w:rFonts w:ascii="Times New Roman" w:hAnsi="Times New Roman"/>
                <w:color w:val="000000"/>
                <w:sz w:val="22"/>
                <w:szCs w:val="22"/>
                <w:lang w:eastAsia="ko-KR"/>
              </w:rPr>
              <w:t xml:space="preserve">U.S. Census Bureau, Population Division. Table 1. </w:t>
            </w:r>
            <w:r w:rsidRPr="00820D6F">
              <w:rPr>
                <w:rFonts w:ascii="Times New Roman" w:hAnsi="Times New Roman"/>
                <w:color w:val="000000"/>
                <w:sz w:val="22"/>
                <w:szCs w:val="22"/>
                <w:lang w:eastAsia="ko-KR"/>
              </w:rPr>
              <w:t>Annual Estimates of the Resident Population for Selected Age Groups by Sex for the United States, States, Counties and Puerto Rico Commonwealth and Municipios: April 1, 2010 to July 1, 2018</w:t>
            </w:r>
          </w:p>
        </w:tc>
      </w:tr>
    </w:tbl>
    <w:p w:rsidR="00790B43" w:rsidP="00312B0A" w:rsidRDefault="00790B43" w14:paraId="68FCEBBE" w14:textId="30C29E36">
      <w:pPr>
        <w:pStyle w:val="L1-FlLSp12"/>
        <w:spacing w:line="276" w:lineRule="auto"/>
        <w:rPr>
          <w:rFonts w:ascii="Times New Roman" w:hAnsi="Times New Roman"/>
          <w:snapToGrid w:val="0"/>
        </w:rPr>
      </w:pPr>
    </w:p>
    <w:p w:rsidRPr="00790B43" w:rsidR="00B40764" w:rsidP="00312B0A" w:rsidRDefault="00B40764" w14:paraId="353C38A9" w14:textId="034D2FB9">
      <w:pPr>
        <w:pStyle w:val="L1-FlLSp12"/>
        <w:spacing w:line="276" w:lineRule="auto"/>
        <w:rPr>
          <w:rFonts w:ascii="Times New Roman" w:hAnsi="Times New Roman"/>
          <w:snapToGrid w:val="0"/>
        </w:rPr>
      </w:pPr>
      <w:r>
        <w:rPr>
          <w:rFonts w:ascii="Times New Roman" w:hAnsi="Times New Roman"/>
          <w:snapToGrid w:val="0"/>
        </w:rPr>
        <w:t xml:space="preserve">Changes to this expected </w:t>
      </w:r>
      <w:r w:rsidR="000B3CAF">
        <w:rPr>
          <w:rFonts w:ascii="Times New Roman" w:hAnsi="Times New Roman"/>
          <w:snapToGrid w:val="0"/>
        </w:rPr>
        <w:t xml:space="preserve">sample size, reserve sample size, and </w:t>
      </w:r>
      <w:r>
        <w:rPr>
          <w:rFonts w:ascii="Times New Roman" w:hAnsi="Times New Roman"/>
          <w:snapToGrid w:val="0"/>
        </w:rPr>
        <w:t xml:space="preserve">draw rate will be submitted as a material change in circumstance for OMB review once the </w:t>
      </w:r>
      <w:r w:rsidR="00BA516C">
        <w:rPr>
          <w:rFonts w:ascii="Times New Roman" w:hAnsi="Times New Roman"/>
          <w:snapToGrid w:val="0"/>
        </w:rPr>
        <w:t>Class</w:t>
      </w:r>
      <w:r>
        <w:rPr>
          <w:rFonts w:ascii="Times New Roman" w:hAnsi="Times New Roman"/>
          <w:snapToGrid w:val="0"/>
        </w:rPr>
        <w:t xml:space="preserve"> 1 response is completed.</w:t>
      </w:r>
    </w:p>
    <w:p w:rsidRPr="008F6829" w:rsidR="00161573" w:rsidP="00580A55" w:rsidRDefault="00161573" w14:paraId="4D0CF44A" w14:textId="77777777">
      <w:pPr>
        <w:pStyle w:val="L1-FlLSp12"/>
        <w:spacing w:line="276" w:lineRule="auto"/>
        <w:rPr>
          <w:rFonts w:ascii="Times New Roman" w:hAnsi="Times New Roman"/>
          <w:snapToGrid w:val="0"/>
        </w:rPr>
      </w:pPr>
    </w:p>
    <w:p w:rsidRPr="00F84FF2" w:rsidR="00975A86" w:rsidP="002A20ED" w:rsidRDefault="00975A86" w14:paraId="549ADF0B" w14:textId="77777777">
      <w:pPr>
        <w:pStyle w:val="Heading2"/>
        <w:tabs>
          <w:tab w:val="clear" w:pos="1152"/>
          <w:tab w:val="left" w:pos="360"/>
        </w:tabs>
        <w:spacing w:after="0" w:line="276" w:lineRule="auto"/>
        <w:ind w:left="360" w:hanging="360"/>
        <w:rPr>
          <w:rFonts w:ascii="Times New Roman" w:hAnsi="Times New Roman"/>
          <w:b w:val="0"/>
          <w:i/>
          <w:color w:val="auto"/>
          <w:sz w:val="24"/>
          <w:szCs w:val="24"/>
        </w:rPr>
      </w:pPr>
      <w:r w:rsidRPr="00F84FF2">
        <w:rPr>
          <w:rFonts w:ascii="Times New Roman" w:hAnsi="Times New Roman"/>
          <w:b w:val="0"/>
          <w:i/>
          <w:color w:val="auto"/>
          <w:sz w:val="24"/>
          <w:szCs w:val="24"/>
        </w:rPr>
        <w:t>Weighting, Estimation and Variance Estimation</w:t>
      </w:r>
    </w:p>
    <w:p w:rsidR="00E401D2" w:rsidP="00580A55" w:rsidRDefault="00E401D2" w14:paraId="5DA4750D" w14:textId="77777777">
      <w:pPr>
        <w:pStyle w:val="L1-FlLSp12"/>
        <w:spacing w:line="276" w:lineRule="auto"/>
        <w:rPr>
          <w:rFonts w:ascii="Times New Roman" w:hAnsi="Times New Roman" w:eastAsiaTheme="minorEastAsia"/>
          <w:snapToGrid w:val="0"/>
          <w:lang w:eastAsia="ko-KR"/>
        </w:rPr>
      </w:pPr>
    </w:p>
    <w:p w:rsidRPr="008F6829" w:rsidR="00C85CE8" w:rsidP="00580A55" w:rsidRDefault="00C85CE8" w14:paraId="546B7B57" w14:textId="49D30676">
      <w:pPr>
        <w:pStyle w:val="L1-FlLSp12"/>
        <w:spacing w:line="276" w:lineRule="auto"/>
        <w:rPr>
          <w:rFonts w:ascii="Times New Roman" w:hAnsi="Times New Roman"/>
          <w:snapToGrid w:val="0"/>
        </w:rPr>
      </w:pPr>
      <w:r w:rsidRPr="008F6829">
        <w:rPr>
          <w:rFonts w:ascii="Times New Roman" w:hAnsi="Times New Roman"/>
          <w:snapToGrid w:val="0"/>
        </w:rPr>
        <w:t xml:space="preserve">The data </w:t>
      </w:r>
      <w:r w:rsidR="0023245B">
        <w:rPr>
          <w:rFonts w:hint="eastAsia" w:ascii="Times New Roman" w:hAnsi="Times New Roman" w:eastAsiaTheme="minorEastAsia"/>
          <w:snapToGrid w:val="0"/>
          <w:lang w:eastAsia="ko-KR"/>
        </w:rPr>
        <w:t>collected</w:t>
      </w:r>
      <w:r w:rsidRPr="008F6829" w:rsidR="0023245B">
        <w:rPr>
          <w:rFonts w:ascii="Times New Roman" w:hAnsi="Times New Roman"/>
          <w:snapToGrid w:val="0"/>
        </w:rPr>
        <w:t xml:space="preserve"> </w:t>
      </w:r>
      <w:r w:rsidRPr="008F6829">
        <w:rPr>
          <w:rFonts w:ascii="Times New Roman" w:hAnsi="Times New Roman"/>
          <w:snapToGrid w:val="0"/>
        </w:rPr>
        <w:t>for estimation purposes will be obtained from a combination of a census and a probability sample. Data weighting, acknowledging and reflecting the probability sampling, will be required in order to enable unbiased estimation. The data weighting proposed will consist of calculating base weights, nonresponse adjustment factors, and post</w:t>
      </w:r>
      <w:r w:rsidR="00AC1DD6">
        <w:rPr>
          <w:rFonts w:ascii="Times New Roman" w:hAnsi="Times New Roman"/>
          <w:snapToGrid w:val="0"/>
        </w:rPr>
        <w:t>-</w:t>
      </w:r>
      <w:r w:rsidRPr="008F6829">
        <w:rPr>
          <w:rFonts w:ascii="Times New Roman" w:hAnsi="Times New Roman"/>
          <w:snapToGrid w:val="0"/>
        </w:rPr>
        <w:t xml:space="preserve">stratification factors. Base weights will be calculated as the inverse of the overall probability of selection, for all sampled cases, reflecting any variability in the probabilities of selection across all stages. Nonresponse adjustment factors will be calculated reflecting </w:t>
      </w:r>
      <w:r w:rsidR="003F6792">
        <w:rPr>
          <w:rFonts w:ascii="Times New Roman" w:hAnsi="Times New Roman"/>
          <w:snapToGrid w:val="0"/>
        </w:rPr>
        <w:t>county</w:t>
      </w:r>
      <w:r w:rsidR="003541B0">
        <w:rPr>
          <w:rFonts w:ascii="Times New Roman" w:hAnsi="Times New Roman"/>
          <w:snapToGrid w:val="0"/>
        </w:rPr>
        <w:t xml:space="preserve"> </w:t>
      </w:r>
      <w:r w:rsidRPr="008F6829">
        <w:rPr>
          <w:rFonts w:ascii="Times New Roman" w:hAnsi="Times New Roman"/>
          <w:snapToGrid w:val="0"/>
        </w:rPr>
        <w:t xml:space="preserve">nonresponse, as the ratio of the sum of base weights for all </w:t>
      </w:r>
      <w:r w:rsidR="003F6792">
        <w:rPr>
          <w:rFonts w:ascii="Times New Roman" w:hAnsi="Times New Roman"/>
          <w:snapToGrid w:val="0"/>
        </w:rPr>
        <w:t>counties</w:t>
      </w:r>
      <w:r w:rsidRPr="008F6829">
        <w:rPr>
          <w:rFonts w:ascii="Times New Roman" w:hAnsi="Times New Roman"/>
          <w:snapToGrid w:val="0"/>
        </w:rPr>
        <w:t xml:space="preserve"> (i.e., at a given stage) to the sum of base weights for all responding </w:t>
      </w:r>
      <w:r w:rsidR="003F6792">
        <w:rPr>
          <w:rFonts w:ascii="Times New Roman" w:hAnsi="Times New Roman"/>
          <w:snapToGrid w:val="0"/>
        </w:rPr>
        <w:t>counties</w:t>
      </w:r>
      <w:r w:rsidRPr="008F6829">
        <w:rPr>
          <w:rFonts w:ascii="Times New Roman" w:hAnsi="Times New Roman"/>
          <w:snapToGrid w:val="0"/>
        </w:rPr>
        <w:t xml:space="preserve">. </w:t>
      </w:r>
    </w:p>
    <w:p w:rsidRPr="008F6829" w:rsidR="00C85CE8" w:rsidP="00580A55" w:rsidRDefault="00C85CE8" w14:paraId="3A67AA59" w14:textId="77777777">
      <w:pPr>
        <w:pStyle w:val="L1-FlLSp12"/>
        <w:spacing w:line="276" w:lineRule="auto"/>
        <w:rPr>
          <w:rFonts w:ascii="Times New Roman" w:hAnsi="Times New Roman"/>
          <w:snapToGrid w:val="0"/>
        </w:rPr>
      </w:pPr>
    </w:p>
    <w:p w:rsidR="00C85CE8" w:rsidP="00580A55" w:rsidRDefault="00C85CE8" w14:paraId="35FEE7D5" w14:textId="5965154B">
      <w:pPr>
        <w:pStyle w:val="L1-FlLSp12"/>
        <w:spacing w:line="276" w:lineRule="auto"/>
        <w:rPr>
          <w:rFonts w:ascii="Times New Roman" w:hAnsi="Times New Roman"/>
          <w:snapToGrid w:val="0"/>
        </w:rPr>
      </w:pPr>
      <w:r w:rsidRPr="008F6829">
        <w:rPr>
          <w:rFonts w:ascii="Times New Roman" w:hAnsi="Times New Roman"/>
          <w:snapToGrid w:val="0"/>
        </w:rPr>
        <w:t xml:space="preserve">The final resulting weight will be used for estimation. Variance estimation will be supported by providing strata and </w:t>
      </w:r>
      <w:r w:rsidR="003F6792">
        <w:rPr>
          <w:rFonts w:ascii="Times New Roman" w:hAnsi="Times New Roman"/>
          <w:snapToGrid w:val="0"/>
        </w:rPr>
        <w:t>PPS</w:t>
      </w:r>
      <w:r w:rsidRPr="008F6829">
        <w:rPr>
          <w:rFonts w:ascii="Times New Roman" w:hAnsi="Times New Roman"/>
          <w:snapToGrid w:val="0"/>
        </w:rPr>
        <w:t xml:space="preserve"> variables for SUDAAN, as well as a set of replicate weights. The jackknife or balanced repeated replication (JK2 or BRR) approach would be used since variance estimation for medians might be used.</w:t>
      </w:r>
    </w:p>
    <w:p w:rsidRPr="008F6829" w:rsidR="00B33225" w:rsidP="00580A55" w:rsidRDefault="00B33225" w14:paraId="0CAA1883" w14:textId="77777777">
      <w:pPr>
        <w:pStyle w:val="L1-FlLSp12"/>
        <w:spacing w:line="276" w:lineRule="auto"/>
        <w:rPr>
          <w:rFonts w:ascii="Times New Roman" w:hAnsi="Times New Roman"/>
          <w:snapToGrid w:val="0"/>
        </w:rPr>
      </w:pPr>
    </w:p>
    <w:p w:rsidRPr="00C73DCF" w:rsidR="00632969" w:rsidP="00580A55" w:rsidRDefault="00632969" w14:paraId="747B1A7A" w14:textId="4DA54FE1">
      <w:pPr>
        <w:spacing w:after="200" w:line="276" w:lineRule="auto"/>
        <w:rPr>
          <w:rFonts w:ascii="Times New Roman" w:hAnsi="Times New Roman"/>
          <w:b/>
        </w:rPr>
      </w:pPr>
      <w:r w:rsidRPr="00C73DCF">
        <w:rPr>
          <w:rFonts w:ascii="Times New Roman" w:hAnsi="Times New Roman"/>
          <w:b/>
        </w:rPr>
        <w:t>2.  Procedures for Collecting Information</w:t>
      </w:r>
      <w:r w:rsidR="00CC3415">
        <w:rPr>
          <w:rFonts w:ascii="Times New Roman" w:hAnsi="Times New Roman"/>
          <w:b/>
        </w:rPr>
        <w:t xml:space="preserve"> </w:t>
      </w:r>
    </w:p>
    <w:p w:rsidR="00632969" w:rsidP="00580A55" w:rsidRDefault="004B11D0" w14:paraId="530266B9" w14:textId="616C75D5">
      <w:pPr>
        <w:spacing w:after="200" w:line="276" w:lineRule="auto"/>
        <w:rPr>
          <w:rFonts w:ascii="Times New Roman" w:hAnsi="Times New Roman"/>
        </w:rPr>
      </w:pPr>
      <w:r>
        <w:rPr>
          <w:rFonts w:ascii="Times New Roman" w:hAnsi="Times New Roman"/>
        </w:rPr>
        <w:t>R</w:t>
      </w:r>
      <w:r w:rsidRPr="0004570D" w:rsidR="00632969">
        <w:rPr>
          <w:rFonts w:ascii="Times New Roman" w:hAnsi="Times New Roman"/>
        </w:rPr>
        <w:t xml:space="preserve">espondents </w:t>
      </w:r>
      <w:r>
        <w:rPr>
          <w:rFonts w:ascii="Times New Roman" w:hAnsi="Times New Roman"/>
        </w:rPr>
        <w:t>who</w:t>
      </w:r>
      <w:r w:rsidRPr="0004570D" w:rsidR="00632969">
        <w:rPr>
          <w:rFonts w:ascii="Times New Roman" w:hAnsi="Times New Roman"/>
        </w:rPr>
        <w:t xml:space="preserve"> are able to provide electronic data will be able to submit the files </w:t>
      </w:r>
      <w:r w:rsidR="00A306C4">
        <w:rPr>
          <w:rFonts w:ascii="Times New Roman" w:hAnsi="Times New Roman"/>
        </w:rPr>
        <w:t>in any format</w:t>
      </w:r>
      <w:r w:rsidRPr="0004570D" w:rsidR="00632969">
        <w:rPr>
          <w:rFonts w:ascii="Times New Roman" w:hAnsi="Times New Roman"/>
        </w:rPr>
        <w:t xml:space="preserve">. </w:t>
      </w:r>
      <w:r w:rsidR="003F6792">
        <w:rPr>
          <w:rFonts w:ascii="Times New Roman" w:hAnsi="Times New Roman"/>
        </w:rPr>
        <w:t>BJS will assist states or counties unable to provide data as an extract by offering to write a computer program to extract the data (e.g., enterprise custom report), or by offering to scrape data from a public website.</w:t>
      </w:r>
      <w:r w:rsidRPr="0004570D" w:rsidR="00632969">
        <w:rPr>
          <w:rFonts w:ascii="Times New Roman" w:hAnsi="Times New Roman"/>
        </w:rPr>
        <w:t xml:space="preserve"> A data extraction guide will be provided to all respondents so they </w:t>
      </w:r>
      <w:r w:rsidRPr="0004570D" w:rsidR="00632969">
        <w:rPr>
          <w:rFonts w:ascii="Times New Roman" w:hAnsi="Times New Roman"/>
        </w:rPr>
        <w:lastRenderedPageBreak/>
        <w:t>may determine what information will be necessary for those providing electronic data (see</w:t>
      </w:r>
      <w:r w:rsidR="00FF46AE">
        <w:rPr>
          <w:rFonts w:ascii="Times New Roman" w:hAnsi="Times New Roman"/>
        </w:rPr>
        <w:t xml:space="preserve"> </w:t>
      </w:r>
      <w:r w:rsidRPr="009120C2" w:rsidR="00632969">
        <w:rPr>
          <w:rFonts w:ascii="Times New Roman" w:hAnsi="Times New Roman"/>
          <w:b/>
        </w:rPr>
        <w:t xml:space="preserve">Attachment </w:t>
      </w:r>
      <w:r w:rsidR="00EA1B82">
        <w:rPr>
          <w:rFonts w:ascii="Times New Roman" w:hAnsi="Times New Roman"/>
          <w:b/>
        </w:rPr>
        <w:t>2</w:t>
      </w:r>
      <w:r w:rsidRPr="0004570D" w:rsidR="00632969">
        <w:rPr>
          <w:rFonts w:ascii="Times New Roman" w:hAnsi="Times New Roman"/>
        </w:rPr>
        <w:t>).</w:t>
      </w:r>
    </w:p>
    <w:p w:rsidRPr="00632969" w:rsidR="00632969" w:rsidP="00580A55" w:rsidRDefault="003F6792" w14:paraId="1E2BB91A" w14:textId="474D8EFC">
      <w:pPr>
        <w:spacing w:after="200" w:line="276" w:lineRule="auto"/>
        <w:rPr>
          <w:rFonts w:ascii="Times New Roman" w:hAnsi="Times New Roman"/>
        </w:rPr>
      </w:pPr>
      <w:r>
        <w:rPr>
          <w:rFonts w:ascii="Times New Roman" w:hAnsi="Times New Roman"/>
        </w:rPr>
        <w:t xml:space="preserve">During Stage </w:t>
      </w:r>
      <w:r w:rsidR="00BA5E7F">
        <w:rPr>
          <w:rFonts w:ascii="Times New Roman" w:hAnsi="Times New Roman"/>
        </w:rPr>
        <w:t>1</w:t>
      </w:r>
      <w:r>
        <w:rPr>
          <w:rFonts w:ascii="Times New Roman" w:hAnsi="Times New Roman"/>
        </w:rPr>
        <w:t xml:space="preserve">, </w:t>
      </w:r>
      <w:r w:rsidR="005872E3">
        <w:rPr>
          <w:rFonts w:ascii="Times New Roman" w:hAnsi="Times New Roman"/>
        </w:rPr>
        <w:t>BJS will mail</w:t>
      </w:r>
      <w:r w:rsidR="001B7B63">
        <w:rPr>
          <w:rFonts w:ascii="Times New Roman" w:hAnsi="Times New Roman"/>
        </w:rPr>
        <w:t xml:space="preserve"> or email</w:t>
      </w:r>
      <w:r w:rsidR="005872E3">
        <w:rPr>
          <w:rFonts w:ascii="Times New Roman" w:hAnsi="Times New Roman"/>
        </w:rPr>
        <w:t xml:space="preserve"> </w:t>
      </w:r>
      <w:r>
        <w:rPr>
          <w:rFonts w:ascii="Times New Roman" w:hAnsi="Times New Roman"/>
        </w:rPr>
        <w:t xml:space="preserve">the Office of the State Court Administrator for each state in </w:t>
      </w:r>
      <w:r w:rsidR="009120C2">
        <w:rPr>
          <w:rFonts w:ascii="Times New Roman" w:hAnsi="Times New Roman"/>
        </w:rPr>
        <w:t>class</w:t>
      </w:r>
      <w:r>
        <w:rPr>
          <w:rFonts w:ascii="Times New Roman" w:hAnsi="Times New Roman"/>
        </w:rPr>
        <w:t xml:space="preserve"> 1 </w:t>
      </w:r>
      <w:r w:rsidR="005872E3">
        <w:rPr>
          <w:rFonts w:ascii="Times New Roman" w:hAnsi="Times New Roman"/>
        </w:rPr>
        <w:t xml:space="preserve">a letter introducing the </w:t>
      </w:r>
      <w:r w:rsidRPr="00632969" w:rsidR="00632969">
        <w:rPr>
          <w:rFonts w:ascii="Times New Roman" w:hAnsi="Times New Roman"/>
        </w:rPr>
        <w:t>importance and purpose of the collection</w:t>
      </w:r>
      <w:r w:rsidR="005453BE">
        <w:rPr>
          <w:rFonts w:ascii="Times New Roman" w:hAnsi="Times New Roman"/>
        </w:rPr>
        <w:t>, the data collection agents</w:t>
      </w:r>
      <w:r>
        <w:rPr>
          <w:rFonts w:ascii="Times New Roman" w:hAnsi="Times New Roman"/>
        </w:rPr>
        <w:t xml:space="preserve"> (Urban Institute and National Center for State Courts (NCSC))</w:t>
      </w:r>
      <w:r w:rsidR="005453BE">
        <w:rPr>
          <w:rFonts w:ascii="Times New Roman" w:hAnsi="Times New Roman"/>
        </w:rPr>
        <w:t>,</w:t>
      </w:r>
      <w:r w:rsidRPr="00632969" w:rsidR="00632969">
        <w:rPr>
          <w:rFonts w:ascii="Times New Roman" w:hAnsi="Times New Roman"/>
        </w:rPr>
        <w:t xml:space="preserve"> and invite the court to participate in the collection</w:t>
      </w:r>
      <w:r w:rsidR="001B7B63">
        <w:rPr>
          <w:rFonts w:ascii="Times New Roman" w:hAnsi="Times New Roman"/>
        </w:rPr>
        <w:t xml:space="preserve"> (</w:t>
      </w:r>
      <w:r w:rsidR="001B7B63">
        <w:rPr>
          <w:rFonts w:ascii="Times New Roman" w:hAnsi="Times New Roman"/>
          <w:b/>
        </w:rPr>
        <w:t xml:space="preserve">Attachment </w:t>
      </w:r>
      <w:r w:rsidR="00EA1B82">
        <w:rPr>
          <w:rFonts w:ascii="Times New Roman" w:hAnsi="Times New Roman"/>
          <w:b/>
        </w:rPr>
        <w:t>5</w:t>
      </w:r>
      <w:r w:rsidR="001B7B63">
        <w:rPr>
          <w:rFonts w:ascii="Times New Roman" w:hAnsi="Times New Roman"/>
          <w:b/>
        </w:rPr>
        <w:t>)</w:t>
      </w:r>
      <w:r w:rsidRPr="00632969" w:rsidR="00632969">
        <w:rPr>
          <w:rFonts w:ascii="Times New Roman" w:hAnsi="Times New Roman"/>
        </w:rPr>
        <w:t>.</w:t>
      </w:r>
      <w:r>
        <w:rPr>
          <w:rFonts w:ascii="Times New Roman" w:hAnsi="Times New Roman"/>
        </w:rPr>
        <w:t xml:space="preserve"> The same letter will be sent to the County Court Administrator in the counties</w:t>
      </w:r>
      <w:r w:rsidR="00B53F87">
        <w:rPr>
          <w:rFonts w:ascii="Times New Roman" w:hAnsi="Times New Roman"/>
        </w:rPr>
        <w:t xml:space="preserve"> not covered by state data systems</w:t>
      </w:r>
      <w:r>
        <w:rPr>
          <w:rFonts w:ascii="Times New Roman" w:hAnsi="Times New Roman"/>
        </w:rPr>
        <w:t xml:space="preserve"> identified as having </w:t>
      </w:r>
      <w:r w:rsidRPr="00A2580F">
        <w:rPr>
          <w:rFonts w:ascii="Times New Roman" w:hAnsi="Times New Roman"/>
        </w:rPr>
        <w:t>1,000,000</w:t>
      </w:r>
      <w:r>
        <w:rPr>
          <w:rFonts w:ascii="Times New Roman" w:hAnsi="Times New Roman"/>
        </w:rPr>
        <w:t xml:space="preserve"> or more residents.</w:t>
      </w:r>
      <w:r>
        <w:rPr>
          <w:rStyle w:val="FootnoteReference"/>
          <w:rFonts w:ascii="Times New Roman" w:hAnsi="Times New Roman"/>
        </w:rPr>
        <w:footnoteReference w:id="6"/>
      </w:r>
    </w:p>
    <w:p w:rsidR="00632969" w:rsidP="00580A55" w:rsidRDefault="00632969" w14:paraId="0E68D185" w14:textId="0D692968">
      <w:pPr>
        <w:spacing w:after="200" w:line="276" w:lineRule="auto"/>
        <w:rPr>
          <w:rFonts w:ascii="Times New Roman" w:hAnsi="Times New Roman"/>
        </w:rPr>
      </w:pPr>
      <w:r w:rsidRPr="00632969">
        <w:rPr>
          <w:rFonts w:ascii="Times New Roman" w:hAnsi="Times New Roman"/>
        </w:rPr>
        <w:t xml:space="preserve">Once permission to collect data is obtained from the relevant contacts, </w:t>
      </w:r>
      <w:r w:rsidR="005872E3">
        <w:rPr>
          <w:rFonts w:ascii="Times New Roman" w:hAnsi="Times New Roman"/>
        </w:rPr>
        <w:t>Urban Institute and NCSC</w:t>
      </w:r>
      <w:r w:rsidRPr="00632969">
        <w:rPr>
          <w:rFonts w:ascii="Times New Roman" w:hAnsi="Times New Roman"/>
        </w:rPr>
        <w:t xml:space="preserve"> will work with staff who manage the courts’ information system to obtain data files</w:t>
      </w:r>
      <w:r w:rsidR="001B7B63">
        <w:rPr>
          <w:rFonts w:ascii="Times New Roman" w:hAnsi="Times New Roman"/>
        </w:rPr>
        <w:t xml:space="preserve"> </w:t>
      </w:r>
      <w:r w:rsidR="001B7B63">
        <w:rPr>
          <w:rFonts w:ascii="Times New Roman" w:hAnsi="Times New Roman"/>
          <w:b/>
        </w:rPr>
        <w:t xml:space="preserve">(Attachment </w:t>
      </w:r>
      <w:r w:rsidR="00EA1B82">
        <w:rPr>
          <w:rFonts w:ascii="Times New Roman" w:hAnsi="Times New Roman"/>
          <w:b/>
        </w:rPr>
        <w:t>6</w:t>
      </w:r>
      <w:r w:rsidR="001B7B63">
        <w:rPr>
          <w:rFonts w:ascii="Times New Roman" w:hAnsi="Times New Roman"/>
          <w:b/>
        </w:rPr>
        <w:t>)</w:t>
      </w:r>
      <w:r w:rsidRPr="00632969">
        <w:rPr>
          <w:rFonts w:ascii="Times New Roman" w:hAnsi="Times New Roman"/>
        </w:rPr>
        <w:t xml:space="preserve">. </w:t>
      </w:r>
      <w:r w:rsidR="005872E3">
        <w:rPr>
          <w:rFonts w:ascii="Times New Roman" w:hAnsi="Times New Roman"/>
        </w:rPr>
        <w:t>Urban Institute</w:t>
      </w:r>
      <w:r w:rsidRPr="00632969">
        <w:rPr>
          <w:rFonts w:ascii="Times New Roman" w:hAnsi="Times New Roman"/>
        </w:rPr>
        <w:t xml:space="preserve"> will process the files, working with the respondent to evaluate data quality and completeness.  </w:t>
      </w:r>
    </w:p>
    <w:p w:rsidR="00676A81" w:rsidP="00580A55" w:rsidRDefault="005872E3" w14:paraId="5C9FF5DC" w14:textId="321DF551">
      <w:pPr>
        <w:spacing w:after="200" w:line="276" w:lineRule="auto"/>
        <w:rPr>
          <w:rFonts w:ascii="Times New Roman" w:hAnsi="Times New Roman"/>
        </w:rPr>
      </w:pPr>
      <w:r>
        <w:rPr>
          <w:rFonts w:ascii="Times New Roman" w:hAnsi="Times New Roman"/>
        </w:rPr>
        <w:t>As Stage 1 pro</w:t>
      </w:r>
      <w:r w:rsidR="00676A81">
        <w:rPr>
          <w:rFonts w:ascii="Times New Roman" w:hAnsi="Times New Roman"/>
        </w:rPr>
        <w:t xml:space="preserve">gresses, state systems may </w:t>
      </w:r>
      <w:r>
        <w:rPr>
          <w:rFonts w:ascii="Times New Roman" w:hAnsi="Times New Roman"/>
        </w:rPr>
        <w:t xml:space="preserve">elect not to participate. If this occurs, NCSC and Urban Institute will request permission from the state contact to include the counties in the sampling frame. </w:t>
      </w:r>
      <w:r w:rsidR="00676A81">
        <w:rPr>
          <w:rFonts w:ascii="Times New Roman" w:hAnsi="Times New Roman"/>
        </w:rPr>
        <w:t xml:space="preserve">BJS will more fully describe the sampling strategy for Stage 2 once Stage 1 is almost complete (i.e., within </w:t>
      </w:r>
      <w:r w:rsidR="003541B0">
        <w:rPr>
          <w:rFonts w:ascii="Times New Roman" w:hAnsi="Times New Roman"/>
        </w:rPr>
        <w:t>3</w:t>
      </w:r>
      <w:r w:rsidR="00676A81">
        <w:rPr>
          <w:rFonts w:ascii="Times New Roman" w:hAnsi="Times New Roman"/>
        </w:rPr>
        <w:t>-6 months of the start of Stage 1)</w:t>
      </w:r>
      <w:r w:rsidR="003541B0">
        <w:rPr>
          <w:rFonts w:ascii="Times New Roman" w:hAnsi="Times New Roman"/>
        </w:rPr>
        <w:t xml:space="preserve"> with an updated material change in circumstances memo</w:t>
      </w:r>
      <w:r w:rsidR="00980831">
        <w:rPr>
          <w:rFonts w:ascii="Times New Roman" w:hAnsi="Times New Roman"/>
        </w:rPr>
        <w:t>randum</w:t>
      </w:r>
      <w:r w:rsidR="00676A81">
        <w:rPr>
          <w:rFonts w:ascii="Times New Roman" w:hAnsi="Times New Roman"/>
        </w:rPr>
        <w:t>.</w:t>
      </w:r>
    </w:p>
    <w:p w:rsidR="00632969" w:rsidP="00580A55" w:rsidRDefault="00BA5E7F" w14:paraId="726D51EB" w14:textId="0634A1E5">
      <w:pPr>
        <w:spacing w:after="200" w:line="276" w:lineRule="auto"/>
        <w:rPr>
          <w:rFonts w:ascii="Times New Roman" w:hAnsi="Times New Roman"/>
        </w:rPr>
      </w:pPr>
      <w:r>
        <w:rPr>
          <w:rFonts w:ascii="Times New Roman" w:hAnsi="Times New Roman"/>
        </w:rPr>
        <w:t>The same</w:t>
      </w:r>
      <w:r w:rsidR="00676A81">
        <w:rPr>
          <w:rFonts w:ascii="Times New Roman" w:hAnsi="Times New Roman"/>
        </w:rPr>
        <w:t xml:space="preserve"> contact</w:t>
      </w:r>
      <w:r>
        <w:rPr>
          <w:rFonts w:ascii="Times New Roman" w:hAnsi="Times New Roman"/>
        </w:rPr>
        <w:t xml:space="preserve"> process will be repeated in Stage 2 for </w:t>
      </w:r>
      <w:r w:rsidR="000B3CAF">
        <w:rPr>
          <w:rFonts w:ascii="Times New Roman" w:hAnsi="Times New Roman"/>
        </w:rPr>
        <w:t>c</w:t>
      </w:r>
      <w:r>
        <w:rPr>
          <w:rFonts w:ascii="Times New Roman" w:hAnsi="Times New Roman"/>
        </w:rPr>
        <w:t xml:space="preserve">ounty </w:t>
      </w:r>
      <w:r w:rsidR="000B3CAF">
        <w:rPr>
          <w:rFonts w:ascii="Times New Roman" w:hAnsi="Times New Roman"/>
        </w:rPr>
        <w:t>c</w:t>
      </w:r>
      <w:r>
        <w:rPr>
          <w:rFonts w:ascii="Times New Roman" w:hAnsi="Times New Roman"/>
        </w:rPr>
        <w:t xml:space="preserve">ourt </w:t>
      </w:r>
      <w:r w:rsidR="000B3CAF">
        <w:rPr>
          <w:rFonts w:ascii="Times New Roman" w:hAnsi="Times New Roman"/>
        </w:rPr>
        <w:t>a</w:t>
      </w:r>
      <w:r>
        <w:rPr>
          <w:rFonts w:ascii="Times New Roman" w:hAnsi="Times New Roman"/>
        </w:rPr>
        <w:t>dministrators</w:t>
      </w:r>
      <w:r w:rsidR="00676A81">
        <w:rPr>
          <w:rFonts w:ascii="Times New Roman" w:hAnsi="Times New Roman"/>
        </w:rPr>
        <w:t xml:space="preserve"> for the sampled counties</w:t>
      </w:r>
      <w:r>
        <w:rPr>
          <w:rFonts w:ascii="Times New Roman" w:hAnsi="Times New Roman"/>
        </w:rPr>
        <w:t>.</w:t>
      </w:r>
    </w:p>
    <w:p w:rsidRPr="00C73DCF" w:rsidR="00632969" w:rsidP="00580A55" w:rsidRDefault="00632969" w14:paraId="66ECAAF1" w14:textId="77777777">
      <w:pPr>
        <w:spacing w:after="200" w:line="276" w:lineRule="auto"/>
        <w:rPr>
          <w:rFonts w:ascii="Times New Roman" w:hAnsi="Times New Roman"/>
          <w:b/>
        </w:rPr>
      </w:pPr>
      <w:r w:rsidRPr="00C73DCF">
        <w:rPr>
          <w:rFonts w:ascii="Times New Roman" w:hAnsi="Times New Roman"/>
          <w:b/>
        </w:rPr>
        <w:t>3.  Methods to Maximize Response Rates</w:t>
      </w:r>
    </w:p>
    <w:p w:rsidR="00BA5E7F" w:rsidP="00580A55" w:rsidRDefault="00EC78C8" w14:paraId="72111053" w14:textId="7B0E7F26">
      <w:pPr>
        <w:spacing w:after="200" w:line="276" w:lineRule="auto"/>
        <w:rPr>
          <w:rFonts w:ascii="Times New Roman" w:hAnsi="Times New Roman"/>
        </w:rPr>
      </w:pPr>
      <w:r w:rsidRPr="00632969">
        <w:rPr>
          <w:rFonts w:ascii="Times New Roman" w:hAnsi="Times New Roman"/>
        </w:rPr>
        <w:t xml:space="preserve">Every attempt will be made to collect complete information on </w:t>
      </w:r>
      <w:r w:rsidR="00BA5E7F">
        <w:rPr>
          <w:rFonts w:ascii="Times New Roman" w:hAnsi="Times New Roman"/>
        </w:rPr>
        <w:t>criminal cases processed in state</w:t>
      </w:r>
      <w:r w:rsidRPr="00632969">
        <w:rPr>
          <w:rFonts w:ascii="Times New Roman" w:hAnsi="Times New Roman"/>
        </w:rPr>
        <w:t xml:space="preserve"> </w:t>
      </w:r>
      <w:r w:rsidR="00BA5E7F">
        <w:rPr>
          <w:rFonts w:ascii="Times New Roman" w:hAnsi="Times New Roman"/>
        </w:rPr>
        <w:t xml:space="preserve">and county </w:t>
      </w:r>
      <w:r w:rsidRPr="00632969">
        <w:rPr>
          <w:rFonts w:ascii="Times New Roman" w:hAnsi="Times New Roman"/>
        </w:rPr>
        <w:t>court</w:t>
      </w:r>
      <w:r w:rsidR="00BA5E7F">
        <w:rPr>
          <w:rFonts w:ascii="Times New Roman" w:hAnsi="Times New Roman"/>
        </w:rPr>
        <w:t xml:space="preserve">s in </w:t>
      </w:r>
      <w:r w:rsidRPr="002A20ED" w:rsidR="00BA5E7F">
        <w:rPr>
          <w:rFonts w:ascii="Times New Roman" w:hAnsi="Times New Roman"/>
        </w:rPr>
        <w:t>2019</w:t>
      </w:r>
      <w:r w:rsidR="00676A81">
        <w:rPr>
          <w:rFonts w:ascii="Times New Roman" w:hAnsi="Times New Roman"/>
        </w:rPr>
        <w:t xml:space="preserve">, excluding </w:t>
      </w:r>
      <w:r w:rsidR="0038656F">
        <w:rPr>
          <w:rFonts w:ascii="Times New Roman" w:hAnsi="Times New Roman"/>
        </w:rPr>
        <w:t>the case types noted on page 1</w:t>
      </w:r>
      <w:r w:rsidRPr="00632969">
        <w:rPr>
          <w:rFonts w:ascii="Times New Roman" w:hAnsi="Times New Roman"/>
        </w:rPr>
        <w:t xml:space="preserve">. </w:t>
      </w:r>
      <w:r w:rsidRPr="00632969" w:rsidR="00632969">
        <w:rPr>
          <w:rFonts w:ascii="Times New Roman" w:hAnsi="Times New Roman"/>
        </w:rPr>
        <w:t>In order to maximize the resp</w:t>
      </w:r>
      <w:r w:rsidR="00BA5E7F">
        <w:rPr>
          <w:rFonts w:ascii="Times New Roman" w:hAnsi="Times New Roman"/>
        </w:rPr>
        <w:t>onse rate and minimize non</w:t>
      </w:r>
      <w:r w:rsidRPr="00632969" w:rsidR="00632969">
        <w:rPr>
          <w:rFonts w:ascii="Times New Roman" w:hAnsi="Times New Roman"/>
        </w:rPr>
        <w:t xml:space="preserve">response bias, </w:t>
      </w:r>
      <w:r w:rsidRPr="00632969">
        <w:rPr>
          <w:rFonts w:ascii="Times New Roman" w:hAnsi="Times New Roman"/>
        </w:rPr>
        <w:t>the data collection agent</w:t>
      </w:r>
      <w:r>
        <w:rPr>
          <w:rFonts w:ascii="Times New Roman" w:hAnsi="Times New Roman"/>
        </w:rPr>
        <w:t>s will</w:t>
      </w:r>
      <w:r w:rsidR="00672CBB">
        <w:rPr>
          <w:rFonts w:ascii="Times New Roman" w:hAnsi="Times New Roman"/>
        </w:rPr>
        <w:t xml:space="preserve"> work closely with </w:t>
      </w:r>
      <w:r>
        <w:rPr>
          <w:rFonts w:ascii="Times New Roman" w:hAnsi="Times New Roman"/>
        </w:rPr>
        <w:t>respondents to ensure that they understand the data collection process, including determining the most appropriate format for data submission and obtaining the necessary approvals for providing case level data.</w:t>
      </w:r>
      <w:r w:rsidR="0009355A">
        <w:rPr>
          <w:rFonts w:ascii="Times New Roman" w:hAnsi="Times New Roman"/>
        </w:rPr>
        <w:t xml:space="preserve"> </w:t>
      </w:r>
      <w:r w:rsidR="00BA5E7F">
        <w:rPr>
          <w:rFonts w:ascii="Times New Roman" w:hAnsi="Times New Roman"/>
        </w:rPr>
        <w:t>It is assumed that BJS will enter into Memora</w:t>
      </w:r>
      <w:r w:rsidR="00676A81">
        <w:rPr>
          <w:rFonts w:ascii="Times New Roman" w:hAnsi="Times New Roman"/>
        </w:rPr>
        <w:t>n</w:t>
      </w:r>
      <w:r w:rsidR="00BA5E7F">
        <w:rPr>
          <w:rFonts w:ascii="Times New Roman" w:hAnsi="Times New Roman"/>
        </w:rPr>
        <w:t xml:space="preserve">da of Understanding (MOU) </w:t>
      </w:r>
      <w:r w:rsidR="009120C2">
        <w:rPr>
          <w:rFonts w:ascii="Times New Roman" w:hAnsi="Times New Roman"/>
        </w:rPr>
        <w:t>or</w:t>
      </w:r>
      <w:r w:rsidR="00BA5E7F">
        <w:rPr>
          <w:rFonts w:ascii="Times New Roman" w:hAnsi="Times New Roman"/>
        </w:rPr>
        <w:t xml:space="preserve"> data use agreements with some or all of the state and county courts</w:t>
      </w:r>
      <w:r w:rsidR="001B7B63">
        <w:rPr>
          <w:rFonts w:ascii="Times New Roman" w:hAnsi="Times New Roman"/>
        </w:rPr>
        <w:t xml:space="preserve"> (</w:t>
      </w:r>
      <w:r w:rsidR="001B7B63">
        <w:rPr>
          <w:rFonts w:ascii="Times New Roman" w:hAnsi="Times New Roman"/>
          <w:b/>
        </w:rPr>
        <w:t xml:space="preserve">Attachment </w:t>
      </w:r>
      <w:r w:rsidR="00EA1B82">
        <w:rPr>
          <w:rFonts w:ascii="Times New Roman" w:hAnsi="Times New Roman"/>
          <w:b/>
        </w:rPr>
        <w:t>8</w:t>
      </w:r>
      <w:r w:rsidR="001B7B63">
        <w:rPr>
          <w:rFonts w:ascii="Times New Roman" w:hAnsi="Times New Roman"/>
        </w:rPr>
        <w:t>)</w:t>
      </w:r>
      <w:r w:rsidR="00BA5E7F">
        <w:rPr>
          <w:rFonts w:ascii="Times New Roman" w:hAnsi="Times New Roman"/>
        </w:rPr>
        <w:t xml:space="preserve">. BJS attorneys will review </w:t>
      </w:r>
      <w:r w:rsidR="000B3CAF">
        <w:rPr>
          <w:rFonts w:ascii="Times New Roman" w:hAnsi="Times New Roman"/>
        </w:rPr>
        <w:t xml:space="preserve">all </w:t>
      </w:r>
      <w:r w:rsidR="00BA5E7F">
        <w:rPr>
          <w:rFonts w:ascii="Times New Roman" w:hAnsi="Times New Roman"/>
        </w:rPr>
        <w:t>agreement</w:t>
      </w:r>
      <w:r w:rsidR="000B3CAF">
        <w:rPr>
          <w:rFonts w:ascii="Times New Roman" w:hAnsi="Times New Roman"/>
        </w:rPr>
        <w:t>s</w:t>
      </w:r>
      <w:r w:rsidR="00BA5E7F">
        <w:rPr>
          <w:rFonts w:ascii="Times New Roman" w:hAnsi="Times New Roman"/>
        </w:rPr>
        <w:t xml:space="preserve"> before accepting. </w:t>
      </w:r>
    </w:p>
    <w:p w:rsidRPr="00632969" w:rsidR="00632969" w:rsidP="00580A55" w:rsidRDefault="000B3CAF" w14:paraId="2066C215" w14:textId="479CBFC0">
      <w:pPr>
        <w:spacing w:after="200" w:line="276" w:lineRule="auto"/>
        <w:rPr>
          <w:rFonts w:ascii="Times New Roman" w:hAnsi="Times New Roman"/>
        </w:rPr>
      </w:pPr>
      <w:r>
        <w:rPr>
          <w:rFonts w:ascii="Times New Roman" w:hAnsi="Times New Roman"/>
        </w:rPr>
        <w:t>A team of Urban Institute and NCSC</w:t>
      </w:r>
      <w:r w:rsidR="0038656F">
        <w:rPr>
          <w:rFonts w:ascii="Times New Roman" w:hAnsi="Times New Roman"/>
        </w:rPr>
        <w:t xml:space="preserve"> staff member</w:t>
      </w:r>
      <w:r>
        <w:rPr>
          <w:rFonts w:ascii="Times New Roman" w:hAnsi="Times New Roman"/>
        </w:rPr>
        <w:t>s will be assigned</w:t>
      </w:r>
      <w:r w:rsidR="0038656F">
        <w:rPr>
          <w:rFonts w:ascii="Times New Roman" w:hAnsi="Times New Roman"/>
        </w:rPr>
        <w:t xml:space="preserve"> to act as the point of contact for each respondent</w:t>
      </w:r>
      <w:r>
        <w:rPr>
          <w:rFonts w:ascii="Times New Roman" w:hAnsi="Times New Roman"/>
        </w:rPr>
        <w:t>. A</w:t>
      </w:r>
      <w:r w:rsidR="0009355A">
        <w:rPr>
          <w:rFonts w:ascii="Times New Roman" w:hAnsi="Times New Roman"/>
        </w:rPr>
        <w:t xml:space="preserve"> </w:t>
      </w:r>
      <w:r w:rsidR="00BA5E7F">
        <w:rPr>
          <w:rFonts w:ascii="Times New Roman" w:hAnsi="Times New Roman"/>
        </w:rPr>
        <w:t>toll-free telephone line and email address</w:t>
      </w:r>
      <w:r w:rsidR="0009355A">
        <w:rPr>
          <w:rFonts w:ascii="Times New Roman" w:hAnsi="Times New Roman"/>
        </w:rPr>
        <w:t xml:space="preserve"> will be developed to address respondents</w:t>
      </w:r>
      <w:r w:rsidR="00AF3EEB">
        <w:rPr>
          <w:rFonts w:ascii="Times New Roman" w:hAnsi="Times New Roman"/>
        </w:rPr>
        <w:t>’</w:t>
      </w:r>
      <w:r w:rsidR="0009355A">
        <w:rPr>
          <w:rFonts w:ascii="Times New Roman" w:hAnsi="Times New Roman"/>
        </w:rPr>
        <w:t xml:space="preserve"> technical questions.</w:t>
      </w:r>
    </w:p>
    <w:p w:rsidR="00632969" w:rsidP="00580A55" w:rsidRDefault="00632969" w14:paraId="5ADEEBB4" w14:textId="77777777">
      <w:pPr>
        <w:spacing w:after="200" w:line="276" w:lineRule="auto"/>
        <w:rPr>
          <w:rFonts w:ascii="Times New Roman" w:hAnsi="Times New Roman"/>
          <w:b/>
        </w:rPr>
      </w:pPr>
      <w:r w:rsidRPr="00C73DCF">
        <w:rPr>
          <w:rFonts w:ascii="Times New Roman" w:hAnsi="Times New Roman"/>
          <w:b/>
        </w:rPr>
        <w:lastRenderedPageBreak/>
        <w:t>4.  Testing of Procedures</w:t>
      </w:r>
    </w:p>
    <w:p w:rsidR="00E50DDC" w:rsidRDefault="00147BA1" w14:paraId="13AB0596" w14:textId="21050107">
      <w:pPr>
        <w:spacing w:after="200" w:line="276" w:lineRule="auto"/>
        <w:rPr>
          <w:rFonts w:ascii="Times New Roman" w:hAnsi="Times New Roman"/>
        </w:rPr>
      </w:pPr>
      <w:r>
        <w:rPr>
          <w:rFonts w:ascii="Times New Roman" w:hAnsi="Times New Roman"/>
        </w:rPr>
        <w:t xml:space="preserve">The project team conducted a pilot test with 9 jurisdictions of varying sizes across all regions </w:t>
      </w:r>
      <w:r w:rsidR="0054364C">
        <w:rPr>
          <w:rFonts w:ascii="Times New Roman" w:hAnsi="Times New Roman"/>
        </w:rPr>
        <w:t xml:space="preserve">to ensure that the proposed approach in Stage 2 is feasible. </w:t>
      </w:r>
      <w:r w:rsidR="009120C2">
        <w:rPr>
          <w:rFonts w:ascii="Times New Roman" w:hAnsi="Times New Roman"/>
        </w:rPr>
        <w:t xml:space="preserve">NCSC provided guidance for the selection of a state system that was expected to be more complex. Minnesota </w:t>
      </w:r>
      <w:r>
        <w:rPr>
          <w:rFonts w:ascii="Times New Roman" w:hAnsi="Times New Roman"/>
        </w:rPr>
        <w:t xml:space="preserve">was known to have </w:t>
      </w:r>
      <w:r w:rsidR="009120C2">
        <w:rPr>
          <w:rFonts w:ascii="Times New Roman" w:hAnsi="Times New Roman"/>
        </w:rPr>
        <w:t xml:space="preserve">multiple data systems from which the data would need to be drawn. </w:t>
      </w:r>
      <w:r w:rsidR="0054364C">
        <w:rPr>
          <w:rFonts w:ascii="Times New Roman" w:hAnsi="Times New Roman"/>
        </w:rPr>
        <w:t xml:space="preserve">Urban Institute and </w:t>
      </w:r>
      <w:r w:rsidR="009120C2">
        <w:rPr>
          <w:rFonts w:ascii="Times New Roman" w:hAnsi="Times New Roman"/>
        </w:rPr>
        <w:t xml:space="preserve">NCSC then selected </w:t>
      </w:r>
      <w:r w:rsidR="00604B6B">
        <w:rPr>
          <w:rFonts w:ascii="Times New Roman" w:hAnsi="Times New Roman"/>
        </w:rPr>
        <w:t xml:space="preserve">four </w:t>
      </w:r>
      <w:r w:rsidR="009120C2">
        <w:rPr>
          <w:rFonts w:ascii="Times New Roman" w:hAnsi="Times New Roman"/>
        </w:rPr>
        <w:t>counties that will be include</w:t>
      </w:r>
      <w:r w:rsidR="0038656F">
        <w:rPr>
          <w:rFonts w:ascii="Times New Roman" w:hAnsi="Times New Roman"/>
        </w:rPr>
        <w:t>d</w:t>
      </w:r>
      <w:r w:rsidR="009120C2">
        <w:rPr>
          <w:rFonts w:ascii="Times New Roman" w:hAnsi="Times New Roman"/>
        </w:rPr>
        <w:t xml:space="preserve"> in the certainty stratum, </w:t>
      </w:r>
      <w:r w:rsidR="00604B6B">
        <w:rPr>
          <w:rFonts w:ascii="Times New Roman" w:hAnsi="Times New Roman"/>
        </w:rPr>
        <w:t>one</w:t>
      </w:r>
      <w:r w:rsidR="009120C2">
        <w:rPr>
          <w:rFonts w:ascii="Times New Roman" w:hAnsi="Times New Roman"/>
        </w:rPr>
        <w:t xml:space="preserve"> count</w:t>
      </w:r>
      <w:r w:rsidR="00604B6B">
        <w:rPr>
          <w:rFonts w:ascii="Times New Roman" w:hAnsi="Times New Roman"/>
        </w:rPr>
        <w:t>y</w:t>
      </w:r>
      <w:r w:rsidR="009120C2">
        <w:rPr>
          <w:rFonts w:ascii="Times New Roman" w:hAnsi="Times New Roman"/>
        </w:rPr>
        <w:t xml:space="preserve"> expected to be in </w:t>
      </w:r>
      <w:r w:rsidR="00604B6B">
        <w:rPr>
          <w:rFonts w:ascii="Times New Roman" w:hAnsi="Times New Roman"/>
        </w:rPr>
        <w:t>stratum 1 (500,000-999,999)</w:t>
      </w:r>
      <w:r w:rsidR="00AC1DD6">
        <w:rPr>
          <w:rFonts w:ascii="Times New Roman" w:hAnsi="Times New Roman"/>
        </w:rPr>
        <w:t xml:space="preserve">, </w:t>
      </w:r>
      <w:r w:rsidR="00604B6B">
        <w:rPr>
          <w:rFonts w:ascii="Times New Roman" w:hAnsi="Times New Roman"/>
        </w:rPr>
        <w:t>two counties in stratum 2 (100,000-499,000), and one county in stratum 3 (20,000-99,999).</w:t>
      </w:r>
      <w:r w:rsidR="00AC1DD6">
        <w:rPr>
          <w:rFonts w:ascii="Times New Roman" w:hAnsi="Times New Roman"/>
        </w:rPr>
        <w:t xml:space="preserve"> </w:t>
      </w:r>
      <w:r w:rsidR="0054364C">
        <w:rPr>
          <w:rFonts w:ascii="Times New Roman" w:hAnsi="Times New Roman"/>
        </w:rPr>
        <w:t>Minnesota was included to explore potential challenges in collection data from states with a complex court structure</w:t>
      </w:r>
      <w:r>
        <w:rPr>
          <w:rFonts w:ascii="Times New Roman" w:hAnsi="Times New Roman"/>
        </w:rPr>
        <w:t>. N</w:t>
      </w:r>
      <w:r w:rsidR="0054364C">
        <w:rPr>
          <w:rFonts w:ascii="Times New Roman" w:hAnsi="Times New Roman"/>
        </w:rPr>
        <w:t>o data requests were made to Minnesota.</w:t>
      </w:r>
    </w:p>
    <w:p w:rsidR="005872E3" w:rsidP="002A20ED" w:rsidRDefault="005872E3" w14:paraId="3C6D38B0" w14:textId="451181F4">
      <w:pPr>
        <w:spacing w:line="276" w:lineRule="auto"/>
        <w:rPr>
          <w:rFonts w:ascii="Times New Roman" w:hAnsi="Times New Roman"/>
        </w:rPr>
      </w:pPr>
      <w:r>
        <w:rPr>
          <w:rFonts w:ascii="Times New Roman" w:hAnsi="Times New Roman"/>
        </w:rPr>
        <w:t xml:space="preserve">Table </w:t>
      </w:r>
      <w:r w:rsidR="00811AA5">
        <w:rPr>
          <w:rFonts w:ascii="Times New Roman" w:hAnsi="Times New Roman"/>
        </w:rPr>
        <w:t>8</w:t>
      </w:r>
      <w:r>
        <w:rPr>
          <w:rFonts w:ascii="Times New Roman" w:hAnsi="Times New Roman"/>
        </w:rPr>
        <w:t>. Pilot test sites</w:t>
      </w:r>
    </w:p>
    <w:tbl>
      <w:tblPr>
        <w:tblW w:w="8930" w:type="dxa"/>
        <w:tblLook w:val="04A0" w:firstRow="1" w:lastRow="0" w:firstColumn="1" w:lastColumn="0" w:noHBand="0" w:noVBand="1"/>
      </w:tblPr>
      <w:tblGrid>
        <w:gridCol w:w="1429"/>
        <w:gridCol w:w="2558"/>
        <w:gridCol w:w="1636"/>
        <w:gridCol w:w="1531"/>
        <w:gridCol w:w="1776"/>
      </w:tblGrid>
      <w:tr w:rsidRPr="00E42F63" w:rsidR="009264E7" w:rsidTr="009264E7" w14:paraId="3A0FD516" w14:textId="77777777">
        <w:trPr>
          <w:trHeight w:val="178"/>
        </w:trPr>
        <w:tc>
          <w:tcPr>
            <w:tcW w:w="1429" w:type="dxa"/>
            <w:tcBorders>
              <w:top w:val="single" w:color="auto" w:sz="8" w:space="0"/>
              <w:left w:val="single" w:color="BFBFBF" w:sz="8" w:space="0"/>
              <w:bottom w:val="single" w:color="auto" w:sz="8" w:space="0"/>
              <w:right w:val="single" w:color="BFBFBF" w:sz="8" w:space="0"/>
            </w:tcBorders>
            <w:shd w:val="clear" w:color="000000" w:fill="AFBED7"/>
            <w:noWrap/>
            <w:vAlign w:val="center"/>
            <w:hideMark/>
          </w:tcPr>
          <w:p w:rsidRPr="00E42F63" w:rsidR="00E50DDC" w:rsidP="002A20ED" w:rsidRDefault="00E50DDC" w14:paraId="412ADC9E" w14:textId="77777777">
            <w:pPr>
              <w:spacing w:line="240" w:lineRule="auto"/>
              <w:rPr>
                <w:rFonts w:ascii="Times New Roman" w:hAnsi="Times New Roman"/>
                <w:b/>
                <w:bCs/>
                <w:color w:val="000000"/>
                <w:sz w:val="22"/>
                <w:szCs w:val="22"/>
                <w:lang w:eastAsia="ko-KR"/>
              </w:rPr>
            </w:pPr>
            <w:r w:rsidRPr="00E42F63">
              <w:rPr>
                <w:rFonts w:ascii="Times New Roman" w:hAnsi="Times New Roman"/>
                <w:b/>
                <w:bCs/>
                <w:color w:val="000000"/>
                <w:sz w:val="22"/>
                <w:szCs w:val="22"/>
                <w:lang w:eastAsia="ko-KR"/>
              </w:rPr>
              <w:t>Pilot Test Site No</w:t>
            </w:r>
          </w:p>
        </w:tc>
        <w:tc>
          <w:tcPr>
            <w:tcW w:w="2558" w:type="dxa"/>
            <w:tcBorders>
              <w:top w:val="single" w:color="auto" w:sz="8" w:space="0"/>
              <w:left w:val="nil"/>
              <w:bottom w:val="single" w:color="auto" w:sz="8" w:space="0"/>
              <w:right w:val="single" w:color="BFBFBF" w:sz="8" w:space="0"/>
            </w:tcBorders>
            <w:shd w:val="clear" w:color="000000" w:fill="AFBED7"/>
            <w:noWrap/>
            <w:vAlign w:val="center"/>
            <w:hideMark/>
          </w:tcPr>
          <w:p w:rsidRPr="00E42F63" w:rsidR="00E50DDC" w:rsidP="002A20ED" w:rsidRDefault="00E50DDC" w14:paraId="245E5F75" w14:textId="77777777">
            <w:pPr>
              <w:spacing w:line="240" w:lineRule="auto"/>
              <w:rPr>
                <w:rFonts w:ascii="Times New Roman" w:hAnsi="Times New Roman"/>
                <w:b/>
                <w:bCs/>
                <w:color w:val="000000"/>
                <w:sz w:val="22"/>
                <w:szCs w:val="22"/>
                <w:lang w:eastAsia="ko-KR"/>
              </w:rPr>
            </w:pPr>
            <w:r w:rsidRPr="00E42F63">
              <w:rPr>
                <w:rFonts w:ascii="Times New Roman" w:hAnsi="Times New Roman"/>
                <w:b/>
                <w:bCs/>
                <w:sz w:val="22"/>
                <w:szCs w:val="22"/>
                <w:lang w:eastAsia="ko-KR"/>
              </w:rPr>
              <w:t>County</w:t>
            </w:r>
          </w:p>
        </w:tc>
        <w:tc>
          <w:tcPr>
            <w:tcW w:w="1636" w:type="dxa"/>
            <w:tcBorders>
              <w:top w:val="single" w:color="auto" w:sz="8" w:space="0"/>
              <w:left w:val="nil"/>
              <w:bottom w:val="single" w:color="auto" w:sz="8" w:space="0"/>
              <w:right w:val="single" w:color="BFBFBF" w:sz="8" w:space="0"/>
            </w:tcBorders>
            <w:shd w:val="clear" w:color="000000" w:fill="AFBED7"/>
            <w:noWrap/>
            <w:vAlign w:val="center"/>
            <w:hideMark/>
          </w:tcPr>
          <w:p w:rsidRPr="00E42F63" w:rsidR="00E50DDC" w:rsidP="002A20ED" w:rsidRDefault="00E50DDC" w14:paraId="5380DEF9" w14:textId="77777777">
            <w:pPr>
              <w:spacing w:line="240" w:lineRule="auto"/>
              <w:rPr>
                <w:rFonts w:ascii="Times New Roman" w:hAnsi="Times New Roman"/>
                <w:b/>
                <w:bCs/>
                <w:color w:val="000000"/>
                <w:sz w:val="22"/>
                <w:szCs w:val="22"/>
                <w:lang w:eastAsia="ko-KR"/>
              </w:rPr>
            </w:pPr>
            <w:r w:rsidRPr="00E42F63">
              <w:rPr>
                <w:rFonts w:ascii="Times New Roman" w:hAnsi="Times New Roman"/>
                <w:b/>
                <w:bCs/>
                <w:sz w:val="22"/>
                <w:szCs w:val="22"/>
                <w:lang w:eastAsia="ko-KR"/>
              </w:rPr>
              <w:t>State</w:t>
            </w:r>
          </w:p>
        </w:tc>
        <w:tc>
          <w:tcPr>
            <w:tcW w:w="1531" w:type="dxa"/>
            <w:tcBorders>
              <w:top w:val="single" w:color="auto" w:sz="8" w:space="0"/>
              <w:left w:val="nil"/>
              <w:bottom w:val="single" w:color="auto" w:sz="8" w:space="0"/>
              <w:right w:val="single" w:color="BFBFBF" w:sz="8" w:space="0"/>
            </w:tcBorders>
            <w:shd w:val="clear" w:color="000000" w:fill="AFBED7"/>
            <w:noWrap/>
            <w:vAlign w:val="center"/>
            <w:hideMark/>
          </w:tcPr>
          <w:p w:rsidRPr="00E42F63" w:rsidR="00E50DDC" w:rsidP="002A20ED" w:rsidRDefault="00E50DDC" w14:paraId="11F6DDA3" w14:textId="77777777">
            <w:pPr>
              <w:spacing w:line="240" w:lineRule="auto"/>
              <w:rPr>
                <w:rFonts w:ascii="Times New Roman" w:hAnsi="Times New Roman"/>
                <w:b/>
                <w:bCs/>
                <w:color w:val="000000"/>
                <w:sz w:val="22"/>
                <w:szCs w:val="22"/>
                <w:lang w:eastAsia="ko-KR"/>
              </w:rPr>
            </w:pPr>
            <w:r w:rsidRPr="00E42F63">
              <w:rPr>
                <w:rFonts w:ascii="Times New Roman" w:hAnsi="Times New Roman"/>
                <w:b/>
                <w:bCs/>
                <w:sz w:val="22"/>
                <w:szCs w:val="22"/>
                <w:lang w:eastAsia="ko-KR"/>
              </w:rPr>
              <w:t>Region</w:t>
            </w:r>
          </w:p>
        </w:tc>
        <w:tc>
          <w:tcPr>
            <w:tcW w:w="1776" w:type="dxa"/>
            <w:tcBorders>
              <w:top w:val="single" w:color="auto" w:sz="8" w:space="0"/>
              <w:left w:val="nil"/>
              <w:bottom w:val="single" w:color="auto" w:sz="8" w:space="0"/>
              <w:right w:val="single" w:color="BFBFBF" w:sz="8" w:space="0"/>
            </w:tcBorders>
            <w:shd w:val="clear" w:color="000000" w:fill="AFBED7"/>
            <w:noWrap/>
            <w:vAlign w:val="center"/>
            <w:hideMark/>
          </w:tcPr>
          <w:p w:rsidRPr="00E42F63" w:rsidR="00E50DDC" w:rsidP="002A20ED" w:rsidRDefault="00E50DDC" w14:paraId="46A16E43" w14:textId="77777777">
            <w:pPr>
              <w:spacing w:line="240" w:lineRule="auto"/>
              <w:rPr>
                <w:rFonts w:ascii="Times New Roman" w:hAnsi="Times New Roman"/>
                <w:b/>
                <w:bCs/>
                <w:color w:val="000000"/>
                <w:sz w:val="22"/>
                <w:szCs w:val="22"/>
                <w:lang w:eastAsia="ko-KR"/>
              </w:rPr>
            </w:pPr>
            <w:r w:rsidRPr="00E42F63">
              <w:rPr>
                <w:rFonts w:ascii="Times New Roman" w:hAnsi="Times New Roman"/>
                <w:b/>
                <w:bCs/>
                <w:sz w:val="22"/>
                <w:szCs w:val="22"/>
                <w:lang w:eastAsia="ko-KR"/>
              </w:rPr>
              <w:t>Population</w:t>
            </w:r>
          </w:p>
        </w:tc>
      </w:tr>
      <w:tr w:rsidRPr="00E42F63" w:rsidR="00270941" w:rsidTr="00270941" w14:paraId="090A8C1C" w14:textId="77777777">
        <w:trPr>
          <w:trHeight w:val="178"/>
        </w:trPr>
        <w:tc>
          <w:tcPr>
            <w:tcW w:w="1429" w:type="dxa"/>
            <w:tcBorders>
              <w:top w:val="nil"/>
              <w:left w:val="single" w:color="BFBFBF" w:sz="8" w:space="0"/>
              <w:bottom w:val="single" w:color="BFBFBF" w:sz="8" w:space="0"/>
              <w:right w:val="single" w:color="BFBFBF" w:sz="8" w:space="0"/>
            </w:tcBorders>
            <w:shd w:val="clear" w:color="auto" w:fill="auto"/>
            <w:noWrap/>
            <w:vAlign w:val="center"/>
            <w:hideMark/>
          </w:tcPr>
          <w:p w:rsidRPr="00FB708D" w:rsidR="00270941" w:rsidP="00270941" w:rsidRDefault="00270941" w14:paraId="0C6E712E" w14:textId="77777777">
            <w:pPr>
              <w:spacing w:line="240" w:lineRule="auto"/>
              <w:jc w:val="right"/>
              <w:rPr>
                <w:rFonts w:ascii="Times New Roman" w:hAnsi="Times New Roman"/>
                <w:bCs/>
                <w:color w:val="000000"/>
                <w:sz w:val="22"/>
                <w:szCs w:val="22"/>
                <w:lang w:eastAsia="ko-KR"/>
              </w:rPr>
            </w:pPr>
            <w:r w:rsidRPr="00FB708D">
              <w:rPr>
                <w:rFonts w:ascii="Times New Roman" w:hAnsi="Times New Roman"/>
                <w:bCs/>
                <w:color w:val="000000"/>
                <w:sz w:val="22"/>
                <w:szCs w:val="22"/>
                <w:lang w:eastAsia="ko-KR"/>
              </w:rPr>
              <w:t>1</w:t>
            </w:r>
          </w:p>
        </w:tc>
        <w:tc>
          <w:tcPr>
            <w:tcW w:w="2558"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03F8B06E"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Orange County</w:t>
            </w:r>
          </w:p>
        </w:tc>
        <w:tc>
          <w:tcPr>
            <w:tcW w:w="1636"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769520B5"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California</w:t>
            </w:r>
          </w:p>
        </w:tc>
        <w:tc>
          <w:tcPr>
            <w:tcW w:w="1531"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5214BB29"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West</w:t>
            </w:r>
          </w:p>
        </w:tc>
        <w:tc>
          <w:tcPr>
            <w:tcW w:w="1776" w:type="dxa"/>
            <w:tcBorders>
              <w:top w:val="nil"/>
              <w:left w:val="nil"/>
              <w:bottom w:val="single" w:color="BFBFBF" w:sz="8" w:space="0"/>
              <w:right w:val="single" w:color="BFBFBF" w:sz="8" w:space="0"/>
            </w:tcBorders>
            <w:shd w:val="clear" w:color="auto" w:fill="auto"/>
            <w:noWrap/>
            <w:hideMark/>
          </w:tcPr>
          <w:p w:rsidRPr="00270941" w:rsidR="00270941" w:rsidP="00270941" w:rsidRDefault="00270941" w14:paraId="005CF408" w14:textId="3C2B3464">
            <w:pPr>
              <w:spacing w:line="240" w:lineRule="auto"/>
              <w:jc w:val="right"/>
              <w:rPr>
                <w:rFonts w:ascii="Times New Roman" w:hAnsi="Times New Roman"/>
                <w:color w:val="000000"/>
                <w:sz w:val="22"/>
                <w:szCs w:val="22"/>
                <w:lang w:eastAsia="ko-KR"/>
              </w:rPr>
            </w:pPr>
            <w:r w:rsidRPr="00270941">
              <w:rPr>
                <w:rFonts w:ascii="Times New Roman" w:hAnsi="Times New Roman"/>
                <w:sz w:val="22"/>
                <w:szCs w:val="22"/>
              </w:rPr>
              <w:t>2,487,180</w:t>
            </w:r>
          </w:p>
        </w:tc>
      </w:tr>
      <w:tr w:rsidRPr="00E42F63" w:rsidR="00270941" w:rsidTr="00270941" w14:paraId="573ADD9F" w14:textId="77777777">
        <w:trPr>
          <w:trHeight w:val="178"/>
        </w:trPr>
        <w:tc>
          <w:tcPr>
            <w:tcW w:w="1429" w:type="dxa"/>
            <w:tcBorders>
              <w:top w:val="nil"/>
              <w:left w:val="single" w:color="BFBFBF" w:sz="8" w:space="0"/>
              <w:bottom w:val="single" w:color="BFBFBF" w:sz="8" w:space="0"/>
              <w:right w:val="single" w:color="BFBFBF" w:sz="8" w:space="0"/>
            </w:tcBorders>
            <w:shd w:val="clear" w:color="auto" w:fill="auto"/>
            <w:noWrap/>
            <w:vAlign w:val="center"/>
            <w:hideMark/>
          </w:tcPr>
          <w:p w:rsidRPr="00FB708D" w:rsidR="00270941" w:rsidP="00270941" w:rsidRDefault="00270941" w14:paraId="74ADC04C" w14:textId="77777777">
            <w:pPr>
              <w:spacing w:line="240" w:lineRule="auto"/>
              <w:jc w:val="right"/>
              <w:rPr>
                <w:rFonts w:ascii="Times New Roman" w:hAnsi="Times New Roman"/>
                <w:bCs/>
                <w:color w:val="000000"/>
                <w:sz w:val="22"/>
                <w:szCs w:val="22"/>
                <w:lang w:eastAsia="ko-KR"/>
              </w:rPr>
            </w:pPr>
            <w:r w:rsidRPr="00FB708D">
              <w:rPr>
                <w:rFonts w:ascii="Times New Roman" w:hAnsi="Times New Roman"/>
                <w:bCs/>
                <w:color w:val="000000"/>
                <w:sz w:val="22"/>
                <w:szCs w:val="22"/>
                <w:lang w:eastAsia="ko-KR"/>
              </w:rPr>
              <w:t>2</w:t>
            </w:r>
          </w:p>
        </w:tc>
        <w:tc>
          <w:tcPr>
            <w:tcW w:w="2558"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48B71FAE" w14:textId="7DE1ACFD">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Bexar County</w:t>
            </w:r>
          </w:p>
        </w:tc>
        <w:tc>
          <w:tcPr>
            <w:tcW w:w="1636"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34473F7C" w14:textId="71401E24">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Texas</w:t>
            </w:r>
          </w:p>
        </w:tc>
        <w:tc>
          <w:tcPr>
            <w:tcW w:w="1531"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2C5B59C1" w14:textId="0159835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South</w:t>
            </w:r>
          </w:p>
        </w:tc>
        <w:tc>
          <w:tcPr>
            <w:tcW w:w="1776" w:type="dxa"/>
            <w:tcBorders>
              <w:top w:val="nil"/>
              <w:left w:val="nil"/>
              <w:bottom w:val="single" w:color="BFBFBF" w:sz="8" w:space="0"/>
              <w:right w:val="single" w:color="BFBFBF" w:sz="8" w:space="0"/>
            </w:tcBorders>
            <w:shd w:val="clear" w:color="auto" w:fill="auto"/>
            <w:noWrap/>
            <w:hideMark/>
          </w:tcPr>
          <w:p w:rsidRPr="00270941" w:rsidR="00270941" w:rsidP="00270941" w:rsidRDefault="00270941" w14:paraId="478F158F" w14:textId="02D6FCB2">
            <w:pPr>
              <w:spacing w:line="240" w:lineRule="auto"/>
              <w:jc w:val="right"/>
              <w:rPr>
                <w:rFonts w:ascii="Times New Roman" w:hAnsi="Times New Roman"/>
                <w:color w:val="000000"/>
                <w:sz w:val="22"/>
                <w:szCs w:val="22"/>
                <w:lang w:eastAsia="ko-KR"/>
              </w:rPr>
            </w:pPr>
            <w:r w:rsidRPr="00270941">
              <w:rPr>
                <w:rFonts w:ascii="Times New Roman" w:hAnsi="Times New Roman"/>
                <w:sz w:val="22"/>
                <w:szCs w:val="22"/>
              </w:rPr>
              <w:t>1,478,380</w:t>
            </w:r>
          </w:p>
        </w:tc>
      </w:tr>
      <w:tr w:rsidRPr="00E42F63" w:rsidR="00270941" w:rsidTr="00270941" w14:paraId="539BCCB3" w14:textId="77777777">
        <w:trPr>
          <w:trHeight w:val="178"/>
        </w:trPr>
        <w:tc>
          <w:tcPr>
            <w:tcW w:w="1429" w:type="dxa"/>
            <w:tcBorders>
              <w:top w:val="nil"/>
              <w:left w:val="single" w:color="BFBFBF" w:sz="8" w:space="0"/>
              <w:bottom w:val="single" w:color="BFBFBF" w:sz="8" w:space="0"/>
              <w:right w:val="single" w:color="BFBFBF" w:sz="8" w:space="0"/>
            </w:tcBorders>
            <w:shd w:val="clear" w:color="auto" w:fill="auto"/>
            <w:noWrap/>
            <w:vAlign w:val="center"/>
            <w:hideMark/>
          </w:tcPr>
          <w:p w:rsidRPr="00FB708D" w:rsidR="00270941" w:rsidP="00270941" w:rsidRDefault="00270941" w14:paraId="08551254" w14:textId="77777777">
            <w:pPr>
              <w:spacing w:line="240" w:lineRule="auto"/>
              <w:jc w:val="right"/>
              <w:rPr>
                <w:rFonts w:ascii="Times New Roman" w:hAnsi="Times New Roman"/>
                <w:bCs/>
                <w:color w:val="000000"/>
                <w:sz w:val="22"/>
                <w:szCs w:val="22"/>
                <w:lang w:eastAsia="ko-KR"/>
              </w:rPr>
            </w:pPr>
            <w:r w:rsidRPr="00FB708D">
              <w:rPr>
                <w:rFonts w:ascii="Times New Roman" w:hAnsi="Times New Roman"/>
                <w:bCs/>
                <w:color w:val="000000"/>
                <w:sz w:val="22"/>
                <w:szCs w:val="22"/>
                <w:lang w:eastAsia="ko-KR"/>
              </w:rPr>
              <w:t>3</w:t>
            </w:r>
          </w:p>
        </w:tc>
        <w:tc>
          <w:tcPr>
            <w:tcW w:w="2558"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42ACD3C4"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Palm Beach County</w:t>
            </w:r>
          </w:p>
        </w:tc>
        <w:tc>
          <w:tcPr>
            <w:tcW w:w="1636"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7B44E954"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Florida</w:t>
            </w:r>
          </w:p>
        </w:tc>
        <w:tc>
          <w:tcPr>
            <w:tcW w:w="1531"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1DB847A2"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South</w:t>
            </w:r>
          </w:p>
        </w:tc>
        <w:tc>
          <w:tcPr>
            <w:tcW w:w="1776" w:type="dxa"/>
            <w:tcBorders>
              <w:top w:val="nil"/>
              <w:left w:val="nil"/>
              <w:bottom w:val="single" w:color="BFBFBF" w:sz="8" w:space="0"/>
              <w:right w:val="single" w:color="BFBFBF" w:sz="8" w:space="0"/>
            </w:tcBorders>
            <w:shd w:val="clear" w:color="auto" w:fill="auto"/>
            <w:noWrap/>
            <w:hideMark/>
          </w:tcPr>
          <w:p w:rsidRPr="00270941" w:rsidR="00270941" w:rsidP="00270941" w:rsidRDefault="00270941" w14:paraId="41A0DF1A" w14:textId="475E13EB">
            <w:pPr>
              <w:spacing w:line="240" w:lineRule="auto"/>
              <w:jc w:val="right"/>
              <w:rPr>
                <w:rFonts w:ascii="Times New Roman" w:hAnsi="Times New Roman"/>
                <w:color w:val="000000"/>
                <w:sz w:val="22"/>
                <w:szCs w:val="22"/>
                <w:lang w:eastAsia="ko-KR"/>
              </w:rPr>
            </w:pPr>
            <w:r w:rsidRPr="00270941">
              <w:rPr>
                <w:rFonts w:ascii="Times New Roman" w:hAnsi="Times New Roman"/>
                <w:sz w:val="22"/>
                <w:szCs w:val="22"/>
              </w:rPr>
              <w:t>1,202,485</w:t>
            </w:r>
          </w:p>
        </w:tc>
      </w:tr>
      <w:tr w:rsidRPr="00E42F63" w:rsidR="00270941" w:rsidTr="00270941" w14:paraId="5415B275" w14:textId="77777777">
        <w:trPr>
          <w:trHeight w:val="178"/>
        </w:trPr>
        <w:tc>
          <w:tcPr>
            <w:tcW w:w="1429" w:type="dxa"/>
            <w:tcBorders>
              <w:top w:val="nil"/>
              <w:left w:val="single" w:color="BFBFBF" w:sz="8" w:space="0"/>
              <w:bottom w:val="single" w:color="BFBFBF" w:sz="8" w:space="0"/>
              <w:right w:val="single" w:color="BFBFBF" w:sz="8" w:space="0"/>
            </w:tcBorders>
            <w:shd w:val="clear" w:color="auto" w:fill="auto"/>
            <w:noWrap/>
            <w:vAlign w:val="center"/>
            <w:hideMark/>
          </w:tcPr>
          <w:p w:rsidRPr="00E42F63" w:rsidR="00270941" w:rsidP="00270941" w:rsidRDefault="00270941" w14:paraId="1B08CA38" w14:textId="77777777">
            <w:pPr>
              <w:spacing w:line="240" w:lineRule="auto"/>
              <w:jc w:val="right"/>
              <w:rPr>
                <w:rFonts w:ascii="Times New Roman" w:hAnsi="Times New Roman"/>
                <w:color w:val="000000"/>
                <w:sz w:val="22"/>
                <w:szCs w:val="22"/>
                <w:lang w:eastAsia="ko-KR"/>
              </w:rPr>
            </w:pPr>
            <w:r w:rsidRPr="00E42F63">
              <w:rPr>
                <w:rFonts w:ascii="Times New Roman" w:hAnsi="Times New Roman"/>
                <w:color w:val="000000"/>
                <w:sz w:val="22"/>
                <w:szCs w:val="22"/>
                <w:lang w:eastAsia="ko-KR"/>
              </w:rPr>
              <w:t>4</w:t>
            </w:r>
          </w:p>
        </w:tc>
        <w:tc>
          <w:tcPr>
            <w:tcW w:w="2558"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3B427BFE" w14:textId="77777777">
            <w:pPr>
              <w:spacing w:line="240" w:lineRule="auto"/>
              <w:rPr>
                <w:rFonts w:ascii="Times New Roman" w:hAnsi="Times New Roman"/>
                <w:color w:val="000000"/>
                <w:sz w:val="22"/>
                <w:szCs w:val="22"/>
                <w:lang w:eastAsia="ko-KR"/>
              </w:rPr>
            </w:pPr>
            <w:r w:rsidRPr="00E42F63">
              <w:rPr>
                <w:rFonts w:ascii="Times New Roman" w:hAnsi="Times New Roman"/>
                <w:bCs/>
                <w:color w:val="000000"/>
                <w:sz w:val="22"/>
                <w:szCs w:val="22"/>
                <w:lang w:eastAsia="ko-KR"/>
              </w:rPr>
              <w:t>New Castle County</w:t>
            </w:r>
          </w:p>
        </w:tc>
        <w:tc>
          <w:tcPr>
            <w:tcW w:w="1636" w:type="dxa"/>
            <w:tcBorders>
              <w:top w:val="nil"/>
              <w:left w:val="nil"/>
              <w:bottom w:val="single" w:color="BFBFBF" w:sz="8" w:space="0"/>
              <w:right w:val="single" w:color="BFBFBF" w:sz="8" w:space="0"/>
            </w:tcBorders>
            <w:shd w:val="clear" w:color="auto" w:fill="auto"/>
            <w:vAlign w:val="center"/>
            <w:hideMark/>
          </w:tcPr>
          <w:p w:rsidRPr="00E42F63" w:rsidR="00270941" w:rsidP="00270941" w:rsidRDefault="00270941" w14:paraId="009B9B37" w14:textId="77777777">
            <w:pPr>
              <w:spacing w:line="240" w:lineRule="auto"/>
              <w:rPr>
                <w:rFonts w:ascii="Times New Roman" w:hAnsi="Times New Roman"/>
                <w:color w:val="000000"/>
                <w:sz w:val="22"/>
                <w:szCs w:val="22"/>
                <w:lang w:eastAsia="ko-KR"/>
              </w:rPr>
            </w:pPr>
            <w:r w:rsidRPr="00E42F63">
              <w:rPr>
                <w:rFonts w:ascii="Times New Roman" w:hAnsi="Times New Roman"/>
                <w:bCs/>
                <w:color w:val="000000"/>
                <w:sz w:val="22"/>
                <w:szCs w:val="22"/>
                <w:lang w:eastAsia="ko-KR"/>
              </w:rPr>
              <w:t>Delaware</w:t>
            </w:r>
          </w:p>
        </w:tc>
        <w:tc>
          <w:tcPr>
            <w:tcW w:w="1531"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6C9E3B95" w14:textId="77777777">
            <w:pPr>
              <w:spacing w:line="240" w:lineRule="auto"/>
              <w:rPr>
                <w:rFonts w:ascii="Times New Roman" w:hAnsi="Times New Roman"/>
                <w:color w:val="000000"/>
                <w:sz w:val="22"/>
                <w:szCs w:val="22"/>
                <w:lang w:eastAsia="ko-KR"/>
              </w:rPr>
            </w:pPr>
            <w:r w:rsidRPr="00E42F63">
              <w:rPr>
                <w:rFonts w:ascii="Times New Roman" w:hAnsi="Times New Roman"/>
                <w:bCs/>
                <w:color w:val="000000"/>
                <w:sz w:val="22"/>
                <w:szCs w:val="22"/>
                <w:lang w:eastAsia="ko-KR"/>
              </w:rPr>
              <w:t>Northeast</w:t>
            </w:r>
          </w:p>
        </w:tc>
        <w:tc>
          <w:tcPr>
            <w:tcW w:w="1776" w:type="dxa"/>
            <w:tcBorders>
              <w:top w:val="nil"/>
              <w:left w:val="nil"/>
              <w:bottom w:val="single" w:color="BFBFBF" w:sz="8" w:space="0"/>
              <w:right w:val="single" w:color="BFBFBF" w:sz="8" w:space="0"/>
            </w:tcBorders>
            <w:shd w:val="clear" w:color="auto" w:fill="auto"/>
            <w:noWrap/>
            <w:hideMark/>
          </w:tcPr>
          <w:p w:rsidRPr="00270941" w:rsidR="00270941" w:rsidP="00270941" w:rsidRDefault="00270941" w14:paraId="0D60C296" w14:textId="456542C3">
            <w:pPr>
              <w:spacing w:line="240" w:lineRule="auto"/>
              <w:jc w:val="right"/>
              <w:rPr>
                <w:rFonts w:ascii="Times New Roman" w:hAnsi="Times New Roman"/>
                <w:color w:val="000000"/>
                <w:sz w:val="22"/>
                <w:szCs w:val="22"/>
                <w:lang w:eastAsia="ko-KR"/>
              </w:rPr>
            </w:pPr>
            <w:r w:rsidRPr="00270941">
              <w:rPr>
                <w:rFonts w:ascii="Times New Roman" w:hAnsi="Times New Roman"/>
                <w:sz w:val="22"/>
                <w:szCs w:val="22"/>
              </w:rPr>
              <w:t>439,108</w:t>
            </w:r>
          </w:p>
        </w:tc>
      </w:tr>
      <w:tr w:rsidRPr="00E42F63" w:rsidR="00270941" w:rsidTr="00270941" w14:paraId="2D9B0517" w14:textId="77777777">
        <w:trPr>
          <w:trHeight w:val="178"/>
        </w:trPr>
        <w:tc>
          <w:tcPr>
            <w:tcW w:w="1429" w:type="dxa"/>
            <w:tcBorders>
              <w:top w:val="nil"/>
              <w:left w:val="single" w:color="BFBFBF" w:sz="8" w:space="0"/>
              <w:bottom w:val="single" w:color="BFBFBF" w:sz="8" w:space="0"/>
              <w:right w:val="single" w:color="BFBFBF" w:sz="8" w:space="0"/>
            </w:tcBorders>
            <w:shd w:val="clear" w:color="auto" w:fill="auto"/>
            <w:noWrap/>
            <w:vAlign w:val="center"/>
            <w:hideMark/>
          </w:tcPr>
          <w:p w:rsidRPr="00E42F63" w:rsidR="00270941" w:rsidP="00270941" w:rsidRDefault="00270941" w14:paraId="5F6C14A9" w14:textId="77777777">
            <w:pPr>
              <w:spacing w:line="240" w:lineRule="auto"/>
              <w:jc w:val="right"/>
              <w:rPr>
                <w:rFonts w:ascii="Times New Roman" w:hAnsi="Times New Roman"/>
                <w:color w:val="000000"/>
                <w:sz w:val="22"/>
                <w:szCs w:val="22"/>
                <w:lang w:eastAsia="ko-KR"/>
              </w:rPr>
            </w:pPr>
            <w:r w:rsidRPr="00E42F63">
              <w:rPr>
                <w:rFonts w:ascii="Times New Roman" w:hAnsi="Times New Roman"/>
                <w:color w:val="000000"/>
                <w:sz w:val="22"/>
                <w:szCs w:val="22"/>
                <w:lang w:eastAsia="ko-KR"/>
              </w:rPr>
              <w:t>5</w:t>
            </w:r>
          </w:p>
        </w:tc>
        <w:tc>
          <w:tcPr>
            <w:tcW w:w="2558"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50616F49" w14:textId="00E915BF">
            <w:pPr>
              <w:spacing w:line="240" w:lineRule="auto"/>
              <w:rPr>
                <w:rFonts w:ascii="Times New Roman" w:hAnsi="Times New Roman"/>
                <w:color w:val="000000"/>
                <w:sz w:val="22"/>
                <w:szCs w:val="22"/>
                <w:lang w:eastAsia="ko-KR"/>
              </w:rPr>
            </w:pPr>
            <w:r w:rsidRPr="00E42F63">
              <w:rPr>
                <w:rFonts w:ascii="Times New Roman" w:hAnsi="Times New Roman"/>
                <w:bCs/>
                <w:color w:val="000000"/>
                <w:sz w:val="22"/>
                <w:szCs w:val="22"/>
                <w:lang w:eastAsia="ko-KR"/>
              </w:rPr>
              <w:t>Franklin County</w:t>
            </w:r>
          </w:p>
        </w:tc>
        <w:tc>
          <w:tcPr>
            <w:tcW w:w="1636"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44F71FD5" w14:textId="77777777">
            <w:pPr>
              <w:spacing w:line="240" w:lineRule="auto"/>
              <w:rPr>
                <w:rFonts w:ascii="Times New Roman" w:hAnsi="Times New Roman"/>
                <w:color w:val="000000"/>
                <w:sz w:val="22"/>
                <w:szCs w:val="22"/>
                <w:lang w:eastAsia="ko-KR"/>
              </w:rPr>
            </w:pPr>
            <w:r w:rsidRPr="00E42F63">
              <w:rPr>
                <w:rFonts w:ascii="Times New Roman" w:hAnsi="Times New Roman"/>
                <w:bCs/>
                <w:color w:val="000000"/>
                <w:sz w:val="22"/>
                <w:szCs w:val="22"/>
                <w:lang w:eastAsia="ko-KR"/>
              </w:rPr>
              <w:t>Ohio</w:t>
            </w:r>
          </w:p>
        </w:tc>
        <w:tc>
          <w:tcPr>
            <w:tcW w:w="1531"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578CFFD3" w14:textId="77777777">
            <w:pPr>
              <w:spacing w:line="240" w:lineRule="auto"/>
              <w:rPr>
                <w:rFonts w:ascii="Times New Roman" w:hAnsi="Times New Roman"/>
                <w:color w:val="000000"/>
                <w:sz w:val="22"/>
                <w:szCs w:val="22"/>
                <w:lang w:eastAsia="ko-KR"/>
              </w:rPr>
            </w:pPr>
            <w:r w:rsidRPr="00E42F63">
              <w:rPr>
                <w:rFonts w:ascii="Times New Roman" w:hAnsi="Times New Roman"/>
                <w:bCs/>
                <w:color w:val="000000"/>
                <w:sz w:val="22"/>
                <w:szCs w:val="22"/>
                <w:lang w:eastAsia="ko-KR"/>
              </w:rPr>
              <w:t>Midwest</w:t>
            </w:r>
          </w:p>
        </w:tc>
        <w:tc>
          <w:tcPr>
            <w:tcW w:w="1776" w:type="dxa"/>
            <w:tcBorders>
              <w:top w:val="nil"/>
              <w:left w:val="nil"/>
              <w:bottom w:val="single" w:color="BFBFBF" w:sz="8" w:space="0"/>
              <w:right w:val="single" w:color="BFBFBF" w:sz="8" w:space="0"/>
            </w:tcBorders>
            <w:shd w:val="clear" w:color="auto" w:fill="auto"/>
            <w:noWrap/>
            <w:hideMark/>
          </w:tcPr>
          <w:p w:rsidRPr="00270941" w:rsidR="00270941" w:rsidP="00270941" w:rsidRDefault="00270941" w14:paraId="573F2C80" w14:textId="36CEA46F">
            <w:pPr>
              <w:spacing w:line="240" w:lineRule="auto"/>
              <w:jc w:val="right"/>
              <w:rPr>
                <w:rFonts w:ascii="Times New Roman" w:hAnsi="Times New Roman"/>
                <w:color w:val="000000"/>
                <w:sz w:val="22"/>
                <w:szCs w:val="22"/>
                <w:lang w:eastAsia="ko-KR"/>
              </w:rPr>
            </w:pPr>
            <w:r w:rsidRPr="00270941">
              <w:rPr>
                <w:rFonts w:ascii="Times New Roman" w:hAnsi="Times New Roman"/>
                <w:sz w:val="22"/>
                <w:szCs w:val="22"/>
              </w:rPr>
              <w:t>1,005,657</w:t>
            </w:r>
          </w:p>
        </w:tc>
      </w:tr>
      <w:tr w:rsidRPr="00E42F63" w:rsidR="00270941" w:rsidTr="00270941" w14:paraId="777FA648" w14:textId="77777777">
        <w:trPr>
          <w:trHeight w:val="178"/>
        </w:trPr>
        <w:tc>
          <w:tcPr>
            <w:tcW w:w="1429" w:type="dxa"/>
            <w:tcBorders>
              <w:top w:val="nil"/>
              <w:left w:val="single" w:color="BFBFBF" w:sz="8" w:space="0"/>
              <w:bottom w:val="single" w:color="BFBFBF" w:sz="8" w:space="0"/>
              <w:right w:val="single" w:color="BFBFBF" w:sz="8" w:space="0"/>
            </w:tcBorders>
            <w:shd w:val="clear" w:color="auto" w:fill="auto"/>
            <w:noWrap/>
            <w:vAlign w:val="center"/>
            <w:hideMark/>
          </w:tcPr>
          <w:p w:rsidRPr="00FB708D" w:rsidR="00270941" w:rsidP="00270941" w:rsidRDefault="00270941" w14:paraId="2F1F0DFC" w14:textId="77777777">
            <w:pPr>
              <w:spacing w:line="240" w:lineRule="auto"/>
              <w:jc w:val="right"/>
              <w:rPr>
                <w:rFonts w:ascii="Times New Roman" w:hAnsi="Times New Roman"/>
                <w:bCs/>
                <w:color w:val="000000"/>
                <w:sz w:val="22"/>
                <w:szCs w:val="22"/>
                <w:lang w:eastAsia="ko-KR"/>
              </w:rPr>
            </w:pPr>
            <w:r w:rsidRPr="00FB708D">
              <w:rPr>
                <w:rFonts w:ascii="Times New Roman" w:hAnsi="Times New Roman"/>
                <w:bCs/>
                <w:color w:val="000000"/>
                <w:sz w:val="22"/>
                <w:szCs w:val="22"/>
                <w:lang w:eastAsia="ko-KR"/>
              </w:rPr>
              <w:t>6</w:t>
            </w:r>
          </w:p>
        </w:tc>
        <w:tc>
          <w:tcPr>
            <w:tcW w:w="2558"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55685317"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Washoe County</w:t>
            </w:r>
          </w:p>
        </w:tc>
        <w:tc>
          <w:tcPr>
            <w:tcW w:w="1636" w:type="dxa"/>
            <w:tcBorders>
              <w:top w:val="nil"/>
              <w:left w:val="nil"/>
              <w:bottom w:val="single" w:color="BFBFBF" w:sz="8" w:space="0"/>
              <w:right w:val="single" w:color="BFBFBF" w:sz="8" w:space="0"/>
            </w:tcBorders>
            <w:shd w:val="clear" w:color="auto" w:fill="auto"/>
            <w:vAlign w:val="center"/>
            <w:hideMark/>
          </w:tcPr>
          <w:p w:rsidRPr="00E42F63" w:rsidR="00270941" w:rsidP="00270941" w:rsidRDefault="00270941" w14:paraId="1E486B54"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Nevada</w:t>
            </w:r>
          </w:p>
        </w:tc>
        <w:tc>
          <w:tcPr>
            <w:tcW w:w="1531"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5B4A446A"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West</w:t>
            </w:r>
          </w:p>
        </w:tc>
        <w:tc>
          <w:tcPr>
            <w:tcW w:w="1776" w:type="dxa"/>
            <w:tcBorders>
              <w:top w:val="nil"/>
              <w:left w:val="nil"/>
              <w:bottom w:val="single" w:color="BFBFBF" w:sz="8" w:space="0"/>
              <w:right w:val="single" w:color="BFBFBF" w:sz="8" w:space="0"/>
            </w:tcBorders>
            <w:shd w:val="clear" w:color="auto" w:fill="auto"/>
            <w:noWrap/>
            <w:hideMark/>
          </w:tcPr>
          <w:p w:rsidRPr="00270941" w:rsidR="00270941" w:rsidP="00270941" w:rsidRDefault="00270941" w14:paraId="4B2F7A9D" w14:textId="44CF579B">
            <w:pPr>
              <w:spacing w:line="240" w:lineRule="auto"/>
              <w:jc w:val="right"/>
              <w:rPr>
                <w:rFonts w:ascii="Times New Roman" w:hAnsi="Times New Roman"/>
                <w:color w:val="000000"/>
                <w:sz w:val="22"/>
                <w:szCs w:val="22"/>
                <w:lang w:eastAsia="ko-KR"/>
              </w:rPr>
            </w:pPr>
            <w:r w:rsidRPr="00270941">
              <w:rPr>
                <w:rFonts w:ascii="Times New Roman" w:hAnsi="Times New Roman"/>
                <w:sz w:val="22"/>
                <w:szCs w:val="22"/>
              </w:rPr>
              <w:t>364,959</w:t>
            </w:r>
          </w:p>
        </w:tc>
      </w:tr>
      <w:tr w:rsidRPr="00E42F63" w:rsidR="00270941" w:rsidTr="00270941" w14:paraId="51F1651D" w14:textId="77777777">
        <w:trPr>
          <w:trHeight w:val="178"/>
        </w:trPr>
        <w:tc>
          <w:tcPr>
            <w:tcW w:w="1429" w:type="dxa"/>
            <w:tcBorders>
              <w:top w:val="nil"/>
              <w:left w:val="single" w:color="BFBFBF" w:sz="8" w:space="0"/>
              <w:bottom w:val="single" w:color="BFBFBF" w:sz="8" w:space="0"/>
              <w:right w:val="single" w:color="BFBFBF" w:sz="8" w:space="0"/>
            </w:tcBorders>
            <w:shd w:val="clear" w:color="auto" w:fill="auto"/>
            <w:noWrap/>
            <w:vAlign w:val="center"/>
            <w:hideMark/>
          </w:tcPr>
          <w:p w:rsidRPr="00FB708D" w:rsidR="00270941" w:rsidP="00270941" w:rsidRDefault="00270941" w14:paraId="771B22C5" w14:textId="77777777">
            <w:pPr>
              <w:spacing w:line="240" w:lineRule="auto"/>
              <w:jc w:val="right"/>
              <w:rPr>
                <w:rFonts w:ascii="Times New Roman" w:hAnsi="Times New Roman"/>
                <w:bCs/>
                <w:color w:val="000000"/>
                <w:sz w:val="22"/>
                <w:szCs w:val="22"/>
                <w:lang w:eastAsia="ko-KR"/>
              </w:rPr>
            </w:pPr>
            <w:r w:rsidRPr="00FB708D">
              <w:rPr>
                <w:rFonts w:ascii="Times New Roman" w:hAnsi="Times New Roman"/>
                <w:bCs/>
                <w:color w:val="000000"/>
                <w:sz w:val="22"/>
                <w:szCs w:val="22"/>
                <w:lang w:eastAsia="ko-KR"/>
              </w:rPr>
              <w:t>7</w:t>
            </w:r>
          </w:p>
        </w:tc>
        <w:tc>
          <w:tcPr>
            <w:tcW w:w="2558"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6711E144"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Penobscot County</w:t>
            </w:r>
          </w:p>
        </w:tc>
        <w:tc>
          <w:tcPr>
            <w:tcW w:w="1636"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33FBD7BA"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Maine</w:t>
            </w:r>
          </w:p>
        </w:tc>
        <w:tc>
          <w:tcPr>
            <w:tcW w:w="1531"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5F8FD53B"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Northeast</w:t>
            </w:r>
          </w:p>
        </w:tc>
        <w:tc>
          <w:tcPr>
            <w:tcW w:w="1776" w:type="dxa"/>
            <w:tcBorders>
              <w:top w:val="nil"/>
              <w:left w:val="nil"/>
              <w:bottom w:val="single" w:color="BFBFBF" w:sz="8" w:space="0"/>
              <w:right w:val="single" w:color="BFBFBF" w:sz="8" w:space="0"/>
            </w:tcBorders>
            <w:shd w:val="clear" w:color="auto" w:fill="auto"/>
            <w:noWrap/>
            <w:hideMark/>
          </w:tcPr>
          <w:p w:rsidRPr="00270941" w:rsidR="00270941" w:rsidP="00270941" w:rsidRDefault="00270941" w14:paraId="2BF43065" w14:textId="57AFF982">
            <w:pPr>
              <w:spacing w:line="240" w:lineRule="auto"/>
              <w:jc w:val="right"/>
              <w:rPr>
                <w:rFonts w:ascii="Times New Roman" w:hAnsi="Times New Roman"/>
                <w:color w:val="000000"/>
                <w:sz w:val="22"/>
                <w:szCs w:val="22"/>
                <w:lang w:eastAsia="ko-KR"/>
              </w:rPr>
            </w:pPr>
            <w:r w:rsidRPr="00270941">
              <w:rPr>
                <w:rFonts w:ascii="Times New Roman" w:hAnsi="Times New Roman"/>
                <w:sz w:val="22"/>
                <w:szCs w:val="22"/>
              </w:rPr>
              <w:t>123,702</w:t>
            </w:r>
          </w:p>
        </w:tc>
      </w:tr>
      <w:tr w:rsidRPr="00E42F63" w:rsidR="00270941" w:rsidTr="00270941" w14:paraId="7E36D23B" w14:textId="77777777">
        <w:trPr>
          <w:trHeight w:val="178"/>
        </w:trPr>
        <w:tc>
          <w:tcPr>
            <w:tcW w:w="1429" w:type="dxa"/>
            <w:tcBorders>
              <w:top w:val="nil"/>
              <w:left w:val="single" w:color="BFBFBF" w:sz="8" w:space="0"/>
              <w:bottom w:val="single" w:color="BFBFBF" w:sz="8" w:space="0"/>
              <w:right w:val="single" w:color="BFBFBF" w:sz="8" w:space="0"/>
            </w:tcBorders>
            <w:shd w:val="clear" w:color="auto" w:fill="auto"/>
            <w:noWrap/>
            <w:vAlign w:val="center"/>
            <w:hideMark/>
          </w:tcPr>
          <w:p w:rsidRPr="00FB708D" w:rsidR="00270941" w:rsidP="00270941" w:rsidRDefault="00270941" w14:paraId="34C0DBE2" w14:textId="77777777">
            <w:pPr>
              <w:spacing w:line="240" w:lineRule="auto"/>
              <w:jc w:val="right"/>
              <w:rPr>
                <w:rFonts w:ascii="Times New Roman" w:hAnsi="Times New Roman"/>
                <w:bCs/>
                <w:color w:val="000000"/>
                <w:sz w:val="22"/>
                <w:szCs w:val="22"/>
                <w:lang w:eastAsia="ko-KR"/>
              </w:rPr>
            </w:pPr>
            <w:r w:rsidRPr="00FB708D">
              <w:rPr>
                <w:rFonts w:ascii="Times New Roman" w:hAnsi="Times New Roman"/>
                <w:bCs/>
                <w:color w:val="000000"/>
                <w:sz w:val="22"/>
                <w:szCs w:val="22"/>
                <w:lang w:eastAsia="ko-KR"/>
              </w:rPr>
              <w:t>8</w:t>
            </w:r>
          </w:p>
        </w:tc>
        <w:tc>
          <w:tcPr>
            <w:tcW w:w="2558"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65C0387A"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Kosciusko County</w:t>
            </w:r>
          </w:p>
        </w:tc>
        <w:tc>
          <w:tcPr>
            <w:tcW w:w="1636"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1A43962F"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Indiana</w:t>
            </w:r>
          </w:p>
        </w:tc>
        <w:tc>
          <w:tcPr>
            <w:tcW w:w="1531" w:type="dxa"/>
            <w:tcBorders>
              <w:top w:val="nil"/>
              <w:left w:val="nil"/>
              <w:bottom w:val="single" w:color="BFBFBF" w:sz="8" w:space="0"/>
              <w:right w:val="single" w:color="BFBFBF" w:sz="8" w:space="0"/>
            </w:tcBorders>
            <w:shd w:val="clear" w:color="auto" w:fill="auto"/>
            <w:noWrap/>
            <w:vAlign w:val="center"/>
            <w:hideMark/>
          </w:tcPr>
          <w:p w:rsidRPr="00E42F63" w:rsidR="00270941" w:rsidP="00270941" w:rsidRDefault="00270941" w14:paraId="2DE55833"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Midwest</w:t>
            </w:r>
          </w:p>
        </w:tc>
        <w:tc>
          <w:tcPr>
            <w:tcW w:w="1776" w:type="dxa"/>
            <w:tcBorders>
              <w:top w:val="nil"/>
              <w:left w:val="nil"/>
              <w:bottom w:val="single" w:color="BFBFBF" w:sz="8" w:space="0"/>
              <w:right w:val="single" w:color="BFBFBF" w:sz="8" w:space="0"/>
            </w:tcBorders>
            <w:shd w:val="clear" w:color="auto" w:fill="auto"/>
            <w:noWrap/>
            <w:hideMark/>
          </w:tcPr>
          <w:p w:rsidRPr="00270941" w:rsidR="00270941" w:rsidP="00270941" w:rsidRDefault="00270941" w14:paraId="52756F2C" w14:textId="4CFE84C3">
            <w:pPr>
              <w:spacing w:line="240" w:lineRule="auto"/>
              <w:jc w:val="right"/>
              <w:rPr>
                <w:rFonts w:ascii="Times New Roman" w:hAnsi="Times New Roman"/>
                <w:color w:val="000000"/>
                <w:sz w:val="22"/>
                <w:szCs w:val="22"/>
                <w:lang w:eastAsia="ko-KR"/>
              </w:rPr>
            </w:pPr>
            <w:r w:rsidRPr="00270941">
              <w:rPr>
                <w:rFonts w:ascii="Times New Roman" w:hAnsi="Times New Roman"/>
                <w:sz w:val="22"/>
                <w:szCs w:val="22"/>
              </w:rPr>
              <w:t>60,427</w:t>
            </w:r>
          </w:p>
        </w:tc>
      </w:tr>
      <w:tr w:rsidRPr="00E42F63" w:rsidR="00270941" w:rsidTr="00270941" w14:paraId="7AD9FADE" w14:textId="77777777">
        <w:trPr>
          <w:trHeight w:val="178"/>
        </w:trPr>
        <w:tc>
          <w:tcPr>
            <w:tcW w:w="1429" w:type="dxa"/>
            <w:tcBorders>
              <w:top w:val="single" w:color="BFBFBF" w:sz="8" w:space="0"/>
              <w:left w:val="single" w:color="BFBFBF" w:sz="8" w:space="0"/>
              <w:bottom w:val="single" w:color="auto" w:sz="4" w:space="0"/>
              <w:right w:val="single" w:color="BFBFBF" w:sz="8" w:space="0"/>
            </w:tcBorders>
            <w:shd w:val="clear" w:color="auto" w:fill="auto"/>
            <w:noWrap/>
            <w:vAlign w:val="center"/>
            <w:hideMark/>
          </w:tcPr>
          <w:p w:rsidRPr="00FB708D" w:rsidR="00270941" w:rsidP="00270941" w:rsidRDefault="00270941" w14:paraId="182C2D2D" w14:textId="77777777">
            <w:pPr>
              <w:spacing w:line="240" w:lineRule="auto"/>
              <w:jc w:val="right"/>
              <w:rPr>
                <w:rFonts w:ascii="Times New Roman" w:hAnsi="Times New Roman"/>
                <w:bCs/>
                <w:color w:val="000000"/>
                <w:sz w:val="22"/>
                <w:szCs w:val="22"/>
                <w:lang w:eastAsia="ko-KR"/>
              </w:rPr>
            </w:pPr>
            <w:r w:rsidRPr="00FB708D">
              <w:rPr>
                <w:rFonts w:ascii="Times New Roman" w:hAnsi="Times New Roman"/>
                <w:bCs/>
                <w:color w:val="000000"/>
                <w:sz w:val="22"/>
                <w:szCs w:val="22"/>
                <w:lang w:eastAsia="ko-KR"/>
              </w:rPr>
              <w:t>9</w:t>
            </w:r>
          </w:p>
        </w:tc>
        <w:tc>
          <w:tcPr>
            <w:tcW w:w="2558" w:type="dxa"/>
            <w:tcBorders>
              <w:top w:val="single" w:color="BFBFBF" w:sz="8" w:space="0"/>
              <w:left w:val="nil"/>
              <w:bottom w:val="single" w:color="auto" w:sz="4" w:space="0"/>
              <w:right w:val="single" w:color="BFBFBF" w:sz="8" w:space="0"/>
            </w:tcBorders>
            <w:shd w:val="clear" w:color="auto" w:fill="auto"/>
            <w:noWrap/>
            <w:vAlign w:val="center"/>
            <w:hideMark/>
          </w:tcPr>
          <w:p w:rsidRPr="00E42F63" w:rsidR="00270941" w:rsidP="00270941" w:rsidRDefault="00270941" w14:paraId="71CDE80B"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 xml:space="preserve">Minnesota </w:t>
            </w:r>
            <w:r w:rsidRPr="00E42F63">
              <w:rPr>
                <w:rFonts w:ascii="Times New Roman" w:hAnsi="Times New Roman"/>
                <w:color w:val="000000"/>
                <w:sz w:val="16"/>
                <w:szCs w:val="16"/>
                <w:lang w:eastAsia="ko-KR"/>
              </w:rPr>
              <w:t> </w:t>
            </w:r>
            <w:r w:rsidRPr="00E42F63">
              <w:rPr>
                <w:color w:val="000000"/>
                <w:sz w:val="16"/>
                <w:szCs w:val="16"/>
                <w:lang w:eastAsia="ko-KR"/>
              </w:rPr>
              <w:t> </w:t>
            </w:r>
            <w:r w:rsidRPr="00E42F63">
              <w:rPr>
                <w:rFonts w:ascii="Times New Roman" w:hAnsi="Times New Roman"/>
                <w:color w:val="000000"/>
                <w:sz w:val="22"/>
                <w:szCs w:val="22"/>
                <w:lang w:eastAsia="ko-KR"/>
              </w:rPr>
              <w:t>State</w:t>
            </w:r>
          </w:p>
        </w:tc>
        <w:tc>
          <w:tcPr>
            <w:tcW w:w="1636" w:type="dxa"/>
            <w:tcBorders>
              <w:top w:val="single" w:color="BFBFBF" w:sz="8" w:space="0"/>
              <w:left w:val="nil"/>
              <w:bottom w:val="single" w:color="auto" w:sz="4" w:space="0"/>
              <w:right w:val="single" w:color="BFBFBF" w:sz="8" w:space="0"/>
            </w:tcBorders>
            <w:shd w:val="clear" w:color="auto" w:fill="auto"/>
            <w:vAlign w:val="center"/>
            <w:hideMark/>
          </w:tcPr>
          <w:p w:rsidRPr="00E42F63" w:rsidR="00270941" w:rsidP="00270941" w:rsidRDefault="00270941" w14:paraId="034BDFE4"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Minnesota</w:t>
            </w:r>
          </w:p>
        </w:tc>
        <w:tc>
          <w:tcPr>
            <w:tcW w:w="1531" w:type="dxa"/>
            <w:tcBorders>
              <w:top w:val="single" w:color="BFBFBF" w:sz="8" w:space="0"/>
              <w:left w:val="nil"/>
              <w:bottom w:val="single" w:color="auto" w:sz="4" w:space="0"/>
              <w:right w:val="single" w:color="BFBFBF" w:sz="8" w:space="0"/>
            </w:tcBorders>
            <w:shd w:val="clear" w:color="auto" w:fill="auto"/>
            <w:noWrap/>
            <w:vAlign w:val="center"/>
            <w:hideMark/>
          </w:tcPr>
          <w:p w:rsidRPr="00E42F63" w:rsidR="00270941" w:rsidP="00270941" w:rsidRDefault="00270941" w14:paraId="10D8E4E7" w14:textId="77777777">
            <w:pPr>
              <w:spacing w:line="240" w:lineRule="auto"/>
              <w:rPr>
                <w:rFonts w:ascii="Times New Roman" w:hAnsi="Times New Roman"/>
                <w:color w:val="000000"/>
                <w:sz w:val="22"/>
                <w:szCs w:val="22"/>
                <w:lang w:eastAsia="ko-KR"/>
              </w:rPr>
            </w:pPr>
            <w:r w:rsidRPr="00E42F63">
              <w:rPr>
                <w:rFonts w:ascii="Times New Roman" w:hAnsi="Times New Roman"/>
                <w:color w:val="000000"/>
                <w:sz w:val="22"/>
                <w:szCs w:val="22"/>
                <w:lang w:eastAsia="ko-KR"/>
              </w:rPr>
              <w:t>Midwest</w:t>
            </w:r>
          </w:p>
        </w:tc>
        <w:tc>
          <w:tcPr>
            <w:tcW w:w="1776" w:type="dxa"/>
            <w:tcBorders>
              <w:top w:val="single" w:color="BFBFBF" w:sz="8" w:space="0"/>
              <w:left w:val="nil"/>
              <w:bottom w:val="single" w:color="auto" w:sz="4" w:space="0"/>
              <w:right w:val="single" w:color="BFBFBF" w:sz="8" w:space="0"/>
            </w:tcBorders>
            <w:shd w:val="clear" w:color="auto" w:fill="auto"/>
            <w:noWrap/>
            <w:hideMark/>
          </w:tcPr>
          <w:p w:rsidRPr="00270941" w:rsidR="00270941" w:rsidP="00270941" w:rsidRDefault="00270941" w14:paraId="6BD238CD" w14:textId="0FCC8E3B">
            <w:pPr>
              <w:spacing w:line="240" w:lineRule="auto"/>
              <w:jc w:val="right"/>
              <w:rPr>
                <w:rFonts w:ascii="Times New Roman" w:hAnsi="Times New Roman"/>
                <w:color w:val="000000"/>
                <w:sz w:val="22"/>
                <w:szCs w:val="22"/>
                <w:lang w:eastAsia="ko-KR"/>
              </w:rPr>
            </w:pPr>
            <w:r w:rsidRPr="00270941">
              <w:rPr>
                <w:rFonts w:ascii="Times New Roman" w:hAnsi="Times New Roman"/>
                <w:sz w:val="22"/>
                <w:szCs w:val="22"/>
              </w:rPr>
              <w:t>4,308,564</w:t>
            </w:r>
          </w:p>
        </w:tc>
      </w:tr>
    </w:tbl>
    <w:p w:rsidR="0023245B" w:rsidP="002A20ED" w:rsidRDefault="0023245B" w14:paraId="082F0AB8" w14:textId="77777777">
      <w:pPr>
        <w:spacing w:line="276" w:lineRule="auto"/>
        <w:rPr>
          <w:rFonts w:ascii="Times New Roman" w:hAnsi="Times New Roman" w:eastAsiaTheme="minorEastAsia"/>
          <w:highlight w:val="yellow"/>
          <w:lang w:eastAsia="ko-KR"/>
        </w:rPr>
      </w:pPr>
    </w:p>
    <w:p w:rsidR="00147BA1" w:rsidP="00147BA1" w:rsidRDefault="0054364C" w14:paraId="014C699A" w14:textId="77777777">
      <w:pPr>
        <w:spacing w:line="276" w:lineRule="auto"/>
        <w:rPr>
          <w:rFonts w:ascii="Times New Roman" w:hAnsi="Times New Roman"/>
        </w:rPr>
      </w:pPr>
      <w:r>
        <w:rPr>
          <w:rFonts w:ascii="Times New Roman" w:hAnsi="Times New Roman"/>
        </w:rPr>
        <w:t xml:space="preserve">Drawing on background research on state court structures and professional contacts, Urban and NCSC identified individuals to reach out to for each </w:t>
      </w:r>
      <w:r w:rsidR="00EA3FEF">
        <w:rPr>
          <w:rFonts w:ascii="Times New Roman" w:hAnsi="Times New Roman"/>
        </w:rPr>
        <w:t xml:space="preserve">of the 9 </w:t>
      </w:r>
      <w:r>
        <w:rPr>
          <w:rFonts w:ascii="Times New Roman" w:hAnsi="Times New Roman"/>
        </w:rPr>
        <w:t>pilot site</w:t>
      </w:r>
      <w:r w:rsidR="00EA3FEF">
        <w:rPr>
          <w:rFonts w:ascii="Times New Roman" w:hAnsi="Times New Roman"/>
        </w:rPr>
        <w:t>s</w:t>
      </w:r>
      <w:r>
        <w:rPr>
          <w:rFonts w:ascii="Times New Roman" w:hAnsi="Times New Roman"/>
        </w:rPr>
        <w:t xml:space="preserve">. Urban sent an introduction email to each of these contacts, which outlined the project and requested an opportunity to speak on the phone about </w:t>
      </w:r>
      <w:r w:rsidR="00C704F2">
        <w:rPr>
          <w:rFonts w:ascii="Times New Roman" w:hAnsi="Times New Roman"/>
        </w:rPr>
        <w:t xml:space="preserve">their </w:t>
      </w:r>
      <w:r>
        <w:rPr>
          <w:rFonts w:ascii="Times New Roman" w:hAnsi="Times New Roman"/>
        </w:rPr>
        <w:t>data</w:t>
      </w:r>
      <w:r w:rsidR="00C704F2">
        <w:rPr>
          <w:rFonts w:ascii="Times New Roman" w:hAnsi="Times New Roman"/>
        </w:rPr>
        <w:t xml:space="preserve"> and the process for making a data request</w:t>
      </w:r>
      <w:r>
        <w:rPr>
          <w:rFonts w:ascii="Times New Roman" w:hAnsi="Times New Roman"/>
        </w:rPr>
        <w:t xml:space="preserve">. </w:t>
      </w:r>
      <w:r w:rsidR="00A62403">
        <w:rPr>
          <w:rFonts w:ascii="Times New Roman" w:hAnsi="Times New Roman"/>
        </w:rPr>
        <w:t xml:space="preserve">To </w:t>
      </w:r>
      <w:r w:rsidR="0014498B">
        <w:rPr>
          <w:rFonts w:ascii="Times New Roman" w:hAnsi="Times New Roman"/>
        </w:rPr>
        <w:t xml:space="preserve">minimize burden on those jurisdictions and avoid potentially damaging outcomes for our full data collection effort, the project team did not follow a rigid schedule to complete </w:t>
      </w:r>
      <w:r w:rsidR="00CF33D1">
        <w:rPr>
          <w:rFonts w:ascii="Times New Roman" w:hAnsi="Times New Roman"/>
        </w:rPr>
        <w:t xml:space="preserve">each </w:t>
      </w:r>
      <w:r w:rsidR="0014498B">
        <w:rPr>
          <w:rFonts w:ascii="Times New Roman" w:hAnsi="Times New Roman"/>
        </w:rPr>
        <w:t xml:space="preserve">data request. </w:t>
      </w:r>
      <w:r w:rsidR="00147BA1">
        <w:rPr>
          <w:rFonts w:ascii="Times New Roman" w:hAnsi="Times New Roman"/>
        </w:rPr>
        <w:t>How each jurisdiction responded to our request for information also varied considerably.</w:t>
      </w:r>
    </w:p>
    <w:p w:rsidR="0014498B" w:rsidP="0014498B" w:rsidRDefault="0014498B" w14:paraId="1344E687" w14:textId="572E7AE0">
      <w:pPr>
        <w:spacing w:line="276" w:lineRule="auto"/>
        <w:rPr>
          <w:rFonts w:ascii="Times New Roman" w:hAnsi="Times New Roman"/>
        </w:rPr>
      </w:pPr>
      <w:r>
        <w:rPr>
          <w:rFonts w:ascii="Times New Roman" w:hAnsi="Times New Roman"/>
        </w:rPr>
        <w:t xml:space="preserve">As summarized in Table 9 below, our approach to information gathering yielded varying outcomes. </w:t>
      </w:r>
    </w:p>
    <w:p w:rsidR="00FB708D" w:rsidRDefault="00FB708D" w14:paraId="5E79835A" w14:textId="2433C377">
      <w:pPr>
        <w:spacing w:after="200" w:line="276" w:lineRule="auto"/>
        <w:rPr>
          <w:rFonts w:ascii="Times New Roman" w:hAnsi="Times New Roman"/>
        </w:rPr>
      </w:pPr>
      <w:r>
        <w:rPr>
          <w:rFonts w:ascii="Times New Roman" w:hAnsi="Times New Roman"/>
        </w:rPr>
        <w:br w:type="page"/>
      </w:r>
    </w:p>
    <w:p w:rsidRPr="00FC6518" w:rsidR="007D3B8A" w:rsidP="0054364C" w:rsidRDefault="0038447A" w14:paraId="5AE0DE5D" w14:textId="01BE8987">
      <w:pPr>
        <w:spacing w:line="276" w:lineRule="auto"/>
        <w:rPr>
          <w:rFonts w:ascii="Times New Roman" w:hAnsi="Times New Roman"/>
          <w:b/>
        </w:rPr>
      </w:pPr>
      <w:r w:rsidRPr="00FC6518">
        <w:rPr>
          <w:rFonts w:ascii="Times New Roman" w:hAnsi="Times New Roman"/>
          <w:b/>
        </w:rPr>
        <w:lastRenderedPageBreak/>
        <w:t xml:space="preserve">Table 9: </w:t>
      </w:r>
      <w:r w:rsidR="00791E11">
        <w:rPr>
          <w:rFonts w:ascii="Times New Roman" w:hAnsi="Times New Roman"/>
          <w:b/>
        </w:rPr>
        <w:t xml:space="preserve">Summary of </w:t>
      </w:r>
      <w:r w:rsidRPr="00FC6518">
        <w:rPr>
          <w:rFonts w:ascii="Times New Roman" w:hAnsi="Times New Roman"/>
          <w:b/>
        </w:rPr>
        <w:t>Pilot Results</w:t>
      </w:r>
    </w:p>
    <w:tbl>
      <w:tblPr>
        <w:tblStyle w:val="TableWestatStandardFormat"/>
        <w:tblW w:w="0" w:type="auto"/>
        <w:tblLayout w:type="fixed"/>
        <w:tblLook w:val="04A0" w:firstRow="1" w:lastRow="0" w:firstColumn="1" w:lastColumn="0" w:noHBand="0" w:noVBand="1"/>
      </w:tblPr>
      <w:tblGrid>
        <w:gridCol w:w="2812"/>
        <w:gridCol w:w="1177"/>
        <w:gridCol w:w="936"/>
        <w:gridCol w:w="977"/>
        <w:gridCol w:w="1203"/>
        <w:gridCol w:w="2245"/>
      </w:tblGrid>
      <w:tr w:rsidRPr="00FB708D" w:rsidR="007D3B8A" w:rsidTr="00861F75" w14:paraId="796BE00B" w14:textId="77777777">
        <w:trPr>
          <w:cnfStyle w:val="100000000000" w:firstRow="1" w:lastRow="0" w:firstColumn="0" w:lastColumn="0" w:oddVBand="0" w:evenVBand="0" w:oddHBand="0" w:evenHBand="0" w:firstRowFirstColumn="0" w:firstRowLastColumn="0" w:lastRowFirstColumn="0" w:lastRowLastColumn="0"/>
        </w:trPr>
        <w:tc>
          <w:tcPr>
            <w:tcW w:w="2812" w:type="dxa"/>
          </w:tcPr>
          <w:p w:rsidRPr="00FB708D" w:rsidR="00D847F0" w:rsidP="00861F75" w:rsidRDefault="00D847F0" w14:paraId="1B0FAD96" w14:textId="15885F38">
            <w:pPr>
              <w:spacing w:line="276" w:lineRule="auto"/>
              <w:jc w:val="left"/>
              <w:rPr>
                <w:rFonts w:ascii="Times New Roman" w:hAnsi="Times New Roman"/>
                <w:b/>
                <w:sz w:val="22"/>
                <w:szCs w:val="22"/>
              </w:rPr>
            </w:pPr>
            <w:r w:rsidRPr="00FB708D">
              <w:rPr>
                <w:rFonts w:ascii="Times New Roman" w:hAnsi="Times New Roman"/>
                <w:b/>
                <w:sz w:val="22"/>
                <w:szCs w:val="22"/>
              </w:rPr>
              <w:t>Jurisdiction</w:t>
            </w:r>
          </w:p>
        </w:tc>
        <w:tc>
          <w:tcPr>
            <w:tcW w:w="1177" w:type="dxa"/>
          </w:tcPr>
          <w:p w:rsidRPr="00FB708D" w:rsidR="00D847F0" w:rsidP="0054364C" w:rsidRDefault="00D847F0" w14:paraId="5F6C2942" w14:textId="62684283">
            <w:pPr>
              <w:spacing w:line="276" w:lineRule="auto"/>
              <w:rPr>
                <w:rFonts w:ascii="Times New Roman" w:hAnsi="Times New Roman"/>
                <w:b/>
                <w:sz w:val="22"/>
                <w:szCs w:val="22"/>
              </w:rPr>
            </w:pPr>
            <w:r w:rsidRPr="00FB708D">
              <w:rPr>
                <w:rFonts w:ascii="Times New Roman" w:hAnsi="Times New Roman"/>
                <w:b/>
                <w:sz w:val="22"/>
                <w:szCs w:val="22"/>
              </w:rPr>
              <w:t>No Response</w:t>
            </w:r>
          </w:p>
        </w:tc>
        <w:tc>
          <w:tcPr>
            <w:tcW w:w="936" w:type="dxa"/>
          </w:tcPr>
          <w:p w:rsidRPr="00FB708D" w:rsidR="00D847F0" w:rsidP="0054364C" w:rsidRDefault="00D847F0" w14:paraId="0F2CD9F3" w14:textId="6EF26C39">
            <w:pPr>
              <w:spacing w:line="276" w:lineRule="auto"/>
              <w:rPr>
                <w:rFonts w:ascii="Times New Roman" w:hAnsi="Times New Roman"/>
                <w:b/>
                <w:sz w:val="22"/>
                <w:szCs w:val="22"/>
              </w:rPr>
            </w:pPr>
            <w:r w:rsidRPr="00FB708D">
              <w:rPr>
                <w:rFonts w:ascii="Times New Roman" w:hAnsi="Times New Roman"/>
                <w:b/>
                <w:sz w:val="22"/>
                <w:szCs w:val="22"/>
              </w:rPr>
              <w:t>Denied</w:t>
            </w:r>
          </w:p>
        </w:tc>
        <w:tc>
          <w:tcPr>
            <w:tcW w:w="977" w:type="dxa"/>
          </w:tcPr>
          <w:p w:rsidRPr="00FB708D" w:rsidR="00D847F0" w:rsidP="00C260D5" w:rsidRDefault="00D847F0" w14:paraId="438301A6" w14:textId="4F10D0D6">
            <w:pPr>
              <w:spacing w:line="276" w:lineRule="auto"/>
              <w:rPr>
                <w:rFonts w:ascii="Times New Roman" w:hAnsi="Times New Roman"/>
                <w:b/>
                <w:sz w:val="22"/>
                <w:szCs w:val="22"/>
              </w:rPr>
            </w:pPr>
            <w:r w:rsidRPr="00FB708D">
              <w:rPr>
                <w:rFonts w:ascii="Times New Roman" w:hAnsi="Times New Roman"/>
                <w:b/>
                <w:sz w:val="22"/>
                <w:szCs w:val="22"/>
              </w:rPr>
              <w:t>Held Call</w:t>
            </w:r>
          </w:p>
        </w:tc>
        <w:tc>
          <w:tcPr>
            <w:tcW w:w="1203" w:type="dxa"/>
          </w:tcPr>
          <w:p w:rsidRPr="00FB708D" w:rsidR="00D847F0" w:rsidP="0054364C" w:rsidRDefault="00D847F0" w14:paraId="13E312F3" w14:textId="02200BEE">
            <w:pPr>
              <w:spacing w:line="276" w:lineRule="auto"/>
              <w:rPr>
                <w:rFonts w:ascii="Times New Roman" w:hAnsi="Times New Roman"/>
                <w:b/>
                <w:sz w:val="22"/>
                <w:szCs w:val="22"/>
              </w:rPr>
            </w:pPr>
            <w:r w:rsidRPr="00FB708D">
              <w:rPr>
                <w:rFonts w:ascii="Times New Roman" w:hAnsi="Times New Roman"/>
                <w:b/>
                <w:sz w:val="22"/>
                <w:szCs w:val="22"/>
              </w:rPr>
              <w:t>Reviewed Data Request</w:t>
            </w:r>
          </w:p>
        </w:tc>
        <w:tc>
          <w:tcPr>
            <w:tcW w:w="2245" w:type="dxa"/>
          </w:tcPr>
          <w:p w:rsidRPr="00FB708D" w:rsidR="00D847F0" w:rsidP="0054364C" w:rsidRDefault="00C260D5" w14:paraId="095ABF5C" w14:textId="55D72C1C">
            <w:pPr>
              <w:spacing w:line="276" w:lineRule="auto"/>
              <w:rPr>
                <w:rFonts w:ascii="Times New Roman" w:hAnsi="Times New Roman"/>
                <w:b/>
                <w:sz w:val="22"/>
                <w:szCs w:val="22"/>
              </w:rPr>
            </w:pPr>
            <w:r w:rsidRPr="00FB708D">
              <w:rPr>
                <w:rFonts w:ascii="Times New Roman" w:hAnsi="Times New Roman"/>
                <w:b/>
                <w:sz w:val="22"/>
                <w:szCs w:val="22"/>
              </w:rPr>
              <w:t>Closed Reason</w:t>
            </w:r>
          </w:p>
        </w:tc>
      </w:tr>
      <w:tr w:rsidRPr="00FB708D" w:rsidR="005032C7" w:rsidTr="00861F75" w14:paraId="582E22A9" w14:textId="77777777">
        <w:tc>
          <w:tcPr>
            <w:tcW w:w="2812"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6D7E1B7D" w14:textId="02F424A5">
            <w:pPr>
              <w:spacing w:line="276" w:lineRule="auto"/>
              <w:rPr>
                <w:rFonts w:ascii="Times New Roman" w:hAnsi="Times New Roman"/>
                <w:sz w:val="22"/>
                <w:szCs w:val="22"/>
              </w:rPr>
            </w:pPr>
            <w:r w:rsidRPr="00FB708D">
              <w:rPr>
                <w:rFonts w:ascii="Times New Roman" w:hAnsi="Times New Roman"/>
                <w:color w:val="000000"/>
                <w:sz w:val="22"/>
                <w:szCs w:val="22"/>
              </w:rPr>
              <w:t>Orange County, CA</w:t>
            </w:r>
          </w:p>
        </w:tc>
        <w:tc>
          <w:tcPr>
            <w:tcW w:w="11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349EC4B2" w14:textId="71BD5C54">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36"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33A0C8F3" w14:textId="088BF1F0">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19F17543" w14:textId="7BCD3B8E">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1203"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5F2C3FB7" w14:textId="0B72BFB5">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2245"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3F95280C" w14:textId="19502C35">
            <w:pPr>
              <w:spacing w:line="276" w:lineRule="auto"/>
              <w:rPr>
                <w:rFonts w:ascii="Times New Roman" w:hAnsi="Times New Roman"/>
                <w:sz w:val="22"/>
                <w:szCs w:val="22"/>
              </w:rPr>
            </w:pPr>
            <w:r w:rsidRPr="00FB708D">
              <w:rPr>
                <w:rFonts w:ascii="Times New Roman" w:hAnsi="Times New Roman"/>
                <w:color w:val="000000"/>
                <w:sz w:val="22"/>
                <w:szCs w:val="22"/>
              </w:rPr>
              <w:t>Denied due to resource constraints</w:t>
            </w:r>
          </w:p>
        </w:tc>
      </w:tr>
      <w:tr w:rsidRPr="00FB708D" w:rsidR="005032C7" w:rsidTr="00861F75" w14:paraId="630D002D" w14:textId="77777777">
        <w:tc>
          <w:tcPr>
            <w:tcW w:w="2812"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3AEB4A89" w14:textId="6A238CED">
            <w:pPr>
              <w:spacing w:line="276" w:lineRule="auto"/>
              <w:rPr>
                <w:rFonts w:ascii="Times New Roman" w:hAnsi="Times New Roman"/>
                <w:sz w:val="22"/>
                <w:szCs w:val="22"/>
              </w:rPr>
            </w:pPr>
            <w:r w:rsidRPr="00FB708D">
              <w:rPr>
                <w:rFonts w:ascii="Times New Roman" w:hAnsi="Times New Roman"/>
                <w:color w:val="000000"/>
                <w:sz w:val="22"/>
                <w:szCs w:val="22"/>
              </w:rPr>
              <w:t>Bexar County, TX</w:t>
            </w:r>
          </w:p>
        </w:tc>
        <w:tc>
          <w:tcPr>
            <w:tcW w:w="11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6F972BC7" w14:textId="70E24E9D">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936"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15777279" w14:textId="4A346449">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226F4521" w14:textId="56F814FE">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1203"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21BBCD2B" w14:textId="064A3143">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2245"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3CBABDB8" w14:textId="1A4E8A0E">
            <w:pPr>
              <w:spacing w:line="276" w:lineRule="auto"/>
              <w:rPr>
                <w:rFonts w:ascii="Times New Roman" w:hAnsi="Times New Roman"/>
                <w:sz w:val="22"/>
                <w:szCs w:val="22"/>
              </w:rPr>
            </w:pPr>
            <w:r w:rsidRPr="00FB708D">
              <w:rPr>
                <w:rFonts w:ascii="Times New Roman" w:hAnsi="Times New Roman"/>
                <w:color w:val="000000"/>
                <w:sz w:val="22"/>
                <w:szCs w:val="22"/>
              </w:rPr>
              <w:t>No response</w:t>
            </w:r>
          </w:p>
        </w:tc>
      </w:tr>
      <w:tr w:rsidRPr="00FB708D" w:rsidR="005032C7" w:rsidTr="00861F75" w14:paraId="3863040E" w14:textId="77777777">
        <w:tc>
          <w:tcPr>
            <w:tcW w:w="2812"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3DEE4604" w14:textId="3BF4F4DF">
            <w:pPr>
              <w:spacing w:line="276" w:lineRule="auto"/>
              <w:rPr>
                <w:rFonts w:ascii="Times New Roman" w:hAnsi="Times New Roman"/>
                <w:sz w:val="22"/>
                <w:szCs w:val="22"/>
              </w:rPr>
            </w:pPr>
            <w:r w:rsidRPr="00FB708D">
              <w:rPr>
                <w:rFonts w:ascii="Times New Roman" w:hAnsi="Times New Roman"/>
                <w:color w:val="000000"/>
                <w:sz w:val="22"/>
                <w:szCs w:val="22"/>
              </w:rPr>
              <w:t>Palm Beach County, FL</w:t>
            </w:r>
          </w:p>
        </w:tc>
        <w:tc>
          <w:tcPr>
            <w:tcW w:w="11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18238AE7" w14:textId="3F62EBEC">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36"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40B1EF8C" w14:textId="51019F90">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7900DF1E" w14:textId="03ECF02D">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1203"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317C6FAB" w14:textId="657A55FD">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2245"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0DD4D102" w14:textId="6F6B3F22">
            <w:pPr>
              <w:spacing w:line="276" w:lineRule="auto"/>
              <w:rPr>
                <w:rFonts w:ascii="Times New Roman" w:hAnsi="Times New Roman"/>
                <w:sz w:val="22"/>
                <w:szCs w:val="22"/>
              </w:rPr>
            </w:pPr>
            <w:r w:rsidRPr="00FB708D">
              <w:rPr>
                <w:rFonts w:ascii="Times New Roman" w:hAnsi="Times New Roman"/>
                <w:color w:val="000000"/>
                <w:sz w:val="22"/>
                <w:szCs w:val="22"/>
              </w:rPr>
              <w:t>Approved</w:t>
            </w:r>
          </w:p>
        </w:tc>
      </w:tr>
      <w:tr w:rsidRPr="00FB708D" w:rsidR="005032C7" w:rsidTr="00861F75" w14:paraId="6651749C" w14:textId="77777777">
        <w:tc>
          <w:tcPr>
            <w:tcW w:w="2812"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499F6E1E" w14:textId="48BD369D">
            <w:pPr>
              <w:spacing w:line="276" w:lineRule="auto"/>
              <w:rPr>
                <w:rFonts w:ascii="Times New Roman" w:hAnsi="Times New Roman"/>
                <w:sz w:val="22"/>
                <w:szCs w:val="22"/>
              </w:rPr>
            </w:pPr>
            <w:r w:rsidRPr="00FB708D">
              <w:rPr>
                <w:rFonts w:ascii="Times New Roman" w:hAnsi="Times New Roman"/>
                <w:color w:val="000000"/>
                <w:sz w:val="22"/>
                <w:szCs w:val="22"/>
              </w:rPr>
              <w:t>New Castle County, DE*</w:t>
            </w:r>
          </w:p>
        </w:tc>
        <w:tc>
          <w:tcPr>
            <w:tcW w:w="11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29802B54" w14:textId="1DE4FB82">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36"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72F51385" w14:textId="74915D40">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0450575C" w14:textId="05CA87DD">
            <w:pPr>
              <w:spacing w:line="276" w:lineRule="auto"/>
              <w:rPr>
                <w:rFonts w:ascii="Times New Roman" w:hAnsi="Times New Roman"/>
                <w:sz w:val="22"/>
                <w:szCs w:val="22"/>
              </w:rPr>
            </w:pPr>
            <w:r w:rsidRPr="00FB708D">
              <w:rPr>
                <w:rFonts w:ascii="Times New Roman" w:hAnsi="Times New Roman"/>
                <w:color w:val="000000"/>
                <w:sz w:val="22"/>
                <w:szCs w:val="22"/>
              </w:rPr>
              <w:t>State Follow-up call</w:t>
            </w:r>
          </w:p>
        </w:tc>
        <w:tc>
          <w:tcPr>
            <w:tcW w:w="1203"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19340B76" w14:textId="10702E71">
            <w:pPr>
              <w:spacing w:line="276" w:lineRule="auto"/>
              <w:rPr>
                <w:rFonts w:ascii="Times New Roman" w:hAnsi="Times New Roman"/>
                <w:sz w:val="22"/>
                <w:szCs w:val="22"/>
              </w:rPr>
            </w:pPr>
            <w:r w:rsidRPr="00FB708D">
              <w:rPr>
                <w:rFonts w:ascii="Times New Roman" w:hAnsi="Times New Roman"/>
                <w:color w:val="000000"/>
                <w:sz w:val="22"/>
                <w:szCs w:val="22"/>
              </w:rPr>
              <w:t>X, referred to State</w:t>
            </w:r>
          </w:p>
        </w:tc>
        <w:tc>
          <w:tcPr>
            <w:tcW w:w="2245"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7CA879B1" w14:textId="662EEDE5">
            <w:pPr>
              <w:spacing w:line="276" w:lineRule="auto"/>
              <w:rPr>
                <w:rFonts w:ascii="Times New Roman" w:hAnsi="Times New Roman"/>
                <w:sz w:val="22"/>
                <w:szCs w:val="22"/>
              </w:rPr>
            </w:pPr>
            <w:r w:rsidRPr="00FB708D">
              <w:rPr>
                <w:rFonts w:ascii="Times New Roman" w:hAnsi="Times New Roman"/>
                <w:color w:val="000000"/>
                <w:sz w:val="22"/>
                <w:szCs w:val="22"/>
              </w:rPr>
              <w:t>Referred to state, state drop off (statute, resources)</w:t>
            </w:r>
          </w:p>
        </w:tc>
      </w:tr>
      <w:tr w:rsidRPr="00FB708D" w:rsidR="005032C7" w:rsidTr="00861F75" w14:paraId="454A35A8" w14:textId="77777777">
        <w:tc>
          <w:tcPr>
            <w:tcW w:w="2812"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61171C8A" w14:textId="31ED2FD7">
            <w:pPr>
              <w:spacing w:line="276" w:lineRule="auto"/>
              <w:rPr>
                <w:rFonts w:ascii="Times New Roman" w:hAnsi="Times New Roman"/>
                <w:sz w:val="22"/>
                <w:szCs w:val="22"/>
              </w:rPr>
            </w:pPr>
            <w:r w:rsidRPr="00FB708D">
              <w:rPr>
                <w:rFonts w:ascii="Times New Roman" w:hAnsi="Times New Roman"/>
                <w:color w:val="000000"/>
                <w:sz w:val="22"/>
                <w:szCs w:val="22"/>
              </w:rPr>
              <w:t>Franklin County, OH</w:t>
            </w:r>
          </w:p>
        </w:tc>
        <w:tc>
          <w:tcPr>
            <w:tcW w:w="11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3EB75DE9" w14:textId="73512AB6">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36"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107544A3" w14:textId="0BE07FA2">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4EAEB937" w14:textId="3E8D128A">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1203"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20046014" w14:textId="1F580793">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2245"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62E6A4B9" w14:textId="725CE723">
            <w:pPr>
              <w:spacing w:line="276" w:lineRule="auto"/>
              <w:rPr>
                <w:rFonts w:ascii="Times New Roman" w:hAnsi="Times New Roman"/>
                <w:sz w:val="22"/>
                <w:szCs w:val="22"/>
              </w:rPr>
            </w:pPr>
            <w:r w:rsidRPr="00FB708D">
              <w:rPr>
                <w:rFonts w:ascii="Times New Roman" w:hAnsi="Times New Roman"/>
                <w:color w:val="000000"/>
                <w:sz w:val="22"/>
                <w:szCs w:val="22"/>
              </w:rPr>
              <w:t>Referred to state Ohio Courts Network (OCN) due to lack of resources</w:t>
            </w:r>
          </w:p>
        </w:tc>
      </w:tr>
      <w:tr w:rsidRPr="00FB708D" w:rsidR="005032C7" w:rsidTr="00861F75" w14:paraId="33BBE1DF" w14:textId="77777777">
        <w:tc>
          <w:tcPr>
            <w:tcW w:w="2812"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4AF94FD0" w14:textId="60670F5B">
            <w:pPr>
              <w:spacing w:line="276" w:lineRule="auto"/>
              <w:rPr>
                <w:rFonts w:ascii="Times New Roman" w:hAnsi="Times New Roman"/>
                <w:sz w:val="22"/>
                <w:szCs w:val="22"/>
              </w:rPr>
            </w:pPr>
            <w:r w:rsidRPr="00FB708D">
              <w:rPr>
                <w:rFonts w:ascii="Times New Roman" w:hAnsi="Times New Roman"/>
                <w:color w:val="000000"/>
                <w:sz w:val="22"/>
                <w:szCs w:val="22"/>
              </w:rPr>
              <w:t>Washoe County, NV</w:t>
            </w:r>
          </w:p>
        </w:tc>
        <w:tc>
          <w:tcPr>
            <w:tcW w:w="11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12440A75" w14:textId="6CC4FC2F">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36"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3975F043" w14:textId="5C0B8704">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5977B9F9" w14:textId="41478CAE">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1203"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6126765F" w14:textId="44F87FC5">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2245"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1B981074" w14:textId="1F06FDA6">
            <w:pPr>
              <w:spacing w:line="276" w:lineRule="auto"/>
              <w:rPr>
                <w:rFonts w:ascii="Times New Roman" w:hAnsi="Times New Roman"/>
                <w:sz w:val="22"/>
                <w:szCs w:val="22"/>
              </w:rPr>
            </w:pPr>
            <w:r w:rsidRPr="00FB708D">
              <w:rPr>
                <w:rFonts w:ascii="Times New Roman" w:hAnsi="Times New Roman"/>
                <w:color w:val="000000"/>
                <w:sz w:val="22"/>
                <w:szCs w:val="22"/>
              </w:rPr>
              <w:t xml:space="preserve">Approved, MOU </w:t>
            </w:r>
          </w:p>
        </w:tc>
      </w:tr>
      <w:tr w:rsidRPr="00FB708D" w:rsidR="005032C7" w:rsidTr="00861F75" w14:paraId="4A5A7EF5" w14:textId="77777777">
        <w:tc>
          <w:tcPr>
            <w:tcW w:w="2812"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49D4F689" w14:textId="563EBB6D">
            <w:pPr>
              <w:spacing w:line="276" w:lineRule="auto"/>
              <w:rPr>
                <w:rFonts w:ascii="Times New Roman" w:hAnsi="Times New Roman"/>
                <w:sz w:val="22"/>
                <w:szCs w:val="22"/>
              </w:rPr>
            </w:pPr>
            <w:r w:rsidRPr="00FB708D">
              <w:rPr>
                <w:rFonts w:ascii="Times New Roman" w:hAnsi="Times New Roman"/>
                <w:color w:val="000000"/>
                <w:sz w:val="22"/>
                <w:szCs w:val="22"/>
              </w:rPr>
              <w:t>Penobscot County, ME*</w:t>
            </w:r>
          </w:p>
        </w:tc>
        <w:tc>
          <w:tcPr>
            <w:tcW w:w="11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7A30DE30" w14:textId="3FA9372A">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36"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162E8F98" w14:textId="59B615AE">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0A02CD66" w14:textId="4AF1B6B3">
            <w:pPr>
              <w:spacing w:line="276" w:lineRule="auto"/>
              <w:rPr>
                <w:rFonts w:ascii="Times New Roman" w:hAnsi="Times New Roman"/>
                <w:sz w:val="22"/>
                <w:szCs w:val="22"/>
              </w:rPr>
            </w:pPr>
            <w:r w:rsidRPr="00FB708D">
              <w:rPr>
                <w:rFonts w:ascii="Times New Roman" w:hAnsi="Times New Roman"/>
                <w:color w:val="000000"/>
                <w:sz w:val="22"/>
                <w:szCs w:val="22"/>
              </w:rPr>
              <w:t>State Follow-up call</w:t>
            </w:r>
          </w:p>
        </w:tc>
        <w:tc>
          <w:tcPr>
            <w:tcW w:w="1203"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288E7D8D" w14:textId="7339A1D1">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2245"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7D73463D" w14:textId="2D69254B">
            <w:pPr>
              <w:spacing w:line="276" w:lineRule="auto"/>
              <w:rPr>
                <w:rFonts w:ascii="Times New Roman" w:hAnsi="Times New Roman"/>
                <w:sz w:val="22"/>
                <w:szCs w:val="22"/>
              </w:rPr>
            </w:pPr>
            <w:r w:rsidRPr="00FB708D">
              <w:rPr>
                <w:rFonts w:ascii="Times New Roman" w:hAnsi="Times New Roman"/>
                <w:color w:val="000000"/>
                <w:sz w:val="22"/>
                <w:szCs w:val="22"/>
              </w:rPr>
              <w:t>Referred to state, state drop off (resource constraint)</w:t>
            </w:r>
          </w:p>
        </w:tc>
      </w:tr>
      <w:tr w:rsidRPr="00FB708D" w:rsidR="005032C7" w:rsidTr="00861F75" w14:paraId="5549E416" w14:textId="77777777">
        <w:tc>
          <w:tcPr>
            <w:tcW w:w="2812"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67F2BDCC" w14:textId="6830B023">
            <w:pPr>
              <w:spacing w:line="276" w:lineRule="auto"/>
              <w:rPr>
                <w:rFonts w:ascii="Times New Roman" w:hAnsi="Times New Roman"/>
                <w:sz w:val="22"/>
                <w:szCs w:val="22"/>
              </w:rPr>
            </w:pPr>
            <w:r w:rsidRPr="00FB708D">
              <w:rPr>
                <w:rFonts w:ascii="Times New Roman" w:hAnsi="Times New Roman"/>
                <w:color w:val="000000"/>
                <w:sz w:val="22"/>
                <w:szCs w:val="22"/>
              </w:rPr>
              <w:t>Kosciusko County, IN*</w:t>
            </w:r>
          </w:p>
        </w:tc>
        <w:tc>
          <w:tcPr>
            <w:tcW w:w="11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18784F92" w14:textId="2EE22301">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36"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39C8EEFD" w14:textId="3465B39B">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666823A2" w14:textId="188AEDF4">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1203"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442BE69A" w14:textId="766C6A70">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2245"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633A793C" w14:textId="78BC250E">
            <w:pPr>
              <w:spacing w:line="276" w:lineRule="auto"/>
              <w:rPr>
                <w:rFonts w:ascii="Times New Roman" w:hAnsi="Times New Roman"/>
                <w:sz w:val="22"/>
                <w:szCs w:val="22"/>
              </w:rPr>
            </w:pPr>
            <w:r w:rsidRPr="00FB708D">
              <w:rPr>
                <w:rFonts w:ascii="Times New Roman" w:hAnsi="Times New Roman"/>
                <w:color w:val="000000"/>
                <w:sz w:val="22"/>
                <w:szCs w:val="22"/>
              </w:rPr>
              <w:t>Referred to state, negotiate MOU</w:t>
            </w:r>
          </w:p>
        </w:tc>
      </w:tr>
      <w:tr w:rsidRPr="00FB708D" w:rsidR="005032C7" w:rsidTr="00861F75" w14:paraId="0509D2E2" w14:textId="77777777">
        <w:tc>
          <w:tcPr>
            <w:tcW w:w="2812"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3028298C" w14:textId="7CCC99C2">
            <w:pPr>
              <w:spacing w:line="276" w:lineRule="auto"/>
              <w:rPr>
                <w:rFonts w:ascii="Times New Roman" w:hAnsi="Times New Roman"/>
                <w:sz w:val="22"/>
                <w:szCs w:val="22"/>
              </w:rPr>
            </w:pPr>
            <w:r w:rsidRPr="00FB708D">
              <w:rPr>
                <w:rFonts w:ascii="Times New Roman" w:hAnsi="Times New Roman"/>
                <w:color w:val="000000"/>
                <w:sz w:val="22"/>
                <w:szCs w:val="22"/>
              </w:rPr>
              <w:t>Minnesota</w:t>
            </w:r>
          </w:p>
        </w:tc>
        <w:tc>
          <w:tcPr>
            <w:tcW w:w="11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1331FBF7" w14:textId="5033B265">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36"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4AFD2F57" w14:textId="6A4F9D89">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977"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0FCEB941" w14:textId="52C712C6">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1203"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08A59A7B" w14:textId="30F70773">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2245" w:type="dxa"/>
            <w:tcBorders>
              <w:top w:val="single" w:color="auto" w:sz="4" w:space="0"/>
              <w:left w:val="single" w:color="auto" w:sz="4" w:space="0"/>
              <w:bottom w:val="single" w:color="auto" w:sz="4" w:space="0"/>
              <w:right w:val="single" w:color="auto" w:sz="4" w:space="0"/>
            </w:tcBorders>
          </w:tcPr>
          <w:p w:rsidRPr="00FB708D" w:rsidR="005032C7" w:rsidP="005032C7" w:rsidRDefault="005032C7" w14:paraId="54240612" w14:textId="77D6B8FD">
            <w:pPr>
              <w:spacing w:line="276" w:lineRule="auto"/>
              <w:rPr>
                <w:rFonts w:ascii="Times New Roman" w:hAnsi="Times New Roman"/>
                <w:sz w:val="22"/>
                <w:szCs w:val="22"/>
              </w:rPr>
            </w:pPr>
            <w:r w:rsidRPr="00FB708D">
              <w:rPr>
                <w:rFonts w:ascii="Times New Roman" w:hAnsi="Times New Roman"/>
                <w:color w:val="000000"/>
                <w:sz w:val="22"/>
                <w:szCs w:val="22"/>
              </w:rPr>
              <w:t>Denied, prefer to wait for full collection</w:t>
            </w:r>
          </w:p>
        </w:tc>
      </w:tr>
    </w:tbl>
    <w:p w:rsidRPr="00FC6518" w:rsidR="0054364C" w:rsidP="0054364C" w:rsidRDefault="00995C32" w14:paraId="15B83DAC" w14:textId="32C0F8D8">
      <w:pPr>
        <w:spacing w:line="276" w:lineRule="auto"/>
        <w:rPr>
          <w:rFonts w:ascii="Times New Roman" w:hAnsi="Times New Roman" w:eastAsiaTheme="minorEastAsia"/>
          <w:lang w:eastAsia="ko-KR"/>
        </w:rPr>
      </w:pPr>
      <w:r w:rsidRPr="00FC6518">
        <w:rPr>
          <w:rFonts w:ascii="Times New Roman" w:hAnsi="Times New Roman" w:eastAsiaTheme="minorEastAsia"/>
          <w:lang w:eastAsia="ko-KR"/>
        </w:rPr>
        <w:t>*</w:t>
      </w:r>
      <w:r>
        <w:rPr>
          <w:rFonts w:ascii="Times New Roman" w:hAnsi="Times New Roman" w:eastAsiaTheme="minorEastAsia"/>
          <w:lang w:eastAsia="ko-KR"/>
        </w:rPr>
        <w:t xml:space="preserve"> Requests should go through state court office, not the county</w:t>
      </w:r>
    </w:p>
    <w:p w:rsidR="00995C32" w:rsidP="0054364C" w:rsidRDefault="00995C32" w14:paraId="5D863079" w14:textId="77777777">
      <w:pPr>
        <w:spacing w:line="276" w:lineRule="auto"/>
        <w:rPr>
          <w:rFonts w:ascii="Times New Roman" w:hAnsi="Times New Roman"/>
        </w:rPr>
      </w:pPr>
    </w:p>
    <w:p w:rsidR="00CF33D1" w:rsidP="00CF33D1" w:rsidRDefault="00CF33D1" w14:paraId="348811C2" w14:textId="1BCFB2D6">
      <w:pPr>
        <w:spacing w:line="276" w:lineRule="auto"/>
        <w:rPr>
          <w:rFonts w:ascii="Times New Roman" w:hAnsi="Times New Roman"/>
        </w:rPr>
      </w:pPr>
      <w:r>
        <w:rPr>
          <w:rFonts w:ascii="Times New Roman" w:hAnsi="Times New Roman"/>
        </w:rPr>
        <w:t xml:space="preserve">Eight of the pilot sites responded to either schedule a call or refer us to another agency. Urban conducted phone calls with the pilot sites that had not been contacted previously, as well as held follow up calls with the state courts previously contacted, to review the availability of their data. In total, three sites referred us to a state court office, three denied our request, and 2 approved our request. Urban and NCSC continued to follow up with states through the end of the pilot period (November 22, 2019) to encourage state participation. One of them participated in a phone call, reviewed our request, and referred us to a state agency. For sites that indicated they could make pilot data available, Urban initiated a data request. </w:t>
      </w:r>
    </w:p>
    <w:p w:rsidR="00CF33D1" w:rsidP="0054364C" w:rsidRDefault="00CF33D1" w14:paraId="6AAF7071" w14:textId="77777777">
      <w:pPr>
        <w:spacing w:line="276" w:lineRule="auto"/>
        <w:rPr>
          <w:rFonts w:ascii="Times New Roman" w:hAnsi="Times New Roman"/>
        </w:rPr>
      </w:pPr>
    </w:p>
    <w:p w:rsidR="00655A91" w:rsidP="00FC6518" w:rsidRDefault="007013CA" w14:paraId="1B1866EB" w14:textId="4AF38A43">
      <w:pPr>
        <w:spacing w:line="276" w:lineRule="auto"/>
        <w:rPr>
          <w:rFonts w:ascii="Times New Roman" w:hAnsi="Times New Roman"/>
        </w:rPr>
      </w:pPr>
      <w:r>
        <w:rPr>
          <w:rFonts w:ascii="Times New Roman" w:hAnsi="Times New Roman"/>
        </w:rPr>
        <w:t>We learned</w:t>
      </w:r>
      <w:r w:rsidR="0054364C">
        <w:rPr>
          <w:rFonts w:ascii="Times New Roman" w:hAnsi="Times New Roman"/>
        </w:rPr>
        <w:t xml:space="preserve"> a few </w:t>
      </w:r>
      <w:r w:rsidR="00FE3595">
        <w:rPr>
          <w:rFonts w:ascii="Times New Roman" w:hAnsi="Times New Roman"/>
        </w:rPr>
        <w:t>important lessons from the pilot test</w:t>
      </w:r>
      <w:r w:rsidR="0054364C">
        <w:rPr>
          <w:rFonts w:ascii="Times New Roman" w:hAnsi="Times New Roman"/>
        </w:rPr>
        <w:t xml:space="preserve">. First, nearly all of the pilot jurisdictions were able to provide the project team with information about the availability of case-level court data within days of the initial outreach. </w:t>
      </w:r>
      <w:r>
        <w:rPr>
          <w:rFonts w:ascii="Times New Roman" w:hAnsi="Times New Roman"/>
        </w:rPr>
        <w:t xml:space="preserve">The </w:t>
      </w:r>
      <w:r w:rsidR="0054364C">
        <w:rPr>
          <w:rFonts w:ascii="Times New Roman" w:hAnsi="Times New Roman"/>
        </w:rPr>
        <w:t>proposed approach to gathering information would not pose too much of a challenge to most state and local courts</w:t>
      </w:r>
      <w:r w:rsidR="00655A91">
        <w:rPr>
          <w:rFonts w:ascii="Times New Roman" w:hAnsi="Times New Roman"/>
        </w:rPr>
        <w:t>.</w:t>
      </w:r>
      <w:r w:rsidR="00FC6518">
        <w:rPr>
          <w:rFonts w:ascii="Times New Roman" w:hAnsi="Times New Roman"/>
        </w:rPr>
        <w:t xml:space="preserve"> The project team was better positioned to make a successful application for data request by </w:t>
      </w:r>
      <w:r>
        <w:rPr>
          <w:rFonts w:ascii="Times New Roman" w:hAnsi="Times New Roman"/>
        </w:rPr>
        <w:t>first discussing with the court</w:t>
      </w:r>
      <w:r w:rsidR="00FC6518">
        <w:rPr>
          <w:rFonts w:ascii="Times New Roman" w:hAnsi="Times New Roman"/>
        </w:rPr>
        <w:t xml:space="preserve"> the availability of case-level data that are </w:t>
      </w:r>
      <w:r>
        <w:rPr>
          <w:rFonts w:ascii="Times New Roman" w:hAnsi="Times New Roman"/>
        </w:rPr>
        <w:t xml:space="preserve">easily extracted from the data management systems. Additionally, allowing the court to explain </w:t>
      </w:r>
      <w:r w:rsidR="00823E7A">
        <w:rPr>
          <w:rFonts w:ascii="Times New Roman" w:hAnsi="Times New Roman"/>
        </w:rPr>
        <w:t>its</w:t>
      </w:r>
      <w:r>
        <w:rPr>
          <w:rFonts w:ascii="Times New Roman" w:hAnsi="Times New Roman"/>
        </w:rPr>
        <w:t xml:space="preserve"> data management systems was also beneficial in building confidence. For example, one court noted that the quality of the data depended a lot on </w:t>
      </w:r>
      <w:r>
        <w:rPr>
          <w:rFonts w:ascii="Times New Roman" w:hAnsi="Times New Roman"/>
        </w:rPr>
        <w:lastRenderedPageBreak/>
        <w:t>the clerk entering the data</w:t>
      </w:r>
      <w:r w:rsidR="00FC6518">
        <w:rPr>
          <w:rFonts w:ascii="Times New Roman" w:hAnsi="Times New Roman"/>
        </w:rPr>
        <w:t xml:space="preserve">. </w:t>
      </w:r>
      <w:r w:rsidR="00655A91">
        <w:rPr>
          <w:rFonts w:ascii="Times New Roman" w:hAnsi="Times New Roman"/>
        </w:rPr>
        <w:t>This</w:t>
      </w:r>
      <w:r>
        <w:rPr>
          <w:rFonts w:ascii="Times New Roman" w:hAnsi="Times New Roman"/>
        </w:rPr>
        <w:t xml:space="preserve"> conversational approach </w:t>
      </w:r>
      <w:r w:rsidR="00655A91">
        <w:rPr>
          <w:rFonts w:ascii="Times New Roman" w:hAnsi="Times New Roman"/>
        </w:rPr>
        <w:t xml:space="preserve">is </w:t>
      </w:r>
      <w:r w:rsidR="00C704F2">
        <w:rPr>
          <w:rFonts w:ascii="Times New Roman" w:hAnsi="Times New Roman"/>
        </w:rPr>
        <w:t xml:space="preserve">recommended for full data collection when we </w:t>
      </w:r>
      <w:r w:rsidR="00655A91">
        <w:rPr>
          <w:rFonts w:ascii="Times New Roman" w:hAnsi="Times New Roman"/>
        </w:rPr>
        <w:t>conduct outreach to courts not previously contacted</w:t>
      </w:r>
      <w:r>
        <w:rPr>
          <w:rFonts w:ascii="Times New Roman" w:hAnsi="Times New Roman"/>
        </w:rPr>
        <w:t xml:space="preserve"> in either the state data interviews or the pilot test</w:t>
      </w:r>
      <w:r w:rsidR="0054364C">
        <w:rPr>
          <w:rFonts w:ascii="Times New Roman" w:hAnsi="Times New Roman"/>
        </w:rPr>
        <w:t xml:space="preserve">. </w:t>
      </w:r>
    </w:p>
    <w:p w:rsidR="00655A91" w:rsidP="0054364C" w:rsidRDefault="00655A91" w14:paraId="177BA13B" w14:textId="77777777">
      <w:pPr>
        <w:spacing w:line="276" w:lineRule="auto"/>
        <w:rPr>
          <w:rFonts w:ascii="Times New Roman" w:hAnsi="Times New Roman"/>
        </w:rPr>
      </w:pPr>
    </w:p>
    <w:p w:rsidR="00655A91" w:rsidP="0054364C" w:rsidRDefault="0054364C" w14:paraId="1A6A22D7" w14:textId="35959F5E">
      <w:pPr>
        <w:spacing w:line="276" w:lineRule="auto"/>
        <w:rPr>
          <w:rFonts w:ascii="Times New Roman" w:hAnsi="Times New Roman"/>
        </w:rPr>
      </w:pPr>
      <w:r>
        <w:rPr>
          <w:rFonts w:ascii="Times New Roman" w:hAnsi="Times New Roman"/>
        </w:rPr>
        <w:t xml:space="preserve">Second, the project staff learned that there were a number of state-level data sources for many of the pilot counties (i.e., Maine, Delaware, Indiana, </w:t>
      </w:r>
      <w:r w:rsidR="007013CA">
        <w:rPr>
          <w:rFonts w:ascii="Times New Roman" w:hAnsi="Times New Roman"/>
        </w:rPr>
        <w:t xml:space="preserve">and </w:t>
      </w:r>
      <w:r>
        <w:rPr>
          <w:rFonts w:ascii="Times New Roman" w:hAnsi="Times New Roman"/>
        </w:rPr>
        <w:t>Ohio). These alternative sources of court data included state administrative office of the courts, state-level data warehouses, information exchange systems, or law enforcement agencies.</w:t>
      </w:r>
      <w:r w:rsidR="00366F3A">
        <w:rPr>
          <w:rFonts w:ascii="Times New Roman" w:hAnsi="Times New Roman"/>
        </w:rPr>
        <w:t xml:space="preserve"> </w:t>
      </w:r>
      <w:r w:rsidR="007013CA">
        <w:rPr>
          <w:rFonts w:ascii="Times New Roman" w:hAnsi="Times New Roman"/>
        </w:rPr>
        <w:t>A</w:t>
      </w:r>
      <w:r w:rsidR="00290A9B">
        <w:rPr>
          <w:rFonts w:ascii="Times New Roman" w:hAnsi="Times New Roman"/>
        </w:rPr>
        <w:t xml:space="preserve">ll of the </w:t>
      </w:r>
      <w:r w:rsidR="00366F3A">
        <w:rPr>
          <w:rFonts w:ascii="Times New Roman" w:hAnsi="Times New Roman"/>
        </w:rPr>
        <w:t>jurisdictions</w:t>
      </w:r>
      <w:r w:rsidR="00290A9B">
        <w:rPr>
          <w:rFonts w:ascii="Times New Roman" w:hAnsi="Times New Roman"/>
        </w:rPr>
        <w:t xml:space="preserve"> </w:t>
      </w:r>
      <w:r w:rsidR="00366F3A">
        <w:rPr>
          <w:rFonts w:ascii="Times New Roman" w:hAnsi="Times New Roman"/>
        </w:rPr>
        <w:t>that referred us to one of those alternative data sources seemed capable of fulfilling our data request</w:t>
      </w:r>
      <w:r w:rsidR="008E34B8">
        <w:rPr>
          <w:rFonts w:ascii="Times New Roman" w:hAnsi="Times New Roman"/>
        </w:rPr>
        <w:t xml:space="preserve"> as they were </w:t>
      </w:r>
      <w:r w:rsidR="007013CA">
        <w:rPr>
          <w:rFonts w:ascii="Times New Roman" w:hAnsi="Times New Roman"/>
        </w:rPr>
        <w:t xml:space="preserve">also </w:t>
      </w:r>
      <w:r w:rsidR="00290A9B">
        <w:rPr>
          <w:rFonts w:ascii="Times New Roman" w:hAnsi="Times New Roman"/>
        </w:rPr>
        <w:t xml:space="preserve">responsible for </w:t>
      </w:r>
      <w:r w:rsidR="008E34B8">
        <w:rPr>
          <w:rFonts w:ascii="Times New Roman" w:hAnsi="Times New Roman"/>
        </w:rPr>
        <w:t>submitting court records from their county to the state agency or repository.</w:t>
      </w:r>
      <w:r w:rsidR="00290A9B">
        <w:rPr>
          <w:rFonts w:ascii="Times New Roman" w:hAnsi="Times New Roman"/>
        </w:rPr>
        <w:t xml:space="preserve"> For the full data collection, it would be useful to </w:t>
      </w:r>
      <w:r w:rsidR="00FC6518">
        <w:rPr>
          <w:rFonts w:ascii="Times New Roman" w:hAnsi="Times New Roman"/>
        </w:rPr>
        <w:t xml:space="preserve">better </w:t>
      </w:r>
      <w:r w:rsidR="00290A9B">
        <w:rPr>
          <w:rFonts w:ascii="Times New Roman" w:hAnsi="Times New Roman"/>
        </w:rPr>
        <w:t xml:space="preserve">understand the circumstances under which the county-level agency may refer us to the state-level agency. </w:t>
      </w:r>
      <w:r w:rsidR="007013CA">
        <w:rPr>
          <w:rFonts w:ascii="Times New Roman" w:hAnsi="Times New Roman"/>
        </w:rPr>
        <w:t>However,</w:t>
      </w:r>
      <w:r w:rsidR="00290A9B">
        <w:rPr>
          <w:rFonts w:ascii="Times New Roman" w:hAnsi="Times New Roman"/>
        </w:rPr>
        <w:t xml:space="preserve"> </w:t>
      </w:r>
      <w:r>
        <w:rPr>
          <w:rFonts w:ascii="Times New Roman" w:hAnsi="Times New Roman"/>
        </w:rPr>
        <w:t xml:space="preserve">data elements available from alternative sources are often held in separate management systems, making it difficult to link their records to court data. </w:t>
      </w:r>
    </w:p>
    <w:p w:rsidR="00655A91" w:rsidP="0054364C" w:rsidRDefault="00655A91" w14:paraId="3CBAEAE7" w14:textId="77777777">
      <w:pPr>
        <w:spacing w:line="276" w:lineRule="auto"/>
        <w:rPr>
          <w:rFonts w:ascii="Times New Roman" w:hAnsi="Times New Roman"/>
        </w:rPr>
      </w:pPr>
    </w:p>
    <w:p w:rsidR="0054364C" w:rsidP="0054364C" w:rsidRDefault="0054364C" w14:paraId="0EB2D012" w14:textId="4B258D15">
      <w:pPr>
        <w:spacing w:line="276" w:lineRule="auto"/>
        <w:rPr>
          <w:rFonts w:ascii="Times New Roman" w:hAnsi="Times New Roman"/>
        </w:rPr>
      </w:pPr>
      <w:r>
        <w:rPr>
          <w:rFonts w:ascii="Times New Roman" w:hAnsi="Times New Roman"/>
        </w:rPr>
        <w:t xml:space="preserve">Third, data sharing for some sites requires court administration approval, which is not always easy to obtain due to competing priorities and IT resources. </w:t>
      </w:r>
      <w:r w:rsidR="007013CA">
        <w:rPr>
          <w:rFonts w:ascii="Times New Roman" w:hAnsi="Times New Roman"/>
        </w:rPr>
        <w:t>R</w:t>
      </w:r>
      <w:r>
        <w:rPr>
          <w:rFonts w:ascii="Times New Roman" w:hAnsi="Times New Roman"/>
        </w:rPr>
        <w:t xml:space="preserve">estrictions to data collection include site-specific MOUs, fees, and statutes. </w:t>
      </w:r>
      <w:r w:rsidR="007013CA">
        <w:rPr>
          <w:rFonts w:ascii="Times New Roman" w:hAnsi="Times New Roman"/>
        </w:rPr>
        <w:t xml:space="preserve">BJS is prepared to reimburse courts for any cost of preparing the data extracts. </w:t>
      </w:r>
      <w:r w:rsidR="00655A91">
        <w:rPr>
          <w:rFonts w:ascii="Times New Roman" w:hAnsi="Times New Roman"/>
        </w:rPr>
        <w:t xml:space="preserve">The full data collection will benefit </w:t>
      </w:r>
      <w:r w:rsidR="008833CC">
        <w:rPr>
          <w:rFonts w:ascii="Times New Roman" w:hAnsi="Times New Roman"/>
        </w:rPr>
        <w:t>from clear specification on t</w:t>
      </w:r>
      <w:r w:rsidR="00655A91">
        <w:rPr>
          <w:rFonts w:ascii="Times New Roman" w:hAnsi="Times New Roman"/>
        </w:rPr>
        <w:t>he</w:t>
      </w:r>
      <w:r w:rsidR="00FB39F4">
        <w:rPr>
          <w:rFonts w:ascii="Times New Roman" w:hAnsi="Times New Roman"/>
        </w:rPr>
        <w:t xml:space="preserve"> </w:t>
      </w:r>
      <w:r w:rsidR="00655A91">
        <w:rPr>
          <w:rFonts w:ascii="Times New Roman" w:hAnsi="Times New Roman"/>
        </w:rPr>
        <w:t>data elements</w:t>
      </w:r>
      <w:r w:rsidR="001C41ED">
        <w:rPr>
          <w:rFonts w:ascii="Times New Roman" w:hAnsi="Times New Roman"/>
        </w:rPr>
        <w:t>,</w:t>
      </w:r>
      <w:r w:rsidR="008833CC">
        <w:rPr>
          <w:rFonts w:ascii="Times New Roman" w:hAnsi="Times New Roman"/>
        </w:rPr>
        <w:t xml:space="preserve"> and greater emphasis on how the project team can support initial data processing and verification (i.e.</w:t>
      </w:r>
      <w:r w:rsidR="007013CA">
        <w:rPr>
          <w:rFonts w:ascii="Times New Roman" w:hAnsi="Times New Roman"/>
        </w:rPr>
        <w:t>,</w:t>
      </w:r>
      <w:r w:rsidR="008833CC">
        <w:rPr>
          <w:rFonts w:ascii="Times New Roman" w:hAnsi="Times New Roman"/>
        </w:rPr>
        <w:t xml:space="preserve"> documentation, interpretation, and extract modification).</w:t>
      </w:r>
      <w:r w:rsidR="00655A91">
        <w:rPr>
          <w:rFonts w:ascii="Times New Roman" w:hAnsi="Times New Roman"/>
        </w:rPr>
        <w:t xml:space="preserve"> </w:t>
      </w:r>
      <w:r w:rsidR="001C41ED">
        <w:rPr>
          <w:rFonts w:ascii="Times New Roman" w:hAnsi="Times New Roman"/>
        </w:rPr>
        <w:t>The data extract</w:t>
      </w:r>
      <w:r w:rsidR="004B11D0">
        <w:rPr>
          <w:rFonts w:ascii="Times New Roman" w:hAnsi="Times New Roman"/>
        </w:rPr>
        <w:t>ion</w:t>
      </w:r>
      <w:r w:rsidR="001C41ED">
        <w:rPr>
          <w:rFonts w:ascii="Times New Roman" w:hAnsi="Times New Roman"/>
        </w:rPr>
        <w:t xml:space="preserve"> guide was revised to meet those goals.</w:t>
      </w:r>
    </w:p>
    <w:p w:rsidR="0054364C" w:rsidP="0054364C" w:rsidRDefault="0054364C" w14:paraId="7CE502E6" w14:textId="77777777">
      <w:pPr>
        <w:spacing w:line="276" w:lineRule="auto"/>
        <w:rPr>
          <w:rFonts w:ascii="Times New Roman" w:hAnsi="Times New Roman"/>
        </w:rPr>
      </w:pPr>
    </w:p>
    <w:p w:rsidRPr="00C73DCF" w:rsidR="006362A3" w:rsidP="00580A55" w:rsidRDefault="00632969" w14:paraId="16195992" w14:textId="0FD543D0">
      <w:pPr>
        <w:spacing w:line="276" w:lineRule="auto"/>
        <w:rPr>
          <w:rFonts w:ascii="Times New Roman" w:hAnsi="Times New Roman"/>
          <w:b/>
          <w:snapToGrid w:val="0"/>
          <w:szCs w:val="24"/>
        </w:rPr>
      </w:pPr>
      <w:r w:rsidRPr="00C73DCF">
        <w:rPr>
          <w:rFonts w:ascii="Times New Roman" w:hAnsi="Times New Roman"/>
          <w:b/>
          <w:snapToGrid w:val="0"/>
          <w:szCs w:val="24"/>
        </w:rPr>
        <w:t>5</w:t>
      </w:r>
      <w:r w:rsidRPr="00C73DCF" w:rsidR="006362A3">
        <w:rPr>
          <w:rFonts w:ascii="Times New Roman" w:hAnsi="Times New Roman"/>
          <w:b/>
          <w:snapToGrid w:val="0"/>
          <w:szCs w:val="24"/>
        </w:rPr>
        <w:t>.  Contact for Statistical Aspects and Data Collection</w:t>
      </w:r>
    </w:p>
    <w:p w:rsidR="006362A3" w:rsidP="00580A55" w:rsidRDefault="006362A3" w14:paraId="658DF4FA" w14:textId="77777777">
      <w:pPr>
        <w:spacing w:line="276" w:lineRule="auto"/>
        <w:rPr>
          <w:rFonts w:ascii="Times New Roman" w:hAnsi="Times New Roman"/>
          <w:snapToGrid w:val="0"/>
          <w:szCs w:val="24"/>
        </w:rPr>
      </w:pPr>
    </w:p>
    <w:p w:rsidR="006362A3" w:rsidP="00580A55" w:rsidRDefault="006362A3" w14:paraId="11FC0AD7" w14:textId="54E951E1">
      <w:pPr>
        <w:spacing w:line="276" w:lineRule="auto"/>
        <w:rPr>
          <w:rFonts w:ascii="Times New Roman" w:hAnsi="Times New Roman"/>
          <w:snapToGrid w:val="0"/>
          <w:szCs w:val="24"/>
        </w:rPr>
      </w:pPr>
      <w:r w:rsidRPr="003B45D1">
        <w:rPr>
          <w:rFonts w:ascii="Times New Roman" w:hAnsi="Times New Roman"/>
          <w:snapToGrid w:val="0"/>
          <w:szCs w:val="24"/>
        </w:rPr>
        <w:t xml:space="preserve">The </w:t>
      </w:r>
      <w:r w:rsidR="00161573">
        <w:rPr>
          <w:rFonts w:ascii="Times New Roman" w:hAnsi="Times New Roman"/>
          <w:snapToGrid w:val="0"/>
          <w:szCs w:val="24"/>
        </w:rPr>
        <w:t xml:space="preserve">prosecution and </w:t>
      </w:r>
      <w:r w:rsidR="00C73DCF">
        <w:rPr>
          <w:rFonts w:ascii="Times New Roman" w:hAnsi="Times New Roman"/>
          <w:snapToGrid w:val="0"/>
          <w:szCs w:val="24"/>
        </w:rPr>
        <w:t>courts statistics unit</w:t>
      </w:r>
      <w:r w:rsidRPr="003B45D1">
        <w:rPr>
          <w:rFonts w:ascii="Times New Roman" w:hAnsi="Times New Roman"/>
          <w:snapToGrid w:val="0"/>
          <w:szCs w:val="24"/>
        </w:rPr>
        <w:t xml:space="preserve"> staff at </w:t>
      </w:r>
      <w:r w:rsidR="00915EEB">
        <w:rPr>
          <w:rFonts w:ascii="Times New Roman" w:hAnsi="Times New Roman"/>
          <w:snapToGrid w:val="0"/>
          <w:szCs w:val="24"/>
        </w:rPr>
        <w:t>BJS</w:t>
      </w:r>
      <w:r w:rsidRPr="003B45D1">
        <w:rPr>
          <w:rFonts w:ascii="Times New Roman" w:hAnsi="Times New Roman"/>
          <w:snapToGrid w:val="0"/>
          <w:szCs w:val="24"/>
        </w:rPr>
        <w:t xml:space="preserve"> </w:t>
      </w:r>
      <w:r w:rsidR="007013CA">
        <w:rPr>
          <w:rFonts w:ascii="Times New Roman" w:hAnsi="Times New Roman"/>
          <w:snapToGrid w:val="0"/>
          <w:szCs w:val="24"/>
        </w:rPr>
        <w:t>are</w:t>
      </w:r>
      <w:r w:rsidRPr="003B45D1" w:rsidR="007013CA">
        <w:rPr>
          <w:rFonts w:ascii="Times New Roman" w:hAnsi="Times New Roman"/>
          <w:snapToGrid w:val="0"/>
          <w:szCs w:val="24"/>
        </w:rPr>
        <w:t xml:space="preserve"> </w:t>
      </w:r>
      <w:r w:rsidR="008E2BA5">
        <w:rPr>
          <w:rFonts w:ascii="Times New Roman" w:hAnsi="Times New Roman"/>
          <w:snapToGrid w:val="0"/>
          <w:szCs w:val="24"/>
        </w:rPr>
        <w:t>responsible</w:t>
      </w:r>
      <w:r w:rsidRPr="003B45D1">
        <w:rPr>
          <w:rFonts w:ascii="Times New Roman" w:hAnsi="Times New Roman"/>
          <w:snapToGrid w:val="0"/>
          <w:szCs w:val="24"/>
        </w:rPr>
        <w:t xml:space="preserve"> for the overall design and management of the </w:t>
      </w:r>
      <w:r w:rsidR="00317BE5">
        <w:rPr>
          <w:rFonts w:ascii="Times New Roman" w:hAnsi="Times New Roman"/>
          <w:snapToGrid w:val="0"/>
          <w:szCs w:val="24"/>
        </w:rPr>
        <w:t>CCSC</w:t>
      </w:r>
      <w:r w:rsidRPr="003B45D1">
        <w:rPr>
          <w:rFonts w:ascii="Times New Roman" w:hAnsi="Times New Roman"/>
          <w:snapToGrid w:val="0"/>
          <w:szCs w:val="24"/>
        </w:rPr>
        <w:t xml:space="preserve"> data collection, including the development of the </w:t>
      </w:r>
      <w:r w:rsidR="007013CA">
        <w:rPr>
          <w:rFonts w:ascii="Times New Roman" w:hAnsi="Times New Roman"/>
          <w:snapToGrid w:val="0"/>
          <w:szCs w:val="24"/>
        </w:rPr>
        <w:t>data extract</w:t>
      </w:r>
      <w:r w:rsidR="004B11D0">
        <w:rPr>
          <w:rFonts w:ascii="Times New Roman" w:hAnsi="Times New Roman"/>
          <w:snapToGrid w:val="0"/>
          <w:szCs w:val="24"/>
        </w:rPr>
        <w:t>ion</w:t>
      </w:r>
      <w:r w:rsidR="007013CA">
        <w:rPr>
          <w:rFonts w:ascii="Times New Roman" w:hAnsi="Times New Roman"/>
          <w:snapToGrid w:val="0"/>
          <w:szCs w:val="24"/>
        </w:rPr>
        <w:t xml:space="preserve"> guide</w:t>
      </w:r>
      <w:r w:rsidRPr="003B45D1" w:rsidR="007013CA">
        <w:rPr>
          <w:rFonts w:ascii="Times New Roman" w:hAnsi="Times New Roman"/>
          <w:snapToGrid w:val="0"/>
          <w:szCs w:val="24"/>
        </w:rPr>
        <w:t xml:space="preserve"> </w:t>
      </w:r>
      <w:r w:rsidRPr="003B45D1">
        <w:rPr>
          <w:rFonts w:ascii="Times New Roman" w:hAnsi="Times New Roman"/>
          <w:snapToGrid w:val="0"/>
          <w:szCs w:val="24"/>
        </w:rPr>
        <w:t xml:space="preserve">and the analysis and publication of the data.  </w:t>
      </w:r>
    </w:p>
    <w:p w:rsidRPr="003B45D1" w:rsidR="006362A3" w:rsidP="00580A55" w:rsidRDefault="006362A3" w14:paraId="0D38A2CA" w14:textId="77777777">
      <w:pPr>
        <w:spacing w:line="276" w:lineRule="auto"/>
        <w:rPr>
          <w:rFonts w:ascii="Times New Roman" w:hAnsi="Times New Roman"/>
          <w:snapToGrid w:val="0"/>
          <w:szCs w:val="24"/>
        </w:rPr>
      </w:pPr>
    </w:p>
    <w:p w:rsidRPr="003B45D1" w:rsidR="006362A3" w:rsidP="00861F75" w:rsidRDefault="00256D91" w14:paraId="0BBE3B12" w14:textId="0F6B1AC3">
      <w:pPr>
        <w:keepNext/>
        <w:spacing w:line="276" w:lineRule="auto"/>
        <w:rPr>
          <w:rFonts w:ascii="Times New Roman" w:hAnsi="Times New Roman"/>
          <w:snapToGrid w:val="0"/>
          <w:szCs w:val="24"/>
        </w:rPr>
      </w:pPr>
      <w:r>
        <w:rPr>
          <w:rFonts w:ascii="Times New Roman" w:hAnsi="Times New Roman"/>
          <w:snapToGrid w:val="0"/>
          <w:szCs w:val="24"/>
        </w:rPr>
        <w:t>Suzanne Strong</w:t>
      </w:r>
      <w:r w:rsidRPr="003B45D1" w:rsidR="006362A3">
        <w:rPr>
          <w:rFonts w:ascii="Times New Roman" w:hAnsi="Times New Roman"/>
          <w:snapToGrid w:val="0"/>
          <w:szCs w:val="24"/>
        </w:rPr>
        <w:t>, Statistician</w:t>
      </w:r>
    </w:p>
    <w:p w:rsidRPr="003B45D1" w:rsidR="006362A3" w:rsidP="00580A55" w:rsidRDefault="00161573" w14:paraId="1BECDC49" w14:textId="24800951">
      <w:pPr>
        <w:spacing w:line="276" w:lineRule="auto"/>
        <w:rPr>
          <w:rFonts w:ascii="Times New Roman" w:hAnsi="Times New Roman"/>
          <w:snapToGrid w:val="0"/>
          <w:szCs w:val="24"/>
        </w:rPr>
      </w:pPr>
      <w:r>
        <w:rPr>
          <w:rFonts w:ascii="Times New Roman" w:hAnsi="Times New Roman"/>
          <w:snapToGrid w:val="0"/>
          <w:szCs w:val="24"/>
        </w:rPr>
        <w:t xml:space="preserve">Prosecution and </w:t>
      </w:r>
      <w:r w:rsidR="008E2BA5">
        <w:rPr>
          <w:rFonts w:ascii="Times New Roman" w:hAnsi="Times New Roman"/>
          <w:snapToGrid w:val="0"/>
          <w:szCs w:val="24"/>
        </w:rPr>
        <w:t xml:space="preserve">Judicial </w:t>
      </w:r>
      <w:r w:rsidR="00256D91">
        <w:rPr>
          <w:rFonts w:ascii="Times New Roman" w:hAnsi="Times New Roman"/>
          <w:snapToGrid w:val="0"/>
          <w:szCs w:val="24"/>
        </w:rPr>
        <w:t>Statistics</w:t>
      </w:r>
      <w:r w:rsidRPr="003B45D1" w:rsidR="006362A3">
        <w:rPr>
          <w:rFonts w:ascii="Times New Roman" w:hAnsi="Times New Roman"/>
          <w:snapToGrid w:val="0"/>
          <w:szCs w:val="24"/>
        </w:rPr>
        <w:t xml:space="preserve"> Unit</w:t>
      </w:r>
    </w:p>
    <w:p w:rsidRPr="003B45D1" w:rsidR="006362A3" w:rsidP="00580A55" w:rsidRDefault="006362A3" w14:paraId="68CB9F94" w14:textId="7498685A">
      <w:pPr>
        <w:spacing w:line="276" w:lineRule="auto"/>
        <w:rPr>
          <w:rFonts w:ascii="Times New Roman" w:hAnsi="Times New Roman"/>
          <w:snapToGrid w:val="0"/>
          <w:szCs w:val="24"/>
        </w:rPr>
      </w:pPr>
      <w:r w:rsidRPr="003B45D1">
        <w:rPr>
          <w:rFonts w:ascii="Times New Roman" w:hAnsi="Times New Roman"/>
          <w:snapToGrid w:val="0"/>
          <w:szCs w:val="24"/>
        </w:rPr>
        <w:t>Bureau of Justice Statistics</w:t>
      </w:r>
    </w:p>
    <w:p w:rsidRPr="003B45D1" w:rsidR="006362A3" w:rsidP="00580A55" w:rsidRDefault="006362A3" w14:paraId="66B5E068" w14:textId="463E70A9">
      <w:pPr>
        <w:spacing w:line="276" w:lineRule="auto"/>
        <w:rPr>
          <w:rFonts w:ascii="Times New Roman" w:hAnsi="Times New Roman"/>
          <w:snapToGrid w:val="0"/>
          <w:szCs w:val="24"/>
        </w:rPr>
      </w:pPr>
      <w:r w:rsidRPr="003B45D1">
        <w:rPr>
          <w:rFonts w:ascii="Times New Roman" w:hAnsi="Times New Roman"/>
          <w:snapToGrid w:val="0"/>
          <w:szCs w:val="24"/>
        </w:rPr>
        <w:t>810 7</w:t>
      </w:r>
      <w:r w:rsidRPr="003B45D1">
        <w:rPr>
          <w:rFonts w:ascii="Times New Roman" w:hAnsi="Times New Roman"/>
          <w:snapToGrid w:val="0"/>
          <w:szCs w:val="24"/>
          <w:vertAlign w:val="superscript"/>
        </w:rPr>
        <w:t>th</w:t>
      </w:r>
      <w:r w:rsidRPr="003B45D1">
        <w:rPr>
          <w:rFonts w:ascii="Times New Roman" w:hAnsi="Times New Roman"/>
          <w:snapToGrid w:val="0"/>
          <w:szCs w:val="24"/>
        </w:rPr>
        <w:t xml:space="preserve"> Street, NW</w:t>
      </w:r>
    </w:p>
    <w:p w:rsidRPr="003B45D1" w:rsidR="006362A3" w:rsidP="00580A55" w:rsidRDefault="006362A3" w14:paraId="6A6EE858" w14:textId="3218D957">
      <w:pPr>
        <w:spacing w:line="276" w:lineRule="auto"/>
        <w:rPr>
          <w:rFonts w:ascii="Times New Roman" w:hAnsi="Times New Roman"/>
          <w:snapToGrid w:val="0"/>
          <w:szCs w:val="24"/>
        </w:rPr>
      </w:pPr>
      <w:r w:rsidRPr="003B45D1">
        <w:rPr>
          <w:rFonts w:ascii="Times New Roman" w:hAnsi="Times New Roman"/>
          <w:snapToGrid w:val="0"/>
          <w:szCs w:val="24"/>
        </w:rPr>
        <w:t>Washington, D.C. 20531</w:t>
      </w:r>
    </w:p>
    <w:p w:rsidRPr="003B45D1" w:rsidR="006362A3" w:rsidP="00580A55" w:rsidRDefault="006362A3" w14:paraId="3BD46DC2" w14:textId="3330E358">
      <w:pPr>
        <w:spacing w:line="276" w:lineRule="auto"/>
        <w:rPr>
          <w:rFonts w:ascii="Times New Roman" w:hAnsi="Times New Roman"/>
          <w:snapToGrid w:val="0"/>
          <w:szCs w:val="24"/>
        </w:rPr>
      </w:pPr>
      <w:r w:rsidRPr="003B45D1">
        <w:rPr>
          <w:rFonts w:ascii="Times New Roman" w:hAnsi="Times New Roman"/>
          <w:snapToGrid w:val="0"/>
          <w:szCs w:val="24"/>
        </w:rPr>
        <w:t xml:space="preserve">(202) </w:t>
      </w:r>
      <w:r w:rsidR="00161573">
        <w:rPr>
          <w:rFonts w:ascii="Times New Roman" w:hAnsi="Times New Roman"/>
          <w:snapToGrid w:val="0"/>
          <w:szCs w:val="24"/>
        </w:rPr>
        <w:t>616-3666</w:t>
      </w:r>
    </w:p>
    <w:p w:rsidRPr="003B45D1" w:rsidR="006362A3" w:rsidP="00580A55" w:rsidRDefault="006362A3" w14:paraId="5F8373A2" w14:textId="77777777">
      <w:pPr>
        <w:spacing w:line="276" w:lineRule="auto"/>
        <w:rPr>
          <w:rFonts w:ascii="Times New Roman" w:hAnsi="Times New Roman"/>
          <w:snapToGrid w:val="0"/>
          <w:szCs w:val="24"/>
        </w:rPr>
      </w:pPr>
    </w:p>
    <w:p w:rsidR="00FB708D" w:rsidRDefault="00FB708D" w14:paraId="53BEEF62" w14:textId="09C6AD2A">
      <w:pPr>
        <w:spacing w:after="200" w:line="276" w:lineRule="auto"/>
        <w:rPr>
          <w:rFonts w:ascii="Times New Roman" w:hAnsi="Times New Roman" w:eastAsiaTheme="minorEastAsia"/>
          <w:snapToGrid w:val="0"/>
          <w:szCs w:val="24"/>
        </w:rPr>
      </w:pPr>
      <w:r>
        <w:rPr>
          <w:rFonts w:ascii="Times New Roman" w:hAnsi="Times New Roman" w:eastAsiaTheme="minorEastAsia"/>
          <w:snapToGrid w:val="0"/>
          <w:szCs w:val="24"/>
        </w:rPr>
        <w:br w:type="page"/>
      </w:r>
    </w:p>
    <w:p w:rsidR="006401D2" w:rsidP="00580A55" w:rsidRDefault="006401D2" w14:paraId="25EDCD18" w14:textId="77777777">
      <w:pPr>
        <w:spacing w:line="276" w:lineRule="auto"/>
        <w:rPr>
          <w:rFonts w:ascii="Times New Roman" w:hAnsi="Times New Roman" w:eastAsiaTheme="minorEastAsia"/>
          <w:snapToGrid w:val="0"/>
          <w:szCs w:val="24"/>
        </w:rPr>
      </w:pPr>
      <w:bookmarkStart w:name="_GoBack" w:id="0"/>
      <w:bookmarkEnd w:id="0"/>
    </w:p>
    <w:p w:rsidRPr="000022A9" w:rsidR="00BA5E7F" w:rsidP="00BA5E7F" w:rsidRDefault="00BA5E7F" w14:paraId="6553A9E4" w14:textId="77777777">
      <w:pPr>
        <w:spacing w:line="240" w:lineRule="auto"/>
        <w:rPr>
          <w:rFonts w:ascii="Times New Roman" w:hAnsi="Times New Roman"/>
          <w:szCs w:val="24"/>
        </w:rPr>
      </w:pPr>
      <w:r w:rsidRPr="000022A9">
        <w:rPr>
          <w:rFonts w:ascii="Times New Roman" w:hAnsi="Times New Roman"/>
          <w:b/>
          <w:szCs w:val="24"/>
          <w:u w:val="single"/>
        </w:rPr>
        <w:t>Attachments</w:t>
      </w:r>
    </w:p>
    <w:p w:rsidR="003541B0" w:rsidP="003541B0" w:rsidRDefault="003541B0" w14:paraId="4B2AC89F"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34</w:t>
      </w:r>
      <w:r w:rsidRPr="00217F54">
        <w:rPr>
          <w:rFonts w:ascii="Times New Roman" w:hAnsi="Times New Roman"/>
          <w:szCs w:val="24"/>
        </w:rPr>
        <w:t xml:space="preserve"> </w:t>
      </w:r>
      <w:r w:rsidRPr="00930087">
        <w:rPr>
          <w:rFonts w:ascii="Times New Roman" w:hAnsi="Times New Roman"/>
          <w:szCs w:val="24"/>
        </w:rPr>
        <w:t>USC §</w:t>
      </w:r>
      <w:r>
        <w:rPr>
          <w:rFonts w:ascii="Times New Roman" w:hAnsi="Times New Roman"/>
          <w:szCs w:val="24"/>
        </w:rPr>
        <w:t xml:space="preserve"> 10132</w:t>
      </w:r>
    </w:p>
    <w:p w:rsidRPr="00EE30E8" w:rsidR="003541B0" w:rsidP="00EE30E8" w:rsidRDefault="003541B0" w14:paraId="1FBE5265" w14:textId="145714B9">
      <w:pPr>
        <w:pStyle w:val="ListParagraph"/>
        <w:numPr>
          <w:ilvl w:val="0"/>
          <w:numId w:val="29"/>
        </w:numPr>
        <w:spacing w:line="240" w:lineRule="auto"/>
        <w:rPr>
          <w:rFonts w:ascii="Times New Roman" w:hAnsi="Times New Roman"/>
          <w:szCs w:val="24"/>
        </w:rPr>
      </w:pPr>
      <w:r>
        <w:rPr>
          <w:rFonts w:ascii="Times New Roman" w:hAnsi="Times New Roman"/>
          <w:szCs w:val="24"/>
        </w:rPr>
        <w:t xml:space="preserve">Data </w:t>
      </w:r>
      <w:r w:rsidR="00811913">
        <w:rPr>
          <w:rFonts w:ascii="Times New Roman" w:hAnsi="Times New Roman"/>
          <w:szCs w:val="24"/>
        </w:rPr>
        <w:t>extraction guide</w:t>
      </w:r>
    </w:p>
    <w:p w:rsidR="003541B0" w:rsidP="003541B0" w:rsidRDefault="003541B0" w14:paraId="636BAA48"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60 day notice</w:t>
      </w:r>
    </w:p>
    <w:p w:rsidR="003541B0" w:rsidP="003541B0" w:rsidRDefault="003541B0" w14:paraId="347071D6"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30 day notice</w:t>
      </w:r>
    </w:p>
    <w:p w:rsidR="003541B0" w:rsidP="003541B0" w:rsidRDefault="003541B0" w14:paraId="58CBE4E0"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BJS introduction letter</w:t>
      </w:r>
    </w:p>
    <w:p w:rsidR="003541B0" w:rsidP="003541B0" w:rsidRDefault="003541B0" w14:paraId="21183FD1"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Request for data</w:t>
      </w:r>
    </w:p>
    <w:p w:rsidR="003541B0" w:rsidP="003541B0" w:rsidRDefault="003541B0" w14:paraId="3A54F19E"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Initial follow-up script</w:t>
      </w:r>
    </w:p>
    <w:p w:rsidR="003541B0" w:rsidP="003541B0" w:rsidRDefault="003541B0" w14:paraId="67C6192E" w14:textId="366AA627">
      <w:pPr>
        <w:pStyle w:val="ListParagraph"/>
        <w:numPr>
          <w:ilvl w:val="0"/>
          <w:numId w:val="29"/>
        </w:numPr>
        <w:spacing w:line="240" w:lineRule="auto"/>
        <w:rPr>
          <w:rFonts w:ascii="Times New Roman" w:hAnsi="Times New Roman"/>
          <w:szCs w:val="24"/>
        </w:rPr>
      </w:pPr>
      <w:r>
        <w:rPr>
          <w:rFonts w:ascii="Times New Roman" w:hAnsi="Times New Roman"/>
          <w:szCs w:val="24"/>
        </w:rPr>
        <w:t>Sample</w:t>
      </w:r>
      <w:r w:rsidR="00F37F2F">
        <w:rPr>
          <w:rFonts w:ascii="Times New Roman" w:hAnsi="Times New Roman"/>
          <w:szCs w:val="24"/>
        </w:rPr>
        <w:t xml:space="preserve"> generic</w:t>
      </w:r>
      <w:r>
        <w:rPr>
          <w:rFonts w:ascii="Times New Roman" w:hAnsi="Times New Roman"/>
          <w:szCs w:val="24"/>
        </w:rPr>
        <w:t xml:space="preserve"> </w:t>
      </w:r>
      <w:r w:rsidR="00F37F2F">
        <w:rPr>
          <w:rFonts w:ascii="Times New Roman" w:hAnsi="Times New Roman"/>
          <w:szCs w:val="24"/>
        </w:rPr>
        <w:t>MOU</w:t>
      </w:r>
      <w:r>
        <w:rPr>
          <w:rFonts w:ascii="Times New Roman" w:hAnsi="Times New Roman"/>
          <w:szCs w:val="24"/>
        </w:rPr>
        <w:t xml:space="preserve"> </w:t>
      </w:r>
    </w:p>
    <w:p w:rsidR="003541B0" w:rsidP="003541B0" w:rsidRDefault="003541B0" w14:paraId="35C0F14C"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Second follow-up</w:t>
      </w:r>
    </w:p>
    <w:p w:rsidR="00811913" w:rsidP="003541B0" w:rsidRDefault="00811913" w14:paraId="7F275BD5" w14:textId="23FAF3C4">
      <w:pPr>
        <w:pStyle w:val="ListParagraph"/>
        <w:numPr>
          <w:ilvl w:val="0"/>
          <w:numId w:val="29"/>
        </w:numPr>
        <w:spacing w:line="240" w:lineRule="auto"/>
        <w:rPr>
          <w:rFonts w:ascii="Times New Roman" w:hAnsi="Times New Roman"/>
          <w:szCs w:val="24"/>
        </w:rPr>
      </w:pPr>
      <w:r>
        <w:rPr>
          <w:rFonts w:ascii="Times New Roman" w:hAnsi="Times New Roman"/>
          <w:szCs w:val="24"/>
        </w:rPr>
        <w:t>BJS final follow-up</w:t>
      </w:r>
    </w:p>
    <w:p w:rsidR="003541B0" w:rsidP="003541B0" w:rsidRDefault="003541B0" w14:paraId="45F5C68D"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Confirm data script</w:t>
      </w:r>
    </w:p>
    <w:p w:rsidR="003541B0" w:rsidP="003541B0" w:rsidRDefault="003541B0" w14:paraId="00CEF62E" w14:textId="6886B9A2">
      <w:pPr>
        <w:pStyle w:val="ListParagraph"/>
        <w:numPr>
          <w:ilvl w:val="0"/>
          <w:numId w:val="29"/>
        </w:numPr>
        <w:spacing w:line="240" w:lineRule="auto"/>
        <w:rPr>
          <w:rFonts w:ascii="Times New Roman" w:hAnsi="Times New Roman"/>
          <w:szCs w:val="24"/>
        </w:rPr>
      </w:pPr>
      <w:r>
        <w:rPr>
          <w:rFonts w:ascii="Times New Roman" w:hAnsi="Times New Roman"/>
          <w:szCs w:val="24"/>
        </w:rPr>
        <w:t>Thank you email</w:t>
      </w:r>
    </w:p>
    <w:p w:rsidR="00812690" w:rsidP="003541B0" w:rsidRDefault="00812690" w14:paraId="138C5CE3" w14:textId="1306FAD0">
      <w:pPr>
        <w:pStyle w:val="ListParagraph"/>
        <w:numPr>
          <w:ilvl w:val="0"/>
          <w:numId w:val="29"/>
        </w:numPr>
        <w:spacing w:line="240" w:lineRule="auto"/>
        <w:rPr>
          <w:rFonts w:ascii="Times New Roman" w:hAnsi="Times New Roman"/>
          <w:szCs w:val="24"/>
        </w:rPr>
      </w:pPr>
      <w:r>
        <w:rPr>
          <w:rFonts w:ascii="Times New Roman" w:hAnsi="Times New Roman"/>
          <w:szCs w:val="24"/>
        </w:rPr>
        <w:t>Civil Rights Division comments</w:t>
      </w:r>
    </w:p>
    <w:p w:rsidR="00812690" w:rsidP="003541B0" w:rsidRDefault="00812690" w14:paraId="0DD0BE87" w14:textId="75599BE1">
      <w:pPr>
        <w:pStyle w:val="ListParagraph"/>
        <w:numPr>
          <w:ilvl w:val="0"/>
          <w:numId w:val="29"/>
        </w:numPr>
        <w:spacing w:line="240" w:lineRule="auto"/>
        <w:rPr>
          <w:rFonts w:ascii="Times New Roman" w:hAnsi="Times New Roman"/>
          <w:szCs w:val="24"/>
        </w:rPr>
      </w:pPr>
      <w:r>
        <w:rPr>
          <w:rFonts w:ascii="Times New Roman" w:hAnsi="Times New Roman"/>
          <w:szCs w:val="24"/>
        </w:rPr>
        <w:t>NCAJ comments</w:t>
      </w:r>
    </w:p>
    <w:p w:rsidR="00812690" w:rsidP="003541B0" w:rsidRDefault="00812690" w14:paraId="09BDF2DD" w14:textId="6CB70021">
      <w:pPr>
        <w:pStyle w:val="ListParagraph"/>
        <w:numPr>
          <w:ilvl w:val="0"/>
          <w:numId w:val="29"/>
        </w:numPr>
        <w:spacing w:line="240" w:lineRule="auto"/>
        <w:rPr>
          <w:rFonts w:ascii="Times New Roman" w:hAnsi="Times New Roman"/>
          <w:szCs w:val="24"/>
        </w:rPr>
      </w:pPr>
      <w:r>
        <w:rPr>
          <w:rFonts w:ascii="Times New Roman" w:hAnsi="Times New Roman"/>
          <w:szCs w:val="24"/>
        </w:rPr>
        <w:t>LAFLA comments</w:t>
      </w:r>
    </w:p>
    <w:p w:rsidRPr="00EB3745" w:rsidR="009D0A4C" w:rsidP="003541B0" w:rsidRDefault="009D0A4C" w14:paraId="438CD56B" w14:textId="15F70CE4">
      <w:pPr>
        <w:pStyle w:val="ListParagraph"/>
        <w:numPr>
          <w:ilvl w:val="0"/>
          <w:numId w:val="29"/>
        </w:numPr>
        <w:spacing w:line="240" w:lineRule="auto"/>
        <w:rPr>
          <w:rFonts w:ascii="Times New Roman" w:hAnsi="Times New Roman"/>
          <w:szCs w:val="24"/>
        </w:rPr>
      </w:pPr>
      <w:r>
        <w:rPr>
          <w:rFonts w:ascii="Times New Roman" w:hAnsi="Times New Roman"/>
          <w:szCs w:val="24"/>
        </w:rPr>
        <w:t xml:space="preserve">BJS response to public comment </w:t>
      </w:r>
      <w:r w:rsidR="00317BE5">
        <w:rPr>
          <w:rFonts w:ascii="Times New Roman" w:hAnsi="Times New Roman"/>
          <w:szCs w:val="24"/>
        </w:rPr>
        <w:t>CCSC</w:t>
      </w:r>
    </w:p>
    <w:p w:rsidR="00975A86" w:rsidP="00580A55" w:rsidRDefault="00975A86" w14:paraId="315E98A5" w14:textId="77777777">
      <w:pPr>
        <w:pStyle w:val="L1-FlLSp12"/>
        <w:spacing w:line="276" w:lineRule="auto"/>
        <w:rPr>
          <w:rFonts w:ascii="Times New Roman" w:hAnsi="Times New Roman" w:eastAsiaTheme="minorEastAsia"/>
          <w:lang w:eastAsia="ko-KR"/>
        </w:rPr>
      </w:pPr>
    </w:p>
    <w:p w:rsidR="005D48AE" w:rsidP="00580A55" w:rsidRDefault="005D48AE" w14:paraId="5FD51176" w14:textId="77777777">
      <w:pPr>
        <w:pStyle w:val="L1-FlLSp12"/>
        <w:spacing w:line="276" w:lineRule="auto"/>
        <w:rPr>
          <w:rFonts w:ascii="Times New Roman" w:hAnsi="Times New Roman" w:eastAsiaTheme="minorEastAsia"/>
          <w:lang w:eastAsia="ko-KR"/>
        </w:rPr>
      </w:pPr>
    </w:p>
    <w:p w:rsidRPr="005D48AE" w:rsidR="005D48AE" w:rsidP="00580A55" w:rsidRDefault="005D48AE" w14:paraId="0C0BB3C4" w14:textId="11FF3ADF">
      <w:pPr>
        <w:pStyle w:val="L1-FlLSp12"/>
        <w:spacing w:line="276" w:lineRule="auto"/>
        <w:rPr>
          <w:rFonts w:ascii="Times New Roman" w:hAnsi="Times New Roman" w:eastAsiaTheme="minorEastAsia"/>
          <w:lang w:eastAsia="ko-KR"/>
        </w:rPr>
      </w:pPr>
    </w:p>
    <w:sectPr w:rsidRPr="005D48AE" w:rsidR="005D48AE" w:rsidSect="007D61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001EA" w14:textId="77777777" w:rsidR="007C00B4" w:rsidRDefault="007C00B4" w:rsidP="0077503D">
      <w:pPr>
        <w:spacing w:line="240" w:lineRule="auto"/>
      </w:pPr>
      <w:r>
        <w:separator/>
      </w:r>
    </w:p>
  </w:endnote>
  <w:endnote w:type="continuationSeparator" w:id="0">
    <w:p w14:paraId="29118F66" w14:textId="77777777" w:rsidR="007C00B4" w:rsidRDefault="007C00B4" w:rsidP="00775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New Baskerville">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126600"/>
      <w:docPartObj>
        <w:docPartGallery w:val="Page Numbers (Bottom of Page)"/>
        <w:docPartUnique/>
      </w:docPartObj>
    </w:sdtPr>
    <w:sdtEndPr>
      <w:rPr>
        <w:noProof/>
      </w:rPr>
    </w:sdtEndPr>
    <w:sdtContent>
      <w:p w14:paraId="40BEC6A1" w14:textId="2CDC523A" w:rsidR="007C00B4" w:rsidRDefault="007C00B4">
        <w:pPr>
          <w:pStyle w:val="Footer"/>
          <w:jc w:val="right"/>
        </w:pPr>
        <w:r>
          <w:fldChar w:fldCharType="begin"/>
        </w:r>
        <w:r>
          <w:instrText xml:space="preserve"> PAGE   \* MERGEFORMAT </w:instrText>
        </w:r>
        <w:r>
          <w:fldChar w:fldCharType="separate"/>
        </w:r>
        <w:r w:rsidR="00FB708D">
          <w:rPr>
            <w:noProof/>
          </w:rPr>
          <w:t>17</w:t>
        </w:r>
        <w:r>
          <w:rPr>
            <w:noProof/>
          </w:rPr>
          <w:fldChar w:fldCharType="end"/>
        </w:r>
      </w:p>
    </w:sdtContent>
  </w:sdt>
  <w:p w14:paraId="110BD6C6" w14:textId="512CC801" w:rsidR="007C00B4" w:rsidRPr="0077503D" w:rsidRDefault="007C00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B4F91" w14:textId="77777777" w:rsidR="007C00B4" w:rsidRDefault="007C00B4" w:rsidP="0077503D">
      <w:pPr>
        <w:spacing w:line="240" w:lineRule="auto"/>
      </w:pPr>
      <w:r>
        <w:separator/>
      </w:r>
    </w:p>
  </w:footnote>
  <w:footnote w:type="continuationSeparator" w:id="0">
    <w:p w14:paraId="669B8CF9" w14:textId="77777777" w:rsidR="007C00B4" w:rsidRDefault="007C00B4" w:rsidP="0077503D">
      <w:pPr>
        <w:spacing w:line="240" w:lineRule="auto"/>
      </w:pPr>
      <w:r>
        <w:continuationSeparator/>
      </w:r>
    </w:p>
  </w:footnote>
  <w:footnote w:id="1">
    <w:p w14:paraId="2641AC0A" w14:textId="0DAEACC9" w:rsidR="007C00B4" w:rsidRPr="008E2BA5" w:rsidRDefault="007C00B4" w:rsidP="0068395E">
      <w:pPr>
        <w:pStyle w:val="FootnoteText"/>
        <w:rPr>
          <w:rFonts w:ascii="Times New Roman" w:hAnsi="Times New Roman"/>
        </w:rPr>
      </w:pPr>
      <w:r w:rsidRPr="00D36FF6">
        <w:rPr>
          <w:rStyle w:val="FootnoteReference"/>
          <w:rFonts w:ascii="Times New Roman" w:hAnsi="Times New Roman"/>
        </w:rPr>
        <w:footnoteRef/>
      </w:r>
      <w:r w:rsidRPr="00D36FF6">
        <w:rPr>
          <w:rFonts w:ascii="Times New Roman" w:hAnsi="Times New Roman"/>
        </w:rPr>
        <w:t xml:space="preserve"> This definition excludes violations of probation and all civil cases, including traffic offenses (if charged civilly instead of criminally), municipal ordinance violations, infractions, misdemeanors with potential punishments of less than one year incarceration,</w:t>
      </w:r>
      <w:r w:rsidRPr="008E2BA5">
        <w:rPr>
          <w:rFonts w:ascii="Times New Roman" w:hAnsi="Times New Roman"/>
        </w:rPr>
        <w:t xml:space="preserve"> fish and game commission charges, and habeas corpus petitions. </w:t>
      </w:r>
    </w:p>
  </w:footnote>
  <w:footnote w:id="2">
    <w:p w14:paraId="04E17BFA" w14:textId="5A9938A7" w:rsidR="007C00B4" w:rsidRPr="00D36FF6" w:rsidRDefault="007C00B4">
      <w:pPr>
        <w:pStyle w:val="FootnoteText"/>
        <w:rPr>
          <w:rFonts w:ascii="Times New Roman" w:hAnsi="Times New Roman"/>
        </w:rPr>
      </w:pPr>
      <w:r w:rsidRPr="00D36FF6">
        <w:rPr>
          <w:rStyle w:val="FootnoteReference"/>
          <w:rFonts w:ascii="Times New Roman" w:hAnsi="Times New Roman"/>
        </w:rPr>
        <w:footnoteRef/>
      </w:r>
      <w:r w:rsidRPr="00D36FF6">
        <w:rPr>
          <w:rFonts w:ascii="Times New Roman" w:hAnsi="Times New Roman"/>
        </w:rPr>
        <w:t xml:space="preserve"> </w:t>
      </w:r>
      <w:r w:rsidRPr="00D36FF6">
        <w:rPr>
          <w:rFonts w:ascii="Times New Roman" w:eastAsiaTheme="minorEastAsia" w:hAnsi="Times New Roman"/>
          <w:lang w:eastAsia="ko-KR"/>
        </w:rPr>
        <w:t>T</w:t>
      </w:r>
      <w:r w:rsidRPr="00D36FF6">
        <w:rPr>
          <w:rFonts w:ascii="Times New Roman" w:hAnsi="Times New Roman"/>
        </w:rPr>
        <w:t xml:space="preserve">he volume of court filings </w:t>
      </w:r>
      <w:r w:rsidRPr="00D36FF6">
        <w:rPr>
          <w:rFonts w:ascii="Times New Roman" w:eastAsiaTheme="minorEastAsia" w:hAnsi="Times New Roman"/>
          <w:lang w:eastAsia="ko-KR"/>
        </w:rPr>
        <w:t xml:space="preserve">at the county level </w:t>
      </w:r>
      <w:r w:rsidRPr="00D36FF6">
        <w:rPr>
          <w:rFonts w:ascii="Times New Roman" w:hAnsi="Times New Roman"/>
        </w:rPr>
        <w:t xml:space="preserve">is </w:t>
      </w:r>
      <w:r w:rsidRPr="00D36FF6">
        <w:rPr>
          <w:rFonts w:ascii="Times New Roman" w:eastAsiaTheme="minorEastAsia" w:hAnsi="Times New Roman"/>
          <w:lang w:eastAsia="ko-KR"/>
        </w:rPr>
        <w:t>often not available. The six states were selected on the basis of data availability and geographic representation.</w:t>
      </w:r>
      <w:r w:rsidRPr="00D36FF6">
        <w:rPr>
          <w:rFonts w:ascii="Times New Roman" w:hAnsi="Times New Roman"/>
        </w:rPr>
        <w:t xml:space="preserve"> </w:t>
      </w:r>
    </w:p>
  </w:footnote>
  <w:footnote w:id="3">
    <w:p w14:paraId="3CFA3E96" w14:textId="7FA17077" w:rsidR="007C00B4" w:rsidRPr="00D36FF6" w:rsidRDefault="007C00B4" w:rsidP="0059291A">
      <w:pPr>
        <w:pStyle w:val="Footnote"/>
      </w:pPr>
      <w:r w:rsidRPr="00D36FF6">
        <w:rPr>
          <w:rStyle w:val="FootnoteReference"/>
        </w:rPr>
        <w:footnoteRef/>
      </w:r>
      <w:r w:rsidRPr="00D36FF6">
        <w:t xml:space="preserve"> Five states had a lower age of majority at the end of 2018 (Adult is 16 - Georgia, Michigan, Missouri, Texas, and Wisconsin). Missouri raised the age of majority to 17 in 2018, but the law will not go into effect until 2021. (Juvenile Age of Jurisdiction and Transfer to Adult Court Laws, 1/11/2019, National Conference of State Legislatures, retrieved May 7, 2019 from </w:t>
      </w:r>
      <w:hyperlink r:id="rId1" w:history="1">
        <w:r w:rsidRPr="00D36FF6">
          <w:rPr>
            <w:rStyle w:val="Hyperlink"/>
          </w:rPr>
          <w:t>http://www.ncsl.org/research/civil-and-criminal-justice/juvenile-age-of-jurisdiction-and-transfer-to-adult-court-laws.aspx</w:t>
        </w:r>
      </w:hyperlink>
      <w:r w:rsidRPr="00D36FF6">
        <w:t>)</w:t>
      </w:r>
    </w:p>
  </w:footnote>
  <w:footnote w:id="4">
    <w:p w14:paraId="449228E7" w14:textId="09AAB432" w:rsidR="007C00B4" w:rsidRPr="008E2BA5" w:rsidRDefault="007C00B4" w:rsidP="00FB708D">
      <w:pPr>
        <w:pStyle w:val="Pa1"/>
        <w:spacing w:before="120" w:line="200" w:lineRule="atLeast"/>
        <w:rPr>
          <w:rFonts w:ascii="Times New Roman" w:hAnsi="Times New Roman"/>
        </w:rPr>
      </w:pPr>
      <w:r w:rsidRPr="00A90C4C">
        <w:rPr>
          <w:rStyle w:val="FootnoteReference"/>
          <w:rFonts w:ascii="Times New Roman" w:hAnsi="Times New Roman" w:cs="Times New Roman"/>
        </w:rPr>
        <w:footnoteRef/>
      </w:r>
      <w:r w:rsidRPr="00A90C4C">
        <w:rPr>
          <w:rFonts w:ascii="Times New Roman" w:hAnsi="Times New Roman" w:cs="Times New Roman"/>
        </w:rPr>
        <w:t xml:space="preserve">  </w:t>
      </w:r>
      <w:r w:rsidRPr="00D36FF6">
        <w:rPr>
          <w:rStyle w:val="A5"/>
          <w:rFonts w:ascii="Times New Roman" w:hAnsi="Times New Roman" w:cs="Times New Roman"/>
          <w:i w:val="0"/>
          <w:iCs w:val="0"/>
          <w:sz w:val="20"/>
          <w:szCs w:val="20"/>
        </w:rPr>
        <w:t xml:space="preserve">R. LaFountain, R. Schauffler, S. Strickland &amp; K. Holt. (2012) </w:t>
      </w:r>
      <w:r w:rsidRPr="00D36FF6">
        <w:rPr>
          <w:rStyle w:val="A5"/>
          <w:rFonts w:ascii="Times New Roman" w:hAnsi="Times New Roman" w:cs="Times New Roman"/>
          <w:sz w:val="20"/>
          <w:szCs w:val="20"/>
        </w:rPr>
        <w:t xml:space="preserve">Examining the Work of State Courts: An Analysis of 2010 State Court Caseloads. </w:t>
      </w:r>
      <w:r w:rsidRPr="00D36FF6">
        <w:rPr>
          <w:rStyle w:val="A5"/>
          <w:rFonts w:ascii="Times New Roman" w:hAnsi="Times New Roman" w:cs="Times New Roman"/>
          <w:i w:val="0"/>
          <w:sz w:val="20"/>
          <w:szCs w:val="20"/>
        </w:rPr>
        <w:t xml:space="preserve">Retrieved May 2, 2019 from </w:t>
      </w:r>
      <w:hyperlink r:id="rId2" w:history="1">
        <w:r w:rsidRPr="00D36FF6">
          <w:rPr>
            <w:rStyle w:val="Hyperlink"/>
            <w:rFonts w:ascii="Times New Roman" w:hAnsi="Times New Roman" w:cs="Times New Roman"/>
            <w:sz w:val="20"/>
            <w:szCs w:val="20"/>
          </w:rPr>
          <w:t>http://www.courtstatistics.org/~/media/Microsites/Files/CSP/DATA%20PDF/CSP_DEC.ashx</w:t>
        </w:r>
      </w:hyperlink>
      <w:r>
        <w:rPr>
          <w:rStyle w:val="Hyperlink"/>
          <w:rFonts w:ascii="Times New Roman" w:hAnsi="Times New Roman" w:cs="Times New Roman"/>
          <w:sz w:val="20"/>
          <w:szCs w:val="20"/>
        </w:rPr>
        <w:t>.</w:t>
      </w:r>
    </w:p>
  </w:footnote>
  <w:footnote w:id="5">
    <w:p w14:paraId="48CF33E7" w14:textId="77777777" w:rsidR="007C00B4" w:rsidRPr="00D36FF6" w:rsidRDefault="007C00B4" w:rsidP="003603D2">
      <w:pPr>
        <w:pStyle w:val="FootnoteText"/>
        <w:rPr>
          <w:rFonts w:ascii="Times New Roman" w:hAnsi="Times New Roman"/>
        </w:rPr>
      </w:pPr>
      <w:r w:rsidRPr="00D36FF6">
        <w:rPr>
          <w:rStyle w:val="FootnoteReference"/>
          <w:rFonts w:ascii="Times New Roman" w:hAnsi="Times New Roman"/>
        </w:rPr>
        <w:footnoteRef/>
      </w:r>
      <w:r w:rsidRPr="00D36FF6">
        <w:rPr>
          <w:rFonts w:ascii="Times New Roman" w:hAnsi="Times New Roman"/>
        </w:rPr>
        <w:t xml:space="preserve"> Some state court systems are unified and only have courts of general jurisdiction, whereas others are tiered systems and may receive data from both general jurisdiction and limited jurisdiction courts. </w:t>
      </w:r>
    </w:p>
  </w:footnote>
  <w:footnote w:id="6">
    <w:p w14:paraId="51BFBA27" w14:textId="36DE3F4D" w:rsidR="007C00B4" w:rsidRPr="00A90C4C" w:rsidRDefault="007C00B4">
      <w:pPr>
        <w:pStyle w:val="FootnoteText"/>
        <w:rPr>
          <w:rFonts w:ascii="Times New Roman" w:hAnsi="Times New Roman"/>
        </w:rPr>
      </w:pPr>
      <w:r w:rsidRPr="00A90C4C">
        <w:rPr>
          <w:rStyle w:val="FootnoteReference"/>
          <w:rFonts w:ascii="Times New Roman" w:hAnsi="Times New Roman"/>
        </w:rPr>
        <w:footnoteRef/>
      </w:r>
      <w:r w:rsidRPr="00A90C4C">
        <w:rPr>
          <w:rFonts w:ascii="Times New Roman" w:hAnsi="Times New Roman"/>
        </w:rPr>
        <w:t xml:space="preserve"> In some states and counties, NCSC has direct contacts with individuals responsible for court data requests. In those instances, BJS will send the letter to the </w:t>
      </w:r>
      <w:r>
        <w:rPr>
          <w:rFonts w:ascii="Times New Roman" w:hAnsi="Times New Roman"/>
        </w:rPr>
        <w:t>c</w:t>
      </w:r>
      <w:r w:rsidRPr="00A90C4C">
        <w:rPr>
          <w:rFonts w:ascii="Times New Roman" w:hAnsi="Times New Roman"/>
        </w:rPr>
        <w:t xml:space="preserve">ourt </w:t>
      </w:r>
      <w:r>
        <w:rPr>
          <w:rFonts w:ascii="Times New Roman" w:hAnsi="Times New Roman"/>
        </w:rPr>
        <w:t>a</w:t>
      </w:r>
      <w:r w:rsidRPr="00A90C4C">
        <w:rPr>
          <w:rFonts w:ascii="Times New Roman" w:hAnsi="Times New Roman"/>
        </w:rPr>
        <w:t>dministrator and the technology contact, noting that the letter was sent to both parties.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494"/>
    <w:multiLevelType w:val="hybridMultilevel"/>
    <w:tmpl w:val="5E960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1547C7"/>
    <w:multiLevelType w:val="hybridMultilevel"/>
    <w:tmpl w:val="A5680EDC"/>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26AD000D"/>
    <w:multiLevelType w:val="hybridMultilevel"/>
    <w:tmpl w:val="22E29BD4"/>
    <w:lvl w:ilvl="0" w:tplc="97B0D528">
      <w:start w:val="1"/>
      <w:numFmt w:val="decimal"/>
      <w:lvlText w:val="Stratum %1."/>
      <w:lvlJc w:val="left"/>
      <w:pPr>
        <w:tabs>
          <w:tab w:val="num" w:pos="1152"/>
        </w:tabs>
        <w:ind w:left="1152" w:hanging="576"/>
      </w:pPr>
      <w:rPr>
        <w:rFonts w:hint="default"/>
        <w:b/>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F65DD0"/>
    <w:multiLevelType w:val="hybridMultilevel"/>
    <w:tmpl w:val="FDB4A360"/>
    <w:lvl w:ilvl="0" w:tplc="85D846F8">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D35BA"/>
    <w:multiLevelType w:val="hybridMultilevel"/>
    <w:tmpl w:val="97A651CC"/>
    <w:lvl w:ilvl="0" w:tplc="A18286A2">
      <w:start w:val="1"/>
      <w:numFmt w:val="decimal"/>
      <w:lvlText w:val="%1."/>
      <w:lvlJc w:val="left"/>
      <w:pPr>
        <w:tabs>
          <w:tab w:val="num" w:pos="1152"/>
        </w:tabs>
        <w:ind w:left="1152" w:hanging="576"/>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14C8B"/>
    <w:multiLevelType w:val="hybridMultilevel"/>
    <w:tmpl w:val="E66C6EC4"/>
    <w:lvl w:ilvl="0" w:tplc="CF2E978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53C7C3F"/>
    <w:multiLevelType w:val="hybridMultilevel"/>
    <w:tmpl w:val="9126F96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3A4530B6"/>
    <w:multiLevelType w:val="hybridMultilevel"/>
    <w:tmpl w:val="0EC89514"/>
    <w:lvl w:ilvl="0" w:tplc="21A063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65083B"/>
    <w:multiLevelType w:val="hybridMultilevel"/>
    <w:tmpl w:val="133069FA"/>
    <w:lvl w:ilvl="0" w:tplc="E3B2E30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99643EF"/>
    <w:multiLevelType w:val="hybridMultilevel"/>
    <w:tmpl w:val="9E663A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A3BF8"/>
    <w:multiLevelType w:val="hybridMultilevel"/>
    <w:tmpl w:val="1C960BAA"/>
    <w:lvl w:ilvl="0" w:tplc="4044F0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23FE1"/>
    <w:multiLevelType w:val="hybridMultilevel"/>
    <w:tmpl w:val="A78A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273DB"/>
    <w:multiLevelType w:val="hybridMultilevel"/>
    <w:tmpl w:val="920A0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52B51"/>
    <w:multiLevelType w:val="hybridMultilevel"/>
    <w:tmpl w:val="DFE4A79C"/>
    <w:lvl w:ilvl="0" w:tplc="A18286A2">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42545"/>
    <w:multiLevelType w:val="hybridMultilevel"/>
    <w:tmpl w:val="226E2186"/>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9" w15:restartNumberingAfterBreak="0">
    <w:nsid w:val="68B06324"/>
    <w:multiLevelType w:val="hybridMultilevel"/>
    <w:tmpl w:val="679C2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19741C"/>
    <w:multiLevelType w:val="hybridMultilevel"/>
    <w:tmpl w:val="D49E2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9"/>
  </w:num>
  <w:num w:numId="4">
    <w:abstractNumId w:val="10"/>
  </w:num>
  <w:num w:numId="5">
    <w:abstractNumId w:val="8"/>
  </w:num>
  <w:num w:numId="6">
    <w:abstractNumId w:val="11"/>
  </w:num>
  <w:num w:numId="7">
    <w:abstractNumId w:val="2"/>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20"/>
  </w:num>
  <w:num w:numId="19">
    <w:abstractNumId w:val="21"/>
  </w:num>
  <w:num w:numId="20">
    <w:abstractNumId w:val="0"/>
  </w:num>
  <w:num w:numId="21">
    <w:abstractNumId w:val="4"/>
  </w:num>
  <w:num w:numId="22">
    <w:abstractNumId w:val="17"/>
  </w:num>
  <w:num w:numId="23">
    <w:abstractNumId w:val="6"/>
  </w:num>
  <w:num w:numId="24">
    <w:abstractNumId w:val="13"/>
  </w:num>
  <w:num w:numId="25">
    <w:abstractNumId w:val="7"/>
  </w:num>
  <w:num w:numId="26">
    <w:abstractNumId w:val="18"/>
  </w:num>
  <w:num w:numId="27">
    <w:abstractNumId w:val="12"/>
  </w:num>
  <w:num w:numId="28">
    <w:abstractNumId w:val="14"/>
  </w:num>
  <w:num w:numId="29">
    <w:abstractNumId w:val="19"/>
  </w:num>
  <w:num w:numId="30">
    <w:abstractNumId w:val="1"/>
  </w:num>
  <w:num w:numId="31">
    <w:abstractNumId w:val="3"/>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86"/>
    <w:rsid w:val="00012B78"/>
    <w:rsid w:val="0001491D"/>
    <w:rsid w:val="00016A85"/>
    <w:rsid w:val="00021C0B"/>
    <w:rsid w:val="00025309"/>
    <w:rsid w:val="00034FCC"/>
    <w:rsid w:val="00036FA9"/>
    <w:rsid w:val="00040ABA"/>
    <w:rsid w:val="00042D01"/>
    <w:rsid w:val="00043876"/>
    <w:rsid w:val="0004570D"/>
    <w:rsid w:val="0005624D"/>
    <w:rsid w:val="00061258"/>
    <w:rsid w:val="0006282D"/>
    <w:rsid w:val="000702E7"/>
    <w:rsid w:val="00077811"/>
    <w:rsid w:val="000931AB"/>
    <w:rsid w:val="0009355A"/>
    <w:rsid w:val="000A298E"/>
    <w:rsid w:val="000A68F7"/>
    <w:rsid w:val="000B0572"/>
    <w:rsid w:val="000B0883"/>
    <w:rsid w:val="000B3CAF"/>
    <w:rsid w:val="000C12CF"/>
    <w:rsid w:val="000C265F"/>
    <w:rsid w:val="000C308A"/>
    <w:rsid w:val="000D25D1"/>
    <w:rsid w:val="000D556C"/>
    <w:rsid w:val="000D5AC8"/>
    <w:rsid w:val="000E018F"/>
    <w:rsid w:val="00102621"/>
    <w:rsid w:val="00104620"/>
    <w:rsid w:val="00105720"/>
    <w:rsid w:val="00105922"/>
    <w:rsid w:val="00106B3D"/>
    <w:rsid w:val="00110DFD"/>
    <w:rsid w:val="0011114E"/>
    <w:rsid w:val="001141A3"/>
    <w:rsid w:val="0012118A"/>
    <w:rsid w:val="00123EDA"/>
    <w:rsid w:val="00131F31"/>
    <w:rsid w:val="00135C17"/>
    <w:rsid w:val="0014498B"/>
    <w:rsid w:val="00145BCA"/>
    <w:rsid w:val="00147BA1"/>
    <w:rsid w:val="001508A2"/>
    <w:rsid w:val="00151528"/>
    <w:rsid w:val="00155917"/>
    <w:rsid w:val="00156FD2"/>
    <w:rsid w:val="00160442"/>
    <w:rsid w:val="00161573"/>
    <w:rsid w:val="00165788"/>
    <w:rsid w:val="00171A1C"/>
    <w:rsid w:val="001729C6"/>
    <w:rsid w:val="00173298"/>
    <w:rsid w:val="00185C00"/>
    <w:rsid w:val="00187FF2"/>
    <w:rsid w:val="001A4922"/>
    <w:rsid w:val="001A4D9D"/>
    <w:rsid w:val="001B04F5"/>
    <w:rsid w:val="001B4445"/>
    <w:rsid w:val="001B6135"/>
    <w:rsid w:val="001B7B63"/>
    <w:rsid w:val="001C245F"/>
    <w:rsid w:val="001C2550"/>
    <w:rsid w:val="001C324F"/>
    <w:rsid w:val="001C41ED"/>
    <w:rsid w:val="001C470B"/>
    <w:rsid w:val="001D6C9F"/>
    <w:rsid w:val="001E0F3F"/>
    <w:rsid w:val="001E1092"/>
    <w:rsid w:val="001E2D8C"/>
    <w:rsid w:val="001E462A"/>
    <w:rsid w:val="001F4CDC"/>
    <w:rsid w:val="001F554F"/>
    <w:rsid w:val="00201435"/>
    <w:rsid w:val="00202B93"/>
    <w:rsid w:val="00205BAC"/>
    <w:rsid w:val="002073E9"/>
    <w:rsid w:val="00207466"/>
    <w:rsid w:val="00211917"/>
    <w:rsid w:val="00213305"/>
    <w:rsid w:val="00217925"/>
    <w:rsid w:val="00222065"/>
    <w:rsid w:val="0023245B"/>
    <w:rsid w:val="0023396D"/>
    <w:rsid w:val="00247A55"/>
    <w:rsid w:val="00254328"/>
    <w:rsid w:val="00256C22"/>
    <w:rsid w:val="00256D91"/>
    <w:rsid w:val="00257480"/>
    <w:rsid w:val="002614D8"/>
    <w:rsid w:val="00262553"/>
    <w:rsid w:val="00263F25"/>
    <w:rsid w:val="0026454F"/>
    <w:rsid w:val="00266F86"/>
    <w:rsid w:val="002673D1"/>
    <w:rsid w:val="00270941"/>
    <w:rsid w:val="00274202"/>
    <w:rsid w:val="00281C49"/>
    <w:rsid w:val="00284476"/>
    <w:rsid w:val="00290A9B"/>
    <w:rsid w:val="002A20ED"/>
    <w:rsid w:val="002A6BBD"/>
    <w:rsid w:val="002A71E7"/>
    <w:rsid w:val="002A755D"/>
    <w:rsid w:val="002A79C9"/>
    <w:rsid w:val="002B177F"/>
    <w:rsid w:val="002B6A93"/>
    <w:rsid w:val="002B7B0B"/>
    <w:rsid w:val="002C4126"/>
    <w:rsid w:val="002C460E"/>
    <w:rsid w:val="002D0F47"/>
    <w:rsid w:val="002D5991"/>
    <w:rsid w:val="002E109D"/>
    <w:rsid w:val="002F32AC"/>
    <w:rsid w:val="002F4867"/>
    <w:rsid w:val="002F4A95"/>
    <w:rsid w:val="002F4E00"/>
    <w:rsid w:val="00301FB4"/>
    <w:rsid w:val="00312B0A"/>
    <w:rsid w:val="00313DB4"/>
    <w:rsid w:val="00317BE5"/>
    <w:rsid w:val="003203EF"/>
    <w:rsid w:val="00332713"/>
    <w:rsid w:val="00337CF3"/>
    <w:rsid w:val="00340B23"/>
    <w:rsid w:val="0035050A"/>
    <w:rsid w:val="0035101A"/>
    <w:rsid w:val="003541B0"/>
    <w:rsid w:val="0035731A"/>
    <w:rsid w:val="003603D2"/>
    <w:rsid w:val="00365D94"/>
    <w:rsid w:val="00366F3A"/>
    <w:rsid w:val="003774B1"/>
    <w:rsid w:val="003812F4"/>
    <w:rsid w:val="00383E27"/>
    <w:rsid w:val="0038447A"/>
    <w:rsid w:val="0038656F"/>
    <w:rsid w:val="00393DE0"/>
    <w:rsid w:val="00397CE4"/>
    <w:rsid w:val="003A13AA"/>
    <w:rsid w:val="003A2BC9"/>
    <w:rsid w:val="003A5389"/>
    <w:rsid w:val="003A6122"/>
    <w:rsid w:val="003B5D30"/>
    <w:rsid w:val="003D02B5"/>
    <w:rsid w:val="003D0B02"/>
    <w:rsid w:val="003D3E65"/>
    <w:rsid w:val="003E117A"/>
    <w:rsid w:val="003E7433"/>
    <w:rsid w:val="003F304E"/>
    <w:rsid w:val="003F6792"/>
    <w:rsid w:val="004006E4"/>
    <w:rsid w:val="00400F56"/>
    <w:rsid w:val="00402C55"/>
    <w:rsid w:val="00402E46"/>
    <w:rsid w:val="00410FFB"/>
    <w:rsid w:val="004143A8"/>
    <w:rsid w:val="004201A9"/>
    <w:rsid w:val="00425D23"/>
    <w:rsid w:val="00425E04"/>
    <w:rsid w:val="00427E52"/>
    <w:rsid w:val="00437B43"/>
    <w:rsid w:val="00446F69"/>
    <w:rsid w:val="00450D9A"/>
    <w:rsid w:val="00451AFF"/>
    <w:rsid w:val="00455E49"/>
    <w:rsid w:val="00457E46"/>
    <w:rsid w:val="00462B9C"/>
    <w:rsid w:val="0047093F"/>
    <w:rsid w:val="00473C91"/>
    <w:rsid w:val="00477BA1"/>
    <w:rsid w:val="004828AC"/>
    <w:rsid w:val="00486AF0"/>
    <w:rsid w:val="0049038F"/>
    <w:rsid w:val="004913FE"/>
    <w:rsid w:val="004B11D0"/>
    <w:rsid w:val="004C54AE"/>
    <w:rsid w:val="004E1AB3"/>
    <w:rsid w:val="004E4E56"/>
    <w:rsid w:val="004E50C3"/>
    <w:rsid w:val="004E6655"/>
    <w:rsid w:val="004F0C9E"/>
    <w:rsid w:val="004F7825"/>
    <w:rsid w:val="0050137D"/>
    <w:rsid w:val="005030C6"/>
    <w:rsid w:val="005032C7"/>
    <w:rsid w:val="005052DC"/>
    <w:rsid w:val="00505D07"/>
    <w:rsid w:val="00506D2D"/>
    <w:rsid w:val="00514FD6"/>
    <w:rsid w:val="0052420A"/>
    <w:rsid w:val="005243A3"/>
    <w:rsid w:val="00536DE6"/>
    <w:rsid w:val="00541908"/>
    <w:rsid w:val="0054364C"/>
    <w:rsid w:val="005453BE"/>
    <w:rsid w:val="0055030A"/>
    <w:rsid w:val="005525CA"/>
    <w:rsid w:val="00553D65"/>
    <w:rsid w:val="00557013"/>
    <w:rsid w:val="005612BC"/>
    <w:rsid w:val="00567609"/>
    <w:rsid w:val="00580434"/>
    <w:rsid w:val="00580A55"/>
    <w:rsid w:val="00582045"/>
    <w:rsid w:val="0058220A"/>
    <w:rsid w:val="005872E3"/>
    <w:rsid w:val="005912F4"/>
    <w:rsid w:val="0059291A"/>
    <w:rsid w:val="005A129E"/>
    <w:rsid w:val="005A1E36"/>
    <w:rsid w:val="005A2521"/>
    <w:rsid w:val="005A639E"/>
    <w:rsid w:val="005B0813"/>
    <w:rsid w:val="005B4211"/>
    <w:rsid w:val="005B7D69"/>
    <w:rsid w:val="005C3427"/>
    <w:rsid w:val="005C4E7B"/>
    <w:rsid w:val="005D48AE"/>
    <w:rsid w:val="005D6552"/>
    <w:rsid w:val="005E037C"/>
    <w:rsid w:val="005E3E9F"/>
    <w:rsid w:val="005E6E95"/>
    <w:rsid w:val="005F06BA"/>
    <w:rsid w:val="005F364D"/>
    <w:rsid w:val="005F44BE"/>
    <w:rsid w:val="005F61B4"/>
    <w:rsid w:val="00604B6B"/>
    <w:rsid w:val="00614346"/>
    <w:rsid w:val="006277B0"/>
    <w:rsid w:val="00632969"/>
    <w:rsid w:val="006362A3"/>
    <w:rsid w:val="00637B77"/>
    <w:rsid w:val="006400BD"/>
    <w:rsid w:val="006401D2"/>
    <w:rsid w:val="006430C5"/>
    <w:rsid w:val="00655A91"/>
    <w:rsid w:val="00656842"/>
    <w:rsid w:val="00662A13"/>
    <w:rsid w:val="00667D0C"/>
    <w:rsid w:val="00671830"/>
    <w:rsid w:val="00672CBB"/>
    <w:rsid w:val="006755FE"/>
    <w:rsid w:val="00676A81"/>
    <w:rsid w:val="0068395E"/>
    <w:rsid w:val="00694B8D"/>
    <w:rsid w:val="006974EA"/>
    <w:rsid w:val="006B0CE5"/>
    <w:rsid w:val="006C2502"/>
    <w:rsid w:val="006C59FA"/>
    <w:rsid w:val="006D290E"/>
    <w:rsid w:val="006D3E65"/>
    <w:rsid w:val="006D4EC5"/>
    <w:rsid w:val="006D526D"/>
    <w:rsid w:val="006E34D8"/>
    <w:rsid w:val="006F050E"/>
    <w:rsid w:val="006F605C"/>
    <w:rsid w:val="006F76CD"/>
    <w:rsid w:val="006F7D0F"/>
    <w:rsid w:val="007013CA"/>
    <w:rsid w:val="00704445"/>
    <w:rsid w:val="007054C3"/>
    <w:rsid w:val="00713DBE"/>
    <w:rsid w:val="007140EB"/>
    <w:rsid w:val="00720C70"/>
    <w:rsid w:val="007228E0"/>
    <w:rsid w:val="00742A35"/>
    <w:rsid w:val="007431AC"/>
    <w:rsid w:val="0074395A"/>
    <w:rsid w:val="00762339"/>
    <w:rsid w:val="007624AE"/>
    <w:rsid w:val="007646FC"/>
    <w:rsid w:val="007675E8"/>
    <w:rsid w:val="00770632"/>
    <w:rsid w:val="007746FE"/>
    <w:rsid w:val="0077503D"/>
    <w:rsid w:val="00775154"/>
    <w:rsid w:val="0077772C"/>
    <w:rsid w:val="0078004C"/>
    <w:rsid w:val="00782E4E"/>
    <w:rsid w:val="007844F7"/>
    <w:rsid w:val="00786092"/>
    <w:rsid w:val="007871EA"/>
    <w:rsid w:val="00790B43"/>
    <w:rsid w:val="00791E11"/>
    <w:rsid w:val="00794DF9"/>
    <w:rsid w:val="00796639"/>
    <w:rsid w:val="007A1170"/>
    <w:rsid w:val="007A3B9B"/>
    <w:rsid w:val="007A4A36"/>
    <w:rsid w:val="007B548E"/>
    <w:rsid w:val="007C00B4"/>
    <w:rsid w:val="007C28B9"/>
    <w:rsid w:val="007C49B7"/>
    <w:rsid w:val="007C5889"/>
    <w:rsid w:val="007D2C7D"/>
    <w:rsid w:val="007D3B8A"/>
    <w:rsid w:val="007D613F"/>
    <w:rsid w:val="007D732E"/>
    <w:rsid w:val="007F78A8"/>
    <w:rsid w:val="00801B7C"/>
    <w:rsid w:val="008051A2"/>
    <w:rsid w:val="00811207"/>
    <w:rsid w:val="00811913"/>
    <w:rsid w:val="00811AA5"/>
    <w:rsid w:val="00812097"/>
    <w:rsid w:val="00812690"/>
    <w:rsid w:val="00816833"/>
    <w:rsid w:val="0082003D"/>
    <w:rsid w:val="00820B68"/>
    <w:rsid w:val="00820D6F"/>
    <w:rsid w:val="008226EB"/>
    <w:rsid w:val="00823E7A"/>
    <w:rsid w:val="00835D7E"/>
    <w:rsid w:val="008364E4"/>
    <w:rsid w:val="0084733C"/>
    <w:rsid w:val="00852DE0"/>
    <w:rsid w:val="00861F75"/>
    <w:rsid w:val="008757D4"/>
    <w:rsid w:val="00875BC7"/>
    <w:rsid w:val="00877777"/>
    <w:rsid w:val="00880313"/>
    <w:rsid w:val="00882781"/>
    <w:rsid w:val="008833CC"/>
    <w:rsid w:val="0089282F"/>
    <w:rsid w:val="00894FE6"/>
    <w:rsid w:val="00895CF1"/>
    <w:rsid w:val="008963EE"/>
    <w:rsid w:val="008B452F"/>
    <w:rsid w:val="008C6F6F"/>
    <w:rsid w:val="008D1C60"/>
    <w:rsid w:val="008D2839"/>
    <w:rsid w:val="008D51A8"/>
    <w:rsid w:val="008D6F77"/>
    <w:rsid w:val="008E2BA5"/>
    <w:rsid w:val="008E34B8"/>
    <w:rsid w:val="008E406A"/>
    <w:rsid w:val="008F10B3"/>
    <w:rsid w:val="008F51C8"/>
    <w:rsid w:val="008F60F0"/>
    <w:rsid w:val="008F6829"/>
    <w:rsid w:val="00900B8C"/>
    <w:rsid w:val="0090520A"/>
    <w:rsid w:val="009060FE"/>
    <w:rsid w:val="009111BC"/>
    <w:rsid w:val="00911457"/>
    <w:rsid w:val="009120C2"/>
    <w:rsid w:val="009127C4"/>
    <w:rsid w:val="00915EEB"/>
    <w:rsid w:val="00917F4D"/>
    <w:rsid w:val="00925C62"/>
    <w:rsid w:val="009264E7"/>
    <w:rsid w:val="00926968"/>
    <w:rsid w:val="00926DED"/>
    <w:rsid w:val="00926FF6"/>
    <w:rsid w:val="009365DC"/>
    <w:rsid w:val="009366A3"/>
    <w:rsid w:val="00937DEB"/>
    <w:rsid w:val="00942DA4"/>
    <w:rsid w:val="00947F85"/>
    <w:rsid w:val="00962488"/>
    <w:rsid w:val="009630FD"/>
    <w:rsid w:val="0097198C"/>
    <w:rsid w:val="00975A86"/>
    <w:rsid w:val="00980831"/>
    <w:rsid w:val="00980F8B"/>
    <w:rsid w:val="009913A8"/>
    <w:rsid w:val="009934BB"/>
    <w:rsid w:val="00995C32"/>
    <w:rsid w:val="009B306D"/>
    <w:rsid w:val="009C4956"/>
    <w:rsid w:val="009D0A4C"/>
    <w:rsid w:val="009D22C5"/>
    <w:rsid w:val="009D5BA9"/>
    <w:rsid w:val="009E365D"/>
    <w:rsid w:val="009E379B"/>
    <w:rsid w:val="009E4344"/>
    <w:rsid w:val="009E66F3"/>
    <w:rsid w:val="009E7F74"/>
    <w:rsid w:val="009F3D73"/>
    <w:rsid w:val="009F6DEE"/>
    <w:rsid w:val="009F7A4D"/>
    <w:rsid w:val="00A02F50"/>
    <w:rsid w:val="00A062B6"/>
    <w:rsid w:val="00A13E38"/>
    <w:rsid w:val="00A2580F"/>
    <w:rsid w:val="00A269E3"/>
    <w:rsid w:val="00A27CF2"/>
    <w:rsid w:val="00A306C4"/>
    <w:rsid w:val="00A335FF"/>
    <w:rsid w:val="00A37993"/>
    <w:rsid w:val="00A41A22"/>
    <w:rsid w:val="00A4673A"/>
    <w:rsid w:val="00A53A21"/>
    <w:rsid w:val="00A62403"/>
    <w:rsid w:val="00A77865"/>
    <w:rsid w:val="00A822CE"/>
    <w:rsid w:val="00A875A4"/>
    <w:rsid w:val="00A87F3F"/>
    <w:rsid w:val="00A90C4C"/>
    <w:rsid w:val="00AA1086"/>
    <w:rsid w:val="00AA3FF6"/>
    <w:rsid w:val="00AA5429"/>
    <w:rsid w:val="00AB06FF"/>
    <w:rsid w:val="00AB3D6B"/>
    <w:rsid w:val="00AC1DD6"/>
    <w:rsid w:val="00AC3F16"/>
    <w:rsid w:val="00AC59CC"/>
    <w:rsid w:val="00AC5D0D"/>
    <w:rsid w:val="00AD4310"/>
    <w:rsid w:val="00AD58B1"/>
    <w:rsid w:val="00AE5567"/>
    <w:rsid w:val="00AF0927"/>
    <w:rsid w:val="00AF2AEF"/>
    <w:rsid w:val="00AF3EEB"/>
    <w:rsid w:val="00AF5E69"/>
    <w:rsid w:val="00AF6657"/>
    <w:rsid w:val="00AF73A8"/>
    <w:rsid w:val="00AF7706"/>
    <w:rsid w:val="00B04D57"/>
    <w:rsid w:val="00B0519A"/>
    <w:rsid w:val="00B07333"/>
    <w:rsid w:val="00B162FA"/>
    <w:rsid w:val="00B1672E"/>
    <w:rsid w:val="00B17E0C"/>
    <w:rsid w:val="00B23F64"/>
    <w:rsid w:val="00B25079"/>
    <w:rsid w:val="00B324B2"/>
    <w:rsid w:val="00B33225"/>
    <w:rsid w:val="00B33D3A"/>
    <w:rsid w:val="00B370CD"/>
    <w:rsid w:val="00B40764"/>
    <w:rsid w:val="00B42F7E"/>
    <w:rsid w:val="00B46368"/>
    <w:rsid w:val="00B533AE"/>
    <w:rsid w:val="00B539E2"/>
    <w:rsid w:val="00B53F87"/>
    <w:rsid w:val="00B60AC8"/>
    <w:rsid w:val="00B66173"/>
    <w:rsid w:val="00B704C6"/>
    <w:rsid w:val="00B72CF3"/>
    <w:rsid w:val="00B76F09"/>
    <w:rsid w:val="00B80B30"/>
    <w:rsid w:val="00B815A9"/>
    <w:rsid w:val="00B84446"/>
    <w:rsid w:val="00B902E3"/>
    <w:rsid w:val="00B963F2"/>
    <w:rsid w:val="00B96DB5"/>
    <w:rsid w:val="00BA3CBB"/>
    <w:rsid w:val="00BA516C"/>
    <w:rsid w:val="00BA5E7F"/>
    <w:rsid w:val="00BA6A7D"/>
    <w:rsid w:val="00BB1627"/>
    <w:rsid w:val="00BB28E2"/>
    <w:rsid w:val="00BB71C0"/>
    <w:rsid w:val="00BB7546"/>
    <w:rsid w:val="00BD1407"/>
    <w:rsid w:val="00BD2BF8"/>
    <w:rsid w:val="00BE1539"/>
    <w:rsid w:val="00BE1CA4"/>
    <w:rsid w:val="00BE6B2B"/>
    <w:rsid w:val="00BF40E4"/>
    <w:rsid w:val="00BF7903"/>
    <w:rsid w:val="00C04A8F"/>
    <w:rsid w:val="00C04FE1"/>
    <w:rsid w:val="00C057B4"/>
    <w:rsid w:val="00C11FEB"/>
    <w:rsid w:val="00C13845"/>
    <w:rsid w:val="00C13F49"/>
    <w:rsid w:val="00C213A8"/>
    <w:rsid w:val="00C21EF3"/>
    <w:rsid w:val="00C25D74"/>
    <w:rsid w:val="00C260D5"/>
    <w:rsid w:val="00C27257"/>
    <w:rsid w:val="00C56990"/>
    <w:rsid w:val="00C56CDD"/>
    <w:rsid w:val="00C631FE"/>
    <w:rsid w:val="00C65418"/>
    <w:rsid w:val="00C704F2"/>
    <w:rsid w:val="00C71923"/>
    <w:rsid w:val="00C73ADB"/>
    <w:rsid w:val="00C73DCF"/>
    <w:rsid w:val="00C757EC"/>
    <w:rsid w:val="00C822AD"/>
    <w:rsid w:val="00C85CE8"/>
    <w:rsid w:val="00CA100F"/>
    <w:rsid w:val="00CB2D91"/>
    <w:rsid w:val="00CB591B"/>
    <w:rsid w:val="00CB5BA6"/>
    <w:rsid w:val="00CB73D4"/>
    <w:rsid w:val="00CC19BB"/>
    <w:rsid w:val="00CC1EC7"/>
    <w:rsid w:val="00CC3415"/>
    <w:rsid w:val="00CD1AB4"/>
    <w:rsid w:val="00CD35C9"/>
    <w:rsid w:val="00CD6FC6"/>
    <w:rsid w:val="00CE0D1A"/>
    <w:rsid w:val="00CF3216"/>
    <w:rsid w:val="00CF33D1"/>
    <w:rsid w:val="00CF58D1"/>
    <w:rsid w:val="00CF73CD"/>
    <w:rsid w:val="00D0060D"/>
    <w:rsid w:val="00D03FF1"/>
    <w:rsid w:val="00D052F2"/>
    <w:rsid w:val="00D1109B"/>
    <w:rsid w:val="00D336C6"/>
    <w:rsid w:val="00D36FF6"/>
    <w:rsid w:val="00D432CF"/>
    <w:rsid w:val="00D47B43"/>
    <w:rsid w:val="00D51133"/>
    <w:rsid w:val="00D60DB0"/>
    <w:rsid w:val="00D60DFE"/>
    <w:rsid w:val="00D72DA3"/>
    <w:rsid w:val="00D80A28"/>
    <w:rsid w:val="00D847F0"/>
    <w:rsid w:val="00D969D4"/>
    <w:rsid w:val="00DA0B6A"/>
    <w:rsid w:val="00DA357A"/>
    <w:rsid w:val="00DA70C9"/>
    <w:rsid w:val="00DB5492"/>
    <w:rsid w:val="00DC654F"/>
    <w:rsid w:val="00DC68A6"/>
    <w:rsid w:val="00DD0F03"/>
    <w:rsid w:val="00DD7A28"/>
    <w:rsid w:val="00DE6200"/>
    <w:rsid w:val="00DE7ACE"/>
    <w:rsid w:val="00DF0879"/>
    <w:rsid w:val="00E000CB"/>
    <w:rsid w:val="00E0151D"/>
    <w:rsid w:val="00E03BF4"/>
    <w:rsid w:val="00E072AD"/>
    <w:rsid w:val="00E075F1"/>
    <w:rsid w:val="00E117AA"/>
    <w:rsid w:val="00E12119"/>
    <w:rsid w:val="00E13EA4"/>
    <w:rsid w:val="00E20479"/>
    <w:rsid w:val="00E20EE6"/>
    <w:rsid w:val="00E234F4"/>
    <w:rsid w:val="00E33E89"/>
    <w:rsid w:val="00E36924"/>
    <w:rsid w:val="00E401D2"/>
    <w:rsid w:val="00E47610"/>
    <w:rsid w:val="00E50DDC"/>
    <w:rsid w:val="00E534BA"/>
    <w:rsid w:val="00E57AED"/>
    <w:rsid w:val="00E65E90"/>
    <w:rsid w:val="00E67A80"/>
    <w:rsid w:val="00E77F0D"/>
    <w:rsid w:val="00E80A6C"/>
    <w:rsid w:val="00E8237B"/>
    <w:rsid w:val="00E862E1"/>
    <w:rsid w:val="00E910AD"/>
    <w:rsid w:val="00E967BF"/>
    <w:rsid w:val="00EA1B82"/>
    <w:rsid w:val="00EA35DA"/>
    <w:rsid w:val="00EA3FEF"/>
    <w:rsid w:val="00EA5AAE"/>
    <w:rsid w:val="00EB2167"/>
    <w:rsid w:val="00EC78C8"/>
    <w:rsid w:val="00ED16B5"/>
    <w:rsid w:val="00ED7CFF"/>
    <w:rsid w:val="00EE3029"/>
    <w:rsid w:val="00EE30E8"/>
    <w:rsid w:val="00EE4137"/>
    <w:rsid w:val="00EF2C02"/>
    <w:rsid w:val="00EF68F4"/>
    <w:rsid w:val="00EF744D"/>
    <w:rsid w:val="00F017DF"/>
    <w:rsid w:val="00F01ECF"/>
    <w:rsid w:val="00F02069"/>
    <w:rsid w:val="00F03318"/>
    <w:rsid w:val="00F07E8B"/>
    <w:rsid w:val="00F1179A"/>
    <w:rsid w:val="00F12916"/>
    <w:rsid w:val="00F23282"/>
    <w:rsid w:val="00F23A02"/>
    <w:rsid w:val="00F259E0"/>
    <w:rsid w:val="00F35C63"/>
    <w:rsid w:val="00F37F2F"/>
    <w:rsid w:val="00F42EB8"/>
    <w:rsid w:val="00F45783"/>
    <w:rsid w:val="00F47A1A"/>
    <w:rsid w:val="00F62B2E"/>
    <w:rsid w:val="00F6782F"/>
    <w:rsid w:val="00F67DAB"/>
    <w:rsid w:val="00F7292A"/>
    <w:rsid w:val="00F77642"/>
    <w:rsid w:val="00F84FF2"/>
    <w:rsid w:val="00FA149E"/>
    <w:rsid w:val="00FA68F1"/>
    <w:rsid w:val="00FB1FD5"/>
    <w:rsid w:val="00FB39F4"/>
    <w:rsid w:val="00FB45A9"/>
    <w:rsid w:val="00FB5C41"/>
    <w:rsid w:val="00FB708D"/>
    <w:rsid w:val="00FC09D1"/>
    <w:rsid w:val="00FC4671"/>
    <w:rsid w:val="00FC57F2"/>
    <w:rsid w:val="00FC6366"/>
    <w:rsid w:val="00FC6518"/>
    <w:rsid w:val="00FC6D30"/>
    <w:rsid w:val="00FD1B3B"/>
    <w:rsid w:val="00FD6DC1"/>
    <w:rsid w:val="00FE3595"/>
    <w:rsid w:val="00FE3705"/>
    <w:rsid w:val="00FF3FCA"/>
    <w:rsid w:val="00FF46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46B3"/>
  <w15:docId w15:val="{54117D17-E6F1-42C0-B6FF-947FB584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FE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C04FE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C04FE1"/>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C04FE1"/>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C04FE1"/>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C04FE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C04FE1"/>
    <w:pPr>
      <w:keepNext/>
      <w:spacing w:before="240"/>
      <w:jc w:val="center"/>
      <w:outlineLvl w:val="5"/>
    </w:pPr>
    <w:rPr>
      <w:b/>
      <w:caps/>
    </w:rPr>
  </w:style>
  <w:style w:type="paragraph" w:styleId="Heading7">
    <w:name w:val="heading 7"/>
    <w:basedOn w:val="Normal"/>
    <w:next w:val="Normal"/>
    <w:link w:val="Heading7Char"/>
    <w:qFormat/>
    <w:rsid w:val="00C04FE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A86"/>
    <w:pPr>
      <w:ind w:left="720"/>
      <w:contextualSpacing/>
    </w:pPr>
  </w:style>
  <w:style w:type="paragraph" w:customStyle="1" w:styleId="L1-FlLSp12">
    <w:name w:val="L1-FlL Sp&amp;1/2"/>
    <w:basedOn w:val="Normal"/>
    <w:link w:val="L1-FlLSp12Char"/>
    <w:rsid w:val="00C04FE1"/>
    <w:pPr>
      <w:tabs>
        <w:tab w:val="left" w:pos="1152"/>
      </w:tabs>
      <w:spacing w:line="360" w:lineRule="atLeast"/>
    </w:pPr>
  </w:style>
  <w:style w:type="paragraph" w:customStyle="1" w:styleId="N1-1stBullet">
    <w:name w:val="N1-1st Bullet"/>
    <w:basedOn w:val="Normal"/>
    <w:rsid w:val="00C04FE1"/>
    <w:pPr>
      <w:numPr>
        <w:numId w:val="2"/>
      </w:numPr>
      <w:spacing w:after="240"/>
    </w:pPr>
  </w:style>
  <w:style w:type="character" w:customStyle="1" w:styleId="L1-FlLSp12Char">
    <w:name w:val="L1-FlL Sp&amp;1/2 Char"/>
    <w:basedOn w:val="DefaultParagraphFont"/>
    <w:link w:val="L1-FlLSp12"/>
    <w:rsid w:val="00E13EA4"/>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C04F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FE1"/>
    <w:rPr>
      <w:rFonts w:ascii="Tahoma" w:eastAsia="Times New Roman" w:hAnsi="Tahoma" w:cs="Tahoma"/>
      <w:sz w:val="16"/>
      <w:szCs w:val="16"/>
    </w:rPr>
  </w:style>
  <w:style w:type="paragraph" w:styleId="Footer">
    <w:name w:val="footer"/>
    <w:basedOn w:val="Normal"/>
    <w:link w:val="FooterChar"/>
    <w:uiPriority w:val="99"/>
    <w:rsid w:val="00C04FE1"/>
  </w:style>
  <w:style w:type="character" w:customStyle="1" w:styleId="FooterChar">
    <w:name w:val="Footer Char"/>
    <w:basedOn w:val="DefaultParagraphFont"/>
    <w:link w:val="Footer"/>
    <w:uiPriority w:val="99"/>
    <w:rsid w:val="005052DC"/>
    <w:rPr>
      <w:rFonts w:ascii="Garamond" w:eastAsia="Times New Roman" w:hAnsi="Garamond" w:cs="Times New Roman"/>
      <w:sz w:val="24"/>
      <w:szCs w:val="20"/>
    </w:rPr>
  </w:style>
  <w:style w:type="character" w:styleId="PlaceholderText">
    <w:name w:val="Placeholder Text"/>
    <w:basedOn w:val="DefaultParagraphFont"/>
    <w:uiPriority w:val="99"/>
    <w:semiHidden/>
    <w:rsid w:val="0050137D"/>
    <w:rPr>
      <w:color w:val="808080"/>
    </w:rPr>
  </w:style>
  <w:style w:type="character" w:customStyle="1" w:styleId="Heading1Char">
    <w:name w:val="Heading 1 Char"/>
    <w:aliases w:val="H1-Chap. Head Char"/>
    <w:basedOn w:val="DefaultParagraphFont"/>
    <w:link w:val="Heading1"/>
    <w:rsid w:val="00C04FE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C04FE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C04FE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C04FE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C04FE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C04FE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C04FE1"/>
    <w:rPr>
      <w:rFonts w:ascii="Garamond" w:eastAsia="Times New Roman" w:hAnsi="Garamond" w:cs="Times New Roman"/>
      <w:sz w:val="24"/>
      <w:szCs w:val="20"/>
    </w:rPr>
  </w:style>
  <w:style w:type="paragraph" w:customStyle="1" w:styleId="C1-CtrBoldHd">
    <w:name w:val="C1-Ctr BoldHd"/>
    <w:rsid w:val="00C04FE1"/>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C04FE1"/>
    <w:pPr>
      <w:keepLines/>
      <w:jc w:val="center"/>
    </w:pPr>
  </w:style>
  <w:style w:type="paragraph" w:customStyle="1" w:styleId="C3-CtrSp12">
    <w:name w:val="C3-Ctr Sp&amp;1/2"/>
    <w:basedOn w:val="Normal"/>
    <w:rsid w:val="00C04FE1"/>
    <w:pPr>
      <w:keepLines/>
      <w:spacing w:line="360" w:lineRule="atLeast"/>
      <w:jc w:val="center"/>
    </w:pPr>
  </w:style>
  <w:style w:type="paragraph" w:customStyle="1" w:styleId="E1-Equation">
    <w:name w:val="E1-Equation"/>
    <w:basedOn w:val="Normal"/>
    <w:rsid w:val="00C04FE1"/>
    <w:pPr>
      <w:tabs>
        <w:tab w:val="center" w:pos="4680"/>
        <w:tab w:val="right" w:pos="9360"/>
      </w:tabs>
    </w:pPr>
  </w:style>
  <w:style w:type="paragraph" w:customStyle="1" w:styleId="E2-Equation">
    <w:name w:val="E2-Equation"/>
    <w:basedOn w:val="Normal"/>
    <w:rsid w:val="00C04FE1"/>
    <w:pPr>
      <w:tabs>
        <w:tab w:val="right" w:pos="1152"/>
        <w:tab w:val="center" w:pos="1440"/>
        <w:tab w:val="left" w:pos="1728"/>
      </w:tabs>
      <w:ind w:left="1728" w:hanging="1728"/>
    </w:pPr>
  </w:style>
  <w:style w:type="paragraph" w:styleId="FootnoteText">
    <w:name w:val="footnote text"/>
    <w:aliases w:val="F1"/>
    <w:link w:val="FootnoteTextChar"/>
    <w:semiHidden/>
    <w:rsid w:val="00C04FE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C04FE1"/>
    <w:rPr>
      <w:rFonts w:ascii="Garamond" w:eastAsia="Times New Roman" w:hAnsi="Garamond" w:cs="Times New Roman"/>
      <w:sz w:val="20"/>
      <w:szCs w:val="20"/>
    </w:rPr>
  </w:style>
  <w:style w:type="paragraph" w:styleId="Header">
    <w:name w:val="header"/>
    <w:basedOn w:val="Normal"/>
    <w:link w:val="HeaderChar"/>
    <w:rsid w:val="00C04FE1"/>
    <w:rPr>
      <w:sz w:val="20"/>
    </w:rPr>
  </w:style>
  <w:style w:type="character" w:customStyle="1" w:styleId="HeaderChar">
    <w:name w:val="Header Char"/>
    <w:basedOn w:val="DefaultParagraphFont"/>
    <w:link w:val="Header"/>
    <w:rsid w:val="00C04FE1"/>
    <w:rPr>
      <w:rFonts w:ascii="Garamond" w:eastAsia="Times New Roman" w:hAnsi="Garamond" w:cs="Times New Roman"/>
      <w:sz w:val="20"/>
      <w:szCs w:val="20"/>
    </w:rPr>
  </w:style>
  <w:style w:type="paragraph" w:customStyle="1" w:styleId="N0-FlLftBullet">
    <w:name w:val="N0-Fl Lft Bullet"/>
    <w:basedOn w:val="Normal"/>
    <w:rsid w:val="00C04FE1"/>
    <w:pPr>
      <w:tabs>
        <w:tab w:val="left" w:pos="576"/>
      </w:tabs>
      <w:spacing w:after="240"/>
      <w:ind w:left="576" w:hanging="576"/>
    </w:pPr>
  </w:style>
  <w:style w:type="paragraph" w:customStyle="1" w:styleId="N2-2ndBullet">
    <w:name w:val="N2-2nd Bullet"/>
    <w:basedOn w:val="Normal"/>
    <w:rsid w:val="00C04FE1"/>
    <w:pPr>
      <w:numPr>
        <w:numId w:val="5"/>
      </w:numPr>
      <w:spacing w:after="240"/>
    </w:pPr>
  </w:style>
  <w:style w:type="paragraph" w:customStyle="1" w:styleId="N3-3rdBullet">
    <w:name w:val="N3-3rd Bullet"/>
    <w:basedOn w:val="Normal"/>
    <w:rsid w:val="00C04FE1"/>
    <w:pPr>
      <w:numPr>
        <w:numId w:val="6"/>
      </w:numPr>
      <w:spacing w:after="240"/>
    </w:pPr>
  </w:style>
  <w:style w:type="paragraph" w:customStyle="1" w:styleId="N4-4thBullet">
    <w:name w:val="N4-4th Bullet"/>
    <w:basedOn w:val="Normal"/>
    <w:rsid w:val="00C04FE1"/>
    <w:pPr>
      <w:numPr>
        <w:numId w:val="7"/>
      </w:numPr>
      <w:spacing w:after="240"/>
    </w:pPr>
  </w:style>
  <w:style w:type="paragraph" w:customStyle="1" w:styleId="N5-5thBullet">
    <w:name w:val="N5-5th Bullet"/>
    <w:basedOn w:val="Normal"/>
    <w:rsid w:val="00C04FE1"/>
    <w:pPr>
      <w:tabs>
        <w:tab w:val="left" w:pos="3456"/>
      </w:tabs>
      <w:spacing w:after="240"/>
      <w:ind w:left="3456" w:hanging="576"/>
    </w:pPr>
  </w:style>
  <w:style w:type="paragraph" w:customStyle="1" w:styleId="N6-DateInd">
    <w:name w:val="N6-Date Ind."/>
    <w:basedOn w:val="Normal"/>
    <w:rsid w:val="00C04FE1"/>
    <w:pPr>
      <w:tabs>
        <w:tab w:val="left" w:pos="4910"/>
      </w:tabs>
      <w:ind w:left="4910"/>
    </w:pPr>
  </w:style>
  <w:style w:type="paragraph" w:customStyle="1" w:styleId="N7-3Block">
    <w:name w:val="N7-3&quot; Block"/>
    <w:basedOn w:val="Normal"/>
    <w:rsid w:val="00C04FE1"/>
    <w:pPr>
      <w:tabs>
        <w:tab w:val="left" w:pos="1152"/>
      </w:tabs>
      <w:ind w:left="1152" w:right="1152"/>
    </w:pPr>
  </w:style>
  <w:style w:type="paragraph" w:customStyle="1" w:styleId="N8-QxQBlock">
    <w:name w:val="N8-QxQ Block"/>
    <w:basedOn w:val="Normal"/>
    <w:rsid w:val="00C04FE1"/>
    <w:pPr>
      <w:tabs>
        <w:tab w:val="left" w:pos="1152"/>
      </w:tabs>
      <w:spacing w:after="360" w:line="360" w:lineRule="atLeast"/>
      <w:ind w:left="1152" w:hanging="1152"/>
    </w:pPr>
  </w:style>
  <w:style w:type="paragraph" w:customStyle="1" w:styleId="P1-StandPara">
    <w:name w:val="P1-Stand Para"/>
    <w:basedOn w:val="Normal"/>
    <w:rsid w:val="00C04FE1"/>
    <w:pPr>
      <w:spacing w:line="360" w:lineRule="atLeast"/>
      <w:ind w:firstLine="1152"/>
    </w:pPr>
  </w:style>
  <w:style w:type="paragraph" w:customStyle="1" w:styleId="Q1-BestFinQ">
    <w:name w:val="Q1-Best/Fin Q"/>
    <w:rsid w:val="00C04FE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C04FE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C04FE1"/>
  </w:style>
  <w:style w:type="paragraph" w:customStyle="1" w:styleId="SP-SglSpPara">
    <w:name w:val="SP-Sgl Sp Para"/>
    <w:basedOn w:val="Normal"/>
    <w:rsid w:val="00C04FE1"/>
    <w:pPr>
      <w:tabs>
        <w:tab w:val="left" w:pos="576"/>
      </w:tabs>
      <w:ind w:firstLine="576"/>
    </w:pPr>
  </w:style>
  <w:style w:type="paragraph" w:customStyle="1" w:styleId="T0-ChapPgHd">
    <w:name w:val="T0-Chap/Pg Hd"/>
    <w:basedOn w:val="Normal"/>
    <w:rsid w:val="00C04FE1"/>
    <w:pPr>
      <w:tabs>
        <w:tab w:val="left" w:pos="8640"/>
      </w:tabs>
    </w:pPr>
    <w:rPr>
      <w:rFonts w:ascii="Franklin Gothic Medium" w:hAnsi="Franklin Gothic Medium"/>
      <w:u w:val="words"/>
    </w:rPr>
  </w:style>
  <w:style w:type="paragraph" w:styleId="TOC1">
    <w:name w:val="toc 1"/>
    <w:basedOn w:val="Normal"/>
    <w:semiHidden/>
    <w:rsid w:val="00C04FE1"/>
    <w:pPr>
      <w:tabs>
        <w:tab w:val="left" w:pos="1440"/>
        <w:tab w:val="right" w:leader="dot" w:pos="8208"/>
        <w:tab w:val="left" w:pos="8640"/>
      </w:tabs>
      <w:ind w:left="1440" w:right="1800" w:hanging="1152"/>
    </w:pPr>
  </w:style>
  <w:style w:type="paragraph" w:styleId="TOC2">
    <w:name w:val="toc 2"/>
    <w:basedOn w:val="Normal"/>
    <w:semiHidden/>
    <w:rsid w:val="00C04FE1"/>
    <w:pPr>
      <w:tabs>
        <w:tab w:val="left" w:pos="2160"/>
        <w:tab w:val="right" w:leader="dot" w:pos="8208"/>
        <w:tab w:val="left" w:pos="8640"/>
      </w:tabs>
      <w:ind w:left="2160" w:right="1800" w:hanging="720"/>
    </w:pPr>
    <w:rPr>
      <w:szCs w:val="22"/>
    </w:rPr>
  </w:style>
  <w:style w:type="paragraph" w:styleId="TOC3">
    <w:name w:val="toc 3"/>
    <w:basedOn w:val="Normal"/>
    <w:semiHidden/>
    <w:rsid w:val="00C04FE1"/>
    <w:pPr>
      <w:tabs>
        <w:tab w:val="left" w:pos="3024"/>
        <w:tab w:val="right" w:leader="dot" w:pos="8208"/>
        <w:tab w:val="left" w:pos="8640"/>
      </w:tabs>
      <w:ind w:left="3024" w:right="1800" w:hanging="864"/>
    </w:pPr>
  </w:style>
  <w:style w:type="paragraph" w:styleId="TOC4">
    <w:name w:val="toc 4"/>
    <w:basedOn w:val="Normal"/>
    <w:semiHidden/>
    <w:rsid w:val="00C04FE1"/>
    <w:pPr>
      <w:tabs>
        <w:tab w:val="left" w:pos="3888"/>
        <w:tab w:val="right" w:leader="dot" w:pos="8208"/>
        <w:tab w:val="left" w:pos="8640"/>
      </w:tabs>
      <w:ind w:left="3888" w:right="1800" w:hanging="864"/>
    </w:pPr>
  </w:style>
  <w:style w:type="paragraph" w:styleId="TOC5">
    <w:name w:val="toc 5"/>
    <w:basedOn w:val="Normal"/>
    <w:semiHidden/>
    <w:rsid w:val="00C04FE1"/>
    <w:pPr>
      <w:tabs>
        <w:tab w:val="left" w:pos="1440"/>
        <w:tab w:val="right" w:leader="dot" w:pos="8208"/>
        <w:tab w:val="left" w:pos="8640"/>
      </w:tabs>
      <w:ind w:left="1440" w:right="1800" w:hanging="1152"/>
    </w:pPr>
  </w:style>
  <w:style w:type="paragraph" w:customStyle="1" w:styleId="TT-TableTitle">
    <w:name w:val="TT-Table Title"/>
    <w:rsid w:val="00C04FE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C04FE1"/>
    <w:pPr>
      <w:tabs>
        <w:tab w:val="left" w:pos="2232"/>
      </w:tabs>
      <w:spacing w:line="240" w:lineRule="exact"/>
    </w:pPr>
    <w:rPr>
      <w:vanish/>
    </w:rPr>
  </w:style>
  <w:style w:type="paragraph" w:customStyle="1" w:styleId="R1-ResPara">
    <w:name w:val="R1-Res. Para"/>
    <w:rsid w:val="00C04FE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C04FE1"/>
    <w:pPr>
      <w:tabs>
        <w:tab w:val="left" w:pos="720"/>
      </w:tabs>
      <w:ind w:left="720" w:hanging="432"/>
    </w:pPr>
  </w:style>
  <w:style w:type="paragraph" w:customStyle="1" w:styleId="RF-Reference">
    <w:name w:val="RF-Reference"/>
    <w:basedOn w:val="Normal"/>
    <w:rsid w:val="00C04FE1"/>
    <w:pPr>
      <w:spacing w:line="240" w:lineRule="exact"/>
      <w:ind w:left="216" w:hanging="216"/>
    </w:pPr>
  </w:style>
  <w:style w:type="paragraph" w:customStyle="1" w:styleId="RH-SglSpHead">
    <w:name w:val="RH-Sgl Sp Head"/>
    <w:next w:val="RL-FlLftSgl"/>
    <w:rsid w:val="00C04FE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C04FE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C04FE1"/>
    <w:pPr>
      <w:keepNext/>
      <w:spacing w:line="240" w:lineRule="exact"/>
    </w:pPr>
    <w:rPr>
      <w:u w:val="single"/>
    </w:rPr>
  </w:style>
  <w:style w:type="paragraph" w:customStyle="1" w:styleId="Header-1">
    <w:name w:val="Header-1"/>
    <w:rsid w:val="00C04FE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C04FE1"/>
    <w:pPr>
      <w:numPr>
        <w:numId w:val="18"/>
      </w:numPr>
    </w:pPr>
  </w:style>
  <w:style w:type="character" w:styleId="PageNumber">
    <w:name w:val="page number"/>
    <w:basedOn w:val="DefaultParagraphFont"/>
    <w:rsid w:val="00C04FE1"/>
  </w:style>
  <w:style w:type="paragraph" w:customStyle="1" w:styleId="R0-FLLftSglBoldItalic">
    <w:name w:val="R0-FL Lft Sgl Bold Italic"/>
    <w:rsid w:val="00C04FE1"/>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C04FE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04FE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C04FE1"/>
    <w:rPr>
      <w:rFonts w:ascii="Franklin Gothic Medium" w:hAnsi="Franklin Gothic Medium"/>
      <w:sz w:val="16"/>
    </w:rPr>
  </w:style>
  <w:style w:type="paragraph" w:customStyle="1" w:styleId="TH-TableHeading">
    <w:name w:val="TH-Table Heading"/>
    <w:rsid w:val="00C04FE1"/>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C04FE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C04FE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C04FE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C04FE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C04FE1"/>
    <w:rPr>
      <w:rFonts w:ascii="Franklin Gothic Medium" w:hAnsi="Franklin Gothic Medium"/>
      <w:sz w:val="20"/>
    </w:rPr>
  </w:style>
  <w:style w:type="character" w:styleId="FootnoteReference">
    <w:name w:val="footnote reference"/>
    <w:basedOn w:val="DefaultParagraphFont"/>
    <w:uiPriority w:val="99"/>
    <w:semiHidden/>
    <w:unhideWhenUsed/>
    <w:rsid w:val="00C04FE1"/>
    <w:rPr>
      <w:vertAlign w:val="superscript"/>
    </w:rPr>
  </w:style>
  <w:style w:type="paragraph" w:styleId="NoSpacing">
    <w:name w:val="No Spacing"/>
    <w:uiPriority w:val="1"/>
    <w:qFormat/>
    <w:rsid w:val="007D613F"/>
    <w:pPr>
      <w:spacing w:after="0" w:line="240" w:lineRule="auto"/>
    </w:pPr>
  </w:style>
  <w:style w:type="table" w:styleId="TableGrid">
    <w:name w:val="Table Grid"/>
    <w:basedOn w:val="TableNormal"/>
    <w:uiPriority w:val="59"/>
    <w:rsid w:val="008F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2DA3"/>
    <w:rPr>
      <w:sz w:val="16"/>
      <w:szCs w:val="16"/>
    </w:rPr>
  </w:style>
  <w:style w:type="paragraph" w:styleId="CommentText">
    <w:name w:val="annotation text"/>
    <w:basedOn w:val="Normal"/>
    <w:link w:val="CommentTextChar"/>
    <w:uiPriority w:val="99"/>
    <w:unhideWhenUsed/>
    <w:rsid w:val="00D72DA3"/>
    <w:pPr>
      <w:spacing w:line="240" w:lineRule="auto"/>
    </w:pPr>
    <w:rPr>
      <w:sz w:val="20"/>
    </w:rPr>
  </w:style>
  <w:style w:type="character" w:customStyle="1" w:styleId="CommentTextChar">
    <w:name w:val="Comment Text Char"/>
    <w:basedOn w:val="DefaultParagraphFont"/>
    <w:link w:val="CommentText"/>
    <w:uiPriority w:val="99"/>
    <w:rsid w:val="00D72DA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72DA3"/>
    <w:rPr>
      <w:b/>
      <w:bCs/>
    </w:rPr>
  </w:style>
  <w:style w:type="character" w:customStyle="1" w:styleId="CommentSubjectChar">
    <w:name w:val="Comment Subject Char"/>
    <w:basedOn w:val="CommentTextChar"/>
    <w:link w:val="CommentSubject"/>
    <w:uiPriority w:val="99"/>
    <w:semiHidden/>
    <w:rsid w:val="00D72DA3"/>
    <w:rPr>
      <w:rFonts w:ascii="Garamond" w:eastAsia="Times New Roman" w:hAnsi="Garamond" w:cs="Times New Roman"/>
      <w:b/>
      <w:bCs/>
      <w:sz w:val="20"/>
      <w:szCs w:val="20"/>
    </w:rPr>
  </w:style>
  <w:style w:type="paragraph" w:styleId="Revision">
    <w:name w:val="Revision"/>
    <w:hidden/>
    <w:uiPriority w:val="99"/>
    <w:semiHidden/>
    <w:rsid w:val="003D0B02"/>
    <w:pPr>
      <w:spacing w:after="0" w:line="240" w:lineRule="auto"/>
    </w:pPr>
    <w:rPr>
      <w:rFonts w:ascii="Garamond" w:eastAsia="Times New Roman" w:hAnsi="Garamond" w:cs="Times New Roman"/>
      <w:sz w:val="24"/>
      <w:szCs w:val="20"/>
    </w:rPr>
  </w:style>
  <w:style w:type="character" w:styleId="Hyperlink">
    <w:name w:val="Hyperlink"/>
    <w:basedOn w:val="DefaultParagraphFont"/>
    <w:uiPriority w:val="99"/>
    <w:unhideWhenUsed/>
    <w:rsid w:val="0035101A"/>
    <w:rPr>
      <w:strike w:val="0"/>
      <w:dstrike w:val="0"/>
      <w:color w:val="003333"/>
      <w:u w:val="none"/>
      <w:effect w:val="none"/>
    </w:rPr>
  </w:style>
  <w:style w:type="paragraph" w:styleId="NormalWeb">
    <w:name w:val="Normal (Web)"/>
    <w:basedOn w:val="Normal"/>
    <w:uiPriority w:val="99"/>
    <w:unhideWhenUsed/>
    <w:rsid w:val="0035101A"/>
    <w:pPr>
      <w:spacing w:before="100" w:beforeAutospacing="1" w:after="100" w:afterAutospacing="1" w:line="240" w:lineRule="auto"/>
    </w:pPr>
    <w:rPr>
      <w:rFonts w:ascii="Times New Roman" w:hAnsi="Times New Roman"/>
      <w:szCs w:val="24"/>
    </w:rPr>
  </w:style>
  <w:style w:type="character" w:customStyle="1" w:styleId="txti1">
    <w:name w:val="txti1"/>
    <w:basedOn w:val="DefaultParagraphFont"/>
    <w:rsid w:val="0035101A"/>
    <w:rPr>
      <w:i/>
      <w:iCs/>
    </w:rPr>
  </w:style>
  <w:style w:type="paragraph" w:customStyle="1" w:styleId="Pa1">
    <w:name w:val="Pa1"/>
    <w:basedOn w:val="Normal"/>
    <w:next w:val="Normal"/>
    <w:uiPriority w:val="99"/>
    <w:rsid w:val="003E117A"/>
    <w:pPr>
      <w:autoSpaceDE w:val="0"/>
      <w:autoSpaceDN w:val="0"/>
      <w:adjustRightInd w:val="0"/>
      <w:spacing w:line="241" w:lineRule="atLeast"/>
    </w:pPr>
    <w:rPr>
      <w:rFonts w:ascii="New Baskerville" w:eastAsiaTheme="minorHAnsi" w:hAnsi="New Baskerville" w:cstheme="minorBidi"/>
      <w:szCs w:val="24"/>
    </w:rPr>
  </w:style>
  <w:style w:type="character" w:customStyle="1" w:styleId="A5">
    <w:name w:val="A5"/>
    <w:uiPriority w:val="99"/>
    <w:rsid w:val="003E117A"/>
    <w:rPr>
      <w:rFonts w:cs="New Baskerville"/>
      <w:i/>
      <w:iCs/>
      <w:color w:val="000000"/>
      <w:sz w:val="22"/>
      <w:szCs w:val="22"/>
    </w:rPr>
  </w:style>
  <w:style w:type="table" w:customStyle="1" w:styleId="TableGridLight1">
    <w:name w:val="Table Grid Light1"/>
    <w:basedOn w:val="TableNormal"/>
    <w:uiPriority w:val="40"/>
    <w:rsid w:val="001D6C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uiPriority w:val="49"/>
    <w:rsid w:val="00A822C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1">
    <w:name w:val="Plain Table 11"/>
    <w:basedOn w:val="TableNormal"/>
    <w:uiPriority w:val="41"/>
    <w:rsid w:val="002844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2844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1">
    <w:name w:val="Plain Table 111"/>
    <w:basedOn w:val="TableNormal"/>
    <w:uiPriority w:val="41"/>
    <w:rsid w:val="008D1C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
    <w:name w:val="Footnote"/>
    <w:basedOn w:val="FootnoteText"/>
    <w:link w:val="FootnoteChar"/>
    <w:qFormat/>
    <w:rsid w:val="0059291A"/>
    <w:rPr>
      <w:rFonts w:ascii="Times New Roman" w:hAnsi="Times New Roman"/>
    </w:rPr>
  </w:style>
  <w:style w:type="character" w:customStyle="1" w:styleId="FootnoteChar">
    <w:name w:val="Footnote Char"/>
    <w:basedOn w:val="FootnoteTextChar"/>
    <w:link w:val="Footnote"/>
    <w:rsid w:val="0059291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930">
      <w:bodyDiv w:val="1"/>
      <w:marLeft w:val="0"/>
      <w:marRight w:val="0"/>
      <w:marTop w:val="0"/>
      <w:marBottom w:val="0"/>
      <w:divBdr>
        <w:top w:val="none" w:sz="0" w:space="0" w:color="auto"/>
        <w:left w:val="none" w:sz="0" w:space="0" w:color="auto"/>
        <w:bottom w:val="none" w:sz="0" w:space="0" w:color="auto"/>
        <w:right w:val="none" w:sz="0" w:space="0" w:color="auto"/>
      </w:divBdr>
    </w:div>
    <w:div w:id="218174355">
      <w:bodyDiv w:val="1"/>
      <w:marLeft w:val="0"/>
      <w:marRight w:val="0"/>
      <w:marTop w:val="0"/>
      <w:marBottom w:val="0"/>
      <w:divBdr>
        <w:top w:val="none" w:sz="0" w:space="0" w:color="auto"/>
        <w:left w:val="none" w:sz="0" w:space="0" w:color="auto"/>
        <w:bottom w:val="none" w:sz="0" w:space="0" w:color="auto"/>
        <w:right w:val="none" w:sz="0" w:space="0" w:color="auto"/>
      </w:divBdr>
    </w:div>
    <w:div w:id="235283290">
      <w:bodyDiv w:val="1"/>
      <w:marLeft w:val="0"/>
      <w:marRight w:val="0"/>
      <w:marTop w:val="0"/>
      <w:marBottom w:val="0"/>
      <w:divBdr>
        <w:top w:val="none" w:sz="0" w:space="0" w:color="auto"/>
        <w:left w:val="none" w:sz="0" w:space="0" w:color="auto"/>
        <w:bottom w:val="none" w:sz="0" w:space="0" w:color="auto"/>
        <w:right w:val="none" w:sz="0" w:space="0" w:color="auto"/>
      </w:divBdr>
    </w:div>
    <w:div w:id="265502210">
      <w:bodyDiv w:val="1"/>
      <w:marLeft w:val="0"/>
      <w:marRight w:val="0"/>
      <w:marTop w:val="0"/>
      <w:marBottom w:val="0"/>
      <w:divBdr>
        <w:top w:val="none" w:sz="0" w:space="0" w:color="auto"/>
        <w:left w:val="none" w:sz="0" w:space="0" w:color="auto"/>
        <w:bottom w:val="none" w:sz="0" w:space="0" w:color="auto"/>
        <w:right w:val="none" w:sz="0" w:space="0" w:color="auto"/>
      </w:divBdr>
    </w:div>
    <w:div w:id="306785584">
      <w:bodyDiv w:val="1"/>
      <w:marLeft w:val="0"/>
      <w:marRight w:val="0"/>
      <w:marTop w:val="0"/>
      <w:marBottom w:val="0"/>
      <w:divBdr>
        <w:top w:val="none" w:sz="0" w:space="0" w:color="auto"/>
        <w:left w:val="none" w:sz="0" w:space="0" w:color="auto"/>
        <w:bottom w:val="none" w:sz="0" w:space="0" w:color="auto"/>
        <w:right w:val="none" w:sz="0" w:space="0" w:color="auto"/>
      </w:divBdr>
    </w:div>
    <w:div w:id="311524776">
      <w:bodyDiv w:val="1"/>
      <w:marLeft w:val="0"/>
      <w:marRight w:val="0"/>
      <w:marTop w:val="0"/>
      <w:marBottom w:val="0"/>
      <w:divBdr>
        <w:top w:val="none" w:sz="0" w:space="0" w:color="auto"/>
        <w:left w:val="none" w:sz="0" w:space="0" w:color="auto"/>
        <w:bottom w:val="none" w:sz="0" w:space="0" w:color="auto"/>
        <w:right w:val="none" w:sz="0" w:space="0" w:color="auto"/>
      </w:divBdr>
    </w:div>
    <w:div w:id="372969895">
      <w:bodyDiv w:val="1"/>
      <w:marLeft w:val="0"/>
      <w:marRight w:val="0"/>
      <w:marTop w:val="0"/>
      <w:marBottom w:val="0"/>
      <w:divBdr>
        <w:top w:val="none" w:sz="0" w:space="0" w:color="auto"/>
        <w:left w:val="none" w:sz="0" w:space="0" w:color="auto"/>
        <w:bottom w:val="none" w:sz="0" w:space="0" w:color="auto"/>
        <w:right w:val="none" w:sz="0" w:space="0" w:color="auto"/>
      </w:divBdr>
    </w:div>
    <w:div w:id="428964363">
      <w:bodyDiv w:val="1"/>
      <w:marLeft w:val="0"/>
      <w:marRight w:val="0"/>
      <w:marTop w:val="0"/>
      <w:marBottom w:val="0"/>
      <w:divBdr>
        <w:top w:val="none" w:sz="0" w:space="0" w:color="auto"/>
        <w:left w:val="none" w:sz="0" w:space="0" w:color="auto"/>
        <w:bottom w:val="none" w:sz="0" w:space="0" w:color="auto"/>
        <w:right w:val="none" w:sz="0" w:space="0" w:color="auto"/>
      </w:divBdr>
    </w:div>
    <w:div w:id="439375016">
      <w:bodyDiv w:val="1"/>
      <w:marLeft w:val="0"/>
      <w:marRight w:val="0"/>
      <w:marTop w:val="0"/>
      <w:marBottom w:val="0"/>
      <w:divBdr>
        <w:top w:val="none" w:sz="0" w:space="0" w:color="auto"/>
        <w:left w:val="none" w:sz="0" w:space="0" w:color="auto"/>
        <w:bottom w:val="none" w:sz="0" w:space="0" w:color="auto"/>
        <w:right w:val="none" w:sz="0" w:space="0" w:color="auto"/>
      </w:divBdr>
    </w:div>
    <w:div w:id="469634620">
      <w:bodyDiv w:val="1"/>
      <w:marLeft w:val="0"/>
      <w:marRight w:val="0"/>
      <w:marTop w:val="0"/>
      <w:marBottom w:val="0"/>
      <w:divBdr>
        <w:top w:val="none" w:sz="0" w:space="0" w:color="auto"/>
        <w:left w:val="none" w:sz="0" w:space="0" w:color="auto"/>
        <w:bottom w:val="none" w:sz="0" w:space="0" w:color="auto"/>
        <w:right w:val="none" w:sz="0" w:space="0" w:color="auto"/>
      </w:divBdr>
    </w:div>
    <w:div w:id="470564237">
      <w:bodyDiv w:val="1"/>
      <w:marLeft w:val="0"/>
      <w:marRight w:val="0"/>
      <w:marTop w:val="0"/>
      <w:marBottom w:val="0"/>
      <w:divBdr>
        <w:top w:val="none" w:sz="0" w:space="0" w:color="auto"/>
        <w:left w:val="none" w:sz="0" w:space="0" w:color="auto"/>
        <w:bottom w:val="none" w:sz="0" w:space="0" w:color="auto"/>
        <w:right w:val="none" w:sz="0" w:space="0" w:color="auto"/>
      </w:divBdr>
    </w:div>
    <w:div w:id="669143419">
      <w:bodyDiv w:val="1"/>
      <w:marLeft w:val="0"/>
      <w:marRight w:val="0"/>
      <w:marTop w:val="0"/>
      <w:marBottom w:val="0"/>
      <w:divBdr>
        <w:top w:val="none" w:sz="0" w:space="0" w:color="auto"/>
        <w:left w:val="none" w:sz="0" w:space="0" w:color="auto"/>
        <w:bottom w:val="none" w:sz="0" w:space="0" w:color="auto"/>
        <w:right w:val="none" w:sz="0" w:space="0" w:color="auto"/>
      </w:divBdr>
    </w:div>
    <w:div w:id="705562020">
      <w:bodyDiv w:val="1"/>
      <w:marLeft w:val="0"/>
      <w:marRight w:val="0"/>
      <w:marTop w:val="0"/>
      <w:marBottom w:val="0"/>
      <w:divBdr>
        <w:top w:val="none" w:sz="0" w:space="0" w:color="auto"/>
        <w:left w:val="none" w:sz="0" w:space="0" w:color="auto"/>
        <w:bottom w:val="none" w:sz="0" w:space="0" w:color="auto"/>
        <w:right w:val="none" w:sz="0" w:space="0" w:color="auto"/>
      </w:divBdr>
    </w:div>
    <w:div w:id="760377097">
      <w:bodyDiv w:val="1"/>
      <w:marLeft w:val="0"/>
      <w:marRight w:val="0"/>
      <w:marTop w:val="0"/>
      <w:marBottom w:val="0"/>
      <w:divBdr>
        <w:top w:val="none" w:sz="0" w:space="0" w:color="auto"/>
        <w:left w:val="none" w:sz="0" w:space="0" w:color="auto"/>
        <w:bottom w:val="none" w:sz="0" w:space="0" w:color="auto"/>
        <w:right w:val="none" w:sz="0" w:space="0" w:color="auto"/>
      </w:divBdr>
    </w:div>
    <w:div w:id="762266639">
      <w:bodyDiv w:val="1"/>
      <w:marLeft w:val="0"/>
      <w:marRight w:val="0"/>
      <w:marTop w:val="0"/>
      <w:marBottom w:val="0"/>
      <w:divBdr>
        <w:top w:val="none" w:sz="0" w:space="0" w:color="auto"/>
        <w:left w:val="none" w:sz="0" w:space="0" w:color="auto"/>
        <w:bottom w:val="none" w:sz="0" w:space="0" w:color="auto"/>
        <w:right w:val="none" w:sz="0" w:space="0" w:color="auto"/>
      </w:divBdr>
    </w:div>
    <w:div w:id="786773145">
      <w:bodyDiv w:val="1"/>
      <w:marLeft w:val="0"/>
      <w:marRight w:val="0"/>
      <w:marTop w:val="0"/>
      <w:marBottom w:val="0"/>
      <w:divBdr>
        <w:top w:val="none" w:sz="0" w:space="0" w:color="auto"/>
        <w:left w:val="none" w:sz="0" w:space="0" w:color="auto"/>
        <w:bottom w:val="none" w:sz="0" w:space="0" w:color="auto"/>
        <w:right w:val="none" w:sz="0" w:space="0" w:color="auto"/>
      </w:divBdr>
      <w:divsChild>
        <w:div w:id="1979526502">
          <w:marLeft w:val="0"/>
          <w:marRight w:val="0"/>
          <w:marTop w:val="0"/>
          <w:marBottom w:val="0"/>
          <w:divBdr>
            <w:top w:val="single" w:sz="6" w:space="0" w:color="000000"/>
            <w:left w:val="single" w:sz="6" w:space="0" w:color="000000"/>
            <w:bottom w:val="single" w:sz="6" w:space="0" w:color="000000"/>
            <w:right w:val="single" w:sz="6" w:space="0" w:color="000000"/>
          </w:divBdr>
          <w:divsChild>
            <w:div w:id="817766182">
              <w:marLeft w:val="375"/>
              <w:marRight w:val="375"/>
              <w:marTop w:val="90"/>
              <w:marBottom w:val="225"/>
              <w:divBdr>
                <w:top w:val="single" w:sz="12" w:space="2" w:color="209DEC"/>
                <w:left w:val="single" w:sz="6" w:space="15" w:color="D9EAF8"/>
                <w:bottom w:val="single" w:sz="12" w:space="15" w:color="209DEC"/>
                <w:right w:val="single" w:sz="6" w:space="15" w:color="D9EAF8"/>
              </w:divBdr>
              <w:divsChild>
                <w:div w:id="12451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4746">
      <w:bodyDiv w:val="1"/>
      <w:marLeft w:val="0"/>
      <w:marRight w:val="0"/>
      <w:marTop w:val="0"/>
      <w:marBottom w:val="0"/>
      <w:divBdr>
        <w:top w:val="none" w:sz="0" w:space="0" w:color="auto"/>
        <w:left w:val="none" w:sz="0" w:space="0" w:color="auto"/>
        <w:bottom w:val="none" w:sz="0" w:space="0" w:color="auto"/>
        <w:right w:val="none" w:sz="0" w:space="0" w:color="auto"/>
      </w:divBdr>
    </w:div>
    <w:div w:id="959920912">
      <w:bodyDiv w:val="1"/>
      <w:marLeft w:val="0"/>
      <w:marRight w:val="0"/>
      <w:marTop w:val="0"/>
      <w:marBottom w:val="0"/>
      <w:divBdr>
        <w:top w:val="none" w:sz="0" w:space="0" w:color="auto"/>
        <w:left w:val="none" w:sz="0" w:space="0" w:color="auto"/>
        <w:bottom w:val="none" w:sz="0" w:space="0" w:color="auto"/>
        <w:right w:val="none" w:sz="0" w:space="0" w:color="auto"/>
      </w:divBdr>
    </w:div>
    <w:div w:id="1133059609">
      <w:bodyDiv w:val="1"/>
      <w:marLeft w:val="0"/>
      <w:marRight w:val="0"/>
      <w:marTop w:val="0"/>
      <w:marBottom w:val="0"/>
      <w:divBdr>
        <w:top w:val="none" w:sz="0" w:space="0" w:color="auto"/>
        <w:left w:val="none" w:sz="0" w:space="0" w:color="auto"/>
        <w:bottom w:val="none" w:sz="0" w:space="0" w:color="auto"/>
        <w:right w:val="none" w:sz="0" w:space="0" w:color="auto"/>
      </w:divBdr>
    </w:div>
    <w:div w:id="1260795824">
      <w:bodyDiv w:val="1"/>
      <w:marLeft w:val="0"/>
      <w:marRight w:val="0"/>
      <w:marTop w:val="0"/>
      <w:marBottom w:val="0"/>
      <w:divBdr>
        <w:top w:val="none" w:sz="0" w:space="0" w:color="auto"/>
        <w:left w:val="none" w:sz="0" w:space="0" w:color="auto"/>
        <w:bottom w:val="none" w:sz="0" w:space="0" w:color="auto"/>
        <w:right w:val="none" w:sz="0" w:space="0" w:color="auto"/>
      </w:divBdr>
    </w:div>
    <w:div w:id="1301963255">
      <w:bodyDiv w:val="1"/>
      <w:marLeft w:val="0"/>
      <w:marRight w:val="0"/>
      <w:marTop w:val="0"/>
      <w:marBottom w:val="0"/>
      <w:divBdr>
        <w:top w:val="none" w:sz="0" w:space="0" w:color="auto"/>
        <w:left w:val="none" w:sz="0" w:space="0" w:color="auto"/>
        <w:bottom w:val="none" w:sz="0" w:space="0" w:color="auto"/>
        <w:right w:val="none" w:sz="0" w:space="0" w:color="auto"/>
      </w:divBdr>
    </w:div>
    <w:div w:id="1322585564">
      <w:bodyDiv w:val="1"/>
      <w:marLeft w:val="0"/>
      <w:marRight w:val="0"/>
      <w:marTop w:val="0"/>
      <w:marBottom w:val="0"/>
      <w:divBdr>
        <w:top w:val="none" w:sz="0" w:space="0" w:color="auto"/>
        <w:left w:val="none" w:sz="0" w:space="0" w:color="auto"/>
        <w:bottom w:val="none" w:sz="0" w:space="0" w:color="auto"/>
        <w:right w:val="none" w:sz="0" w:space="0" w:color="auto"/>
      </w:divBdr>
    </w:div>
    <w:div w:id="1397168703">
      <w:bodyDiv w:val="1"/>
      <w:marLeft w:val="0"/>
      <w:marRight w:val="0"/>
      <w:marTop w:val="0"/>
      <w:marBottom w:val="0"/>
      <w:divBdr>
        <w:top w:val="none" w:sz="0" w:space="0" w:color="auto"/>
        <w:left w:val="none" w:sz="0" w:space="0" w:color="auto"/>
        <w:bottom w:val="none" w:sz="0" w:space="0" w:color="auto"/>
        <w:right w:val="none" w:sz="0" w:space="0" w:color="auto"/>
      </w:divBdr>
    </w:div>
    <w:div w:id="1464619615">
      <w:bodyDiv w:val="1"/>
      <w:marLeft w:val="0"/>
      <w:marRight w:val="0"/>
      <w:marTop w:val="0"/>
      <w:marBottom w:val="0"/>
      <w:divBdr>
        <w:top w:val="none" w:sz="0" w:space="0" w:color="auto"/>
        <w:left w:val="none" w:sz="0" w:space="0" w:color="auto"/>
        <w:bottom w:val="none" w:sz="0" w:space="0" w:color="auto"/>
        <w:right w:val="none" w:sz="0" w:space="0" w:color="auto"/>
      </w:divBdr>
    </w:div>
    <w:div w:id="1505432678">
      <w:bodyDiv w:val="1"/>
      <w:marLeft w:val="0"/>
      <w:marRight w:val="0"/>
      <w:marTop w:val="0"/>
      <w:marBottom w:val="0"/>
      <w:divBdr>
        <w:top w:val="none" w:sz="0" w:space="0" w:color="auto"/>
        <w:left w:val="none" w:sz="0" w:space="0" w:color="auto"/>
        <w:bottom w:val="none" w:sz="0" w:space="0" w:color="auto"/>
        <w:right w:val="none" w:sz="0" w:space="0" w:color="auto"/>
      </w:divBdr>
    </w:div>
    <w:div w:id="1507285994">
      <w:bodyDiv w:val="1"/>
      <w:marLeft w:val="0"/>
      <w:marRight w:val="0"/>
      <w:marTop w:val="0"/>
      <w:marBottom w:val="0"/>
      <w:divBdr>
        <w:top w:val="none" w:sz="0" w:space="0" w:color="auto"/>
        <w:left w:val="none" w:sz="0" w:space="0" w:color="auto"/>
        <w:bottom w:val="none" w:sz="0" w:space="0" w:color="auto"/>
        <w:right w:val="none" w:sz="0" w:space="0" w:color="auto"/>
      </w:divBdr>
    </w:div>
    <w:div w:id="1517186833">
      <w:bodyDiv w:val="1"/>
      <w:marLeft w:val="0"/>
      <w:marRight w:val="0"/>
      <w:marTop w:val="0"/>
      <w:marBottom w:val="0"/>
      <w:divBdr>
        <w:top w:val="none" w:sz="0" w:space="0" w:color="auto"/>
        <w:left w:val="none" w:sz="0" w:space="0" w:color="auto"/>
        <w:bottom w:val="none" w:sz="0" w:space="0" w:color="auto"/>
        <w:right w:val="none" w:sz="0" w:space="0" w:color="auto"/>
      </w:divBdr>
    </w:div>
    <w:div w:id="1558665170">
      <w:bodyDiv w:val="1"/>
      <w:marLeft w:val="0"/>
      <w:marRight w:val="0"/>
      <w:marTop w:val="0"/>
      <w:marBottom w:val="0"/>
      <w:divBdr>
        <w:top w:val="none" w:sz="0" w:space="0" w:color="auto"/>
        <w:left w:val="none" w:sz="0" w:space="0" w:color="auto"/>
        <w:bottom w:val="none" w:sz="0" w:space="0" w:color="auto"/>
        <w:right w:val="none" w:sz="0" w:space="0" w:color="auto"/>
      </w:divBdr>
    </w:div>
    <w:div w:id="1558739202">
      <w:bodyDiv w:val="1"/>
      <w:marLeft w:val="0"/>
      <w:marRight w:val="0"/>
      <w:marTop w:val="0"/>
      <w:marBottom w:val="0"/>
      <w:divBdr>
        <w:top w:val="none" w:sz="0" w:space="0" w:color="auto"/>
        <w:left w:val="none" w:sz="0" w:space="0" w:color="auto"/>
        <w:bottom w:val="none" w:sz="0" w:space="0" w:color="auto"/>
        <w:right w:val="none" w:sz="0" w:space="0" w:color="auto"/>
      </w:divBdr>
    </w:div>
    <w:div w:id="1609047546">
      <w:bodyDiv w:val="1"/>
      <w:marLeft w:val="0"/>
      <w:marRight w:val="0"/>
      <w:marTop w:val="0"/>
      <w:marBottom w:val="0"/>
      <w:divBdr>
        <w:top w:val="none" w:sz="0" w:space="0" w:color="auto"/>
        <w:left w:val="none" w:sz="0" w:space="0" w:color="auto"/>
        <w:bottom w:val="none" w:sz="0" w:space="0" w:color="auto"/>
        <w:right w:val="none" w:sz="0" w:space="0" w:color="auto"/>
      </w:divBdr>
    </w:div>
    <w:div w:id="1621647829">
      <w:bodyDiv w:val="1"/>
      <w:marLeft w:val="0"/>
      <w:marRight w:val="0"/>
      <w:marTop w:val="0"/>
      <w:marBottom w:val="0"/>
      <w:divBdr>
        <w:top w:val="none" w:sz="0" w:space="0" w:color="auto"/>
        <w:left w:val="none" w:sz="0" w:space="0" w:color="auto"/>
        <w:bottom w:val="none" w:sz="0" w:space="0" w:color="auto"/>
        <w:right w:val="none" w:sz="0" w:space="0" w:color="auto"/>
      </w:divBdr>
    </w:div>
    <w:div w:id="1636252826">
      <w:bodyDiv w:val="1"/>
      <w:marLeft w:val="0"/>
      <w:marRight w:val="0"/>
      <w:marTop w:val="0"/>
      <w:marBottom w:val="0"/>
      <w:divBdr>
        <w:top w:val="none" w:sz="0" w:space="0" w:color="auto"/>
        <w:left w:val="none" w:sz="0" w:space="0" w:color="auto"/>
        <w:bottom w:val="none" w:sz="0" w:space="0" w:color="auto"/>
        <w:right w:val="none" w:sz="0" w:space="0" w:color="auto"/>
      </w:divBdr>
    </w:div>
    <w:div w:id="1659384277">
      <w:bodyDiv w:val="1"/>
      <w:marLeft w:val="0"/>
      <w:marRight w:val="0"/>
      <w:marTop w:val="0"/>
      <w:marBottom w:val="0"/>
      <w:divBdr>
        <w:top w:val="none" w:sz="0" w:space="0" w:color="auto"/>
        <w:left w:val="none" w:sz="0" w:space="0" w:color="auto"/>
        <w:bottom w:val="none" w:sz="0" w:space="0" w:color="auto"/>
        <w:right w:val="none" w:sz="0" w:space="0" w:color="auto"/>
      </w:divBdr>
    </w:div>
    <w:div w:id="1679890259">
      <w:bodyDiv w:val="1"/>
      <w:marLeft w:val="0"/>
      <w:marRight w:val="0"/>
      <w:marTop w:val="0"/>
      <w:marBottom w:val="0"/>
      <w:divBdr>
        <w:top w:val="none" w:sz="0" w:space="0" w:color="auto"/>
        <w:left w:val="none" w:sz="0" w:space="0" w:color="auto"/>
        <w:bottom w:val="none" w:sz="0" w:space="0" w:color="auto"/>
        <w:right w:val="none" w:sz="0" w:space="0" w:color="auto"/>
      </w:divBdr>
    </w:div>
    <w:div w:id="1682123338">
      <w:bodyDiv w:val="1"/>
      <w:marLeft w:val="0"/>
      <w:marRight w:val="0"/>
      <w:marTop w:val="0"/>
      <w:marBottom w:val="0"/>
      <w:divBdr>
        <w:top w:val="none" w:sz="0" w:space="0" w:color="auto"/>
        <w:left w:val="none" w:sz="0" w:space="0" w:color="auto"/>
        <w:bottom w:val="none" w:sz="0" w:space="0" w:color="auto"/>
        <w:right w:val="none" w:sz="0" w:space="0" w:color="auto"/>
      </w:divBdr>
    </w:div>
    <w:div w:id="1685012441">
      <w:bodyDiv w:val="1"/>
      <w:marLeft w:val="0"/>
      <w:marRight w:val="0"/>
      <w:marTop w:val="0"/>
      <w:marBottom w:val="0"/>
      <w:divBdr>
        <w:top w:val="none" w:sz="0" w:space="0" w:color="auto"/>
        <w:left w:val="none" w:sz="0" w:space="0" w:color="auto"/>
        <w:bottom w:val="none" w:sz="0" w:space="0" w:color="auto"/>
        <w:right w:val="none" w:sz="0" w:space="0" w:color="auto"/>
      </w:divBdr>
    </w:div>
    <w:div w:id="1724985266">
      <w:bodyDiv w:val="1"/>
      <w:marLeft w:val="0"/>
      <w:marRight w:val="0"/>
      <w:marTop w:val="0"/>
      <w:marBottom w:val="0"/>
      <w:divBdr>
        <w:top w:val="none" w:sz="0" w:space="0" w:color="auto"/>
        <w:left w:val="none" w:sz="0" w:space="0" w:color="auto"/>
        <w:bottom w:val="none" w:sz="0" w:space="0" w:color="auto"/>
        <w:right w:val="none" w:sz="0" w:space="0" w:color="auto"/>
      </w:divBdr>
    </w:div>
    <w:div w:id="1781413195">
      <w:bodyDiv w:val="1"/>
      <w:marLeft w:val="0"/>
      <w:marRight w:val="0"/>
      <w:marTop w:val="0"/>
      <w:marBottom w:val="0"/>
      <w:divBdr>
        <w:top w:val="none" w:sz="0" w:space="0" w:color="auto"/>
        <w:left w:val="none" w:sz="0" w:space="0" w:color="auto"/>
        <w:bottom w:val="none" w:sz="0" w:space="0" w:color="auto"/>
        <w:right w:val="none" w:sz="0" w:space="0" w:color="auto"/>
      </w:divBdr>
    </w:div>
    <w:div w:id="1790589627">
      <w:bodyDiv w:val="1"/>
      <w:marLeft w:val="0"/>
      <w:marRight w:val="0"/>
      <w:marTop w:val="0"/>
      <w:marBottom w:val="0"/>
      <w:divBdr>
        <w:top w:val="none" w:sz="0" w:space="0" w:color="auto"/>
        <w:left w:val="none" w:sz="0" w:space="0" w:color="auto"/>
        <w:bottom w:val="none" w:sz="0" w:space="0" w:color="auto"/>
        <w:right w:val="none" w:sz="0" w:space="0" w:color="auto"/>
      </w:divBdr>
    </w:div>
    <w:div w:id="1920401938">
      <w:bodyDiv w:val="1"/>
      <w:marLeft w:val="0"/>
      <w:marRight w:val="0"/>
      <w:marTop w:val="0"/>
      <w:marBottom w:val="0"/>
      <w:divBdr>
        <w:top w:val="none" w:sz="0" w:space="0" w:color="auto"/>
        <w:left w:val="none" w:sz="0" w:space="0" w:color="auto"/>
        <w:bottom w:val="none" w:sz="0" w:space="0" w:color="auto"/>
        <w:right w:val="none" w:sz="0" w:space="0" w:color="auto"/>
      </w:divBdr>
    </w:div>
    <w:div w:id="1933198324">
      <w:bodyDiv w:val="1"/>
      <w:marLeft w:val="0"/>
      <w:marRight w:val="0"/>
      <w:marTop w:val="0"/>
      <w:marBottom w:val="0"/>
      <w:divBdr>
        <w:top w:val="none" w:sz="0" w:space="0" w:color="auto"/>
        <w:left w:val="none" w:sz="0" w:space="0" w:color="auto"/>
        <w:bottom w:val="none" w:sz="0" w:space="0" w:color="auto"/>
        <w:right w:val="none" w:sz="0" w:space="0" w:color="auto"/>
      </w:divBdr>
    </w:div>
    <w:div w:id="1982611917">
      <w:bodyDiv w:val="1"/>
      <w:marLeft w:val="0"/>
      <w:marRight w:val="0"/>
      <w:marTop w:val="0"/>
      <w:marBottom w:val="0"/>
      <w:divBdr>
        <w:top w:val="none" w:sz="0" w:space="0" w:color="auto"/>
        <w:left w:val="none" w:sz="0" w:space="0" w:color="auto"/>
        <w:bottom w:val="none" w:sz="0" w:space="0" w:color="auto"/>
        <w:right w:val="none" w:sz="0" w:space="0" w:color="auto"/>
      </w:divBdr>
    </w:div>
    <w:div w:id="2049529670">
      <w:bodyDiv w:val="1"/>
      <w:marLeft w:val="0"/>
      <w:marRight w:val="0"/>
      <w:marTop w:val="0"/>
      <w:marBottom w:val="0"/>
      <w:divBdr>
        <w:top w:val="none" w:sz="0" w:space="0" w:color="auto"/>
        <w:left w:val="none" w:sz="0" w:space="0" w:color="auto"/>
        <w:bottom w:val="none" w:sz="0" w:space="0" w:color="auto"/>
        <w:right w:val="none" w:sz="0" w:space="0" w:color="auto"/>
      </w:divBdr>
    </w:div>
    <w:div w:id="2070376195">
      <w:bodyDiv w:val="1"/>
      <w:marLeft w:val="0"/>
      <w:marRight w:val="0"/>
      <w:marTop w:val="0"/>
      <w:marBottom w:val="0"/>
      <w:divBdr>
        <w:top w:val="none" w:sz="0" w:space="0" w:color="auto"/>
        <w:left w:val="none" w:sz="0" w:space="0" w:color="auto"/>
        <w:bottom w:val="none" w:sz="0" w:space="0" w:color="auto"/>
        <w:right w:val="none" w:sz="0" w:space="0" w:color="auto"/>
      </w:divBdr>
    </w:div>
    <w:div w:id="2071614755">
      <w:bodyDiv w:val="1"/>
      <w:marLeft w:val="0"/>
      <w:marRight w:val="0"/>
      <w:marTop w:val="0"/>
      <w:marBottom w:val="0"/>
      <w:divBdr>
        <w:top w:val="none" w:sz="0" w:space="0" w:color="auto"/>
        <w:left w:val="none" w:sz="0" w:space="0" w:color="auto"/>
        <w:bottom w:val="none" w:sz="0" w:space="0" w:color="auto"/>
        <w:right w:val="none" w:sz="0" w:space="0" w:color="auto"/>
      </w:divBdr>
    </w:div>
    <w:div w:id="207566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ourtstatistics.org/~/media/Microsites/Files/CSP/DATA%20PDF/CSP_DEC.ashx" TargetMode="External"/><Relationship Id="rId1" Type="http://schemas.openxmlformats.org/officeDocument/2006/relationships/hyperlink" Target="http://www.ncsl.org/research/civil-and-criminal-justice/juvenile-age-of-jurisdiction-and-transfer-to-adult-court-law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A546A-775C-4258-B808-D86C264F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5094</Words>
  <Characters>29037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Green</dc:creator>
  <cp:keywords/>
  <dc:description/>
  <cp:lastModifiedBy>Strong, Suzanne</cp:lastModifiedBy>
  <cp:revision>4</cp:revision>
  <cp:lastPrinted>2020-01-23T14:21:00Z</cp:lastPrinted>
  <dcterms:created xsi:type="dcterms:W3CDTF">2020-01-30T15:22:00Z</dcterms:created>
  <dcterms:modified xsi:type="dcterms:W3CDTF">2020-02-14T20:44:00Z</dcterms:modified>
</cp:coreProperties>
</file>