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9963C5" w:rsidP="009963C5" w:rsidRDefault="009963C5" w14:paraId="79F649A7" w14:textId="77777777">
      <w:pPr>
        <w:pStyle w:val="Title"/>
      </w:pPr>
      <w:bookmarkStart w:name="_Toc14706266" w:id="0"/>
      <w:bookmarkStart w:name="ETA_9055" w:id="1"/>
      <w:r w:rsidRPr="00085096">
        <w:t>ETA</w:t>
      </w:r>
      <w:r>
        <w:t xml:space="preserve"> </w:t>
      </w:r>
      <w:r w:rsidRPr="00085096">
        <w:t xml:space="preserve">9055 </w:t>
      </w:r>
      <w:r>
        <w:t>-</w:t>
      </w:r>
      <w:r w:rsidRPr="00085096">
        <w:t xml:space="preserve"> APPEALS CASE AGING</w:t>
      </w:r>
      <w:bookmarkEnd w:id="0"/>
    </w:p>
    <w:p w:rsidRPr="00085096" w:rsidR="009963C5" w:rsidP="009963C5" w:rsidRDefault="009963C5" w14:paraId="78748E7D" w14:textId="77777777">
      <w:pPr>
        <w:pStyle w:val="Heading3"/>
      </w:pPr>
      <w:r w:rsidRPr="00085096">
        <w:rPr>
          <w:webHidden/>
        </w:rPr>
        <w:t>Section V-5</w:t>
      </w:r>
    </w:p>
    <w:p w:rsidRPr="00085096" w:rsidR="009963C5" w:rsidP="009963C5" w:rsidRDefault="009963C5" w14:paraId="2A8B574F" w14:textId="77777777">
      <w:pPr>
        <w:pStyle w:val="TOC1"/>
        <w:tabs>
          <w:tab w:val="left" w:pos="660"/>
          <w:tab w:val="right" w:pos="9350"/>
        </w:tabs>
        <w:rPr>
          <w:rFonts w:cs="Times New Roman"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 </w:instrText>
      </w:r>
      <w:r>
        <w:rPr>
          <w:noProof/>
        </w:rPr>
        <w:instrText xml:space="preserve"> \b "ETA_9055"</w:instrText>
      </w:r>
      <w:r w:rsidRPr="00085096">
        <w:rPr>
          <w:rFonts w:cs="Times New Roman"/>
          <w:noProof/>
        </w:rPr>
        <w:fldChar w:fldCharType="separate"/>
      </w:r>
      <w:hyperlink w:history="1" w:anchor="_Toc12868132">
        <w:r w:rsidRPr="00085096">
          <w:rPr>
            <w:rStyle w:val="Hyperlink"/>
            <w:rFonts w:cs="Times New Roman"/>
            <w:noProof/>
          </w:rPr>
          <w:t>A.</w:t>
        </w:r>
        <w:r w:rsidRPr="00085096">
          <w:rPr>
            <w:rFonts w:cs="Times New Roman" w:eastAsiaTheme="minorEastAsia"/>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_Toc12868132 \h </w:instrText>
        </w:r>
        <w:r w:rsidRPr="00085096">
          <w:rPr>
            <w:rFonts w:cs="Times New Roman"/>
            <w:noProof/>
            <w:webHidden/>
          </w:rPr>
        </w:r>
        <w:r w:rsidRPr="00085096">
          <w:rPr>
            <w:rFonts w:cs="Times New Roman"/>
            <w:noProof/>
            <w:webHidden/>
          </w:rPr>
          <w:fldChar w:fldCharType="separate"/>
        </w:r>
        <w:r>
          <w:rPr>
            <w:rFonts w:cs="Times New Roman"/>
            <w:noProof/>
            <w:webHidden/>
          </w:rPr>
          <w:t>273</w:t>
        </w:r>
        <w:r w:rsidRPr="00085096">
          <w:rPr>
            <w:rFonts w:cs="Times New Roman"/>
            <w:noProof/>
            <w:webHidden/>
          </w:rPr>
          <w:fldChar w:fldCharType="end"/>
        </w:r>
      </w:hyperlink>
    </w:p>
    <w:p w:rsidRPr="00085096" w:rsidR="009963C5" w:rsidP="009963C5" w:rsidRDefault="00554405" w14:paraId="3EA13BF4" w14:textId="77777777">
      <w:pPr>
        <w:pStyle w:val="TOC1"/>
        <w:tabs>
          <w:tab w:val="left" w:pos="660"/>
          <w:tab w:val="right" w:pos="9350"/>
        </w:tabs>
        <w:rPr>
          <w:rFonts w:cs="Times New Roman" w:eastAsiaTheme="minorEastAsia"/>
          <w:noProof/>
          <w:sz w:val="22"/>
          <w:szCs w:val="22"/>
        </w:rPr>
      </w:pPr>
      <w:hyperlink w:history="1" w:anchor="_Toc12868133">
        <w:r w:rsidRPr="00085096" w:rsidR="009963C5">
          <w:rPr>
            <w:rStyle w:val="Hyperlink"/>
            <w:rFonts w:cs="Times New Roman"/>
            <w:noProof/>
          </w:rPr>
          <w:t>B.</w:t>
        </w:r>
        <w:r w:rsidRPr="00085096" w:rsidR="009963C5">
          <w:rPr>
            <w:rFonts w:cs="Times New Roman" w:eastAsiaTheme="minorEastAsia"/>
            <w:noProof/>
            <w:sz w:val="22"/>
            <w:szCs w:val="22"/>
          </w:rPr>
          <w:tab/>
        </w:r>
        <w:r w:rsidRPr="00085096" w:rsidR="009963C5">
          <w:rPr>
            <w:rStyle w:val="Hyperlink"/>
            <w:rFonts w:cs="Times New Roman"/>
            <w:noProof/>
          </w:rPr>
          <w:t>Purpose</w:t>
        </w:r>
        <w:r w:rsidRPr="00085096" w:rsidR="009963C5">
          <w:rPr>
            <w:rFonts w:cs="Times New Roman"/>
            <w:noProof/>
            <w:webHidden/>
          </w:rPr>
          <w:tab/>
        </w:r>
        <w:r w:rsidRPr="00085096" w:rsidR="009963C5">
          <w:rPr>
            <w:rFonts w:cs="Times New Roman"/>
            <w:noProof/>
            <w:webHidden/>
          </w:rPr>
          <w:fldChar w:fldCharType="begin"/>
        </w:r>
        <w:r w:rsidRPr="00085096" w:rsidR="009963C5">
          <w:rPr>
            <w:rFonts w:cs="Times New Roman"/>
            <w:noProof/>
            <w:webHidden/>
          </w:rPr>
          <w:instrText xml:space="preserve"> PAGEREF _Toc12868133 \h </w:instrText>
        </w:r>
        <w:r w:rsidRPr="00085096" w:rsidR="009963C5">
          <w:rPr>
            <w:rFonts w:cs="Times New Roman"/>
            <w:noProof/>
            <w:webHidden/>
          </w:rPr>
        </w:r>
        <w:r w:rsidRPr="00085096" w:rsidR="009963C5">
          <w:rPr>
            <w:rFonts w:cs="Times New Roman"/>
            <w:noProof/>
            <w:webHidden/>
          </w:rPr>
          <w:fldChar w:fldCharType="separate"/>
        </w:r>
        <w:r w:rsidR="009963C5">
          <w:rPr>
            <w:rFonts w:cs="Times New Roman"/>
            <w:noProof/>
            <w:webHidden/>
          </w:rPr>
          <w:t>274</w:t>
        </w:r>
        <w:r w:rsidRPr="00085096" w:rsidR="009963C5">
          <w:rPr>
            <w:rFonts w:cs="Times New Roman"/>
            <w:noProof/>
            <w:webHidden/>
          </w:rPr>
          <w:fldChar w:fldCharType="end"/>
        </w:r>
      </w:hyperlink>
    </w:p>
    <w:p w:rsidRPr="00085096" w:rsidR="009963C5" w:rsidP="009963C5" w:rsidRDefault="00554405" w14:paraId="4A85D9B4" w14:textId="77777777">
      <w:pPr>
        <w:pStyle w:val="TOC1"/>
        <w:tabs>
          <w:tab w:val="left" w:pos="660"/>
          <w:tab w:val="right" w:pos="9350"/>
        </w:tabs>
        <w:rPr>
          <w:rFonts w:cs="Times New Roman" w:eastAsiaTheme="minorEastAsia"/>
          <w:noProof/>
          <w:sz w:val="22"/>
          <w:szCs w:val="22"/>
        </w:rPr>
      </w:pPr>
      <w:hyperlink w:history="1" w:anchor="_Toc12868134">
        <w:r w:rsidRPr="00085096" w:rsidR="009963C5">
          <w:rPr>
            <w:rStyle w:val="Hyperlink"/>
            <w:rFonts w:cs="Times New Roman"/>
            <w:noProof/>
          </w:rPr>
          <w:t>C.</w:t>
        </w:r>
        <w:r w:rsidRPr="00085096" w:rsidR="009963C5">
          <w:rPr>
            <w:rFonts w:cs="Times New Roman" w:eastAsiaTheme="minorEastAsia"/>
            <w:noProof/>
            <w:sz w:val="22"/>
            <w:szCs w:val="22"/>
          </w:rPr>
          <w:tab/>
        </w:r>
        <w:r w:rsidRPr="00085096" w:rsidR="009963C5">
          <w:rPr>
            <w:rStyle w:val="Hyperlink"/>
            <w:rFonts w:cs="Times New Roman"/>
            <w:noProof/>
          </w:rPr>
          <w:t>Due Date and Transmittal</w:t>
        </w:r>
        <w:r w:rsidRPr="00085096" w:rsidR="009963C5">
          <w:rPr>
            <w:rFonts w:cs="Times New Roman"/>
            <w:noProof/>
            <w:webHidden/>
          </w:rPr>
          <w:tab/>
        </w:r>
        <w:r w:rsidRPr="00085096" w:rsidR="009963C5">
          <w:rPr>
            <w:rFonts w:cs="Times New Roman"/>
            <w:noProof/>
            <w:webHidden/>
          </w:rPr>
          <w:fldChar w:fldCharType="begin"/>
        </w:r>
        <w:r w:rsidRPr="00085096" w:rsidR="009963C5">
          <w:rPr>
            <w:rFonts w:cs="Times New Roman"/>
            <w:noProof/>
            <w:webHidden/>
          </w:rPr>
          <w:instrText xml:space="preserve"> PAGEREF _Toc12868134 \h </w:instrText>
        </w:r>
        <w:r w:rsidRPr="00085096" w:rsidR="009963C5">
          <w:rPr>
            <w:rFonts w:cs="Times New Roman"/>
            <w:noProof/>
            <w:webHidden/>
          </w:rPr>
        </w:r>
        <w:r w:rsidRPr="00085096" w:rsidR="009963C5">
          <w:rPr>
            <w:rFonts w:cs="Times New Roman"/>
            <w:noProof/>
            <w:webHidden/>
          </w:rPr>
          <w:fldChar w:fldCharType="separate"/>
        </w:r>
        <w:r w:rsidR="009963C5">
          <w:rPr>
            <w:rFonts w:cs="Times New Roman"/>
            <w:noProof/>
            <w:webHidden/>
          </w:rPr>
          <w:t>274</w:t>
        </w:r>
        <w:r w:rsidRPr="00085096" w:rsidR="009963C5">
          <w:rPr>
            <w:rFonts w:cs="Times New Roman"/>
            <w:noProof/>
            <w:webHidden/>
          </w:rPr>
          <w:fldChar w:fldCharType="end"/>
        </w:r>
      </w:hyperlink>
    </w:p>
    <w:p w:rsidRPr="00085096" w:rsidR="009963C5" w:rsidP="009963C5" w:rsidRDefault="00554405" w14:paraId="0BFDB4F9" w14:textId="77777777">
      <w:pPr>
        <w:pStyle w:val="TOC1"/>
        <w:tabs>
          <w:tab w:val="left" w:pos="660"/>
          <w:tab w:val="right" w:pos="9350"/>
        </w:tabs>
        <w:rPr>
          <w:rFonts w:cs="Times New Roman" w:eastAsiaTheme="minorEastAsia"/>
          <w:noProof/>
          <w:sz w:val="22"/>
          <w:szCs w:val="22"/>
        </w:rPr>
      </w:pPr>
      <w:hyperlink w:history="1" w:anchor="_Toc12868135">
        <w:r w:rsidRPr="00085096" w:rsidR="009963C5">
          <w:rPr>
            <w:rStyle w:val="Hyperlink"/>
            <w:rFonts w:cs="Times New Roman"/>
            <w:noProof/>
          </w:rPr>
          <w:t>D.</w:t>
        </w:r>
        <w:r w:rsidRPr="00085096" w:rsidR="009963C5">
          <w:rPr>
            <w:rFonts w:cs="Times New Roman" w:eastAsiaTheme="minorEastAsia"/>
            <w:noProof/>
            <w:sz w:val="22"/>
            <w:szCs w:val="22"/>
          </w:rPr>
          <w:tab/>
        </w:r>
        <w:r w:rsidRPr="00085096" w:rsidR="009963C5">
          <w:rPr>
            <w:rStyle w:val="Hyperlink"/>
            <w:rFonts w:cs="Times New Roman"/>
            <w:noProof/>
          </w:rPr>
          <w:t>General Reporting Instructions</w:t>
        </w:r>
        <w:r w:rsidRPr="00085096" w:rsidR="009963C5">
          <w:rPr>
            <w:rFonts w:cs="Times New Roman"/>
            <w:noProof/>
            <w:webHidden/>
          </w:rPr>
          <w:tab/>
        </w:r>
        <w:r w:rsidRPr="00085096" w:rsidR="009963C5">
          <w:rPr>
            <w:rFonts w:cs="Times New Roman"/>
            <w:noProof/>
            <w:webHidden/>
          </w:rPr>
          <w:fldChar w:fldCharType="begin"/>
        </w:r>
        <w:r w:rsidRPr="00085096" w:rsidR="009963C5">
          <w:rPr>
            <w:rFonts w:cs="Times New Roman"/>
            <w:noProof/>
            <w:webHidden/>
          </w:rPr>
          <w:instrText xml:space="preserve"> PAGEREF _Toc12868135 \h </w:instrText>
        </w:r>
        <w:r w:rsidRPr="00085096" w:rsidR="009963C5">
          <w:rPr>
            <w:rFonts w:cs="Times New Roman"/>
            <w:noProof/>
            <w:webHidden/>
          </w:rPr>
        </w:r>
        <w:r w:rsidRPr="00085096" w:rsidR="009963C5">
          <w:rPr>
            <w:rFonts w:cs="Times New Roman"/>
            <w:noProof/>
            <w:webHidden/>
          </w:rPr>
          <w:fldChar w:fldCharType="separate"/>
        </w:r>
        <w:r w:rsidR="009963C5">
          <w:rPr>
            <w:rFonts w:cs="Times New Roman"/>
            <w:noProof/>
            <w:webHidden/>
          </w:rPr>
          <w:t>274</w:t>
        </w:r>
        <w:r w:rsidRPr="00085096" w:rsidR="009963C5">
          <w:rPr>
            <w:rFonts w:cs="Times New Roman"/>
            <w:noProof/>
            <w:webHidden/>
          </w:rPr>
          <w:fldChar w:fldCharType="end"/>
        </w:r>
      </w:hyperlink>
    </w:p>
    <w:p w:rsidRPr="00085096" w:rsidR="009963C5" w:rsidP="009963C5" w:rsidRDefault="00554405" w14:paraId="1F145B1F" w14:textId="77777777">
      <w:pPr>
        <w:pStyle w:val="TOC3"/>
        <w:rPr>
          <w:rFonts w:eastAsiaTheme="minorEastAsia"/>
          <w:sz w:val="22"/>
          <w:szCs w:val="22"/>
        </w:rPr>
      </w:pPr>
      <w:hyperlink w:history="1" w:anchor="_Toc12868136">
        <w:r w:rsidRPr="00085096" w:rsidR="009963C5">
          <w:rPr>
            <w:rStyle w:val="Hyperlink"/>
          </w:rPr>
          <w:t>1.</w:t>
        </w:r>
        <w:r w:rsidRPr="00085096" w:rsidR="009963C5">
          <w:rPr>
            <w:rFonts w:eastAsiaTheme="minorEastAsia"/>
            <w:sz w:val="22"/>
            <w:szCs w:val="22"/>
          </w:rPr>
          <w:tab/>
        </w:r>
        <w:r w:rsidRPr="00085096" w:rsidR="009963C5">
          <w:rPr>
            <w:rStyle w:val="Hyperlink"/>
          </w:rPr>
          <w:t>Pending Lower Authority Single Claimant Appeals Case Aging</w:t>
        </w:r>
        <w:r w:rsidRPr="00085096" w:rsidR="009963C5">
          <w:rPr>
            <w:webHidden/>
          </w:rPr>
          <w:tab/>
        </w:r>
        <w:r w:rsidRPr="00085096" w:rsidR="009963C5">
          <w:rPr>
            <w:webHidden/>
          </w:rPr>
          <w:fldChar w:fldCharType="begin"/>
        </w:r>
        <w:r w:rsidRPr="00085096" w:rsidR="009963C5">
          <w:rPr>
            <w:webHidden/>
          </w:rPr>
          <w:instrText xml:space="preserve"> PAGEREF _Toc12868136 \h </w:instrText>
        </w:r>
        <w:r w:rsidRPr="00085096" w:rsidR="009963C5">
          <w:rPr>
            <w:webHidden/>
          </w:rPr>
        </w:r>
        <w:r w:rsidRPr="00085096" w:rsidR="009963C5">
          <w:rPr>
            <w:webHidden/>
          </w:rPr>
          <w:fldChar w:fldCharType="separate"/>
        </w:r>
        <w:r w:rsidR="009963C5">
          <w:rPr>
            <w:webHidden/>
          </w:rPr>
          <w:t>274</w:t>
        </w:r>
        <w:r w:rsidRPr="00085096" w:rsidR="009963C5">
          <w:rPr>
            <w:webHidden/>
          </w:rPr>
          <w:fldChar w:fldCharType="end"/>
        </w:r>
      </w:hyperlink>
    </w:p>
    <w:p w:rsidRPr="00085096" w:rsidR="009963C5" w:rsidP="009963C5" w:rsidRDefault="00554405" w14:paraId="6AF8839C" w14:textId="77777777">
      <w:pPr>
        <w:pStyle w:val="TOC3"/>
        <w:rPr>
          <w:rFonts w:eastAsiaTheme="minorEastAsia"/>
          <w:sz w:val="22"/>
          <w:szCs w:val="22"/>
        </w:rPr>
      </w:pPr>
      <w:hyperlink w:history="1" w:anchor="_Toc12868137">
        <w:r w:rsidRPr="00085096" w:rsidR="009963C5">
          <w:rPr>
            <w:rStyle w:val="Hyperlink"/>
          </w:rPr>
          <w:t>2.</w:t>
        </w:r>
        <w:r w:rsidRPr="00085096" w:rsidR="009963C5">
          <w:rPr>
            <w:rFonts w:eastAsiaTheme="minorEastAsia"/>
            <w:sz w:val="22"/>
            <w:szCs w:val="22"/>
          </w:rPr>
          <w:tab/>
        </w:r>
        <w:r w:rsidRPr="00085096" w:rsidR="009963C5">
          <w:rPr>
            <w:rStyle w:val="Hyperlink"/>
          </w:rPr>
          <w:t>Pending Higher Authority Single Claimant Appeals Case Aging</w:t>
        </w:r>
        <w:r w:rsidRPr="00085096" w:rsidR="009963C5">
          <w:rPr>
            <w:webHidden/>
          </w:rPr>
          <w:tab/>
        </w:r>
        <w:r w:rsidRPr="00085096" w:rsidR="009963C5">
          <w:rPr>
            <w:webHidden/>
          </w:rPr>
          <w:fldChar w:fldCharType="begin"/>
        </w:r>
        <w:r w:rsidRPr="00085096" w:rsidR="009963C5">
          <w:rPr>
            <w:webHidden/>
          </w:rPr>
          <w:instrText xml:space="preserve"> PAGEREF _Toc12868137 \h </w:instrText>
        </w:r>
        <w:r w:rsidRPr="00085096" w:rsidR="009963C5">
          <w:rPr>
            <w:webHidden/>
          </w:rPr>
        </w:r>
        <w:r w:rsidRPr="00085096" w:rsidR="009963C5">
          <w:rPr>
            <w:webHidden/>
          </w:rPr>
          <w:fldChar w:fldCharType="separate"/>
        </w:r>
        <w:r w:rsidR="009963C5">
          <w:rPr>
            <w:webHidden/>
          </w:rPr>
          <w:t>274</w:t>
        </w:r>
        <w:r w:rsidRPr="00085096" w:rsidR="009963C5">
          <w:rPr>
            <w:webHidden/>
          </w:rPr>
          <w:fldChar w:fldCharType="end"/>
        </w:r>
      </w:hyperlink>
    </w:p>
    <w:p w:rsidRPr="00085096" w:rsidR="009963C5" w:rsidP="009963C5" w:rsidRDefault="00554405" w14:paraId="5ADDDF39" w14:textId="77777777">
      <w:pPr>
        <w:pStyle w:val="TOC1"/>
        <w:tabs>
          <w:tab w:val="left" w:pos="660"/>
          <w:tab w:val="right" w:pos="9350"/>
        </w:tabs>
        <w:rPr>
          <w:rFonts w:cs="Times New Roman" w:eastAsiaTheme="minorEastAsia"/>
          <w:noProof/>
          <w:sz w:val="22"/>
          <w:szCs w:val="22"/>
        </w:rPr>
      </w:pPr>
      <w:hyperlink w:history="1" w:anchor="_Toc12868138">
        <w:r w:rsidRPr="00085096" w:rsidR="009963C5">
          <w:rPr>
            <w:rStyle w:val="Hyperlink"/>
            <w:rFonts w:cs="Times New Roman"/>
            <w:noProof/>
          </w:rPr>
          <w:t>E.</w:t>
        </w:r>
        <w:r w:rsidRPr="00085096" w:rsidR="009963C5">
          <w:rPr>
            <w:rFonts w:cs="Times New Roman" w:eastAsiaTheme="minorEastAsia"/>
            <w:noProof/>
            <w:sz w:val="22"/>
            <w:szCs w:val="22"/>
          </w:rPr>
          <w:tab/>
        </w:r>
        <w:r w:rsidRPr="00085096" w:rsidR="009963C5">
          <w:rPr>
            <w:rStyle w:val="Hyperlink"/>
            <w:rFonts w:cs="Times New Roman"/>
            <w:noProof/>
          </w:rPr>
          <w:t>Definitions</w:t>
        </w:r>
        <w:r w:rsidRPr="00085096" w:rsidR="009963C5">
          <w:rPr>
            <w:rFonts w:cs="Times New Roman"/>
            <w:noProof/>
            <w:webHidden/>
          </w:rPr>
          <w:tab/>
        </w:r>
        <w:r w:rsidRPr="00085096" w:rsidR="009963C5">
          <w:rPr>
            <w:rFonts w:cs="Times New Roman"/>
            <w:noProof/>
            <w:webHidden/>
          </w:rPr>
          <w:fldChar w:fldCharType="begin"/>
        </w:r>
        <w:r w:rsidRPr="00085096" w:rsidR="009963C5">
          <w:rPr>
            <w:rFonts w:cs="Times New Roman"/>
            <w:noProof/>
            <w:webHidden/>
          </w:rPr>
          <w:instrText xml:space="preserve"> PAGEREF _Toc12868138 \h </w:instrText>
        </w:r>
        <w:r w:rsidRPr="00085096" w:rsidR="009963C5">
          <w:rPr>
            <w:rFonts w:cs="Times New Roman"/>
            <w:noProof/>
            <w:webHidden/>
          </w:rPr>
        </w:r>
        <w:r w:rsidRPr="00085096" w:rsidR="009963C5">
          <w:rPr>
            <w:rFonts w:cs="Times New Roman"/>
            <w:noProof/>
            <w:webHidden/>
          </w:rPr>
          <w:fldChar w:fldCharType="separate"/>
        </w:r>
        <w:r w:rsidR="009963C5">
          <w:rPr>
            <w:rFonts w:cs="Times New Roman"/>
            <w:noProof/>
            <w:webHidden/>
          </w:rPr>
          <w:t>275</w:t>
        </w:r>
        <w:r w:rsidRPr="00085096" w:rsidR="009963C5">
          <w:rPr>
            <w:rFonts w:cs="Times New Roman"/>
            <w:noProof/>
            <w:webHidden/>
          </w:rPr>
          <w:fldChar w:fldCharType="end"/>
        </w:r>
      </w:hyperlink>
    </w:p>
    <w:p w:rsidRPr="00085096" w:rsidR="009963C5" w:rsidP="009963C5" w:rsidRDefault="00554405" w14:paraId="0CC968C0" w14:textId="77777777">
      <w:pPr>
        <w:pStyle w:val="TOC3"/>
        <w:rPr>
          <w:rFonts w:eastAsiaTheme="minorEastAsia"/>
          <w:sz w:val="22"/>
          <w:szCs w:val="22"/>
        </w:rPr>
      </w:pPr>
      <w:hyperlink w:history="1" w:anchor="_Toc12868139">
        <w:r w:rsidRPr="00085096" w:rsidR="009963C5">
          <w:rPr>
            <w:rStyle w:val="Hyperlink"/>
          </w:rPr>
          <w:t>1.</w:t>
        </w:r>
        <w:r w:rsidRPr="00085096" w:rsidR="009963C5">
          <w:rPr>
            <w:rFonts w:eastAsiaTheme="minorEastAsia"/>
            <w:sz w:val="22"/>
            <w:szCs w:val="22"/>
          </w:rPr>
          <w:tab/>
        </w:r>
        <w:r w:rsidRPr="00085096" w:rsidR="009963C5">
          <w:rPr>
            <w:rStyle w:val="Hyperlink"/>
          </w:rPr>
          <w:t>Pending Single Claimant Appeals Case Age</w:t>
        </w:r>
        <w:r w:rsidRPr="00085096" w:rsidR="009963C5">
          <w:rPr>
            <w:webHidden/>
          </w:rPr>
          <w:tab/>
        </w:r>
        <w:r w:rsidRPr="00085096" w:rsidR="009963C5">
          <w:rPr>
            <w:webHidden/>
          </w:rPr>
          <w:fldChar w:fldCharType="begin"/>
        </w:r>
        <w:r w:rsidRPr="00085096" w:rsidR="009963C5">
          <w:rPr>
            <w:webHidden/>
          </w:rPr>
          <w:instrText xml:space="preserve"> PAGEREF _Toc12868139 \h </w:instrText>
        </w:r>
        <w:r w:rsidRPr="00085096" w:rsidR="009963C5">
          <w:rPr>
            <w:webHidden/>
          </w:rPr>
        </w:r>
        <w:r w:rsidRPr="00085096" w:rsidR="009963C5">
          <w:rPr>
            <w:webHidden/>
          </w:rPr>
          <w:fldChar w:fldCharType="separate"/>
        </w:r>
        <w:r w:rsidR="009963C5">
          <w:rPr>
            <w:webHidden/>
          </w:rPr>
          <w:t>275</w:t>
        </w:r>
        <w:r w:rsidRPr="00085096" w:rsidR="009963C5">
          <w:rPr>
            <w:webHidden/>
          </w:rPr>
          <w:fldChar w:fldCharType="end"/>
        </w:r>
      </w:hyperlink>
    </w:p>
    <w:p w:rsidRPr="00085096" w:rsidR="009963C5" w:rsidP="009963C5" w:rsidRDefault="00554405" w14:paraId="25C43577" w14:textId="77777777">
      <w:pPr>
        <w:pStyle w:val="TOC3"/>
        <w:rPr>
          <w:rFonts w:eastAsiaTheme="minorEastAsia"/>
          <w:sz w:val="22"/>
          <w:szCs w:val="22"/>
        </w:rPr>
      </w:pPr>
      <w:hyperlink w:history="1" w:anchor="_Toc12868140">
        <w:r w:rsidRPr="00085096" w:rsidR="009963C5">
          <w:rPr>
            <w:rStyle w:val="Hyperlink"/>
          </w:rPr>
          <w:t>2.</w:t>
        </w:r>
        <w:r w:rsidRPr="00085096" w:rsidR="009963C5">
          <w:rPr>
            <w:rFonts w:eastAsiaTheme="minorEastAsia"/>
            <w:sz w:val="22"/>
            <w:szCs w:val="22"/>
          </w:rPr>
          <w:tab/>
        </w:r>
        <w:r w:rsidRPr="00085096" w:rsidR="009963C5">
          <w:rPr>
            <w:rStyle w:val="Hyperlink"/>
          </w:rPr>
          <w:t>Average Age of Pending Single Claimant Appeals Cases</w:t>
        </w:r>
        <w:r w:rsidRPr="00085096" w:rsidR="009963C5">
          <w:rPr>
            <w:webHidden/>
          </w:rPr>
          <w:tab/>
        </w:r>
        <w:r w:rsidRPr="00085096" w:rsidR="009963C5">
          <w:rPr>
            <w:webHidden/>
          </w:rPr>
          <w:fldChar w:fldCharType="begin"/>
        </w:r>
        <w:r w:rsidRPr="00085096" w:rsidR="009963C5">
          <w:rPr>
            <w:webHidden/>
          </w:rPr>
          <w:instrText xml:space="preserve"> PAGEREF _Toc12868140 \h </w:instrText>
        </w:r>
        <w:r w:rsidRPr="00085096" w:rsidR="009963C5">
          <w:rPr>
            <w:webHidden/>
          </w:rPr>
        </w:r>
        <w:r w:rsidRPr="00085096" w:rsidR="009963C5">
          <w:rPr>
            <w:webHidden/>
          </w:rPr>
          <w:fldChar w:fldCharType="separate"/>
        </w:r>
        <w:r w:rsidR="009963C5">
          <w:rPr>
            <w:webHidden/>
          </w:rPr>
          <w:t>275</w:t>
        </w:r>
        <w:r w:rsidRPr="00085096" w:rsidR="009963C5">
          <w:rPr>
            <w:webHidden/>
          </w:rPr>
          <w:fldChar w:fldCharType="end"/>
        </w:r>
      </w:hyperlink>
    </w:p>
    <w:p w:rsidRPr="00085096" w:rsidR="009963C5" w:rsidP="009963C5" w:rsidRDefault="00554405" w14:paraId="7343D40B" w14:textId="77777777">
      <w:pPr>
        <w:pStyle w:val="TOC3"/>
        <w:rPr>
          <w:rFonts w:eastAsiaTheme="minorEastAsia"/>
          <w:sz w:val="22"/>
          <w:szCs w:val="22"/>
        </w:rPr>
      </w:pPr>
      <w:hyperlink w:history="1" w:anchor="_Toc12868141">
        <w:r w:rsidRPr="00085096" w:rsidR="009963C5">
          <w:rPr>
            <w:rStyle w:val="Hyperlink"/>
          </w:rPr>
          <w:t>3.</w:t>
        </w:r>
        <w:r w:rsidRPr="00085096" w:rsidR="009963C5">
          <w:rPr>
            <w:rFonts w:eastAsiaTheme="minorEastAsia"/>
            <w:sz w:val="22"/>
            <w:szCs w:val="22"/>
          </w:rPr>
          <w:tab/>
        </w:r>
        <w:r w:rsidRPr="00085096" w:rsidR="009963C5">
          <w:rPr>
            <w:rStyle w:val="Hyperlink"/>
          </w:rPr>
          <w:t>Median Age of Pending Single Claimant Appeals Cases</w:t>
        </w:r>
        <w:r w:rsidRPr="00085096" w:rsidR="009963C5">
          <w:rPr>
            <w:webHidden/>
          </w:rPr>
          <w:tab/>
        </w:r>
        <w:r w:rsidRPr="00085096" w:rsidR="009963C5">
          <w:rPr>
            <w:webHidden/>
          </w:rPr>
          <w:fldChar w:fldCharType="begin"/>
        </w:r>
        <w:r w:rsidRPr="00085096" w:rsidR="009963C5">
          <w:rPr>
            <w:webHidden/>
          </w:rPr>
          <w:instrText xml:space="preserve"> PAGEREF _Toc12868141 \h </w:instrText>
        </w:r>
        <w:r w:rsidRPr="00085096" w:rsidR="009963C5">
          <w:rPr>
            <w:webHidden/>
          </w:rPr>
        </w:r>
        <w:r w:rsidRPr="00085096" w:rsidR="009963C5">
          <w:rPr>
            <w:webHidden/>
          </w:rPr>
          <w:fldChar w:fldCharType="separate"/>
        </w:r>
        <w:r w:rsidR="009963C5">
          <w:rPr>
            <w:webHidden/>
          </w:rPr>
          <w:t>275</w:t>
        </w:r>
        <w:r w:rsidRPr="00085096" w:rsidR="009963C5">
          <w:rPr>
            <w:webHidden/>
          </w:rPr>
          <w:fldChar w:fldCharType="end"/>
        </w:r>
      </w:hyperlink>
    </w:p>
    <w:p w:rsidRPr="00085096" w:rsidR="009963C5" w:rsidP="009963C5" w:rsidRDefault="00554405" w14:paraId="0C2AA495" w14:textId="77777777">
      <w:pPr>
        <w:pStyle w:val="TOC1"/>
        <w:tabs>
          <w:tab w:val="left" w:pos="660"/>
          <w:tab w:val="right" w:pos="9350"/>
        </w:tabs>
        <w:rPr>
          <w:rFonts w:cs="Times New Roman" w:eastAsiaTheme="minorEastAsia"/>
          <w:noProof/>
          <w:sz w:val="22"/>
          <w:szCs w:val="22"/>
        </w:rPr>
      </w:pPr>
      <w:hyperlink w:history="1" w:anchor="_Toc12868142">
        <w:r w:rsidRPr="00085096" w:rsidR="009963C5">
          <w:rPr>
            <w:rStyle w:val="Hyperlink"/>
            <w:rFonts w:cs="Times New Roman"/>
            <w:noProof/>
          </w:rPr>
          <w:t>F.</w:t>
        </w:r>
        <w:r w:rsidRPr="00085096" w:rsidR="009963C5">
          <w:rPr>
            <w:rFonts w:cs="Times New Roman" w:eastAsiaTheme="minorEastAsia"/>
            <w:noProof/>
            <w:sz w:val="22"/>
            <w:szCs w:val="22"/>
          </w:rPr>
          <w:tab/>
        </w:r>
        <w:r w:rsidRPr="00085096" w:rsidR="009963C5">
          <w:rPr>
            <w:rStyle w:val="Hyperlink"/>
            <w:rFonts w:cs="Times New Roman"/>
            <w:noProof/>
          </w:rPr>
          <w:t>Item by Item Instructions</w:t>
        </w:r>
        <w:r w:rsidRPr="00085096" w:rsidR="009963C5">
          <w:rPr>
            <w:rFonts w:cs="Times New Roman"/>
            <w:noProof/>
            <w:webHidden/>
          </w:rPr>
          <w:tab/>
        </w:r>
        <w:r w:rsidRPr="00085096" w:rsidR="009963C5">
          <w:rPr>
            <w:rFonts w:cs="Times New Roman"/>
            <w:noProof/>
            <w:webHidden/>
          </w:rPr>
          <w:fldChar w:fldCharType="begin"/>
        </w:r>
        <w:r w:rsidRPr="00085096" w:rsidR="009963C5">
          <w:rPr>
            <w:rFonts w:cs="Times New Roman"/>
            <w:noProof/>
            <w:webHidden/>
          </w:rPr>
          <w:instrText xml:space="preserve"> PAGEREF _Toc12868142 \h </w:instrText>
        </w:r>
        <w:r w:rsidRPr="00085096" w:rsidR="009963C5">
          <w:rPr>
            <w:rFonts w:cs="Times New Roman"/>
            <w:noProof/>
            <w:webHidden/>
          </w:rPr>
        </w:r>
        <w:r w:rsidRPr="00085096" w:rsidR="009963C5">
          <w:rPr>
            <w:rFonts w:cs="Times New Roman"/>
            <w:noProof/>
            <w:webHidden/>
          </w:rPr>
          <w:fldChar w:fldCharType="separate"/>
        </w:r>
        <w:r w:rsidR="009963C5">
          <w:rPr>
            <w:rFonts w:cs="Times New Roman"/>
            <w:noProof/>
            <w:webHidden/>
          </w:rPr>
          <w:t>275</w:t>
        </w:r>
        <w:r w:rsidRPr="00085096" w:rsidR="009963C5">
          <w:rPr>
            <w:rFonts w:cs="Times New Roman"/>
            <w:noProof/>
            <w:webHidden/>
          </w:rPr>
          <w:fldChar w:fldCharType="end"/>
        </w:r>
      </w:hyperlink>
    </w:p>
    <w:p w:rsidRPr="00085096" w:rsidR="009963C5" w:rsidP="009963C5" w:rsidRDefault="00554405" w14:paraId="5AF8A1E6" w14:textId="77777777">
      <w:pPr>
        <w:pStyle w:val="TOC3"/>
        <w:rPr>
          <w:rFonts w:eastAsiaTheme="minorEastAsia"/>
          <w:sz w:val="22"/>
          <w:szCs w:val="22"/>
        </w:rPr>
      </w:pPr>
      <w:hyperlink w:history="1" w:anchor="_Toc12868143">
        <w:r w:rsidRPr="00085096" w:rsidR="009963C5">
          <w:rPr>
            <w:rStyle w:val="Hyperlink"/>
          </w:rPr>
          <w:t>1.</w:t>
        </w:r>
        <w:r w:rsidRPr="00085096" w:rsidR="009963C5">
          <w:rPr>
            <w:rFonts w:eastAsiaTheme="minorEastAsia"/>
            <w:sz w:val="22"/>
            <w:szCs w:val="22"/>
          </w:rPr>
          <w:tab/>
        </w:r>
        <w:r w:rsidRPr="00085096" w:rsidR="009963C5">
          <w:rPr>
            <w:rStyle w:val="Hyperlink"/>
          </w:rPr>
          <w:t>Age of Pending Lower Authority Single Claimant Appeals Cases</w:t>
        </w:r>
        <w:r w:rsidRPr="00085096" w:rsidR="009963C5">
          <w:rPr>
            <w:webHidden/>
          </w:rPr>
          <w:tab/>
        </w:r>
        <w:r w:rsidRPr="00085096" w:rsidR="009963C5">
          <w:rPr>
            <w:webHidden/>
          </w:rPr>
          <w:fldChar w:fldCharType="begin"/>
        </w:r>
        <w:r w:rsidRPr="00085096" w:rsidR="009963C5">
          <w:rPr>
            <w:webHidden/>
          </w:rPr>
          <w:instrText xml:space="preserve"> PAGEREF _Toc12868143 \h </w:instrText>
        </w:r>
        <w:r w:rsidRPr="00085096" w:rsidR="009963C5">
          <w:rPr>
            <w:webHidden/>
          </w:rPr>
        </w:r>
        <w:r w:rsidRPr="00085096" w:rsidR="009963C5">
          <w:rPr>
            <w:webHidden/>
          </w:rPr>
          <w:fldChar w:fldCharType="separate"/>
        </w:r>
        <w:r w:rsidR="009963C5">
          <w:rPr>
            <w:webHidden/>
          </w:rPr>
          <w:t>275</w:t>
        </w:r>
        <w:r w:rsidRPr="00085096" w:rsidR="009963C5">
          <w:rPr>
            <w:webHidden/>
          </w:rPr>
          <w:fldChar w:fldCharType="end"/>
        </w:r>
      </w:hyperlink>
    </w:p>
    <w:p w:rsidRPr="00085096" w:rsidR="009963C5" w:rsidP="009963C5" w:rsidRDefault="00554405" w14:paraId="0F67D01F" w14:textId="77777777">
      <w:pPr>
        <w:pStyle w:val="TOC3"/>
        <w:rPr>
          <w:rFonts w:eastAsiaTheme="minorEastAsia"/>
          <w:sz w:val="22"/>
          <w:szCs w:val="22"/>
        </w:rPr>
      </w:pPr>
      <w:hyperlink w:history="1" w:anchor="_Toc12868144">
        <w:r w:rsidRPr="00085096" w:rsidR="009963C5">
          <w:rPr>
            <w:rStyle w:val="Hyperlink"/>
          </w:rPr>
          <w:t>2.</w:t>
        </w:r>
        <w:r w:rsidRPr="00085096" w:rsidR="009963C5">
          <w:rPr>
            <w:rFonts w:eastAsiaTheme="minorEastAsia"/>
            <w:sz w:val="22"/>
            <w:szCs w:val="22"/>
          </w:rPr>
          <w:tab/>
        </w:r>
        <w:r w:rsidRPr="00085096" w:rsidR="009963C5">
          <w:rPr>
            <w:rStyle w:val="Hyperlink"/>
          </w:rPr>
          <w:t>Age of Pending Higher Authority Single Claimant Appeals Cases</w:t>
        </w:r>
        <w:r w:rsidRPr="00085096" w:rsidR="009963C5">
          <w:rPr>
            <w:webHidden/>
          </w:rPr>
          <w:tab/>
        </w:r>
        <w:r w:rsidRPr="00085096" w:rsidR="009963C5">
          <w:rPr>
            <w:webHidden/>
          </w:rPr>
          <w:fldChar w:fldCharType="begin"/>
        </w:r>
        <w:r w:rsidRPr="00085096" w:rsidR="009963C5">
          <w:rPr>
            <w:webHidden/>
          </w:rPr>
          <w:instrText xml:space="preserve"> PAGEREF _Toc12868144 \h </w:instrText>
        </w:r>
        <w:r w:rsidRPr="00085096" w:rsidR="009963C5">
          <w:rPr>
            <w:webHidden/>
          </w:rPr>
        </w:r>
        <w:r w:rsidRPr="00085096" w:rsidR="009963C5">
          <w:rPr>
            <w:webHidden/>
          </w:rPr>
          <w:fldChar w:fldCharType="separate"/>
        </w:r>
        <w:r w:rsidR="009963C5">
          <w:rPr>
            <w:webHidden/>
          </w:rPr>
          <w:t>275</w:t>
        </w:r>
        <w:r w:rsidRPr="00085096" w:rsidR="009963C5">
          <w:rPr>
            <w:webHidden/>
          </w:rPr>
          <w:fldChar w:fldCharType="end"/>
        </w:r>
      </w:hyperlink>
    </w:p>
    <w:p w:rsidRPr="00085096" w:rsidR="009963C5" w:rsidP="009963C5" w:rsidRDefault="00554405" w14:paraId="1CA7E764" w14:textId="77777777">
      <w:pPr>
        <w:pStyle w:val="TOC3"/>
        <w:rPr>
          <w:rFonts w:eastAsiaTheme="minorEastAsia"/>
          <w:sz w:val="22"/>
          <w:szCs w:val="22"/>
        </w:rPr>
      </w:pPr>
      <w:hyperlink w:history="1" w:anchor="_Toc12868145">
        <w:r w:rsidRPr="00085096" w:rsidR="009963C5">
          <w:rPr>
            <w:rStyle w:val="Hyperlink"/>
          </w:rPr>
          <w:t>3.</w:t>
        </w:r>
        <w:r w:rsidRPr="00085096" w:rsidR="009963C5">
          <w:rPr>
            <w:rFonts w:eastAsiaTheme="minorEastAsia"/>
            <w:sz w:val="22"/>
            <w:szCs w:val="22"/>
          </w:rPr>
          <w:tab/>
        </w:r>
        <w:r w:rsidRPr="00085096" w:rsidR="009963C5">
          <w:rPr>
            <w:rStyle w:val="Hyperlink"/>
          </w:rPr>
          <w:t>Comments</w:t>
        </w:r>
        <w:r w:rsidRPr="00085096" w:rsidR="009963C5">
          <w:rPr>
            <w:webHidden/>
          </w:rPr>
          <w:tab/>
        </w:r>
        <w:r w:rsidRPr="00085096" w:rsidR="009963C5">
          <w:rPr>
            <w:webHidden/>
          </w:rPr>
          <w:fldChar w:fldCharType="begin"/>
        </w:r>
        <w:r w:rsidRPr="00085096" w:rsidR="009963C5">
          <w:rPr>
            <w:webHidden/>
          </w:rPr>
          <w:instrText xml:space="preserve"> PAGEREF _Toc12868145 \h </w:instrText>
        </w:r>
        <w:r w:rsidRPr="00085096" w:rsidR="009963C5">
          <w:rPr>
            <w:webHidden/>
          </w:rPr>
        </w:r>
        <w:r w:rsidRPr="00085096" w:rsidR="009963C5">
          <w:rPr>
            <w:webHidden/>
          </w:rPr>
          <w:fldChar w:fldCharType="separate"/>
        </w:r>
        <w:r w:rsidR="009963C5">
          <w:rPr>
            <w:webHidden/>
          </w:rPr>
          <w:t>275</w:t>
        </w:r>
        <w:r w:rsidRPr="00085096" w:rsidR="009963C5">
          <w:rPr>
            <w:webHidden/>
          </w:rPr>
          <w:fldChar w:fldCharType="end"/>
        </w:r>
      </w:hyperlink>
    </w:p>
    <w:p w:rsidRPr="00085096" w:rsidR="009963C5" w:rsidP="009963C5" w:rsidRDefault="009963C5" w14:paraId="7064AEA8"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Pr="00085096" w:rsidR="009963C5" w:rsidP="009963C5" w:rsidRDefault="009963C5" w14:paraId="618D603C" w14:textId="77777777">
      <w:pPr>
        <w:widowControl/>
        <w:autoSpaceDE/>
        <w:autoSpaceDN/>
        <w:adjustRightInd/>
        <w:spacing w:after="160" w:line="259" w:lineRule="auto"/>
        <w:rPr>
          <w:rFonts w:cs="Times New Roman" w:eastAsiaTheme="majorEastAsia"/>
          <w:b/>
          <w:sz w:val="28"/>
          <w:szCs w:val="32"/>
        </w:rPr>
      </w:pPr>
      <w:r w:rsidRPr="00085096">
        <w:rPr>
          <w:rFonts w:cs="Times New Roman"/>
        </w:rPr>
        <w:br w:type="page"/>
      </w:r>
    </w:p>
    <w:p w:rsidRPr="007537F5" w:rsidR="009963C5" w:rsidP="009963C5" w:rsidRDefault="009963C5" w14:paraId="07B1CBB8" w14:textId="77777777">
      <w:pPr>
        <w:pStyle w:val="Heading1"/>
        <w:numPr>
          <w:ilvl w:val="0"/>
          <w:numId w:val="111"/>
        </w:numPr>
        <w:rPr>
          <w:sz w:val="24"/>
          <w:szCs w:val="56"/>
        </w:rPr>
      </w:pPr>
      <w:bookmarkStart w:name="_Toc12868132" w:id="2"/>
      <w:bookmarkStart w:name="_Toc13576297" w:id="3"/>
      <w:bookmarkStart w:name="_Toc13576966" w:id="4"/>
      <w:r w:rsidRPr="00085096">
        <w:lastRenderedPageBreak/>
        <w:t>Facsimile of Form</w:t>
      </w:r>
      <w:bookmarkEnd w:id="2"/>
      <w:bookmarkEnd w:id="3"/>
      <w:bookmarkEnd w:id="4"/>
    </w:p>
    <w:p w:rsidRPr="00AC60ED" w:rsidR="009963C5" w:rsidP="009963C5" w:rsidRDefault="009963C5" w14:paraId="4AE1173A" w14:textId="77777777">
      <w:pPr>
        <w:jc w:val="center"/>
        <w:rPr>
          <w:rFonts w:cs="Times New Roman"/>
          <w:bCs/>
          <w:szCs w:val="22"/>
        </w:rPr>
      </w:pPr>
      <w:r w:rsidRPr="00AC60ED">
        <w:rPr>
          <w:rFonts w:cs="Times New Roman"/>
          <w:bCs/>
          <w:szCs w:val="22"/>
        </w:rPr>
        <w:t>ETA 9055L - LOWER AUTHORITY APPEALS, CASE AGING</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573"/>
        <w:gridCol w:w="1861"/>
        <w:gridCol w:w="5910"/>
      </w:tblGrid>
      <w:tr w:rsidRPr="00085096" w:rsidR="009963C5" w:rsidTr="00083CF1" w14:paraId="7E96B5D4"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3844ED8E"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475A2020"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678F46A9"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9963C5" w:rsidTr="00083CF1" w14:paraId="56922070"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76CA908E"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5418923E"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4DAF3BB3" w14:textId="77777777">
            <w:pPr>
              <w:widowControl/>
              <w:autoSpaceDE/>
              <w:autoSpaceDN/>
              <w:adjustRightInd/>
              <w:jc w:val="center"/>
              <w:rPr>
                <w:rFonts w:cs="Times New Roman"/>
                <w:sz w:val="16"/>
                <w:szCs w:val="16"/>
              </w:rPr>
            </w:pPr>
          </w:p>
        </w:tc>
      </w:tr>
    </w:tbl>
    <w:p w:rsidRPr="00085096" w:rsidR="009963C5" w:rsidP="009963C5" w:rsidRDefault="009963C5" w14:paraId="3EF33D6F" w14:textId="77777777">
      <w:pPr>
        <w:widowControl/>
        <w:autoSpaceDE/>
        <w:autoSpaceDN/>
        <w:adjustRightInd/>
        <w:rPr>
          <w:rFonts w:cs="Times New Roman"/>
          <w:vanish/>
          <w:sz w:val="2"/>
          <w:szCs w:val="2"/>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4839"/>
        <w:gridCol w:w="4505"/>
      </w:tblGrid>
      <w:tr w:rsidRPr="00085096" w:rsidR="009963C5" w:rsidTr="00083CF1" w14:paraId="65E6B27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14888F83" w14:textId="77777777">
            <w:pPr>
              <w:widowControl/>
              <w:autoSpaceDE/>
              <w:autoSpaceDN/>
              <w:adjustRightInd/>
              <w:jc w:val="center"/>
              <w:rPr>
                <w:rFonts w:cs="Times New Roman"/>
                <w:b/>
                <w:bCs/>
                <w:sz w:val="16"/>
                <w:szCs w:val="16"/>
              </w:rPr>
            </w:pPr>
            <w:r w:rsidRPr="00085096">
              <w:rPr>
                <w:rFonts w:cs="Times New Roman"/>
                <w:b/>
                <w:bCs/>
                <w:sz w:val="16"/>
                <w:szCs w:val="16"/>
              </w:rPr>
              <w:t>Time Lapse Days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55F6534E" w14:textId="77777777">
            <w:pPr>
              <w:widowControl/>
              <w:autoSpaceDE/>
              <w:autoSpaceDN/>
              <w:adjustRightInd/>
              <w:jc w:val="center"/>
              <w:rPr>
                <w:rFonts w:cs="Times New Roman"/>
                <w:b/>
                <w:bCs/>
                <w:sz w:val="16"/>
                <w:szCs w:val="16"/>
              </w:rPr>
            </w:pPr>
            <w:r w:rsidRPr="00085096">
              <w:rPr>
                <w:rFonts w:cs="Times New Roman"/>
                <w:b/>
                <w:bCs/>
                <w:sz w:val="16"/>
                <w:szCs w:val="16"/>
              </w:rPr>
              <w:t>Appeals</w:t>
            </w:r>
          </w:p>
        </w:tc>
      </w:tr>
      <w:tr w:rsidRPr="00085096" w:rsidR="009963C5" w:rsidTr="00083CF1" w14:paraId="6A422CE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5E58BAD2" w14:textId="77777777">
            <w:pPr>
              <w:widowControl/>
              <w:autoSpaceDE/>
              <w:autoSpaceDN/>
              <w:adjustRightInd/>
              <w:jc w:val="center"/>
              <w:rPr>
                <w:rFonts w:cs="Times New Roman"/>
                <w:b/>
                <w:bCs/>
                <w:sz w:val="16"/>
                <w:szCs w:val="16"/>
              </w:rPr>
            </w:pPr>
            <w:r w:rsidRPr="00085096">
              <w:rPr>
                <w:rFonts w:cs="Times New Roman"/>
                <w:b/>
                <w:bCs/>
                <w:sz w:val="16"/>
                <w:szCs w:val="16"/>
              </w:rPr>
              <w:t>Total Pending Cases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0D03EA5A" w14:textId="77777777">
            <w:pPr>
              <w:widowControl/>
              <w:autoSpaceDE/>
              <w:autoSpaceDN/>
              <w:adjustRightInd/>
              <w:jc w:val="right"/>
              <w:rPr>
                <w:rFonts w:cs="Times New Roman"/>
                <w:sz w:val="16"/>
                <w:szCs w:val="16"/>
              </w:rPr>
            </w:pPr>
          </w:p>
        </w:tc>
      </w:tr>
      <w:tr w:rsidRPr="00085096" w:rsidR="009963C5" w:rsidTr="00083CF1" w14:paraId="2410A845"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07C25CB6" w14:textId="77777777">
            <w:pPr>
              <w:widowControl/>
              <w:autoSpaceDE/>
              <w:autoSpaceDN/>
              <w:adjustRightInd/>
              <w:jc w:val="center"/>
              <w:rPr>
                <w:rFonts w:cs="Times New Roman"/>
                <w:b/>
                <w:bCs/>
                <w:sz w:val="16"/>
                <w:szCs w:val="16"/>
              </w:rPr>
            </w:pPr>
            <w:r w:rsidRPr="00085096">
              <w:rPr>
                <w:rFonts w:cs="Times New Roman"/>
                <w:b/>
                <w:bCs/>
                <w:sz w:val="16"/>
                <w:szCs w:val="16"/>
              </w:rPr>
              <w:t>&lt;=25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466B7913" w14:textId="77777777">
            <w:pPr>
              <w:widowControl/>
              <w:autoSpaceDE/>
              <w:autoSpaceDN/>
              <w:adjustRightInd/>
              <w:jc w:val="right"/>
              <w:rPr>
                <w:rFonts w:cs="Times New Roman"/>
                <w:sz w:val="16"/>
                <w:szCs w:val="16"/>
              </w:rPr>
            </w:pPr>
          </w:p>
        </w:tc>
      </w:tr>
      <w:tr w:rsidRPr="00085096" w:rsidR="009963C5" w:rsidTr="00083CF1" w14:paraId="4E3D23B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2E1414CB" w14:textId="77777777">
            <w:pPr>
              <w:widowControl/>
              <w:autoSpaceDE/>
              <w:autoSpaceDN/>
              <w:adjustRightInd/>
              <w:jc w:val="center"/>
              <w:rPr>
                <w:rFonts w:cs="Times New Roman"/>
                <w:b/>
                <w:bCs/>
                <w:sz w:val="16"/>
                <w:szCs w:val="16"/>
              </w:rPr>
            </w:pPr>
            <w:r w:rsidRPr="00085096">
              <w:rPr>
                <w:rFonts w:cs="Times New Roman"/>
                <w:b/>
                <w:bCs/>
                <w:sz w:val="16"/>
                <w:szCs w:val="16"/>
              </w:rPr>
              <w:t>26-40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536E6C4A" w14:textId="77777777">
            <w:pPr>
              <w:widowControl/>
              <w:autoSpaceDE/>
              <w:autoSpaceDN/>
              <w:adjustRightInd/>
              <w:jc w:val="right"/>
              <w:rPr>
                <w:rFonts w:cs="Times New Roman"/>
                <w:sz w:val="16"/>
                <w:szCs w:val="16"/>
              </w:rPr>
            </w:pPr>
          </w:p>
        </w:tc>
      </w:tr>
      <w:tr w:rsidRPr="00085096" w:rsidR="009963C5" w:rsidTr="00083CF1" w14:paraId="25050AE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1A909667" w14:textId="77777777">
            <w:pPr>
              <w:widowControl/>
              <w:autoSpaceDE/>
              <w:autoSpaceDN/>
              <w:adjustRightInd/>
              <w:jc w:val="center"/>
              <w:rPr>
                <w:rFonts w:cs="Times New Roman"/>
                <w:b/>
                <w:bCs/>
                <w:sz w:val="16"/>
                <w:szCs w:val="16"/>
              </w:rPr>
            </w:pPr>
            <w:r w:rsidRPr="00085096">
              <w:rPr>
                <w:rFonts w:cs="Times New Roman"/>
                <w:b/>
                <w:bCs/>
                <w:sz w:val="16"/>
                <w:szCs w:val="16"/>
              </w:rPr>
              <w:t>41-90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37E69C40" w14:textId="77777777">
            <w:pPr>
              <w:widowControl/>
              <w:autoSpaceDE/>
              <w:autoSpaceDN/>
              <w:adjustRightInd/>
              <w:jc w:val="right"/>
              <w:rPr>
                <w:rFonts w:cs="Times New Roman"/>
                <w:sz w:val="16"/>
                <w:szCs w:val="16"/>
              </w:rPr>
            </w:pPr>
          </w:p>
        </w:tc>
      </w:tr>
      <w:tr w:rsidRPr="00085096" w:rsidR="009963C5" w:rsidTr="00083CF1" w14:paraId="7A85A3C6"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4D7F4C74" w14:textId="77777777">
            <w:pPr>
              <w:widowControl/>
              <w:autoSpaceDE/>
              <w:autoSpaceDN/>
              <w:adjustRightInd/>
              <w:jc w:val="center"/>
              <w:rPr>
                <w:rFonts w:cs="Times New Roman"/>
                <w:b/>
                <w:bCs/>
                <w:sz w:val="16"/>
                <w:szCs w:val="16"/>
              </w:rPr>
            </w:pPr>
            <w:r w:rsidRPr="00085096">
              <w:rPr>
                <w:rFonts w:cs="Times New Roman"/>
                <w:b/>
                <w:bCs/>
                <w:sz w:val="16"/>
                <w:szCs w:val="16"/>
              </w:rPr>
              <w:t> 91-120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27A4DB81" w14:textId="77777777">
            <w:pPr>
              <w:widowControl/>
              <w:autoSpaceDE/>
              <w:autoSpaceDN/>
              <w:adjustRightInd/>
              <w:jc w:val="right"/>
              <w:rPr>
                <w:rFonts w:cs="Times New Roman"/>
                <w:sz w:val="16"/>
                <w:szCs w:val="16"/>
              </w:rPr>
            </w:pPr>
          </w:p>
        </w:tc>
      </w:tr>
      <w:tr w:rsidRPr="00085096" w:rsidR="009963C5" w:rsidTr="00083CF1" w14:paraId="0D362A09"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73E8E0CE" w14:textId="77777777">
            <w:pPr>
              <w:widowControl/>
              <w:autoSpaceDE/>
              <w:autoSpaceDN/>
              <w:adjustRightInd/>
              <w:jc w:val="center"/>
              <w:rPr>
                <w:rFonts w:cs="Times New Roman"/>
                <w:b/>
                <w:bCs/>
                <w:sz w:val="16"/>
                <w:szCs w:val="16"/>
              </w:rPr>
            </w:pPr>
            <w:r w:rsidRPr="00085096">
              <w:rPr>
                <w:rFonts w:cs="Times New Roman"/>
                <w:b/>
                <w:bCs/>
                <w:sz w:val="16"/>
                <w:szCs w:val="16"/>
              </w:rPr>
              <w:t>121-180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48054508" w14:textId="77777777">
            <w:pPr>
              <w:widowControl/>
              <w:autoSpaceDE/>
              <w:autoSpaceDN/>
              <w:adjustRightInd/>
              <w:jc w:val="right"/>
              <w:rPr>
                <w:rFonts w:cs="Times New Roman"/>
                <w:sz w:val="16"/>
                <w:szCs w:val="16"/>
              </w:rPr>
            </w:pPr>
          </w:p>
        </w:tc>
      </w:tr>
      <w:tr w:rsidRPr="00085096" w:rsidR="009963C5" w:rsidTr="00083CF1" w14:paraId="74C969A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71F764D9" w14:textId="77777777">
            <w:pPr>
              <w:widowControl/>
              <w:autoSpaceDE/>
              <w:autoSpaceDN/>
              <w:adjustRightInd/>
              <w:jc w:val="center"/>
              <w:rPr>
                <w:rFonts w:cs="Times New Roman"/>
                <w:b/>
                <w:bCs/>
                <w:sz w:val="16"/>
                <w:szCs w:val="16"/>
              </w:rPr>
            </w:pPr>
            <w:r w:rsidRPr="00085096">
              <w:rPr>
                <w:rFonts w:cs="Times New Roman"/>
                <w:b/>
                <w:bCs/>
                <w:sz w:val="16"/>
                <w:szCs w:val="16"/>
              </w:rPr>
              <w:t>181-360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3AE4C0E8" w14:textId="77777777">
            <w:pPr>
              <w:widowControl/>
              <w:autoSpaceDE/>
              <w:autoSpaceDN/>
              <w:adjustRightInd/>
              <w:jc w:val="right"/>
              <w:rPr>
                <w:rFonts w:cs="Times New Roman"/>
                <w:sz w:val="16"/>
                <w:szCs w:val="16"/>
              </w:rPr>
            </w:pPr>
          </w:p>
        </w:tc>
      </w:tr>
      <w:tr w:rsidRPr="00085096" w:rsidR="009963C5" w:rsidTr="00083CF1" w14:paraId="7319898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6DE74904" w14:textId="77777777">
            <w:pPr>
              <w:widowControl/>
              <w:autoSpaceDE/>
              <w:autoSpaceDN/>
              <w:adjustRightInd/>
              <w:jc w:val="center"/>
              <w:rPr>
                <w:rFonts w:cs="Times New Roman"/>
                <w:b/>
                <w:bCs/>
                <w:sz w:val="16"/>
                <w:szCs w:val="16"/>
              </w:rPr>
            </w:pPr>
            <w:r w:rsidRPr="00085096">
              <w:rPr>
                <w:rFonts w:cs="Times New Roman"/>
                <w:b/>
                <w:bCs/>
                <w:sz w:val="16"/>
                <w:szCs w:val="16"/>
              </w:rPr>
              <w:t> &gt;360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5CE90960" w14:textId="77777777">
            <w:pPr>
              <w:widowControl/>
              <w:autoSpaceDE/>
              <w:autoSpaceDN/>
              <w:adjustRightInd/>
              <w:jc w:val="right"/>
              <w:rPr>
                <w:rFonts w:cs="Times New Roman"/>
                <w:sz w:val="16"/>
                <w:szCs w:val="16"/>
              </w:rPr>
            </w:pPr>
          </w:p>
        </w:tc>
      </w:tr>
      <w:tr w:rsidRPr="00085096" w:rsidR="009963C5" w:rsidTr="00083CF1" w14:paraId="57DF110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35BD0DB4" w14:textId="77777777">
            <w:pPr>
              <w:widowControl/>
              <w:autoSpaceDE/>
              <w:autoSpaceDN/>
              <w:adjustRightInd/>
              <w:jc w:val="center"/>
              <w:rPr>
                <w:rFonts w:cs="Times New Roman"/>
                <w:b/>
                <w:bCs/>
                <w:sz w:val="16"/>
                <w:szCs w:val="16"/>
              </w:rPr>
            </w:pPr>
            <w:r w:rsidRPr="00085096">
              <w:rPr>
                <w:rFonts w:cs="Times New Roman"/>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30C38556" w14:textId="77777777">
            <w:pPr>
              <w:widowControl/>
              <w:autoSpaceDE/>
              <w:autoSpaceDN/>
              <w:adjustRightInd/>
              <w:jc w:val="center"/>
              <w:rPr>
                <w:rFonts w:cs="Times New Roman"/>
                <w:b/>
                <w:bCs/>
                <w:sz w:val="16"/>
                <w:szCs w:val="16"/>
              </w:rPr>
            </w:pPr>
            <w:r w:rsidRPr="00085096">
              <w:rPr>
                <w:rFonts w:cs="Times New Roman"/>
                <w:b/>
                <w:bCs/>
                <w:sz w:val="16"/>
                <w:szCs w:val="16"/>
              </w:rPr>
              <w:t>Time Lapse (Days)</w:t>
            </w:r>
          </w:p>
        </w:tc>
      </w:tr>
      <w:tr w:rsidRPr="00085096" w:rsidR="009963C5" w:rsidTr="00083CF1" w14:paraId="687821E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239C2842" w14:textId="77777777">
            <w:pPr>
              <w:widowControl/>
              <w:autoSpaceDE/>
              <w:autoSpaceDN/>
              <w:adjustRightInd/>
              <w:jc w:val="center"/>
              <w:rPr>
                <w:rFonts w:cs="Times New Roman"/>
                <w:b/>
                <w:bCs/>
                <w:sz w:val="16"/>
                <w:szCs w:val="16"/>
              </w:rPr>
            </w:pPr>
            <w:r w:rsidRPr="00085096">
              <w:rPr>
                <w:rFonts w:cs="Times New Roman"/>
                <w:b/>
                <w:bCs/>
                <w:sz w:val="16"/>
                <w:szCs w:val="16"/>
              </w:rPr>
              <w:t>Average Age</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38C13E19" w14:textId="77777777">
            <w:pPr>
              <w:widowControl/>
              <w:autoSpaceDE/>
              <w:autoSpaceDN/>
              <w:adjustRightInd/>
              <w:jc w:val="right"/>
              <w:rPr>
                <w:rFonts w:cs="Times New Roman"/>
                <w:sz w:val="16"/>
                <w:szCs w:val="16"/>
              </w:rPr>
            </w:pPr>
          </w:p>
        </w:tc>
      </w:tr>
      <w:tr w:rsidRPr="00085096" w:rsidR="009963C5" w:rsidTr="00083CF1" w14:paraId="491EBE5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63BA103B" w14:textId="77777777">
            <w:pPr>
              <w:widowControl/>
              <w:autoSpaceDE/>
              <w:autoSpaceDN/>
              <w:adjustRightInd/>
              <w:jc w:val="center"/>
              <w:rPr>
                <w:rFonts w:cs="Times New Roman"/>
                <w:b/>
                <w:bCs/>
                <w:sz w:val="16"/>
                <w:szCs w:val="16"/>
              </w:rPr>
            </w:pPr>
            <w:r w:rsidRPr="00085096">
              <w:rPr>
                <w:rFonts w:cs="Times New Roman"/>
                <w:b/>
                <w:bCs/>
                <w:sz w:val="16"/>
                <w:szCs w:val="16"/>
              </w:rPr>
              <w:t>Median Age</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740D9BCB" w14:textId="77777777">
            <w:pPr>
              <w:widowControl/>
              <w:autoSpaceDE/>
              <w:autoSpaceDN/>
              <w:adjustRightInd/>
              <w:jc w:val="right"/>
              <w:rPr>
                <w:rFonts w:cs="Times New Roman"/>
                <w:sz w:val="16"/>
                <w:szCs w:val="16"/>
              </w:rPr>
            </w:pPr>
          </w:p>
        </w:tc>
      </w:tr>
    </w:tbl>
    <w:p w:rsidRPr="00085096" w:rsidR="009963C5" w:rsidP="009963C5" w:rsidRDefault="009963C5" w14:paraId="3B782821" w14:textId="77777777">
      <w:pPr>
        <w:rPr>
          <w:rFonts w:cs="Times New Roman"/>
          <w:sz w:val="2"/>
          <w:szCs w:val="2"/>
        </w:rPr>
      </w:pPr>
    </w:p>
    <w:p w:rsidRPr="00085096" w:rsidR="009963C5" w:rsidP="009963C5" w:rsidRDefault="009963C5" w14:paraId="0BA859C0" w14:textId="77777777">
      <w:pPr>
        <w:rPr>
          <w:rFonts w:cs="Times New Roman"/>
          <w:sz w:val="16"/>
          <w:szCs w:val="16"/>
        </w:rPr>
      </w:pPr>
      <w:r w:rsidRPr="00085096">
        <w:rPr>
          <w:rFonts w:cs="Times New Roman"/>
          <w:sz w:val="16"/>
          <w:szCs w:val="16"/>
        </w:rPr>
        <w:t>Comments:</w:t>
      </w:r>
    </w:p>
    <w:p w:rsidRPr="00085096" w:rsidR="009963C5" w:rsidP="009963C5" w:rsidRDefault="009963C5" w14:paraId="5487D378" w14:textId="77777777">
      <w:pPr>
        <w:jc w:val="center"/>
        <w:rPr>
          <w:rFonts w:cs="Times New Roman"/>
          <w:b/>
          <w:bCs/>
          <w:sz w:val="16"/>
          <w:szCs w:val="16"/>
        </w:rPr>
      </w:pPr>
      <w:r w:rsidRPr="00085096">
        <w:rPr>
          <w:rFonts w:cs="Times New Roman"/>
          <w:b/>
          <w:bCs/>
          <w:sz w:val="16"/>
          <w:szCs w:val="16"/>
        </w:rPr>
        <w:t>ETA 9055H - HIGHER AUTHORITY APPEALS, CASE AGING</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573"/>
        <w:gridCol w:w="1861"/>
        <w:gridCol w:w="5910"/>
      </w:tblGrid>
      <w:tr w:rsidRPr="00085096" w:rsidR="009963C5" w:rsidTr="00083CF1" w14:paraId="6B6AC5BF"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79C88FB0" w14:textId="77777777">
            <w:pPr>
              <w:widowControl/>
              <w:autoSpaceDE/>
              <w:autoSpaceDN/>
              <w:adjustRightInd/>
              <w:jc w:val="center"/>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1E3D3EC3" w14:textId="77777777">
            <w:pPr>
              <w:widowControl/>
              <w:autoSpaceDE/>
              <w:autoSpaceDN/>
              <w:adjustRightInd/>
              <w:jc w:val="center"/>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2E9D8101" w14:textId="77777777">
            <w:pPr>
              <w:widowControl/>
              <w:autoSpaceDE/>
              <w:autoSpaceDN/>
              <w:adjustRightInd/>
              <w:jc w:val="center"/>
              <w:rPr>
                <w:rFonts w:cs="Times New Roman"/>
                <w:b/>
                <w:bCs/>
                <w:sz w:val="16"/>
                <w:szCs w:val="16"/>
              </w:rPr>
            </w:pPr>
            <w:r w:rsidRPr="00085096">
              <w:rPr>
                <w:rFonts w:cs="Times New Roman"/>
                <w:b/>
                <w:bCs/>
                <w:sz w:val="16"/>
                <w:szCs w:val="16"/>
              </w:rPr>
              <w:t>REPORT FOR PERIOD ENDING</w:t>
            </w:r>
          </w:p>
        </w:tc>
      </w:tr>
      <w:tr w:rsidRPr="00085096" w:rsidR="009963C5" w:rsidTr="00083CF1" w14:paraId="45B4C96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7A312E0A"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4BC02700" w14:textId="77777777">
            <w:pPr>
              <w:widowControl/>
              <w:autoSpaceDE/>
              <w:autoSpaceDN/>
              <w:adjustRightInd/>
              <w:jc w:val="center"/>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25A4FE19" w14:textId="77777777">
            <w:pPr>
              <w:widowControl/>
              <w:autoSpaceDE/>
              <w:autoSpaceDN/>
              <w:adjustRightInd/>
              <w:jc w:val="center"/>
              <w:rPr>
                <w:rFonts w:cs="Times New Roman"/>
                <w:sz w:val="16"/>
                <w:szCs w:val="16"/>
              </w:rPr>
            </w:pPr>
          </w:p>
        </w:tc>
      </w:tr>
    </w:tbl>
    <w:p w:rsidRPr="00085096" w:rsidR="009963C5" w:rsidP="009963C5" w:rsidRDefault="009963C5" w14:paraId="439FDA86" w14:textId="77777777">
      <w:pPr>
        <w:widowControl/>
        <w:autoSpaceDE/>
        <w:autoSpaceDN/>
        <w:adjustRightInd/>
        <w:rPr>
          <w:rFonts w:cs="Times New Roman"/>
          <w:vanish/>
          <w:sz w:val="2"/>
          <w:szCs w:val="2"/>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4839"/>
        <w:gridCol w:w="4505"/>
      </w:tblGrid>
      <w:tr w:rsidRPr="00085096" w:rsidR="009963C5" w:rsidTr="00083CF1" w14:paraId="53DDCE7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668F198C" w14:textId="77777777">
            <w:pPr>
              <w:widowControl/>
              <w:autoSpaceDE/>
              <w:autoSpaceDN/>
              <w:adjustRightInd/>
              <w:jc w:val="center"/>
              <w:rPr>
                <w:rFonts w:cs="Times New Roman"/>
                <w:b/>
                <w:bCs/>
                <w:sz w:val="16"/>
                <w:szCs w:val="16"/>
              </w:rPr>
            </w:pPr>
            <w:r w:rsidRPr="00085096">
              <w:rPr>
                <w:rFonts w:cs="Times New Roman"/>
                <w:b/>
                <w:bCs/>
                <w:sz w:val="16"/>
                <w:szCs w:val="16"/>
              </w:rPr>
              <w:t>Time Lapse Days</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1AD40C05" w14:textId="77777777">
            <w:pPr>
              <w:widowControl/>
              <w:autoSpaceDE/>
              <w:autoSpaceDN/>
              <w:adjustRightInd/>
              <w:jc w:val="center"/>
              <w:rPr>
                <w:rFonts w:cs="Times New Roman"/>
                <w:b/>
                <w:bCs/>
                <w:sz w:val="16"/>
                <w:szCs w:val="16"/>
              </w:rPr>
            </w:pPr>
            <w:r w:rsidRPr="00085096">
              <w:rPr>
                <w:rFonts w:cs="Times New Roman"/>
                <w:b/>
                <w:bCs/>
                <w:sz w:val="16"/>
                <w:szCs w:val="16"/>
              </w:rPr>
              <w:t>Appeals</w:t>
            </w:r>
          </w:p>
        </w:tc>
      </w:tr>
      <w:tr w:rsidRPr="00085096" w:rsidR="009963C5" w:rsidTr="00083CF1" w14:paraId="7DFE6DF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7F46A356" w14:textId="77777777">
            <w:pPr>
              <w:widowControl/>
              <w:autoSpaceDE/>
              <w:autoSpaceDN/>
              <w:adjustRightInd/>
              <w:jc w:val="center"/>
              <w:rPr>
                <w:rFonts w:cs="Times New Roman"/>
                <w:b/>
                <w:bCs/>
                <w:sz w:val="16"/>
                <w:szCs w:val="16"/>
              </w:rPr>
            </w:pPr>
            <w:r w:rsidRPr="00085096">
              <w:rPr>
                <w:rFonts w:cs="Times New Roman"/>
                <w:b/>
                <w:bCs/>
                <w:sz w:val="16"/>
                <w:szCs w:val="16"/>
              </w:rPr>
              <w:t>Total Pending Cases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53F520F6" w14:textId="77777777">
            <w:pPr>
              <w:widowControl/>
              <w:autoSpaceDE/>
              <w:autoSpaceDN/>
              <w:adjustRightInd/>
              <w:jc w:val="right"/>
              <w:rPr>
                <w:rFonts w:cs="Times New Roman"/>
                <w:sz w:val="16"/>
                <w:szCs w:val="16"/>
              </w:rPr>
            </w:pPr>
          </w:p>
        </w:tc>
      </w:tr>
      <w:tr w:rsidRPr="00085096" w:rsidR="009963C5" w:rsidTr="00083CF1" w14:paraId="479A5504"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24CE369D" w14:textId="77777777">
            <w:pPr>
              <w:widowControl/>
              <w:autoSpaceDE/>
              <w:autoSpaceDN/>
              <w:adjustRightInd/>
              <w:jc w:val="center"/>
              <w:rPr>
                <w:rFonts w:cs="Times New Roman"/>
                <w:b/>
                <w:bCs/>
                <w:sz w:val="16"/>
                <w:szCs w:val="16"/>
              </w:rPr>
            </w:pPr>
            <w:r w:rsidRPr="00085096">
              <w:rPr>
                <w:rFonts w:cs="Times New Roman"/>
                <w:b/>
                <w:bCs/>
                <w:sz w:val="16"/>
                <w:szCs w:val="16"/>
              </w:rPr>
              <w:t>&lt;=40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1611E567" w14:textId="77777777">
            <w:pPr>
              <w:widowControl/>
              <w:autoSpaceDE/>
              <w:autoSpaceDN/>
              <w:adjustRightInd/>
              <w:jc w:val="right"/>
              <w:rPr>
                <w:rFonts w:cs="Times New Roman"/>
                <w:sz w:val="16"/>
                <w:szCs w:val="16"/>
              </w:rPr>
            </w:pPr>
          </w:p>
        </w:tc>
      </w:tr>
      <w:tr w:rsidRPr="00085096" w:rsidR="009963C5" w:rsidTr="00083CF1" w14:paraId="60F37A1D"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06BC67ED" w14:textId="77777777">
            <w:pPr>
              <w:widowControl/>
              <w:autoSpaceDE/>
              <w:autoSpaceDN/>
              <w:adjustRightInd/>
              <w:jc w:val="center"/>
              <w:rPr>
                <w:rFonts w:cs="Times New Roman"/>
                <w:b/>
                <w:bCs/>
                <w:sz w:val="16"/>
                <w:szCs w:val="16"/>
              </w:rPr>
            </w:pPr>
            <w:r w:rsidRPr="00085096">
              <w:rPr>
                <w:rFonts w:cs="Times New Roman"/>
                <w:b/>
                <w:bCs/>
                <w:sz w:val="16"/>
                <w:szCs w:val="16"/>
              </w:rPr>
              <w:t>41-70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04EBB10A" w14:textId="77777777">
            <w:pPr>
              <w:widowControl/>
              <w:autoSpaceDE/>
              <w:autoSpaceDN/>
              <w:adjustRightInd/>
              <w:jc w:val="right"/>
              <w:rPr>
                <w:rFonts w:cs="Times New Roman"/>
                <w:sz w:val="16"/>
                <w:szCs w:val="16"/>
              </w:rPr>
            </w:pPr>
          </w:p>
        </w:tc>
      </w:tr>
      <w:tr w:rsidRPr="00085096" w:rsidR="009963C5" w:rsidTr="00083CF1" w14:paraId="563F8C00"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77A08E30" w14:textId="77777777">
            <w:pPr>
              <w:widowControl/>
              <w:autoSpaceDE/>
              <w:autoSpaceDN/>
              <w:adjustRightInd/>
              <w:jc w:val="center"/>
              <w:rPr>
                <w:rFonts w:cs="Times New Roman"/>
                <w:b/>
                <w:bCs/>
                <w:sz w:val="16"/>
                <w:szCs w:val="16"/>
              </w:rPr>
            </w:pPr>
            <w:r w:rsidRPr="00085096">
              <w:rPr>
                <w:rFonts w:cs="Times New Roman"/>
                <w:b/>
                <w:bCs/>
                <w:sz w:val="16"/>
                <w:szCs w:val="16"/>
              </w:rPr>
              <w:t> 71-120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657BB79A" w14:textId="77777777">
            <w:pPr>
              <w:widowControl/>
              <w:autoSpaceDE/>
              <w:autoSpaceDN/>
              <w:adjustRightInd/>
              <w:jc w:val="right"/>
              <w:rPr>
                <w:rFonts w:cs="Times New Roman"/>
                <w:sz w:val="16"/>
                <w:szCs w:val="16"/>
              </w:rPr>
            </w:pPr>
          </w:p>
        </w:tc>
      </w:tr>
      <w:tr w:rsidRPr="00085096" w:rsidR="009963C5" w:rsidTr="00083CF1" w14:paraId="670D8ED3"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5EEABBE8" w14:textId="77777777">
            <w:pPr>
              <w:widowControl/>
              <w:autoSpaceDE/>
              <w:autoSpaceDN/>
              <w:adjustRightInd/>
              <w:jc w:val="center"/>
              <w:rPr>
                <w:rFonts w:cs="Times New Roman"/>
                <w:b/>
                <w:bCs/>
                <w:sz w:val="16"/>
                <w:szCs w:val="16"/>
              </w:rPr>
            </w:pPr>
            <w:r w:rsidRPr="00085096">
              <w:rPr>
                <w:rFonts w:cs="Times New Roman"/>
                <w:b/>
                <w:bCs/>
                <w:sz w:val="16"/>
                <w:szCs w:val="16"/>
              </w:rPr>
              <w:t>121-180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6E37A04D" w14:textId="77777777">
            <w:pPr>
              <w:widowControl/>
              <w:autoSpaceDE/>
              <w:autoSpaceDN/>
              <w:adjustRightInd/>
              <w:jc w:val="right"/>
              <w:rPr>
                <w:rFonts w:cs="Times New Roman"/>
                <w:sz w:val="16"/>
                <w:szCs w:val="16"/>
              </w:rPr>
            </w:pPr>
          </w:p>
        </w:tc>
      </w:tr>
      <w:tr w:rsidRPr="00085096" w:rsidR="009963C5" w:rsidTr="00083CF1" w14:paraId="0E3A3041"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0E2D2160" w14:textId="77777777">
            <w:pPr>
              <w:widowControl/>
              <w:autoSpaceDE/>
              <w:autoSpaceDN/>
              <w:adjustRightInd/>
              <w:jc w:val="center"/>
              <w:rPr>
                <w:rFonts w:cs="Times New Roman"/>
                <w:b/>
                <w:bCs/>
                <w:sz w:val="16"/>
                <w:szCs w:val="16"/>
              </w:rPr>
            </w:pPr>
            <w:r w:rsidRPr="00085096">
              <w:rPr>
                <w:rFonts w:cs="Times New Roman"/>
                <w:b/>
                <w:bCs/>
                <w:sz w:val="16"/>
                <w:szCs w:val="16"/>
              </w:rPr>
              <w:t>181-360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746628DA" w14:textId="77777777">
            <w:pPr>
              <w:widowControl/>
              <w:autoSpaceDE/>
              <w:autoSpaceDN/>
              <w:adjustRightInd/>
              <w:jc w:val="right"/>
              <w:rPr>
                <w:rFonts w:cs="Times New Roman"/>
                <w:sz w:val="16"/>
                <w:szCs w:val="16"/>
              </w:rPr>
            </w:pPr>
          </w:p>
        </w:tc>
      </w:tr>
      <w:tr w:rsidRPr="00085096" w:rsidR="009963C5" w:rsidTr="00083CF1" w14:paraId="1E4B2DF8"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6959E73B" w14:textId="77777777">
            <w:pPr>
              <w:widowControl/>
              <w:autoSpaceDE/>
              <w:autoSpaceDN/>
              <w:adjustRightInd/>
              <w:jc w:val="center"/>
              <w:rPr>
                <w:rFonts w:cs="Times New Roman"/>
                <w:b/>
                <w:bCs/>
                <w:sz w:val="16"/>
                <w:szCs w:val="16"/>
              </w:rPr>
            </w:pPr>
            <w:r w:rsidRPr="00085096">
              <w:rPr>
                <w:rFonts w:cs="Times New Roman"/>
                <w:b/>
                <w:bCs/>
                <w:sz w:val="16"/>
                <w:szCs w:val="16"/>
              </w:rPr>
              <w:t> &gt;360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3908B66C" w14:textId="77777777">
            <w:pPr>
              <w:widowControl/>
              <w:autoSpaceDE/>
              <w:autoSpaceDN/>
              <w:adjustRightInd/>
              <w:jc w:val="right"/>
              <w:rPr>
                <w:rFonts w:cs="Times New Roman"/>
                <w:sz w:val="16"/>
                <w:szCs w:val="16"/>
              </w:rPr>
            </w:pPr>
          </w:p>
        </w:tc>
      </w:tr>
      <w:tr w:rsidRPr="00085096" w:rsidR="009963C5" w:rsidTr="00083CF1" w14:paraId="6C41A9A0"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452F49AD" w14:textId="77777777">
            <w:pPr>
              <w:widowControl/>
              <w:autoSpaceDE/>
              <w:autoSpaceDN/>
              <w:adjustRightInd/>
              <w:jc w:val="center"/>
              <w:rPr>
                <w:rFonts w:cs="Times New Roman"/>
                <w:b/>
                <w:bCs/>
                <w:sz w:val="16"/>
                <w:szCs w:val="16"/>
              </w:rPr>
            </w:pPr>
            <w:r w:rsidRPr="00085096">
              <w:rPr>
                <w:rFonts w:cs="Times New Roman"/>
                <w:b/>
                <w:bCs/>
                <w:sz w:val="16"/>
                <w:szCs w:val="16"/>
              </w:rPr>
              <w:t> </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422A4FBC" w14:textId="77777777">
            <w:pPr>
              <w:widowControl/>
              <w:autoSpaceDE/>
              <w:autoSpaceDN/>
              <w:adjustRightInd/>
              <w:jc w:val="center"/>
              <w:rPr>
                <w:rFonts w:cs="Times New Roman"/>
                <w:b/>
                <w:bCs/>
                <w:sz w:val="16"/>
                <w:szCs w:val="16"/>
              </w:rPr>
            </w:pPr>
            <w:r w:rsidRPr="00085096">
              <w:rPr>
                <w:rFonts w:cs="Times New Roman"/>
                <w:b/>
                <w:bCs/>
                <w:sz w:val="16"/>
                <w:szCs w:val="16"/>
              </w:rPr>
              <w:t>Time Lapse (Days)</w:t>
            </w:r>
          </w:p>
        </w:tc>
      </w:tr>
      <w:tr w:rsidRPr="00085096" w:rsidR="009963C5" w:rsidTr="00083CF1" w14:paraId="5D40372E"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2E154029" w14:textId="77777777">
            <w:pPr>
              <w:widowControl/>
              <w:autoSpaceDE/>
              <w:autoSpaceDN/>
              <w:adjustRightInd/>
              <w:jc w:val="center"/>
              <w:rPr>
                <w:rFonts w:cs="Times New Roman"/>
                <w:b/>
                <w:bCs/>
                <w:sz w:val="16"/>
                <w:szCs w:val="16"/>
              </w:rPr>
            </w:pPr>
            <w:r w:rsidRPr="00085096">
              <w:rPr>
                <w:rFonts w:cs="Times New Roman"/>
                <w:b/>
                <w:bCs/>
                <w:sz w:val="16"/>
                <w:szCs w:val="16"/>
              </w:rPr>
              <w:t>Average Age</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004B2111" w14:textId="77777777">
            <w:pPr>
              <w:widowControl/>
              <w:autoSpaceDE/>
              <w:autoSpaceDN/>
              <w:adjustRightInd/>
              <w:jc w:val="right"/>
              <w:rPr>
                <w:rFonts w:cs="Times New Roman"/>
                <w:sz w:val="16"/>
                <w:szCs w:val="16"/>
              </w:rPr>
            </w:pPr>
          </w:p>
        </w:tc>
      </w:tr>
      <w:tr w:rsidRPr="00085096" w:rsidR="009963C5" w:rsidTr="00083CF1" w14:paraId="3ADAEB3B"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9963C5" w:rsidP="00083CF1" w:rsidRDefault="009963C5" w14:paraId="0391CDC9" w14:textId="77777777">
            <w:pPr>
              <w:widowControl/>
              <w:autoSpaceDE/>
              <w:autoSpaceDN/>
              <w:adjustRightInd/>
              <w:jc w:val="center"/>
              <w:rPr>
                <w:rFonts w:cs="Times New Roman"/>
                <w:b/>
                <w:bCs/>
                <w:sz w:val="16"/>
                <w:szCs w:val="16"/>
              </w:rPr>
            </w:pPr>
            <w:r w:rsidRPr="00085096">
              <w:rPr>
                <w:rFonts w:cs="Times New Roman"/>
                <w:b/>
                <w:bCs/>
                <w:sz w:val="16"/>
                <w:szCs w:val="16"/>
              </w:rPr>
              <w:t>Median Age</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9963C5" w:rsidP="00083CF1" w:rsidRDefault="009963C5" w14:paraId="0B90535E" w14:textId="77777777">
            <w:pPr>
              <w:widowControl/>
              <w:autoSpaceDE/>
              <w:autoSpaceDN/>
              <w:adjustRightInd/>
              <w:jc w:val="right"/>
              <w:rPr>
                <w:rFonts w:cs="Times New Roman"/>
                <w:sz w:val="16"/>
                <w:szCs w:val="16"/>
              </w:rPr>
            </w:pPr>
          </w:p>
        </w:tc>
      </w:tr>
    </w:tbl>
    <w:p w:rsidRPr="00085096" w:rsidR="009963C5" w:rsidP="009963C5" w:rsidRDefault="009963C5" w14:paraId="7B7F051B" w14:textId="77777777">
      <w:pPr>
        <w:widowControl/>
        <w:ind w:left="540" w:hanging="540"/>
        <w:jc w:val="both"/>
        <w:rPr>
          <w:rFonts w:cs="Times New Roman"/>
          <w:sz w:val="16"/>
          <w:szCs w:val="16"/>
        </w:rPr>
      </w:pPr>
    </w:p>
    <w:p w:rsidRPr="00085096" w:rsidR="009963C5" w:rsidP="009963C5" w:rsidRDefault="009963C5" w14:paraId="52F3D25F" w14:textId="7934EA81">
      <w:pPr>
        <w:jc w:val="both"/>
        <w:rPr>
          <w:rFonts w:cs="Times New Roman"/>
          <w:sz w:val="16"/>
          <w:szCs w:val="16"/>
        </w:rPr>
      </w:pPr>
      <w:r w:rsidRPr="00085096">
        <w:rPr>
          <w:rFonts w:cs="Times New Roman"/>
          <w:sz w:val="16"/>
          <w:szCs w:val="16"/>
        </w:rPr>
        <w:t>Comments:</w:t>
      </w: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No.:</w:t>
      </w:r>
      <w:r>
        <w:rPr>
          <w:rFonts w:cs="Times New Roman"/>
          <w:sz w:val="16"/>
          <w:szCs w:val="16"/>
        </w:rPr>
        <w:t xml:space="preserve"> 1205-0359 </w:t>
      </w:r>
      <w:r>
        <w:rPr>
          <w:rFonts w:cs="Times New Roman"/>
          <w:sz w:val="16"/>
          <w:szCs w:val="16"/>
        </w:rPr>
        <w:tab/>
      </w:r>
      <w:r w:rsidRPr="00F05C1A">
        <w:rPr>
          <w:rFonts w:cs="Times New Roman"/>
          <w:b/>
          <w:bCs/>
          <w:sz w:val="16"/>
          <w:szCs w:val="16"/>
        </w:rPr>
        <w:t>OMB Expiration Date</w:t>
      </w:r>
      <w:r w:rsidR="00F05C1A">
        <w:rPr>
          <w:rFonts w:cs="Times New Roman"/>
          <w:b/>
          <w:bCs/>
          <w:sz w:val="16"/>
          <w:szCs w:val="16"/>
        </w:rPr>
        <w:t xml:space="preserve">: </w:t>
      </w:r>
      <w:r w:rsidR="00554405">
        <w:rPr>
          <w:rFonts w:cs="Times New Roman"/>
          <w:bCs/>
          <w:sz w:val="16"/>
          <w:szCs w:val="16"/>
        </w:rPr>
        <w:t>xx</w:t>
      </w:r>
      <w:r w:rsidRPr="00F05C1A" w:rsidR="00F05C1A">
        <w:rPr>
          <w:rFonts w:cs="Times New Roman"/>
          <w:bCs/>
          <w:sz w:val="16"/>
          <w:szCs w:val="16"/>
        </w:rPr>
        <w:t>/</w:t>
      </w:r>
      <w:r w:rsidR="00554405">
        <w:rPr>
          <w:rFonts w:cs="Times New Roman"/>
          <w:bCs/>
          <w:sz w:val="16"/>
          <w:szCs w:val="16"/>
        </w:rPr>
        <w:t>xx</w:t>
      </w:r>
      <w:r w:rsidRPr="00F05C1A" w:rsidR="00F05C1A">
        <w:rPr>
          <w:rFonts w:cs="Times New Roman"/>
          <w:bCs/>
          <w:sz w:val="16"/>
          <w:szCs w:val="16"/>
        </w:rPr>
        <w:t>/</w:t>
      </w:r>
      <w:r w:rsidR="00554405">
        <w:rPr>
          <w:rFonts w:cs="Times New Roman"/>
          <w:bCs/>
          <w:sz w:val="16"/>
          <w:szCs w:val="16"/>
        </w:rPr>
        <w:t>xxxx</w:t>
      </w:r>
      <w:bookmarkStart w:name="_GoBack" w:id="5"/>
      <w:bookmarkEnd w:id="5"/>
      <w:r>
        <w:rPr>
          <w:rFonts w:cs="Times New Roman"/>
          <w:sz w:val="16"/>
          <w:szCs w:val="16"/>
        </w:rPr>
        <w:tab/>
      </w:r>
      <w:r w:rsidRPr="00085096">
        <w:rPr>
          <w:rFonts w:cs="Times New Roman"/>
          <w:b/>
          <w:bCs/>
          <w:sz w:val="16"/>
          <w:szCs w:val="16"/>
        </w:rPr>
        <w:t xml:space="preserve">OMB Burden Hours: </w:t>
      </w:r>
      <w:r w:rsidRPr="00085096">
        <w:rPr>
          <w:rFonts w:cs="Times New Roman"/>
          <w:sz w:val="16"/>
          <w:szCs w:val="16"/>
        </w:rPr>
        <w:t>1 hour</w:t>
      </w:r>
    </w:p>
    <w:p w:rsidRPr="00085096" w:rsidR="009963C5" w:rsidP="009963C5" w:rsidRDefault="009963C5" w14:paraId="6EDA6033" w14:textId="77777777">
      <w:pPr>
        <w:jc w:val="both"/>
        <w:rPr>
          <w:rFonts w:cs="Times New Roman"/>
          <w:sz w:val="16"/>
          <w:szCs w:val="16"/>
        </w:rPr>
      </w:pPr>
      <w:r w:rsidRPr="00085096">
        <w:rPr>
          <w:rFonts w:cs="Times New Roman"/>
          <w:sz w:val="16"/>
          <w:szCs w:val="16"/>
        </w:rPr>
        <w:br/>
      </w: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mandatory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p>
    <w:p w:rsidRPr="00085096" w:rsidR="009963C5" w:rsidP="009963C5" w:rsidRDefault="009963C5" w14:paraId="4AA96EA0" w14:textId="77777777">
      <w:pPr>
        <w:pStyle w:val="Heading1"/>
        <w:numPr>
          <w:ilvl w:val="0"/>
          <w:numId w:val="107"/>
        </w:numPr>
        <w:rPr>
          <w:sz w:val="24"/>
          <w:szCs w:val="56"/>
        </w:rPr>
      </w:pPr>
      <w:r w:rsidRPr="00085096">
        <w:br w:type="page"/>
      </w:r>
    </w:p>
    <w:p w:rsidRPr="00085096" w:rsidR="009963C5" w:rsidP="009963C5" w:rsidRDefault="009963C5" w14:paraId="6105D1C1" w14:textId="77777777">
      <w:pPr>
        <w:pStyle w:val="Heading1"/>
        <w:numPr>
          <w:ilvl w:val="0"/>
          <w:numId w:val="157"/>
        </w:numPr>
      </w:pPr>
      <w:bookmarkStart w:name="_Toc12868133" w:id="6"/>
      <w:bookmarkStart w:name="_Toc13576298" w:id="7"/>
      <w:bookmarkStart w:name="_Toc13576967" w:id="8"/>
      <w:r w:rsidRPr="00085096">
        <w:lastRenderedPageBreak/>
        <w:t>Purpose</w:t>
      </w:r>
      <w:bookmarkEnd w:id="6"/>
      <w:bookmarkEnd w:id="7"/>
      <w:bookmarkEnd w:id="8"/>
    </w:p>
    <w:p w:rsidRPr="00085096" w:rsidR="009963C5" w:rsidP="009963C5" w:rsidRDefault="009963C5" w14:paraId="374CCCF4" w14:textId="77777777">
      <w:pPr>
        <w:spacing w:before="100" w:beforeAutospacing="1" w:after="240" w:line="240" w:lineRule="atLeast"/>
        <w:ind w:left="360"/>
        <w:jc w:val="both"/>
        <w:rPr>
          <w:rFonts w:cs="Times New Roman"/>
        </w:rPr>
      </w:pPr>
      <w:r w:rsidRPr="00085096">
        <w:rPr>
          <w:rFonts w:cs="Times New Roman"/>
        </w:rPr>
        <w:t>The ETA 9055 report gathers monthly information on the inventory of lower authority and higher authority single claimant appeals cases that have been filed but not decided.  Appeals case aging provides information about the number of days from the date an appeal was filed through the end of the month covered by the report.  Also included are the average and median ages of the pending single claimant appeals cases.</w:t>
      </w:r>
    </w:p>
    <w:p w:rsidRPr="00085096" w:rsidR="009963C5" w:rsidP="009963C5" w:rsidRDefault="009963C5" w14:paraId="185F7F70" w14:textId="77777777">
      <w:pPr>
        <w:pStyle w:val="Heading1"/>
        <w:numPr>
          <w:ilvl w:val="0"/>
          <w:numId w:val="157"/>
        </w:numPr>
      </w:pPr>
      <w:bookmarkStart w:name="_Toc12868134" w:id="9"/>
      <w:bookmarkStart w:name="_Toc13576299" w:id="10"/>
      <w:bookmarkStart w:name="_Toc13576968" w:id="11"/>
      <w:r w:rsidRPr="00085096">
        <w:t>Due Date and Transmittal</w:t>
      </w:r>
      <w:bookmarkEnd w:id="9"/>
      <w:bookmarkEnd w:id="10"/>
      <w:bookmarkEnd w:id="11"/>
    </w:p>
    <w:p w:rsidRPr="00085096" w:rsidR="009963C5" w:rsidP="009963C5" w:rsidRDefault="009963C5" w14:paraId="22A8BA84" w14:textId="77777777">
      <w:pPr>
        <w:spacing w:before="100" w:beforeAutospacing="1" w:after="240" w:line="240" w:lineRule="atLeast"/>
        <w:ind w:left="360"/>
        <w:jc w:val="both"/>
        <w:rPr>
          <w:rFonts w:cs="Times New Roman"/>
        </w:rPr>
      </w:pPr>
      <w:r w:rsidRPr="00085096">
        <w:rPr>
          <w:rFonts w:cs="Times New Roman"/>
        </w:rPr>
        <w:t>The report is due in the ETA National Office on the 20th of the month following the month to which the data relates.  This report will be transmitted electronically.</w:t>
      </w:r>
    </w:p>
    <w:p w:rsidRPr="00085096" w:rsidR="009963C5" w:rsidP="009963C5" w:rsidRDefault="009963C5" w14:paraId="3E0810BA" w14:textId="77777777">
      <w:pPr>
        <w:pStyle w:val="Heading1"/>
        <w:numPr>
          <w:ilvl w:val="0"/>
          <w:numId w:val="157"/>
        </w:numPr>
      </w:pPr>
      <w:bookmarkStart w:name="_Toc12868135" w:id="12"/>
      <w:bookmarkStart w:name="_Toc13576300" w:id="13"/>
      <w:bookmarkStart w:name="_Toc13576969" w:id="14"/>
      <w:r w:rsidRPr="00085096">
        <w:t>General Reporting Instructions</w:t>
      </w:r>
      <w:bookmarkEnd w:id="12"/>
      <w:bookmarkEnd w:id="13"/>
      <w:bookmarkEnd w:id="14"/>
    </w:p>
    <w:p w:rsidRPr="00085096" w:rsidR="009963C5" w:rsidP="009963C5" w:rsidRDefault="009963C5" w14:paraId="567680F1" w14:textId="77777777">
      <w:pPr>
        <w:spacing w:before="100" w:beforeAutospacing="1" w:after="240" w:line="240" w:lineRule="atLeast"/>
        <w:ind w:left="360"/>
        <w:jc w:val="both"/>
        <w:rPr>
          <w:rFonts w:cs="Times New Roman"/>
        </w:rPr>
      </w:pPr>
      <w:r w:rsidRPr="00085096">
        <w:rPr>
          <w:rFonts w:cs="Times New Roman"/>
        </w:rPr>
        <w:t>Appeals Case Aging measures require states to report data on the universe of all single claimant appeals cases that have not been decided prior to the end of the reporting period.  Edit checks can be found in Handbook 402, Unemployment Insurance Required Reports User’s Manual, Appendix C.</w:t>
      </w:r>
    </w:p>
    <w:p w:rsidRPr="00085096" w:rsidR="009963C5" w:rsidP="009963C5" w:rsidRDefault="009963C5" w14:paraId="1B3D816F" w14:textId="77777777">
      <w:pPr>
        <w:pStyle w:val="ListParagraph"/>
        <w:numPr>
          <w:ilvl w:val="1"/>
          <w:numId w:val="112"/>
        </w:numPr>
        <w:spacing w:before="100" w:beforeAutospacing="1" w:after="240" w:line="240" w:lineRule="atLeast"/>
        <w:contextualSpacing w:val="0"/>
        <w:jc w:val="both"/>
        <w:rPr>
          <w:rFonts w:cs="Times New Roman"/>
        </w:rPr>
      </w:pPr>
      <w:bookmarkStart w:name="_Toc12868136" w:id="15"/>
      <w:bookmarkStart w:name="_Toc13576301" w:id="16"/>
      <w:bookmarkStart w:name="_Toc13576970" w:id="17"/>
      <w:r w:rsidRPr="00085096">
        <w:rPr>
          <w:rStyle w:val="Heading4Char"/>
          <w:rFonts w:cs="Times New Roman" w:eastAsiaTheme="minorHAnsi"/>
          <w:szCs w:val="24"/>
        </w:rPr>
        <w:t>Pending Lower Authority Single Claimant Appeals Case Aging</w:t>
      </w:r>
      <w:bookmarkEnd w:id="15"/>
      <w:bookmarkEnd w:id="16"/>
      <w:bookmarkEnd w:id="17"/>
      <w:r w:rsidRPr="00085096">
        <w:rPr>
          <w:rFonts w:cs="Times New Roman"/>
        </w:rPr>
        <w:t>.</w:t>
      </w:r>
    </w:p>
    <w:p w:rsidRPr="00085096" w:rsidR="009963C5" w:rsidP="009963C5" w:rsidRDefault="009963C5" w14:paraId="219B37AC" w14:textId="77777777">
      <w:pPr>
        <w:pStyle w:val="ListParagraph"/>
        <w:numPr>
          <w:ilvl w:val="2"/>
          <w:numId w:val="112"/>
        </w:numPr>
        <w:spacing w:before="100" w:beforeAutospacing="1" w:after="240" w:line="240" w:lineRule="atLeast"/>
        <w:contextualSpacing w:val="0"/>
        <w:jc w:val="both"/>
        <w:rPr>
          <w:rFonts w:cs="Times New Roman"/>
        </w:rPr>
      </w:pPr>
      <w:r w:rsidRPr="00085096">
        <w:rPr>
          <w:rFonts w:cs="Times New Roman"/>
        </w:rPr>
        <w:t>Includes all lower authority single claimant appeals cases, including those remanded by the higher authority for a hearing and decision and reopened appeals cases not decided at the end of the month.</w:t>
      </w:r>
    </w:p>
    <w:p w:rsidRPr="00085096" w:rsidR="009963C5" w:rsidP="009963C5" w:rsidRDefault="009963C5" w14:paraId="5AB38BBD" w14:textId="77777777">
      <w:pPr>
        <w:pStyle w:val="ListParagraph"/>
        <w:numPr>
          <w:ilvl w:val="2"/>
          <w:numId w:val="112"/>
        </w:numPr>
        <w:spacing w:before="100" w:beforeAutospacing="1" w:after="240" w:line="240" w:lineRule="atLeast"/>
        <w:contextualSpacing w:val="0"/>
        <w:jc w:val="both"/>
        <w:rPr>
          <w:rFonts w:cs="Times New Roman"/>
        </w:rPr>
      </w:pPr>
      <w:r w:rsidRPr="00085096">
        <w:rPr>
          <w:rFonts w:cs="Times New Roman"/>
        </w:rPr>
        <w:t xml:space="preserve">Excludes episodic claims programs such as Extended Benefits, Disaster Unemployment Assistance, and Trade Readjustment Allowances. </w:t>
      </w:r>
      <w:r>
        <w:rPr>
          <w:rFonts w:cs="Times New Roman"/>
        </w:rPr>
        <w:t xml:space="preserve"> </w:t>
      </w:r>
      <w:r w:rsidRPr="00085096">
        <w:rPr>
          <w:rFonts w:cs="Times New Roman"/>
        </w:rPr>
        <w:t xml:space="preserve">Also excludes pending multi-claimant appeals cases (See F.3.d. below for further instructions about pending multi-claimant appeals cases).  </w:t>
      </w:r>
    </w:p>
    <w:p w:rsidRPr="00085096" w:rsidR="009963C5" w:rsidP="009963C5" w:rsidRDefault="009963C5" w14:paraId="3504ABBA" w14:textId="77777777">
      <w:pPr>
        <w:pStyle w:val="ListParagraph"/>
        <w:numPr>
          <w:ilvl w:val="1"/>
          <w:numId w:val="112"/>
        </w:numPr>
        <w:spacing w:before="100" w:beforeAutospacing="1" w:after="240" w:line="240" w:lineRule="atLeast"/>
        <w:contextualSpacing w:val="0"/>
        <w:jc w:val="both"/>
        <w:rPr>
          <w:rFonts w:cs="Times New Roman"/>
        </w:rPr>
      </w:pPr>
      <w:bookmarkStart w:name="_Toc12868137" w:id="18"/>
      <w:bookmarkStart w:name="_Toc13576302" w:id="19"/>
      <w:bookmarkStart w:name="_Toc13576971" w:id="20"/>
      <w:r w:rsidRPr="00085096">
        <w:rPr>
          <w:rStyle w:val="Heading4Char"/>
          <w:rFonts w:cs="Times New Roman" w:eastAsiaTheme="minorHAnsi"/>
          <w:szCs w:val="24"/>
        </w:rPr>
        <w:t>Pending Higher Authority Single Claimant Appeals Case Aging</w:t>
      </w:r>
      <w:bookmarkEnd w:id="18"/>
      <w:bookmarkEnd w:id="19"/>
      <w:bookmarkEnd w:id="20"/>
      <w:r w:rsidRPr="00085096">
        <w:rPr>
          <w:rFonts w:cs="Times New Roman"/>
        </w:rPr>
        <w:t>.</w:t>
      </w:r>
    </w:p>
    <w:p w:rsidRPr="00085096" w:rsidR="009963C5" w:rsidP="009963C5" w:rsidRDefault="009963C5" w14:paraId="0F3CBECA" w14:textId="77777777">
      <w:pPr>
        <w:pStyle w:val="ListParagraph"/>
        <w:numPr>
          <w:ilvl w:val="2"/>
          <w:numId w:val="112"/>
        </w:numPr>
        <w:spacing w:before="100" w:beforeAutospacing="1" w:after="240" w:line="240" w:lineRule="atLeast"/>
        <w:contextualSpacing w:val="0"/>
        <w:jc w:val="both"/>
        <w:rPr>
          <w:rFonts w:cs="Times New Roman"/>
        </w:rPr>
      </w:pPr>
      <w:r w:rsidRPr="00085096">
        <w:rPr>
          <w:rFonts w:cs="Times New Roman"/>
        </w:rPr>
        <w:t xml:space="preserve">Includes all higher authority single claimant appeals cases, including remanded and reopened appeals cases, not decided at the end of the month.  An appeals case that has been remanded to the lower authority for additional evidence and will be returned to the higher authority for a decision is reported in this inventory.  An appeals case that has been remanded to the lower authority for a new hearing and decision is not a pending higher authority appeals case and should not be counted as such. </w:t>
      </w:r>
    </w:p>
    <w:p w:rsidRPr="00085096" w:rsidR="009963C5" w:rsidP="009963C5" w:rsidRDefault="009963C5" w14:paraId="286FF20C" w14:textId="77777777">
      <w:pPr>
        <w:pStyle w:val="ListParagraph"/>
        <w:numPr>
          <w:ilvl w:val="2"/>
          <w:numId w:val="112"/>
        </w:numPr>
        <w:spacing w:before="100" w:beforeAutospacing="1" w:after="240" w:line="240" w:lineRule="atLeast"/>
        <w:contextualSpacing w:val="0"/>
        <w:jc w:val="both"/>
        <w:rPr>
          <w:rFonts w:cs="Times New Roman"/>
        </w:rPr>
      </w:pPr>
      <w:r w:rsidRPr="00085096">
        <w:rPr>
          <w:rFonts w:cs="Times New Roman"/>
        </w:rPr>
        <w:t>Excludes episodic claims programs such as Extended Benefits, Disaster Unemployment Assistance, and Trade Readjustment Allowances.  Also excludes pending multi-claimant appeals cases (See F.3.d. below for further instructions about pending multi-claimant appeals cases).</w:t>
      </w:r>
    </w:p>
    <w:p w:rsidRPr="00085096" w:rsidR="009963C5" w:rsidP="009963C5" w:rsidRDefault="009963C5" w14:paraId="69A585B5" w14:textId="77777777">
      <w:pPr>
        <w:pStyle w:val="Heading1"/>
        <w:numPr>
          <w:ilvl w:val="0"/>
          <w:numId w:val="157"/>
        </w:numPr>
      </w:pPr>
      <w:bookmarkStart w:name="_Toc12868138" w:id="21"/>
      <w:bookmarkStart w:name="_Toc13576303" w:id="22"/>
      <w:bookmarkStart w:name="_Toc13576972" w:id="23"/>
      <w:r w:rsidRPr="00085096">
        <w:lastRenderedPageBreak/>
        <w:t>Definitions</w:t>
      </w:r>
      <w:bookmarkEnd w:id="21"/>
      <w:bookmarkEnd w:id="22"/>
      <w:bookmarkEnd w:id="23"/>
    </w:p>
    <w:p w:rsidRPr="00085096" w:rsidR="009963C5" w:rsidP="009963C5" w:rsidRDefault="009963C5" w14:paraId="0E07584F" w14:textId="77777777">
      <w:pPr>
        <w:spacing w:before="100" w:beforeAutospacing="1" w:after="240" w:line="240" w:lineRule="atLeast"/>
        <w:ind w:left="360"/>
        <w:jc w:val="both"/>
        <w:rPr>
          <w:rFonts w:cs="Times New Roman"/>
        </w:rPr>
      </w:pPr>
      <w:r w:rsidRPr="00085096">
        <w:rPr>
          <w:rFonts w:cs="Times New Roman"/>
        </w:rPr>
        <w:t>Definitions, unless otherwise specified in these instructions, will follow the definitions for the ETA 5130 found elsewhere in this handbook.</w:t>
      </w:r>
    </w:p>
    <w:p w:rsidRPr="00085096" w:rsidR="009963C5" w:rsidP="009963C5" w:rsidRDefault="009963C5" w14:paraId="4AD38339" w14:textId="77777777">
      <w:pPr>
        <w:pStyle w:val="ListParagraph"/>
        <w:numPr>
          <w:ilvl w:val="1"/>
          <w:numId w:val="113"/>
        </w:numPr>
        <w:spacing w:before="100" w:beforeAutospacing="1" w:after="240" w:line="240" w:lineRule="atLeast"/>
        <w:contextualSpacing w:val="0"/>
        <w:jc w:val="both"/>
        <w:rPr>
          <w:rFonts w:cs="Times New Roman"/>
        </w:rPr>
      </w:pPr>
      <w:bookmarkStart w:name="_Toc12868139" w:id="24"/>
      <w:bookmarkStart w:name="_Toc13576304" w:id="25"/>
      <w:bookmarkStart w:name="_Toc13576973" w:id="26"/>
      <w:r w:rsidRPr="00085096">
        <w:rPr>
          <w:rStyle w:val="Heading4Char"/>
          <w:rFonts w:cs="Times New Roman" w:eastAsiaTheme="minorHAnsi"/>
          <w:szCs w:val="24"/>
        </w:rPr>
        <w:t>Pending Single Claimant Appeals Case Age</w:t>
      </w:r>
      <w:bookmarkEnd w:id="24"/>
      <w:bookmarkEnd w:id="25"/>
      <w:bookmarkEnd w:id="26"/>
      <w:r w:rsidRPr="00085096">
        <w:rPr>
          <w:rFonts w:cs="Times New Roman"/>
        </w:rPr>
        <w:t>.</w:t>
      </w:r>
    </w:p>
    <w:p w:rsidRPr="00085096" w:rsidR="009963C5" w:rsidP="009963C5" w:rsidRDefault="009963C5" w14:paraId="2F5E0836" w14:textId="77777777">
      <w:pPr>
        <w:pStyle w:val="ListParagraph"/>
        <w:spacing w:before="100" w:beforeAutospacing="1" w:after="240" w:line="240" w:lineRule="atLeast"/>
        <w:contextualSpacing w:val="0"/>
        <w:jc w:val="both"/>
        <w:rPr>
          <w:rFonts w:cs="Times New Roman"/>
        </w:rPr>
      </w:pPr>
      <w:r w:rsidRPr="00085096">
        <w:rPr>
          <w:rFonts w:cs="Times New Roman"/>
        </w:rPr>
        <w:t xml:space="preserve">The age of an appeals case is the date of the last day of the month being reported minus the date the appeal was filed. </w:t>
      </w:r>
    </w:p>
    <w:p w:rsidRPr="00085096" w:rsidR="009963C5" w:rsidP="009963C5" w:rsidRDefault="009963C5" w14:paraId="456DC5AD" w14:textId="77777777">
      <w:pPr>
        <w:pStyle w:val="ListParagraph"/>
        <w:numPr>
          <w:ilvl w:val="1"/>
          <w:numId w:val="113"/>
        </w:numPr>
        <w:spacing w:before="100" w:beforeAutospacing="1" w:after="240" w:line="240" w:lineRule="atLeast"/>
        <w:contextualSpacing w:val="0"/>
        <w:jc w:val="both"/>
        <w:rPr>
          <w:rFonts w:cs="Times New Roman"/>
        </w:rPr>
      </w:pPr>
      <w:bookmarkStart w:name="_Toc12868140" w:id="27"/>
      <w:bookmarkStart w:name="_Toc13576305" w:id="28"/>
      <w:bookmarkStart w:name="_Toc13576974" w:id="29"/>
      <w:r w:rsidRPr="00085096">
        <w:rPr>
          <w:rStyle w:val="Heading4Char"/>
          <w:rFonts w:cs="Times New Roman" w:eastAsiaTheme="minorHAnsi"/>
          <w:szCs w:val="24"/>
        </w:rPr>
        <w:t>Average Age of Pending Single Claimant Appeals Cases</w:t>
      </w:r>
      <w:bookmarkEnd w:id="27"/>
      <w:bookmarkEnd w:id="28"/>
      <w:bookmarkEnd w:id="29"/>
      <w:r w:rsidRPr="00085096">
        <w:rPr>
          <w:rFonts w:cs="Times New Roman"/>
        </w:rPr>
        <w:t>.</w:t>
      </w:r>
    </w:p>
    <w:p w:rsidRPr="00085096" w:rsidR="009963C5" w:rsidP="009963C5" w:rsidRDefault="009963C5" w14:paraId="1F455152" w14:textId="77777777">
      <w:pPr>
        <w:pStyle w:val="ListParagraph"/>
        <w:spacing w:before="100" w:beforeAutospacing="1" w:after="240" w:line="240" w:lineRule="atLeast"/>
        <w:contextualSpacing w:val="0"/>
        <w:jc w:val="both"/>
        <w:rPr>
          <w:rFonts w:cs="Times New Roman"/>
        </w:rPr>
      </w:pPr>
      <w:r w:rsidRPr="00085096">
        <w:rPr>
          <w:rFonts w:cs="Times New Roman"/>
        </w:rPr>
        <w:t>The total age of all pending appeals cases (lower or higher authority) divided by the total number of pending lower or higher authority appeals cases.</w:t>
      </w:r>
    </w:p>
    <w:p w:rsidRPr="00085096" w:rsidR="009963C5" w:rsidP="009963C5" w:rsidRDefault="009963C5" w14:paraId="414D779A" w14:textId="77777777">
      <w:pPr>
        <w:pStyle w:val="ListParagraph"/>
        <w:numPr>
          <w:ilvl w:val="1"/>
          <w:numId w:val="113"/>
        </w:numPr>
        <w:spacing w:before="100" w:beforeAutospacing="1" w:after="240" w:line="240" w:lineRule="atLeast"/>
        <w:contextualSpacing w:val="0"/>
        <w:jc w:val="both"/>
        <w:rPr>
          <w:rFonts w:cs="Times New Roman"/>
        </w:rPr>
      </w:pPr>
      <w:bookmarkStart w:name="_Toc12868141" w:id="30"/>
      <w:bookmarkStart w:name="_Toc13576306" w:id="31"/>
      <w:bookmarkStart w:name="_Toc13576975" w:id="32"/>
      <w:r w:rsidRPr="00085096">
        <w:rPr>
          <w:rStyle w:val="Heading4Char"/>
          <w:rFonts w:cs="Times New Roman" w:eastAsiaTheme="minorHAnsi"/>
          <w:szCs w:val="24"/>
        </w:rPr>
        <w:t>Median Age of Pending Single Claimant Appeals Cases</w:t>
      </w:r>
      <w:bookmarkEnd w:id="30"/>
      <w:bookmarkEnd w:id="31"/>
      <w:bookmarkEnd w:id="32"/>
      <w:r w:rsidRPr="00085096">
        <w:rPr>
          <w:rFonts w:cs="Times New Roman"/>
        </w:rPr>
        <w:t>.</w:t>
      </w:r>
    </w:p>
    <w:p w:rsidRPr="00085096" w:rsidR="009963C5" w:rsidP="009963C5" w:rsidRDefault="009963C5" w14:paraId="53F22D5B" w14:textId="77777777">
      <w:pPr>
        <w:pStyle w:val="ListParagraph"/>
        <w:spacing w:before="100" w:beforeAutospacing="1" w:after="240" w:line="240" w:lineRule="atLeast"/>
        <w:contextualSpacing w:val="0"/>
        <w:jc w:val="both"/>
        <w:rPr>
          <w:rFonts w:cs="Times New Roman"/>
        </w:rPr>
      </w:pPr>
      <w:r w:rsidRPr="00085096">
        <w:rPr>
          <w:rFonts w:cs="Times New Roman"/>
        </w:rPr>
        <w:t>If all of the pending appeals cases (lower or higher authority) are ranked from the lowest to the highest age, the median is the age of the case at the midpoint of the ranked cases.  If there are an odd number of cases (n), the median is the age of the [(n+1)/2</w:t>
      </w:r>
      <w:proofErr w:type="gramStart"/>
      <w:r w:rsidRPr="00085096">
        <w:rPr>
          <w:rFonts w:cs="Times New Roman"/>
        </w:rPr>
        <w:t>]</w:t>
      </w:r>
      <w:proofErr w:type="spellStart"/>
      <w:r w:rsidRPr="00085096">
        <w:rPr>
          <w:rFonts w:cs="Times New Roman"/>
        </w:rPr>
        <w:t>th</w:t>
      </w:r>
      <w:proofErr w:type="spellEnd"/>
      <w:proofErr w:type="gramEnd"/>
      <w:r w:rsidRPr="00085096">
        <w:rPr>
          <w:rFonts w:cs="Times New Roman"/>
        </w:rPr>
        <w:t xml:space="preserve"> case.  If there are an even number of cases (n), the median is the value midway between the age of the (n/2)</w:t>
      </w:r>
      <w:proofErr w:type="spellStart"/>
      <w:r w:rsidRPr="00085096">
        <w:rPr>
          <w:rFonts w:cs="Times New Roman"/>
        </w:rPr>
        <w:t>th</w:t>
      </w:r>
      <w:proofErr w:type="spellEnd"/>
      <w:r w:rsidRPr="00085096">
        <w:rPr>
          <w:rFonts w:cs="Times New Roman"/>
        </w:rPr>
        <w:t xml:space="preserve"> case and the [(n/2)+1]</w:t>
      </w:r>
      <w:proofErr w:type="spellStart"/>
      <w:r w:rsidRPr="00085096">
        <w:rPr>
          <w:rFonts w:cs="Times New Roman"/>
        </w:rPr>
        <w:t>th</w:t>
      </w:r>
      <w:proofErr w:type="spellEnd"/>
      <w:r w:rsidRPr="00085096">
        <w:rPr>
          <w:rFonts w:cs="Times New Roman"/>
        </w:rPr>
        <w:t xml:space="preserve"> case.</w:t>
      </w:r>
    </w:p>
    <w:p w:rsidRPr="00085096" w:rsidR="009963C5" w:rsidP="009963C5" w:rsidRDefault="009963C5" w14:paraId="0CC2D0CE" w14:textId="77777777">
      <w:pPr>
        <w:pStyle w:val="Heading1"/>
        <w:numPr>
          <w:ilvl w:val="0"/>
          <w:numId w:val="157"/>
        </w:numPr>
      </w:pPr>
      <w:bookmarkStart w:name="_Toc12868142" w:id="33"/>
      <w:bookmarkStart w:name="_Toc13576307" w:id="34"/>
      <w:bookmarkStart w:name="_Toc13576976" w:id="35"/>
      <w:r w:rsidRPr="00085096">
        <w:t>Item by Item Instructions</w:t>
      </w:r>
      <w:bookmarkEnd w:id="33"/>
      <w:bookmarkEnd w:id="34"/>
      <w:bookmarkEnd w:id="35"/>
    </w:p>
    <w:p w:rsidRPr="00085096" w:rsidR="009963C5" w:rsidP="009963C5" w:rsidRDefault="009963C5" w14:paraId="28D13306" w14:textId="77777777">
      <w:pPr>
        <w:spacing w:before="100" w:beforeAutospacing="1" w:after="240" w:line="240" w:lineRule="atLeast"/>
        <w:ind w:left="360"/>
        <w:jc w:val="both"/>
        <w:rPr>
          <w:rFonts w:cs="Times New Roman"/>
        </w:rPr>
      </w:pPr>
      <w:r w:rsidRPr="00085096">
        <w:rPr>
          <w:rFonts w:cs="Times New Roman"/>
        </w:rPr>
        <w:t>Enter the number of single claimant appeals cases that fall within each category.</w:t>
      </w:r>
    </w:p>
    <w:p w:rsidRPr="00085096" w:rsidR="009963C5" w:rsidP="009963C5" w:rsidRDefault="009963C5" w14:paraId="7C9F2BE4" w14:textId="77777777">
      <w:pPr>
        <w:pStyle w:val="ListParagraph"/>
        <w:numPr>
          <w:ilvl w:val="1"/>
          <w:numId w:val="114"/>
        </w:numPr>
        <w:spacing w:before="100" w:beforeAutospacing="1" w:after="240" w:line="240" w:lineRule="atLeast"/>
        <w:contextualSpacing w:val="0"/>
        <w:jc w:val="both"/>
        <w:rPr>
          <w:rFonts w:cs="Times New Roman"/>
        </w:rPr>
      </w:pPr>
      <w:bookmarkStart w:name="_Toc12868143" w:id="36"/>
      <w:bookmarkStart w:name="_Toc13576308" w:id="37"/>
      <w:bookmarkStart w:name="_Toc13576977" w:id="38"/>
      <w:r w:rsidRPr="00085096">
        <w:rPr>
          <w:rStyle w:val="Heading4Char"/>
          <w:rFonts w:cs="Times New Roman" w:eastAsiaTheme="minorHAnsi"/>
          <w:szCs w:val="24"/>
        </w:rPr>
        <w:t>Age of Pending Lower Authority Single Claimant Appeals Cases</w:t>
      </w:r>
      <w:bookmarkEnd w:id="36"/>
      <w:bookmarkEnd w:id="37"/>
      <w:bookmarkEnd w:id="38"/>
      <w:r w:rsidRPr="00085096">
        <w:rPr>
          <w:rFonts w:cs="Times New Roman"/>
        </w:rPr>
        <w:t xml:space="preserve">.  </w:t>
      </w:r>
    </w:p>
    <w:p w:rsidRPr="00085096" w:rsidR="009963C5" w:rsidP="009963C5" w:rsidRDefault="009963C5" w14:paraId="0163CB4F" w14:textId="77777777">
      <w:pPr>
        <w:pStyle w:val="ListParagraph"/>
        <w:numPr>
          <w:ilvl w:val="2"/>
          <w:numId w:val="114"/>
        </w:numPr>
        <w:spacing w:before="100" w:beforeAutospacing="1" w:after="240" w:line="240" w:lineRule="atLeast"/>
        <w:contextualSpacing w:val="0"/>
        <w:jc w:val="both"/>
        <w:rPr>
          <w:rFonts w:cs="Times New Roman"/>
        </w:rPr>
      </w:pPr>
      <w:r w:rsidRPr="00085096">
        <w:rPr>
          <w:rFonts w:cs="Times New Roman"/>
          <w:u w:val="single"/>
        </w:rPr>
        <w:t>Total Pending Lower Authority Single Claimant Appeals Cases</w:t>
      </w:r>
      <w:r w:rsidRPr="00085096">
        <w:rPr>
          <w:rFonts w:cs="Times New Roman"/>
        </w:rPr>
        <w:t>.  Enter in the “Total” column of Section A, the total number of pending lower authority single claimant appeals cases and the individual totals for each pending appeals case age interval.</w:t>
      </w:r>
    </w:p>
    <w:p w:rsidRPr="00085096" w:rsidR="009963C5" w:rsidP="009963C5" w:rsidRDefault="009963C5" w14:paraId="6C7B4461" w14:textId="77777777">
      <w:pPr>
        <w:pStyle w:val="ListParagraph"/>
        <w:numPr>
          <w:ilvl w:val="1"/>
          <w:numId w:val="114"/>
        </w:numPr>
        <w:spacing w:before="100" w:beforeAutospacing="1" w:after="240" w:line="240" w:lineRule="atLeast"/>
        <w:contextualSpacing w:val="0"/>
        <w:jc w:val="both"/>
        <w:rPr>
          <w:rFonts w:cs="Times New Roman"/>
        </w:rPr>
      </w:pPr>
      <w:bookmarkStart w:name="_Toc12868144" w:id="39"/>
      <w:bookmarkStart w:name="_Toc13576309" w:id="40"/>
      <w:bookmarkStart w:name="_Toc13576978" w:id="41"/>
      <w:r w:rsidRPr="00085096">
        <w:rPr>
          <w:rStyle w:val="Heading4Char"/>
          <w:rFonts w:cs="Times New Roman" w:eastAsiaTheme="minorHAnsi"/>
          <w:szCs w:val="24"/>
        </w:rPr>
        <w:t>Age of Pending Higher Authority Single Claimant Appeals Cases</w:t>
      </w:r>
      <w:bookmarkEnd w:id="39"/>
      <w:bookmarkEnd w:id="40"/>
      <w:bookmarkEnd w:id="41"/>
      <w:r w:rsidRPr="00085096">
        <w:rPr>
          <w:rFonts w:cs="Times New Roman"/>
        </w:rPr>
        <w:t>.</w:t>
      </w:r>
    </w:p>
    <w:p w:rsidRPr="00085096" w:rsidR="009963C5" w:rsidP="009963C5" w:rsidRDefault="009963C5" w14:paraId="4FFB1D4C" w14:textId="77777777">
      <w:pPr>
        <w:pStyle w:val="ListParagraph"/>
        <w:numPr>
          <w:ilvl w:val="2"/>
          <w:numId w:val="114"/>
        </w:numPr>
        <w:spacing w:before="100" w:beforeAutospacing="1" w:after="240" w:line="240" w:lineRule="atLeast"/>
        <w:contextualSpacing w:val="0"/>
        <w:jc w:val="both"/>
        <w:rPr>
          <w:rFonts w:cs="Times New Roman"/>
        </w:rPr>
      </w:pPr>
      <w:r w:rsidRPr="00085096">
        <w:rPr>
          <w:rFonts w:cs="Times New Roman"/>
          <w:u w:val="single"/>
        </w:rPr>
        <w:t>Total Pending Higher Authority Single Claimant Appeals Cases</w:t>
      </w:r>
      <w:r w:rsidRPr="00085096">
        <w:rPr>
          <w:rFonts w:cs="Times New Roman"/>
        </w:rPr>
        <w:t>.  Enter in the “Total” column of Section B, the total number of pending higher authority single claimant appeals cases and the individual totals for each pending appeals case age interval.</w:t>
      </w:r>
    </w:p>
    <w:p w:rsidRPr="00085096" w:rsidR="009963C5" w:rsidP="009963C5" w:rsidRDefault="009963C5" w14:paraId="6F9FCCBD" w14:textId="77777777">
      <w:pPr>
        <w:pStyle w:val="ListParagraph"/>
        <w:numPr>
          <w:ilvl w:val="1"/>
          <w:numId w:val="114"/>
        </w:numPr>
        <w:spacing w:before="100" w:beforeAutospacing="1" w:after="240" w:line="240" w:lineRule="atLeast"/>
        <w:contextualSpacing w:val="0"/>
        <w:jc w:val="both"/>
        <w:rPr>
          <w:rFonts w:cs="Times New Roman"/>
        </w:rPr>
      </w:pPr>
      <w:bookmarkStart w:name="_Toc12868145" w:id="42"/>
      <w:bookmarkStart w:name="_Toc13576310" w:id="43"/>
      <w:bookmarkStart w:name="_Toc13576979" w:id="44"/>
      <w:r w:rsidRPr="00085096">
        <w:rPr>
          <w:rStyle w:val="Heading4Char"/>
          <w:rFonts w:cs="Times New Roman" w:eastAsiaTheme="minorHAnsi"/>
          <w:szCs w:val="24"/>
        </w:rPr>
        <w:t>Comments</w:t>
      </w:r>
      <w:bookmarkEnd w:id="42"/>
      <w:bookmarkEnd w:id="43"/>
      <w:bookmarkEnd w:id="44"/>
      <w:r w:rsidRPr="00085096">
        <w:rPr>
          <w:rFonts w:cs="Times New Roman"/>
        </w:rPr>
        <w:t xml:space="preserve">. </w:t>
      </w:r>
    </w:p>
    <w:p w:rsidRPr="00085096" w:rsidR="009963C5" w:rsidP="009963C5" w:rsidRDefault="009963C5" w14:paraId="607E7096" w14:textId="77777777">
      <w:pPr>
        <w:pStyle w:val="ListParagraph"/>
        <w:spacing w:before="100" w:beforeAutospacing="1" w:after="240" w:line="240" w:lineRule="atLeast"/>
        <w:contextualSpacing w:val="0"/>
        <w:jc w:val="both"/>
        <w:rPr>
          <w:rFonts w:cs="Times New Roman"/>
        </w:rPr>
      </w:pPr>
      <w:r w:rsidRPr="00085096">
        <w:rPr>
          <w:rFonts w:cs="Times New Roman"/>
        </w:rPr>
        <w:t xml:space="preserve">Explain in the comments area significant variations in case aging in lower and higher authority appeals cases not decided from levels in the prior period or the same period one year ago.  In response to Item d. below, describe in the “Comments” section the inventory, if any, of pending multi-claimant appeals cases at the end of the reporting period.  Pending multi-claimant appeals cases should not be reported in Section A or B. </w:t>
      </w:r>
    </w:p>
    <w:p w:rsidRPr="00085096" w:rsidR="009963C5" w:rsidP="009963C5" w:rsidRDefault="009963C5" w14:paraId="6DB20321" w14:textId="77777777">
      <w:pPr>
        <w:pStyle w:val="ListParagraph"/>
        <w:numPr>
          <w:ilvl w:val="2"/>
          <w:numId w:val="114"/>
        </w:numPr>
        <w:spacing w:before="100" w:beforeAutospacing="1" w:after="240" w:line="240" w:lineRule="atLeast"/>
        <w:contextualSpacing w:val="0"/>
        <w:jc w:val="both"/>
        <w:rPr>
          <w:rFonts w:cs="Times New Roman"/>
        </w:rPr>
      </w:pPr>
      <w:r w:rsidRPr="00085096">
        <w:rPr>
          <w:rFonts w:cs="Times New Roman"/>
          <w:u w:val="single"/>
        </w:rPr>
        <w:lastRenderedPageBreak/>
        <w:t>Administrative Factors</w:t>
      </w:r>
      <w:r w:rsidRPr="00085096">
        <w:rPr>
          <w:rFonts w:cs="Times New Roman"/>
        </w:rPr>
        <w:t>.  Describe administrative factors, such as changes in operating procedures, issuance of rules and regulations, staff turnover, change in administrative policies, and increase or decrease in initial determinations, which may affect data reported in such a way that they will lack comparability with the data on prior reports or on current reports submitted by other state agencies.</w:t>
      </w:r>
    </w:p>
    <w:p w:rsidRPr="00085096" w:rsidR="009963C5" w:rsidP="009963C5" w:rsidRDefault="009963C5" w14:paraId="612F049E" w14:textId="77777777">
      <w:pPr>
        <w:pStyle w:val="ListParagraph"/>
        <w:numPr>
          <w:ilvl w:val="2"/>
          <w:numId w:val="114"/>
        </w:numPr>
        <w:spacing w:before="100" w:beforeAutospacing="1" w:after="240" w:line="240" w:lineRule="atLeast"/>
        <w:contextualSpacing w:val="0"/>
        <w:jc w:val="both"/>
        <w:rPr>
          <w:rFonts w:cs="Times New Roman"/>
        </w:rPr>
      </w:pPr>
      <w:r w:rsidRPr="00085096">
        <w:rPr>
          <w:rFonts w:cs="Times New Roman"/>
          <w:u w:val="single"/>
        </w:rPr>
        <w:t>Legal Factors</w:t>
      </w:r>
      <w:r w:rsidRPr="00085096">
        <w:rPr>
          <w:rFonts w:cs="Times New Roman"/>
        </w:rPr>
        <w:t>.  Describe legal factors, such as new laws or amendments or change in interpretation of existing laws, which may affect the data reported in such a way that they cannot be compared with data from prior reports or on current reports from other state agencies.</w:t>
      </w:r>
    </w:p>
    <w:p w:rsidRPr="00085096" w:rsidR="009963C5" w:rsidP="009963C5" w:rsidRDefault="009963C5" w14:paraId="63D11682" w14:textId="77777777">
      <w:pPr>
        <w:pStyle w:val="ListParagraph"/>
        <w:numPr>
          <w:ilvl w:val="2"/>
          <w:numId w:val="114"/>
        </w:numPr>
        <w:spacing w:before="100" w:beforeAutospacing="1" w:after="240" w:line="240" w:lineRule="atLeast"/>
        <w:contextualSpacing w:val="0"/>
        <w:jc w:val="both"/>
        <w:rPr>
          <w:rFonts w:cs="Times New Roman"/>
        </w:rPr>
      </w:pPr>
      <w:r w:rsidRPr="00085096">
        <w:rPr>
          <w:rFonts w:cs="Times New Roman"/>
          <w:u w:val="single"/>
        </w:rPr>
        <w:t>Economic Factors</w:t>
      </w:r>
      <w:r w:rsidRPr="00085096">
        <w:rPr>
          <w:rFonts w:cs="Times New Roman"/>
        </w:rPr>
        <w:t>. Describe economic factors which may affect data reported.</w:t>
      </w:r>
    </w:p>
    <w:p w:rsidRPr="00085096" w:rsidR="009963C5" w:rsidP="009963C5" w:rsidRDefault="009963C5" w14:paraId="675975C1" w14:textId="77777777">
      <w:pPr>
        <w:pStyle w:val="ListParagraph"/>
        <w:numPr>
          <w:ilvl w:val="2"/>
          <w:numId w:val="114"/>
        </w:numPr>
        <w:spacing w:before="100" w:beforeAutospacing="1" w:after="240" w:line="240" w:lineRule="atLeast"/>
        <w:contextualSpacing w:val="0"/>
        <w:jc w:val="both"/>
        <w:rPr>
          <w:rFonts w:cs="Times New Roman"/>
        </w:rPr>
      </w:pPr>
      <w:r w:rsidRPr="00085096">
        <w:rPr>
          <w:rFonts w:cs="Times New Roman"/>
          <w:u w:val="single"/>
        </w:rPr>
        <w:t>Pending Multi-Claimant Appeals Cases</w:t>
      </w:r>
      <w:r w:rsidRPr="00085096">
        <w:rPr>
          <w:rFonts w:cs="Times New Roman"/>
        </w:rPr>
        <w:t>.  Describe the inventory of pending lower and higher authority multi-claimant appeals cases.</w:t>
      </w:r>
    </w:p>
    <w:p w:rsidRPr="00085096" w:rsidR="009963C5" w:rsidP="009963C5" w:rsidRDefault="009963C5" w14:paraId="6E0768F8" w14:textId="77777777">
      <w:pPr>
        <w:pStyle w:val="ListParagraph"/>
        <w:spacing w:before="100" w:beforeAutospacing="1" w:after="240" w:line="240" w:lineRule="atLeast"/>
        <w:ind w:left="1080"/>
        <w:contextualSpacing w:val="0"/>
        <w:jc w:val="both"/>
        <w:rPr>
          <w:rFonts w:cs="Times New Roman"/>
        </w:rPr>
      </w:pPr>
      <w:r w:rsidRPr="00085096">
        <w:rPr>
          <w:rFonts w:cs="Times New Roman"/>
        </w:rPr>
        <w:t>For example:</w:t>
      </w:r>
    </w:p>
    <w:p w:rsidRPr="00085096" w:rsidR="009963C5" w:rsidP="009963C5" w:rsidRDefault="009963C5" w14:paraId="2D52D59A" w14:textId="77777777">
      <w:pPr>
        <w:pStyle w:val="ListParagraph"/>
        <w:spacing w:before="100" w:beforeAutospacing="1" w:after="240" w:line="240" w:lineRule="atLeast"/>
        <w:ind w:left="1080"/>
        <w:contextualSpacing w:val="0"/>
        <w:jc w:val="both"/>
        <w:rPr>
          <w:rFonts w:cs="Times New Roman"/>
        </w:rPr>
      </w:pPr>
      <w:r w:rsidRPr="00085096">
        <w:rPr>
          <w:rFonts w:cs="Times New Roman"/>
        </w:rPr>
        <w:t>At lower authority there are 3 groups of multi-claimant appeals cases pending; in one group, there are 150 claimants, in a second group, there are 40 claimants, and in a third group, there are 500 claimants.  At higher authority, there is one group of multi-claimant appeals cases pending, and in that group, there are 250 claimants.</w:t>
      </w:r>
    </w:p>
    <w:p w:rsidRPr="009963C5" w:rsidR="003A4D22" w:rsidP="009963C5" w:rsidRDefault="009963C5" w14:paraId="0F90D9BE" w14:textId="05498AA8">
      <w:pPr>
        <w:jc w:val="both"/>
        <w:rPr>
          <w:rFonts w:cs="Times New Roman"/>
          <w:szCs w:val="22"/>
        </w:rPr>
      </w:pPr>
      <w:r w:rsidRPr="00085096">
        <w:rPr>
          <w:rFonts w:cs="Times New Roman"/>
        </w:rPr>
        <w:br w:type="page"/>
      </w:r>
      <w:bookmarkEnd w:id="1"/>
    </w:p>
    <w:sectPr w:rsidRPr="009963C5" w:rsidR="003A4D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2AE888CD"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554405" w:rsidRPr="00554405">
      <w:rPr>
        <w:rFonts w:cs="Times New Roman"/>
        <w:b/>
        <w:bCs/>
        <w:noProof/>
        <w:sz w:val="20"/>
        <w:szCs w:val="20"/>
      </w:rPr>
      <w:t>Section V-5</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31FAF8EB"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554405" w:rsidRPr="00554405">
            <w:rPr>
              <w:b/>
              <w:bCs/>
              <w:noProof/>
              <w:sz w:val="16"/>
              <w:szCs w:val="16"/>
            </w:rPr>
            <w:t>ETA 9055 - APPEALS CASE AGING</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67549"/>
    <w:rsid w:val="00070B86"/>
    <w:rsid w:val="00085096"/>
    <w:rsid w:val="000A056A"/>
    <w:rsid w:val="000B1557"/>
    <w:rsid w:val="000C51CD"/>
    <w:rsid w:val="000D5C19"/>
    <w:rsid w:val="000D6A37"/>
    <w:rsid w:val="000E4958"/>
    <w:rsid w:val="000F2E5D"/>
    <w:rsid w:val="001041CF"/>
    <w:rsid w:val="001143FA"/>
    <w:rsid w:val="001178A5"/>
    <w:rsid w:val="001240C6"/>
    <w:rsid w:val="00124693"/>
    <w:rsid w:val="00153274"/>
    <w:rsid w:val="00156FC8"/>
    <w:rsid w:val="00164EE2"/>
    <w:rsid w:val="001A765F"/>
    <w:rsid w:val="001C5020"/>
    <w:rsid w:val="001D143B"/>
    <w:rsid w:val="001D1771"/>
    <w:rsid w:val="001F0905"/>
    <w:rsid w:val="001F1001"/>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46806"/>
    <w:rsid w:val="003711B7"/>
    <w:rsid w:val="00386989"/>
    <w:rsid w:val="00391820"/>
    <w:rsid w:val="003972CB"/>
    <w:rsid w:val="003A2A20"/>
    <w:rsid w:val="003A4D22"/>
    <w:rsid w:val="003C0607"/>
    <w:rsid w:val="003C65A6"/>
    <w:rsid w:val="003D1CC5"/>
    <w:rsid w:val="003E3565"/>
    <w:rsid w:val="003E5E55"/>
    <w:rsid w:val="003F01BB"/>
    <w:rsid w:val="00405FCB"/>
    <w:rsid w:val="00407513"/>
    <w:rsid w:val="00425C09"/>
    <w:rsid w:val="00435A4B"/>
    <w:rsid w:val="00441700"/>
    <w:rsid w:val="00443283"/>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54405"/>
    <w:rsid w:val="00587776"/>
    <w:rsid w:val="005A04E2"/>
    <w:rsid w:val="005A5CCF"/>
    <w:rsid w:val="005A78D5"/>
    <w:rsid w:val="005E7873"/>
    <w:rsid w:val="00606018"/>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6E7794"/>
    <w:rsid w:val="006F1658"/>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7F365B"/>
    <w:rsid w:val="008043BD"/>
    <w:rsid w:val="008369B9"/>
    <w:rsid w:val="0085307F"/>
    <w:rsid w:val="00874CE9"/>
    <w:rsid w:val="00896C83"/>
    <w:rsid w:val="008C6625"/>
    <w:rsid w:val="008D6799"/>
    <w:rsid w:val="008F3E16"/>
    <w:rsid w:val="00910703"/>
    <w:rsid w:val="00917EFF"/>
    <w:rsid w:val="00922772"/>
    <w:rsid w:val="00931AFA"/>
    <w:rsid w:val="00955960"/>
    <w:rsid w:val="0096530A"/>
    <w:rsid w:val="00965B8E"/>
    <w:rsid w:val="0099249E"/>
    <w:rsid w:val="009963C5"/>
    <w:rsid w:val="009A6347"/>
    <w:rsid w:val="009B262F"/>
    <w:rsid w:val="009B43DB"/>
    <w:rsid w:val="009B4D5E"/>
    <w:rsid w:val="009D2F43"/>
    <w:rsid w:val="009D318A"/>
    <w:rsid w:val="009D5F91"/>
    <w:rsid w:val="009F1423"/>
    <w:rsid w:val="00A11824"/>
    <w:rsid w:val="00A17105"/>
    <w:rsid w:val="00A22A6E"/>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5376"/>
    <w:rsid w:val="00B37BC7"/>
    <w:rsid w:val="00B43D73"/>
    <w:rsid w:val="00B46F2F"/>
    <w:rsid w:val="00B50BB3"/>
    <w:rsid w:val="00B66D79"/>
    <w:rsid w:val="00B70420"/>
    <w:rsid w:val="00B7638A"/>
    <w:rsid w:val="00B87BDA"/>
    <w:rsid w:val="00BC5AD0"/>
    <w:rsid w:val="00BD15FF"/>
    <w:rsid w:val="00BD1E7E"/>
    <w:rsid w:val="00BE722D"/>
    <w:rsid w:val="00BE7511"/>
    <w:rsid w:val="00BF071B"/>
    <w:rsid w:val="00C065EF"/>
    <w:rsid w:val="00C13547"/>
    <w:rsid w:val="00C160FA"/>
    <w:rsid w:val="00C1623C"/>
    <w:rsid w:val="00C43CE6"/>
    <w:rsid w:val="00C44168"/>
    <w:rsid w:val="00C47C25"/>
    <w:rsid w:val="00C52373"/>
    <w:rsid w:val="00C555BF"/>
    <w:rsid w:val="00C6088A"/>
    <w:rsid w:val="00C67AC4"/>
    <w:rsid w:val="00C82756"/>
    <w:rsid w:val="00C87700"/>
    <w:rsid w:val="00CA5F00"/>
    <w:rsid w:val="00CB28F1"/>
    <w:rsid w:val="00CB4446"/>
    <w:rsid w:val="00CB7832"/>
    <w:rsid w:val="00CC3DEE"/>
    <w:rsid w:val="00CD4F2C"/>
    <w:rsid w:val="00CE44D8"/>
    <w:rsid w:val="00CE5C67"/>
    <w:rsid w:val="00D13F61"/>
    <w:rsid w:val="00D31BC5"/>
    <w:rsid w:val="00D57495"/>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D4B75"/>
    <w:rsid w:val="00EE4C5B"/>
    <w:rsid w:val="00F00F89"/>
    <w:rsid w:val="00F0367D"/>
    <w:rsid w:val="00F05C1A"/>
    <w:rsid w:val="00F05C7E"/>
    <w:rsid w:val="00F27A2B"/>
    <w:rsid w:val="00F3755D"/>
    <w:rsid w:val="00F43B3C"/>
    <w:rsid w:val="00F7293A"/>
    <w:rsid w:val="00F8080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0EC9-7CA6-4F6C-BF17-8EE99E1F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St.Onge, Emily - ETA</cp:lastModifiedBy>
  <cp:revision>4</cp:revision>
  <cp:lastPrinted>2019-07-22T17:02:00Z</cp:lastPrinted>
  <dcterms:created xsi:type="dcterms:W3CDTF">2019-07-23T12:44:00Z</dcterms:created>
  <dcterms:modified xsi:type="dcterms:W3CDTF">2020-02-19T13:55:00Z</dcterms:modified>
</cp:coreProperties>
</file>