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27B8" w:rsidRDefault="008F27B8" w14:paraId="5B6B7293" w14:textId="77777777">
      <w:pPr>
        <w:widowControl/>
        <w:jc w:val="center"/>
        <w:rPr>
          <w:b/>
          <w:bCs/>
        </w:rPr>
      </w:pPr>
      <w:bookmarkStart w:name="_GoBack" w:id="0"/>
      <w:bookmarkEnd w:id="0"/>
      <w:r>
        <w:rPr>
          <w:b/>
          <w:bCs/>
        </w:rPr>
        <w:t>SUPPORTING STATEMENT FOR THE</w:t>
      </w:r>
    </w:p>
    <w:p w:rsidR="008F27B8" w:rsidRDefault="008F27B8" w14:paraId="44174FAA" w14:textId="77777777">
      <w:pPr>
        <w:widowControl/>
        <w:jc w:val="center"/>
        <w:rPr>
          <w:b/>
          <w:bCs/>
        </w:rPr>
      </w:pPr>
      <w:r>
        <w:rPr>
          <w:b/>
          <w:bCs/>
        </w:rPr>
        <w:t>INFORMATION</w:t>
      </w:r>
      <w:r w:rsidR="009137A1">
        <w:rPr>
          <w:b/>
          <w:bCs/>
        </w:rPr>
        <w:t xml:space="preserve"> </w:t>
      </w:r>
      <w:r>
        <w:rPr>
          <w:b/>
          <w:bCs/>
        </w:rPr>
        <w:t>COLLECTION REQUIREMENTS OF THE</w:t>
      </w:r>
    </w:p>
    <w:p w:rsidR="008F27B8" w:rsidRDefault="008F27B8" w14:paraId="4D57F391" w14:textId="77777777">
      <w:pPr>
        <w:widowControl/>
        <w:jc w:val="center"/>
        <w:rPr>
          <w:b/>
          <w:bCs/>
        </w:rPr>
      </w:pPr>
      <w:r>
        <w:rPr>
          <w:b/>
          <w:bCs/>
        </w:rPr>
        <w:t>STUDENT DATA FORM</w:t>
      </w:r>
    </w:p>
    <w:p w:rsidR="009137A1" w:rsidRDefault="008C0B18" w14:paraId="4227CE1A" w14:textId="77777777">
      <w:pPr>
        <w:widowControl/>
        <w:jc w:val="center"/>
        <w:rPr>
          <w:b/>
          <w:bCs/>
        </w:rPr>
      </w:pPr>
      <w:r>
        <w:rPr>
          <w:b/>
          <w:bCs/>
        </w:rPr>
        <w:t xml:space="preserve"> </w:t>
      </w:r>
      <w:r w:rsidR="009137A1">
        <w:rPr>
          <w:b/>
          <w:bCs/>
        </w:rPr>
        <w:t xml:space="preserve">OFFICE OF MANAGEMENT AND BUDGET </w:t>
      </w:r>
      <w:r w:rsidR="00DE17BF">
        <w:rPr>
          <w:b/>
          <w:bCs/>
        </w:rPr>
        <w:t>(OMB</w:t>
      </w:r>
      <w:r>
        <w:rPr>
          <w:b/>
          <w:bCs/>
        </w:rPr>
        <w:t>)</w:t>
      </w:r>
    </w:p>
    <w:p w:rsidR="00DE17BF" w:rsidRDefault="00DE17BF" w14:paraId="0C1A9FC7" w14:textId="77777777">
      <w:pPr>
        <w:widowControl/>
        <w:jc w:val="center"/>
      </w:pPr>
      <w:r>
        <w:rPr>
          <w:b/>
          <w:bCs/>
        </w:rPr>
        <w:t xml:space="preserve">CONTROL NO. 1218-0172 </w:t>
      </w:r>
      <w:r w:rsidR="00745C6C">
        <w:rPr>
          <w:b/>
          <w:bCs/>
        </w:rPr>
        <w:t>(</w:t>
      </w:r>
      <w:r w:rsidR="0025797A">
        <w:rPr>
          <w:b/>
          <w:bCs/>
        </w:rPr>
        <w:t>April 2020</w:t>
      </w:r>
      <w:r>
        <w:rPr>
          <w:b/>
          <w:bCs/>
        </w:rPr>
        <w:t>)</w:t>
      </w:r>
    </w:p>
    <w:p w:rsidR="008F27B8" w:rsidRDefault="008F27B8" w14:paraId="74705115" w14:textId="77777777">
      <w:pPr>
        <w:widowControl/>
        <w:jc w:val="center"/>
      </w:pPr>
    </w:p>
    <w:p w:rsidR="008F27B8" w:rsidRDefault="008F27B8" w14:paraId="13E390E3" w14:textId="77777777">
      <w:pPr>
        <w:widowControl/>
        <w:jc w:val="center"/>
      </w:pPr>
    </w:p>
    <w:p w:rsidR="008F27B8" w:rsidP="00DE17BF" w:rsidRDefault="004B0872" w14:paraId="1C3A0A7E" w14:textId="77777777">
      <w:pPr>
        <w:widowControl/>
      </w:pPr>
      <w:r>
        <w:rPr>
          <w:b/>
          <w:bCs/>
        </w:rPr>
        <w:t xml:space="preserve">A.  </w:t>
      </w:r>
      <w:r w:rsidR="008F27B8">
        <w:rPr>
          <w:b/>
          <w:bCs/>
        </w:rPr>
        <w:t>JUSTIFICATION</w:t>
      </w:r>
    </w:p>
    <w:p w:rsidR="008F27B8" w:rsidRDefault="008F27B8" w14:paraId="79B135D3" w14:textId="77777777">
      <w:pPr>
        <w:widowControl/>
      </w:pPr>
    </w:p>
    <w:p w:rsidRPr="001A00CD" w:rsidR="008F27B8" w:rsidP="00DE17BF" w:rsidRDefault="008F27B8" w14:paraId="1E6AC662" w14:textId="77777777">
      <w:pPr>
        <w:widowControl/>
        <w:ind w:left="360" w:hanging="360"/>
      </w:pPr>
      <w:r w:rsidRPr="00545F51">
        <w:rPr>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485B9D" w:rsidR="008F27B8" w:rsidRDefault="008F27B8" w14:paraId="01495248" w14:textId="77777777">
      <w:pPr>
        <w:widowControl/>
      </w:pPr>
    </w:p>
    <w:p w:rsidR="008F27B8" w:rsidRDefault="008F27B8" w14:paraId="74E63BDE" w14:textId="77777777">
      <w:pPr>
        <w:widowControl/>
      </w:pPr>
      <w:r>
        <w:t xml:space="preserve">Section 21 of the Occupational Safety and Health Act of 1970 (the “OSH Act”) (29 U.S.C. 670) authorizes the Occupational Safety and Health Administration (“OSHA” or the “Agency”) to conduct education and training courses.  These courses must ensure an adequate number of qualified personnel to fulfill the purposes of the </w:t>
      </w:r>
      <w:r w:rsidR="009B2397">
        <w:t xml:space="preserve">OSH </w:t>
      </w:r>
      <w:r>
        <w:t xml:space="preserve">Act, provide them with short-term training, inform them of the importance and proper use of safety and health equipment, and train employers and </w:t>
      </w:r>
      <w:r w:rsidR="001134D5">
        <w:t>workers</w:t>
      </w:r>
      <w:r>
        <w:t xml:space="preserve"> to recognize, avoid, and prevent unsafe and unhealthful working conditions.</w:t>
      </w:r>
    </w:p>
    <w:p w:rsidR="008F27B8" w:rsidRDefault="008F27B8" w14:paraId="3F9397D4" w14:textId="77777777">
      <w:pPr>
        <w:widowControl/>
      </w:pPr>
    </w:p>
    <w:p w:rsidR="008F27B8" w:rsidRDefault="008F27B8" w14:paraId="1C347FDA" w14:textId="77777777">
      <w:pPr>
        <w:widowControl/>
      </w:pPr>
      <w:r>
        <w:t xml:space="preserve">Under Section 21 of the </w:t>
      </w:r>
      <w:r w:rsidR="00861654">
        <w:t xml:space="preserve">OSH </w:t>
      </w:r>
      <w:r>
        <w:t xml:space="preserve">Act, the OSHA Training Institute (the “Institute”) provides basic, intermediate, and advanced training and education in occupational safety and health for Federal and State compliance officers, </w:t>
      </w:r>
      <w:r w:rsidR="00E63345">
        <w:t xml:space="preserve">Whistleblower Investigators, </w:t>
      </w:r>
      <w:r w:rsidR="00D17F53">
        <w:t xml:space="preserve">agency </w:t>
      </w:r>
      <w:r>
        <w:t xml:space="preserve">professionals and technical-support personnel, employers, </w:t>
      </w:r>
      <w:r w:rsidR="001134D5">
        <w:t>workers</w:t>
      </w:r>
      <w:r>
        <w:t xml:space="preserve">, organizations representing </w:t>
      </w:r>
      <w:r w:rsidR="001134D5">
        <w:t>workers</w:t>
      </w:r>
      <w:r>
        <w:t xml:space="preserve"> and employers, educators who develop curricula and teach occupational safety and health courses, and representatives of professional safety and health groups.  The Institute provides courses on occupational safety and health</w:t>
      </w:r>
      <w:r w:rsidR="00E63345">
        <w:t>, and Whistleblower Protection</w:t>
      </w:r>
      <w:r>
        <w:t xml:space="preserve"> at its national training facility in </w:t>
      </w:r>
      <w:r w:rsidR="00864888">
        <w:t>Arlington Heights</w:t>
      </w:r>
      <w:r>
        <w:t>, Illinois.</w:t>
      </w:r>
    </w:p>
    <w:p w:rsidR="008F27B8" w:rsidRDefault="008F27B8" w14:paraId="25198DE3" w14:textId="77777777">
      <w:pPr>
        <w:widowControl/>
      </w:pPr>
    </w:p>
    <w:p w:rsidR="008F27B8" w:rsidRDefault="008F27B8" w14:paraId="60650013" w14:textId="77777777">
      <w:pPr>
        <w:widowControl/>
      </w:pPr>
      <w:r>
        <w:t xml:space="preserve">Students attending Institute courses complete a one-page Student Data Form (SDF; </w:t>
      </w:r>
      <w:r w:rsidRPr="00F678A8">
        <w:t xml:space="preserve">OSHA Form 182, </w:t>
      </w:r>
      <w:r w:rsidR="004B0872">
        <w:t>12/13</w:t>
      </w:r>
      <w:r w:rsidRPr="00F678A8">
        <w:t xml:space="preserve"> edition).  The form provides information under five major categories title</w:t>
      </w:r>
      <w:r>
        <w:t xml:space="preserve">d “Course </w:t>
      </w:r>
      <w:r w:rsidR="00B10748">
        <w:t>Data</w:t>
      </w:r>
      <w:r>
        <w:t>,” “Personal Data,” “</w:t>
      </w:r>
      <w:r w:rsidR="00B10748">
        <w:t xml:space="preserve">Organization </w:t>
      </w:r>
      <w:r>
        <w:t>Data,” “</w:t>
      </w:r>
      <w:r w:rsidR="00B10748">
        <w:t>Supervisor Data</w:t>
      </w:r>
      <w:r>
        <w:t xml:space="preserve">,” and “Student Group.”  The </w:t>
      </w:r>
      <w:r w:rsidRPr="00B10748">
        <w:t xml:space="preserve">OSHA </w:t>
      </w:r>
      <w:r w:rsidRPr="00B10748" w:rsidR="004F36E9">
        <w:t>Directorate</w:t>
      </w:r>
      <w:r w:rsidRPr="00B10748">
        <w:t xml:space="preserve"> of Training</w:t>
      </w:r>
      <w:r>
        <w:t xml:space="preserve"> and Education compiles, for each fiscal year, the following information from the “Course </w:t>
      </w:r>
      <w:r w:rsidR="00B10748">
        <w:t>Data</w:t>
      </w:r>
      <w:r>
        <w:t xml:space="preserve">” and “Student Group” categories:  Total student attendance at the Institute; the number of students attending each training course offered by the Institute; and the types of students attending these courses (for example, </w:t>
      </w:r>
      <w:r w:rsidR="00BE5AF2">
        <w:t xml:space="preserve">Safety, Health or </w:t>
      </w:r>
      <w:r w:rsidR="00F87746">
        <w:t>Whistleblower</w:t>
      </w:r>
      <w:r w:rsidR="00BE5AF2">
        <w:t xml:space="preserve"> Investigators</w:t>
      </w:r>
      <w:r>
        <w:t xml:space="preserve"> </w:t>
      </w:r>
      <w:r w:rsidR="00E63345">
        <w:t>Job Title</w:t>
      </w:r>
      <w:r w:rsidR="00F87746">
        <w:t>s</w:t>
      </w:r>
      <w:r w:rsidR="00E63345">
        <w:t>,</w:t>
      </w:r>
      <w:r>
        <w:t>).</w:t>
      </w:r>
      <w:r w:rsidR="00F87746">
        <w:t xml:space="preserve">  The Institute recently developed a Whistleblower Investigator Training Program.  The Job Title section of the form was modified because annual Operating Plan reporting now includes the number of Whistleblower Investigators trained at the Institute.</w:t>
      </w:r>
    </w:p>
    <w:p w:rsidR="001A00CD" w:rsidRDefault="001A00CD" w14:paraId="1DC0C51A" w14:textId="77777777">
      <w:pPr>
        <w:widowControl/>
      </w:pPr>
    </w:p>
    <w:p w:rsidRPr="00545F51" w:rsidR="008F27B8" w:rsidP="004F7FE6" w:rsidRDefault="008F27B8" w14:paraId="07563504" w14:textId="77777777">
      <w:pPr>
        <w:widowControl/>
        <w:rPr>
          <w:b/>
          <w:bCs/>
        </w:rPr>
      </w:pPr>
      <w:r w:rsidRPr="00545F51">
        <w:rPr>
          <w:b/>
          <w:bCs/>
        </w:rPr>
        <w:lastRenderedPageBreak/>
        <w:t xml:space="preserve">2.  Indicate how, by whom, and for what purpose the information is to be used.  Except for a new collection, indicate the actual use the </w:t>
      </w:r>
      <w:r w:rsidR="00D17F53">
        <w:rPr>
          <w:b/>
          <w:bCs/>
        </w:rPr>
        <w:t>a</w:t>
      </w:r>
      <w:r w:rsidRPr="00545F51" w:rsidR="00D17F53">
        <w:rPr>
          <w:b/>
          <w:bCs/>
        </w:rPr>
        <w:t xml:space="preserve">gency </w:t>
      </w:r>
      <w:r w:rsidRPr="00545F51">
        <w:rPr>
          <w:b/>
          <w:bCs/>
        </w:rPr>
        <w:t>has made of the information received from the current collection.</w:t>
      </w:r>
    </w:p>
    <w:p w:rsidRPr="001A00CD" w:rsidR="008F27B8" w:rsidRDefault="008F27B8" w14:paraId="113C8145" w14:textId="77777777">
      <w:pPr>
        <w:widowControl/>
      </w:pPr>
    </w:p>
    <w:p w:rsidR="008F27B8" w:rsidRDefault="008F27B8" w14:paraId="5937EAFD" w14:textId="77777777">
      <w:pPr>
        <w:widowControl/>
      </w:pPr>
      <w:r>
        <w:t xml:space="preserve">The </w:t>
      </w:r>
      <w:r w:rsidR="00D17F53">
        <w:t xml:space="preserve">agency </w:t>
      </w:r>
      <w:r>
        <w:t xml:space="preserve">uses the information compiled from the SDF by </w:t>
      </w:r>
      <w:r w:rsidRPr="00B10748">
        <w:t xml:space="preserve">its </w:t>
      </w:r>
      <w:r w:rsidRPr="00B10748" w:rsidR="004F36E9">
        <w:t>Directorate</w:t>
      </w:r>
      <w:r>
        <w:t xml:space="preserve"> of Training and Education to demonstrate, in an accurate and timely manner, that it is providing the training and </w:t>
      </w:r>
      <w:r w:rsidR="001134D5">
        <w:t>worker</w:t>
      </w:r>
      <w:r>
        <w:t xml:space="preserve"> education mandated by Section 21 of the </w:t>
      </w:r>
      <w:r w:rsidR="00FF07CC">
        <w:t xml:space="preserve">OSH </w:t>
      </w:r>
      <w:r>
        <w:t>Act.  This information is also helpful in evaluating training, and in making decisions regarding program/course revisions, budget support, and tuition costs.</w:t>
      </w:r>
      <w:r w:rsidR="00F678A8">
        <w:t xml:space="preserve">  This form is used by non-Department of Labor personnel including the private sector for requesting enrollment in Institute courses.</w:t>
      </w:r>
      <w:r>
        <w:t xml:space="preserve">  </w:t>
      </w:r>
      <w:r w:rsidRPr="00F678A8">
        <w:t xml:space="preserve">The information in the “Personal Data” and </w:t>
      </w:r>
      <w:r w:rsidRPr="00F678A8" w:rsidR="003E0A4C">
        <w:t>“</w:t>
      </w:r>
      <w:r w:rsidRPr="00F678A8" w:rsidR="00B10748">
        <w:t>Supervisor Data</w:t>
      </w:r>
      <w:r w:rsidRPr="00F678A8">
        <w:t>” categories allows OSHA to contact students who are residing in local hotels/motels if an emergency arises at their home or place of employment</w:t>
      </w:r>
      <w:r w:rsidR="00BE5AF2">
        <w:t xml:space="preserve"> and </w:t>
      </w:r>
      <w:r w:rsidRPr="00F678A8">
        <w:t>to alert supervisors of a trainee’s injury or illness</w:t>
      </w:r>
      <w:r w:rsidR="00D17F53">
        <w:t>.</w:t>
      </w:r>
      <w:r w:rsidR="00E731F9">
        <w:t xml:space="preserve">  The “Hotel Name and Location” data is used to contact the hotel in an emergency situation if the student was missing or failed to attend the course.</w:t>
      </w:r>
    </w:p>
    <w:p w:rsidRPr="001A00CD" w:rsidR="008F27B8" w:rsidRDefault="008F27B8" w14:paraId="513ECB38" w14:textId="77777777">
      <w:pPr>
        <w:widowControl/>
      </w:pPr>
    </w:p>
    <w:p w:rsidRPr="001A00CD" w:rsidR="008F27B8" w:rsidP="00631942" w:rsidRDefault="008F27B8" w14:paraId="7106FEFA" w14:textId="77777777">
      <w:pPr>
        <w:widowControl/>
        <w:ind w:left="270" w:hanging="270"/>
      </w:pPr>
      <w:r w:rsidRPr="00545F51">
        <w:rPr>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545F51" w:rsidR="001134D5">
        <w:rPr>
          <w:b/>
          <w:bCs/>
        </w:rPr>
        <w:t>s</w:t>
      </w:r>
      <w:r w:rsidRPr="00545F51">
        <w:rPr>
          <w:b/>
          <w:bCs/>
        </w:rPr>
        <w:t>.</w:t>
      </w:r>
    </w:p>
    <w:p w:rsidRPr="00485B9D" w:rsidR="008F27B8" w:rsidRDefault="008F27B8" w14:paraId="3470C2A5" w14:textId="77777777">
      <w:pPr>
        <w:widowControl/>
      </w:pPr>
    </w:p>
    <w:p w:rsidRPr="00631942" w:rsidR="008F27B8" w:rsidRDefault="00B10748" w14:paraId="64E7F74D" w14:textId="77777777">
      <w:pPr>
        <w:widowControl/>
      </w:pPr>
      <w:r>
        <w:t>Currently, s</w:t>
      </w:r>
      <w:r w:rsidRPr="00631942" w:rsidR="008F27B8">
        <w:t>tudents must complete the SDF manually because it is not available using advanced information technology</w:t>
      </w:r>
      <w:r w:rsidR="003A755C">
        <w:t xml:space="preserve"> and the collection is made in a classroom setting</w:t>
      </w:r>
      <w:r w:rsidRPr="00F678A8" w:rsidR="008F27B8">
        <w:t xml:space="preserve">.  OSHA </w:t>
      </w:r>
      <w:r w:rsidRPr="00F678A8">
        <w:t xml:space="preserve">will make </w:t>
      </w:r>
      <w:r w:rsidRPr="00F678A8" w:rsidR="00F678A8">
        <w:t>thi</w:t>
      </w:r>
      <w:r w:rsidRPr="00F678A8">
        <w:t>s</w:t>
      </w:r>
      <w:r w:rsidR="00F678A8">
        <w:t xml:space="preserve"> form available in fillable PDF </w:t>
      </w:r>
      <w:r w:rsidRPr="00F678A8">
        <w:t>format to ensure accuracy and legibility.</w:t>
      </w:r>
    </w:p>
    <w:p w:rsidRPr="00C34FC1" w:rsidR="008F3167" w:rsidRDefault="008F3167" w14:paraId="32072A21" w14:textId="77777777">
      <w:pPr>
        <w:widowControl/>
        <w:rPr>
          <w:b/>
        </w:rPr>
      </w:pPr>
    </w:p>
    <w:p w:rsidRPr="00545F51" w:rsidR="008F27B8" w:rsidP="00631942" w:rsidRDefault="008F27B8" w14:paraId="57E7EFB4" w14:textId="77777777">
      <w:pPr>
        <w:widowControl/>
        <w:ind w:left="270" w:hanging="270"/>
        <w:rPr>
          <w:b/>
          <w:bCs/>
        </w:rPr>
      </w:pPr>
      <w:r w:rsidRPr="00545F51">
        <w:rPr>
          <w:b/>
          <w:bCs/>
        </w:rPr>
        <w:t xml:space="preserve">4.  Describe efforts to identify duplication.  Show specifically why any similar information already available cannot be used or modified for use for the purposes described in Item </w:t>
      </w:r>
      <w:r w:rsidRPr="00545F51" w:rsidR="004B0872">
        <w:rPr>
          <w:b/>
          <w:bCs/>
        </w:rPr>
        <w:t>A.</w:t>
      </w:r>
      <w:r w:rsidRPr="00545F51">
        <w:rPr>
          <w:b/>
          <w:bCs/>
        </w:rPr>
        <w:t>2 above.</w:t>
      </w:r>
    </w:p>
    <w:p w:rsidRPr="001A00CD" w:rsidR="008F27B8" w:rsidRDefault="008F27B8" w14:paraId="77E3C3AC" w14:textId="77777777">
      <w:pPr>
        <w:widowControl/>
      </w:pPr>
    </w:p>
    <w:p w:rsidRPr="00631942" w:rsidR="008F27B8" w:rsidRDefault="008F27B8" w14:paraId="77D6A447" w14:textId="77777777">
      <w:pPr>
        <w:widowControl/>
      </w:pPr>
      <w:r w:rsidRPr="00631942">
        <w:t>The paperwork requirements of the SDF are specific to each student involved, and no other source or agency duplicates these requirements or can make the required information available to OSHA (i.e., the required information is available only from the student).</w:t>
      </w:r>
      <w:r w:rsidR="00E731F9">
        <w:t xml:space="preserve">  This information is also necessary to document enrollments to maintain our certification as an Authorized Education and Training Facility under the International Association for Continuing Education &amp; Training.</w:t>
      </w:r>
    </w:p>
    <w:p w:rsidRPr="001A00CD" w:rsidR="008F27B8" w:rsidRDefault="008F27B8" w14:paraId="00692F4F" w14:textId="77777777">
      <w:pPr>
        <w:widowControl/>
      </w:pPr>
    </w:p>
    <w:p w:rsidRPr="001A00CD" w:rsidR="008F27B8" w:rsidP="00631942" w:rsidRDefault="008F27B8" w14:paraId="5E489262" w14:textId="77777777">
      <w:pPr>
        <w:widowControl/>
        <w:ind w:left="270" w:hanging="270"/>
      </w:pPr>
      <w:r w:rsidRPr="00545F51">
        <w:rPr>
          <w:b/>
          <w:bCs/>
        </w:rPr>
        <w:t>5.  If the collection of information impacts small businesses or other small entities, describe any methods used to minimize burden.</w:t>
      </w:r>
    </w:p>
    <w:p w:rsidRPr="00485B9D" w:rsidR="008F27B8" w:rsidRDefault="008F27B8" w14:paraId="2124ABA5" w14:textId="77777777">
      <w:pPr>
        <w:widowControl/>
      </w:pPr>
    </w:p>
    <w:p w:rsidRPr="00631942" w:rsidR="008F27B8" w:rsidRDefault="008F27B8" w14:paraId="16D9AC57" w14:textId="77777777">
      <w:pPr>
        <w:widowControl/>
      </w:pPr>
      <w:r w:rsidRPr="00631942">
        <w:lastRenderedPageBreak/>
        <w:t xml:space="preserve">The information provided on the SDF has no direct impact on any business regardless of size because the </w:t>
      </w:r>
      <w:r w:rsidR="00D17F53">
        <w:t>a</w:t>
      </w:r>
      <w:r w:rsidRPr="00631942" w:rsidR="00D17F53">
        <w:t xml:space="preserve">gency </w:t>
      </w:r>
      <w:r w:rsidRPr="00631942">
        <w:t>collects the information as part of the training course attended by the student who completes the form; accordingly, this paperwork requirement does not have a significant impact on a substantial number of small entities.</w:t>
      </w:r>
    </w:p>
    <w:p w:rsidRPr="001A00CD" w:rsidR="008F27B8" w:rsidRDefault="008F27B8" w14:paraId="37B53F73" w14:textId="77777777">
      <w:pPr>
        <w:widowControl/>
      </w:pPr>
    </w:p>
    <w:p w:rsidRPr="001A00CD" w:rsidR="008F27B8" w:rsidP="00631942" w:rsidRDefault="008F27B8" w14:paraId="3F50014F" w14:textId="77777777">
      <w:pPr>
        <w:widowControl/>
        <w:ind w:left="270" w:hanging="270"/>
      </w:pPr>
      <w:r w:rsidRPr="00545F51">
        <w:rPr>
          <w:b/>
          <w:bCs/>
        </w:rPr>
        <w:t>6.  Describe the consequence to Federal program or policy activities if the collection is not conducted or is conducted less frequently, as well as any technical or legal obstacles to reducing burden.</w:t>
      </w:r>
    </w:p>
    <w:p w:rsidRPr="00485B9D" w:rsidR="008F27B8" w:rsidRDefault="008F27B8" w14:paraId="7B4F0811" w14:textId="77777777">
      <w:pPr>
        <w:widowControl/>
      </w:pPr>
    </w:p>
    <w:p w:rsidR="008F27B8" w:rsidRDefault="008F27B8" w14:paraId="21F5623F" w14:textId="77777777">
      <w:pPr>
        <w:widowControl/>
      </w:pPr>
      <w:r>
        <w:t xml:space="preserve">If OSHA could not collect the information provided on the SDF, or obtained it less frequently, the </w:t>
      </w:r>
      <w:r w:rsidR="00D17F53">
        <w:t xml:space="preserve">agency </w:t>
      </w:r>
      <w:r>
        <w:t xml:space="preserve">would not have a record or data to use in:  </w:t>
      </w:r>
      <w:r w:rsidR="00C34FC1">
        <w:t>D</w:t>
      </w:r>
      <w:r>
        <w:t xml:space="preserve">ocumenting its timely and full compliance with section 21 of the </w:t>
      </w:r>
      <w:r w:rsidR="00C2573B">
        <w:t xml:space="preserve">OSH </w:t>
      </w:r>
      <w:r>
        <w:t>Act; planning timely program/course revisions, budget support, and tuition costs; and effectively managing student-related emergencies that arise during training.</w:t>
      </w:r>
    </w:p>
    <w:p w:rsidRPr="00545F51" w:rsidR="004F7FE6" w:rsidRDefault="004F7FE6" w14:paraId="5DC6DE48" w14:textId="77777777">
      <w:pPr>
        <w:widowControl/>
        <w:rPr>
          <w:b/>
          <w:bCs/>
        </w:rPr>
      </w:pPr>
    </w:p>
    <w:p w:rsidRPr="00545F51" w:rsidR="008F27B8" w:rsidRDefault="008F27B8" w14:paraId="314A505E" w14:textId="77777777">
      <w:pPr>
        <w:widowControl/>
        <w:rPr>
          <w:b/>
          <w:bCs/>
        </w:rPr>
      </w:pPr>
      <w:r w:rsidRPr="00545F51">
        <w:rPr>
          <w:b/>
          <w:bCs/>
        </w:rPr>
        <w:t>7.  Explain any special circumstances that would cause an information collection to be conducted in a manner:</w:t>
      </w:r>
    </w:p>
    <w:p w:rsidRPr="00545F51" w:rsidR="00AC0E77" w:rsidRDefault="00AC0E77" w14:paraId="0AF9E252"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rPr>
      </w:pPr>
    </w:p>
    <w:p w:rsidRPr="00545F51" w:rsidR="008F27B8" w:rsidRDefault="008F27B8" w14:paraId="2F6C11CC"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rPr>
      </w:pPr>
      <w:r w:rsidRPr="00545F51">
        <w:rPr>
          <w:b/>
          <w:bCs/>
        </w:rPr>
        <w:sym w:font="Symbol" w:char="F0D7"/>
      </w:r>
      <w:r w:rsidRPr="00545F51">
        <w:rPr>
          <w:b/>
          <w:bCs/>
        </w:rPr>
        <w:t xml:space="preserve">  </w:t>
      </w:r>
      <w:r w:rsidRPr="00545F51" w:rsidR="00AC0E77">
        <w:rPr>
          <w:b/>
          <w:bCs/>
        </w:rPr>
        <w:t>r</w:t>
      </w:r>
      <w:r w:rsidRPr="00545F51">
        <w:rPr>
          <w:b/>
          <w:bCs/>
        </w:rPr>
        <w:t xml:space="preserve">equiring respondents to report information to the </w:t>
      </w:r>
      <w:r w:rsidR="00D17F53">
        <w:rPr>
          <w:b/>
          <w:bCs/>
        </w:rPr>
        <w:t>a</w:t>
      </w:r>
      <w:r w:rsidRPr="00545F51" w:rsidR="00D17F53">
        <w:rPr>
          <w:b/>
          <w:bCs/>
        </w:rPr>
        <w:t xml:space="preserve">gency </w:t>
      </w:r>
      <w:r w:rsidRPr="00545F51">
        <w:rPr>
          <w:b/>
          <w:bCs/>
        </w:rPr>
        <w:t>more often than quarterly;</w:t>
      </w:r>
    </w:p>
    <w:p w:rsidRPr="00545F51" w:rsidR="008F27B8" w:rsidRDefault="008F27B8" w14:paraId="5FF386D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Pr="00545F51" w:rsidR="008F27B8" w:rsidP="00545F51" w:rsidRDefault="008F27B8" w14:paraId="1C87D340"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rPr>
      </w:pPr>
      <w:r w:rsidRPr="00545F51">
        <w:rPr>
          <w:b/>
          <w:bCs/>
        </w:rPr>
        <w:sym w:font="Symbol" w:char="F0D7"/>
      </w:r>
      <w:r w:rsidRPr="00545F51">
        <w:rPr>
          <w:b/>
          <w:bCs/>
        </w:rPr>
        <w:t xml:space="preserve">  </w:t>
      </w:r>
      <w:r w:rsidRPr="00545F51" w:rsidR="00AC0E77">
        <w:rPr>
          <w:b/>
          <w:bCs/>
        </w:rPr>
        <w:t>r</w:t>
      </w:r>
      <w:r w:rsidRPr="00545F51">
        <w:rPr>
          <w:b/>
          <w:bCs/>
        </w:rPr>
        <w:t>equiring respondents to prepare a written response to a collection of information in fewer than</w:t>
      </w:r>
      <w:r w:rsidR="001A00CD">
        <w:rPr>
          <w:b/>
          <w:bCs/>
        </w:rPr>
        <w:t xml:space="preserve"> </w:t>
      </w:r>
      <w:r w:rsidRPr="00545F51">
        <w:rPr>
          <w:b/>
          <w:bCs/>
        </w:rPr>
        <w:t>30 days after receipt of it;</w:t>
      </w:r>
    </w:p>
    <w:p w:rsidRPr="00545F51" w:rsidR="008F27B8" w:rsidRDefault="008F27B8" w14:paraId="21BFF12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Pr="00545F51" w:rsidR="008F27B8" w:rsidRDefault="008F27B8" w14:paraId="5B923F47"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rPr>
      </w:pPr>
      <w:r w:rsidRPr="00545F51">
        <w:rPr>
          <w:b/>
          <w:bCs/>
        </w:rPr>
        <w:sym w:font="Symbol" w:char="F0D7"/>
      </w:r>
      <w:r w:rsidRPr="00545F51">
        <w:rPr>
          <w:b/>
          <w:bCs/>
        </w:rPr>
        <w:t xml:space="preserve">  </w:t>
      </w:r>
      <w:r w:rsidRPr="00545F51" w:rsidR="00AC0E77">
        <w:rPr>
          <w:b/>
          <w:bCs/>
        </w:rPr>
        <w:t>r</w:t>
      </w:r>
      <w:r w:rsidRPr="00545F51">
        <w:rPr>
          <w:b/>
          <w:bCs/>
        </w:rPr>
        <w:t>equiring respondents to submit more than an original and two copies of any document;</w:t>
      </w:r>
    </w:p>
    <w:p w:rsidRPr="00545F51" w:rsidR="008F27B8" w:rsidRDefault="008F27B8" w14:paraId="14925AC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Pr="00545F51" w:rsidR="008F27B8" w:rsidP="00545F51" w:rsidRDefault="008F27B8" w14:paraId="4DB1C29C"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rPr>
      </w:pPr>
      <w:r w:rsidRPr="00545F51">
        <w:rPr>
          <w:b/>
          <w:bCs/>
        </w:rPr>
        <w:sym w:font="Symbol" w:char="F0D7"/>
      </w:r>
      <w:r w:rsidRPr="00545F51">
        <w:rPr>
          <w:b/>
          <w:bCs/>
        </w:rPr>
        <w:t xml:space="preserve">  </w:t>
      </w:r>
      <w:r w:rsidRPr="00545F51" w:rsidR="00AC0E77">
        <w:rPr>
          <w:b/>
          <w:bCs/>
        </w:rPr>
        <w:t>r</w:t>
      </w:r>
      <w:r w:rsidRPr="00545F51">
        <w:rPr>
          <w:b/>
          <w:bCs/>
        </w:rPr>
        <w:t>equiring respondents to retain records, other than health, medical, government contract, grant-in-aid, or tax records for more than three years;</w:t>
      </w:r>
    </w:p>
    <w:p w:rsidRPr="00545F51" w:rsidR="008F27B8" w:rsidRDefault="008F27B8" w14:paraId="3783C29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Pr="00545F51" w:rsidR="008F27B8" w:rsidP="00545F51" w:rsidRDefault="008F27B8" w14:paraId="54CD3EF3"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rPr>
      </w:pPr>
      <w:r w:rsidRPr="00545F51">
        <w:rPr>
          <w:b/>
          <w:bCs/>
        </w:rPr>
        <w:sym w:font="Symbol" w:char="F0D7"/>
      </w:r>
      <w:r w:rsidRPr="00545F51">
        <w:rPr>
          <w:b/>
          <w:bCs/>
        </w:rPr>
        <w:t xml:space="preserve">  </w:t>
      </w:r>
      <w:r w:rsidRPr="00545F51" w:rsidR="00AC0E77">
        <w:rPr>
          <w:b/>
          <w:bCs/>
        </w:rPr>
        <w:t>i</w:t>
      </w:r>
      <w:r w:rsidRPr="00545F51">
        <w:rPr>
          <w:b/>
          <w:bCs/>
        </w:rPr>
        <w:t>n connection with a statistical survey, that is not designed to produce valid and reliable results</w:t>
      </w:r>
      <w:r w:rsidR="001A00CD">
        <w:rPr>
          <w:b/>
          <w:bCs/>
        </w:rPr>
        <w:t xml:space="preserve"> </w:t>
      </w:r>
      <w:r w:rsidRPr="00545F51">
        <w:rPr>
          <w:b/>
          <w:bCs/>
        </w:rPr>
        <w:t>that can be generalized to the universe of study;</w:t>
      </w:r>
    </w:p>
    <w:p w:rsidRPr="00545F51" w:rsidR="008F27B8" w:rsidRDefault="008F27B8" w14:paraId="60F4C22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Pr="00545F51" w:rsidR="008F27B8" w:rsidP="00545F51" w:rsidRDefault="008F27B8" w14:paraId="28CA0048"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rPr>
      </w:pPr>
      <w:r w:rsidRPr="00545F51">
        <w:rPr>
          <w:b/>
          <w:bCs/>
        </w:rPr>
        <w:sym w:font="Symbol" w:char="F0D7"/>
      </w:r>
      <w:r w:rsidRPr="00545F51">
        <w:rPr>
          <w:b/>
          <w:bCs/>
        </w:rPr>
        <w:t xml:space="preserve">  </w:t>
      </w:r>
      <w:r w:rsidRPr="00545F51" w:rsidR="00AC0E77">
        <w:rPr>
          <w:b/>
          <w:bCs/>
        </w:rPr>
        <w:t>r</w:t>
      </w:r>
      <w:r w:rsidRPr="00545F51">
        <w:rPr>
          <w:b/>
          <w:bCs/>
        </w:rPr>
        <w:t>equiring the use of a statistical data classification that has not been reviewed and approved by</w:t>
      </w:r>
      <w:r w:rsidR="001A00CD">
        <w:rPr>
          <w:b/>
          <w:bCs/>
        </w:rPr>
        <w:t xml:space="preserve"> </w:t>
      </w:r>
      <w:r w:rsidRPr="00545F51">
        <w:rPr>
          <w:b/>
          <w:bCs/>
        </w:rPr>
        <w:t>OMB;</w:t>
      </w:r>
    </w:p>
    <w:p w:rsidRPr="00545F51" w:rsidR="008F27B8" w:rsidRDefault="008F27B8" w14:paraId="68798C0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Pr="00545F51" w:rsidR="008F27B8" w:rsidP="00545F51" w:rsidRDefault="008F27B8" w14:paraId="19FD68B2"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rPr>
      </w:pPr>
      <w:r w:rsidRPr="00545F51">
        <w:rPr>
          <w:b/>
          <w:bCs/>
        </w:rPr>
        <w:sym w:font="Symbol" w:char="F0D7"/>
      </w:r>
      <w:r w:rsidRPr="00545F51">
        <w:rPr>
          <w:b/>
          <w:bCs/>
        </w:rPr>
        <w:t xml:space="preserve">  </w:t>
      </w:r>
      <w:r w:rsidRPr="00545F51" w:rsidR="00AC0E77">
        <w:rPr>
          <w:b/>
          <w:bCs/>
        </w:rPr>
        <w:t>t</w:t>
      </w:r>
      <w:r w:rsidRPr="00545F51">
        <w:rPr>
          <w:b/>
          <w:bCs/>
        </w:rPr>
        <w:t>hat includes a pledge of confidentiality that is not supported by authority established in statute</w:t>
      </w:r>
      <w:r w:rsidR="001A00CD">
        <w:rPr>
          <w:b/>
          <w:bCs/>
        </w:rPr>
        <w:t xml:space="preserve"> </w:t>
      </w:r>
      <w:r w:rsidRPr="00545F51">
        <w:rPr>
          <w:b/>
          <w:bCs/>
        </w:rPr>
        <w:t>or regulation, that is not supported by disclosure and data security policies that are consistent with the</w:t>
      </w:r>
      <w:r w:rsidRPr="00545F51" w:rsidR="00631942">
        <w:rPr>
          <w:b/>
          <w:bCs/>
        </w:rPr>
        <w:t xml:space="preserve"> </w:t>
      </w:r>
      <w:r w:rsidRPr="00545F51">
        <w:rPr>
          <w:b/>
          <w:bCs/>
        </w:rPr>
        <w:t>pledge, or which unnecessarily impedes sharing of data with other agencies for compatible confidential use;</w:t>
      </w:r>
      <w:r w:rsidRPr="00545F51" w:rsidR="00631942">
        <w:rPr>
          <w:b/>
          <w:bCs/>
        </w:rPr>
        <w:t xml:space="preserve"> </w:t>
      </w:r>
      <w:r w:rsidRPr="00545F51">
        <w:rPr>
          <w:b/>
          <w:bCs/>
        </w:rPr>
        <w:t>or</w:t>
      </w:r>
    </w:p>
    <w:p w:rsidRPr="00545F51" w:rsidR="008F27B8" w:rsidRDefault="008F27B8" w14:paraId="29A6361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Pr="00545F51" w:rsidR="008F27B8" w:rsidP="00545F51" w:rsidRDefault="008F27B8" w14:paraId="687566B1"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545F51">
        <w:rPr>
          <w:b/>
          <w:bCs/>
        </w:rPr>
        <w:sym w:font="Symbol" w:char="F0D7"/>
      </w:r>
      <w:r w:rsidRPr="00545F51">
        <w:rPr>
          <w:b/>
          <w:bCs/>
        </w:rPr>
        <w:t xml:space="preserve">  </w:t>
      </w:r>
      <w:r w:rsidRPr="00545F51" w:rsidR="00AC0E77">
        <w:rPr>
          <w:b/>
          <w:bCs/>
        </w:rPr>
        <w:t>r</w:t>
      </w:r>
      <w:r w:rsidRPr="00545F51">
        <w:rPr>
          <w:b/>
          <w:bCs/>
        </w:rPr>
        <w:t>equiring respondents to submit proprietary trade secret, or other confidential information unless</w:t>
      </w:r>
      <w:r w:rsidR="001A00CD">
        <w:rPr>
          <w:b/>
          <w:bCs/>
        </w:rPr>
        <w:t xml:space="preserve"> </w:t>
      </w:r>
      <w:r w:rsidRPr="00545F51">
        <w:rPr>
          <w:b/>
          <w:bCs/>
        </w:rPr>
        <w:t xml:space="preserve">the </w:t>
      </w:r>
      <w:r w:rsidR="00D17F53">
        <w:rPr>
          <w:b/>
          <w:bCs/>
        </w:rPr>
        <w:t>a</w:t>
      </w:r>
      <w:r w:rsidRPr="00545F51" w:rsidR="00D17F53">
        <w:rPr>
          <w:b/>
          <w:bCs/>
        </w:rPr>
        <w:t xml:space="preserve">gency </w:t>
      </w:r>
      <w:r w:rsidRPr="00545F51">
        <w:rPr>
          <w:b/>
          <w:bCs/>
        </w:rPr>
        <w:t>can demonstrate that it has instituted procedures to protect the information's</w:t>
      </w:r>
      <w:r w:rsidRPr="00545F51" w:rsidR="006C5C35">
        <w:rPr>
          <w:b/>
          <w:bCs/>
        </w:rPr>
        <w:t xml:space="preserve"> </w:t>
      </w:r>
      <w:r w:rsidRPr="00545F51">
        <w:rPr>
          <w:b/>
          <w:bCs/>
        </w:rPr>
        <w:t>confidentiality</w:t>
      </w:r>
      <w:r w:rsidRPr="00545F51" w:rsidR="006C5C35">
        <w:rPr>
          <w:b/>
          <w:bCs/>
        </w:rPr>
        <w:t xml:space="preserve"> </w:t>
      </w:r>
      <w:r w:rsidRPr="00545F51">
        <w:rPr>
          <w:b/>
          <w:bCs/>
        </w:rPr>
        <w:t>to the extent permitted by law.</w:t>
      </w:r>
    </w:p>
    <w:p w:rsidRPr="00545F51" w:rsidR="008F27B8" w:rsidRDefault="008F27B8" w14:paraId="7AF194C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F27B8" w:rsidRDefault="008F27B8" w14:paraId="20E66A0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w:t>
      </w:r>
      <w:r w:rsidR="00D17F53">
        <w:t xml:space="preserve">agency </w:t>
      </w:r>
      <w:r>
        <w:t>believes that no special circumstances exist that would cause it to collect the information required by the SDF in a manner, or using procedures, that differ from the description provided in Item 2 above.</w:t>
      </w:r>
    </w:p>
    <w:p w:rsidR="008F27B8" w:rsidRDefault="008F27B8" w14:paraId="427E0AD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545F51" w:rsidR="008F27B8" w:rsidP="00631942" w:rsidRDefault="008F27B8" w14:paraId="7873EAAB" w14:textId="77777777">
      <w:pPr>
        <w:widowControl/>
        <w:ind w:left="270" w:hanging="270"/>
        <w:rPr>
          <w:b/>
          <w:bCs/>
        </w:rPr>
      </w:pPr>
      <w:r w:rsidRPr="00545F51">
        <w:rPr>
          <w:b/>
          <w:bCs/>
        </w:rPr>
        <w:t xml:space="preserve">8.  If applicable, provide a copy and identify the data and page number of publication in the </w:t>
      </w:r>
      <w:r w:rsidRPr="00545F51">
        <w:rPr>
          <w:b/>
          <w:bCs/>
          <w:i/>
        </w:rPr>
        <w:t>Federal Register</w:t>
      </w:r>
      <w:r w:rsidRPr="00545F51">
        <w:rPr>
          <w:b/>
          <w:bCs/>
        </w:rPr>
        <w:t xml:space="preserve"> of the </w:t>
      </w:r>
      <w:r w:rsidR="00D17F53">
        <w:rPr>
          <w:b/>
          <w:bCs/>
        </w:rPr>
        <w:t>a</w:t>
      </w:r>
      <w:r w:rsidRPr="00545F51" w:rsidR="00D17F53">
        <w:rPr>
          <w:b/>
          <w:bCs/>
        </w:rPr>
        <w:t xml:space="preserve">gency's </w:t>
      </w:r>
      <w:r w:rsidRPr="00545F51">
        <w:rPr>
          <w:b/>
          <w:bCs/>
        </w:rPr>
        <w:t>notice, required by 5 CFR 1320.8(d), soliciting comments on the information collection prior to</w:t>
      </w:r>
      <w:r w:rsidRPr="00545F51" w:rsidR="00631942">
        <w:rPr>
          <w:b/>
          <w:bCs/>
        </w:rPr>
        <w:t xml:space="preserve"> </w:t>
      </w:r>
      <w:r w:rsidRPr="00545F51">
        <w:rPr>
          <w:b/>
          <w:bCs/>
        </w:rPr>
        <w:t xml:space="preserve">submission to OMB.  Summarize public comments received in response to that notice and describe actions taken by the </w:t>
      </w:r>
      <w:r w:rsidR="00D17F53">
        <w:rPr>
          <w:b/>
          <w:bCs/>
        </w:rPr>
        <w:t>a</w:t>
      </w:r>
      <w:r w:rsidRPr="00545F51" w:rsidR="00D17F53">
        <w:rPr>
          <w:b/>
          <w:bCs/>
        </w:rPr>
        <w:t xml:space="preserve">gency </w:t>
      </w:r>
      <w:r w:rsidRPr="00545F51">
        <w:rPr>
          <w:b/>
          <w:bCs/>
        </w:rPr>
        <w:t>in response to these comments.  Specifically address comments received on cost and hour burden.</w:t>
      </w:r>
    </w:p>
    <w:p w:rsidRPr="00545F51" w:rsidR="008F27B8" w:rsidRDefault="008F27B8" w14:paraId="11FEA44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Pr="00545F51" w:rsidR="008F27B8" w:rsidP="00631942" w:rsidRDefault="008F27B8" w14:paraId="70F0D889" w14:textId="77777777">
      <w:pPr>
        <w:widowControl/>
        <w:ind w:left="270"/>
        <w:rPr>
          <w:b/>
          <w:bCs/>
        </w:rPr>
      </w:pPr>
      <w:r w:rsidRPr="00545F51">
        <w:rPr>
          <w:b/>
          <w:bCs/>
        </w:rPr>
        <w:t xml:space="preserve">Describe efforts to consult with persons outside the </w:t>
      </w:r>
      <w:r w:rsidRPr="00545F51" w:rsidR="00607480">
        <w:rPr>
          <w:b/>
          <w:bCs/>
        </w:rPr>
        <w:t>a</w:t>
      </w:r>
      <w:r w:rsidRPr="00545F51">
        <w:rPr>
          <w:b/>
          <w:bCs/>
        </w:rPr>
        <w:t>gency to obtain their views on the availability of data, frequency of collection, the clarity of instructions and recordkeeping, disclosure, or reporting format (if any), and on the data elements to be recorded, disclosed, or reported.</w:t>
      </w:r>
    </w:p>
    <w:p w:rsidRPr="00545F51" w:rsidR="008F27B8" w:rsidRDefault="008F27B8" w14:paraId="62AFE81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Pr="00545F51" w:rsidR="008F27B8" w:rsidP="00631942" w:rsidRDefault="008F27B8" w14:paraId="1166CE63" w14:textId="77777777">
      <w:pPr>
        <w:widowControl/>
        <w:ind w:left="270"/>
      </w:pPr>
      <w:r w:rsidRPr="00545F51">
        <w:rPr>
          <w:b/>
          <w:b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545F51" w:rsidR="008F27B8" w:rsidRDefault="008F27B8" w14:paraId="3008694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cs="Shruti"/>
        </w:rPr>
      </w:pPr>
    </w:p>
    <w:p w:rsidR="00F95BDF" w:rsidP="00F95BDF" w:rsidRDefault="00F95BDF" w14:paraId="4DBAD2C8" w14:textId="77777777">
      <w:pPr>
        <w:widowControl/>
        <w:autoSpaceDE/>
        <w:adjustRightInd/>
        <w:rPr>
          <w:rFonts w:eastAsia="Calibri"/>
          <w:bCs/>
          <w:lang w:val="en-JM"/>
        </w:rPr>
      </w:pPr>
      <w:r w:rsidRPr="003C0872">
        <w:t xml:space="preserve">As required by the Paperwork Reduction Act (44 U.S.C. 3506(c)(2)(A)), OSHA published a Federal Register notice on </w:t>
      </w:r>
      <w:r w:rsidR="001A00CD">
        <w:t xml:space="preserve">December </w:t>
      </w:r>
      <w:r w:rsidR="00B24679">
        <w:t>27</w:t>
      </w:r>
      <w:r w:rsidR="001A00CD">
        <w:t xml:space="preserve">, 2019 </w:t>
      </w:r>
      <w:r w:rsidR="007C2E3E">
        <w:t>(</w:t>
      </w:r>
      <w:r w:rsidR="001A00CD">
        <w:t xml:space="preserve">84 </w:t>
      </w:r>
      <w:r w:rsidR="007C2E3E">
        <w:t xml:space="preserve">FR </w:t>
      </w:r>
      <w:r w:rsidR="00B24679">
        <w:t>71478),</w:t>
      </w:r>
      <w:r w:rsidRPr="007C2E3E">
        <w:t xml:space="preserve"> soliciting comments from the public and other interested parties on the information collection requirements contained in the </w:t>
      </w:r>
      <w:r w:rsidRPr="007C2E3E" w:rsidR="00EB2CAD">
        <w:rPr>
          <w:rFonts w:eastAsia="Batang"/>
        </w:rPr>
        <w:t>Student Data Form</w:t>
      </w:r>
      <w:r w:rsidRPr="007C2E3E">
        <w:t xml:space="preserve">.  The notice </w:t>
      </w:r>
      <w:r w:rsidR="002C59A0">
        <w:t>is</w:t>
      </w:r>
      <w:r w:rsidRPr="007C2E3E" w:rsidR="002C59A0">
        <w:t xml:space="preserve"> </w:t>
      </w:r>
      <w:r w:rsidRPr="007C2E3E">
        <w:t xml:space="preserve">part of a preclearance consultation program that provides the general public and government agencies with an opportunity to comment on the previously approved collections of information found in the Standard.  </w:t>
      </w:r>
      <w:r w:rsidRPr="007C2E3E">
        <w:rPr>
          <w:rFonts w:eastAsia="Calibri"/>
          <w:bCs/>
          <w:lang w:val="en-JM"/>
        </w:rPr>
        <w:t xml:space="preserve">The </w:t>
      </w:r>
      <w:r w:rsidR="00D17F53">
        <w:rPr>
          <w:rFonts w:eastAsia="Calibri"/>
          <w:bCs/>
          <w:lang w:val="en-JM"/>
        </w:rPr>
        <w:t>a</w:t>
      </w:r>
      <w:r w:rsidRPr="007C2E3E" w:rsidR="00D17F53">
        <w:rPr>
          <w:rFonts w:eastAsia="Calibri"/>
          <w:bCs/>
          <w:lang w:val="en-JM"/>
        </w:rPr>
        <w:t xml:space="preserve">gency </w:t>
      </w:r>
      <w:r w:rsidR="002C59A0">
        <w:rPr>
          <w:rFonts w:eastAsia="Calibri"/>
          <w:bCs/>
          <w:lang w:val="en-JM"/>
        </w:rPr>
        <w:t>did not receive any public comments.</w:t>
      </w:r>
    </w:p>
    <w:p w:rsidRPr="001A00CD" w:rsidR="007E78E5" w:rsidP="007E78E5" w:rsidRDefault="007E78E5" w14:paraId="13351947" w14:textId="77777777">
      <w:pPr>
        <w:widowControl/>
        <w:tabs>
          <w:tab w:val="left" w:pos="-1080"/>
          <w:tab w:val="left" w:pos="-720"/>
          <w:tab w:val="left" w:pos="0"/>
          <w:tab w:val="left" w:pos="720"/>
          <w:tab w:val="left" w:pos="990"/>
          <w:tab w:val="left" w:pos="2160"/>
        </w:tabs>
        <w:rPr>
          <w:rFonts w:cs="Shruti"/>
        </w:rPr>
      </w:pPr>
    </w:p>
    <w:p w:rsidRPr="001A00CD" w:rsidR="008F27B8" w:rsidP="00696BA4" w:rsidRDefault="008F27B8" w14:paraId="77176B5E" w14:textId="77777777">
      <w:pPr>
        <w:widowControl/>
        <w:tabs>
          <w:tab w:val="left" w:pos="720"/>
        </w:tabs>
      </w:pPr>
      <w:r w:rsidRPr="00545F51">
        <w:rPr>
          <w:b/>
          <w:bCs/>
        </w:rPr>
        <w:t xml:space="preserve">9.  Explain any decision to provide any payment or gift to respondents, other than </w:t>
      </w:r>
      <w:r w:rsidRPr="00545F51" w:rsidR="00063857">
        <w:rPr>
          <w:b/>
          <w:bCs/>
        </w:rPr>
        <w:t>remuneration</w:t>
      </w:r>
      <w:r w:rsidRPr="00545F51">
        <w:rPr>
          <w:b/>
          <w:bCs/>
        </w:rPr>
        <w:t xml:space="preserve"> of contractors or grantees.</w:t>
      </w:r>
    </w:p>
    <w:p w:rsidRPr="00485B9D" w:rsidR="008F27B8" w:rsidRDefault="008F27B8" w14:paraId="587EE64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F27B8" w:rsidRDefault="008F27B8" w14:paraId="1755898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OSHA will </w:t>
      </w:r>
      <w:r w:rsidRPr="00545F51">
        <w:t>not</w:t>
      </w:r>
      <w:r>
        <w:t xml:space="preserve"> provide payments or gifts to the student who complete</w:t>
      </w:r>
      <w:r w:rsidR="00B80C21">
        <w:t>s</w:t>
      </w:r>
      <w:r>
        <w:t xml:space="preserve"> the SDF.</w:t>
      </w:r>
    </w:p>
    <w:p w:rsidRPr="001A00CD" w:rsidR="008F27B8" w:rsidRDefault="008F27B8" w14:paraId="47893E4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1A00CD" w:rsidR="008F27B8" w:rsidP="00FC353E" w:rsidRDefault="008F27B8" w14:paraId="77263161" w14:textId="77777777">
      <w:pPr>
        <w:widowControl/>
        <w:ind w:left="360" w:hanging="360"/>
      </w:pPr>
      <w:r w:rsidRPr="00545F51">
        <w:rPr>
          <w:b/>
          <w:bCs/>
        </w:rPr>
        <w:lastRenderedPageBreak/>
        <w:t xml:space="preserve">10.  Describe any assurance of confidentiality provided to respondents and the basis for the assurance in statute, regulation, or </w:t>
      </w:r>
      <w:r w:rsidR="00D17F53">
        <w:rPr>
          <w:b/>
          <w:bCs/>
        </w:rPr>
        <w:t>a</w:t>
      </w:r>
      <w:r w:rsidRPr="00545F51" w:rsidR="00D17F53">
        <w:rPr>
          <w:b/>
          <w:bCs/>
        </w:rPr>
        <w:t xml:space="preserve">gency </w:t>
      </w:r>
      <w:r w:rsidRPr="00545F51">
        <w:rPr>
          <w:b/>
          <w:bCs/>
        </w:rPr>
        <w:t>policy.</w:t>
      </w:r>
    </w:p>
    <w:p w:rsidRPr="00485B9D" w:rsidR="008F27B8" w:rsidRDefault="008F27B8" w14:paraId="0F415A6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FC353E" w:rsidR="008F27B8" w:rsidRDefault="008F27B8" w14:paraId="593657D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C353E">
        <w:t xml:space="preserve">The </w:t>
      </w:r>
      <w:r w:rsidR="00D17F53">
        <w:t>a</w:t>
      </w:r>
      <w:r w:rsidRPr="00FC353E" w:rsidR="00D17F53">
        <w:t xml:space="preserve">gency </w:t>
      </w:r>
      <w:r w:rsidRPr="00FC353E">
        <w:t>provides no assurance of confidentiality regarding the information collected by the SDF because it believes that none of this information is confidential.</w:t>
      </w:r>
    </w:p>
    <w:p w:rsidRPr="001A00CD" w:rsidR="008F27B8" w:rsidRDefault="008F27B8" w14:paraId="14D5C4C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1A00CD" w:rsidR="008F27B8" w:rsidP="00FC353E" w:rsidRDefault="008F27B8" w14:paraId="67EBCE8D" w14:textId="77777777">
      <w:pPr>
        <w:widowControl/>
        <w:ind w:left="360" w:hanging="360"/>
      </w:pPr>
      <w:r w:rsidRPr="00545F51">
        <w:rPr>
          <w:b/>
          <w:bCs/>
        </w:rPr>
        <w:t xml:space="preserve">11.  Provide additional justification for any questions of a sensitive nature, such as sexual behavior and attitudes, religious beliefs, and other matters that are commonly considered private.  This justification should include the reasons why the </w:t>
      </w:r>
      <w:r w:rsidR="00D17F53">
        <w:rPr>
          <w:b/>
          <w:bCs/>
        </w:rPr>
        <w:t>a</w:t>
      </w:r>
      <w:r w:rsidRPr="00545F51" w:rsidR="00D17F53">
        <w:rPr>
          <w:b/>
          <w:bCs/>
        </w:rPr>
        <w:t xml:space="preserve">gency </w:t>
      </w:r>
      <w:r w:rsidRPr="00545F51">
        <w:rPr>
          <w:b/>
          <w:bCs/>
        </w:rPr>
        <w:t>considers the questions necessary, the specific uses to be made of the information, the explanation to be given to persons f</w:t>
      </w:r>
      <w:r w:rsidRPr="00545F51" w:rsidR="005F6AD0">
        <w:rPr>
          <w:b/>
          <w:bCs/>
        </w:rPr>
        <w:t>r</w:t>
      </w:r>
      <w:r w:rsidRPr="00545F51" w:rsidR="004F0C3A">
        <w:rPr>
          <w:b/>
          <w:bCs/>
        </w:rPr>
        <w:t>o</w:t>
      </w:r>
      <w:r w:rsidRPr="00545F51" w:rsidR="005F6AD0">
        <w:rPr>
          <w:b/>
          <w:bCs/>
        </w:rPr>
        <w:t>m</w:t>
      </w:r>
      <w:r w:rsidRPr="00545F51">
        <w:rPr>
          <w:b/>
          <w:bCs/>
        </w:rPr>
        <w:t xml:space="preserve"> whom the information is requested, and any steps to be taken to obtain their consent.</w:t>
      </w:r>
    </w:p>
    <w:p w:rsidRPr="00485B9D" w:rsidR="008F27B8" w:rsidRDefault="008F27B8" w14:paraId="5C5FEE8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F27B8" w:rsidRDefault="008F27B8" w14:paraId="674DD1A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w:t>
      </w:r>
      <w:r w:rsidR="00D17F53">
        <w:t xml:space="preserve">agency </w:t>
      </w:r>
      <w:r>
        <w:t>believes that none of the information collected by the SDF is sensitive.</w:t>
      </w:r>
    </w:p>
    <w:p w:rsidRPr="001A00CD" w:rsidR="008F27B8" w:rsidRDefault="008F27B8" w14:paraId="2F71117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545F51" w:rsidR="008F27B8" w:rsidRDefault="008F27B8" w14:paraId="1FB7F09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545F51">
        <w:rPr>
          <w:b/>
          <w:bCs/>
        </w:rPr>
        <w:t>12.  Provide estimates of the hour burden of the collection of information.  The statement should:</w:t>
      </w:r>
    </w:p>
    <w:p w:rsidRPr="00545F51" w:rsidR="008F27B8" w:rsidRDefault="008F27B8" w14:paraId="6E960CC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Pr="00545F51" w:rsidR="008F27B8" w:rsidP="00545F51" w:rsidRDefault="008F27B8" w14:paraId="0D74F70D"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rPr>
      </w:pPr>
      <w:r w:rsidRPr="00545F51">
        <w:rPr>
          <w:b/>
          <w:bCs/>
        </w:rPr>
        <w:sym w:font="Symbol" w:char="F0D7"/>
      </w:r>
      <w:r w:rsidRPr="00545F51">
        <w:rPr>
          <w:b/>
          <w:bCs/>
        </w:rPr>
        <w:t xml:space="preserve">  Indicate the number of respondents, frequency of response, annual hour burden, and an</w:t>
      </w:r>
      <w:r w:rsidR="001A00CD">
        <w:rPr>
          <w:b/>
          <w:bCs/>
        </w:rPr>
        <w:t xml:space="preserve"> </w:t>
      </w:r>
      <w:r w:rsidRPr="00545F51">
        <w:rPr>
          <w:b/>
          <w:bCs/>
        </w:rPr>
        <w:t>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545F51" w:rsidR="008F27B8" w:rsidRDefault="008F27B8" w14:paraId="5B366F9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Pr="00545F51" w:rsidR="008F27B8" w:rsidP="00545F51" w:rsidRDefault="008F27B8" w14:paraId="52639A5E"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rPr>
      </w:pPr>
      <w:r w:rsidRPr="00545F51">
        <w:rPr>
          <w:b/>
          <w:bCs/>
        </w:rPr>
        <w:sym w:font="Symbol" w:char="F0D7"/>
      </w:r>
      <w:r w:rsidRPr="00545F51">
        <w:rPr>
          <w:b/>
          <w:bCs/>
        </w:rPr>
        <w:t xml:space="preserve">  If this request for approval covers more than one form, provide separate hour burden estimate for estimates for each form</w:t>
      </w:r>
      <w:r w:rsidRPr="00545F51" w:rsidR="00607480">
        <w:rPr>
          <w:b/>
          <w:bCs/>
        </w:rPr>
        <w:t>.</w:t>
      </w:r>
    </w:p>
    <w:p w:rsidRPr="00545F51" w:rsidR="008F27B8" w:rsidRDefault="008F27B8" w14:paraId="5225EFE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Pr="001A00CD" w:rsidR="008F27B8" w:rsidP="00545F51" w:rsidRDefault="008F27B8" w14:paraId="14722088"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545F51">
        <w:rPr>
          <w:b/>
          <w:bCs/>
        </w:rPr>
        <w:sym w:font="Symbol" w:char="F0D7"/>
      </w:r>
      <w:r w:rsidRPr="00545F51">
        <w:rPr>
          <w:b/>
          <w:bCs/>
        </w:rPr>
        <w:t xml:space="preserve">  Provide estimates of annualized cost to respondents for the hour burdens for collection</w:t>
      </w:r>
      <w:r w:rsidRPr="00545F51" w:rsidR="00607480">
        <w:rPr>
          <w:b/>
          <w:bCs/>
        </w:rPr>
        <w:t>s</w:t>
      </w:r>
      <w:r w:rsidRPr="00545F51">
        <w:rPr>
          <w:b/>
          <w:bCs/>
        </w:rPr>
        <w:t xml:space="preserve"> of</w:t>
      </w:r>
      <w:r w:rsidRPr="00545F51" w:rsidR="00F678A8">
        <w:rPr>
          <w:b/>
          <w:bCs/>
        </w:rPr>
        <w:t xml:space="preserve"> </w:t>
      </w:r>
      <w:r w:rsidRPr="00545F51">
        <w:rPr>
          <w:b/>
          <w:bCs/>
        </w:rPr>
        <w:t>information, identifying and using appropriate wage rate categories.  The cost of contracting out or paying outside parties for information collection activities should not be included here.  Instead, this cost should be included in Item 14.</w:t>
      </w:r>
    </w:p>
    <w:p w:rsidRPr="00485B9D" w:rsidR="008F27B8" w:rsidRDefault="008F27B8" w14:paraId="7956B52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F27B8" w:rsidRDefault="008F27B8" w14:paraId="0E71934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678A8">
        <w:t>A</w:t>
      </w:r>
      <w:r w:rsidRPr="00F678A8" w:rsidR="00A41878">
        <w:t xml:space="preserve">n average </w:t>
      </w:r>
      <w:r w:rsidRPr="00F678A8" w:rsidR="00A76753">
        <w:t xml:space="preserve">of </w:t>
      </w:r>
      <w:r w:rsidR="006F019D">
        <w:t>4</w:t>
      </w:r>
      <w:r w:rsidRPr="00F678A8" w:rsidR="003D72BF">
        <w:t>,0</w:t>
      </w:r>
      <w:r w:rsidRPr="00F678A8" w:rsidR="00B10748">
        <w:t>00</w:t>
      </w:r>
      <w:r w:rsidRPr="00F678A8">
        <w:t xml:space="preserve"> students attend</w:t>
      </w:r>
      <w:r w:rsidRPr="00F678A8" w:rsidR="00A76753">
        <w:t>ed</w:t>
      </w:r>
      <w:r w:rsidRPr="00F678A8">
        <w:t xml:space="preserve"> the </w:t>
      </w:r>
      <w:r w:rsidR="00C34FC1">
        <w:t xml:space="preserve">OSHA Training </w:t>
      </w:r>
      <w:r w:rsidRPr="00F678A8">
        <w:t xml:space="preserve">Institute </w:t>
      </w:r>
      <w:r w:rsidRPr="00F678A8" w:rsidR="00A76753">
        <w:t xml:space="preserve">each </w:t>
      </w:r>
      <w:r w:rsidRPr="00F678A8">
        <w:t>fiscal year</w:t>
      </w:r>
      <w:r w:rsidRPr="00F678A8" w:rsidR="00A76753">
        <w:t xml:space="preserve"> </w:t>
      </w:r>
      <w:r w:rsidRPr="00F678A8" w:rsidR="003D72BF">
        <w:t xml:space="preserve">from </w:t>
      </w:r>
      <w:r w:rsidRPr="00F678A8" w:rsidR="00A76753">
        <w:t>FY 20</w:t>
      </w:r>
      <w:r w:rsidRPr="00F678A8" w:rsidR="003D72BF">
        <w:t>1</w:t>
      </w:r>
      <w:r w:rsidR="00FE76CF">
        <w:t>4</w:t>
      </w:r>
      <w:r w:rsidRPr="00F678A8" w:rsidR="00A76753">
        <w:t xml:space="preserve"> through FY 201</w:t>
      </w:r>
      <w:r w:rsidR="00FE76CF">
        <w:t>6</w:t>
      </w:r>
      <w:r w:rsidRPr="00F678A8" w:rsidR="003D72BF">
        <w:t xml:space="preserve">.  Each </w:t>
      </w:r>
      <w:r w:rsidRPr="00F678A8">
        <w:t>student complete</w:t>
      </w:r>
      <w:r w:rsidRPr="00F678A8" w:rsidR="00606737">
        <w:t>s</w:t>
      </w:r>
      <w:r w:rsidRPr="00F678A8">
        <w:t xml:space="preserve"> one S</w:t>
      </w:r>
      <w:r w:rsidRPr="00F678A8" w:rsidR="001A322B">
        <w:t>tudent Data Form</w:t>
      </w:r>
      <w:r w:rsidRPr="00F678A8">
        <w:t>.</w:t>
      </w:r>
      <w:r w:rsidRPr="00F678A8" w:rsidR="00B3321E">
        <w:t xml:space="preserve">  </w:t>
      </w:r>
      <w:r w:rsidRPr="00F678A8">
        <w:t xml:space="preserve">OSHA estimates that it takes 5 minutes </w:t>
      </w:r>
      <w:r w:rsidR="003B0720">
        <w:t>(</w:t>
      </w:r>
      <w:r w:rsidR="006F019D">
        <w:t>5/60</w:t>
      </w:r>
      <w:r w:rsidR="003B0720">
        <w:t xml:space="preserve"> hour) </w:t>
      </w:r>
      <w:r w:rsidRPr="00F678A8">
        <w:t xml:space="preserve">for a student to complete the form, resulting in a total of </w:t>
      </w:r>
      <w:r w:rsidR="006F019D">
        <w:t>333</w:t>
      </w:r>
      <w:r w:rsidRPr="00F678A8" w:rsidR="006F019D">
        <w:t xml:space="preserve"> </w:t>
      </w:r>
      <w:r w:rsidRPr="00F678A8">
        <w:t xml:space="preserve">burden </w:t>
      </w:r>
      <w:r w:rsidRPr="00F678A8">
        <w:lastRenderedPageBreak/>
        <w:t>hours.</w:t>
      </w:r>
      <w:r w:rsidRPr="00F678A8" w:rsidR="00607480">
        <w:t xml:space="preserve"> </w:t>
      </w:r>
      <w:r w:rsidRPr="00F678A8">
        <w:t>The cost to students/employers associated with completing the SDF is negligible because completion time per student is only 5 minutes</w:t>
      </w:r>
      <w:r w:rsidRPr="00F678A8" w:rsidR="006F3466">
        <w:t xml:space="preserve"> (</w:t>
      </w:r>
      <w:r w:rsidR="006F019D">
        <w:t>5/60</w:t>
      </w:r>
      <w:r w:rsidRPr="00F678A8" w:rsidR="006F3466">
        <w:t xml:space="preserve"> hour)</w:t>
      </w:r>
      <w:r w:rsidRPr="00F678A8" w:rsidR="003D72BF">
        <w:t>.  T</w:t>
      </w:r>
      <w:r w:rsidRPr="00F678A8">
        <w:t xml:space="preserve">he </w:t>
      </w:r>
      <w:r w:rsidR="00D17F53">
        <w:t>a</w:t>
      </w:r>
      <w:r w:rsidRPr="00F678A8" w:rsidR="00D17F53">
        <w:t xml:space="preserve">gency </w:t>
      </w:r>
      <w:r w:rsidRPr="00F678A8">
        <w:t>collects the information as part of the training course attended by the student who completes the form</w:t>
      </w:r>
      <w:r w:rsidRPr="00F678A8" w:rsidR="003D72BF">
        <w:t>.  The</w:t>
      </w:r>
      <w:r w:rsidRPr="00F678A8">
        <w:t xml:space="preserve"> average student will attend only </w:t>
      </w:r>
      <w:r w:rsidRPr="00F678A8" w:rsidR="003D72BF">
        <w:t>one</w:t>
      </w:r>
      <w:r w:rsidRPr="00F678A8">
        <w:t xml:space="preserve"> course during the fiscal year.  </w:t>
      </w:r>
      <w:r w:rsidRPr="003C0872" w:rsidR="00B3321E">
        <w:t xml:space="preserve">The </w:t>
      </w:r>
      <w:r w:rsidRPr="003C0872">
        <w:t xml:space="preserve">typical federal employee (student) attending an </w:t>
      </w:r>
      <w:r w:rsidRPr="007C2E3E" w:rsidR="00C34FC1">
        <w:t xml:space="preserve">OSHA Training </w:t>
      </w:r>
      <w:r w:rsidRPr="007C2E3E">
        <w:t>Institut</w:t>
      </w:r>
      <w:r w:rsidRPr="007C2E3E" w:rsidR="00C34FC1">
        <w:t xml:space="preserve">e </w:t>
      </w:r>
      <w:r w:rsidRPr="00FD2111">
        <w:t xml:space="preserve">course is an Occupational Safety </w:t>
      </w:r>
      <w:r w:rsidRPr="00FD2111" w:rsidR="009137A1">
        <w:t xml:space="preserve">and Health </w:t>
      </w:r>
      <w:r w:rsidRPr="00FD2111">
        <w:t xml:space="preserve">Specialist (GS-7, </w:t>
      </w:r>
      <w:r w:rsidRPr="00FD2111" w:rsidR="00606737">
        <w:t>S</w:t>
      </w:r>
      <w:r w:rsidRPr="00FD2111">
        <w:t>tep 1</w:t>
      </w:r>
      <w:r w:rsidRPr="00FD2111" w:rsidR="00024E50">
        <w:rPr>
          <w:rStyle w:val="FootnoteReference"/>
          <w:vertAlign w:val="superscript"/>
        </w:rPr>
        <w:footnoteReference w:id="1"/>
      </w:r>
      <w:r w:rsidRPr="00FD2111">
        <w:t>) with an hourly rate</w:t>
      </w:r>
      <w:r w:rsidRPr="00FD2111" w:rsidR="00B3321E">
        <w:t xml:space="preserve"> </w:t>
      </w:r>
      <w:r w:rsidRPr="00FD2111">
        <w:t>of $</w:t>
      </w:r>
      <w:r w:rsidR="00EA1403">
        <w:t>17.42</w:t>
      </w:r>
      <w:r w:rsidRPr="00FD2111">
        <w:t xml:space="preserve">per hour.  Assuming that the hourly rate for non-federal </w:t>
      </w:r>
      <w:r w:rsidRPr="00FD2111" w:rsidR="00607480">
        <w:t>workers</w:t>
      </w:r>
      <w:r w:rsidRPr="00FD2111">
        <w:t xml:space="preserve"> (students) (e.g., from state-plan states or the private sector) is similar, then the total cost to complete the SDF is $</w:t>
      </w:r>
      <w:r w:rsidR="00EA1403">
        <w:t>7,429</w:t>
      </w:r>
      <w:r w:rsidRPr="00FD2111">
        <w:t xml:space="preserve"> (i.e., </w:t>
      </w:r>
      <w:r w:rsidR="006F019D">
        <w:t>333</w:t>
      </w:r>
      <w:r w:rsidRPr="00FD2111" w:rsidR="006F019D">
        <w:t xml:space="preserve"> </w:t>
      </w:r>
      <w:r w:rsidRPr="00FD2111">
        <w:t>hours x $</w:t>
      </w:r>
      <w:r w:rsidR="006F019D">
        <w:t>17.42</w:t>
      </w:r>
      <w:r w:rsidRPr="00FD2111">
        <w:t xml:space="preserve"> = $</w:t>
      </w:r>
      <w:r w:rsidR="006F019D">
        <w:t>5,801</w:t>
      </w:r>
      <w:r w:rsidRPr="00FD2111" w:rsidR="00F7346A">
        <w:t>).</w:t>
      </w:r>
    </w:p>
    <w:p w:rsidR="007F7338" w:rsidRDefault="007F7338" w14:paraId="362B140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F7338" w:rsidP="007F7338" w:rsidRDefault="007F7338" w14:paraId="2DAC549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sectPr w:rsidR="007F7338" w:rsidSect="0052074F">
          <w:headerReference w:type="default" r:id="rId11"/>
          <w:footerReference w:type="even" r:id="rId12"/>
          <w:footerReference w:type="default" r:id="rId13"/>
          <w:headerReference w:type="first" r:id="rId14"/>
          <w:type w:val="continuous"/>
          <w:pgSz w:w="12240" w:h="15840"/>
          <w:pgMar w:top="1440" w:right="1440" w:bottom="1440" w:left="1440" w:header="1440" w:footer="1440" w:gutter="0"/>
          <w:cols w:space="720"/>
          <w:noEndnote/>
          <w:titlePg/>
          <w:docGrid w:linePitch="326"/>
        </w:sect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56"/>
        <w:gridCol w:w="1496"/>
        <w:gridCol w:w="1523"/>
        <w:gridCol w:w="1430"/>
        <w:gridCol w:w="1270"/>
        <w:gridCol w:w="1270"/>
        <w:gridCol w:w="1064"/>
        <w:gridCol w:w="1069"/>
        <w:gridCol w:w="1064"/>
      </w:tblGrid>
      <w:tr w:rsidR="007F7338" w:rsidTr="001D657E" w14:paraId="5B450E43" w14:textId="77777777">
        <w:tc>
          <w:tcPr>
            <w:tcW w:w="9576" w:type="dxa"/>
            <w:gridSpan w:val="9"/>
            <w:shd w:val="clear" w:color="auto" w:fill="auto"/>
          </w:tcPr>
          <w:p w:rsidRPr="001D657E" w:rsidR="007F7338" w:rsidP="001D657E" w:rsidRDefault="007F7338" w14:paraId="47351A7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1D657E">
              <w:rPr>
                <w:b/>
              </w:rPr>
              <w:lastRenderedPageBreak/>
              <w:t>Estimated Annualized Respondent hour and Cost Burden Table</w:t>
            </w:r>
          </w:p>
        </w:tc>
      </w:tr>
      <w:tr w:rsidR="007F7338" w:rsidTr="001D657E" w14:paraId="5E025F00" w14:textId="77777777">
        <w:tc>
          <w:tcPr>
            <w:tcW w:w="1064" w:type="dxa"/>
            <w:shd w:val="clear" w:color="auto" w:fill="auto"/>
          </w:tcPr>
          <w:p w:rsidRPr="001D657E" w:rsidR="007F7338" w:rsidP="001D657E" w:rsidRDefault="007F7338" w14:paraId="034101A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1D657E">
              <w:rPr>
                <w:b/>
              </w:rPr>
              <w:t>Information Collection Requirements (Across Top of Rows)</w:t>
            </w:r>
          </w:p>
        </w:tc>
        <w:tc>
          <w:tcPr>
            <w:tcW w:w="1064" w:type="dxa"/>
            <w:shd w:val="clear" w:color="auto" w:fill="auto"/>
          </w:tcPr>
          <w:p w:rsidRPr="001D657E" w:rsidR="007F7338" w:rsidP="001D657E" w:rsidRDefault="007F7338" w14:paraId="6FE9FB7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1D657E">
              <w:rPr>
                <w:b/>
              </w:rPr>
              <w:t>Type or Respondent</w:t>
            </w:r>
          </w:p>
        </w:tc>
        <w:tc>
          <w:tcPr>
            <w:tcW w:w="1064" w:type="dxa"/>
            <w:shd w:val="clear" w:color="auto" w:fill="auto"/>
          </w:tcPr>
          <w:p w:rsidRPr="001D657E" w:rsidR="007F7338" w:rsidP="001D657E" w:rsidRDefault="007F7338" w14:paraId="7E604E0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1D657E">
              <w:rPr>
                <w:b/>
              </w:rPr>
              <w:t>Number of Respondents</w:t>
            </w:r>
          </w:p>
        </w:tc>
        <w:tc>
          <w:tcPr>
            <w:tcW w:w="1064" w:type="dxa"/>
            <w:shd w:val="clear" w:color="auto" w:fill="auto"/>
          </w:tcPr>
          <w:p w:rsidRPr="001D657E" w:rsidR="007F7338" w:rsidP="001D657E" w:rsidRDefault="007F7338" w14:paraId="4F9F79C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1D657E">
              <w:rPr>
                <w:b/>
              </w:rPr>
              <w:t>Number of Responses per Respondent</w:t>
            </w:r>
          </w:p>
        </w:tc>
        <w:tc>
          <w:tcPr>
            <w:tcW w:w="1064" w:type="dxa"/>
            <w:shd w:val="clear" w:color="auto" w:fill="auto"/>
          </w:tcPr>
          <w:p w:rsidRPr="001D657E" w:rsidR="007F7338" w:rsidP="001D657E" w:rsidRDefault="007F7338" w14:paraId="340FA98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1D657E">
              <w:rPr>
                <w:b/>
              </w:rPr>
              <w:t>Total Number of Responses</w:t>
            </w:r>
          </w:p>
        </w:tc>
        <w:tc>
          <w:tcPr>
            <w:tcW w:w="1064" w:type="dxa"/>
            <w:shd w:val="clear" w:color="auto" w:fill="auto"/>
          </w:tcPr>
          <w:p w:rsidRPr="001D657E" w:rsidR="007F7338" w:rsidP="001D657E" w:rsidRDefault="007F7338" w14:paraId="57E7588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1D657E">
              <w:rPr>
                <w:b/>
              </w:rPr>
              <w:t>Average burden per Responses (in Hrs.)</w:t>
            </w:r>
          </w:p>
        </w:tc>
        <w:tc>
          <w:tcPr>
            <w:tcW w:w="1064" w:type="dxa"/>
            <w:shd w:val="clear" w:color="auto" w:fill="auto"/>
          </w:tcPr>
          <w:p w:rsidRPr="001D657E" w:rsidR="007F7338" w:rsidP="001D657E" w:rsidRDefault="007F7338" w14:paraId="613C7E5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1D657E">
              <w:rPr>
                <w:b/>
              </w:rPr>
              <w:t>Total burden Hours</w:t>
            </w:r>
          </w:p>
        </w:tc>
        <w:tc>
          <w:tcPr>
            <w:tcW w:w="1064" w:type="dxa"/>
            <w:shd w:val="clear" w:color="auto" w:fill="auto"/>
          </w:tcPr>
          <w:p w:rsidRPr="001D657E" w:rsidR="007F7338" w:rsidP="001D657E" w:rsidRDefault="007F7338" w14:paraId="68C707F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1D657E">
              <w:rPr>
                <w:b/>
              </w:rPr>
              <w:t>Average Hourly Wage Rate</w:t>
            </w:r>
          </w:p>
        </w:tc>
        <w:tc>
          <w:tcPr>
            <w:tcW w:w="1064" w:type="dxa"/>
            <w:shd w:val="clear" w:color="auto" w:fill="auto"/>
          </w:tcPr>
          <w:p w:rsidRPr="001D657E" w:rsidR="007F7338" w:rsidP="001D657E" w:rsidRDefault="007F7338" w14:paraId="3689C2C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1D657E">
              <w:rPr>
                <w:b/>
              </w:rPr>
              <w:t>Total Burden Cost</w:t>
            </w:r>
          </w:p>
        </w:tc>
      </w:tr>
      <w:tr w:rsidR="007F7338" w:rsidTr="001D657E" w14:paraId="0F6A827D" w14:textId="77777777">
        <w:tc>
          <w:tcPr>
            <w:tcW w:w="1064" w:type="dxa"/>
            <w:shd w:val="clear" w:color="auto" w:fill="auto"/>
          </w:tcPr>
          <w:p w:rsidR="007F7338" w:rsidP="001D657E" w:rsidRDefault="007F7338" w14:paraId="1C0375D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Studen</w:t>
            </w:r>
            <w:r w:rsidR="00E64059">
              <w:t>t</w:t>
            </w:r>
            <w:r>
              <w:t xml:space="preserve"> Dat</w:t>
            </w:r>
            <w:r w:rsidR="009A2459">
              <w:t>a</w:t>
            </w:r>
            <w:r>
              <w:t xml:space="preserve"> Form</w:t>
            </w:r>
          </w:p>
        </w:tc>
        <w:tc>
          <w:tcPr>
            <w:tcW w:w="1064" w:type="dxa"/>
            <w:shd w:val="clear" w:color="auto" w:fill="auto"/>
          </w:tcPr>
          <w:p w:rsidR="007F7338" w:rsidP="001D657E" w:rsidRDefault="007F7338" w14:paraId="4BCD8A9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Occupational Safety &amp; Health Specialist (GS-7, Step 1)</w:t>
            </w:r>
          </w:p>
        </w:tc>
        <w:tc>
          <w:tcPr>
            <w:tcW w:w="1064" w:type="dxa"/>
            <w:shd w:val="clear" w:color="auto" w:fill="auto"/>
          </w:tcPr>
          <w:p w:rsidR="007F7338" w:rsidP="001D657E" w:rsidRDefault="007F7338" w14:paraId="274A542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4,000</w:t>
            </w:r>
          </w:p>
        </w:tc>
        <w:tc>
          <w:tcPr>
            <w:tcW w:w="1064" w:type="dxa"/>
            <w:shd w:val="clear" w:color="auto" w:fill="auto"/>
          </w:tcPr>
          <w:p w:rsidR="007F7338" w:rsidP="001D657E" w:rsidRDefault="007F7338" w14:paraId="698BA78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1</w:t>
            </w:r>
          </w:p>
        </w:tc>
        <w:tc>
          <w:tcPr>
            <w:tcW w:w="1064" w:type="dxa"/>
            <w:shd w:val="clear" w:color="auto" w:fill="auto"/>
          </w:tcPr>
          <w:p w:rsidR="007F7338" w:rsidP="001D657E" w:rsidRDefault="007F7338" w14:paraId="2DA6987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4,000</w:t>
            </w:r>
          </w:p>
        </w:tc>
        <w:tc>
          <w:tcPr>
            <w:tcW w:w="1064" w:type="dxa"/>
            <w:shd w:val="clear" w:color="auto" w:fill="auto"/>
          </w:tcPr>
          <w:p w:rsidR="007F7338" w:rsidP="001D657E" w:rsidRDefault="007F7338" w14:paraId="6B3416C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5/60</w:t>
            </w:r>
          </w:p>
        </w:tc>
        <w:tc>
          <w:tcPr>
            <w:tcW w:w="1064" w:type="dxa"/>
            <w:shd w:val="clear" w:color="auto" w:fill="auto"/>
          </w:tcPr>
          <w:p w:rsidR="007F7338" w:rsidP="001D657E" w:rsidRDefault="007F7338" w14:paraId="485B7CD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333</w:t>
            </w:r>
          </w:p>
        </w:tc>
        <w:tc>
          <w:tcPr>
            <w:tcW w:w="1064" w:type="dxa"/>
            <w:shd w:val="clear" w:color="auto" w:fill="auto"/>
          </w:tcPr>
          <w:p w:rsidR="007F7338" w:rsidP="001D657E" w:rsidRDefault="007F7338" w14:paraId="78D0C06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$17.42</w:t>
            </w:r>
          </w:p>
        </w:tc>
        <w:tc>
          <w:tcPr>
            <w:tcW w:w="1064" w:type="dxa"/>
            <w:shd w:val="clear" w:color="auto" w:fill="auto"/>
          </w:tcPr>
          <w:p w:rsidR="007F7338" w:rsidP="001D657E" w:rsidRDefault="007F7338" w14:paraId="7B733FF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$5,801</w:t>
            </w:r>
          </w:p>
        </w:tc>
      </w:tr>
      <w:tr w:rsidR="0039552E" w:rsidTr="001D657E" w14:paraId="34717517" w14:textId="77777777">
        <w:tc>
          <w:tcPr>
            <w:tcW w:w="1064" w:type="dxa"/>
            <w:shd w:val="clear" w:color="auto" w:fill="auto"/>
          </w:tcPr>
          <w:p w:rsidRPr="001D657E" w:rsidR="0039552E" w:rsidP="001D657E" w:rsidRDefault="0039552E" w14:paraId="041CA41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1D657E">
              <w:rPr>
                <w:b/>
              </w:rPr>
              <w:t>TOTAL</w:t>
            </w:r>
          </w:p>
        </w:tc>
        <w:tc>
          <w:tcPr>
            <w:tcW w:w="1064" w:type="dxa"/>
            <w:shd w:val="clear" w:color="auto" w:fill="auto"/>
          </w:tcPr>
          <w:p w:rsidRPr="001D657E" w:rsidR="0039552E" w:rsidP="001D657E" w:rsidRDefault="0039552E" w14:paraId="59CFE66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tc>
        <w:tc>
          <w:tcPr>
            <w:tcW w:w="1064" w:type="dxa"/>
            <w:shd w:val="clear" w:color="auto" w:fill="auto"/>
          </w:tcPr>
          <w:p w:rsidRPr="001D657E" w:rsidR="0039552E" w:rsidP="001D657E" w:rsidRDefault="0039552E" w14:paraId="17C7451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rPr>
            </w:pPr>
            <w:r w:rsidRPr="001D657E">
              <w:rPr>
                <w:b/>
              </w:rPr>
              <w:t>4,000</w:t>
            </w:r>
          </w:p>
        </w:tc>
        <w:tc>
          <w:tcPr>
            <w:tcW w:w="1064" w:type="dxa"/>
            <w:shd w:val="clear" w:color="auto" w:fill="auto"/>
          </w:tcPr>
          <w:p w:rsidRPr="001D657E" w:rsidR="0039552E" w:rsidP="001D657E" w:rsidRDefault="0039552E" w14:paraId="52B2D30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rPr>
            </w:pPr>
            <w:r w:rsidRPr="001D657E">
              <w:rPr>
                <w:b/>
              </w:rPr>
              <w:t>1</w:t>
            </w:r>
          </w:p>
        </w:tc>
        <w:tc>
          <w:tcPr>
            <w:tcW w:w="1064" w:type="dxa"/>
            <w:shd w:val="clear" w:color="auto" w:fill="auto"/>
          </w:tcPr>
          <w:p w:rsidRPr="001D657E" w:rsidR="0039552E" w:rsidP="001D657E" w:rsidRDefault="0039552E" w14:paraId="3157AD6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rPr>
            </w:pPr>
            <w:r w:rsidRPr="001D657E">
              <w:rPr>
                <w:b/>
              </w:rPr>
              <w:t>4,000</w:t>
            </w:r>
          </w:p>
        </w:tc>
        <w:tc>
          <w:tcPr>
            <w:tcW w:w="1064" w:type="dxa"/>
            <w:shd w:val="clear" w:color="auto" w:fill="auto"/>
          </w:tcPr>
          <w:p w:rsidRPr="001D657E" w:rsidR="0039552E" w:rsidP="001D657E" w:rsidRDefault="0039552E" w14:paraId="0BA4492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rPr>
            </w:pPr>
            <w:r w:rsidRPr="001D657E">
              <w:rPr>
                <w:b/>
              </w:rPr>
              <w:t>5/60</w:t>
            </w:r>
          </w:p>
        </w:tc>
        <w:tc>
          <w:tcPr>
            <w:tcW w:w="1064" w:type="dxa"/>
            <w:shd w:val="clear" w:color="auto" w:fill="auto"/>
          </w:tcPr>
          <w:p w:rsidRPr="001D657E" w:rsidR="0039552E" w:rsidP="001D657E" w:rsidRDefault="0039552E" w14:paraId="3896EC8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rPr>
            </w:pPr>
            <w:r w:rsidRPr="001D657E">
              <w:rPr>
                <w:b/>
              </w:rPr>
              <w:t>333</w:t>
            </w:r>
          </w:p>
        </w:tc>
        <w:tc>
          <w:tcPr>
            <w:tcW w:w="1064" w:type="dxa"/>
            <w:shd w:val="clear" w:color="auto" w:fill="auto"/>
          </w:tcPr>
          <w:p w:rsidRPr="001D657E" w:rsidR="0039552E" w:rsidP="001D657E" w:rsidRDefault="0039552E" w14:paraId="10FCD9F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rPr>
            </w:pPr>
            <w:r w:rsidRPr="001D657E">
              <w:rPr>
                <w:b/>
              </w:rPr>
              <w:t>$17.42</w:t>
            </w:r>
          </w:p>
        </w:tc>
        <w:tc>
          <w:tcPr>
            <w:tcW w:w="1064" w:type="dxa"/>
            <w:shd w:val="clear" w:color="auto" w:fill="auto"/>
          </w:tcPr>
          <w:p w:rsidRPr="001D657E" w:rsidR="0039552E" w:rsidP="001D657E" w:rsidRDefault="0039552E" w14:paraId="4F42102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rPr>
            </w:pPr>
            <w:r w:rsidRPr="001D657E">
              <w:rPr>
                <w:b/>
              </w:rPr>
              <w:t>$5,801</w:t>
            </w:r>
          </w:p>
        </w:tc>
      </w:tr>
    </w:tbl>
    <w:p w:rsidR="007F7338" w:rsidRDefault="007F7338" w14:paraId="7FA5C88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ectPr w:rsidR="007F7338" w:rsidSect="00545F51">
          <w:type w:val="continuous"/>
          <w:pgSz w:w="15840" w:h="12240" w:orient="landscape"/>
          <w:pgMar w:top="1440" w:right="1440" w:bottom="1440" w:left="1440" w:header="1440" w:footer="1440" w:gutter="0"/>
          <w:cols w:space="720"/>
          <w:noEndnote/>
          <w:titlePg/>
          <w:docGrid w:linePitch="326"/>
        </w:sectPr>
      </w:pPr>
    </w:p>
    <w:p w:rsidRPr="00545F51" w:rsidR="008F27B8" w:rsidP="00AD48F2" w:rsidRDefault="008F27B8" w14:paraId="160B90DB" w14:textId="77777777">
      <w:pPr>
        <w:widowControl/>
        <w:ind w:left="360" w:hanging="360"/>
        <w:rPr>
          <w:b/>
          <w:bCs/>
        </w:rPr>
      </w:pPr>
      <w:r w:rsidRPr="00545F51">
        <w:rPr>
          <w:b/>
          <w:bCs/>
        </w:rPr>
        <w:lastRenderedPageBreak/>
        <w:t>13.  Provide an estimate of the total annual cost burden to respondents or recordkeepers resulting from the collection of information.  (Do not include the cost of any hour burden shown in Items 12 and 14.)</w:t>
      </w:r>
    </w:p>
    <w:p w:rsidRPr="00545F51" w:rsidR="008F27B8" w:rsidRDefault="008F27B8" w14:paraId="54C0EDE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Pr="00545F51" w:rsidR="008F27B8" w:rsidP="00AD48F2" w:rsidRDefault="008F27B8" w14:paraId="0873E102" w14:textId="77777777">
      <w:pPr>
        <w:widowControl/>
        <w:ind w:left="900" w:hanging="180"/>
        <w:rPr>
          <w:b/>
          <w:bCs/>
        </w:rPr>
      </w:pPr>
      <w:r w:rsidRPr="00545F51">
        <w:rPr>
          <w:b/>
          <w:bCs/>
        </w:rPr>
        <w:sym w:font="Symbol" w:char="F0D7"/>
      </w:r>
      <w:r w:rsidRPr="00545F51">
        <w:rPr>
          <w:b/>
          <w:bCs/>
        </w:rPr>
        <w:t xml:space="preserve">  The cost estimate should be split into two components:  (a) A total capital and start</w:t>
      </w:r>
      <w:r w:rsidRPr="00545F51">
        <w:rPr>
          <w:b/>
          <w:bCs/>
        </w:rPr>
        <w:noBreakHyphen/>
        <w: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w:t>
      </w:r>
      <w:r w:rsidRPr="00545F51">
        <w:rPr>
          <w:b/>
          <w:bCs/>
        </w:rPr>
        <w:noBreakHyphen/>
        <w:t>up costs include, among other items, preparations for collecting information such as purchasing computers and software; monitoring, sampling, drilling and testing equipment; and record storage facilities.</w:t>
      </w:r>
    </w:p>
    <w:p w:rsidRPr="00545F51" w:rsidR="008F27B8" w:rsidRDefault="008F27B8" w14:paraId="608BC9A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bCs/>
        </w:rPr>
      </w:pPr>
    </w:p>
    <w:p w:rsidRPr="00545F51" w:rsidR="008F27B8" w:rsidP="00AD48F2" w:rsidRDefault="008F27B8" w14:paraId="6DC37018" w14:textId="77777777">
      <w:pPr>
        <w:widowControl/>
        <w:ind w:left="900"/>
        <w:rPr>
          <w:b/>
          <w:bCs/>
        </w:rPr>
      </w:pPr>
      <w:r w:rsidRPr="00545F51">
        <w:rPr>
          <w:b/>
          <w:bCs/>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w:t>
      </w:r>
      <w:r w:rsidRPr="00545F51">
        <w:rPr>
          <w:b/>
          <w:bCs/>
        </w:rPr>
        <w:noBreakHyphen/>
        <w:t>day pre</w:t>
      </w:r>
      <w:r w:rsidRPr="00545F51">
        <w:rPr>
          <w:b/>
          <w:bCs/>
        </w:rPr>
        <w:noBreakHyphen/>
        <w:t>OMB submission public comment process and use existing economic or regulatory impact analysis associated with the rulemaking containing the information collection, as appropriate.</w:t>
      </w:r>
    </w:p>
    <w:p w:rsidRPr="00545F51" w:rsidR="008F27B8" w:rsidRDefault="008F27B8" w14:paraId="7DB0288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bCs/>
        </w:rPr>
      </w:pPr>
    </w:p>
    <w:p w:rsidRPr="001A00CD" w:rsidR="008F27B8" w:rsidP="00AD48F2" w:rsidRDefault="008F27B8" w14:paraId="6A108F59" w14:textId="77777777">
      <w:pPr>
        <w:widowControl/>
        <w:ind w:left="900" w:hanging="180"/>
      </w:pPr>
      <w:r w:rsidRPr="00545F51">
        <w:rPr>
          <w:b/>
          <w:bCs/>
        </w:rPr>
        <w:sym w:font="Symbol" w:char="F0D7"/>
      </w:r>
      <w:r w:rsidRPr="00545F51">
        <w:rPr>
          <w:b/>
          <w:bCs/>
        </w:rPr>
        <w:t xml:space="preserve">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485B9D" w:rsidR="008F27B8" w:rsidRDefault="008F27B8" w14:paraId="1858395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F27B8" w:rsidRDefault="00FD2111" w14:paraId="0B9CFA6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D2111">
        <w:t xml:space="preserve">There are no additional costs to the respondents other than their time.   </w:t>
      </w:r>
    </w:p>
    <w:p w:rsidRPr="001A00CD" w:rsidR="00FD2111" w:rsidRDefault="00FD2111" w14:paraId="203E160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545F51" w:rsidR="008F27B8" w:rsidP="00545F51" w:rsidRDefault="008F27B8" w14:paraId="08E1077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545F51">
        <w:rPr>
          <w:b/>
          <w:bCs/>
        </w:rPr>
        <w:t>14.  Provide estimates of the annualized cost to the Federal Government.  Also</w:t>
      </w:r>
      <w:r w:rsidRPr="00545F51" w:rsidR="00407FDF">
        <w:rPr>
          <w:b/>
          <w:bCs/>
        </w:rPr>
        <w:t>,</w:t>
      </w:r>
      <w:r w:rsidRPr="00545F51">
        <w:rPr>
          <w:b/>
          <w:bCs/>
        </w:rPr>
        <w:t xml:space="preserve"> provide a description of the</w:t>
      </w:r>
      <w:r w:rsidR="00D17F53">
        <w:rPr>
          <w:b/>
          <w:bCs/>
        </w:rPr>
        <w:t xml:space="preserve"> </w:t>
      </w:r>
      <w:r w:rsidRPr="00545F51">
        <w:rPr>
          <w:b/>
          <w:bCs/>
        </w:rPr>
        <w:t>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into single table.</w:t>
      </w:r>
    </w:p>
    <w:p w:rsidRPr="001A00CD" w:rsidR="00F7346A" w:rsidP="00F7346A" w:rsidRDefault="00F7346A" w14:paraId="3BE8BED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3"/>
      </w:pPr>
    </w:p>
    <w:p w:rsidRPr="009F09C4" w:rsidR="00F7346A" w:rsidP="00F7346A" w:rsidRDefault="00F7346A" w14:paraId="6AEE310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3"/>
      </w:pPr>
      <w:r w:rsidRPr="009F09C4">
        <w:lastRenderedPageBreak/>
        <w:t>OSHA estimates that the total annual cost to the Federal government of collecting and maintaining the information collected by the SDF is about $</w:t>
      </w:r>
      <w:r w:rsidR="00985752">
        <w:t>4,957</w:t>
      </w:r>
      <w:r w:rsidRPr="009F09C4">
        <w:t xml:space="preserve">.  The </w:t>
      </w:r>
      <w:r w:rsidR="00D17F53">
        <w:t>a</w:t>
      </w:r>
      <w:r w:rsidRPr="009F09C4" w:rsidR="00D17F53">
        <w:t xml:space="preserve">gency </w:t>
      </w:r>
      <w:r w:rsidRPr="009F09C4">
        <w:t>based this cost on the determinations provided in the following table:</w:t>
      </w:r>
    </w:p>
    <w:p w:rsidRPr="009F09C4" w:rsidR="00F7346A" w:rsidP="00F7346A" w:rsidRDefault="00F7346A" w14:paraId="4EDC654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3"/>
        <w:rPr>
          <w:b/>
          <w:bCs/>
        </w:rPr>
      </w:pPr>
    </w:p>
    <w:tbl>
      <w:tblPr>
        <w:tblW w:w="0" w:type="auto"/>
        <w:jc w:val="center"/>
        <w:tblLayout w:type="fixed"/>
        <w:tblCellMar>
          <w:left w:w="120" w:type="dxa"/>
          <w:right w:w="120" w:type="dxa"/>
        </w:tblCellMar>
        <w:tblLook w:val="0000" w:firstRow="0" w:lastRow="0" w:firstColumn="0" w:lastColumn="0" w:noHBand="0" w:noVBand="0"/>
      </w:tblPr>
      <w:tblGrid>
        <w:gridCol w:w="2430"/>
        <w:gridCol w:w="1800"/>
        <w:gridCol w:w="1890"/>
        <w:gridCol w:w="2430"/>
      </w:tblGrid>
      <w:tr w:rsidRPr="009F09C4" w:rsidR="00F7346A" w:rsidTr="007E0F52" w14:paraId="3D12B49F" w14:textId="77777777">
        <w:trPr>
          <w:jc w:val="center"/>
        </w:trPr>
        <w:tc>
          <w:tcPr>
            <w:tcW w:w="2430" w:type="dxa"/>
            <w:tcBorders>
              <w:top w:val="single" w:color="auto" w:sz="4" w:space="0"/>
              <w:left w:val="single" w:color="auto" w:sz="4" w:space="0"/>
              <w:bottom w:val="single" w:color="auto" w:sz="4" w:space="0"/>
              <w:right w:val="single" w:color="auto" w:sz="4" w:space="0"/>
            </w:tcBorders>
          </w:tcPr>
          <w:p w:rsidRPr="00DB53AF" w:rsidR="00F7346A" w:rsidP="007E0F52" w:rsidRDefault="00F7346A" w14:paraId="78259553" w14:textId="77777777">
            <w:pPr>
              <w:spacing w:line="120" w:lineRule="exact"/>
              <w:rPr>
                <w:b/>
              </w:rPr>
            </w:pPr>
          </w:p>
          <w:p w:rsidRPr="00DB53AF" w:rsidR="00F7346A" w:rsidP="007E0F52" w:rsidRDefault="00F7346A" w14:paraId="54DE972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b/>
              </w:rPr>
            </w:pPr>
            <w:r w:rsidRPr="00DB53AF">
              <w:rPr>
                <w:b/>
              </w:rPr>
              <w:t>Description</w:t>
            </w:r>
          </w:p>
        </w:tc>
        <w:tc>
          <w:tcPr>
            <w:tcW w:w="1800" w:type="dxa"/>
            <w:tcBorders>
              <w:top w:val="single" w:color="auto" w:sz="4" w:space="0"/>
              <w:left w:val="single" w:color="auto" w:sz="4" w:space="0"/>
              <w:bottom w:val="single" w:color="auto" w:sz="4" w:space="0"/>
              <w:right w:val="single" w:color="auto" w:sz="4" w:space="0"/>
            </w:tcBorders>
          </w:tcPr>
          <w:p w:rsidRPr="00DB53AF" w:rsidR="00F7346A" w:rsidP="007E0F52" w:rsidRDefault="00F7346A" w14:paraId="7A5877C5" w14:textId="77777777">
            <w:pPr>
              <w:spacing w:line="120" w:lineRule="exact"/>
              <w:rPr>
                <w:b/>
              </w:rPr>
            </w:pPr>
          </w:p>
          <w:p w:rsidRPr="00DB53AF" w:rsidR="00F7346A" w:rsidP="007E0F52" w:rsidRDefault="00F7346A" w14:paraId="2EF7B5E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b/>
              </w:rPr>
            </w:pPr>
            <w:r w:rsidRPr="00DB53AF">
              <w:rPr>
                <w:b/>
              </w:rPr>
              <w:t>Total Hours</w:t>
            </w:r>
          </w:p>
        </w:tc>
        <w:tc>
          <w:tcPr>
            <w:tcW w:w="1890" w:type="dxa"/>
            <w:tcBorders>
              <w:top w:val="single" w:color="auto" w:sz="4" w:space="0"/>
              <w:left w:val="single" w:color="auto" w:sz="4" w:space="0"/>
              <w:bottom w:val="single" w:color="auto" w:sz="4" w:space="0"/>
              <w:right w:val="single" w:color="auto" w:sz="4" w:space="0"/>
            </w:tcBorders>
          </w:tcPr>
          <w:p w:rsidRPr="00DB53AF" w:rsidR="00F7346A" w:rsidP="007E0F52" w:rsidRDefault="00F7346A" w14:paraId="700A4A23" w14:textId="77777777">
            <w:pPr>
              <w:spacing w:line="120" w:lineRule="exact"/>
              <w:rPr>
                <w:b/>
              </w:rPr>
            </w:pPr>
          </w:p>
          <w:p w:rsidRPr="00DB53AF" w:rsidR="00F7346A" w:rsidP="007E0F52" w:rsidRDefault="00F7346A" w14:paraId="55CB1E2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b/>
              </w:rPr>
            </w:pPr>
            <w:r w:rsidRPr="00DB53AF">
              <w:rPr>
                <w:b/>
              </w:rPr>
              <w:t>Hourly Rate</w:t>
            </w:r>
            <w:r w:rsidRPr="00DB53AF">
              <w:rPr>
                <w:rStyle w:val="FootnoteReference"/>
                <w:vertAlign w:val="superscript"/>
              </w:rPr>
              <w:footnoteReference w:id="2"/>
            </w:r>
          </w:p>
        </w:tc>
        <w:tc>
          <w:tcPr>
            <w:tcW w:w="2430" w:type="dxa"/>
            <w:tcBorders>
              <w:top w:val="single" w:color="auto" w:sz="4" w:space="0"/>
              <w:left w:val="single" w:color="auto" w:sz="4" w:space="0"/>
              <w:bottom w:val="single" w:color="auto" w:sz="4" w:space="0"/>
              <w:right w:val="single" w:color="auto" w:sz="4" w:space="0"/>
            </w:tcBorders>
          </w:tcPr>
          <w:p w:rsidRPr="00DB53AF" w:rsidR="00F7346A" w:rsidP="007E0F52" w:rsidRDefault="00F7346A" w14:paraId="6C504DFA" w14:textId="77777777">
            <w:pPr>
              <w:spacing w:line="120" w:lineRule="exact"/>
              <w:rPr>
                <w:b/>
              </w:rPr>
            </w:pPr>
          </w:p>
          <w:p w:rsidRPr="00DB53AF" w:rsidR="00F7346A" w:rsidP="007E0F52" w:rsidRDefault="00F7346A" w14:paraId="5FCC562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b/>
              </w:rPr>
            </w:pPr>
            <w:r w:rsidRPr="00DB53AF">
              <w:rPr>
                <w:b/>
              </w:rPr>
              <w:t>Cost (rounded)</w:t>
            </w:r>
          </w:p>
        </w:tc>
      </w:tr>
      <w:tr w:rsidRPr="009F09C4" w:rsidR="00F7346A" w:rsidTr="007E0F52" w14:paraId="5FB9D32F" w14:textId="77777777">
        <w:trPr>
          <w:jc w:val="center"/>
        </w:trPr>
        <w:tc>
          <w:tcPr>
            <w:tcW w:w="2430" w:type="dxa"/>
            <w:tcBorders>
              <w:top w:val="single" w:color="auto" w:sz="4" w:space="0"/>
              <w:left w:val="single" w:color="000000" w:sz="15" w:space="0"/>
              <w:bottom w:val="single" w:color="000000" w:sz="8" w:space="0"/>
              <w:right w:val="single" w:color="000000" w:sz="7" w:space="0"/>
            </w:tcBorders>
          </w:tcPr>
          <w:p w:rsidRPr="009F09C4" w:rsidR="00F7346A" w:rsidP="007E0F52" w:rsidRDefault="00F7346A" w14:paraId="11A7FB0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9F09C4">
              <w:t>1 Management Services Specialist</w:t>
            </w:r>
            <w:r w:rsidRPr="00203070">
              <w:rPr>
                <w:rStyle w:val="FootnoteReference"/>
                <w:vertAlign w:val="superscript"/>
              </w:rPr>
              <w:footnoteReference w:id="3"/>
            </w:r>
          </w:p>
        </w:tc>
        <w:tc>
          <w:tcPr>
            <w:tcW w:w="1800" w:type="dxa"/>
            <w:tcBorders>
              <w:top w:val="single" w:color="auto" w:sz="4" w:space="0"/>
              <w:left w:val="single" w:color="000000" w:sz="15" w:space="0"/>
              <w:bottom w:val="single" w:color="000000" w:sz="8" w:space="0"/>
              <w:right w:val="single" w:color="000000" w:sz="7" w:space="0"/>
            </w:tcBorders>
          </w:tcPr>
          <w:p w:rsidRPr="009F09C4" w:rsidR="00F7346A" w:rsidP="007E0F52" w:rsidRDefault="00F7346A" w14:paraId="7456D98B" w14:textId="77777777">
            <w:pPr>
              <w:spacing w:line="120" w:lineRule="exact"/>
            </w:pPr>
          </w:p>
          <w:p w:rsidRPr="00545F51" w:rsidR="00F7346A" w:rsidP="007E0F52" w:rsidRDefault="00985752" w14:paraId="42E48FB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vertAlign w:val="superscript"/>
              </w:rPr>
            </w:pPr>
            <w:r>
              <w:t>83.2</w:t>
            </w:r>
            <w:r w:rsidRPr="009F09C4">
              <w:t xml:space="preserve"> </w:t>
            </w:r>
            <w:r w:rsidRPr="009F09C4" w:rsidR="00F7346A">
              <w:t>hours</w:t>
            </w:r>
            <w:r w:rsidR="008F0309">
              <w:rPr>
                <w:vertAlign w:val="superscript"/>
              </w:rPr>
              <w:t>6</w:t>
            </w:r>
          </w:p>
        </w:tc>
        <w:tc>
          <w:tcPr>
            <w:tcW w:w="1890" w:type="dxa"/>
            <w:tcBorders>
              <w:top w:val="single" w:color="auto" w:sz="4" w:space="0"/>
              <w:left w:val="single" w:color="000000" w:sz="15" w:space="0"/>
              <w:bottom w:val="single" w:color="000000" w:sz="8" w:space="0"/>
              <w:right w:val="single" w:color="000000" w:sz="7" w:space="0"/>
            </w:tcBorders>
          </w:tcPr>
          <w:p w:rsidRPr="009F09C4" w:rsidR="00F7346A" w:rsidP="007E0F52" w:rsidRDefault="00F7346A" w14:paraId="55699693" w14:textId="77777777">
            <w:pPr>
              <w:spacing w:line="120" w:lineRule="exact"/>
            </w:pPr>
          </w:p>
          <w:p w:rsidRPr="009F09C4" w:rsidR="00F7346A" w:rsidP="00985752" w:rsidRDefault="00F7346A" w14:paraId="4EC2695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pPr>
            <w:r w:rsidRPr="009F09C4">
              <w:t>$</w:t>
            </w:r>
            <w:r w:rsidR="00985752">
              <w:t>37.42</w:t>
            </w:r>
          </w:p>
        </w:tc>
        <w:tc>
          <w:tcPr>
            <w:tcW w:w="2430" w:type="dxa"/>
            <w:tcBorders>
              <w:top w:val="single" w:color="auto" w:sz="4" w:space="0"/>
              <w:left w:val="single" w:color="000000" w:sz="15" w:space="0"/>
              <w:bottom w:val="single" w:color="000000" w:sz="8" w:space="0"/>
              <w:right w:val="single" w:color="000000" w:sz="15" w:space="0"/>
            </w:tcBorders>
          </w:tcPr>
          <w:p w:rsidRPr="009F09C4" w:rsidR="00F7346A" w:rsidP="007E0F52" w:rsidRDefault="00F7346A" w14:paraId="1350ADBD" w14:textId="77777777">
            <w:pPr>
              <w:spacing w:line="120" w:lineRule="exact"/>
            </w:pPr>
          </w:p>
          <w:p w:rsidRPr="009F09C4" w:rsidR="00F7346A" w:rsidP="00985752" w:rsidRDefault="00F7346A" w14:paraId="1925F1C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pPr>
            <w:r w:rsidRPr="009F09C4">
              <w:t>$</w:t>
            </w:r>
            <w:r>
              <w:t>3,</w:t>
            </w:r>
            <w:r w:rsidR="00985752">
              <w:t>113</w:t>
            </w:r>
          </w:p>
        </w:tc>
      </w:tr>
      <w:tr w:rsidRPr="009F09C4" w:rsidR="00F7346A" w:rsidTr="007E0F52" w14:paraId="45509FF1" w14:textId="77777777">
        <w:trPr>
          <w:jc w:val="center"/>
        </w:trPr>
        <w:tc>
          <w:tcPr>
            <w:tcW w:w="2430" w:type="dxa"/>
            <w:tcBorders>
              <w:top w:val="single" w:color="000000" w:sz="8" w:space="0"/>
              <w:left w:val="single" w:color="000000" w:sz="18" w:space="0"/>
              <w:bottom w:val="single" w:color="auto" w:sz="18" w:space="0"/>
              <w:right w:val="single" w:color="000000" w:sz="18" w:space="0"/>
            </w:tcBorders>
          </w:tcPr>
          <w:p w:rsidRPr="009F09C4" w:rsidR="00F7346A" w:rsidP="007E0F52" w:rsidRDefault="00F7346A" w14:paraId="76E7952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9F09C4">
              <w:t>1 Office Services Assistant</w:t>
            </w:r>
            <w:r w:rsidRPr="00DF24B6">
              <w:rPr>
                <w:rStyle w:val="FootnoteReference"/>
                <w:vertAlign w:val="superscript"/>
              </w:rPr>
              <w:footnoteReference w:id="4"/>
            </w:r>
          </w:p>
        </w:tc>
        <w:tc>
          <w:tcPr>
            <w:tcW w:w="1800" w:type="dxa"/>
            <w:tcBorders>
              <w:top w:val="single" w:color="000000" w:sz="8" w:space="0"/>
              <w:left w:val="single" w:color="000000" w:sz="18" w:space="0"/>
              <w:bottom w:val="single" w:color="auto" w:sz="18" w:space="0"/>
              <w:right w:val="single" w:color="000000" w:sz="18" w:space="0"/>
            </w:tcBorders>
          </w:tcPr>
          <w:p w:rsidRPr="009F09C4" w:rsidR="00F7346A" w:rsidP="007E0F52" w:rsidRDefault="00F7346A" w14:paraId="2D50F1C6" w14:textId="77777777">
            <w:pPr>
              <w:spacing w:line="120" w:lineRule="exact"/>
            </w:pPr>
          </w:p>
          <w:p w:rsidRPr="00545F51" w:rsidR="00F7346A" w:rsidP="007E0F52" w:rsidRDefault="00985752" w14:paraId="15580A3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vertAlign w:val="superscript"/>
              </w:rPr>
            </w:pPr>
            <w:r>
              <w:t>41.6</w:t>
            </w:r>
            <w:r w:rsidRPr="009F09C4">
              <w:t xml:space="preserve"> </w:t>
            </w:r>
            <w:r w:rsidRPr="009F09C4" w:rsidR="00F7346A">
              <w:t>hours</w:t>
            </w:r>
            <w:r w:rsidR="008F0309">
              <w:rPr>
                <w:vertAlign w:val="superscript"/>
              </w:rPr>
              <w:t>6</w:t>
            </w:r>
          </w:p>
        </w:tc>
        <w:tc>
          <w:tcPr>
            <w:tcW w:w="1890" w:type="dxa"/>
            <w:tcBorders>
              <w:top w:val="single" w:color="000000" w:sz="8" w:space="0"/>
              <w:left w:val="single" w:color="000000" w:sz="18" w:space="0"/>
              <w:bottom w:val="single" w:color="auto" w:sz="18" w:space="0"/>
              <w:right w:val="single" w:color="000000" w:sz="18" w:space="0"/>
            </w:tcBorders>
          </w:tcPr>
          <w:p w:rsidRPr="009F09C4" w:rsidR="00F7346A" w:rsidP="007E0F52" w:rsidRDefault="00F7346A" w14:paraId="6D8D2FFB" w14:textId="77777777">
            <w:pPr>
              <w:spacing w:line="120" w:lineRule="exact"/>
            </w:pPr>
          </w:p>
          <w:p w:rsidRPr="009F09C4" w:rsidR="00F7346A" w:rsidP="00985752" w:rsidRDefault="00F7346A" w14:paraId="5C76930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pPr>
            <w:r w:rsidRPr="009F09C4">
              <w:t>$</w:t>
            </w:r>
            <w:r w:rsidR="00985752">
              <w:t>28.00</w:t>
            </w:r>
          </w:p>
        </w:tc>
        <w:tc>
          <w:tcPr>
            <w:tcW w:w="2430" w:type="dxa"/>
            <w:tcBorders>
              <w:top w:val="single" w:color="000000" w:sz="8" w:space="0"/>
              <w:left w:val="single" w:color="000000" w:sz="18" w:space="0"/>
              <w:bottom w:val="single" w:color="auto" w:sz="18" w:space="0"/>
              <w:right w:val="single" w:color="000000" w:sz="18" w:space="0"/>
            </w:tcBorders>
          </w:tcPr>
          <w:p w:rsidRPr="009F09C4" w:rsidR="00F7346A" w:rsidP="007E0F52" w:rsidRDefault="00F7346A" w14:paraId="4BF2CA68" w14:textId="77777777">
            <w:pPr>
              <w:spacing w:line="120" w:lineRule="exact"/>
            </w:pPr>
          </w:p>
          <w:p w:rsidRPr="009F09C4" w:rsidR="00F7346A" w:rsidP="00985752" w:rsidRDefault="00F7346A" w14:paraId="3C4BDC5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pPr>
            <w:r w:rsidRPr="009F09C4">
              <w:t>$</w:t>
            </w:r>
            <w:r>
              <w:t>1,</w:t>
            </w:r>
            <w:r w:rsidR="00985752">
              <w:t>165</w:t>
            </w:r>
          </w:p>
        </w:tc>
      </w:tr>
      <w:tr w:rsidRPr="009F09C4" w:rsidR="00F7346A" w:rsidTr="007E0F52" w14:paraId="4EC29F80" w14:textId="77777777">
        <w:trPr>
          <w:jc w:val="center"/>
        </w:trPr>
        <w:tc>
          <w:tcPr>
            <w:tcW w:w="2430" w:type="dxa"/>
            <w:tcBorders>
              <w:top w:val="single" w:color="auto" w:sz="18" w:space="0"/>
              <w:left w:val="single" w:color="auto" w:sz="12" w:space="0"/>
              <w:bottom w:val="single" w:color="auto" w:sz="18" w:space="0"/>
              <w:right w:val="single" w:color="auto" w:sz="12" w:space="0"/>
            </w:tcBorders>
          </w:tcPr>
          <w:p w:rsidRPr="009F09C4" w:rsidR="00F7346A" w:rsidP="007E0F52" w:rsidRDefault="00F7346A" w14:paraId="4114AC1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9F09C4">
              <w:t>1 Professional</w:t>
            </w:r>
            <w:r w:rsidRPr="00DF24B6">
              <w:rPr>
                <w:rStyle w:val="FootnoteReference"/>
                <w:vertAlign w:val="superscript"/>
              </w:rPr>
              <w:footnoteReference w:id="5"/>
            </w:r>
          </w:p>
        </w:tc>
        <w:tc>
          <w:tcPr>
            <w:tcW w:w="1800" w:type="dxa"/>
            <w:tcBorders>
              <w:top w:val="single" w:color="auto" w:sz="18" w:space="0"/>
              <w:left w:val="single" w:color="auto" w:sz="12" w:space="0"/>
              <w:bottom w:val="single" w:color="auto" w:sz="18" w:space="0"/>
              <w:right w:val="single" w:color="auto" w:sz="12" w:space="0"/>
            </w:tcBorders>
          </w:tcPr>
          <w:p w:rsidRPr="009F09C4" w:rsidR="00F7346A" w:rsidP="007E0F52" w:rsidRDefault="00F7346A" w14:paraId="511A58B3" w14:textId="77777777">
            <w:pPr>
              <w:spacing w:line="120" w:lineRule="exact"/>
            </w:pPr>
          </w:p>
          <w:p w:rsidRPr="00545F51" w:rsidR="00F7346A" w:rsidP="007E0F52" w:rsidRDefault="00985752" w14:paraId="7AC9B84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vertAlign w:val="superscript"/>
              </w:rPr>
            </w:pPr>
            <w:r>
              <w:t>8.26</w:t>
            </w:r>
            <w:r w:rsidR="008F0309">
              <w:rPr>
                <w:vertAlign w:val="superscript"/>
              </w:rPr>
              <w:t>6</w:t>
            </w:r>
            <w:r w:rsidRPr="009F09C4" w:rsidR="00F7346A">
              <w:t xml:space="preserve"> hours</w:t>
            </w:r>
            <w:r w:rsidR="008F0309">
              <w:rPr>
                <w:vertAlign w:val="superscript"/>
              </w:rPr>
              <w:t>6</w:t>
            </w:r>
          </w:p>
        </w:tc>
        <w:tc>
          <w:tcPr>
            <w:tcW w:w="1890" w:type="dxa"/>
            <w:tcBorders>
              <w:top w:val="single" w:color="auto" w:sz="18" w:space="0"/>
              <w:left w:val="single" w:color="auto" w:sz="12" w:space="0"/>
              <w:bottom w:val="single" w:color="auto" w:sz="18" w:space="0"/>
              <w:right w:val="single" w:color="auto" w:sz="12" w:space="0"/>
            </w:tcBorders>
          </w:tcPr>
          <w:p w:rsidRPr="009F09C4" w:rsidR="00F7346A" w:rsidP="007E0F52" w:rsidRDefault="00F7346A" w14:paraId="27AF28D4" w14:textId="77777777">
            <w:pPr>
              <w:spacing w:line="120" w:lineRule="exact"/>
            </w:pPr>
          </w:p>
          <w:p w:rsidRPr="009F09C4" w:rsidR="00F7346A" w:rsidP="00985752" w:rsidRDefault="00F7346A" w14:paraId="05BE06F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pPr>
            <w:r w:rsidRPr="009F09C4">
              <w:t>$</w:t>
            </w:r>
            <w:r w:rsidR="00985752">
              <w:t>53.33</w:t>
            </w:r>
          </w:p>
        </w:tc>
        <w:tc>
          <w:tcPr>
            <w:tcW w:w="2430" w:type="dxa"/>
            <w:tcBorders>
              <w:top w:val="single" w:color="auto" w:sz="18" w:space="0"/>
              <w:left w:val="single" w:color="auto" w:sz="12" w:space="0"/>
              <w:bottom w:val="single" w:color="auto" w:sz="18" w:space="0"/>
              <w:right w:val="single" w:color="auto" w:sz="12" w:space="0"/>
            </w:tcBorders>
          </w:tcPr>
          <w:p w:rsidRPr="009F09C4" w:rsidR="00F7346A" w:rsidP="007E0F52" w:rsidRDefault="00F7346A" w14:paraId="661CE852" w14:textId="77777777">
            <w:pPr>
              <w:spacing w:line="120" w:lineRule="exact"/>
            </w:pPr>
          </w:p>
          <w:p w:rsidRPr="009F09C4" w:rsidR="00F7346A" w:rsidP="00985752" w:rsidRDefault="00F7346A" w14:paraId="7E09886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pPr>
            <w:r>
              <w:t>$</w:t>
            </w:r>
            <w:r w:rsidR="00985752">
              <w:t>441</w:t>
            </w:r>
          </w:p>
        </w:tc>
      </w:tr>
      <w:tr w:rsidRPr="009F09C4" w:rsidR="00F7346A" w:rsidTr="007E0F52" w14:paraId="5ABC98E5" w14:textId="77777777">
        <w:trPr>
          <w:jc w:val="center"/>
        </w:trPr>
        <w:tc>
          <w:tcPr>
            <w:tcW w:w="2430" w:type="dxa"/>
            <w:tcBorders>
              <w:top w:val="nil"/>
              <w:left w:val="single" w:color="000000" w:sz="15" w:space="0"/>
              <w:bottom w:val="single" w:color="000000" w:sz="15" w:space="0"/>
              <w:right w:val="single" w:color="000000" w:sz="7" w:space="0"/>
            </w:tcBorders>
          </w:tcPr>
          <w:p w:rsidRPr="009F09C4" w:rsidR="00F7346A" w:rsidP="007E0F52" w:rsidRDefault="00F7346A" w14:paraId="1B6DC17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9F09C4">
              <w:t>Annual record storage costs of forms</w:t>
            </w:r>
          </w:p>
        </w:tc>
        <w:tc>
          <w:tcPr>
            <w:tcW w:w="3690" w:type="dxa"/>
            <w:gridSpan w:val="2"/>
            <w:tcBorders>
              <w:top w:val="nil"/>
              <w:left w:val="single" w:color="000000" w:sz="15" w:space="0"/>
              <w:bottom w:val="single" w:color="000000" w:sz="15" w:space="0"/>
              <w:right w:val="single" w:color="000000" w:sz="7" w:space="0"/>
            </w:tcBorders>
          </w:tcPr>
          <w:p w:rsidRPr="009F09C4" w:rsidR="00F7346A" w:rsidP="007E0F52" w:rsidRDefault="00F7346A" w14:paraId="5CA32B59" w14:textId="77777777">
            <w:pPr>
              <w:spacing w:line="120" w:lineRule="exact"/>
            </w:pPr>
          </w:p>
          <w:p w:rsidRPr="009F09C4" w:rsidR="00F7346A" w:rsidP="007E0F52" w:rsidRDefault="00F7346A" w14:paraId="7AC2D59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9F09C4">
              <w:t>$34.16/square foot x 5.5 square feet</w:t>
            </w:r>
          </w:p>
        </w:tc>
        <w:tc>
          <w:tcPr>
            <w:tcW w:w="2430" w:type="dxa"/>
            <w:tcBorders>
              <w:top w:val="nil"/>
              <w:left w:val="single" w:color="000000" w:sz="15" w:space="0"/>
              <w:bottom w:val="single" w:color="000000" w:sz="15" w:space="0"/>
              <w:right w:val="single" w:color="000000" w:sz="15" w:space="0"/>
            </w:tcBorders>
          </w:tcPr>
          <w:p w:rsidRPr="009F09C4" w:rsidR="00F7346A" w:rsidP="007E0F52" w:rsidRDefault="00F7346A" w14:paraId="1F89D189" w14:textId="77777777">
            <w:pPr>
              <w:spacing w:line="120" w:lineRule="exact"/>
            </w:pPr>
          </w:p>
          <w:p w:rsidRPr="009F09C4" w:rsidR="00F7346A" w:rsidP="007E0F52" w:rsidRDefault="00F7346A" w14:paraId="05384506" w14:textId="77777777">
            <w:pPr>
              <w:widowControl/>
              <w:tabs>
                <w:tab w:val="center" w:pos="10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9F09C4">
              <w:tab/>
              <w:t>$188</w:t>
            </w:r>
          </w:p>
        </w:tc>
      </w:tr>
      <w:tr w:rsidRPr="009F09C4" w:rsidR="00F7346A" w:rsidTr="007E0F52" w14:paraId="631DD766" w14:textId="77777777">
        <w:trPr>
          <w:jc w:val="center"/>
        </w:trPr>
        <w:tc>
          <w:tcPr>
            <w:tcW w:w="6120" w:type="dxa"/>
            <w:gridSpan w:val="3"/>
            <w:tcBorders>
              <w:top w:val="nil"/>
              <w:left w:val="single" w:color="000000" w:sz="15" w:space="0"/>
              <w:bottom w:val="single" w:color="000000" w:sz="15" w:space="0"/>
              <w:right w:val="single" w:color="000000" w:sz="7" w:space="0"/>
            </w:tcBorders>
          </w:tcPr>
          <w:p w:rsidRPr="009F09C4" w:rsidR="00F7346A" w:rsidP="007E0F52" w:rsidRDefault="00F7346A" w14:paraId="10427F5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9F09C4">
              <w:t>Annual printing cost</w:t>
            </w:r>
          </w:p>
        </w:tc>
        <w:tc>
          <w:tcPr>
            <w:tcW w:w="2430" w:type="dxa"/>
            <w:tcBorders>
              <w:top w:val="nil"/>
              <w:left w:val="single" w:color="000000" w:sz="15" w:space="0"/>
              <w:bottom w:val="single" w:color="000000" w:sz="15" w:space="0"/>
              <w:right w:val="single" w:color="000000" w:sz="15" w:space="0"/>
            </w:tcBorders>
          </w:tcPr>
          <w:p w:rsidRPr="009F09C4" w:rsidR="00F7346A" w:rsidP="007E0F52" w:rsidRDefault="00F7346A" w14:paraId="621C8AB1" w14:textId="77777777">
            <w:pPr>
              <w:spacing w:line="120" w:lineRule="exact"/>
            </w:pPr>
          </w:p>
          <w:p w:rsidRPr="009F09C4" w:rsidR="00F7346A" w:rsidP="007E0F52" w:rsidRDefault="00F7346A" w14:paraId="7C0190D3" w14:textId="77777777">
            <w:pPr>
              <w:widowControl/>
              <w:tabs>
                <w:tab w:val="center" w:pos="10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9F09C4">
              <w:tab/>
              <w:t>$50</w:t>
            </w:r>
          </w:p>
        </w:tc>
      </w:tr>
      <w:tr w:rsidRPr="009F09C4" w:rsidR="00F7346A" w:rsidTr="007E0F52" w14:paraId="53AFBA66" w14:textId="77777777">
        <w:trPr>
          <w:jc w:val="center"/>
        </w:trPr>
        <w:tc>
          <w:tcPr>
            <w:tcW w:w="6120" w:type="dxa"/>
            <w:gridSpan w:val="3"/>
            <w:tcBorders>
              <w:top w:val="nil"/>
              <w:left w:val="single" w:color="000000" w:sz="15" w:space="0"/>
              <w:bottom w:val="single" w:color="000000" w:sz="15" w:space="0"/>
              <w:right w:val="single" w:color="000000" w:sz="7" w:space="0"/>
            </w:tcBorders>
          </w:tcPr>
          <w:p w:rsidRPr="009F09C4" w:rsidR="00F7346A" w:rsidP="007E0F52" w:rsidRDefault="00F7346A" w14:paraId="0ADD61D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9F09C4">
              <w:rPr>
                <w:b/>
                <w:bCs/>
              </w:rPr>
              <w:t xml:space="preserve">                                                   Total Annual Cost</w:t>
            </w:r>
            <w:r w:rsidRPr="009F09C4">
              <w:t>:</w:t>
            </w:r>
          </w:p>
        </w:tc>
        <w:tc>
          <w:tcPr>
            <w:tcW w:w="2430" w:type="dxa"/>
            <w:tcBorders>
              <w:top w:val="nil"/>
              <w:left w:val="single" w:color="000000" w:sz="15" w:space="0"/>
              <w:bottom w:val="single" w:color="000000" w:sz="15" w:space="0"/>
              <w:right w:val="single" w:color="000000" w:sz="15" w:space="0"/>
            </w:tcBorders>
          </w:tcPr>
          <w:p w:rsidRPr="009F09C4" w:rsidR="00F7346A" w:rsidP="007E0F52" w:rsidRDefault="00F7346A" w14:paraId="6A000DC9" w14:textId="77777777">
            <w:pPr>
              <w:spacing w:line="120" w:lineRule="exact"/>
            </w:pPr>
          </w:p>
          <w:p w:rsidRPr="009F09C4" w:rsidR="00F7346A" w:rsidP="00985752" w:rsidRDefault="00F7346A" w14:paraId="1F1DC232" w14:textId="77777777">
            <w:pPr>
              <w:widowControl/>
              <w:tabs>
                <w:tab w:val="center" w:pos="10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9F09C4">
              <w:tab/>
            </w:r>
            <w:r>
              <w:t>$</w:t>
            </w:r>
            <w:r w:rsidR="00985752">
              <w:t>4,957</w:t>
            </w:r>
          </w:p>
        </w:tc>
      </w:tr>
    </w:tbl>
    <w:p w:rsidRPr="001A00CD" w:rsidR="00B945DE" w:rsidP="00545F51" w:rsidRDefault="00B945DE" w14:paraId="178ECAC7" w14:textId="77777777">
      <w:pPr>
        <w:widowControl/>
      </w:pPr>
    </w:p>
    <w:p w:rsidRPr="00545F51" w:rsidR="00982ED2" w:rsidP="00982ED2" w:rsidRDefault="00982ED2" w14:paraId="5C05E119" w14:textId="77777777">
      <w:pPr>
        <w:widowControl/>
        <w:numPr>
          <w:ilvl w:val="0"/>
          <w:numId w:val="2"/>
        </w:numPr>
        <w:tabs>
          <w:tab w:val="clear" w:pos="720"/>
          <w:tab w:val="num" w:pos="360"/>
        </w:tabs>
        <w:spacing w:after="13"/>
        <w:ind w:right="-90" w:hanging="720"/>
        <w:rPr>
          <w:b/>
          <w:bCs/>
        </w:rPr>
      </w:pPr>
      <w:r w:rsidRPr="00545F51">
        <w:rPr>
          <w:b/>
          <w:bCs/>
        </w:rPr>
        <w:t>Explain the reasons for any program changes or adjustments.</w:t>
      </w:r>
    </w:p>
    <w:p w:rsidRPr="001A00CD" w:rsidR="00982ED2" w:rsidP="00982ED2" w:rsidRDefault="00982ED2" w14:paraId="68996DBF" w14:textId="77777777">
      <w:pPr>
        <w:widowControl/>
        <w:spacing w:after="13"/>
        <w:ind w:left="360" w:right="-90"/>
      </w:pPr>
    </w:p>
    <w:p w:rsidR="00982ED2" w:rsidP="00982ED2" w:rsidRDefault="00982ED2" w14:paraId="61142747" w14:textId="77777777">
      <w:pPr>
        <w:widowControl/>
        <w:tabs>
          <w:tab w:val="left" w:pos="0"/>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3"/>
        <w:ind w:right="-90"/>
      </w:pPr>
      <w:r w:rsidRPr="009F09C4">
        <w:t xml:space="preserve">The </w:t>
      </w:r>
      <w:r w:rsidR="00D17F53">
        <w:t>a</w:t>
      </w:r>
      <w:r w:rsidRPr="009F09C4" w:rsidR="00D17F53">
        <w:t xml:space="preserve">gency </w:t>
      </w:r>
      <w:r w:rsidRPr="009F09C4">
        <w:t xml:space="preserve">is requesting a </w:t>
      </w:r>
      <w:r w:rsidR="00985752">
        <w:t>67</w:t>
      </w:r>
      <w:r w:rsidRPr="009F09C4" w:rsidR="00985752">
        <w:t xml:space="preserve"> </w:t>
      </w:r>
      <w:r w:rsidRPr="009F09C4">
        <w:t xml:space="preserve">hour burden adjustment </w:t>
      </w:r>
      <w:r w:rsidR="00985752">
        <w:t>de</w:t>
      </w:r>
      <w:r w:rsidRPr="009F09C4" w:rsidR="00985752">
        <w:t xml:space="preserve">crease </w:t>
      </w:r>
      <w:r>
        <w:t>(from 400 hours</w:t>
      </w:r>
      <w:r w:rsidR="00985752">
        <w:t xml:space="preserve"> to 333 hours</w:t>
      </w:r>
      <w:r>
        <w:t xml:space="preserve">) </w:t>
      </w:r>
      <w:r w:rsidRPr="009F09C4">
        <w:t xml:space="preserve">as a result of </w:t>
      </w:r>
      <w:r w:rsidR="00985752">
        <w:t>de</w:t>
      </w:r>
      <w:r w:rsidRPr="009F09C4" w:rsidR="00985752">
        <w:t xml:space="preserve">creasing </w:t>
      </w:r>
      <w:r w:rsidRPr="009F09C4">
        <w:t xml:space="preserve">the number of students attending the Institute from </w:t>
      </w:r>
      <w:r>
        <w:t>5</w:t>
      </w:r>
      <w:r w:rsidRPr="009F09C4">
        <w:t>,000</w:t>
      </w:r>
      <w:r w:rsidR="00985752">
        <w:t xml:space="preserve"> to 4,000</w:t>
      </w:r>
      <w:r w:rsidRPr="009F09C4">
        <w:t xml:space="preserve"> students.</w:t>
      </w:r>
    </w:p>
    <w:p w:rsidRPr="001A00CD" w:rsidR="00982ED2" w:rsidP="00982ED2" w:rsidRDefault="00982ED2" w14:paraId="5D33C86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3"/>
        <w:ind w:right="-90"/>
      </w:pPr>
    </w:p>
    <w:p w:rsidR="00063857" w:rsidP="00982ED2" w:rsidRDefault="00063857" w14:paraId="269BE9B1" w14:textId="77777777">
      <w:pPr>
        <w:widowControl/>
        <w:tabs>
          <w:tab w:val="left" w:pos="540"/>
        </w:tabs>
        <w:spacing w:after="11"/>
        <w:ind w:left="360" w:right="-90" w:hanging="360"/>
        <w:rPr>
          <w:b/>
          <w:bC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80"/>
        <w:gridCol w:w="1255"/>
        <w:gridCol w:w="1400"/>
        <w:gridCol w:w="1139"/>
        <w:gridCol w:w="1392"/>
        <w:gridCol w:w="2674"/>
      </w:tblGrid>
      <w:tr w:rsidRPr="001D657E" w:rsidR="00063857" w:rsidTr="00F50D8A" w14:paraId="0FD8ECBE" w14:textId="77777777">
        <w:tc>
          <w:tcPr>
            <w:tcW w:w="12888" w:type="dxa"/>
            <w:gridSpan w:val="6"/>
            <w:shd w:val="clear" w:color="auto" w:fill="auto"/>
          </w:tcPr>
          <w:p w:rsidRPr="001D657E" w:rsidR="00063857" w:rsidP="00F50D8A" w:rsidRDefault="00063857" w14:paraId="4660EFB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1D657E">
              <w:rPr>
                <w:b/>
              </w:rPr>
              <w:t>Table 1 Requested Burden Hour Adjustment</w:t>
            </w:r>
          </w:p>
        </w:tc>
      </w:tr>
      <w:tr w:rsidRPr="001D657E" w:rsidR="00063857" w:rsidTr="00F50D8A" w14:paraId="7B20A5E2" w14:textId="77777777">
        <w:tc>
          <w:tcPr>
            <w:tcW w:w="1611" w:type="dxa"/>
            <w:shd w:val="clear" w:color="auto" w:fill="auto"/>
          </w:tcPr>
          <w:p w:rsidRPr="001D657E" w:rsidR="00063857" w:rsidP="00F50D8A" w:rsidRDefault="00063857" w14:paraId="0FFEDD6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1D657E">
              <w:rPr>
                <w:b/>
              </w:rPr>
              <w:t>Information Collection Requirement</w:t>
            </w:r>
          </w:p>
        </w:tc>
        <w:tc>
          <w:tcPr>
            <w:tcW w:w="1611" w:type="dxa"/>
            <w:shd w:val="clear" w:color="auto" w:fill="auto"/>
          </w:tcPr>
          <w:p w:rsidRPr="001D657E" w:rsidR="00063857" w:rsidP="00F50D8A" w:rsidRDefault="00063857" w14:paraId="3F80DB5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1D657E">
              <w:rPr>
                <w:b/>
              </w:rPr>
              <w:t>Current Burden Hours</w:t>
            </w:r>
          </w:p>
        </w:tc>
        <w:tc>
          <w:tcPr>
            <w:tcW w:w="1611" w:type="dxa"/>
            <w:shd w:val="clear" w:color="auto" w:fill="auto"/>
          </w:tcPr>
          <w:p w:rsidRPr="001D657E" w:rsidR="00063857" w:rsidP="00F50D8A" w:rsidRDefault="00063857" w14:paraId="4D6A618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1D657E">
              <w:rPr>
                <w:b/>
              </w:rPr>
              <w:t>Total 2019 Requested Burden hour</w:t>
            </w:r>
          </w:p>
        </w:tc>
        <w:tc>
          <w:tcPr>
            <w:tcW w:w="1611" w:type="dxa"/>
            <w:shd w:val="clear" w:color="auto" w:fill="auto"/>
          </w:tcPr>
          <w:p w:rsidRPr="001D657E" w:rsidR="00063857" w:rsidP="00F50D8A" w:rsidRDefault="00063857" w14:paraId="052D681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1D657E">
              <w:rPr>
                <w:b/>
              </w:rPr>
              <w:t>Cost</w:t>
            </w:r>
          </w:p>
        </w:tc>
        <w:tc>
          <w:tcPr>
            <w:tcW w:w="1611" w:type="dxa"/>
            <w:shd w:val="clear" w:color="auto" w:fill="auto"/>
          </w:tcPr>
          <w:p w:rsidRPr="001D657E" w:rsidR="00063857" w:rsidP="00F50D8A" w:rsidRDefault="00063857" w14:paraId="39FF1C9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1D657E">
              <w:rPr>
                <w:b/>
              </w:rPr>
              <w:t>Responses</w:t>
            </w:r>
          </w:p>
        </w:tc>
        <w:tc>
          <w:tcPr>
            <w:tcW w:w="4833" w:type="dxa"/>
            <w:shd w:val="clear" w:color="auto" w:fill="auto"/>
          </w:tcPr>
          <w:p w:rsidRPr="001D657E" w:rsidR="00063857" w:rsidP="00F50D8A" w:rsidRDefault="00063857" w14:paraId="0AF8855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1D657E">
              <w:rPr>
                <w:b/>
              </w:rPr>
              <w:t>Explanation of Adjustment</w:t>
            </w:r>
          </w:p>
        </w:tc>
      </w:tr>
      <w:tr w:rsidRPr="001D657E" w:rsidR="00063857" w:rsidTr="00F50D8A" w14:paraId="37BEC03A" w14:textId="77777777">
        <w:tc>
          <w:tcPr>
            <w:tcW w:w="1611" w:type="dxa"/>
            <w:shd w:val="clear" w:color="auto" w:fill="auto"/>
          </w:tcPr>
          <w:p w:rsidRPr="00545F51" w:rsidR="00063857" w:rsidP="00F50D8A" w:rsidRDefault="00063857" w14:paraId="2E88C74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45F51">
              <w:t>Student Data Form</w:t>
            </w:r>
          </w:p>
        </w:tc>
        <w:tc>
          <w:tcPr>
            <w:tcW w:w="1611" w:type="dxa"/>
            <w:shd w:val="clear" w:color="auto" w:fill="auto"/>
          </w:tcPr>
          <w:p w:rsidRPr="00545F51" w:rsidR="00063857" w:rsidP="00F50D8A" w:rsidRDefault="00063857" w14:paraId="505222D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45F51">
              <w:t>400</w:t>
            </w:r>
          </w:p>
        </w:tc>
        <w:tc>
          <w:tcPr>
            <w:tcW w:w="1611" w:type="dxa"/>
            <w:shd w:val="clear" w:color="auto" w:fill="auto"/>
          </w:tcPr>
          <w:p w:rsidRPr="00545F51" w:rsidR="00063857" w:rsidP="00F50D8A" w:rsidRDefault="00063857" w14:paraId="7A0FA4D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45F51">
              <w:t>333</w:t>
            </w:r>
          </w:p>
        </w:tc>
        <w:tc>
          <w:tcPr>
            <w:tcW w:w="1611" w:type="dxa"/>
            <w:shd w:val="clear" w:color="auto" w:fill="auto"/>
          </w:tcPr>
          <w:p w:rsidRPr="00545F51" w:rsidR="00063857" w:rsidP="00F50D8A" w:rsidRDefault="00063857" w14:paraId="4532B26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45F51">
              <w:t>$5,801</w:t>
            </w:r>
          </w:p>
        </w:tc>
        <w:tc>
          <w:tcPr>
            <w:tcW w:w="1611" w:type="dxa"/>
            <w:shd w:val="clear" w:color="auto" w:fill="auto"/>
          </w:tcPr>
          <w:p w:rsidRPr="00545F51" w:rsidR="00063857" w:rsidP="00F50D8A" w:rsidRDefault="00063857" w14:paraId="44F3EAF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45F51">
              <w:t>4,000</w:t>
            </w:r>
          </w:p>
        </w:tc>
        <w:tc>
          <w:tcPr>
            <w:tcW w:w="4833" w:type="dxa"/>
            <w:shd w:val="clear" w:color="auto" w:fill="auto"/>
          </w:tcPr>
          <w:p w:rsidRPr="00545F51" w:rsidR="00063857" w:rsidP="00F50D8A" w:rsidRDefault="00063857" w14:paraId="5C8A111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45F51">
              <w:t>The number of responses decreased from 5,000 students to 4,000 students due to a 20% decrease in enrollments.</w:t>
            </w:r>
          </w:p>
        </w:tc>
      </w:tr>
    </w:tbl>
    <w:p w:rsidR="00063857" w:rsidP="00982ED2" w:rsidRDefault="00063857" w14:paraId="2BE14A3D" w14:textId="77777777">
      <w:pPr>
        <w:widowControl/>
        <w:tabs>
          <w:tab w:val="left" w:pos="540"/>
        </w:tabs>
        <w:spacing w:after="11"/>
        <w:ind w:left="360" w:right="-90" w:hanging="360"/>
        <w:rPr>
          <w:b/>
          <w:bCs/>
        </w:rPr>
      </w:pPr>
    </w:p>
    <w:p w:rsidR="00063857" w:rsidP="00982ED2" w:rsidRDefault="00063857" w14:paraId="7CE9BF7A" w14:textId="77777777">
      <w:pPr>
        <w:widowControl/>
        <w:tabs>
          <w:tab w:val="left" w:pos="540"/>
        </w:tabs>
        <w:spacing w:after="11"/>
        <w:ind w:left="360" w:right="-90" w:hanging="360"/>
        <w:rPr>
          <w:b/>
          <w:bCs/>
        </w:rPr>
      </w:pPr>
    </w:p>
    <w:p w:rsidRPr="00545F51" w:rsidR="00982ED2" w:rsidP="00982ED2" w:rsidRDefault="00982ED2" w14:paraId="2E63A9CD" w14:textId="77777777">
      <w:pPr>
        <w:widowControl/>
        <w:tabs>
          <w:tab w:val="left" w:pos="540"/>
        </w:tabs>
        <w:spacing w:after="11"/>
        <w:ind w:left="360" w:right="-90" w:hanging="360"/>
      </w:pPr>
      <w:r w:rsidRPr="00545F51">
        <w:rPr>
          <w:b/>
          <w:bCs/>
        </w:rPr>
        <w:t>16.  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the report, publication dates, and other actions.</w:t>
      </w:r>
    </w:p>
    <w:p w:rsidRPr="001A00CD" w:rsidR="00982ED2" w:rsidP="00982ED2" w:rsidRDefault="00982ED2" w14:paraId="4075E85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3"/>
        <w:ind w:right="-90"/>
      </w:pPr>
    </w:p>
    <w:p w:rsidR="00982ED2" w:rsidP="00982ED2" w:rsidRDefault="00982ED2" w14:paraId="065EA39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3"/>
        <w:ind w:right="-90"/>
      </w:pPr>
      <w:r>
        <w:t xml:space="preserve">OSHA will not publish the information collected </w:t>
      </w:r>
      <w:r w:rsidR="00985752">
        <w:t>as a result to the Student Data Form</w:t>
      </w:r>
      <w:r>
        <w:t>.</w:t>
      </w:r>
    </w:p>
    <w:p w:rsidRPr="001A00CD" w:rsidR="00F7346A" w:rsidP="00FD2111" w:rsidRDefault="00F7346A" w14:paraId="77B7108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1A00CD" w:rsidR="00F7346A" w:rsidP="00F7346A" w:rsidRDefault="00F7346A" w14:paraId="4502E79C" w14:textId="77777777">
      <w:pPr>
        <w:widowControl/>
        <w:spacing w:after="13"/>
        <w:ind w:left="360" w:right="-90" w:hanging="360"/>
      </w:pPr>
      <w:r w:rsidRPr="00545F51">
        <w:rPr>
          <w:b/>
          <w:bCs/>
        </w:rPr>
        <w:t>17.  If seeking approval to not display the expiration date for OMB approval of the information collection, explain the reasons that display would be inappropriate.</w:t>
      </w:r>
    </w:p>
    <w:p w:rsidRPr="00985752" w:rsidR="00F7346A" w:rsidP="00F7346A" w:rsidRDefault="00F7346A" w14:paraId="1B7C2537" w14:textId="77777777">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rPr>
          <w:rFonts w:eastAsia="Calibri"/>
        </w:rPr>
      </w:pPr>
    </w:p>
    <w:p w:rsidR="00F7346A" w:rsidP="00F7346A" w:rsidRDefault="00F7346A" w14:paraId="04AC64C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3"/>
        <w:ind w:right="-90"/>
      </w:pPr>
      <w:r>
        <w:t xml:space="preserve">OSHA will </w:t>
      </w:r>
      <w:r w:rsidR="00985752">
        <w:t xml:space="preserve">display </w:t>
      </w:r>
      <w:r>
        <w:t xml:space="preserve">the OMB </w:t>
      </w:r>
      <w:r w:rsidR="00985752">
        <w:t xml:space="preserve">and </w:t>
      </w:r>
      <w:r>
        <w:t xml:space="preserve">expiration </w:t>
      </w:r>
      <w:r w:rsidR="00485B9D">
        <w:t xml:space="preserve">date </w:t>
      </w:r>
      <w:r>
        <w:t>on the OSHA Form 182.</w:t>
      </w:r>
    </w:p>
    <w:p w:rsidRPr="001A00CD" w:rsidR="00F7346A" w:rsidP="00F7346A" w:rsidRDefault="00F7346A" w14:paraId="64A3102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3"/>
        <w:ind w:right="-90"/>
      </w:pPr>
    </w:p>
    <w:p w:rsidRPr="00545F51" w:rsidR="00F7346A" w:rsidP="00F7346A" w:rsidRDefault="00F7346A" w14:paraId="5EB00E5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3"/>
        <w:ind w:right="-90"/>
        <w:rPr>
          <w:b/>
          <w:bCs/>
        </w:rPr>
      </w:pPr>
      <w:r w:rsidRPr="00545F51">
        <w:rPr>
          <w:b/>
          <w:bCs/>
        </w:rPr>
        <w:t>18.  Explain each exception to the certification statement.</w:t>
      </w:r>
    </w:p>
    <w:p w:rsidRPr="001A00CD" w:rsidR="00F7346A" w:rsidP="00F7346A" w:rsidRDefault="00F7346A" w14:paraId="2323462C"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3"/>
      </w:pPr>
    </w:p>
    <w:p w:rsidR="00F7346A" w:rsidP="00F7346A" w:rsidRDefault="00F7346A" w14:paraId="1B47D7A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3"/>
      </w:pPr>
      <w:r>
        <w:t>OSHA is not seeking an exception to the certification statement.</w:t>
      </w:r>
    </w:p>
    <w:p w:rsidR="00F7346A" w:rsidP="00F7346A" w:rsidRDefault="00F7346A" w14:paraId="2E29216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3"/>
      </w:pPr>
    </w:p>
    <w:p w:rsidRPr="008444A5" w:rsidR="00F7346A" w:rsidP="00F7346A" w:rsidRDefault="00F7346A" w14:paraId="7AF3FA75"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0"/>
        <w:rPr>
          <w:b/>
        </w:rPr>
      </w:pPr>
      <w:r w:rsidRPr="008444A5">
        <w:rPr>
          <w:b/>
        </w:rPr>
        <w:t>B. COLLECTIONS OF INFORMATION EMPLOYING STATISTICAL METHODS</w:t>
      </w:r>
    </w:p>
    <w:p w:rsidRPr="008444A5" w:rsidR="00F7346A" w:rsidP="00F7346A" w:rsidRDefault="00F7346A" w14:paraId="7CDC4C9E"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0"/>
        <w:rPr>
          <w:b/>
        </w:rPr>
      </w:pPr>
    </w:p>
    <w:p w:rsidR="00CB632C" w:rsidP="00063857" w:rsidRDefault="00F7346A" w14:paraId="2A743BD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3"/>
      </w:pPr>
      <w:r w:rsidRPr="008444A5">
        <w:t>This Supporting Statement does not contain any collection of information requirements that employ statistical methods.</w:t>
      </w:r>
    </w:p>
    <w:sectPr w:rsidR="00CB632C" w:rsidSect="00F91F8F">
      <w:headerReference w:type="default" r:id="rId15"/>
      <w:footerReference w:type="even" r:id="rId16"/>
      <w:footerReference w:type="default" r:id="rId17"/>
      <w:headerReference w:type="first" r:id="rId18"/>
      <w:pgSz w:w="12240" w:h="15840"/>
      <w:pgMar w:top="1440" w:right="135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1B8066" w14:textId="77777777" w:rsidR="007C494D" w:rsidRDefault="007C494D">
      <w:r>
        <w:separator/>
      </w:r>
    </w:p>
  </w:endnote>
  <w:endnote w:type="continuationSeparator" w:id="0">
    <w:p w14:paraId="68967C58" w14:textId="77777777" w:rsidR="007C494D" w:rsidRDefault="007C4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Shruti">
    <w:altName w:val="Calibri"/>
    <w:panose1 w:val="02000500000000000000"/>
    <w:charset w:val="01"/>
    <w:family w:val="roman"/>
    <w:pitch w:val="variable"/>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4CE80F" w14:textId="77777777" w:rsidR="00F7346A" w:rsidRDefault="00F7346A" w:rsidP="00E67BD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96F29B2" w14:textId="77777777" w:rsidR="00F7346A" w:rsidRDefault="00F734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AA71A" w14:textId="77777777" w:rsidR="00F7346A" w:rsidRDefault="00F7346A">
    <w:pPr>
      <w:spacing w:line="240" w:lineRule="exact"/>
    </w:pPr>
  </w:p>
  <w:p w14:paraId="22297B98" w14:textId="517905CB" w:rsidR="00F7346A" w:rsidRDefault="00F7346A" w:rsidP="00F7068C">
    <w:pPr>
      <w:framePr w:wrap="around" w:vAnchor="text" w:hAnchor="margin" w:xAlign="center" w:y="1"/>
      <w:jc w:val="center"/>
    </w:pPr>
    <w:r>
      <w:sym w:font="Symbol" w:char="F02D"/>
    </w:r>
    <w:r>
      <w:fldChar w:fldCharType="begin"/>
    </w:r>
    <w:r>
      <w:instrText xml:space="preserve">PAGE </w:instrText>
    </w:r>
    <w:r>
      <w:fldChar w:fldCharType="separate"/>
    </w:r>
    <w:r w:rsidR="003921C7">
      <w:rPr>
        <w:noProof/>
      </w:rPr>
      <w:t>2</w:t>
    </w:r>
    <w:r>
      <w:fldChar w:fldCharType="end"/>
    </w:r>
    <w:r>
      <w:sym w:font="Symbol" w:char="F02D"/>
    </w:r>
  </w:p>
  <w:p w14:paraId="2C774652" w14:textId="77777777" w:rsidR="00F7346A" w:rsidRDefault="00F7346A"/>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34F8B9" w14:textId="77777777" w:rsidR="009F0914" w:rsidRDefault="009F0914" w:rsidP="00E67BD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F368341" w14:textId="77777777" w:rsidR="009F0914" w:rsidRDefault="009F091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EF116E" w14:textId="77777777" w:rsidR="009F0914" w:rsidRDefault="009F0914">
    <w:pPr>
      <w:spacing w:line="240" w:lineRule="exact"/>
    </w:pPr>
  </w:p>
  <w:p w14:paraId="3B7C7709" w14:textId="0FC95E4F" w:rsidR="009F0914" w:rsidRDefault="009F0914" w:rsidP="00F7068C">
    <w:pPr>
      <w:framePr w:wrap="around" w:vAnchor="text" w:hAnchor="margin" w:xAlign="center" w:y="1"/>
      <w:jc w:val="center"/>
    </w:pPr>
    <w:r>
      <w:sym w:font="Symbol" w:char="F02D"/>
    </w:r>
    <w:r>
      <w:fldChar w:fldCharType="begin"/>
    </w:r>
    <w:r>
      <w:instrText xml:space="preserve">PAGE </w:instrText>
    </w:r>
    <w:r>
      <w:fldChar w:fldCharType="separate"/>
    </w:r>
    <w:r w:rsidR="003921C7">
      <w:rPr>
        <w:noProof/>
      </w:rPr>
      <w:t>10</w:t>
    </w:r>
    <w:r>
      <w:fldChar w:fldCharType="end"/>
    </w:r>
    <w:r>
      <w:sym w:font="Symbol" w:char="F02D"/>
    </w:r>
  </w:p>
  <w:p w14:paraId="30EF7873" w14:textId="77777777" w:rsidR="009F0914" w:rsidRDefault="009F091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D2DFBB" w14:textId="77777777" w:rsidR="007C494D" w:rsidRDefault="007C494D">
      <w:r>
        <w:separator/>
      </w:r>
    </w:p>
  </w:footnote>
  <w:footnote w:type="continuationSeparator" w:id="0">
    <w:p w14:paraId="13797EC6" w14:textId="77777777" w:rsidR="007C494D" w:rsidRDefault="007C494D">
      <w:r>
        <w:continuationSeparator/>
      </w:r>
    </w:p>
  </w:footnote>
  <w:footnote w:id="1">
    <w:p w14:paraId="1B790250" w14:textId="77777777" w:rsidR="00F7346A" w:rsidRPr="00EA1403" w:rsidRDefault="00024E50">
      <w:pPr>
        <w:pStyle w:val="FootnoteText"/>
        <w:rPr>
          <w:rStyle w:val="selectable"/>
          <w:iCs/>
          <w:color w:val="000000"/>
          <w:lang w:val="en"/>
        </w:rPr>
      </w:pPr>
      <w:r>
        <w:tab/>
      </w:r>
      <w:r w:rsidRPr="00EF5685">
        <w:rPr>
          <w:rStyle w:val="FootnoteReference"/>
          <w:vertAlign w:val="superscript"/>
        </w:rPr>
        <w:footnoteRef/>
      </w:r>
      <w:r w:rsidRPr="00EF5685">
        <w:rPr>
          <w:vertAlign w:val="superscript"/>
        </w:rPr>
        <w:t xml:space="preserve"> </w:t>
      </w:r>
      <w:r w:rsidRPr="00EF5685">
        <w:rPr>
          <w:rStyle w:val="selectable"/>
          <w:color w:val="000000"/>
          <w:lang w:val="en"/>
        </w:rPr>
        <w:t xml:space="preserve">Office of Personnel Management. </w:t>
      </w:r>
      <w:r w:rsidRPr="00EF5685">
        <w:rPr>
          <w:rStyle w:val="selectable"/>
          <w:i/>
          <w:iCs/>
          <w:color w:val="000000"/>
          <w:lang w:val="en"/>
        </w:rPr>
        <w:t xml:space="preserve">Salary Table </w:t>
      </w:r>
      <w:r w:rsidR="006F019D" w:rsidRPr="00EF5685">
        <w:rPr>
          <w:rStyle w:val="selectable"/>
          <w:i/>
          <w:iCs/>
          <w:color w:val="000000"/>
          <w:lang w:val="en"/>
        </w:rPr>
        <w:t>201</w:t>
      </w:r>
      <w:r w:rsidR="006F019D">
        <w:rPr>
          <w:rStyle w:val="selectable"/>
          <w:i/>
          <w:iCs/>
          <w:color w:val="000000"/>
          <w:lang w:val="en"/>
        </w:rPr>
        <w:t>9</w:t>
      </w:r>
      <w:r w:rsidRPr="00EF5685">
        <w:rPr>
          <w:rStyle w:val="selectable"/>
          <w:i/>
          <w:iCs/>
          <w:color w:val="000000"/>
          <w:lang w:val="en"/>
        </w:rPr>
        <w:t>-GS General Schedule</w:t>
      </w:r>
      <w:r w:rsidR="00985752">
        <w:rPr>
          <w:rStyle w:val="selectable"/>
          <w:i/>
          <w:iCs/>
          <w:color w:val="000000"/>
          <w:lang w:val="en"/>
        </w:rPr>
        <w:t xml:space="preserve">.  </w:t>
      </w:r>
      <w:r w:rsidR="00EA1403" w:rsidRPr="00EA1403">
        <w:rPr>
          <w:rStyle w:val="selectable"/>
          <w:i/>
          <w:iCs/>
          <w:color w:val="000000"/>
          <w:lang w:val="en"/>
        </w:rPr>
        <w:t>https://www.opm.gov/policy-data-oversight/pay-leave/salaries-wages/salary-tables/pdf/2019/GS_h.pdf</w:t>
      </w:r>
    </w:p>
    <w:p w14:paraId="0C5A8777" w14:textId="77777777" w:rsidR="00EA1403" w:rsidRPr="002248E4" w:rsidRDefault="00EA1403" w:rsidP="00EA1403">
      <w:pPr>
        <w:pStyle w:val="FootnoteText"/>
        <w:rPr>
          <w:rStyle w:val="selectable"/>
          <w:color w:val="000000"/>
          <w:lang w:val="en"/>
        </w:rPr>
      </w:pPr>
    </w:p>
    <w:p w14:paraId="080B8FE3" w14:textId="77777777" w:rsidR="00EA1403" w:rsidRPr="002248E4" w:rsidRDefault="00EA1403" w:rsidP="00EA1403">
      <w:pPr>
        <w:pStyle w:val="FootnoteText"/>
        <w:rPr>
          <w:rStyle w:val="selectable"/>
          <w:color w:val="000000"/>
          <w:lang w:val="en"/>
        </w:rPr>
      </w:pPr>
    </w:p>
    <w:p w14:paraId="3E9BBF06" w14:textId="77777777" w:rsidR="00873D0A" w:rsidRPr="00EF5685" w:rsidRDefault="00873D0A">
      <w:pPr>
        <w:pStyle w:val="FootnoteText"/>
        <w:rPr>
          <w:vertAlign w:val="superscript"/>
        </w:rPr>
      </w:pPr>
    </w:p>
  </w:footnote>
  <w:footnote w:id="2">
    <w:p w14:paraId="77FC0E8F" w14:textId="77777777" w:rsidR="00F7346A" w:rsidRDefault="00F7346A" w:rsidP="00F7346A">
      <w:pPr>
        <w:pStyle w:val="FootnoteText"/>
        <w:ind w:firstLine="720"/>
      </w:pPr>
      <w:r w:rsidRPr="00806680">
        <w:rPr>
          <w:rStyle w:val="FootnoteReference"/>
          <w:vertAlign w:val="superscript"/>
        </w:rPr>
        <w:footnoteRef/>
      </w:r>
      <w:r>
        <w:t xml:space="preserve"> </w:t>
      </w:r>
      <w:r w:rsidRPr="00545F51">
        <w:rPr>
          <w:rStyle w:val="selectable"/>
          <w:color w:val="000000"/>
          <w:lang w:val="en"/>
        </w:rPr>
        <w:t xml:space="preserve">Office of Personnel Management. </w:t>
      </w:r>
      <w:r w:rsidRPr="00545F51">
        <w:rPr>
          <w:rStyle w:val="selectable"/>
          <w:i/>
          <w:iCs/>
          <w:color w:val="000000"/>
          <w:lang w:val="en"/>
        </w:rPr>
        <w:t xml:space="preserve">Salary Table </w:t>
      </w:r>
      <w:r w:rsidR="00985752" w:rsidRPr="00545F51">
        <w:rPr>
          <w:rStyle w:val="selectable"/>
          <w:i/>
          <w:iCs/>
          <w:color w:val="000000"/>
          <w:lang w:val="en"/>
        </w:rPr>
        <w:t>201</w:t>
      </w:r>
      <w:r w:rsidR="00985752">
        <w:rPr>
          <w:rStyle w:val="selectable"/>
          <w:i/>
          <w:iCs/>
          <w:color w:val="000000"/>
          <w:lang w:val="en"/>
        </w:rPr>
        <w:t>9</w:t>
      </w:r>
      <w:r w:rsidRPr="00545F51">
        <w:rPr>
          <w:rStyle w:val="selectable"/>
          <w:i/>
          <w:iCs/>
          <w:color w:val="000000"/>
          <w:lang w:val="en"/>
        </w:rPr>
        <w:t>-GS General Schedule</w:t>
      </w:r>
      <w:r w:rsidRPr="001A00CD">
        <w:t xml:space="preserve"> </w:t>
      </w:r>
      <w:r w:rsidRPr="00545F51">
        <w:rPr>
          <w:rStyle w:val="selectable"/>
          <w:i/>
          <w:iCs/>
          <w:color w:val="000000"/>
          <w:lang w:val="en"/>
        </w:rPr>
        <w:t>Locality Pay Area of Chicago-Naperville, IL-IN-WI</w:t>
      </w:r>
      <w:r w:rsidRPr="00545F51">
        <w:rPr>
          <w:rStyle w:val="selectable"/>
          <w:color w:val="000000"/>
          <w:lang w:val="en"/>
        </w:rPr>
        <w:t>. 2017</w:t>
      </w:r>
      <w:r w:rsidR="00985752">
        <w:rPr>
          <w:rStyle w:val="selectable"/>
          <w:color w:val="000000"/>
          <w:lang w:val="en"/>
        </w:rPr>
        <w:t>.</w:t>
      </w:r>
      <w:r w:rsidRPr="00545F51">
        <w:rPr>
          <w:rStyle w:val="selectable"/>
          <w:color w:val="000000"/>
          <w:lang w:val="en"/>
        </w:rPr>
        <w:t xml:space="preserve">  </w:t>
      </w:r>
      <w:r w:rsidR="00985752">
        <w:rPr>
          <w:rStyle w:val="selectable"/>
          <w:color w:val="000000"/>
          <w:lang w:val="en"/>
        </w:rPr>
        <w:t>https://www.opm.gov/policy-data-oversight/pay-leave/salaries-wages/salary-tables/pdf/2019/CHI_h.pdf.</w:t>
      </w:r>
    </w:p>
    <w:p w14:paraId="1BC78BCC" w14:textId="77777777" w:rsidR="00F7346A" w:rsidRDefault="00F7346A" w:rsidP="00F7346A">
      <w:pPr>
        <w:pStyle w:val="FootnoteText"/>
      </w:pPr>
    </w:p>
  </w:footnote>
  <w:footnote w:id="3">
    <w:p w14:paraId="514AD0B9" w14:textId="77777777" w:rsidR="00F7346A" w:rsidRDefault="00F7346A" w:rsidP="00F7346A">
      <w:pPr>
        <w:pStyle w:val="FootnoteText"/>
        <w:ind w:firstLine="720"/>
      </w:pPr>
      <w:r w:rsidRPr="00BE5DD1">
        <w:rPr>
          <w:rStyle w:val="FootnoteReference"/>
          <w:vertAlign w:val="superscript"/>
        </w:rPr>
        <w:footnoteRef/>
      </w:r>
      <w:r>
        <w:t xml:space="preserve"> </w:t>
      </w:r>
      <w:r>
        <w:rPr>
          <w:b/>
        </w:rPr>
        <w:t>Title and grade (M</w:t>
      </w:r>
      <w:r w:rsidRPr="00BE5DD1">
        <w:rPr>
          <w:b/>
        </w:rPr>
        <w:t>anagement Services specialist, GS 11, Step 5</w:t>
      </w:r>
      <w:r w:rsidR="00E57E48" w:rsidRPr="00BE5DD1">
        <w:rPr>
          <w:b/>
        </w:rPr>
        <w:t>)</w:t>
      </w:r>
      <w:r w:rsidR="00E57E48">
        <w:t xml:space="preserve">: </w:t>
      </w:r>
      <w:r>
        <w:t>based on spending 5% of time (2,080 hrs./yr. times 5% equals 104 hrs./yr.</w:t>
      </w:r>
      <w:r w:rsidR="00E57E48">
        <w:t xml:space="preserve">, </w:t>
      </w:r>
      <w:r w:rsidR="00170243">
        <w:t>decreased</w:t>
      </w:r>
      <w:r w:rsidR="00E57E48">
        <w:t xml:space="preserve"> by 20% = 83.2 hrs./yr.</w:t>
      </w:r>
      <w:r>
        <w:t>, $</w:t>
      </w:r>
      <w:r w:rsidR="00985752">
        <w:t>37.42</w:t>
      </w:r>
      <w:r>
        <w:t xml:space="preserve">/hr. times </w:t>
      </w:r>
      <w:r w:rsidR="00E57E48">
        <w:t xml:space="preserve">83.2 </w:t>
      </w:r>
      <w:r>
        <w:t>hrs./equals $</w:t>
      </w:r>
      <w:r w:rsidR="00985752">
        <w:t>3,113</w:t>
      </w:r>
      <w:r>
        <w:t>) on SDF activities.</w:t>
      </w:r>
    </w:p>
    <w:p w14:paraId="3E362B37" w14:textId="77777777" w:rsidR="00F7346A" w:rsidRDefault="00F7346A" w:rsidP="00F7346A">
      <w:pPr>
        <w:pStyle w:val="FootnoteText"/>
      </w:pPr>
    </w:p>
  </w:footnote>
  <w:footnote w:id="4">
    <w:p w14:paraId="3F24A6EF" w14:textId="77777777" w:rsidR="00F7346A" w:rsidRDefault="00F7346A" w:rsidP="00F7346A">
      <w:pPr>
        <w:pStyle w:val="FootnoteText"/>
        <w:spacing w:after="240"/>
        <w:ind w:firstLine="720"/>
      </w:pPr>
      <w:r w:rsidRPr="005378EB">
        <w:rPr>
          <w:rStyle w:val="FootnoteReference"/>
          <w:vertAlign w:val="superscript"/>
        </w:rPr>
        <w:footnoteRef/>
      </w:r>
      <w:r>
        <w:t xml:space="preserve"> </w:t>
      </w:r>
      <w:r>
        <w:rPr>
          <w:b/>
        </w:rPr>
        <w:t>Title and grade (Office</w:t>
      </w:r>
      <w:r w:rsidRPr="00BE5DD1">
        <w:rPr>
          <w:b/>
        </w:rPr>
        <w:t xml:space="preserve"> Services </w:t>
      </w:r>
      <w:r>
        <w:rPr>
          <w:b/>
        </w:rPr>
        <w:t>Assistant</w:t>
      </w:r>
      <w:r w:rsidRPr="00BE5DD1">
        <w:rPr>
          <w:b/>
        </w:rPr>
        <w:t xml:space="preserve">, GS </w:t>
      </w:r>
      <w:r>
        <w:rPr>
          <w:b/>
        </w:rPr>
        <w:t>8</w:t>
      </w:r>
      <w:r w:rsidRPr="00BE5DD1">
        <w:rPr>
          <w:b/>
        </w:rPr>
        <w:t>, Step 5</w:t>
      </w:r>
      <w:r w:rsidR="00E57E48" w:rsidRPr="00BE5DD1">
        <w:rPr>
          <w:b/>
        </w:rPr>
        <w:t>)</w:t>
      </w:r>
      <w:r w:rsidR="00E57E48">
        <w:t xml:space="preserve">: </w:t>
      </w:r>
      <w:r>
        <w:t>based on spending 2 hrs./pay period (26 pay periods time 2 hrs. equals 52 hrs./yr.</w:t>
      </w:r>
      <w:r w:rsidR="00E57E48">
        <w:t>, decreased by 20% = 41.6 hrs./yr.</w:t>
      </w:r>
      <w:r>
        <w:t>; $</w:t>
      </w:r>
      <w:r w:rsidR="00985752">
        <w:t>28.00</w:t>
      </w:r>
      <w:r>
        <w:t xml:space="preserve">/hr. times </w:t>
      </w:r>
      <w:r w:rsidR="00E57E48">
        <w:t xml:space="preserve">41.6 </w:t>
      </w:r>
      <w:r>
        <w:t>hrs./yr. equals $</w:t>
      </w:r>
      <w:r w:rsidR="00985752">
        <w:t>1,165</w:t>
      </w:r>
      <w:r>
        <w:t>) collecting an processing the SDFs.</w:t>
      </w:r>
    </w:p>
  </w:footnote>
  <w:footnote w:id="5">
    <w:p w14:paraId="7C250360" w14:textId="77777777" w:rsidR="00F7346A" w:rsidRDefault="00F7346A" w:rsidP="00F7346A">
      <w:pPr>
        <w:pStyle w:val="FootnoteText"/>
        <w:ind w:firstLine="720"/>
      </w:pPr>
      <w:r w:rsidRPr="005378EB">
        <w:rPr>
          <w:rStyle w:val="FootnoteReference"/>
          <w:vertAlign w:val="superscript"/>
        </w:rPr>
        <w:footnoteRef/>
      </w:r>
      <w:r w:rsidR="008F0309">
        <w:rPr>
          <w:b/>
        </w:rPr>
        <w:t xml:space="preserve"> </w:t>
      </w:r>
      <w:r w:rsidRPr="00BE5DD1">
        <w:rPr>
          <w:b/>
        </w:rPr>
        <w:t>Title and grade (</w:t>
      </w:r>
      <w:r>
        <w:rPr>
          <w:b/>
        </w:rPr>
        <w:t>Occupational Safety and Health Specialist</w:t>
      </w:r>
      <w:r w:rsidRPr="00BE5DD1">
        <w:rPr>
          <w:b/>
        </w:rPr>
        <w:t xml:space="preserve">, </w:t>
      </w:r>
      <w:r>
        <w:rPr>
          <w:b/>
        </w:rPr>
        <w:t xml:space="preserve">or Industrial Hygienist, </w:t>
      </w:r>
      <w:r w:rsidRPr="00BE5DD1">
        <w:rPr>
          <w:b/>
        </w:rPr>
        <w:t>GS 1</w:t>
      </w:r>
      <w:r>
        <w:rPr>
          <w:b/>
        </w:rPr>
        <w:t>3</w:t>
      </w:r>
      <w:r w:rsidRPr="00BE5DD1">
        <w:rPr>
          <w:b/>
        </w:rPr>
        <w:t>, Step 5</w:t>
      </w:r>
      <w:r w:rsidR="00E57E48" w:rsidRPr="00BE5DD1">
        <w:rPr>
          <w:b/>
        </w:rPr>
        <w:t>)</w:t>
      </w:r>
      <w:r w:rsidR="00E57E48">
        <w:t xml:space="preserve">: </w:t>
      </w:r>
      <w:r>
        <w:t>based on Institute Instructors spending a total of 5 minutes in each of 129 courses (129 times 5 minutes (</w:t>
      </w:r>
      <w:r w:rsidR="00985752">
        <w:t>5/60</w:t>
      </w:r>
      <w:r>
        <w:t xml:space="preserve"> hrs.) equals 10.32 hrs./yr.</w:t>
      </w:r>
      <w:r w:rsidR="00E57E48">
        <w:t>, decreased by 20% = 8.6 hrs./yr.</w:t>
      </w:r>
      <w:r>
        <w:t>; $</w:t>
      </w:r>
      <w:r w:rsidR="00985752">
        <w:t>53.33</w:t>
      </w:r>
      <w:r>
        <w:t xml:space="preserve"> times 10.32 hrs./yr. equals $</w:t>
      </w:r>
      <w:r w:rsidR="00985752">
        <w:t>441</w:t>
      </w:r>
      <w:r>
        <w:t>) distributing, explaining and collecting the SDFs..</w:t>
      </w:r>
    </w:p>
    <w:p w14:paraId="32FF70F0" w14:textId="77777777" w:rsidR="00F7346A" w:rsidRDefault="00F7346A" w:rsidP="00F7346A">
      <w:pPr>
        <w:pStyle w:val="FootnoteText"/>
      </w:pPr>
      <w:r>
        <w:t xml:space="preserve"> </w:t>
      </w:r>
    </w:p>
    <w:p w14:paraId="0C9C72CB" w14:textId="77777777" w:rsidR="008F0309" w:rsidRPr="008F0309" w:rsidRDefault="008F0309" w:rsidP="00F7346A">
      <w:pPr>
        <w:pStyle w:val="FootnoteText"/>
      </w:pPr>
      <w:r>
        <w:tab/>
      </w:r>
      <w:r>
        <w:rPr>
          <w:vertAlign w:val="superscript"/>
        </w:rPr>
        <w:t>6</w:t>
      </w:r>
      <w:r>
        <w:t xml:space="preserve"> </w:t>
      </w:r>
      <w:r>
        <w:rPr>
          <w:b/>
        </w:rPr>
        <w:t xml:space="preserve">Total Hours:  </w:t>
      </w:r>
      <w:r>
        <w:t>The hours are derived by the average processing time.  Since 2017, there was a 20% decrease in processing time due to the average student enrollments.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652A1" w14:textId="77777777" w:rsidR="00F7346A" w:rsidRDefault="00FD2111">
    <w:pPr>
      <w:pStyle w:val="Header"/>
      <w:rPr>
        <w:sz w:val="20"/>
        <w:szCs w:val="20"/>
      </w:rPr>
    </w:pPr>
    <w:r>
      <w:rPr>
        <w:sz w:val="20"/>
        <w:szCs w:val="20"/>
      </w:rPr>
      <w:t>STUDENT DATA FORM</w:t>
    </w:r>
  </w:p>
  <w:p w14:paraId="11FCA011" w14:textId="77777777" w:rsidR="00FD2111" w:rsidRPr="00FD2111" w:rsidRDefault="00FD2111" w:rsidP="00FD2111">
    <w:pPr>
      <w:pStyle w:val="Header"/>
      <w:rPr>
        <w:sz w:val="20"/>
        <w:szCs w:val="20"/>
      </w:rPr>
    </w:pPr>
    <w:r w:rsidRPr="00FD2111">
      <w:rPr>
        <w:sz w:val="20"/>
        <w:szCs w:val="20"/>
      </w:rPr>
      <w:t>1218-0172</w:t>
    </w:r>
  </w:p>
  <w:p w14:paraId="23955AC9" w14:textId="77777777" w:rsidR="00FD2111" w:rsidRPr="00FD2111" w:rsidRDefault="00FD2111" w:rsidP="00FD2111">
    <w:pPr>
      <w:pStyle w:val="Header"/>
      <w:rPr>
        <w:sz w:val="20"/>
        <w:szCs w:val="20"/>
      </w:rPr>
    </w:pPr>
    <w:r w:rsidRPr="00FD2111">
      <w:rPr>
        <w:sz w:val="20"/>
        <w:szCs w:val="20"/>
      </w:rPr>
      <w:t xml:space="preserve">February 2017 </w:t>
    </w:r>
  </w:p>
  <w:p w14:paraId="33C883BF" w14:textId="77777777" w:rsidR="00FD2111" w:rsidRPr="004F7FE6" w:rsidRDefault="00FD2111">
    <w:pPr>
      <w:pStyle w:val="Header"/>
      <w:rPr>
        <w:sz w:val="20"/>
        <w:szCs w:val="20"/>
      </w:rPr>
    </w:pPr>
  </w:p>
  <w:p w14:paraId="2E730F1A" w14:textId="77777777" w:rsidR="00F7346A" w:rsidRDefault="00F734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0CB5DD" w14:textId="77777777" w:rsidR="001A00CD" w:rsidRDefault="0025797A">
    <w:pPr>
      <w:pStyle w:val="Header"/>
      <w:rPr>
        <w:sz w:val="20"/>
        <w:szCs w:val="20"/>
      </w:rPr>
    </w:pPr>
    <w:r>
      <w:rPr>
        <w:sz w:val="20"/>
        <w:szCs w:val="20"/>
      </w:rPr>
      <w:t>STUDENT DATA FORM</w:t>
    </w:r>
  </w:p>
  <w:p w14:paraId="6EA9C99B" w14:textId="77777777" w:rsidR="0025797A" w:rsidRDefault="0025797A">
    <w:pPr>
      <w:pStyle w:val="Header"/>
      <w:rPr>
        <w:sz w:val="20"/>
        <w:szCs w:val="20"/>
      </w:rPr>
    </w:pPr>
    <w:r>
      <w:rPr>
        <w:sz w:val="20"/>
        <w:szCs w:val="20"/>
      </w:rPr>
      <w:t>1218-0172</w:t>
    </w:r>
  </w:p>
  <w:p w14:paraId="02A835D9" w14:textId="77777777" w:rsidR="0025797A" w:rsidRPr="004F7FE6" w:rsidRDefault="0025797A">
    <w:pPr>
      <w:pStyle w:val="Header"/>
      <w:rPr>
        <w:sz w:val="20"/>
        <w:szCs w:val="20"/>
      </w:rPr>
    </w:pPr>
    <w:r>
      <w:rPr>
        <w:sz w:val="20"/>
        <w:szCs w:val="20"/>
      </w:rPr>
      <w:t>April 2020</w:t>
    </w:r>
  </w:p>
  <w:p w14:paraId="0A268719" w14:textId="77777777" w:rsidR="00F7346A" w:rsidRDefault="00F7346A">
    <w:pPr>
      <w:pStyle w:val="Header"/>
      <w:rPr>
        <w:sz w:val="20"/>
        <w:szCs w:val="20"/>
      </w:rPr>
    </w:pPr>
  </w:p>
  <w:p w14:paraId="03198595" w14:textId="77777777" w:rsidR="00F7346A" w:rsidRPr="004A0780" w:rsidRDefault="00F7346A">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C13C5" w14:textId="77777777" w:rsidR="004F7FE6" w:rsidRPr="004F7FE6" w:rsidRDefault="004F7FE6">
    <w:pPr>
      <w:pStyle w:val="Header"/>
      <w:rPr>
        <w:sz w:val="20"/>
        <w:szCs w:val="20"/>
      </w:rPr>
    </w:pPr>
    <w:r w:rsidRPr="004F7FE6">
      <w:rPr>
        <w:sz w:val="20"/>
        <w:szCs w:val="20"/>
      </w:rPr>
      <w:t xml:space="preserve">Department of Labor </w:t>
    </w:r>
  </w:p>
  <w:p w14:paraId="122F3348" w14:textId="77777777" w:rsidR="004F7FE6" w:rsidRPr="004F7FE6" w:rsidRDefault="004F7FE6">
    <w:pPr>
      <w:pStyle w:val="Header"/>
      <w:rPr>
        <w:sz w:val="20"/>
        <w:szCs w:val="20"/>
      </w:rPr>
    </w:pPr>
    <w:r w:rsidRPr="004F7FE6">
      <w:rPr>
        <w:sz w:val="20"/>
        <w:szCs w:val="20"/>
      </w:rPr>
      <w:t>Occupational Safety and Health Administration</w:t>
    </w:r>
  </w:p>
  <w:p w14:paraId="37CF1E7C" w14:textId="77777777" w:rsidR="004F7FE6" w:rsidRPr="004F7FE6" w:rsidRDefault="004F7FE6">
    <w:pPr>
      <w:pStyle w:val="Header"/>
      <w:rPr>
        <w:sz w:val="20"/>
        <w:szCs w:val="20"/>
      </w:rPr>
    </w:pPr>
    <w:r w:rsidRPr="004F7FE6">
      <w:rPr>
        <w:sz w:val="20"/>
        <w:szCs w:val="20"/>
      </w:rPr>
      <w:t>Preclearance Supporting Statement</w:t>
    </w:r>
  </w:p>
  <w:p w14:paraId="1FD13FE9" w14:textId="77777777" w:rsidR="004F7FE6" w:rsidRDefault="004F7FE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F5C1C5" w14:textId="77777777" w:rsidR="004F7FE6" w:rsidRPr="004F7FE6" w:rsidRDefault="00444C44">
    <w:pPr>
      <w:pStyle w:val="Header"/>
      <w:rPr>
        <w:sz w:val="20"/>
        <w:szCs w:val="20"/>
      </w:rPr>
    </w:pPr>
    <w:r>
      <w:rPr>
        <w:sz w:val="20"/>
        <w:szCs w:val="20"/>
      </w:rPr>
      <w:t>STUDENT DATA FORM</w:t>
    </w:r>
  </w:p>
  <w:p w14:paraId="31177E34" w14:textId="77777777" w:rsidR="004F7FE6" w:rsidRPr="004F7FE6" w:rsidRDefault="00444C44">
    <w:pPr>
      <w:pStyle w:val="Header"/>
      <w:rPr>
        <w:sz w:val="20"/>
        <w:szCs w:val="20"/>
      </w:rPr>
    </w:pPr>
    <w:r>
      <w:rPr>
        <w:sz w:val="20"/>
        <w:szCs w:val="20"/>
      </w:rPr>
      <w:t>1218-0172</w:t>
    </w:r>
  </w:p>
  <w:p w14:paraId="6D517059" w14:textId="77777777" w:rsidR="004F7FE6" w:rsidRPr="004F7FE6" w:rsidRDefault="00444C44">
    <w:pPr>
      <w:pStyle w:val="Header"/>
      <w:rPr>
        <w:sz w:val="20"/>
        <w:szCs w:val="20"/>
      </w:rPr>
    </w:pPr>
    <w:r>
      <w:rPr>
        <w:sz w:val="20"/>
        <w:szCs w:val="20"/>
      </w:rPr>
      <w:t>February 2017</w:t>
    </w:r>
    <w:r w:rsidR="004F7FE6" w:rsidRPr="004F7FE6">
      <w:rPr>
        <w:sz w:val="20"/>
        <w:szCs w:val="20"/>
      </w:rPr>
      <w:t xml:space="preserve"> </w:t>
    </w:r>
  </w:p>
  <w:p w14:paraId="684FEFE7" w14:textId="77777777" w:rsidR="00BF7BE9" w:rsidRDefault="00BF7BE9">
    <w:pPr>
      <w:pStyle w:val="Header"/>
      <w:rPr>
        <w:sz w:val="20"/>
        <w:szCs w:val="20"/>
      </w:rPr>
    </w:pPr>
  </w:p>
  <w:p w14:paraId="5DB36E92" w14:textId="77777777" w:rsidR="004F7FE6" w:rsidRPr="004A0780" w:rsidRDefault="004F7FE6">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3862F7"/>
    <w:multiLevelType w:val="hybridMultilevel"/>
    <w:tmpl w:val="318AC546"/>
    <w:lvl w:ilvl="0" w:tplc="0409000F">
      <w:start w:val="1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0B8213B"/>
    <w:multiLevelType w:val="hybridMultilevel"/>
    <w:tmpl w:val="97E22C30"/>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0241"/>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7B8"/>
    <w:rsid w:val="00001CB0"/>
    <w:rsid w:val="0001560C"/>
    <w:rsid w:val="00024E50"/>
    <w:rsid w:val="00025DFF"/>
    <w:rsid w:val="00032D7B"/>
    <w:rsid w:val="0004048C"/>
    <w:rsid w:val="00050969"/>
    <w:rsid w:val="000631F5"/>
    <w:rsid w:val="00063857"/>
    <w:rsid w:val="00085415"/>
    <w:rsid w:val="000A1F8E"/>
    <w:rsid w:val="000C355F"/>
    <w:rsid w:val="000D2A61"/>
    <w:rsid w:val="000E6967"/>
    <w:rsid w:val="000F55C8"/>
    <w:rsid w:val="001134D5"/>
    <w:rsid w:val="00115CF8"/>
    <w:rsid w:val="00116556"/>
    <w:rsid w:val="0012571C"/>
    <w:rsid w:val="00157C05"/>
    <w:rsid w:val="00160B32"/>
    <w:rsid w:val="00162131"/>
    <w:rsid w:val="00170243"/>
    <w:rsid w:val="001821EF"/>
    <w:rsid w:val="001928D9"/>
    <w:rsid w:val="0019486F"/>
    <w:rsid w:val="001960C2"/>
    <w:rsid w:val="001A00CD"/>
    <w:rsid w:val="001A322B"/>
    <w:rsid w:val="001C43AE"/>
    <w:rsid w:val="001D657E"/>
    <w:rsid w:val="001E387C"/>
    <w:rsid w:val="001E39A1"/>
    <w:rsid w:val="001E512F"/>
    <w:rsid w:val="001F2366"/>
    <w:rsid w:val="00203070"/>
    <w:rsid w:val="0020371B"/>
    <w:rsid w:val="0021362C"/>
    <w:rsid w:val="0021716B"/>
    <w:rsid w:val="002248E4"/>
    <w:rsid w:val="0022544A"/>
    <w:rsid w:val="00231B34"/>
    <w:rsid w:val="00242CCB"/>
    <w:rsid w:val="00244C8F"/>
    <w:rsid w:val="002572E7"/>
    <w:rsid w:val="0025797A"/>
    <w:rsid w:val="002606FE"/>
    <w:rsid w:val="0028104A"/>
    <w:rsid w:val="00293682"/>
    <w:rsid w:val="002942A0"/>
    <w:rsid w:val="002977D5"/>
    <w:rsid w:val="002A14E2"/>
    <w:rsid w:val="002A5EC6"/>
    <w:rsid w:val="002A7C19"/>
    <w:rsid w:val="002B031A"/>
    <w:rsid w:val="002C13C0"/>
    <w:rsid w:val="002C59A0"/>
    <w:rsid w:val="002D0E82"/>
    <w:rsid w:val="002D2242"/>
    <w:rsid w:val="002D55F0"/>
    <w:rsid w:val="002E6480"/>
    <w:rsid w:val="002F3B0A"/>
    <w:rsid w:val="002F4AEC"/>
    <w:rsid w:val="003019C9"/>
    <w:rsid w:val="0031419F"/>
    <w:rsid w:val="003157FD"/>
    <w:rsid w:val="0031594F"/>
    <w:rsid w:val="003175BB"/>
    <w:rsid w:val="00320026"/>
    <w:rsid w:val="00321227"/>
    <w:rsid w:val="00321FE7"/>
    <w:rsid w:val="00333679"/>
    <w:rsid w:val="00343C3D"/>
    <w:rsid w:val="00345D9C"/>
    <w:rsid w:val="00364D5E"/>
    <w:rsid w:val="0036684B"/>
    <w:rsid w:val="003921C7"/>
    <w:rsid w:val="0039552E"/>
    <w:rsid w:val="003A755C"/>
    <w:rsid w:val="003A7A8F"/>
    <w:rsid w:val="003B0720"/>
    <w:rsid w:val="003B15F7"/>
    <w:rsid w:val="003B35E0"/>
    <w:rsid w:val="003B3EDF"/>
    <w:rsid w:val="003C0872"/>
    <w:rsid w:val="003D72BF"/>
    <w:rsid w:val="003E0A4C"/>
    <w:rsid w:val="003E1D16"/>
    <w:rsid w:val="003E22B9"/>
    <w:rsid w:val="003E2453"/>
    <w:rsid w:val="003E6702"/>
    <w:rsid w:val="003F1438"/>
    <w:rsid w:val="00407FDF"/>
    <w:rsid w:val="00411114"/>
    <w:rsid w:val="00411B49"/>
    <w:rsid w:val="00413BD5"/>
    <w:rsid w:val="004274D4"/>
    <w:rsid w:val="0044052D"/>
    <w:rsid w:val="00444C44"/>
    <w:rsid w:val="004535A0"/>
    <w:rsid w:val="004659CE"/>
    <w:rsid w:val="00485B9D"/>
    <w:rsid w:val="004877B8"/>
    <w:rsid w:val="004918A4"/>
    <w:rsid w:val="0049245C"/>
    <w:rsid w:val="004A0780"/>
    <w:rsid w:val="004A0C85"/>
    <w:rsid w:val="004A3EC8"/>
    <w:rsid w:val="004B0872"/>
    <w:rsid w:val="004B5220"/>
    <w:rsid w:val="004C10DF"/>
    <w:rsid w:val="004C7A47"/>
    <w:rsid w:val="004E1946"/>
    <w:rsid w:val="004F0C3A"/>
    <w:rsid w:val="004F36E9"/>
    <w:rsid w:val="004F7023"/>
    <w:rsid w:val="004F7FE6"/>
    <w:rsid w:val="00503401"/>
    <w:rsid w:val="00511341"/>
    <w:rsid w:val="0052074F"/>
    <w:rsid w:val="00520BFA"/>
    <w:rsid w:val="005378EB"/>
    <w:rsid w:val="00540484"/>
    <w:rsid w:val="00545F51"/>
    <w:rsid w:val="00552154"/>
    <w:rsid w:val="00555343"/>
    <w:rsid w:val="005554C8"/>
    <w:rsid w:val="00584970"/>
    <w:rsid w:val="00585D3F"/>
    <w:rsid w:val="0059350B"/>
    <w:rsid w:val="005A7903"/>
    <w:rsid w:val="005C2A65"/>
    <w:rsid w:val="005D3D5F"/>
    <w:rsid w:val="005D48F4"/>
    <w:rsid w:val="005D618C"/>
    <w:rsid w:val="005E03E8"/>
    <w:rsid w:val="005E67FF"/>
    <w:rsid w:val="005F05EF"/>
    <w:rsid w:val="005F6AD0"/>
    <w:rsid w:val="00606737"/>
    <w:rsid w:val="00607480"/>
    <w:rsid w:val="00610C12"/>
    <w:rsid w:val="00612408"/>
    <w:rsid w:val="006173BE"/>
    <w:rsid w:val="00620E5F"/>
    <w:rsid w:val="006266B9"/>
    <w:rsid w:val="00631942"/>
    <w:rsid w:val="00644104"/>
    <w:rsid w:val="00644D60"/>
    <w:rsid w:val="00652C37"/>
    <w:rsid w:val="00653A3E"/>
    <w:rsid w:val="006556B2"/>
    <w:rsid w:val="00657B2E"/>
    <w:rsid w:val="00662E76"/>
    <w:rsid w:val="00692FD6"/>
    <w:rsid w:val="00694412"/>
    <w:rsid w:val="00696BA4"/>
    <w:rsid w:val="006A141B"/>
    <w:rsid w:val="006B1F4C"/>
    <w:rsid w:val="006B3DE8"/>
    <w:rsid w:val="006B7596"/>
    <w:rsid w:val="006C5C35"/>
    <w:rsid w:val="006C79EC"/>
    <w:rsid w:val="006E1457"/>
    <w:rsid w:val="006E1976"/>
    <w:rsid w:val="006E369D"/>
    <w:rsid w:val="006E75FC"/>
    <w:rsid w:val="006F019D"/>
    <w:rsid w:val="006F3466"/>
    <w:rsid w:val="006F5FF8"/>
    <w:rsid w:val="007019AE"/>
    <w:rsid w:val="007171E1"/>
    <w:rsid w:val="00730470"/>
    <w:rsid w:val="00732169"/>
    <w:rsid w:val="00732F4A"/>
    <w:rsid w:val="007376C7"/>
    <w:rsid w:val="00745C6C"/>
    <w:rsid w:val="00747656"/>
    <w:rsid w:val="00755C46"/>
    <w:rsid w:val="007642E3"/>
    <w:rsid w:val="00783CFC"/>
    <w:rsid w:val="0078546B"/>
    <w:rsid w:val="00786F3E"/>
    <w:rsid w:val="007C116C"/>
    <w:rsid w:val="007C2E3E"/>
    <w:rsid w:val="007C494D"/>
    <w:rsid w:val="007C5B5C"/>
    <w:rsid w:val="007C75A9"/>
    <w:rsid w:val="007D4BB1"/>
    <w:rsid w:val="007E0F52"/>
    <w:rsid w:val="007E28BE"/>
    <w:rsid w:val="007E78E5"/>
    <w:rsid w:val="007F2459"/>
    <w:rsid w:val="007F7338"/>
    <w:rsid w:val="007F794E"/>
    <w:rsid w:val="00806680"/>
    <w:rsid w:val="00814460"/>
    <w:rsid w:val="008145F7"/>
    <w:rsid w:val="008216AA"/>
    <w:rsid w:val="00823645"/>
    <w:rsid w:val="008444A5"/>
    <w:rsid w:val="00850EB6"/>
    <w:rsid w:val="008533BE"/>
    <w:rsid w:val="00860A40"/>
    <w:rsid w:val="00861654"/>
    <w:rsid w:val="008643BB"/>
    <w:rsid w:val="00864888"/>
    <w:rsid w:val="00873D0A"/>
    <w:rsid w:val="008A3CCE"/>
    <w:rsid w:val="008C0B18"/>
    <w:rsid w:val="008C6CDF"/>
    <w:rsid w:val="008D7ABC"/>
    <w:rsid w:val="008F0309"/>
    <w:rsid w:val="008F0360"/>
    <w:rsid w:val="008F27B8"/>
    <w:rsid w:val="008F3167"/>
    <w:rsid w:val="00910A7F"/>
    <w:rsid w:val="009137A1"/>
    <w:rsid w:val="0092166F"/>
    <w:rsid w:val="00930698"/>
    <w:rsid w:val="009450CA"/>
    <w:rsid w:val="00957D1F"/>
    <w:rsid w:val="00961B2A"/>
    <w:rsid w:val="009765FA"/>
    <w:rsid w:val="00982ED2"/>
    <w:rsid w:val="00985752"/>
    <w:rsid w:val="009A16E7"/>
    <w:rsid w:val="009A2459"/>
    <w:rsid w:val="009A39CD"/>
    <w:rsid w:val="009B2397"/>
    <w:rsid w:val="009B5750"/>
    <w:rsid w:val="009C2EAD"/>
    <w:rsid w:val="009C35E5"/>
    <w:rsid w:val="009D2496"/>
    <w:rsid w:val="009E3692"/>
    <w:rsid w:val="009F0914"/>
    <w:rsid w:val="009F09C4"/>
    <w:rsid w:val="009F2E33"/>
    <w:rsid w:val="009F553B"/>
    <w:rsid w:val="00A07A74"/>
    <w:rsid w:val="00A25682"/>
    <w:rsid w:val="00A30B4E"/>
    <w:rsid w:val="00A3494D"/>
    <w:rsid w:val="00A35420"/>
    <w:rsid w:val="00A41878"/>
    <w:rsid w:val="00A46756"/>
    <w:rsid w:val="00A50771"/>
    <w:rsid w:val="00A61A22"/>
    <w:rsid w:val="00A644B9"/>
    <w:rsid w:val="00A73C7F"/>
    <w:rsid w:val="00A7523A"/>
    <w:rsid w:val="00A760B2"/>
    <w:rsid w:val="00A76753"/>
    <w:rsid w:val="00A76A66"/>
    <w:rsid w:val="00A8321A"/>
    <w:rsid w:val="00A86A9B"/>
    <w:rsid w:val="00A90840"/>
    <w:rsid w:val="00A95969"/>
    <w:rsid w:val="00AB2D9B"/>
    <w:rsid w:val="00AC0E77"/>
    <w:rsid w:val="00AD48F2"/>
    <w:rsid w:val="00AD7A77"/>
    <w:rsid w:val="00B01F16"/>
    <w:rsid w:val="00B024F1"/>
    <w:rsid w:val="00B10748"/>
    <w:rsid w:val="00B139A0"/>
    <w:rsid w:val="00B24679"/>
    <w:rsid w:val="00B2798A"/>
    <w:rsid w:val="00B3321E"/>
    <w:rsid w:val="00B36D58"/>
    <w:rsid w:val="00B46A0A"/>
    <w:rsid w:val="00B5217C"/>
    <w:rsid w:val="00B574DF"/>
    <w:rsid w:val="00B76450"/>
    <w:rsid w:val="00B80C21"/>
    <w:rsid w:val="00B902A3"/>
    <w:rsid w:val="00B945DE"/>
    <w:rsid w:val="00BA4EED"/>
    <w:rsid w:val="00BC2F8E"/>
    <w:rsid w:val="00BC3912"/>
    <w:rsid w:val="00BE5AF2"/>
    <w:rsid w:val="00BE5DD1"/>
    <w:rsid w:val="00BF43B7"/>
    <w:rsid w:val="00BF7BE9"/>
    <w:rsid w:val="00C0139A"/>
    <w:rsid w:val="00C0309D"/>
    <w:rsid w:val="00C05DB5"/>
    <w:rsid w:val="00C11813"/>
    <w:rsid w:val="00C2573B"/>
    <w:rsid w:val="00C3414A"/>
    <w:rsid w:val="00C34FC1"/>
    <w:rsid w:val="00C40D92"/>
    <w:rsid w:val="00C41F5B"/>
    <w:rsid w:val="00C60030"/>
    <w:rsid w:val="00C67CB0"/>
    <w:rsid w:val="00C7542E"/>
    <w:rsid w:val="00C84047"/>
    <w:rsid w:val="00C85E2B"/>
    <w:rsid w:val="00CA357F"/>
    <w:rsid w:val="00CB13BD"/>
    <w:rsid w:val="00CB62A4"/>
    <w:rsid w:val="00CB632C"/>
    <w:rsid w:val="00CC4848"/>
    <w:rsid w:val="00CC7156"/>
    <w:rsid w:val="00D05222"/>
    <w:rsid w:val="00D113D0"/>
    <w:rsid w:val="00D1305F"/>
    <w:rsid w:val="00D17F53"/>
    <w:rsid w:val="00D31198"/>
    <w:rsid w:val="00D57809"/>
    <w:rsid w:val="00D621DB"/>
    <w:rsid w:val="00D658A5"/>
    <w:rsid w:val="00D775B0"/>
    <w:rsid w:val="00D819E2"/>
    <w:rsid w:val="00D84D1D"/>
    <w:rsid w:val="00D919AB"/>
    <w:rsid w:val="00DB53AF"/>
    <w:rsid w:val="00DB732C"/>
    <w:rsid w:val="00DC0F2C"/>
    <w:rsid w:val="00DE1763"/>
    <w:rsid w:val="00DE17BF"/>
    <w:rsid w:val="00DF0029"/>
    <w:rsid w:val="00DF24B6"/>
    <w:rsid w:val="00E41343"/>
    <w:rsid w:val="00E44EE7"/>
    <w:rsid w:val="00E52115"/>
    <w:rsid w:val="00E57E48"/>
    <w:rsid w:val="00E63176"/>
    <w:rsid w:val="00E63345"/>
    <w:rsid w:val="00E64059"/>
    <w:rsid w:val="00E67BD8"/>
    <w:rsid w:val="00E720C9"/>
    <w:rsid w:val="00E731F9"/>
    <w:rsid w:val="00E738D4"/>
    <w:rsid w:val="00E82B70"/>
    <w:rsid w:val="00EA1403"/>
    <w:rsid w:val="00EB1849"/>
    <w:rsid w:val="00EB2358"/>
    <w:rsid w:val="00EB2CAD"/>
    <w:rsid w:val="00EE5EB9"/>
    <w:rsid w:val="00EF2C87"/>
    <w:rsid w:val="00EF5685"/>
    <w:rsid w:val="00F066BD"/>
    <w:rsid w:val="00F11A75"/>
    <w:rsid w:val="00F2238D"/>
    <w:rsid w:val="00F2345A"/>
    <w:rsid w:val="00F64493"/>
    <w:rsid w:val="00F678A8"/>
    <w:rsid w:val="00F7068C"/>
    <w:rsid w:val="00F7346A"/>
    <w:rsid w:val="00F752DE"/>
    <w:rsid w:val="00F87746"/>
    <w:rsid w:val="00F91F8F"/>
    <w:rsid w:val="00F95BDF"/>
    <w:rsid w:val="00FB56F2"/>
    <w:rsid w:val="00FC1AE0"/>
    <w:rsid w:val="00FC232F"/>
    <w:rsid w:val="00FC353E"/>
    <w:rsid w:val="00FD2111"/>
    <w:rsid w:val="00FD5BF8"/>
    <w:rsid w:val="00FE76CF"/>
    <w:rsid w:val="00FE799A"/>
    <w:rsid w:val="00FF07CC"/>
    <w:rsid w:val="00FF4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oNotEmbedSmartTags/>
  <w:decimalSymbol w:val="."/>
  <w:listSeparator w:val=","/>
  <w14:docId w14:val="142AB237"/>
  <w15:chartTrackingRefBased/>
  <w15:docId w15:val="{F468C6B1-003D-429D-BA10-EA15B3A1B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019C9"/>
    <w:pPr>
      <w:widowControl/>
      <w:autoSpaceDE/>
      <w:autoSpaceDN/>
      <w:adjustRightInd/>
    </w:pPr>
    <w:rPr>
      <w:rFonts w:ascii="Tahoma" w:hAnsi="Tahoma" w:cs="Tahoma"/>
      <w:sz w:val="16"/>
      <w:szCs w:val="16"/>
    </w:rPr>
  </w:style>
  <w:style w:type="character" w:styleId="FootnoteReference">
    <w:name w:val="footnote reference"/>
    <w:semiHidden/>
  </w:style>
  <w:style w:type="paragraph" w:styleId="Footer">
    <w:name w:val="footer"/>
    <w:basedOn w:val="Normal"/>
    <w:rsid w:val="00F7068C"/>
    <w:pPr>
      <w:tabs>
        <w:tab w:val="center" w:pos="4320"/>
        <w:tab w:val="right" w:pos="8640"/>
      </w:tabs>
    </w:pPr>
  </w:style>
  <w:style w:type="character" w:styleId="PageNumber">
    <w:name w:val="page number"/>
    <w:basedOn w:val="DefaultParagraphFont"/>
    <w:rsid w:val="00F7068C"/>
  </w:style>
  <w:style w:type="character" w:styleId="CommentReference">
    <w:name w:val="annotation reference"/>
    <w:rsid w:val="00E738D4"/>
    <w:rPr>
      <w:sz w:val="16"/>
      <w:szCs w:val="16"/>
    </w:rPr>
  </w:style>
  <w:style w:type="paragraph" w:styleId="CommentText">
    <w:name w:val="annotation text"/>
    <w:basedOn w:val="Normal"/>
    <w:link w:val="CommentTextChar"/>
    <w:rsid w:val="00E738D4"/>
    <w:rPr>
      <w:sz w:val="20"/>
      <w:szCs w:val="20"/>
    </w:rPr>
  </w:style>
  <w:style w:type="character" w:customStyle="1" w:styleId="CommentTextChar">
    <w:name w:val="Comment Text Char"/>
    <w:basedOn w:val="DefaultParagraphFont"/>
    <w:link w:val="CommentText"/>
    <w:rsid w:val="00E738D4"/>
  </w:style>
  <w:style w:type="paragraph" w:styleId="CommentSubject">
    <w:name w:val="annotation subject"/>
    <w:basedOn w:val="CommentText"/>
    <w:next w:val="CommentText"/>
    <w:link w:val="CommentSubjectChar"/>
    <w:rsid w:val="00E738D4"/>
    <w:rPr>
      <w:b/>
      <w:bCs/>
    </w:rPr>
  </w:style>
  <w:style w:type="character" w:customStyle="1" w:styleId="CommentSubjectChar">
    <w:name w:val="Comment Subject Char"/>
    <w:link w:val="CommentSubject"/>
    <w:rsid w:val="00E738D4"/>
    <w:rPr>
      <w:b/>
      <w:bCs/>
    </w:rPr>
  </w:style>
  <w:style w:type="paragraph" w:styleId="Header">
    <w:name w:val="header"/>
    <w:basedOn w:val="Normal"/>
    <w:link w:val="HeaderChar"/>
    <w:uiPriority w:val="99"/>
    <w:rsid w:val="00BF7BE9"/>
    <w:pPr>
      <w:tabs>
        <w:tab w:val="center" w:pos="4680"/>
        <w:tab w:val="right" w:pos="9360"/>
      </w:tabs>
    </w:pPr>
  </w:style>
  <w:style w:type="character" w:customStyle="1" w:styleId="HeaderChar">
    <w:name w:val="Header Char"/>
    <w:link w:val="Header"/>
    <w:uiPriority w:val="99"/>
    <w:rsid w:val="00BF7BE9"/>
    <w:rPr>
      <w:sz w:val="24"/>
      <w:szCs w:val="24"/>
    </w:rPr>
  </w:style>
  <w:style w:type="paragraph" w:styleId="FootnoteText">
    <w:name w:val="footnote text"/>
    <w:basedOn w:val="Normal"/>
    <w:link w:val="FootnoteTextChar"/>
    <w:rsid w:val="00024E50"/>
    <w:rPr>
      <w:sz w:val="20"/>
      <w:szCs w:val="20"/>
    </w:rPr>
  </w:style>
  <w:style w:type="character" w:customStyle="1" w:styleId="FootnoteTextChar">
    <w:name w:val="Footnote Text Char"/>
    <w:basedOn w:val="DefaultParagraphFont"/>
    <w:link w:val="FootnoteText"/>
    <w:rsid w:val="00024E50"/>
  </w:style>
  <w:style w:type="character" w:customStyle="1" w:styleId="selectable">
    <w:name w:val="selectable"/>
    <w:rsid w:val="00024E50"/>
  </w:style>
  <w:style w:type="character" w:styleId="Hyperlink">
    <w:name w:val="Hyperlink"/>
    <w:rsid w:val="001928D9"/>
    <w:rPr>
      <w:color w:val="0000FF"/>
      <w:u w:val="single"/>
    </w:rPr>
  </w:style>
  <w:style w:type="character" w:styleId="FollowedHyperlink">
    <w:name w:val="FollowedHyperlink"/>
    <w:rsid w:val="001928D9"/>
    <w:rPr>
      <w:color w:val="800080"/>
      <w:u w:val="single"/>
    </w:rPr>
  </w:style>
  <w:style w:type="table" w:styleId="TableGrid">
    <w:name w:val="Table Grid"/>
    <w:basedOn w:val="TableNormal"/>
    <w:rsid w:val="007F73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3146751">
      <w:bodyDiv w:val="1"/>
      <w:marLeft w:val="0"/>
      <w:marRight w:val="0"/>
      <w:marTop w:val="0"/>
      <w:marBottom w:val="0"/>
      <w:divBdr>
        <w:top w:val="none" w:sz="0" w:space="0" w:color="auto"/>
        <w:left w:val="none" w:sz="0" w:space="0" w:color="auto"/>
        <w:bottom w:val="none" w:sz="0" w:space="0" w:color="auto"/>
        <w:right w:val="none" w:sz="0" w:space="0" w:color="auto"/>
      </w:divBdr>
    </w:div>
    <w:div w:id="1051922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97D14C0D875843B0DB02E8B4BD4F3E" ma:contentTypeVersion="7" ma:contentTypeDescription="Create a new document." ma:contentTypeScope="" ma:versionID="961b047357014cd4e69f8de3ddaec2e8">
  <xsd:schema xmlns:xsd="http://www.w3.org/2001/XMLSchema" xmlns:xs="http://www.w3.org/2001/XMLSchema" xmlns:p="http://schemas.microsoft.com/office/2006/metadata/properties" xmlns:ns3="bff4c704-432d-4070-8c1d-cb7493b0e4fc" targetNamespace="http://schemas.microsoft.com/office/2006/metadata/properties" ma:root="true" ma:fieldsID="61e6424bcfd4117e086cb3ed19008fb6" ns3:_="">
    <xsd:import namespace="bff4c704-432d-4070-8c1d-cb7493b0e4f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f4c704-432d-4070-8c1d-cb7493b0e4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43A165-903E-4DA6-BAC8-1146638A78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f4c704-432d-4070-8c1d-cb7493b0e4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DE6CA7-F96B-4E07-BB6F-F5241B357B3A}">
  <ds:schemaRefs>
    <ds:schemaRef ds:uri="http://schemas.microsoft.com/sharepoint/v3/contenttype/forms"/>
  </ds:schemaRefs>
</ds:datastoreItem>
</file>

<file path=customXml/itemProps3.xml><?xml version="1.0" encoding="utf-8"?>
<ds:datastoreItem xmlns:ds="http://schemas.openxmlformats.org/officeDocument/2006/customXml" ds:itemID="{C61FBA66-50AC-4AA2-964C-DBC8DFAC0D76}">
  <ds:schemaRefs>
    <ds:schemaRef ds:uri="http://purl.org/dc/elements/1.1/"/>
    <ds:schemaRef ds:uri="http://schemas.microsoft.com/office/2006/metadata/properties"/>
    <ds:schemaRef ds:uri="bff4c704-432d-4070-8c1d-cb7493b0e4fc"/>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5F1EE51E-A808-44A9-B7DA-625137956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2691</Words>
  <Characters>15344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SUPPORTING STATEMENT FOR THE</vt:lpstr>
    </vt:vector>
  </TitlesOfParts>
  <Company>USDOL/OSHA</Company>
  <LinksUpToDate>false</LinksUpToDate>
  <CharactersWithSpaces>18000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dc:title>
  <dc:subject/>
  <dc:creator>OSHA_User</dc:creator>
  <cp:keywords/>
  <cp:lastModifiedBy>Perryman, Seleda M - OSHA</cp:lastModifiedBy>
  <cp:revision>2</cp:revision>
  <cp:lastPrinted>2019-12-30T20:13:00Z</cp:lastPrinted>
  <dcterms:created xsi:type="dcterms:W3CDTF">2020-04-14T18:42:00Z</dcterms:created>
  <dcterms:modified xsi:type="dcterms:W3CDTF">2020-04-14T18:42:00Z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0x010100C597D14C0D875843B0DB02E8B4BD4F3E</vt:lpwstr>
  </property>
</Properties>
</file>