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411EF" w:rsidR="003D7B1A" w:rsidP="003D7B1A" w:rsidRDefault="003D7B1A" w14:paraId="57A4F5A0" w14:textId="77777777">
      <w:pPr>
        <w:spacing w:line="240" w:lineRule="exact"/>
        <w:jc w:val="center"/>
      </w:pPr>
      <w:bookmarkStart w:name="_GoBack" w:id="0"/>
      <w:bookmarkEnd w:id="0"/>
    </w:p>
    <w:p w:rsidRPr="00D411EF" w:rsidR="003D7B1A" w:rsidP="003D7B1A" w:rsidRDefault="003D7B1A" w14:paraId="6E6FCEAB" w14:textId="77777777">
      <w:pPr>
        <w:pStyle w:val="Heading2"/>
      </w:pPr>
      <w:r w:rsidRPr="00D411EF">
        <w:t>SUPPORTING STATEMENT</w:t>
      </w:r>
    </w:p>
    <w:p w:rsidRPr="00A619FA" w:rsidR="003D7B1A" w:rsidP="003D7B1A" w:rsidRDefault="003D7B1A" w14:paraId="52586444" w14:textId="77777777">
      <w:pPr>
        <w:spacing w:line="240" w:lineRule="exact"/>
        <w:jc w:val="center"/>
        <w:rPr>
          <w:u w:val="single"/>
        </w:rPr>
      </w:pPr>
      <w:r w:rsidRPr="00A619FA">
        <w:t>Consumer Price Index Commodities and Services</w:t>
      </w:r>
    </w:p>
    <w:p w:rsidRPr="00D411EF" w:rsidR="003D7B1A" w:rsidP="003D7B1A" w:rsidRDefault="003D7B1A" w14:paraId="240B5F25" w14:textId="77777777">
      <w:pPr>
        <w:spacing w:line="240" w:lineRule="exact"/>
        <w:rPr>
          <w:rFonts w:ascii="Times" w:hAnsi="Times"/>
          <w:u w:val="single"/>
        </w:rPr>
      </w:pPr>
    </w:p>
    <w:p w:rsidRPr="00D411EF" w:rsidR="003D7B1A" w:rsidP="003D7B1A" w:rsidRDefault="003D7B1A" w14:paraId="634DCB22" w14:textId="77777777">
      <w:pPr>
        <w:spacing w:line="240" w:lineRule="exact"/>
      </w:pPr>
      <w:r w:rsidRPr="00D411EF">
        <w:t>B.</w:t>
      </w:r>
      <w:r w:rsidRPr="00D411EF">
        <w:tab/>
      </w:r>
      <w:r w:rsidRPr="00D411EF">
        <w:rPr>
          <w:u w:val="single"/>
        </w:rPr>
        <w:t>DESCRIPTION OF INFORMATION COLLECTIONS EMPLOYING</w:t>
      </w:r>
      <w:r w:rsidRPr="00D411EF">
        <w:t xml:space="preserve"> </w:t>
      </w:r>
      <w:r w:rsidRPr="00D411EF">
        <w:tab/>
      </w:r>
      <w:r w:rsidRPr="00D411EF">
        <w:tab/>
      </w:r>
      <w:r w:rsidRPr="00D411EF">
        <w:tab/>
      </w:r>
      <w:r w:rsidRPr="00D411EF">
        <w:rPr>
          <w:u w:val="single"/>
        </w:rPr>
        <w:t>STATISTICAL METHODS</w:t>
      </w:r>
    </w:p>
    <w:p w:rsidRPr="00D411EF" w:rsidR="003D7B1A" w:rsidP="003D7B1A" w:rsidRDefault="003D7B1A" w14:paraId="3A76B623" w14:textId="77777777">
      <w:pPr>
        <w:spacing w:line="240" w:lineRule="exact"/>
      </w:pPr>
    </w:p>
    <w:p w:rsidRPr="00D411EF" w:rsidR="003D7B1A" w:rsidP="003D7B1A" w:rsidRDefault="003D7B1A" w14:paraId="77362DEF" w14:textId="77777777">
      <w:pPr>
        <w:numPr>
          <w:ilvl w:val="0"/>
          <w:numId w:val="1"/>
        </w:numPr>
        <w:spacing w:line="240" w:lineRule="exact"/>
      </w:pPr>
      <w:r w:rsidRPr="00D411EF">
        <w:t>Universe and Sample Size Summary</w:t>
      </w:r>
    </w:p>
    <w:p w:rsidRPr="00D411EF" w:rsidR="003D7B1A" w:rsidP="003D7B1A" w:rsidRDefault="003D7B1A" w14:paraId="748D2621" w14:textId="77777777">
      <w:pPr>
        <w:pStyle w:val="Header"/>
        <w:tabs>
          <w:tab w:val="clear" w:pos="4320"/>
          <w:tab w:val="clear" w:pos="8640"/>
        </w:tabs>
        <w:spacing w:line="240" w:lineRule="exact"/>
      </w:pPr>
    </w:p>
    <w:p w:rsidR="003D7B1A" w:rsidP="003D7B1A" w:rsidRDefault="003D7B1A" w14:paraId="65FCA703" w14:textId="4E0D998E">
      <w:pPr>
        <w:spacing w:line="240" w:lineRule="exact"/>
      </w:pPr>
      <w:r w:rsidRPr="00D411EF">
        <w:t xml:space="preserve">Because of the complexity, importance and diversity of its universe, the construction of the </w:t>
      </w:r>
      <w:r>
        <w:t>Consumer Price Index (</w:t>
      </w:r>
      <w:r w:rsidRPr="00D411EF">
        <w:t>CPI</w:t>
      </w:r>
      <w:r>
        <w:t>)</w:t>
      </w:r>
      <w:r w:rsidRPr="00D411EF">
        <w:t xml:space="preserve"> requires a complex set of statistical techniques and samples.  Conceptually, the potential universe of price quotations for the CPI is the total set of prices, placed in one-to-one correspondence to the total set of purchases of all urban consumers.  The sample for ongoing pricing for the </w:t>
      </w:r>
      <w:r>
        <w:t>Commodities and Services (C&amp;S) portion of the CPI</w:t>
      </w:r>
      <w:r w:rsidRPr="00D411EF">
        <w:t xml:space="preserve"> is </w:t>
      </w:r>
      <w:r w:rsidRPr="00C1320E">
        <w:t xml:space="preserve">approximately </w:t>
      </w:r>
      <w:r w:rsidR="003C2C21">
        <w:t>35,547</w:t>
      </w:r>
      <w:r w:rsidRPr="00C1320E" w:rsidR="0080589A">
        <w:t xml:space="preserve"> </w:t>
      </w:r>
      <w:r w:rsidRPr="00950569">
        <w:t>outlets</w:t>
      </w:r>
      <w:r w:rsidRPr="00D411EF">
        <w:t xml:space="preserve"> with </w:t>
      </w:r>
      <w:r w:rsidRPr="00C1320E" w:rsidR="0080589A">
        <w:rPr>
          <w:color w:val="000000" w:themeColor="text1"/>
        </w:rPr>
        <w:t>89,708</w:t>
      </w:r>
      <w:r w:rsidRPr="00C1320E" w:rsidR="00672E29">
        <w:rPr>
          <w:color w:val="000000" w:themeColor="text1"/>
        </w:rPr>
        <w:t xml:space="preserve"> </w:t>
      </w:r>
      <w:r w:rsidRPr="00DB0BA0">
        <w:t>price</w:t>
      </w:r>
      <w:r w:rsidRPr="00D411EF">
        <w:t xml:space="preserve"> quotations</w:t>
      </w:r>
      <w:r>
        <w:t xml:space="preserve"> per month</w:t>
      </w:r>
      <w:r w:rsidRPr="00D411EF">
        <w:t>.</w:t>
      </w:r>
    </w:p>
    <w:p w:rsidR="003D7B1A" w:rsidP="003D7B1A" w:rsidRDefault="003D7B1A" w14:paraId="28A01501" w14:textId="77777777">
      <w:pPr>
        <w:spacing w:line="240" w:lineRule="exact"/>
      </w:pPr>
    </w:p>
    <w:p w:rsidR="003D7B1A" w:rsidP="003D7B1A" w:rsidRDefault="003D7B1A" w14:paraId="205284F5" w14:textId="6432EDF1">
      <w:pPr>
        <w:spacing w:line="240" w:lineRule="exact"/>
      </w:pPr>
      <w:r w:rsidRPr="00DC191A">
        <w:t>The outlet response rate for ongoing pricing is 9</w:t>
      </w:r>
      <w:r w:rsidRPr="00DC191A" w:rsidR="00377417">
        <w:t>0</w:t>
      </w:r>
      <w:r w:rsidRPr="00DC191A">
        <w:t>.</w:t>
      </w:r>
      <w:r w:rsidRPr="00DC191A" w:rsidR="00377417">
        <w:t>1</w:t>
      </w:r>
      <w:r w:rsidRPr="00DC191A">
        <w:t>%</w:t>
      </w:r>
      <w:r w:rsidRPr="00DC191A">
        <w:rPr>
          <w:color w:val="FF0000"/>
        </w:rPr>
        <w:t xml:space="preserve"> </w:t>
      </w:r>
      <w:r w:rsidRPr="00DC191A">
        <w:t>per month over the time period from October 201</w:t>
      </w:r>
      <w:r w:rsidRPr="00DC191A" w:rsidR="00AB1254">
        <w:t>8</w:t>
      </w:r>
      <w:r w:rsidRPr="00DC191A">
        <w:rPr>
          <w:color w:val="1F497D"/>
        </w:rPr>
        <w:t xml:space="preserve"> </w:t>
      </w:r>
      <w:r w:rsidRPr="00DC191A">
        <w:t>to September 201</w:t>
      </w:r>
      <w:r w:rsidRPr="00DC191A" w:rsidR="00AB1254">
        <w:t>9</w:t>
      </w:r>
      <w:r w:rsidRPr="00DC191A">
        <w:t xml:space="preserve">.  The roughly </w:t>
      </w:r>
      <w:r w:rsidRPr="00DC191A" w:rsidR="00AB1254">
        <w:t>10</w:t>
      </w:r>
      <w:r w:rsidRPr="00DC191A">
        <w:t>% non-response rate in outlets is due to refusals or outlets being temporarily unavailable for pricing.</w:t>
      </w:r>
      <w:r>
        <w:t xml:space="preserve">   </w:t>
      </w:r>
    </w:p>
    <w:p w:rsidR="003D7B1A" w:rsidP="003D7B1A" w:rsidRDefault="003D7B1A" w14:paraId="18C36A52" w14:textId="77777777">
      <w:pPr>
        <w:spacing w:line="240" w:lineRule="exact"/>
      </w:pPr>
    </w:p>
    <w:p w:rsidR="003D7B1A" w:rsidP="003D7B1A" w:rsidRDefault="003D7B1A" w14:paraId="1BD291ED" w14:textId="022A2385">
      <w:pPr>
        <w:spacing w:line="240" w:lineRule="exact"/>
        <w:rPr>
          <w:sz w:val="22"/>
        </w:rPr>
      </w:pPr>
      <w:r>
        <w:t xml:space="preserve">The </w:t>
      </w:r>
      <w:r w:rsidRPr="00DC191A">
        <w:t xml:space="preserve">response rate at initiation is </w:t>
      </w:r>
      <w:r w:rsidRPr="00DC191A" w:rsidR="00AB1254">
        <w:t>7</w:t>
      </w:r>
      <w:r w:rsidR="002F4246">
        <w:t>9</w:t>
      </w:r>
      <w:r w:rsidRPr="00DC191A" w:rsidR="00AB1254">
        <w:t>.</w:t>
      </w:r>
      <w:r w:rsidR="002F4246">
        <w:t>1</w:t>
      </w:r>
      <w:r w:rsidRPr="00DC191A">
        <w:t xml:space="preserve">% of eligible outlets.  During initiation </w:t>
      </w:r>
      <w:r w:rsidRPr="00DC191A" w:rsidR="00AB1254">
        <w:t>10.6</w:t>
      </w:r>
      <w:r w:rsidRPr="00DC191A">
        <w:t xml:space="preserve">% of outlets are terminated, either because they refuse to participate </w:t>
      </w:r>
      <w:r w:rsidRPr="00DC191A" w:rsidR="00AB1254">
        <w:t>(2.0</w:t>
      </w:r>
      <w:r w:rsidRPr="00DC191A">
        <w:t>%), are ineligible (</w:t>
      </w:r>
      <w:r w:rsidRPr="00DC191A" w:rsidR="00AB1254">
        <w:t>7.7</w:t>
      </w:r>
      <w:r w:rsidRPr="00DC191A">
        <w:t xml:space="preserve">%), or cannot be located </w:t>
      </w:r>
      <w:r w:rsidRPr="00DC191A" w:rsidR="00AB1254">
        <w:t>(0.9</w:t>
      </w:r>
      <w:r w:rsidRPr="00DC191A">
        <w:t>%).  The following table presents response rates for outlets undergoing CPI initiation during the two most recent initiation cycles, August 201</w:t>
      </w:r>
      <w:r w:rsidRPr="00DC191A" w:rsidR="00AB1254">
        <w:t>8 and February 2019</w:t>
      </w:r>
      <w:r w:rsidRPr="00DC191A">
        <w:t>:</w:t>
      </w:r>
    </w:p>
    <w:p w:rsidRPr="00575C49" w:rsidR="003D7B1A" w:rsidP="003D7B1A" w:rsidRDefault="003D7B1A" w14:paraId="7834E52B" w14:textId="77777777">
      <w:pPr>
        <w:spacing w:line="240" w:lineRule="exact"/>
      </w:pPr>
    </w:p>
    <w:p w:rsidR="003D7B1A" w:rsidP="003D7B1A" w:rsidRDefault="003D7B1A" w14:paraId="2048AC0B" w14:textId="77777777">
      <w:pPr>
        <w:spacing w:line="240" w:lineRule="exact"/>
      </w:pPr>
    </w:p>
    <w:tbl>
      <w:tblPr>
        <w:tblW w:w="5102" w:type="pct"/>
        <w:tblCellMar>
          <w:left w:w="0" w:type="dxa"/>
          <w:right w:w="0" w:type="dxa"/>
        </w:tblCellMar>
        <w:tblLook w:val="04A0" w:firstRow="1" w:lastRow="0" w:firstColumn="1" w:lastColumn="0" w:noHBand="0" w:noVBand="1"/>
      </w:tblPr>
      <w:tblGrid>
        <w:gridCol w:w="7716"/>
        <w:gridCol w:w="1815"/>
      </w:tblGrid>
      <w:tr w:rsidRPr="00DC191A" w:rsidR="003D7B1A" w:rsidTr="004A027E" w14:paraId="40ED9E71" w14:textId="77777777">
        <w:trPr>
          <w:trHeight w:val="297"/>
        </w:trPr>
        <w:tc>
          <w:tcPr>
            <w:tcW w:w="404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C191A" w:rsidR="003D7B1A" w:rsidP="009B2A80" w:rsidRDefault="003D7B1A" w14:paraId="1EFCDA92" w14:textId="77777777">
            <w:pPr>
              <w:spacing w:line="240" w:lineRule="exact"/>
              <w:rPr>
                <w:rFonts w:eastAsia="Calibri"/>
                <w:b/>
                <w:bCs/>
                <w:szCs w:val="24"/>
              </w:rPr>
            </w:pPr>
            <w:r w:rsidRPr="00DC191A">
              <w:rPr>
                <w:b/>
                <w:bCs/>
              </w:rPr>
              <w:t>Type of Response at Initiation</w:t>
            </w:r>
          </w:p>
        </w:tc>
        <w:tc>
          <w:tcPr>
            <w:tcW w:w="952"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21748" w:rsidR="003D7B1A" w:rsidP="009B2A80" w:rsidRDefault="003D7B1A" w14:paraId="6559CBD5" w14:textId="77777777">
            <w:pPr>
              <w:spacing w:line="240" w:lineRule="exact"/>
              <w:jc w:val="right"/>
              <w:rPr>
                <w:rFonts w:eastAsia="Calibri"/>
                <w:b/>
                <w:bCs/>
                <w:szCs w:val="24"/>
              </w:rPr>
            </w:pPr>
            <w:r w:rsidRPr="00021748">
              <w:rPr>
                <w:b/>
                <w:bCs/>
              </w:rPr>
              <w:t>Percent</w:t>
            </w:r>
          </w:p>
        </w:tc>
      </w:tr>
      <w:tr w:rsidRPr="00DC191A" w:rsidR="003D7B1A" w:rsidTr="004A027E" w14:paraId="469A37BD" w14:textId="77777777">
        <w:trPr>
          <w:trHeight w:val="297"/>
        </w:trPr>
        <w:tc>
          <w:tcPr>
            <w:tcW w:w="4048"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C191A" w:rsidR="003D7B1A" w:rsidP="009B2A80" w:rsidRDefault="003D7B1A" w14:paraId="76E43CC0" w14:textId="77777777">
            <w:pPr>
              <w:spacing w:line="240" w:lineRule="exact"/>
              <w:rPr>
                <w:rFonts w:eastAsia="Calibri"/>
                <w:szCs w:val="24"/>
              </w:rPr>
            </w:pPr>
            <w:r w:rsidRPr="00DC191A">
              <w:t>Data obtained</w:t>
            </w:r>
          </w:p>
        </w:tc>
        <w:tc>
          <w:tcPr>
            <w:tcW w:w="952" w:type="pct"/>
            <w:tcBorders>
              <w:top w:val="nil"/>
              <w:left w:val="nil"/>
              <w:bottom w:val="single" w:color="auto" w:sz="8" w:space="0"/>
              <w:right w:val="single" w:color="auto" w:sz="8" w:space="0"/>
            </w:tcBorders>
            <w:tcMar>
              <w:top w:w="0" w:type="dxa"/>
              <w:left w:w="108" w:type="dxa"/>
              <w:bottom w:w="0" w:type="dxa"/>
              <w:right w:w="108" w:type="dxa"/>
            </w:tcMar>
            <w:hideMark/>
          </w:tcPr>
          <w:p w:rsidRPr="00DC191A" w:rsidR="003D7B1A" w:rsidP="009B2A80" w:rsidRDefault="00D02175" w14:paraId="2CFB7A94" w14:textId="77777777">
            <w:pPr>
              <w:spacing w:line="240" w:lineRule="exact"/>
              <w:jc w:val="right"/>
              <w:rPr>
                <w:rFonts w:eastAsia="Calibri"/>
                <w:szCs w:val="24"/>
              </w:rPr>
            </w:pPr>
            <w:r w:rsidRPr="00DC191A">
              <w:t>72.9</w:t>
            </w:r>
          </w:p>
        </w:tc>
      </w:tr>
      <w:tr w:rsidRPr="00DC191A" w:rsidR="003D7B1A" w:rsidTr="004A027E" w14:paraId="193577FB" w14:textId="77777777">
        <w:trPr>
          <w:trHeight w:val="297"/>
        </w:trPr>
        <w:tc>
          <w:tcPr>
            <w:tcW w:w="4048"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C191A" w:rsidR="003D7B1A" w:rsidP="009B2A80" w:rsidRDefault="003D7B1A" w14:paraId="25591B70" w14:textId="77777777">
            <w:pPr>
              <w:rPr>
                <w:rFonts w:eastAsia="Calibri"/>
                <w:szCs w:val="24"/>
              </w:rPr>
            </w:pPr>
            <w:r w:rsidRPr="00DC191A">
              <w:t>Data pending</w:t>
            </w:r>
            <w:r w:rsidRPr="00DC191A">
              <w:rPr>
                <w:color w:val="1F497D"/>
              </w:rPr>
              <w:t xml:space="preserve"> – </w:t>
            </w:r>
            <w:r w:rsidRPr="00DC191A">
              <w:t>awaiting central office clearance, temporarily unavailable</w:t>
            </w:r>
          </w:p>
        </w:tc>
        <w:tc>
          <w:tcPr>
            <w:tcW w:w="952" w:type="pct"/>
            <w:tcBorders>
              <w:top w:val="nil"/>
              <w:left w:val="nil"/>
              <w:bottom w:val="single" w:color="auto" w:sz="8" w:space="0"/>
              <w:right w:val="single" w:color="auto" w:sz="8" w:space="0"/>
            </w:tcBorders>
            <w:tcMar>
              <w:top w:w="0" w:type="dxa"/>
              <w:left w:w="108" w:type="dxa"/>
              <w:bottom w:w="0" w:type="dxa"/>
              <w:right w:w="108" w:type="dxa"/>
            </w:tcMar>
            <w:hideMark/>
          </w:tcPr>
          <w:p w:rsidRPr="00DC191A" w:rsidR="003D7B1A" w:rsidP="009B2A80" w:rsidRDefault="00D02175" w14:paraId="667E5FFE" w14:textId="77777777">
            <w:pPr>
              <w:jc w:val="right"/>
              <w:rPr>
                <w:rFonts w:eastAsia="Calibri"/>
                <w:szCs w:val="24"/>
              </w:rPr>
            </w:pPr>
            <w:r w:rsidRPr="00DC191A">
              <w:t>16.4</w:t>
            </w:r>
          </w:p>
        </w:tc>
      </w:tr>
      <w:tr w:rsidRPr="00DC191A" w:rsidR="003D7B1A" w:rsidTr="004A027E" w14:paraId="3A977291" w14:textId="77777777">
        <w:trPr>
          <w:trHeight w:val="297"/>
        </w:trPr>
        <w:tc>
          <w:tcPr>
            <w:tcW w:w="4048"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C191A" w:rsidR="003D7B1A" w:rsidP="009B2A80" w:rsidRDefault="003D7B1A" w14:paraId="33489075" w14:textId="77777777">
            <w:pPr>
              <w:rPr>
                <w:rFonts w:eastAsia="Calibri"/>
                <w:szCs w:val="24"/>
              </w:rPr>
            </w:pPr>
            <w:r w:rsidRPr="00DC191A">
              <w:t>Refusal</w:t>
            </w:r>
          </w:p>
        </w:tc>
        <w:tc>
          <w:tcPr>
            <w:tcW w:w="952" w:type="pct"/>
            <w:tcBorders>
              <w:top w:val="nil"/>
              <w:left w:val="nil"/>
              <w:bottom w:val="single" w:color="auto" w:sz="8" w:space="0"/>
              <w:right w:val="single" w:color="auto" w:sz="8" w:space="0"/>
            </w:tcBorders>
            <w:tcMar>
              <w:top w:w="0" w:type="dxa"/>
              <w:left w:w="108" w:type="dxa"/>
              <w:bottom w:w="0" w:type="dxa"/>
              <w:right w:w="108" w:type="dxa"/>
            </w:tcMar>
            <w:hideMark/>
          </w:tcPr>
          <w:p w:rsidRPr="00DC191A" w:rsidR="003D7B1A" w:rsidP="009B2A80" w:rsidRDefault="00D02175" w14:paraId="01DA9BCB" w14:textId="77777777">
            <w:pPr>
              <w:jc w:val="right"/>
              <w:rPr>
                <w:rFonts w:eastAsia="Calibri"/>
                <w:szCs w:val="24"/>
              </w:rPr>
            </w:pPr>
            <w:r w:rsidRPr="00DC191A">
              <w:t>2.0</w:t>
            </w:r>
          </w:p>
        </w:tc>
      </w:tr>
      <w:tr w:rsidRPr="00DC191A" w:rsidR="003D7B1A" w:rsidTr="004A027E" w14:paraId="10F68EC6" w14:textId="77777777">
        <w:trPr>
          <w:trHeight w:val="297"/>
        </w:trPr>
        <w:tc>
          <w:tcPr>
            <w:tcW w:w="4048"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C191A" w:rsidR="003D7B1A" w:rsidP="009B2A80" w:rsidRDefault="003D7B1A" w14:paraId="5F130AE1" w14:textId="77777777">
            <w:pPr>
              <w:rPr>
                <w:rFonts w:eastAsia="Calibri"/>
                <w:szCs w:val="24"/>
              </w:rPr>
            </w:pPr>
            <w:r w:rsidRPr="00DC191A">
              <w:t>Ineligible – no CPI items available</w:t>
            </w:r>
          </w:p>
        </w:tc>
        <w:tc>
          <w:tcPr>
            <w:tcW w:w="952" w:type="pct"/>
            <w:tcBorders>
              <w:top w:val="nil"/>
              <w:left w:val="nil"/>
              <w:bottom w:val="single" w:color="auto" w:sz="8" w:space="0"/>
              <w:right w:val="single" w:color="auto" w:sz="8" w:space="0"/>
            </w:tcBorders>
            <w:tcMar>
              <w:top w:w="0" w:type="dxa"/>
              <w:left w:w="108" w:type="dxa"/>
              <w:bottom w:w="0" w:type="dxa"/>
              <w:right w:w="108" w:type="dxa"/>
            </w:tcMar>
            <w:hideMark/>
          </w:tcPr>
          <w:p w:rsidRPr="00DC191A" w:rsidR="003D7B1A" w:rsidP="009B2A80" w:rsidRDefault="00D02175" w14:paraId="78954149" w14:textId="77777777">
            <w:pPr>
              <w:jc w:val="right"/>
              <w:rPr>
                <w:rFonts w:eastAsia="Calibri"/>
                <w:szCs w:val="24"/>
              </w:rPr>
            </w:pPr>
            <w:r w:rsidRPr="00DC191A">
              <w:t>5.0</w:t>
            </w:r>
          </w:p>
        </w:tc>
      </w:tr>
      <w:tr w:rsidRPr="00DC191A" w:rsidR="003D7B1A" w:rsidTr="004A027E" w14:paraId="61A454F1" w14:textId="77777777">
        <w:trPr>
          <w:trHeight w:val="297"/>
        </w:trPr>
        <w:tc>
          <w:tcPr>
            <w:tcW w:w="4048"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C191A" w:rsidR="003D7B1A" w:rsidP="009B2A80" w:rsidRDefault="003D7B1A" w14:paraId="5DD00224" w14:textId="77777777">
            <w:pPr>
              <w:rPr>
                <w:rFonts w:eastAsia="Calibri"/>
                <w:szCs w:val="24"/>
              </w:rPr>
            </w:pPr>
            <w:r w:rsidRPr="00DC191A">
              <w:t>Ineligible – out-of-business, out of scope, outlet moved</w:t>
            </w:r>
            <w:r w:rsidRPr="00DC191A">
              <w:rPr>
                <w:color w:val="1F497D"/>
              </w:rPr>
              <w:t xml:space="preserve">, </w:t>
            </w:r>
            <w:r w:rsidRPr="00DC191A">
              <w:t>outlet outside PSU</w:t>
            </w:r>
          </w:p>
        </w:tc>
        <w:tc>
          <w:tcPr>
            <w:tcW w:w="952" w:type="pct"/>
            <w:tcBorders>
              <w:top w:val="nil"/>
              <w:left w:val="nil"/>
              <w:bottom w:val="single" w:color="auto" w:sz="8" w:space="0"/>
              <w:right w:val="single" w:color="auto" w:sz="8" w:space="0"/>
            </w:tcBorders>
            <w:tcMar>
              <w:top w:w="0" w:type="dxa"/>
              <w:left w:w="108" w:type="dxa"/>
              <w:bottom w:w="0" w:type="dxa"/>
              <w:right w:w="108" w:type="dxa"/>
            </w:tcMar>
            <w:hideMark/>
          </w:tcPr>
          <w:p w:rsidRPr="00DC191A" w:rsidR="003D7B1A" w:rsidP="009B2A80" w:rsidRDefault="00D02175" w14:paraId="0FEF1279" w14:textId="77777777">
            <w:pPr>
              <w:jc w:val="right"/>
              <w:rPr>
                <w:rFonts w:eastAsia="Calibri"/>
                <w:szCs w:val="24"/>
                <w:highlight w:val="green"/>
              </w:rPr>
            </w:pPr>
            <w:r w:rsidRPr="00DC191A">
              <w:t>2.8</w:t>
            </w:r>
          </w:p>
        </w:tc>
      </w:tr>
      <w:tr w:rsidRPr="00DC191A" w:rsidR="003D7B1A" w:rsidTr="004A027E" w14:paraId="37B2F475" w14:textId="77777777">
        <w:trPr>
          <w:trHeight w:val="297"/>
        </w:trPr>
        <w:tc>
          <w:tcPr>
            <w:tcW w:w="4048"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C191A" w:rsidR="003D7B1A" w:rsidP="009B2A80" w:rsidRDefault="003D7B1A" w14:paraId="785B8919" w14:textId="77777777">
            <w:pPr>
              <w:rPr>
                <w:rFonts w:eastAsia="Calibri"/>
                <w:szCs w:val="24"/>
              </w:rPr>
            </w:pPr>
            <w:r w:rsidRPr="00DC191A">
              <w:t>Unable to locate</w:t>
            </w:r>
          </w:p>
        </w:tc>
        <w:tc>
          <w:tcPr>
            <w:tcW w:w="952" w:type="pct"/>
            <w:tcBorders>
              <w:top w:val="nil"/>
              <w:left w:val="nil"/>
              <w:bottom w:val="single" w:color="auto" w:sz="8" w:space="0"/>
              <w:right w:val="single" w:color="auto" w:sz="8" w:space="0"/>
            </w:tcBorders>
            <w:tcMar>
              <w:top w:w="0" w:type="dxa"/>
              <w:left w:w="108" w:type="dxa"/>
              <w:bottom w:w="0" w:type="dxa"/>
              <w:right w:w="108" w:type="dxa"/>
            </w:tcMar>
            <w:hideMark/>
          </w:tcPr>
          <w:p w:rsidRPr="00DC191A" w:rsidR="003D7B1A" w:rsidP="009B2A80" w:rsidRDefault="00D02175" w14:paraId="6AA78555" w14:textId="77777777">
            <w:pPr>
              <w:jc w:val="right"/>
              <w:rPr>
                <w:rFonts w:eastAsia="Calibri"/>
                <w:szCs w:val="24"/>
              </w:rPr>
            </w:pPr>
            <w:r w:rsidRPr="00DC191A">
              <w:t>0.9</w:t>
            </w:r>
          </w:p>
        </w:tc>
      </w:tr>
    </w:tbl>
    <w:p w:rsidRPr="00021748" w:rsidR="003D7B1A" w:rsidP="003D7B1A" w:rsidRDefault="003D7B1A" w14:paraId="6758F987" w14:textId="77777777">
      <w:pPr>
        <w:rPr>
          <w:rFonts w:ascii="Calibri" w:hAnsi="Calibri" w:eastAsia="Calibri"/>
          <w:sz w:val="22"/>
          <w:szCs w:val="22"/>
        </w:rPr>
      </w:pPr>
    </w:p>
    <w:p w:rsidR="00720A1F" w:rsidP="00105603" w:rsidRDefault="00720A1F" w14:paraId="2BAF15B5" w14:textId="28B1CE50">
      <w:pPr>
        <w:pStyle w:val="ListParagraph"/>
        <w:spacing w:line="240" w:lineRule="exact"/>
        <w:ind w:left="0"/>
        <w:rPr>
          <w:iCs/>
          <w:color w:val="000000" w:themeColor="text1"/>
        </w:rPr>
      </w:pPr>
      <w:r w:rsidRPr="00BB28E6">
        <w:rPr>
          <w:iCs/>
          <w:color w:val="000000" w:themeColor="text1"/>
        </w:rPr>
        <w:t>Following a formula from the Office of Management and Budget (OMB), the 79.1% response rate at initiation is calculated by dividing the percent of outlets with data obtained by the percent of eligible outlets, estimated by the sum of outlets with data obtained, data pending, refusals, and the estimated unable to locate outlets that are eligible: 79.1% = 72.9 / (72.9 + 16.4 + 2.0 + 0.829).</w:t>
      </w:r>
      <w:r w:rsidRPr="00BB28E6" w:rsidR="000A3F49">
        <w:rPr>
          <w:iCs/>
          <w:color w:val="000000" w:themeColor="text1"/>
        </w:rPr>
        <w:t xml:space="preserve"> </w:t>
      </w:r>
      <w:r w:rsidRPr="00BB28E6" w:rsidR="000A3F49">
        <w:rPr>
          <w:rStyle w:val="FootnoteReference"/>
          <w:iCs/>
          <w:color w:val="002060"/>
        </w:rPr>
        <w:footnoteReference w:id="1"/>
      </w:r>
    </w:p>
    <w:p w:rsidRPr="00BB28E6" w:rsidR="00BB28E6" w:rsidP="00105603" w:rsidRDefault="00BB28E6" w14:paraId="48448AF5" w14:textId="77777777">
      <w:pPr>
        <w:pStyle w:val="ListParagraph"/>
        <w:spacing w:line="240" w:lineRule="exact"/>
        <w:ind w:left="0"/>
        <w:rPr>
          <w:iCs/>
          <w:color w:val="002060"/>
        </w:rPr>
      </w:pPr>
    </w:p>
    <w:p w:rsidR="003D7B1A" w:rsidP="00105603" w:rsidRDefault="00340EC9" w14:paraId="0E6D88A6" w14:textId="7DF43622">
      <w:pPr>
        <w:spacing w:line="240" w:lineRule="exact"/>
        <w:rPr>
          <w:color w:val="000000"/>
        </w:rPr>
      </w:pPr>
      <w:r w:rsidRPr="00950569">
        <w:rPr>
          <w:color w:val="000000"/>
        </w:rPr>
        <w:t xml:space="preserve">The table below </w:t>
      </w:r>
      <w:r>
        <w:rPr>
          <w:color w:val="000000"/>
        </w:rPr>
        <w:t>shows</w:t>
      </w:r>
      <w:r w:rsidRPr="00950569">
        <w:rPr>
          <w:color w:val="000000"/>
        </w:rPr>
        <w:t xml:space="preserve"> an estimate of </w:t>
      </w:r>
      <w:r w:rsidRPr="00021748">
        <w:t xml:space="preserve">an overall response rate, determined by multiplying the </w:t>
      </w:r>
      <w:r w:rsidRPr="00C2008E">
        <w:t>average</w:t>
      </w:r>
      <w:r w:rsidRPr="00021748">
        <w:t xml:space="preserve"> </w:t>
      </w:r>
      <w:r w:rsidR="00C2008E">
        <w:t xml:space="preserve">monthly </w:t>
      </w:r>
      <w:r w:rsidRPr="00021748">
        <w:t>estimation rate for repricing (</w:t>
      </w:r>
      <w:r w:rsidRPr="00950569">
        <w:t>October 2018 to September 2019) with the average initiation rate for the initiation cycles (August 2017 to July 2019).</w:t>
      </w:r>
      <w:r w:rsidR="00C2008E">
        <w:t xml:space="preserve"> </w:t>
      </w:r>
      <w:r w:rsidRPr="00DC191A" w:rsidR="003D7B1A">
        <w:rPr>
          <w:color w:val="000000"/>
        </w:rPr>
        <w:t>The estimation rate for repricing is determined by dividing the</w:t>
      </w:r>
      <w:r w:rsidR="003D7B1A">
        <w:rPr>
          <w:color w:val="000000"/>
        </w:rPr>
        <w:t xml:space="preserve"> number of outlets (or quotes) used in estimation by </w:t>
      </w:r>
      <w:r w:rsidR="003D7B1A">
        <w:rPr>
          <w:color w:val="000000"/>
        </w:rPr>
        <w:lastRenderedPageBreak/>
        <w:t>the number of outlets (or quotes) collected in repricing, in other words, of all the outlets (or quotes) collected in repricing</w:t>
      </w:r>
      <w:r w:rsidRPr="00950569" w:rsidR="003D7B1A">
        <w:rPr>
          <w:color w:val="000000"/>
        </w:rPr>
        <w:t>, how many were used in estimation.</w:t>
      </w:r>
    </w:p>
    <w:p w:rsidRPr="000A3F49" w:rsidR="000A3F49" w:rsidP="00105603" w:rsidRDefault="000A3F49" w14:paraId="7D92A5EB" w14:textId="77777777">
      <w:pPr>
        <w:pStyle w:val="ListParagraph"/>
        <w:spacing w:line="240" w:lineRule="exact"/>
        <w:rPr>
          <w:rFonts w:ascii="Calibri" w:hAnsi="Calibri" w:eastAsia="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6495"/>
        <w:gridCol w:w="1447"/>
        <w:gridCol w:w="1408"/>
      </w:tblGrid>
      <w:tr w:rsidRPr="00A87A92" w:rsidR="005E10D8" w:rsidTr="00D37D5A" w14:paraId="6B2D8AD9" w14:textId="77777777">
        <w:trPr>
          <w:trHeight w:val="269"/>
        </w:trPr>
        <w:tc>
          <w:tcPr>
            <w:tcW w:w="6495" w:type="dxa"/>
            <w:shd w:val="clear" w:color="auto" w:fill="auto"/>
          </w:tcPr>
          <w:p w:rsidRPr="00C34AEE" w:rsidR="003912F2" w:rsidP="00B10B17" w:rsidRDefault="003912F2" w14:paraId="5469B9CA" w14:textId="1D2643FA">
            <w:pPr>
              <w:spacing w:before="20" w:after="20" w:line="240" w:lineRule="exact"/>
              <w:rPr>
                <w:rFonts w:eastAsia="Calibri"/>
                <w:b/>
                <w:strike/>
                <w:szCs w:val="24"/>
              </w:rPr>
            </w:pPr>
          </w:p>
        </w:tc>
        <w:tc>
          <w:tcPr>
            <w:tcW w:w="1447" w:type="dxa"/>
            <w:shd w:val="clear" w:color="auto" w:fill="auto"/>
          </w:tcPr>
          <w:p w:rsidR="00BC566E" w:rsidP="00B10B17" w:rsidRDefault="003912F2" w14:paraId="4A0223F7" w14:textId="77777777">
            <w:pPr>
              <w:spacing w:before="20" w:after="20" w:line="240" w:lineRule="exact"/>
              <w:jc w:val="right"/>
              <w:rPr>
                <w:rFonts w:eastAsia="Calibri"/>
                <w:b/>
                <w:szCs w:val="24"/>
              </w:rPr>
            </w:pPr>
            <w:r w:rsidRPr="00A87A92">
              <w:rPr>
                <w:rFonts w:eastAsia="Calibri"/>
                <w:b/>
                <w:szCs w:val="24"/>
              </w:rPr>
              <w:t>Outlets</w:t>
            </w:r>
            <w:r w:rsidR="00BC566E">
              <w:rPr>
                <w:rFonts w:eastAsia="Calibri"/>
                <w:b/>
                <w:szCs w:val="24"/>
              </w:rPr>
              <w:t xml:space="preserve"> </w:t>
            </w:r>
          </w:p>
          <w:p w:rsidRPr="00A87A92" w:rsidR="003912F2" w:rsidP="00B10B17" w:rsidRDefault="00BC566E" w14:paraId="77096A19" w14:textId="4F2AA0DB">
            <w:pPr>
              <w:spacing w:before="20" w:after="20" w:line="240" w:lineRule="exact"/>
              <w:jc w:val="right"/>
              <w:rPr>
                <w:rFonts w:eastAsia="Calibri"/>
                <w:b/>
                <w:szCs w:val="24"/>
              </w:rPr>
            </w:pPr>
            <w:r>
              <w:rPr>
                <w:rFonts w:eastAsia="Calibri"/>
                <w:b/>
                <w:szCs w:val="24"/>
              </w:rPr>
              <w:t>(%)</w:t>
            </w:r>
          </w:p>
        </w:tc>
        <w:tc>
          <w:tcPr>
            <w:tcW w:w="1408" w:type="dxa"/>
            <w:shd w:val="clear" w:color="auto" w:fill="auto"/>
          </w:tcPr>
          <w:p w:rsidRPr="00A87A92" w:rsidR="003912F2" w:rsidP="00B10B17" w:rsidRDefault="003912F2" w14:paraId="3F383A9E" w14:textId="37977F79">
            <w:pPr>
              <w:spacing w:before="20" w:after="20" w:line="240" w:lineRule="exact"/>
              <w:jc w:val="right"/>
              <w:rPr>
                <w:rFonts w:eastAsia="Calibri"/>
                <w:b/>
                <w:szCs w:val="24"/>
              </w:rPr>
            </w:pPr>
            <w:r w:rsidRPr="00A87A92">
              <w:rPr>
                <w:rFonts w:eastAsia="Calibri"/>
                <w:b/>
                <w:szCs w:val="24"/>
              </w:rPr>
              <w:t>Quotes</w:t>
            </w:r>
            <w:r w:rsidR="00BC566E">
              <w:rPr>
                <w:rFonts w:eastAsia="Calibri"/>
                <w:b/>
                <w:szCs w:val="24"/>
              </w:rPr>
              <w:t xml:space="preserve"> (%)</w:t>
            </w:r>
          </w:p>
        </w:tc>
      </w:tr>
      <w:tr w:rsidRPr="00A87A92" w:rsidR="005E10D8" w:rsidTr="005E10D8" w14:paraId="24F1CBA2" w14:textId="77777777">
        <w:trPr>
          <w:trHeight w:val="341"/>
        </w:trPr>
        <w:tc>
          <w:tcPr>
            <w:tcW w:w="6495" w:type="dxa"/>
            <w:shd w:val="clear" w:color="auto" w:fill="auto"/>
          </w:tcPr>
          <w:p w:rsidRPr="00A87A92" w:rsidR="003D7B1A" w:rsidP="00B10B17" w:rsidRDefault="00C34AEE" w14:paraId="278D59B6" w14:textId="46811D3C">
            <w:pPr>
              <w:spacing w:before="20" w:after="20" w:line="240" w:lineRule="exact"/>
              <w:rPr>
                <w:rFonts w:eastAsia="Calibri"/>
                <w:b/>
                <w:strike/>
                <w:szCs w:val="24"/>
              </w:rPr>
            </w:pPr>
            <w:r w:rsidRPr="00A87A92">
              <w:rPr>
                <w:rFonts w:eastAsia="Calibri"/>
                <w:szCs w:val="24"/>
              </w:rPr>
              <w:t>Average Initiation Rates *</w:t>
            </w:r>
          </w:p>
        </w:tc>
        <w:tc>
          <w:tcPr>
            <w:tcW w:w="1447" w:type="dxa"/>
            <w:shd w:val="clear" w:color="auto" w:fill="auto"/>
          </w:tcPr>
          <w:p w:rsidRPr="00A87A92" w:rsidR="003D7B1A" w:rsidP="00B10B17" w:rsidRDefault="003912F2" w14:paraId="74B75B54" w14:textId="4FDCDA11">
            <w:pPr>
              <w:spacing w:before="20" w:after="20" w:line="240" w:lineRule="exact"/>
              <w:jc w:val="right"/>
              <w:rPr>
                <w:rFonts w:eastAsia="Calibri"/>
                <w:szCs w:val="24"/>
              </w:rPr>
            </w:pPr>
            <w:r w:rsidRPr="00A87A92">
              <w:rPr>
                <w:rFonts w:eastAsia="Calibri"/>
                <w:szCs w:val="24"/>
              </w:rPr>
              <w:t>80.0</w:t>
            </w:r>
          </w:p>
        </w:tc>
        <w:tc>
          <w:tcPr>
            <w:tcW w:w="1408" w:type="dxa"/>
            <w:shd w:val="clear" w:color="auto" w:fill="auto"/>
          </w:tcPr>
          <w:p w:rsidRPr="00A87A92" w:rsidR="003D7B1A" w:rsidP="00B10B17" w:rsidRDefault="003912F2" w14:paraId="393798E8" w14:textId="6B13D99D">
            <w:pPr>
              <w:spacing w:before="20" w:after="20" w:line="240" w:lineRule="exact"/>
              <w:jc w:val="right"/>
              <w:rPr>
                <w:rFonts w:eastAsia="Calibri"/>
                <w:szCs w:val="24"/>
              </w:rPr>
            </w:pPr>
            <w:r w:rsidRPr="00A87A92">
              <w:rPr>
                <w:rFonts w:eastAsia="Calibri"/>
                <w:szCs w:val="24"/>
              </w:rPr>
              <w:t>80.1</w:t>
            </w:r>
          </w:p>
        </w:tc>
      </w:tr>
      <w:tr w:rsidRPr="00A87A92" w:rsidR="005E10D8" w:rsidTr="005E10D8" w14:paraId="0DAF80AD" w14:textId="77777777">
        <w:trPr>
          <w:trHeight w:val="341"/>
        </w:trPr>
        <w:tc>
          <w:tcPr>
            <w:tcW w:w="6495" w:type="dxa"/>
            <w:shd w:val="clear" w:color="auto" w:fill="auto"/>
          </w:tcPr>
          <w:p w:rsidRPr="00A87A92" w:rsidR="005E10D8" w:rsidP="00B10B17" w:rsidRDefault="005E10D8" w14:paraId="502917CF" w14:textId="77777777">
            <w:pPr>
              <w:spacing w:before="20" w:after="20" w:line="240" w:lineRule="exact"/>
              <w:rPr>
                <w:rFonts w:eastAsia="Calibri"/>
                <w:szCs w:val="24"/>
              </w:rPr>
            </w:pPr>
            <w:r w:rsidRPr="00A87A92">
              <w:rPr>
                <w:rFonts w:eastAsia="Calibri"/>
                <w:szCs w:val="24"/>
              </w:rPr>
              <w:t>Average Estimation Rates for Repricing **</w:t>
            </w:r>
          </w:p>
        </w:tc>
        <w:tc>
          <w:tcPr>
            <w:tcW w:w="1447" w:type="dxa"/>
            <w:shd w:val="clear" w:color="auto" w:fill="auto"/>
          </w:tcPr>
          <w:p w:rsidRPr="00A87A92" w:rsidR="005E10D8" w:rsidP="00B10B17" w:rsidRDefault="005E10D8" w14:paraId="53834A86" w14:textId="77777777">
            <w:pPr>
              <w:spacing w:before="20" w:after="20" w:line="240" w:lineRule="exact"/>
              <w:jc w:val="right"/>
              <w:rPr>
                <w:rFonts w:eastAsia="Calibri"/>
                <w:szCs w:val="24"/>
              </w:rPr>
            </w:pPr>
            <w:r w:rsidRPr="00A87A92">
              <w:rPr>
                <w:rFonts w:eastAsia="Calibri"/>
                <w:szCs w:val="24"/>
              </w:rPr>
              <w:t>87.4</w:t>
            </w:r>
          </w:p>
        </w:tc>
        <w:tc>
          <w:tcPr>
            <w:tcW w:w="1408" w:type="dxa"/>
            <w:shd w:val="clear" w:color="auto" w:fill="auto"/>
          </w:tcPr>
          <w:p w:rsidRPr="00A87A92" w:rsidR="005E10D8" w:rsidP="00B10B17" w:rsidRDefault="005E10D8" w14:paraId="6ECEC6DA" w14:textId="77777777">
            <w:pPr>
              <w:spacing w:before="20" w:after="20" w:line="240" w:lineRule="exact"/>
              <w:jc w:val="right"/>
              <w:rPr>
                <w:rFonts w:eastAsia="Calibri"/>
                <w:szCs w:val="24"/>
              </w:rPr>
            </w:pPr>
            <w:r w:rsidRPr="00A87A92">
              <w:rPr>
                <w:rFonts w:eastAsia="Calibri"/>
                <w:szCs w:val="24"/>
              </w:rPr>
              <w:t>78.5</w:t>
            </w:r>
          </w:p>
        </w:tc>
      </w:tr>
      <w:tr w:rsidRPr="00A87A92" w:rsidR="005E10D8" w:rsidTr="005E10D8" w14:paraId="3257AF4B" w14:textId="77777777">
        <w:trPr>
          <w:trHeight w:val="278"/>
        </w:trPr>
        <w:tc>
          <w:tcPr>
            <w:tcW w:w="6495" w:type="dxa"/>
            <w:shd w:val="clear" w:color="auto" w:fill="auto"/>
          </w:tcPr>
          <w:p w:rsidRPr="00A87A92" w:rsidR="005E10D8" w:rsidP="00B10B17" w:rsidRDefault="005E10D8" w14:paraId="6B1DC709" w14:textId="1C0B41CD">
            <w:pPr>
              <w:spacing w:before="20" w:after="20" w:line="240" w:lineRule="exact"/>
              <w:rPr>
                <w:rFonts w:eastAsia="Calibri"/>
                <w:szCs w:val="24"/>
              </w:rPr>
            </w:pPr>
            <w:r w:rsidRPr="008A5A26">
              <w:t>Overall Response Rates ***</w:t>
            </w:r>
          </w:p>
        </w:tc>
        <w:tc>
          <w:tcPr>
            <w:tcW w:w="1447" w:type="dxa"/>
            <w:shd w:val="clear" w:color="auto" w:fill="auto"/>
          </w:tcPr>
          <w:p w:rsidRPr="00A87A92" w:rsidR="005E10D8" w:rsidP="00B10B17" w:rsidRDefault="005E10D8" w14:paraId="7069A585" w14:textId="031A9070">
            <w:pPr>
              <w:spacing w:before="20" w:after="20" w:line="240" w:lineRule="exact"/>
              <w:jc w:val="right"/>
              <w:rPr>
                <w:rFonts w:eastAsia="Calibri"/>
                <w:szCs w:val="24"/>
              </w:rPr>
            </w:pPr>
            <w:r>
              <w:rPr>
                <w:rFonts w:eastAsia="Calibri"/>
                <w:szCs w:val="24"/>
              </w:rPr>
              <w:t>69.9</w:t>
            </w:r>
          </w:p>
        </w:tc>
        <w:tc>
          <w:tcPr>
            <w:tcW w:w="1408" w:type="dxa"/>
            <w:shd w:val="clear" w:color="auto" w:fill="auto"/>
          </w:tcPr>
          <w:p w:rsidRPr="00A87A92" w:rsidR="005E10D8" w:rsidP="00B10B17" w:rsidRDefault="005E10D8" w14:paraId="1FFFC5E5" w14:textId="3865C3F1">
            <w:pPr>
              <w:spacing w:before="20" w:after="20" w:line="240" w:lineRule="exact"/>
              <w:jc w:val="right"/>
              <w:rPr>
                <w:rFonts w:eastAsia="Calibri"/>
                <w:szCs w:val="24"/>
              </w:rPr>
            </w:pPr>
            <w:r>
              <w:rPr>
                <w:rFonts w:eastAsia="Calibri"/>
                <w:szCs w:val="24"/>
              </w:rPr>
              <w:t>62.9</w:t>
            </w:r>
          </w:p>
        </w:tc>
      </w:tr>
    </w:tbl>
    <w:p w:rsidR="003D7B1A" w:rsidP="00105603" w:rsidRDefault="003D7B1A" w14:paraId="133D1105" w14:textId="0996A96F">
      <w:pPr>
        <w:spacing w:line="240" w:lineRule="exact"/>
        <w:rPr>
          <w:rFonts w:ascii="Calibri" w:hAnsi="Calibri" w:eastAsia="Calibri"/>
          <w:sz w:val="22"/>
          <w:szCs w:val="22"/>
        </w:rPr>
      </w:pPr>
    </w:p>
    <w:p w:rsidRPr="00C34AEE" w:rsidR="00C34AEE" w:rsidP="00105603" w:rsidRDefault="00C34AEE" w14:paraId="05642D99" w14:textId="4F053D11">
      <w:pPr>
        <w:tabs>
          <w:tab w:val="left" w:pos="450"/>
        </w:tabs>
        <w:spacing w:line="240" w:lineRule="exact"/>
        <w:rPr>
          <w:rFonts w:ascii="Calibri" w:hAnsi="Calibri" w:eastAsia="Calibri"/>
          <w:sz w:val="22"/>
          <w:szCs w:val="22"/>
        </w:rPr>
      </w:pPr>
      <w:r>
        <w:rPr>
          <w:rFonts w:ascii="Calibri" w:hAnsi="Calibri" w:eastAsia="Calibri"/>
          <w:sz w:val="22"/>
          <w:szCs w:val="22"/>
        </w:rPr>
        <w:t>*</w:t>
      </w:r>
      <w:r>
        <w:rPr>
          <w:rFonts w:ascii="Calibri" w:hAnsi="Calibri" w:eastAsia="Calibri"/>
          <w:sz w:val="22"/>
          <w:szCs w:val="22"/>
        </w:rPr>
        <w:tab/>
      </w:r>
      <w:r w:rsidRPr="00C34AEE">
        <w:rPr>
          <w:rFonts w:eastAsia="Calibri"/>
          <w:szCs w:val="24"/>
        </w:rPr>
        <w:t>(Aug 2017 to Jul 2019)</w:t>
      </w:r>
    </w:p>
    <w:p w:rsidR="00C34AEE" w:rsidP="00105603" w:rsidRDefault="00C34AEE" w14:paraId="14949451" w14:textId="15315853">
      <w:pPr>
        <w:tabs>
          <w:tab w:val="left" w:pos="450"/>
        </w:tabs>
        <w:spacing w:line="240" w:lineRule="exact"/>
        <w:rPr>
          <w:rFonts w:ascii="Calibri" w:hAnsi="Calibri" w:eastAsia="Calibri"/>
          <w:sz w:val="22"/>
          <w:szCs w:val="22"/>
        </w:rPr>
      </w:pPr>
      <w:r>
        <w:rPr>
          <w:rFonts w:ascii="Calibri" w:hAnsi="Calibri" w:eastAsia="Calibri"/>
          <w:sz w:val="22"/>
          <w:szCs w:val="22"/>
        </w:rPr>
        <w:t>**</w:t>
      </w:r>
      <w:r>
        <w:rPr>
          <w:rFonts w:ascii="Calibri" w:hAnsi="Calibri" w:eastAsia="Calibri"/>
          <w:sz w:val="22"/>
          <w:szCs w:val="22"/>
        </w:rPr>
        <w:tab/>
      </w:r>
      <w:r w:rsidRPr="00C34AEE">
        <w:rPr>
          <w:rFonts w:eastAsia="Calibri"/>
          <w:szCs w:val="24"/>
        </w:rPr>
        <w:t>(Oct 2018 to Sept 2019)</w:t>
      </w:r>
      <w:r>
        <w:rPr>
          <w:rFonts w:ascii="Calibri" w:hAnsi="Calibri" w:eastAsia="Calibri"/>
          <w:sz w:val="22"/>
          <w:szCs w:val="22"/>
        </w:rPr>
        <w:tab/>
      </w:r>
    </w:p>
    <w:p w:rsidR="00C34AEE" w:rsidP="00105603" w:rsidRDefault="000E537A" w14:paraId="0DD9C35E" w14:textId="37F496FE">
      <w:pPr>
        <w:tabs>
          <w:tab w:val="left" w:pos="450"/>
        </w:tabs>
        <w:spacing w:line="240" w:lineRule="exact"/>
        <w:rPr>
          <w:rFonts w:ascii="Calibri" w:hAnsi="Calibri" w:eastAsia="Calibri"/>
          <w:sz w:val="22"/>
          <w:szCs w:val="22"/>
        </w:rPr>
      </w:pPr>
      <w:r>
        <w:rPr>
          <w:rFonts w:eastAsia="Calibri"/>
          <w:szCs w:val="24"/>
        </w:rPr>
        <w:t>***</w:t>
      </w:r>
      <w:r>
        <w:rPr>
          <w:rFonts w:eastAsia="Calibri"/>
          <w:szCs w:val="24"/>
        </w:rPr>
        <w:tab/>
      </w:r>
      <w:r w:rsidRPr="00C34AEE" w:rsidR="00C34AEE">
        <w:rPr>
          <w:rFonts w:eastAsia="Calibri"/>
          <w:szCs w:val="24"/>
        </w:rPr>
        <w:t>(</w:t>
      </w:r>
      <w:r>
        <w:rPr>
          <w:rFonts w:eastAsia="Calibri"/>
          <w:szCs w:val="24"/>
        </w:rPr>
        <w:t>A</w:t>
      </w:r>
      <w:r w:rsidRPr="00C34AEE" w:rsidR="00C34AEE">
        <w:rPr>
          <w:rFonts w:eastAsia="Calibri"/>
          <w:szCs w:val="24"/>
        </w:rPr>
        <w:t>verage estimation rate for repricing multiplied with the average initiation rate)</w:t>
      </w:r>
    </w:p>
    <w:p w:rsidRPr="00D411EF" w:rsidR="003D7B1A" w:rsidP="00105603" w:rsidRDefault="003D7B1A" w14:paraId="28C2B8CC" w14:textId="77777777">
      <w:pPr>
        <w:spacing w:line="240" w:lineRule="exact"/>
      </w:pPr>
    </w:p>
    <w:p w:rsidRPr="00D411EF" w:rsidR="003D7B1A" w:rsidP="00105603" w:rsidRDefault="003D7B1A" w14:paraId="513824A1" w14:textId="77777777">
      <w:pPr>
        <w:numPr>
          <w:ilvl w:val="0"/>
          <w:numId w:val="1"/>
        </w:numPr>
        <w:spacing w:line="240" w:lineRule="exact"/>
      </w:pPr>
      <w:r w:rsidRPr="00D411EF">
        <w:t>Collection Procedures</w:t>
      </w:r>
    </w:p>
    <w:p w:rsidRPr="00D411EF" w:rsidR="003D7B1A" w:rsidP="00105603" w:rsidRDefault="003D7B1A" w14:paraId="71E20901" w14:textId="77777777">
      <w:pPr>
        <w:pStyle w:val="Header"/>
        <w:tabs>
          <w:tab w:val="clear" w:pos="4320"/>
          <w:tab w:val="clear" w:pos="8640"/>
        </w:tabs>
        <w:spacing w:line="240" w:lineRule="exact"/>
      </w:pPr>
    </w:p>
    <w:p w:rsidRPr="00D411EF" w:rsidR="003D7B1A" w:rsidP="00105603" w:rsidRDefault="003D7B1A" w14:paraId="07806760" w14:textId="77777777">
      <w:pPr>
        <w:pStyle w:val="Header"/>
        <w:tabs>
          <w:tab w:val="clear" w:pos="4320"/>
          <w:tab w:val="clear" w:pos="8640"/>
        </w:tabs>
        <w:spacing w:line="240" w:lineRule="exact"/>
      </w:pPr>
      <w:r w:rsidRPr="00D411EF">
        <w:t>2.i.  Description of Sampling Methodology</w:t>
      </w:r>
    </w:p>
    <w:p w:rsidRPr="00D411EF" w:rsidR="003D7B1A" w:rsidP="00105603" w:rsidRDefault="003D7B1A" w14:paraId="640A72AA" w14:textId="77777777">
      <w:pPr>
        <w:spacing w:line="240" w:lineRule="exact"/>
      </w:pPr>
    </w:p>
    <w:p w:rsidRPr="00D411EF" w:rsidR="003D7B1A" w:rsidP="00105603" w:rsidRDefault="003D7B1A" w14:paraId="7FDDC4B6" w14:textId="77777777">
      <w:pPr>
        <w:spacing w:line="240" w:lineRule="exact"/>
      </w:pPr>
      <w:r w:rsidRPr="00D411EF">
        <w:t>A multi-stage</w:t>
      </w:r>
      <w:r>
        <w:t xml:space="preserve"> stratified</w:t>
      </w:r>
      <w:r w:rsidRPr="00D411EF">
        <w:t xml:space="preserve"> sampling process is employed for the CPI.  The four main stages of selection are:  (1) the sampling of geographic areas, (2) the sampling of outlets within the geographic areas, (3) the sampling of </w:t>
      </w:r>
      <w:r>
        <w:t xml:space="preserve">entry-level </w:t>
      </w:r>
      <w:r w:rsidRPr="00D411EF">
        <w:t>item</w:t>
      </w:r>
      <w:r>
        <w:t>s</w:t>
      </w:r>
      <w:r w:rsidRPr="00D411EF">
        <w:t xml:space="preserve"> (ELIs) to be priced in the outlets, and (4) the sampling of </w:t>
      </w:r>
      <w:r>
        <w:t xml:space="preserve">unique </w:t>
      </w:r>
      <w:r w:rsidRPr="00D411EF">
        <w:t>items from each ELI in each outlet.</w:t>
      </w:r>
    </w:p>
    <w:p w:rsidR="003D7B1A" w:rsidP="00105603" w:rsidRDefault="003D7B1A" w14:paraId="79D07BF7" w14:textId="77777777">
      <w:pPr>
        <w:spacing w:line="240" w:lineRule="exact"/>
      </w:pPr>
    </w:p>
    <w:p w:rsidRPr="00771F47" w:rsidR="003D7B1A" w:rsidP="00105603" w:rsidRDefault="003D7B1A" w14:paraId="4E30AAB1" w14:textId="4EA61A25">
      <w:pPr>
        <w:spacing w:line="240" w:lineRule="exact"/>
        <w:rPr>
          <w:sz w:val="22"/>
        </w:rPr>
      </w:pPr>
      <w:r w:rsidRPr="00771F47">
        <w:t>BLS selects Primary Sampling Units (PSUs) or geographic areas for pricing. The geographic area definitions used are the same as</w:t>
      </w:r>
      <w:r>
        <w:t xml:space="preserve"> those used</w:t>
      </w:r>
      <w:r w:rsidRPr="00771F47">
        <w:t xml:space="preserve"> for Core Based Statistical Areas (CBSAs). The sample pricing areas are derived from a stratified design using a selection procedure that provides for the selection of one sample area from each stratum with a control on the distribution of PSUs by metropolitan/micropolitan status. </w:t>
      </w:r>
      <w:r>
        <w:t xml:space="preserve"> </w:t>
      </w:r>
      <w:r w:rsidRPr="00724CEE">
        <w:rPr>
          <w:color w:val="000000"/>
          <w:szCs w:val="24"/>
        </w:rPr>
        <w:t xml:space="preserve">In the </w:t>
      </w:r>
      <w:r w:rsidRPr="00967C34">
        <w:rPr>
          <w:color w:val="000000"/>
          <w:szCs w:val="24"/>
        </w:rPr>
        <w:t>1998 sample design</w:t>
      </w:r>
      <w:r w:rsidRPr="00724CEE">
        <w:rPr>
          <w:color w:val="000000"/>
          <w:szCs w:val="24"/>
        </w:rPr>
        <w:t>, four independent variables were used for stratifying the non</w:t>
      </w:r>
      <w:r>
        <w:rPr>
          <w:color w:val="000000"/>
          <w:szCs w:val="24"/>
        </w:rPr>
        <w:t>-</w:t>
      </w:r>
      <w:r w:rsidRPr="00724CEE">
        <w:rPr>
          <w:color w:val="000000"/>
          <w:szCs w:val="24"/>
        </w:rPr>
        <w:t xml:space="preserve">self-representing PSUs: normalized (centered and scaled by the range) longitude, the </w:t>
      </w:r>
      <w:r w:rsidRPr="00E16E08">
        <w:rPr>
          <w:color w:val="000000"/>
          <w:szCs w:val="24"/>
        </w:rPr>
        <w:t xml:space="preserve">square of normalized longitude, normalized latitude, and percent urban. </w:t>
      </w:r>
      <w:r w:rsidRPr="00E16E08">
        <w:t>The initial stratification for the 2018 PSU design was based on the variables average income, average property value, latitude, and longitude.</w:t>
      </w:r>
    </w:p>
    <w:p w:rsidRPr="00D411EF" w:rsidR="003D7B1A" w:rsidP="00105603" w:rsidRDefault="003D7B1A" w14:paraId="3C111ACC" w14:textId="77777777">
      <w:pPr>
        <w:spacing w:line="240" w:lineRule="exact"/>
        <w:rPr>
          <w:b/>
        </w:rPr>
      </w:pPr>
    </w:p>
    <w:p w:rsidR="003D7B1A" w:rsidP="00105603" w:rsidRDefault="003D7B1A" w14:paraId="773DDD6C" w14:textId="77777777">
      <w:pPr>
        <w:spacing w:line="240" w:lineRule="exact"/>
      </w:pPr>
      <w:r>
        <w:t>E</w:t>
      </w:r>
      <w:r w:rsidRPr="00D411EF">
        <w:t xml:space="preserve">ach year BLS systematically selects a portion of the sample of outlets and quotes such that over a four-year period </w:t>
      </w:r>
      <w:r>
        <w:t xml:space="preserve">most </w:t>
      </w:r>
      <w:r w:rsidRPr="00D411EF">
        <w:t xml:space="preserve">C&amp;S sample outlets have a chance to be replaced. Not only does this re-establish the distribution of the sample, incorporate new outlet construction and reflect shifts in outlet preferences, but it also allows many respondents to rotate out of the sample.  Thus, all respondents are not indefinitely retained in the sample. </w:t>
      </w:r>
    </w:p>
    <w:p w:rsidRPr="00D411EF" w:rsidR="003D7B1A" w:rsidP="00105603" w:rsidRDefault="003D7B1A" w14:paraId="1B6465DB" w14:textId="77777777">
      <w:pPr>
        <w:spacing w:line="240" w:lineRule="exact"/>
      </w:pPr>
    </w:p>
    <w:p w:rsidRPr="00975C98" w:rsidR="000A3F49" w:rsidP="00105603" w:rsidRDefault="003D7B1A" w14:paraId="75A45281" w14:textId="423B1100">
      <w:pPr>
        <w:spacing w:line="240" w:lineRule="exact"/>
      </w:pPr>
      <w:r w:rsidRPr="00D411EF">
        <w:t xml:space="preserve">The </w:t>
      </w:r>
      <w:r w:rsidRPr="00975C98">
        <w:t xml:space="preserve">outlet sampling frame </w:t>
      </w:r>
      <w:r w:rsidR="00306662">
        <w:t>is</w:t>
      </w:r>
      <w:r w:rsidRPr="00975C98">
        <w:t xml:space="preserve"> constructed from several sources.  The primary source for all food and the majority of the other C&amp;S items </w:t>
      </w:r>
      <w:r w:rsidR="00070748">
        <w:t xml:space="preserve">prior to 2021 was </w:t>
      </w:r>
      <w:r w:rsidRPr="00975C98">
        <w:t>the Telephone Point of Purchase Survey</w:t>
      </w:r>
      <w:r w:rsidR="006A11CC">
        <w:t>.</w:t>
      </w:r>
      <w:r w:rsidR="003C3E64">
        <w:t xml:space="preserve"> </w:t>
      </w:r>
      <w:r w:rsidR="00CF1AB9">
        <w:rPr>
          <w:rStyle w:val="FootnoteReference"/>
        </w:rPr>
        <w:footnoteReference w:id="2"/>
      </w:r>
      <w:r w:rsidRPr="00975C98" w:rsidR="000A3F49">
        <w:t xml:space="preserve"> </w:t>
      </w:r>
      <w:r w:rsidR="000A3F49">
        <w:t xml:space="preserve">For samples selected after 2021, the Consumer Expenditure Survey </w:t>
      </w:r>
      <w:r w:rsidR="00FD0E5D">
        <w:rPr>
          <w:rStyle w:val="FootnoteReference"/>
        </w:rPr>
        <w:footnoteReference w:id="3"/>
      </w:r>
      <w:r w:rsidR="000A3F49">
        <w:t xml:space="preserve"> is the source of outlet sampling frames rather than TPOPS. Data is augmented by information collected by the Quarterly Census of Employment and Wages. </w:t>
      </w:r>
      <w:r w:rsidR="00E97DC1">
        <w:rPr>
          <w:rStyle w:val="FootnoteReference"/>
        </w:rPr>
        <w:footnoteReference w:id="4"/>
      </w:r>
      <w:r w:rsidR="000A3F49">
        <w:t xml:space="preserve"> </w:t>
      </w:r>
      <w:r w:rsidRPr="00975C98" w:rsidR="000A3F49">
        <w:t>The</w:t>
      </w:r>
      <w:r w:rsidR="000A3F49">
        <w:t xml:space="preserve"> </w:t>
      </w:r>
      <w:r w:rsidRPr="00975C98" w:rsidR="000A3F49">
        <w:t xml:space="preserve">TPOPS </w:t>
      </w:r>
      <w:r w:rsidR="000A3F49">
        <w:t xml:space="preserve">or CE Surveys </w:t>
      </w:r>
      <w:r w:rsidRPr="00975C98" w:rsidR="000A3F49">
        <w:t>provide coverage for 5</w:t>
      </w:r>
      <w:r w:rsidR="000A3F49">
        <w:t>5</w:t>
      </w:r>
      <w:r w:rsidRPr="00975C98" w:rsidR="000A3F49">
        <w:t>% of all consumption expenditures for the CPI-U, as of December 201</w:t>
      </w:r>
      <w:r w:rsidR="000A3F49">
        <w:t>8</w:t>
      </w:r>
      <w:r w:rsidRPr="00975C98" w:rsidR="000A3F49">
        <w:t>.  Renter and owner-occupied housing account for 32%.  The remaining 1</w:t>
      </w:r>
      <w:r w:rsidR="000A3F49">
        <w:t>3</w:t>
      </w:r>
      <w:r w:rsidRPr="00975C98" w:rsidR="000A3F49">
        <w:t>% of consumption expenditures are covered from a variety of sampling frames constructed by BLS or obtained from other sources.</w:t>
      </w:r>
    </w:p>
    <w:p w:rsidR="009B636E" w:rsidP="00105603" w:rsidRDefault="009B636E" w14:paraId="6EBA4E6F" w14:textId="2B4ED946">
      <w:pPr>
        <w:spacing w:line="240" w:lineRule="exact"/>
      </w:pPr>
    </w:p>
    <w:p w:rsidRPr="00D411EF" w:rsidR="000A3F49" w:rsidP="00105603" w:rsidRDefault="000A3F49" w14:paraId="0E0E8F0C" w14:textId="323B110A">
      <w:pPr>
        <w:spacing w:line="240" w:lineRule="exact"/>
      </w:pPr>
      <w:r w:rsidRPr="00975C98">
        <w:t xml:space="preserve">The sampling frames from which the item sample market baskets are derived are constructed using data from the most current two years of the </w:t>
      </w:r>
      <w:r>
        <w:t>CE</w:t>
      </w:r>
      <w:r w:rsidRPr="00975C98">
        <w:t xml:space="preserve"> Survey, which is an ongoing survey.  Each year as the CPI rotates a portion of the outlet sample and the ELIs are resampled</w:t>
      </w:r>
      <w:r>
        <w:t xml:space="preserve"> too.</w:t>
      </w:r>
      <w:r w:rsidRPr="00D411EF">
        <w:t xml:space="preserve"> With data</w:t>
      </w:r>
      <w:r w:rsidRPr="00196723">
        <w:t xml:space="preserve"> </w:t>
      </w:r>
      <w:r w:rsidRPr="00D411EF">
        <w:t xml:space="preserve">from </w:t>
      </w:r>
      <w:r w:rsidR="009E246D">
        <w:t xml:space="preserve">these surveys </w:t>
      </w:r>
      <w:r w:rsidRPr="00D411EF">
        <w:t xml:space="preserve">assembled into the CPI item classification structure, </w:t>
      </w:r>
      <w:r>
        <w:t>the CPI</w:t>
      </w:r>
      <w:r w:rsidRPr="00D411EF">
        <w:t xml:space="preserve"> select</w:t>
      </w:r>
      <w:r>
        <w:t>s</w:t>
      </w:r>
      <w:r w:rsidRPr="00D411EF">
        <w:t xml:space="preserve"> the </w:t>
      </w:r>
      <w:r w:rsidRPr="00D411EF">
        <w:lastRenderedPageBreak/>
        <w:t>sample of ELIs using a stratified random selection procedure with each ELI having a probability</w:t>
      </w:r>
      <w:r>
        <w:t xml:space="preserve"> </w:t>
      </w:r>
      <w:r w:rsidRPr="00D411EF">
        <w:t>of selection proportional to the expen</w:t>
      </w:r>
      <w:r w:rsidRPr="00D411EF">
        <w:softHyphen/>
        <w:t>ditures reported for it on the CE Survey.</w:t>
      </w:r>
    </w:p>
    <w:p w:rsidRPr="00D411EF" w:rsidR="000A3F49" w:rsidP="003D7B1A" w:rsidRDefault="000A3F49" w14:paraId="5F928830" w14:textId="77777777">
      <w:pPr>
        <w:spacing w:line="240" w:lineRule="exact"/>
      </w:pPr>
    </w:p>
    <w:p w:rsidR="000A3F49" w:rsidP="003D7B1A" w:rsidRDefault="000A3F49" w14:paraId="137F888F" w14:textId="77777777">
      <w:pPr>
        <w:spacing w:line="240" w:lineRule="exact"/>
      </w:pPr>
      <w:r w:rsidRPr="00D411EF">
        <w:t xml:space="preserve">The BLS Washington Office merges the sample of </w:t>
      </w:r>
      <w:smartTag w:uri="urn:schemas-microsoft-com:office:smarttags" w:element="place">
        <w:smartTag w:uri="urn:schemas-microsoft-com:office:smarttags" w:element="City">
          <w:r w:rsidRPr="00D411EF">
            <w:t>ELIs</w:t>
          </w:r>
        </w:smartTag>
      </w:smartTag>
      <w:r w:rsidRPr="00D411EF">
        <w:t xml:space="preserve"> with the appropriate sample of outlets.  BLS field representatives then initiate the new outlets and select the specific unique items to be priced within each ELI by following an outlet based multistage probability proportional to sales methodology.  </w:t>
      </w:r>
    </w:p>
    <w:p w:rsidR="000A3F49" w:rsidP="003D7B1A" w:rsidRDefault="000A3F49" w14:paraId="2EF2364C" w14:textId="77777777">
      <w:pPr>
        <w:spacing w:line="240" w:lineRule="exact"/>
      </w:pPr>
    </w:p>
    <w:p w:rsidRPr="001E37A3" w:rsidR="000A3F49" w:rsidP="001E37A3" w:rsidRDefault="000A3F49" w14:paraId="1D19CAD1" w14:textId="618EEFC7">
      <w:pPr>
        <w:spacing w:line="240" w:lineRule="exact"/>
        <w:rPr>
          <w:color w:val="000000" w:themeColor="text1"/>
          <w:szCs w:val="24"/>
        </w:rPr>
      </w:pPr>
      <w:r w:rsidRPr="001E37A3">
        <w:rPr>
          <w:color w:val="000000" w:themeColor="text1"/>
          <w:szCs w:val="24"/>
        </w:rPr>
        <w:t xml:space="preserve">Changes to the CPI establishment frame </w:t>
      </w:r>
      <w:r>
        <w:rPr>
          <w:color w:val="000000" w:themeColor="text1"/>
          <w:szCs w:val="24"/>
        </w:rPr>
        <w:t xml:space="preserve">started </w:t>
      </w:r>
      <w:r w:rsidRPr="001E37A3">
        <w:rPr>
          <w:color w:val="000000" w:themeColor="text1"/>
          <w:szCs w:val="24"/>
        </w:rPr>
        <w:t>in October 2019</w:t>
      </w:r>
      <w:r>
        <w:rPr>
          <w:color w:val="000000" w:themeColor="text1"/>
          <w:szCs w:val="24"/>
        </w:rPr>
        <w:t>. T</w:t>
      </w:r>
      <w:r w:rsidRPr="001E37A3">
        <w:rPr>
          <w:color w:val="000000" w:themeColor="text1"/>
          <w:szCs w:val="24"/>
        </w:rPr>
        <w:t xml:space="preserve">he CPI Program </w:t>
      </w:r>
      <w:r>
        <w:rPr>
          <w:color w:val="000000" w:themeColor="text1"/>
          <w:szCs w:val="24"/>
        </w:rPr>
        <w:t>ended collection of the</w:t>
      </w:r>
      <w:r w:rsidRPr="001E37A3">
        <w:rPr>
          <w:color w:val="000000" w:themeColor="text1"/>
          <w:szCs w:val="24"/>
        </w:rPr>
        <w:t xml:space="preserve"> TPOPS</w:t>
      </w:r>
      <w:r>
        <w:rPr>
          <w:color w:val="000000" w:themeColor="text1"/>
          <w:szCs w:val="24"/>
        </w:rPr>
        <w:t xml:space="preserve"> in June 2019 </w:t>
      </w:r>
      <w:r w:rsidRPr="001E37A3">
        <w:rPr>
          <w:color w:val="000000" w:themeColor="text1"/>
          <w:szCs w:val="24"/>
        </w:rPr>
        <w:t xml:space="preserve">and </w:t>
      </w:r>
      <w:r>
        <w:rPr>
          <w:color w:val="000000" w:themeColor="text1"/>
          <w:szCs w:val="24"/>
        </w:rPr>
        <w:t>will</w:t>
      </w:r>
      <w:r w:rsidRPr="001E37A3">
        <w:rPr>
          <w:color w:val="000000" w:themeColor="text1"/>
          <w:szCs w:val="24"/>
        </w:rPr>
        <w:t xml:space="preserve"> obtain its retail establishment frame from the same household survey used to obtain the expenditure weights needed to calculate the index. This change to the </w:t>
      </w:r>
      <w:r>
        <w:rPr>
          <w:color w:val="000000" w:themeColor="text1"/>
          <w:szCs w:val="24"/>
        </w:rPr>
        <w:t>CE</w:t>
      </w:r>
      <w:r w:rsidRPr="001E37A3">
        <w:rPr>
          <w:color w:val="000000" w:themeColor="text1"/>
          <w:szCs w:val="24"/>
        </w:rPr>
        <w:t xml:space="preserve"> Surveys information will eliminate redundancies and inefficiencies in survey operations, and will result in lower household burden. The CE-Diary will be used as the source for most food and food away from home outlets, while the CE-Interview will be used </w:t>
      </w:r>
      <w:r w:rsidRPr="007942EA">
        <w:rPr>
          <w:color w:val="000000" w:themeColor="text1"/>
          <w:szCs w:val="24"/>
        </w:rPr>
        <w:t xml:space="preserve">for the </w:t>
      </w:r>
      <w:r>
        <w:rPr>
          <w:color w:val="000000" w:themeColor="text1"/>
          <w:szCs w:val="24"/>
        </w:rPr>
        <w:t xml:space="preserve">majority </w:t>
      </w:r>
      <w:r w:rsidRPr="001E37A3">
        <w:rPr>
          <w:color w:val="000000" w:themeColor="text1"/>
          <w:szCs w:val="24"/>
        </w:rPr>
        <w:t>of CPI’s outlet frames. CPI plans to refine the location and address data reported in the CE by comparing the reported data to establishments in the Quarterly Census of Employment and Wages business registry.</w:t>
      </w:r>
    </w:p>
    <w:p w:rsidRPr="00D411EF" w:rsidR="000A3F49" w:rsidP="003D7B1A" w:rsidRDefault="000A3F49" w14:paraId="1EA697BD" w14:textId="77777777">
      <w:pPr>
        <w:spacing w:line="240" w:lineRule="exact"/>
      </w:pPr>
    </w:p>
    <w:p w:rsidRPr="00D411EF" w:rsidR="000A3F49" w:rsidP="003D7B1A" w:rsidRDefault="000A3F49" w14:paraId="7817F391" w14:textId="77777777">
      <w:pPr>
        <w:pStyle w:val="Header"/>
        <w:tabs>
          <w:tab w:val="clear" w:pos="4320"/>
          <w:tab w:val="clear" w:pos="8640"/>
        </w:tabs>
        <w:spacing w:line="240" w:lineRule="exact"/>
      </w:pPr>
      <w:r w:rsidRPr="00D411EF">
        <w:t>2.ii.  Description of Estimation Methodology</w:t>
      </w:r>
      <w:r>
        <w:t xml:space="preserve"> </w:t>
      </w:r>
    </w:p>
    <w:p w:rsidR="000A3F49" w:rsidP="003D7B1A" w:rsidRDefault="000A3F49" w14:paraId="49E7ED92" w14:textId="77777777">
      <w:pPr>
        <w:pStyle w:val="BodyText"/>
        <w:rPr>
          <w:rFonts w:ascii="Times New Roman" w:hAnsi="Times New Roman"/>
        </w:rPr>
      </w:pPr>
    </w:p>
    <w:p w:rsidRPr="00D411EF" w:rsidR="000A3F49" w:rsidP="003169B3" w:rsidRDefault="000A3F49" w14:paraId="70336A21" w14:textId="77777777">
      <w:pPr>
        <w:pStyle w:val="BodyText"/>
        <w:rPr>
          <w:rFonts w:ascii="Times New Roman" w:hAnsi="Times New Roman"/>
        </w:rPr>
      </w:pPr>
      <w:r w:rsidRPr="00D411EF">
        <w:rPr>
          <w:rFonts w:ascii="Times New Roman" w:hAnsi="Times New Roman"/>
        </w:rPr>
        <w:t xml:space="preserve">Based on December </w:t>
      </w:r>
      <w:r>
        <w:rPr>
          <w:rFonts w:ascii="Times New Roman" w:hAnsi="Times New Roman"/>
        </w:rPr>
        <w:t xml:space="preserve">2018 </w:t>
      </w:r>
      <w:r w:rsidRPr="00D411EF">
        <w:rPr>
          <w:rFonts w:ascii="Times New Roman" w:hAnsi="Times New Roman"/>
        </w:rPr>
        <w:t xml:space="preserve">CPI-U </w:t>
      </w:r>
      <w:r w:rsidRPr="00721F85">
        <w:rPr>
          <w:rFonts w:ascii="Times New Roman" w:hAnsi="Times New Roman"/>
        </w:rPr>
        <w:t>relative importances,</w:t>
      </w:r>
      <w:r w:rsidRPr="00D411EF">
        <w:rPr>
          <w:rFonts w:ascii="Times New Roman" w:hAnsi="Times New Roman"/>
        </w:rPr>
        <w:t xml:space="preserve"> </w:t>
      </w:r>
      <w:r>
        <w:rPr>
          <w:rFonts w:ascii="Times New Roman" w:hAnsi="Times New Roman"/>
        </w:rPr>
        <w:t>56%</w:t>
      </w:r>
      <w:r w:rsidRPr="00D411EF">
        <w:rPr>
          <w:rFonts w:ascii="Times New Roman" w:hAnsi="Times New Roman"/>
        </w:rPr>
        <w:t xml:space="preserve"> of the CPI is calculated using a Geometric mean formula and </w:t>
      </w:r>
      <w:r>
        <w:rPr>
          <w:rFonts w:ascii="Times New Roman" w:hAnsi="Times New Roman"/>
        </w:rPr>
        <w:t>44%</w:t>
      </w:r>
      <w:r w:rsidRPr="00D411EF">
        <w:rPr>
          <w:rFonts w:ascii="Times New Roman" w:hAnsi="Times New Roman"/>
        </w:rPr>
        <w:t xml:space="preserve"> is based on the Laspeyres index formula. </w:t>
      </w:r>
      <w:r>
        <w:rPr>
          <w:rFonts w:ascii="Times New Roman" w:hAnsi="Times New Roman"/>
        </w:rPr>
        <w:t xml:space="preserve"> </w:t>
      </w:r>
      <w:r w:rsidRPr="00D411EF">
        <w:rPr>
          <w:rFonts w:ascii="Times New Roman" w:hAnsi="Times New Roman"/>
        </w:rPr>
        <w:t>The Laspeyres portion is composed of Rent</w:t>
      </w:r>
      <w:r>
        <w:rPr>
          <w:rFonts w:ascii="Times New Roman" w:hAnsi="Times New Roman"/>
        </w:rPr>
        <w:t xml:space="preserve"> (8%),</w:t>
      </w:r>
      <w:r w:rsidRPr="00D411EF">
        <w:rPr>
          <w:rFonts w:ascii="Times New Roman" w:hAnsi="Times New Roman"/>
        </w:rPr>
        <w:t xml:space="preserve"> Owners’ equivalent rent</w:t>
      </w:r>
      <w:r>
        <w:rPr>
          <w:rFonts w:ascii="Times New Roman" w:hAnsi="Times New Roman"/>
        </w:rPr>
        <w:t xml:space="preserve"> (24%),</w:t>
      </w:r>
      <w:r w:rsidRPr="00D411EF">
        <w:rPr>
          <w:rFonts w:ascii="Times New Roman" w:hAnsi="Times New Roman"/>
        </w:rPr>
        <w:t xml:space="preserve"> and C&amp;S items</w:t>
      </w:r>
      <w:r>
        <w:rPr>
          <w:rFonts w:ascii="Times New Roman" w:hAnsi="Times New Roman"/>
        </w:rPr>
        <w:t xml:space="preserve"> (12%</w:t>
      </w:r>
      <w:r w:rsidRPr="00D411EF">
        <w:rPr>
          <w:rFonts w:ascii="Times New Roman" w:hAnsi="Times New Roman"/>
        </w:rPr>
        <w:t>)</w:t>
      </w:r>
      <w:r>
        <w:rPr>
          <w:rFonts w:ascii="Times New Roman" w:hAnsi="Times New Roman"/>
        </w:rPr>
        <w:t>.</w:t>
      </w:r>
    </w:p>
    <w:p w:rsidRPr="00D411EF" w:rsidR="000A3F49" w:rsidP="003D7B1A" w:rsidRDefault="000A3F49" w14:paraId="35B60B2A" w14:textId="77777777">
      <w:pPr>
        <w:spacing w:line="240" w:lineRule="exact"/>
      </w:pPr>
    </w:p>
    <w:p w:rsidRPr="00D411EF" w:rsidR="000A3F49" w:rsidP="003D7B1A" w:rsidRDefault="000A3F49" w14:paraId="23D7260C" w14:textId="77777777">
      <w:pPr>
        <w:spacing w:line="240" w:lineRule="exact"/>
      </w:pPr>
      <w:r w:rsidRPr="00D411EF">
        <w:t>A price index constructed using geometric means more closely approximates a true cost-of-living index than does the Laspeyres</w:t>
      </w:r>
      <w:r>
        <w:t>, for some items</w:t>
      </w:r>
      <w:r w:rsidRPr="00D411EF">
        <w:t xml:space="preserve">. </w:t>
      </w:r>
      <w:r>
        <w:t xml:space="preserve"> </w:t>
      </w:r>
      <w:r w:rsidRPr="00D411EF">
        <w:t xml:space="preserve">This occurs because the geometric means formula, unlike the Laspeyres formula, implicitly assumes that product substitution takes place when relative prices change. </w:t>
      </w:r>
      <w:r>
        <w:t xml:space="preserve"> </w:t>
      </w:r>
      <w:r w:rsidRPr="00D411EF">
        <w:t>The geometric means formula assumes that relative expenditures are kept constant over time.</w:t>
      </w:r>
    </w:p>
    <w:p w:rsidRPr="00D411EF" w:rsidR="000A3F49" w:rsidP="003D7B1A" w:rsidRDefault="000A3F49" w14:paraId="0FDB6165" w14:textId="77777777">
      <w:pPr>
        <w:pStyle w:val="BodyText"/>
        <w:rPr>
          <w:rFonts w:ascii="Times New Roman" w:hAnsi="Times New Roman"/>
        </w:rPr>
      </w:pPr>
    </w:p>
    <w:p w:rsidRPr="00D411EF" w:rsidR="000A3F49" w:rsidP="003D7B1A" w:rsidRDefault="000A3F49" w14:paraId="6E341AA8" w14:textId="77777777">
      <w:pPr>
        <w:spacing w:line="240" w:lineRule="exact"/>
      </w:pPr>
      <w:r w:rsidRPr="00D411EF">
        <w:t xml:space="preserve">The Laspeyres index formula in concept simply measures the change in the weighted arithmetic mean of prices. </w:t>
      </w:r>
      <w:r>
        <w:t xml:space="preserve"> </w:t>
      </w:r>
      <w:r w:rsidRPr="00D411EF">
        <w:t xml:space="preserve">As a fixed-weight index, the Laspeyres formula assumes that consumers do not change the amount of each item purchased as </w:t>
      </w:r>
      <w:r w:rsidRPr="009C691D">
        <w:t>relative prices change</w:t>
      </w:r>
      <w:r w:rsidRPr="00D411EF">
        <w:t>.</w:t>
      </w:r>
      <w:r>
        <w:t xml:space="preserve">  </w:t>
      </w:r>
    </w:p>
    <w:p w:rsidRPr="00D411EF" w:rsidR="000A3F49" w:rsidP="003D7B1A" w:rsidRDefault="000A3F49" w14:paraId="5FEF9D5C" w14:textId="77777777">
      <w:pPr>
        <w:spacing w:line="240" w:lineRule="exact"/>
      </w:pPr>
    </w:p>
    <w:p w:rsidRPr="00D411EF" w:rsidR="000A3F49" w:rsidP="003D7B1A" w:rsidRDefault="000A3F49" w14:paraId="0674B5DB" w14:textId="77777777">
      <w:pPr>
        <w:spacing w:line="240" w:lineRule="exact"/>
      </w:pPr>
      <w:r w:rsidRPr="00D411EF">
        <w:t xml:space="preserve">All C&amp;S stratum indexes are calculated using a geometric formula, except for those listed below. </w:t>
      </w:r>
      <w:r>
        <w:t xml:space="preserve"> </w:t>
      </w:r>
      <w:r w:rsidRPr="00D411EF">
        <w:t xml:space="preserve">Demand elasticity studies led BLS to conclude that the Laspeyres index formula would yield the least biased measure of price change for these items.  </w:t>
      </w:r>
    </w:p>
    <w:p w:rsidR="000A3F49" w:rsidP="003D7B1A" w:rsidRDefault="000A3F49" w14:paraId="46714775" w14:textId="77777777">
      <w:pPr>
        <w:spacing w:line="240" w:lineRule="exact"/>
      </w:pPr>
    </w:p>
    <w:p w:rsidRPr="00E5294B" w:rsidR="000A3F49" w:rsidP="003D7B1A" w:rsidRDefault="000A3F49" w14:paraId="02CF367D" w14:textId="77777777">
      <w:pPr>
        <w:pStyle w:val="BodyText"/>
        <w:rPr>
          <w:rFonts w:ascii="Times New Roman" w:hAnsi="Times New Roman"/>
          <w:b/>
        </w:rPr>
      </w:pPr>
      <w:r w:rsidRPr="00E5294B">
        <w:rPr>
          <w:rFonts w:ascii="Times New Roman" w:hAnsi="Times New Roman"/>
          <w:b/>
        </w:rPr>
        <w:t>C&amp;S Components retaining the Laspeyres (arithmetic mean) Formula</w:t>
      </w:r>
    </w:p>
    <w:p w:rsidR="000A3F49" w:rsidP="003D7B1A" w:rsidRDefault="000A3F49" w14:paraId="626A0ADC" w14:textId="77777777">
      <w:pPr>
        <w:spacing w:line="240" w:lineRule="exact"/>
      </w:pPr>
    </w:p>
    <w:p w:rsidR="000A3F49" w:rsidP="003D7B1A" w:rsidRDefault="000A3F49" w14:paraId="192F95A2" w14:textId="77777777">
      <w:pPr>
        <w:pStyle w:val="ListParagraph"/>
        <w:numPr>
          <w:ilvl w:val="0"/>
          <w:numId w:val="2"/>
        </w:numPr>
        <w:spacing w:line="240" w:lineRule="exact"/>
      </w:pPr>
      <w:r>
        <w:t>Lodging at school, excluding board</w:t>
      </w:r>
    </w:p>
    <w:p w:rsidR="000A3F49" w:rsidP="003D7B1A" w:rsidRDefault="000A3F49" w14:paraId="518C2E0F" w14:textId="77777777">
      <w:pPr>
        <w:pStyle w:val="ListParagraph"/>
        <w:numPr>
          <w:ilvl w:val="0"/>
          <w:numId w:val="2"/>
        </w:numPr>
        <w:spacing w:line="240" w:lineRule="exact"/>
      </w:pPr>
      <w:r>
        <w:t>Electricity</w:t>
      </w:r>
    </w:p>
    <w:p w:rsidR="000A3F49" w:rsidP="003D7B1A" w:rsidRDefault="000A3F49" w14:paraId="09CFD6DC" w14:textId="77777777">
      <w:pPr>
        <w:pStyle w:val="ListParagraph"/>
        <w:numPr>
          <w:ilvl w:val="0"/>
          <w:numId w:val="2"/>
        </w:numPr>
        <w:spacing w:line="240" w:lineRule="exact"/>
      </w:pPr>
      <w:r>
        <w:t>Utility (piped) gas service</w:t>
      </w:r>
    </w:p>
    <w:p w:rsidR="000A3F49" w:rsidP="003D7B1A" w:rsidRDefault="000A3F49" w14:paraId="05726E7F" w14:textId="77777777">
      <w:pPr>
        <w:pStyle w:val="ListParagraph"/>
        <w:numPr>
          <w:ilvl w:val="0"/>
          <w:numId w:val="2"/>
        </w:numPr>
        <w:spacing w:line="240" w:lineRule="exact"/>
      </w:pPr>
      <w:r>
        <w:t>Water and sewerage maintenance</w:t>
      </w:r>
    </w:p>
    <w:p w:rsidR="000A3F49" w:rsidP="003D7B1A" w:rsidRDefault="000A3F49" w14:paraId="1205B6EF" w14:textId="77777777">
      <w:pPr>
        <w:pStyle w:val="ListParagraph"/>
        <w:numPr>
          <w:ilvl w:val="0"/>
          <w:numId w:val="2"/>
        </w:numPr>
        <w:spacing w:line="240" w:lineRule="exact"/>
      </w:pPr>
      <w:r>
        <w:t>State motor vehicle registration and license fees</w:t>
      </w:r>
    </w:p>
    <w:p w:rsidR="000A3F49" w:rsidP="003D7B1A" w:rsidRDefault="000A3F49" w14:paraId="0047BC87" w14:textId="77777777">
      <w:pPr>
        <w:pStyle w:val="ListParagraph"/>
        <w:numPr>
          <w:ilvl w:val="0"/>
          <w:numId w:val="2"/>
        </w:numPr>
        <w:spacing w:line="240" w:lineRule="exact"/>
      </w:pPr>
      <w:r>
        <w:t>Physicians' services</w:t>
      </w:r>
    </w:p>
    <w:p w:rsidR="000A3F49" w:rsidP="003D7B1A" w:rsidRDefault="000A3F49" w14:paraId="5B184861" w14:textId="77777777">
      <w:pPr>
        <w:pStyle w:val="ListParagraph"/>
        <w:numPr>
          <w:ilvl w:val="0"/>
          <w:numId w:val="2"/>
        </w:numPr>
        <w:spacing w:line="240" w:lineRule="exact"/>
      </w:pPr>
      <w:r>
        <w:t>Dental services</w:t>
      </w:r>
    </w:p>
    <w:p w:rsidR="000A3F49" w:rsidP="003D7B1A" w:rsidRDefault="000A3F49" w14:paraId="4D9D9A10" w14:textId="77777777">
      <w:pPr>
        <w:pStyle w:val="ListParagraph"/>
        <w:numPr>
          <w:ilvl w:val="0"/>
          <w:numId w:val="2"/>
        </w:numPr>
        <w:spacing w:line="240" w:lineRule="exact"/>
      </w:pPr>
      <w:r>
        <w:t>Services by other medical professionals</w:t>
      </w:r>
    </w:p>
    <w:p w:rsidR="000A3F49" w:rsidP="003D7B1A" w:rsidRDefault="000A3F49" w14:paraId="322C4476" w14:textId="77777777">
      <w:pPr>
        <w:pStyle w:val="ListParagraph"/>
        <w:numPr>
          <w:ilvl w:val="0"/>
          <w:numId w:val="2"/>
        </w:numPr>
        <w:spacing w:line="240" w:lineRule="exact"/>
      </w:pPr>
      <w:r>
        <w:t>Hospital services</w:t>
      </w:r>
    </w:p>
    <w:p w:rsidR="000A3F49" w:rsidP="003D7B1A" w:rsidRDefault="000A3F49" w14:paraId="674B24E0" w14:textId="77777777">
      <w:pPr>
        <w:pStyle w:val="ListParagraph"/>
        <w:numPr>
          <w:ilvl w:val="0"/>
          <w:numId w:val="2"/>
        </w:numPr>
        <w:spacing w:line="240" w:lineRule="exact"/>
      </w:pPr>
      <w:r>
        <w:t>Nursing homes and adult day services</w:t>
      </w:r>
    </w:p>
    <w:p w:rsidR="000A3F49" w:rsidP="003D7B1A" w:rsidRDefault="000A3F49" w14:paraId="48D2A68D" w14:textId="77777777">
      <w:pPr>
        <w:pStyle w:val="ListParagraph"/>
        <w:numPr>
          <w:ilvl w:val="0"/>
          <w:numId w:val="2"/>
        </w:numPr>
        <w:spacing w:line="240" w:lineRule="exact"/>
      </w:pPr>
      <w:r>
        <w:t>Prescription drugs</w:t>
      </w:r>
    </w:p>
    <w:p w:rsidR="000A3F49" w:rsidP="003D7B1A" w:rsidRDefault="000A3F49" w14:paraId="544C4EC1" w14:textId="77777777">
      <w:pPr>
        <w:spacing w:line="240" w:lineRule="exact"/>
      </w:pPr>
    </w:p>
    <w:p w:rsidR="000A3F49" w:rsidP="003D7B1A" w:rsidRDefault="000A3F49" w14:paraId="0E7632A9" w14:textId="77777777">
      <w:pPr>
        <w:spacing w:line="240" w:lineRule="exact"/>
      </w:pPr>
      <w:r w:rsidRPr="00356A3D">
        <w:rPr>
          <w:u w:val="single"/>
        </w:rPr>
        <w:t>Price relatives</w:t>
      </w:r>
      <w:r w:rsidRPr="00D411EF">
        <w:t xml:space="preserve">. </w:t>
      </w:r>
    </w:p>
    <w:p w:rsidR="000A3F49" w:rsidP="003D7B1A" w:rsidRDefault="000A3F49" w14:paraId="67822A20" w14:textId="77777777">
      <w:pPr>
        <w:spacing w:line="240" w:lineRule="exact"/>
      </w:pPr>
    </w:p>
    <w:p w:rsidRPr="00D411EF" w:rsidR="000A3F49" w:rsidP="003D7B1A" w:rsidRDefault="000A3F49" w14:paraId="0796F854" w14:textId="77777777">
      <w:pPr>
        <w:spacing w:line="240" w:lineRule="exact"/>
      </w:pPr>
      <w:r w:rsidRPr="00D411EF">
        <w:t xml:space="preserve">The price relative for each basic item-area for C&amp;S using the </w:t>
      </w:r>
      <w:r w:rsidRPr="009F5F22">
        <w:rPr>
          <w:b/>
          <w:u w:val="single"/>
        </w:rPr>
        <w:t>Geometric Mean</w:t>
      </w:r>
      <w:r>
        <w:t xml:space="preserve"> </w:t>
      </w:r>
      <w:r w:rsidRPr="00D411EF">
        <w:t>is based on the formula:</w:t>
      </w:r>
    </w:p>
    <w:p w:rsidR="000A3F49" w:rsidP="003D7B1A" w:rsidRDefault="000A3F49" w14:paraId="45C154CE" w14:textId="77777777">
      <w:pPr>
        <w:spacing w:line="240" w:lineRule="exact"/>
      </w:pPr>
    </w:p>
    <w:p w:rsidR="000A3F49" w:rsidP="003D7B1A" w:rsidRDefault="000A3F49" w14:paraId="24DF35B5" w14:textId="77737AB7"/>
    <w:p w:rsidR="000A3F49" w:rsidP="003D7B1A" w:rsidRDefault="000A3F49" w14:paraId="324779DF" w14:textId="77777777"/>
    <w:p w:rsidRPr="008F58F5" w:rsidR="000A3F49" w:rsidP="003D7B1A" w:rsidRDefault="008C4472" w14:paraId="7B1B2937" w14:textId="745058A8">
      <m:oMathPara>
        <m:oMathParaPr>
          <m:jc m:val="left"/>
        </m:oMathParaPr>
        <m:oMath>
          <m:sSubSup>
            <m:sSubSupPr>
              <m:ctrlPr>
                <w:rPr>
                  <w:rFonts w:ascii="Cambria Math" w:hAnsi="Cambria Math" w:cstheme="minorHAnsi"/>
                  <w:i/>
                  <w:szCs w:val="24"/>
                </w:rPr>
              </m:ctrlPr>
            </m:sSubSupPr>
            <m:e>
              <m:sPre>
                <m:sPrePr>
                  <m:ctrlPr>
                    <w:rPr>
                      <w:rFonts w:ascii="Cambria Math" w:hAnsi="Cambria Math" w:cstheme="minorHAnsi"/>
                      <w:i/>
                      <w:szCs w:val="24"/>
                    </w:rPr>
                  </m:ctrlPr>
                </m:sPrePr>
                <m:sub>
                  <m:r>
                    <w:rPr>
                      <w:rFonts w:ascii="Cambria Math" w:hAnsi="Cambria Math" w:cstheme="minorHAnsi"/>
                      <w:szCs w:val="24"/>
                    </w:rPr>
                    <m:t xml:space="preserve"> (i,a)</m:t>
                  </m:r>
                </m:sub>
                <m:sup/>
                <m:e>
                  <m:r>
                    <w:rPr>
                      <w:rFonts w:ascii="Cambria Math" w:hAnsi="Cambria Math" w:cstheme="minorHAnsi"/>
                      <w:szCs w:val="24"/>
                    </w:rPr>
                    <m:t>R</m:t>
                  </m:r>
                </m:e>
              </m:sPre>
            </m:e>
            <m:sub>
              <m:r>
                <w:rPr>
                  <w:rFonts w:ascii="Cambria Math" w:hAnsi="Cambria Math" w:cstheme="minorHAnsi"/>
                  <w:szCs w:val="24"/>
                </w:rPr>
                <m:t>[t;t-1]</m:t>
              </m:r>
            </m:sub>
            <m:sup>
              <m:r>
                <w:rPr>
                  <w:rFonts w:ascii="Cambria Math" w:hAnsi="Cambria Math" w:cstheme="minorHAnsi"/>
                  <w:szCs w:val="24"/>
                </w:rPr>
                <m:t>G</m:t>
              </m:r>
            </m:sup>
          </m:sSubSup>
          <m:r>
            <w:rPr>
              <w:rFonts w:ascii="Cambria Math" w:hAnsi="Cambria Math" w:cstheme="minorHAnsi"/>
              <w:szCs w:val="24"/>
            </w:rPr>
            <m:t xml:space="preserve">= </m:t>
          </m:r>
          <m:nary>
            <m:naryPr>
              <m:chr m:val="∏"/>
              <m:limLoc m:val="undOvr"/>
              <m:ctrlPr>
                <w:rPr>
                  <w:rFonts w:ascii="Cambria Math" w:hAnsi="Cambria Math" w:cstheme="minorHAnsi"/>
                  <w:i/>
                  <w:szCs w:val="24"/>
                </w:rPr>
              </m:ctrlPr>
            </m:naryPr>
            <m:sub>
              <m:r>
                <w:rPr>
                  <w:rFonts w:ascii="Cambria Math" w:hAnsi="Cambria Math" w:cstheme="minorHAnsi"/>
                  <w:szCs w:val="24"/>
                </w:rPr>
                <m:t>j∈(i,a)</m:t>
              </m:r>
            </m:sub>
            <m:sup/>
            <m:e>
              <m:sSup>
                <m:sSupPr>
                  <m:ctrlPr>
                    <w:rPr>
                      <w:rFonts w:ascii="Cambria Math" w:hAnsi="Cambria Math" w:cstheme="minorHAnsi"/>
                      <w:i/>
                      <w:szCs w:val="24"/>
                    </w:rPr>
                  </m:ctrlPr>
                </m:sSupPr>
                <m:e>
                  <m:d>
                    <m:dPr>
                      <m:begChr m:val="["/>
                      <m:endChr m:val="]"/>
                      <m:ctrlPr>
                        <w:rPr>
                          <w:rFonts w:ascii="Cambria Math" w:hAnsi="Cambria Math" w:cstheme="minorHAnsi"/>
                          <w:i/>
                          <w:szCs w:val="24"/>
                        </w:rPr>
                      </m:ctrlPr>
                    </m:dPr>
                    <m:e>
                      <m:f>
                        <m:fPr>
                          <m:ctrlPr>
                            <w:rPr>
                              <w:rFonts w:ascii="Cambria Math" w:hAnsi="Cambria Math" w:cstheme="minorHAnsi"/>
                              <w:i/>
                              <w:szCs w:val="24"/>
                            </w:rPr>
                          </m:ctrlPr>
                        </m:fPr>
                        <m:num>
                          <m:sSub>
                            <m:sSubPr>
                              <m:ctrlPr>
                                <w:rPr>
                                  <w:rFonts w:ascii="Cambria Math" w:hAnsi="Cambria Math" w:cstheme="minorHAnsi"/>
                                  <w:i/>
                                  <w:szCs w:val="24"/>
                                </w:rPr>
                              </m:ctrlPr>
                            </m:sSubPr>
                            <m:e>
                              <m:r>
                                <w:rPr>
                                  <w:rFonts w:ascii="Cambria Math" w:hAnsi="Cambria Math" w:cstheme="minorHAnsi"/>
                                  <w:szCs w:val="24"/>
                                </w:rPr>
                                <m:t>P</m:t>
                              </m:r>
                            </m:e>
                            <m:sub>
                              <m:r>
                                <w:rPr>
                                  <w:rFonts w:ascii="Cambria Math" w:hAnsi="Cambria Math" w:cstheme="minorHAnsi"/>
                                  <w:szCs w:val="24"/>
                                </w:rPr>
                                <m:t>j,t</m:t>
                              </m:r>
                            </m:sub>
                          </m:sSub>
                        </m:num>
                        <m:den>
                          <m:sSub>
                            <m:sSubPr>
                              <m:ctrlPr>
                                <w:rPr>
                                  <w:rFonts w:ascii="Cambria Math" w:hAnsi="Cambria Math" w:cstheme="minorHAnsi"/>
                                  <w:i/>
                                  <w:szCs w:val="24"/>
                                </w:rPr>
                              </m:ctrlPr>
                            </m:sSubPr>
                            <m:e>
                              <m:r>
                                <w:rPr>
                                  <w:rFonts w:ascii="Cambria Math" w:hAnsi="Cambria Math" w:cstheme="minorHAnsi"/>
                                  <w:szCs w:val="24"/>
                                </w:rPr>
                                <m:t>P</m:t>
                              </m:r>
                            </m:e>
                            <m:sub>
                              <m:r>
                                <w:rPr>
                                  <w:rFonts w:ascii="Cambria Math" w:hAnsi="Cambria Math" w:cstheme="minorHAnsi"/>
                                  <w:szCs w:val="24"/>
                                </w:rPr>
                                <m:t>j, t-1</m:t>
                              </m:r>
                            </m:sub>
                          </m:sSub>
                        </m:den>
                      </m:f>
                    </m:e>
                  </m:d>
                </m:e>
                <m:sup>
                  <m:d>
                    <m:dPr>
                      <m:ctrlPr>
                        <w:rPr>
                          <w:rFonts w:ascii="Cambria Math" w:hAnsi="Cambria Math" w:cstheme="minorHAnsi"/>
                          <w:i/>
                          <w:szCs w:val="24"/>
                        </w:rPr>
                      </m:ctrlPr>
                    </m:dPr>
                    <m:e>
                      <m:f>
                        <m:fPr>
                          <m:type m:val="skw"/>
                          <m:ctrlPr>
                            <w:rPr>
                              <w:rFonts w:ascii="Cambria Math" w:hAnsi="Cambria Math" w:cstheme="minorHAnsi"/>
                              <w:i/>
                              <w:szCs w:val="24"/>
                            </w:rPr>
                          </m:ctrlPr>
                        </m:fPr>
                        <m:num>
                          <m:sSub>
                            <m:sSubPr>
                              <m:ctrlPr>
                                <w:rPr>
                                  <w:rFonts w:ascii="Cambria Math" w:hAnsi="Cambria Math" w:cstheme="minorHAnsi"/>
                                  <w:i/>
                                  <w:szCs w:val="24"/>
                                </w:rPr>
                              </m:ctrlPr>
                            </m:sSubPr>
                            <m:e>
                              <m:r>
                                <w:rPr>
                                  <w:rFonts w:ascii="Cambria Math" w:hAnsi="Cambria Math" w:cstheme="minorHAnsi"/>
                                  <w:szCs w:val="24"/>
                                </w:rPr>
                                <m:t>W</m:t>
                              </m:r>
                            </m:e>
                            <m:sub>
                              <m:r>
                                <w:rPr>
                                  <w:rFonts w:ascii="Cambria Math" w:hAnsi="Cambria Math" w:cstheme="minorHAnsi"/>
                                  <w:szCs w:val="24"/>
                                </w:rPr>
                                <m:t>j, b</m:t>
                              </m:r>
                            </m:sub>
                          </m:sSub>
                        </m:num>
                        <m:den>
                          <m:nary>
                            <m:naryPr>
                              <m:chr m:val="∑"/>
                              <m:limLoc m:val="undOvr"/>
                              <m:supHide m:val="1"/>
                              <m:ctrlPr>
                                <w:rPr>
                                  <w:rFonts w:ascii="Cambria Math" w:hAnsi="Cambria Math" w:cstheme="minorHAnsi"/>
                                  <w:i/>
                                  <w:szCs w:val="24"/>
                                </w:rPr>
                              </m:ctrlPr>
                            </m:naryPr>
                            <m:sub>
                              <m:r>
                                <w:rPr>
                                  <w:rFonts w:ascii="Cambria Math" w:hAnsi="Cambria Math" w:cstheme="minorHAnsi"/>
                                  <w:szCs w:val="24"/>
                                </w:rPr>
                                <m:t>j∈(i,a)</m:t>
                              </m:r>
                            </m:sub>
                            <m:sup/>
                            <m:e>
                              <m:sSub>
                                <m:sSubPr>
                                  <m:ctrlPr>
                                    <w:rPr>
                                      <w:rFonts w:ascii="Cambria Math" w:hAnsi="Cambria Math" w:cstheme="minorHAnsi"/>
                                      <w:i/>
                                      <w:szCs w:val="24"/>
                                    </w:rPr>
                                  </m:ctrlPr>
                                </m:sSubPr>
                                <m:e>
                                  <m:r>
                                    <w:rPr>
                                      <w:rFonts w:ascii="Cambria Math" w:hAnsi="Cambria Math" w:cstheme="minorHAnsi"/>
                                      <w:szCs w:val="24"/>
                                    </w:rPr>
                                    <m:t>W</m:t>
                                  </m:r>
                                </m:e>
                                <m:sub>
                                  <m:r>
                                    <w:rPr>
                                      <w:rFonts w:ascii="Cambria Math" w:hAnsi="Cambria Math" w:cstheme="minorHAnsi"/>
                                      <w:szCs w:val="24"/>
                                    </w:rPr>
                                    <m:t>j, b</m:t>
                                  </m:r>
                                </m:sub>
                              </m:sSub>
                            </m:e>
                          </m:nary>
                        </m:den>
                      </m:f>
                    </m:e>
                  </m:d>
                </m:sup>
              </m:sSup>
            </m:e>
          </m:nary>
        </m:oMath>
      </m:oMathPara>
    </w:p>
    <w:p w:rsidR="000A3F49" w:rsidP="003D7B1A" w:rsidRDefault="000A3F49" w14:paraId="2F6571E0" w14:textId="77777777"/>
    <w:p w:rsidRPr="00D411EF" w:rsidR="000A3F49" w:rsidP="003D7B1A" w:rsidRDefault="000A3F49" w14:paraId="61CE701F" w14:textId="77777777">
      <w:pPr>
        <w:spacing w:line="240" w:lineRule="exact"/>
      </w:pPr>
      <w:r w:rsidRPr="00D411EF">
        <w:t xml:space="preserve">The price relative for each basic item-area for C&amp;S using </w:t>
      </w:r>
      <w:r w:rsidRPr="00244E28">
        <w:rPr>
          <w:b/>
          <w:u w:val="single"/>
        </w:rPr>
        <w:t>Laspeyres</w:t>
      </w:r>
      <w:r>
        <w:t xml:space="preserve"> </w:t>
      </w:r>
      <w:r w:rsidRPr="00D411EF">
        <w:t>is based on the formula:</w:t>
      </w:r>
    </w:p>
    <w:p w:rsidRPr="006458ED" w:rsidR="000A3F49" w:rsidP="003D7B1A" w:rsidRDefault="000A3F49" w14:paraId="47B0359F" w14:textId="77777777"/>
    <w:p w:rsidR="000A3F49" w:rsidP="003D7B1A" w:rsidRDefault="000A3F49" w14:paraId="4E05DEDE" w14:textId="2437BB03"/>
    <w:p w:rsidRPr="008F58F5" w:rsidR="000A3F49" w:rsidP="003D7B1A" w:rsidRDefault="008C4472" w14:paraId="55B1A65E" w14:textId="3145C8EA">
      <m:oMathPara>
        <m:oMathParaPr>
          <m:jc m:val="left"/>
        </m:oMathParaPr>
        <m:oMath>
          <m:sSubSup>
            <m:sSubSupPr>
              <m:ctrlPr>
                <w:rPr>
                  <w:rFonts w:ascii="Cambria Math" w:hAnsi="Cambria Math" w:cstheme="minorHAnsi"/>
                  <w:i/>
                  <w:szCs w:val="24"/>
                </w:rPr>
              </m:ctrlPr>
            </m:sSubSupPr>
            <m:e>
              <m:sPre>
                <m:sPrePr>
                  <m:ctrlPr>
                    <w:rPr>
                      <w:rFonts w:ascii="Cambria Math" w:hAnsi="Cambria Math" w:cstheme="minorHAnsi"/>
                      <w:i/>
                      <w:szCs w:val="24"/>
                    </w:rPr>
                  </m:ctrlPr>
                </m:sPrePr>
                <m:sub>
                  <m:r>
                    <w:rPr>
                      <w:rFonts w:ascii="Cambria Math" w:hAnsi="Cambria Math" w:cstheme="minorHAnsi"/>
                      <w:szCs w:val="24"/>
                    </w:rPr>
                    <m:t>(i,a)</m:t>
                  </m:r>
                </m:sub>
                <m:sup/>
                <m:e>
                  <m:r>
                    <w:rPr>
                      <w:rFonts w:ascii="Cambria Math" w:hAnsi="Cambria Math" w:cstheme="minorHAnsi"/>
                      <w:szCs w:val="24"/>
                    </w:rPr>
                    <m:t>R</m:t>
                  </m:r>
                </m:e>
              </m:sPre>
            </m:e>
            <m:sub>
              <m:r>
                <w:rPr>
                  <w:rFonts w:ascii="Cambria Math" w:hAnsi="Cambria Math" w:cstheme="minorHAnsi"/>
                  <w:szCs w:val="24"/>
                </w:rPr>
                <m:t>[t;t-1]</m:t>
              </m:r>
            </m:sub>
            <m:sup>
              <m:r>
                <w:rPr>
                  <w:rFonts w:ascii="Cambria Math" w:hAnsi="Cambria Math" w:cstheme="minorHAnsi"/>
                  <w:szCs w:val="24"/>
                </w:rPr>
                <m:t>L</m:t>
              </m:r>
            </m:sup>
          </m:sSubSup>
          <m:r>
            <w:rPr>
              <w:rFonts w:ascii="Cambria Math" w:hAnsi="Cambria Math" w:cstheme="minorHAnsi"/>
              <w:szCs w:val="24"/>
            </w:rPr>
            <m:t>=</m:t>
          </m:r>
          <m:f>
            <m:fPr>
              <m:ctrlPr>
                <w:rPr>
                  <w:rFonts w:ascii="Cambria Math" w:hAnsi="Cambria Math" w:cstheme="minorHAnsi"/>
                  <w:i/>
                  <w:szCs w:val="24"/>
                </w:rPr>
              </m:ctrlPr>
            </m:fPr>
            <m:num>
              <m:nary>
                <m:naryPr>
                  <m:chr m:val="∑"/>
                  <m:limLoc m:val="undOvr"/>
                  <m:supHide m:val="1"/>
                  <m:ctrlPr>
                    <w:rPr>
                      <w:rFonts w:ascii="Cambria Math" w:hAnsi="Cambria Math" w:cstheme="minorHAnsi"/>
                      <w:i/>
                      <w:szCs w:val="24"/>
                    </w:rPr>
                  </m:ctrlPr>
                </m:naryPr>
                <m:sub>
                  <m:r>
                    <w:rPr>
                      <w:rFonts w:ascii="Cambria Math" w:hAnsi="Cambria Math" w:cstheme="minorHAnsi"/>
                      <w:szCs w:val="24"/>
                    </w:rPr>
                    <m:t>j∈(i,a)</m:t>
                  </m:r>
                </m:sub>
                <m:sup/>
                <m:e>
                  <m:d>
                    <m:dPr>
                      <m:ctrlPr>
                        <w:rPr>
                          <w:rFonts w:ascii="Cambria Math" w:hAnsi="Cambria Math" w:cstheme="minorHAnsi"/>
                          <w:i/>
                          <w:szCs w:val="24"/>
                        </w:rPr>
                      </m:ctrlPr>
                    </m:dPr>
                    <m:e>
                      <m:f>
                        <m:fPr>
                          <m:type m:val="skw"/>
                          <m:ctrlPr>
                            <w:rPr>
                              <w:rFonts w:ascii="Cambria Math" w:hAnsi="Cambria Math" w:cstheme="minorHAnsi"/>
                              <w:i/>
                              <w:szCs w:val="24"/>
                            </w:rPr>
                          </m:ctrlPr>
                        </m:fPr>
                        <m:num>
                          <m:sSub>
                            <m:sSubPr>
                              <m:ctrlPr>
                                <w:rPr>
                                  <w:rFonts w:ascii="Cambria Math" w:hAnsi="Cambria Math" w:cstheme="minorHAnsi"/>
                                  <w:i/>
                                  <w:szCs w:val="24"/>
                                </w:rPr>
                              </m:ctrlPr>
                            </m:sSubPr>
                            <m:e>
                              <m:r>
                                <w:rPr>
                                  <w:rFonts w:ascii="Cambria Math" w:hAnsi="Cambria Math" w:cstheme="minorHAnsi"/>
                                  <w:szCs w:val="24"/>
                                </w:rPr>
                                <m:t>W</m:t>
                              </m:r>
                            </m:e>
                            <m:sub>
                              <m:r>
                                <w:rPr>
                                  <w:rFonts w:ascii="Cambria Math" w:hAnsi="Cambria Math" w:cstheme="minorHAnsi"/>
                                  <w:szCs w:val="24"/>
                                </w:rPr>
                                <m:t>j, b</m:t>
                              </m:r>
                            </m:sub>
                          </m:sSub>
                        </m:num>
                        <m:den>
                          <m:sSub>
                            <m:sSubPr>
                              <m:ctrlPr>
                                <w:rPr>
                                  <w:rFonts w:ascii="Cambria Math" w:hAnsi="Cambria Math" w:cstheme="minorHAnsi"/>
                                  <w:i/>
                                  <w:szCs w:val="24"/>
                                </w:rPr>
                              </m:ctrlPr>
                            </m:sSubPr>
                            <m:e>
                              <m:r>
                                <w:rPr>
                                  <w:rFonts w:ascii="Cambria Math" w:hAnsi="Cambria Math" w:cstheme="minorHAnsi"/>
                                  <w:szCs w:val="24"/>
                                </w:rPr>
                                <m:t>P</m:t>
                              </m:r>
                            </m:e>
                            <m:sub>
                              <m:r>
                                <w:rPr>
                                  <w:rFonts w:ascii="Cambria Math" w:hAnsi="Cambria Math" w:cstheme="minorHAnsi"/>
                                  <w:szCs w:val="24"/>
                                </w:rPr>
                                <m:t>j, b</m:t>
                              </m:r>
                            </m:sub>
                          </m:sSub>
                        </m:den>
                      </m:f>
                    </m:e>
                  </m:d>
                  <m:sSub>
                    <m:sSubPr>
                      <m:ctrlPr>
                        <w:rPr>
                          <w:rFonts w:ascii="Cambria Math" w:hAnsi="Cambria Math" w:cstheme="minorHAnsi"/>
                          <w:i/>
                          <w:szCs w:val="24"/>
                        </w:rPr>
                      </m:ctrlPr>
                    </m:sSubPr>
                    <m:e>
                      <m:r>
                        <w:rPr>
                          <w:rFonts w:ascii="Cambria Math" w:hAnsi="Cambria Math" w:cstheme="minorHAnsi"/>
                          <w:szCs w:val="24"/>
                        </w:rPr>
                        <m:t>P</m:t>
                      </m:r>
                    </m:e>
                    <m:sub>
                      <m:r>
                        <w:rPr>
                          <w:rFonts w:ascii="Cambria Math" w:hAnsi="Cambria Math" w:cstheme="minorHAnsi"/>
                          <w:szCs w:val="24"/>
                        </w:rPr>
                        <m:t>j,t</m:t>
                      </m:r>
                    </m:sub>
                  </m:sSub>
                </m:e>
              </m:nary>
            </m:num>
            <m:den>
              <m:nary>
                <m:naryPr>
                  <m:chr m:val="∑"/>
                  <m:limLoc m:val="undOvr"/>
                  <m:supHide m:val="1"/>
                  <m:ctrlPr>
                    <w:rPr>
                      <w:rFonts w:ascii="Cambria Math" w:hAnsi="Cambria Math" w:cstheme="minorHAnsi"/>
                      <w:i/>
                      <w:szCs w:val="24"/>
                    </w:rPr>
                  </m:ctrlPr>
                </m:naryPr>
                <m:sub>
                  <m:r>
                    <w:rPr>
                      <w:rFonts w:ascii="Cambria Math" w:hAnsi="Cambria Math" w:cstheme="minorHAnsi"/>
                      <w:szCs w:val="24"/>
                    </w:rPr>
                    <m:t>j∈(i,a)</m:t>
                  </m:r>
                </m:sub>
                <m:sup/>
                <m:e>
                  <m:d>
                    <m:dPr>
                      <m:ctrlPr>
                        <w:rPr>
                          <w:rFonts w:ascii="Cambria Math" w:hAnsi="Cambria Math" w:cstheme="minorHAnsi"/>
                          <w:i/>
                          <w:szCs w:val="24"/>
                        </w:rPr>
                      </m:ctrlPr>
                    </m:dPr>
                    <m:e>
                      <m:f>
                        <m:fPr>
                          <m:type m:val="skw"/>
                          <m:ctrlPr>
                            <w:rPr>
                              <w:rFonts w:ascii="Cambria Math" w:hAnsi="Cambria Math" w:cstheme="minorHAnsi"/>
                              <w:i/>
                              <w:szCs w:val="24"/>
                            </w:rPr>
                          </m:ctrlPr>
                        </m:fPr>
                        <m:num>
                          <m:sSub>
                            <m:sSubPr>
                              <m:ctrlPr>
                                <w:rPr>
                                  <w:rFonts w:ascii="Cambria Math" w:hAnsi="Cambria Math" w:cstheme="minorHAnsi"/>
                                  <w:i/>
                                  <w:szCs w:val="24"/>
                                </w:rPr>
                              </m:ctrlPr>
                            </m:sSubPr>
                            <m:e>
                              <m:r>
                                <w:rPr>
                                  <w:rFonts w:ascii="Cambria Math" w:hAnsi="Cambria Math" w:cstheme="minorHAnsi"/>
                                  <w:szCs w:val="24"/>
                                </w:rPr>
                                <m:t>W</m:t>
                              </m:r>
                            </m:e>
                            <m:sub>
                              <m:r>
                                <w:rPr>
                                  <w:rFonts w:ascii="Cambria Math" w:hAnsi="Cambria Math" w:cstheme="minorHAnsi"/>
                                  <w:szCs w:val="24"/>
                                </w:rPr>
                                <m:t>j, b</m:t>
                              </m:r>
                            </m:sub>
                          </m:sSub>
                        </m:num>
                        <m:den>
                          <m:sSub>
                            <m:sSubPr>
                              <m:ctrlPr>
                                <w:rPr>
                                  <w:rFonts w:ascii="Cambria Math" w:hAnsi="Cambria Math" w:cstheme="minorHAnsi"/>
                                  <w:i/>
                                  <w:szCs w:val="24"/>
                                </w:rPr>
                              </m:ctrlPr>
                            </m:sSubPr>
                            <m:e>
                              <m:r>
                                <w:rPr>
                                  <w:rFonts w:ascii="Cambria Math" w:hAnsi="Cambria Math" w:cstheme="minorHAnsi"/>
                                  <w:szCs w:val="24"/>
                                </w:rPr>
                                <m:t>P</m:t>
                              </m:r>
                            </m:e>
                            <m:sub>
                              <m:r>
                                <w:rPr>
                                  <w:rFonts w:ascii="Cambria Math" w:hAnsi="Cambria Math" w:cstheme="minorHAnsi"/>
                                  <w:szCs w:val="24"/>
                                </w:rPr>
                                <m:t>j,b</m:t>
                              </m:r>
                            </m:sub>
                          </m:sSub>
                        </m:den>
                      </m:f>
                    </m:e>
                  </m:d>
                  <m:sSub>
                    <m:sSubPr>
                      <m:ctrlPr>
                        <w:rPr>
                          <w:rFonts w:ascii="Cambria Math" w:hAnsi="Cambria Math" w:cstheme="minorHAnsi"/>
                          <w:i/>
                          <w:szCs w:val="24"/>
                        </w:rPr>
                      </m:ctrlPr>
                    </m:sSubPr>
                    <m:e>
                      <m:r>
                        <w:rPr>
                          <w:rFonts w:ascii="Cambria Math" w:hAnsi="Cambria Math" w:cstheme="minorHAnsi"/>
                          <w:szCs w:val="24"/>
                        </w:rPr>
                        <m:t>P</m:t>
                      </m:r>
                    </m:e>
                    <m:sub>
                      <m:r>
                        <w:rPr>
                          <w:rFonts w:ascii="Cambria Math" w:hAnsi="Cambria Math" w:cstheme="minorHAnsi"/>
                          <w:szCs w:val="24"/>
                        </w:rPr>
                        <m:t>j,t-1</m:t>
                      </m:r>
                    </m:sub>
                  </m:sSub>
                </m:e>
              </m:nary>
            </m:den>
          </m:f>
        </m:oMath>
      </m:oMathPara>
    </w:p>
    <w:p w:rsidR="000A3F49" w:rsidP="003D7B1A" w:rsidRDefault="000A3F49" w14:paraId="5243B6C6" w14:textId="77777777"/>
    <w:p w:rsidR="000A3F49" w:rsidP="003D7B1A" w:rsidRDefault="000A3F49" w14:paraId="4328A26E" w14:textId="13310CC4">
      <w:pPr>
        <w:autoSpaceDE w:val="0"/>
        <w:autoSpaceDN w:val="0"/>
        <w:adjustRightInd w:val="0"/>
        <w:rPr>
          <w:color w:val="231F20"/>
          <w:szCs w:val="24"/>
        </w:rPr>
      </w:pPr>
    </w:p>
    <w:p w:rsidRPr="00852C30" w:rsidR="000A3F49" w:rsidP="008F58F5" w:rsidRDefault="000A3F49" w14:paraId="69206F90" w14:textId="77777777">
      <w:pPr>
        <w:rPr>
          <w:rFonts w:ascii="Times New Roman Uni" w:hAnsi="Times New Roman Uni" w:eastAsia="Times New Roman Uni" w:cs="Times New Roman Uni"/>
          <w:szCs w:val="24"/>
        </w:rPr>
      </w:pPr>
      <w:r w:rsidRPr="00852C30">
        <w:rPr>
          <w:rFonts w:ascii="Times New Roman Uni" w:hAnsi="Times New Roman Uni" w:eastAsia="Times New Roman Uni" w:cs="Times New Roman Uni"/>
          <w:szCs w:val="24"/>
        </w:rPr>
        <w:t>Where</w:t>
      </w:r>
    </w:p>
    <w:p w:rsidRPr="008F58F5" w:rsidR="000A3F49" w:rsidP="008F58F5" w:rsidRDefault="000A3F49" w14:paraId="1C64DC5A" w14:textId="77777777">
      <w:pPr>
        <w:rPr>
          <w:rFonts w:asciiTheme="minorHAnsi" w:hAnsiTheme="minorHAnsi" w:eastAsiaTheme="minorEastAsia" w:cstheme="minorHAnsi"/>
          <w:szCs w:val="24"/>
        </w:rPr>
      </w:pPr>
    </w:p>
    <w:p w:rsidRPr="008F58F5" w:rsidR="000A3F49" w:rsidP="00852C30" w:rsidRDefault="008C4472" w14:paraId="646637E5" w14:textId="77777777">
      <w:pPr>
        <w:ind w:left="2160" w:hanging="2117"/>
        <w:rPr>
          <w:rFonts w:asciiTheme="minorHAnsi" w:hAnsiTheme="minorHAnsi" w:eastAsiaTheme="minorEastAsia" w:cstheme="minorHAnsi"/>
          <w:szCs w:val="24"/>
        </w:rPr>
      </w:pPr>
      <m:oMath>
        <m:sSubSup>
          <m:sSubSupPr>
            <m:ctrlPr>
              <w:rPr>
                <w:rFonts w:ascii="Cambria Math" w:hAnsi="Cambria Math" w:eastAsiaTheme="minorHAnsi" w:cstheme="minorHAnsi"/>
                <w:i/>
                <w:szCs w:val="24"/>
              </w:rPr>
            </m:ctrlPr>
          </m:sSubSupPr>
          <m:e>
            <m:sPre>
              <m:sPrePr>
                <m:ctrlPr>
                  <w:rPr>
                    <w:rFonts w:ascii="Cambria Math" w:hAnsi="Cambria Math" w:eastAsiaTheme="minorHAnsi" w:cstheme="minorHAnsi"/>
                    <w:i/>
                    <w:szCs w:val="24"/>
                  </w:rPr>
                </m:ctrlPr>
              </m:sPrePr>
              <m:sub>
                <m:r>
                  <w:rPr>
                    <w:rFonts w:ascii="Cambria Math" w:hAnsi="Cambria Math" w:eastAsiaTheme="minorHAnsi" w:cstheme="minorHAnsi"/>
                    <w:szCs w:val="24"/>
                  </w:rPr>
                  <m:t>(i,a)</m:t>
                </m:r>
              </m:sub>
              <m:sup/>
              <m:e>
                <m:r>
                  <w:rPr>
                    <w:rFonts w:ascii="Cambria Math" w:hAnsi="Cambria Math" w:eastAsiaTheme="minorHAnsi" w:cstheme="minorHAnsi"/>
                    <w:szCs w:val="24"/>
                  </w:rPr>
                  <m:t>R</m:t>
                </m:r>
              </m:e>
            </m:sPre>
          </m:e>
          <m:sub>
            <m:r>
              <w:rPr>
                <w:rFonts w:ascii="Cambria Math" w:hAnsi="Cambria Math" w:eastAsiaTheme="minorHAnsi" w:cstheme="minorHAnsi"/>
                <w:szCs w:val="24"/>
              </w:rPr>
              <m:t>[t;t-1]</m:t>
            </m:r>
          </m:sub>
          <m:sup>
            <m:r>
              <w:rPr>
                <w:rFonts w:ascii="Cambria Math" w:hAnsi="Cambria Math" w:eastAsiaTheme="minorHAnsi" w:cstheme="minorHAnsi"/>
                <w:szCs w:val="24"/>
              </w:rPr>
              <m:t>G</m:t>
            </m:r>
          </m:sup>
        </m:sSubSup>
      </m:oMath>
      <w:r w:rsidRPr="008F58F5" w:rsidR="000A3F49">
        <w:rPr>
          <w:rFonts w:asciiTheme="minorHAnsi" w:hAnsiTheme="minorHAnsi" w:eastAsiaTheme="minorEastAsia" w:cstheme="minorHAnsi"/>
          <w:szCs w:val="24"/>
        </w:rPr>
        <w:t xml:space="preserve"> </w:t>
      </w:r>
      <w:r w:rsidRPr="008F58F5" w:rsidR="000A3F49">
        <w:rPr>
          <w:rFonts w:asciiTheme="minorHAnsi" w:hAnsiTheme="minorHAnsi" w:eastAsiaTheme="minorEastAsia" w:cstheme="minorHAnsi"/>
          <w:szCs w:val="24"/>
        </w:rPr>
        <w:tab/>
      </w:r>
      <w:r w:rsidRPr="008F58F5" w:rsidR="000A3F49">
        <w:rPr>
          <w:rFonts w:eastAsia="Times New Roman Uni"/>
          <w:szCs w:val="24"/>
        </w:rPr>
        <w:t xml:space="preserve">is the geometric price relative for the item-area combination </w:t>
      </w:r>
      <w:r w:rsidRPr="008F58F5" w:rsidR="000A3F49">
        <w:rPr>
          <w:rFonts w:eastAsia="Times New Roman Uni"/>
          <w:i/>
          <w:szCs w:val="24"/>
        </w:rPr>
        <w:t>(i,a)</w:t>
      </w:r>
      <w:r w:rsidRPr="008F58F5" w:rsidR="000A3F49">
        <w:rPr>
          <w:rFonts w:eastAsia="Times New Roman Uni"/>
          <w:szCs w:val="24"/>
        </w:rPr>
        <w:t xml:space="preserve"> from the previous period </w:t>
      </w:r>
      <w:r w:rsidRPr="008F58F5" w:rsidR="000A3F49">
        <w:rPr>
          <w:rFonts w:eastAsia="Times New Roman Uni"/>
          <w:i/>
          <w:szCs w:val="24"/>
        </w:rPr>
        <w:t xml:space="preserve">(t-1) </w:t>
      </w:r>
      <w:r w:rsidRPr="008F58F5" w:rsidR="000A3F49">
        <w:rPr>
          <w:rFonts w:eastAsia="Times New Roman Uni"/>
          <w:szCs w:val="24"/>
        </w:rPr>
        <w:t xml:space="preserve">to the current period </w:t>
      </w:r>
      <w:r w:rsidRPr="008F58F5" w:rsidR="000A3F49">
        <w:rPr>
          <w:rFonts w:eastAsia="Times New Roman Uni"/>
          <w:i/>
          <w:szCs w:val="24"/>
        </w:rPr>
        <w:t>(t)</w:t>
      </w:r>
      <w:r w:rsidRPr="008F58F5" w:rsidR="000A3F49">
        <w:rPr>
          <w:rFonts w:eastAsia="Times New Roman Uni"/>
          <w:szCs w:val="24"/>
        </w:rPr>
        <w:t>;</w:t>
      </w:r>
    </w:p>
    <w:p w:rsidRPr="008F58F5" w:rsidR="000A3F49" w:rsidP="008F58F5" w:rsidRDefault="000A3F49" w14:paraId="407B25CE" w14:textId="77777777">
      <w:pPr>
        <w:ind w:left="2160" w:hanging="2115"/>
        <w:rPr>
          <w:rFonts w:asciiTheme="minorHAnsi" w:hAnsiTheme="minorHAnsi" w:eastAsiaTheme="minorEastAsia" w:cstheme="minorHAnsi"/>
          <w:szCs w:val="24"/>
        </w:rPr>
      </w:pPr>
    </w:p>
    <w:p w:rsidRPr="008F58F5" w:rsidR="000A3F49" w:rsidP="008F58F5" w:rsidRDefault="008C4472" w14:paraId="4F6632F7" w14:textId="77777777">
      <w:pPr>
        <w:ind w:left="2160" w:hanging="2115"/>
        <w:rPr>
          <w:rFonts w:asciiTheme="minorHAnsi" w:hAnsiTheme="minorHAnsi" w:eastAsiaTheme="minorEastAsia" w:cstheme="minorHAnsi"/>
          <w:szCs w:val="24"/>
        </w:rPr>
      </w:pPr>
      <m:oMath>
        <m:sSubSup>
          <m:sSubSupPr>
            <m:ctrlPr>
              <w:rPr>
                <w:rFonts w:ascii="Cambria Math" w:hAnsi="Cambria Math" w:eastAsiaTheme="minorHAnsi" w:cstheme="minorHAnsi"/>
                <w:i/>
                <w:szCs w:val="24"/>
              </w:rPr>
            </m:ctrlPr>
          </m:sSubSupPr>
          <m:e>
            <m:sPre>
              <m:sPrePr>
                <m:ctrlPr>
                  <w:rPr>
                    <w:rFonts w:ascii="Cambria Math" w:hAnsi="Cambria Math" w:eastAsiaTheme="minorHAnsi" w:cstheme="minorHAnsi"/>
                    <w:i/>
                    <w:szCs w:val="24"/>
                  </w:rPr>
                </m:ctrlPr>
              </m:sPrePr>
              <m:sub>
                <m:r>
                  <w:rPr>
                    <w:rFonts w:ascii="Cambria Math" w:hAnsi="Cambria Math" w:eastAsiaTheme="minorHAnsi" w:cstheme="minorHAnsi"/>
                    <w:szCs w:val="24"/>
                  </w:rPr>
                  <m:t>(i,a)</m:t>
                </m:r>
              </m:sub>
              <m:sup/>
              <m:e>
                <m:r>
                  <w:rPr>
                    <w:rFonts w:ascii="Cambria Math" w:hAnsi="Cambria Math" w:eastAsiaTheme="minorHAnsi" w:cstheme="minorHAnsi"/>
                    <w:szCs w:val="24"/>
                  </w:rPr>
                  <m:t>R</m:t>
                </m:r>
              </m:e>
            </m:sPre>
          </m:e>
          <m:sub>
            <m:r>
              <w:rPr>
                <w:rFonts w:ascii="Cambria Math" w:hAnsi="Cambria Math" w:eastAsiaTheme="minorHAnsi" w:cstheme="minorHAnsi"/>
                <w:szCs w:val="24"/>
              </w:rPr>
              <m:t>[t;t-1]</m:t>
            </m:r>
          </m:sub>
          <m:sup>
            <m:r>
              <w:rPr>
                <w:rFonts w:ascii="Cambria Math" w:hAnsi="Cambria Math" w:eastAsiaTheme="minorHAnsi" w:cstheme="minorHAnsi"/>
                <w:szCs w:val="24"/>
              </w:rPr>
              <m:t>L</m:t>
            </m:r>
          </m:sup>
        </m:sSubSup>
      </m:oMath>
      <w:r w:rsidRPr="008F58F5" w:rsidR="000A3F49">
        <w:rPr>
          <w:rFonts w:asciiTheme="minorHAnsi" w:hAnsiTheme="minorHAnsi" w:eastAsiaTheme="minorEastAsia" w:cstheme="minorHAnsi"/>
          <w:szCs w:val="24"/>
        </w:rPr>
        <w:t xml:space="preserve"> </w:t>
      </w:r>
      <w:r w:rsidRPr="008F58F5" w:rsidR="000A3F49">
        <w:rPr>
          <w:rFonts w:asciiTheme="minorHAnsi" w:hAnsiTheme="minorHAnsi" w:eastAsiaTheme="minorEastAsia" w:cstheme="minorHAnsi"/>
          <w:szCs w:val="24"/>
        </w:rPr>
        <w:tab/>
      </w:r>
      <w:r w:rsidRPr="008F58F5" w:rsidR="000A3F49">
        <w:rPr>
          <w:rFonts w:eastAsia="Times New Roman Uni"/>
          <w:szCs w:val="24"/>
        </w:rPr>
        <w:t xml:space="preserve">is the Laspeyres price relative for the item-area combination </w:t>
      </w:r>
      <w:r w:rsidRPr="008F58F5" w:rsidR="000A3F49">
        <w:rPr>
          <w:rFonts w:eastAsia="Times New Roman Uni"/>
          <w:i/>
          <w:szCs w:val="24"/>
        </w:rPr>
        <w:t>(i,a)</w:t>
      </w:r>
      <w:r w:rsidRPr="008F58F5" w:rsidR="000A3F49">
        <w:rPr>
          <w:rFonts w:eastAsia="Times New Roman Uni"/>
          <w:szCs w:val="24"/>
        </w:rPr>
        <w:t xml:space="preserve"> from the previous period </w:t>
      </w:r>
      <w:r w:rsidRPr="008F58F5" w:rsidR="000A3F49">
        <w:rPr>
          <w:rFonts w:eastAsia="Times New Roman Uni"/>
          <w:i/>
          <w:szCs w:val="24"/>
        </w:rPr>
        <w:t xml:space="preserve">(t-1) </w:t>
      </w:r>
      <w:r w:rsidRPr="008F58F5" w:rsidR="000A3F49">
        <w:rPr>
          <w:rFonts w:eastAsia="Times New Roman Uni"/>
          <w:szCs w:val="24"/>
        </w:rPr>
        <w:t xml:space="preserve">to the current period </w:t>
      </w:r>
      <w:r w:rsidRPr="008F58F5" w:rsidR="000A3F49">
        <w:rPr>
          <w:rFonts w:eastAsia="Times New Roman Uni"/>
          <w:i/>
          <w:szCs w:val="24"/>
        </w:rPr>
        <w:t>(t)</w:t>
      </w:r>
      <w:r w:rsidRPr="008F58F5" w:rsidR="000A3F49">
        <w:rPr>
          <w:rFonts w:eastAsia="Times New Roman Uni"/>
          <w:szCs w:val="24"/>
        </w:rPr>
        <w:t>;</w:t>
      </w:r>
    </w:p>
    <w:p w:rsidRPr="008F58F5" w:rsidR="000A3F49" w:rsidP="008F58F5" w:rsidRDefault="000A3F49" w14:paraId="1EBE137C" w14:textId="77777777">
      <w:pPr>
        <w:rPr>
          <w:rFonts w:asciiTheme="minorHAnsi" w:hAnsiTheme="minorHAnsi" w:eastAsiaTheme="minorEastAsia" w:cstheme="minorHAnsi"/>
          <w:szCs w:val="24"/>
        </w:rPr>
      </w:pPr>
    </w:p>
    <w:p w:rsidRPr="008F58F5" w:rsidR="000A3F49" w:rsidP="008F58F5" w:rsidRDefault="008C4472" w14:paraId="7CFE4925" w14:textId="77777777">
      <w:pPr>
        <w:ind w:left="2160" w:hanging="2160"/>
        <w:rPr>
          <w:rFonts w:asciiTheme="minorHAnsi" w:hAnsiTheme="minorHAnsi" w:eastAsiaTheme="minorEastAsia" w:cstheme="minorHAnsi"/>
          <w:szCs w:val="24"/>
        </w:rPr>
      </w:pPr>
      <m:oMath>
        <m:sSub>
          <m:sSubPr>
            <m:ctrlPr>
              <w:rPr>
                <w:rFonts w:ascii="Cambria Math" w:hAnsi="Cambria Math" w:eastAsiaTheme="minorEastAsia" w:cstheme="minorHAnsi"/>
                <w:i/>
                <w:szCs w:val="24"/>
              </w:rPr>
            </m:ctrlPr>
          </m:sSubPr>
          <m:e>
            <m:r>
              <w:rPr>
                <w:rFonts w:ascii="Cambria Math" w:hAnsi="Cambria Math" w:eastAsiaTheme="minorEastAsia" w:cstheme="minorHAnsi"/>
                <w:szCs w:val="24"/>
              </w:rPr>
              <m:t>P</m:t>
            </m:r>
          </m:e>
          <m:sub>
            <m:r>
              <w:rPr>
                <w:rFonts w:ascii="Cambria Math" w:hAnsi="Cambria Math" w:eastAsiaTheme="minorEastAsia" w:cstheme="minorHAnsi"/>
                <w:szCs w:val="24"/>
              </w:rPr>
              <m:t>j,t</m:t>
            </m:r>
          </m:sub>
        </m:sSub>
      </m:oMath>
      <w:r w:rsidRPr="008F58F5" w:rsidR="000A3F49">
        <w:rPr>
          <w:rFonts w:asciiTheme="minorHAnsi" w:hAnsiTheme="minorHAnsi" w:eastAsiaTheme="minorEastAsia" w:cstheme="minorHAnsi"/>
          <w:szCs w:val="24"/>
        </w:rPr>
        <w:tab/>
      </w:r>
      <w:r w:rsidRPr="008F58F5" w:rsidR="000A3F49">
        <w:rPr>
          <w:rFonts w:eastAsiaTheme="minorEastAsia"/>
          <w:szCs w:val="24"/>
        </w:rPr>
        <w:t xml:space="preserve">is the price of the an item, </w:t>
      </w:r>
      <w:r w:rsidRPr="008F58F5" w:rsidR="000A3F49">
        <w:rPr>
          <w:rFonts w:eastAsiaTheme="minorEastAsia"/>
          <w:i/>
          <w:szCs w:val="24"/>
        </w:rPr>
        <w:t>j</w:t>
      </w:r>
      <w:r w:rsidRPr="008F58F5" w:rsidR="000A3F49">
        <w:rPr>
          <w:rFonts w:eastAsiaTheme="minorEastAsia"/>
          <w:szCs w:val="24"/>
        </w:rPr>
        <w:t xml:space="preserve">, which is a member of item stratum </w:t>
      </w:r>
      <w:r w:rsidRPr="008F58F5" w:rsidR="000A3F49">
        <w:rPr>
          <w:rFonts w:eastAsiaTheme="minorEastAsia"/>
          <w:i/>
          <w:szCs w:val="24"/>
        </w:rPr>
        <w:t>i</w:t>
      </w:r>
      <w:r w:rsidRPr="008F58F5" w:rsidR="000A3F49">
        <w:rPr>
          <w:rFonts w:eastAsiaTheme="minorEastAsia"/>
          <w:szCs w:val="24"/>
        </w:rPr>
        <w:t xml:space="preserve">, for which a price quote is being collected in area a, observed in period </w:t>
      </w:r>
      <w:r w:rsidRPr="008F58F5" w:rsidR="000A3F49">
        <w:rPr>
          <w:rFonts w:eastAsiaTheme="minorEastAsia"/>
          <w:i/>
          <w:szCs w:val="24"/>
        </w:rPr>
        <w:t>t</w:t>
      </w:r>
      <w:r w:rsidRPr="008F58F5" w:rsidR="000A3F49">
        <w:rPr>
          <w:rFonts w:eastAsiaTheme="minorEastAsia"/>
          <w:szCs w:val="24"/>
        </w:rPr>
        <w:t>;</w:t>
      </w:r>
    </w:p>
    <w:p w:rsidRPr="008F58F5" w:rsidR="000A3F49" w:rsidP="008F58F5" w:rsidRDefault="000A3F49" w14:paraId="42490D1F" w14:textId="77777777">
      <w:pPr>
        <w:ind w:left="2160" w:hanging="2160"/>
        <w:rPr>
          <w:rFonts w:asciiTheme="minorHAnsi" w:hAnsiTheme="minorHAnsi" w:eastAsiaTheme="minorEastAsia" w:cstheme="minorHAnsi"/>
          <w:szCs w:val="24"/>
        </w:rPr>
      </w:pPr>
    </w:p>
    <w:p w:rsidRPr="008F58F5" w:rsidR="000A3F49" w:rsidP="008F58F5" w:rsidRDefault="008C4472" w14:paraId="078941B2" w14:textId="77777777">
      <w:pPr>
        <w:ind w:left="2160" w:hanging="2160"/>
        <w:rPr>
          <w:rFonts w:asciiTheme="minorHAnsi" w:hAnsiTheme="minorHAnsi" w:eastAsiaTheme="minorEastAsia" w:cstheme="minorHAnsi"/>
          <w:szCs w:val="24"/>
        </w:rPr>
      </w:pPr>
      <m:oMath>
        <m:sSub>
          <m:sSubPr>
            <m:ctrlPr>
              <w:rPr>
                <w:rFonts w:ascii="Cambria Math" w:hAnsi="Cambria Math" w:eastAsiaTheme="minorEastAsia" w:cstheme="minorHAnsi"/>
                <w:i/>
                <w:szCs w:val="24"/>
              </w:rPr>
            </m:ctrlPr>
          </m:sSubPr>
          <m:e>
            <m:r>
              <w:rPr>
                <w:rFonts w:ascii="Cambria Math" w:hAnsi="Cambria Math" w:eastAsiaTheme="minorEastAsia" w:cstheme="minorHAnsi"/>
                <w:szCs w:val="24"/>
              </w:rPr>
              <m:t>P</m:t>
            </m:r>
          </m:e>
          <m:sub>
            <m:r>
              <w:rPr>
                <w:rFonts w:ascii="Cambria Math" w:hAnsi="Cambria Math" w:eastAsiaTheme="minorEastAsia" w:cstheme="minorHAnsi"/>
                <w:szCs w:val="24"/>
              </w:rPr>
              <m:t>j,t-1</m:t>
            </m:r>
          </m:sub>
        </m:sSub>
      </m:oMath>
      <w:r w:rsidRPr="008F58F5" w:rsidR="000A3F49">
        <w:rPr>
          <w:rFonts w:asciiTheme="minorHAnsi" w:hAnsiTheme="minorHAnsi" w:eastAsiaTheme="minorEastAsia" w:cstheme="minorHAnsi"/>
          <w:szCs w:val="24"/>
        </w:rPr>
        <w:tab/>
      </w:r>
      <w:r w:rsidRPr="008F58F5" w:rsidR="000A3F49">
        <w:rPr>
          <w:rFonts w:eastAsiaTheme="minorEastAsia"/>
          <w:szCs w:val="24"/>
        </w:rPr>
        <w:t xml:space="preserve">is the price of the same item </w:t>
      </w:r>
      <w:r w:rsidRPr="008F58F5" w:rsidR="000A3F49">
        <w:rPr>
          <w:rFonts w:eastAsiaTheme="minorEastAsia"/>
          <w:i/>
          <w:szCs w:val="24"/>
        </w:rPr>
        <w:t>j</w:t>
      </w:r>
      <w:r w:rsidRPr="008F58F5" w:rsidR="000A3F49">
        <w:rPr>
          <w:rFonts w:eastAsiaTheme="minorEastAsia"/>
          <w:szCs w:val="24"/>
        </w:rPr>
        <w:t xml:space="preserve"> in period </w:t>
      </w:r>
      <w:r w:rsidRPr="008F58F5" w:rsidR="000A3F49">
        <w:rPr>
          <w:rFonts w:eastAsiaTheme="minorEastAsia"/>
          <w:i/>
          <w:szCs w:val="24"/>
        </w:rPr>
        <w:t>t-1</w:t>
      </w:r>
      <w:r w:rsidRPr="008F58F5" w:rsidR="000A3F49">
        <w:rPr>
          <w:rFonts w:eastAsiaTheme="minorEastAsia"/>
          <w:szCs w:val="24"/>
        </w:rPr>
        <w:t>;</w:t>
      </w:r>
    </w:p>
    <w:p w:rsidRPr="008F58F5" w:rsidR="000A3F49" w:rsidP="008F58F5" w:rsidRDefault="000A3F49" w14:paraId="37A9FE90" w14:textId="77777777">
      <w:pPr>
        <w:ind w:left="2160" w:hanging="2160"/>
        <w:rPr>
          <w:rFonts w:asciiTheme="minorHAnsi" w:hAnsiTheme="minorHAnsi" w:eastAsiaTheme="minorEastAsia" w:cstheme="minorHAnsi"/>
          <w:szCs w:val="24"/>
        </w:rPr>
      </w:pPr>
    </w:p>
    <w:p w:rsidRPr="008F58F5" w:rsidR="000A3F49" w:rsidP="008F58F5" w:rsidRDefault="008C4472" w14:paraId="0F97BD4C" w14:textId="77777777">
      <w:pPr>
        <w:ind w:left="2160" w:hanging="2160"/>
        <w:rPr>
          <w:rFonts w:asciiTheme="minorHAnsi" w:hAnsiTheme="minorHAnsi" w:eastAsiaTheme="minorEastAsia" w:cstheme="minorHAnsi"/>
          <w:szCs w:val="24"/>
        </w:rPr>
      </w:pPr>
      <m:oMath>
        <m:sSub>
          <m:sSubPr>
            <m:ctrlPr>
              <w:rPr>
                <w:rFonts w:ascii="Cambria Math" w:hAnsi="Cambria Math" w:eastAsiaTheme="minorEastAsia" w:cstheme="minorHAnsi"/>
                <w:i/>
                <w:szCs w:val="24"/>
              </w:rPr>
            </m:ctrlPr>
          </m:sSubPr>
          <m:e>
            <m:r>
              <w:rPr>
                <w:rFonts w:ascii="Cambria Math" w:hAnsi="Cambria Math" w:eastAsiaTheme="minorEastAsia" w:cstheme="minorHAnsi"/>
                <w:szCs w:val="24"/>
              </w:rPr>
              <m:t>P</m:t>
            </m:r>
          </m:e>
          <m:sub>
            <m:r>
              <w:rPr>
                <w:rFonts w:ascii="Cambria Math" w:hAnsi="Cambria Math" w:eastAsiaTheme="minorEastAsia" w:cstheme="minorHAnsi"/>
                <w:szCs w:val="24"/>
              </w:rPr>
              <m:t>j,b</m:t>
            </m:r>
          </m:sub>
        </m:sSub>
      </m:oMath>
      <w:r w:rsidRPr="008F58F5" w:rsidR="000A3F49">
        <w:rPr>
          <w:rFonts w:asciiTheme="minorHAnsi" w:hAnsiTheme="minorHAnsi" w:eastAsiaTheme="minorEastAsia" w:cstheme="minorHAnsi"/>
          <w:szCs w:val="24"/>
        </w:rPr>
        <w:tab/>
      </w:r>
      <w:r w:rsidRPr="008F58F5" w:rsidR="000A3F49">
        <w:rPr>
          <w:rFonts w:eastAsiaTheme="minorEastAsia"/>
          <w:szCs w:val="24"/>
        </w:rPr>
        <w:t xml:space="preserve">is an estimate of the item </w:t>
      </w:r>
      <w:r w:rsidRPr="008F58F5" w:rsidR="000A3F49">
        <w:rPr>
          <w:rFonts w:eastAsiaTheme="minorEastAsia"/>
          <w:i/>
          <w:szCs w:val="24"/>
        </w:rPr>
        <w:t>j</w:t>
      </w:r>
      <w:r w:rsidRPr="008F58F5" w:rsidR="000A3F49">
        <w:rPr>
          <w:rFonts w:eastAsiaTheme="minorEastAsia"/>
          <w:szCs w:val="24"/>
        </w:rPr>
        <w:t>’s price in the base period; and</w:t>
      </w:r>
    </w:p>
    <w:p w:rsidRPr="008F58F5" w:rsidR="000A3F49" w:rsidP="008F58F5" w:rsidRDefault="000A3F49" w14:paraId="4B45BE10" w14:textId="77777777">
      <w:pPr>
        <w:ind w:left="2160" w:hanging="2160"/>
        <w:rPr>
          <w:rFonts w:asciiTheme="minorHAnsi" w:hAnsiTheme="minorHAnsi" w:eastAsiaTheme="minorEastAsia" w:cstheme="minorHAnsi"/>
          <w:szCs w:val="24"/>
        </w:rPr>
      </w:pPr>
    </w:p>
    <w:p w:rsidRPr="008F58F5" w:rsidR="000A3F49" w:rsidP="008F58F5" w:rsidRDefault="008C4472" w14:paraId="4D994128" w14:textId="77777777">
      <w:pPr>
        <w:ind w:left="2160" w:hanging="2160"/>
        <w:rPr>
          <w:rFonts w:asciiTheme="minorHAnsi" w:hAnsiTheme="minorHAnsi" w:eastAsiaTheme="minorEastAsia" w:cstheme="minorHAnsi"/>
          <w:szCs w:val="24"/>
        </w:rPr>
      </w:pPr>
      <m:oMath>
        <m:sSub>
          <m:sSubPr>
            <m:ctrlPr>
              <w:rPr>
                <w:rFonts w:ascii="Cambria Math" w:hAnsi="Cambria Math" w:eastAsiaTheme="minorEastAsia" w:cstheme="minorHAnsi"/>
                <w:i/>
                <w:szCs w:val="24"/>
              </w:rPr>
            </m:ctrlPr>
          </m:sSubPr>
          <m:e>
            <m:r>
              <w:rPr>
                <w:rFonts w:ascii="Cambria Math" w:hAnsi="Cambria Math" w:eastAsiaTheme="minorEastAsia" w:cstheme="minorHAnsi"/>
                <w:szCs w:val="24"/>
              </w:rPr>
              <m:t>W</m:t>
            </m:r>
          </m:e>
          <m:sub>
            <m:r>
              <w:rPr>
                <w:rFonts w:ascii="Cambria Math" w:hAnsi="Cambria Math" w:eastAsiaTheme="minorEastAsia" w:cstheme="minorHAnsi"/>
                <w:szCs w:val="24"/>
              </w:rPr>
              <m:t>j,b</m:t>
            </m:r>
          </m:sub>
        </m:sSub>
      </m:oMath>
      <w:r w:rsidRPr="008F58F5" w:rsidR="000A3F49">
        <w:rPr>
          <w:rFonts w:asciiTheme="minorHAnsi" w:hAnsiTheme="minorHAnsi" w:eastAsiaTheme="minorEastAsia" w:cstheme="minorHAnsi"/>
          <w:szCs w:val="24"/>
        </w:rPr>
        <w:tab/>
      </w:r>
      <w:r w:rsidRPr="008F58F5" w:rsidR="000A3F49">
        <w:rPr>
          <w:rFonts w:eastAsiaTheme="minorEastAsia"/>
          <w:szCs w:val="24"/>
        </w:rPr>
        <w:t xml:space="preserve">is item </w:t>
      </w:r>
      <w:r w:rsidRPr="008F58F5" w:rsidR="000A3F49">
        <w:rPr>
          <w:rFonts w:eastAsiaTheme="minorEastAsia"/>
          <w:i/>
          <w:szCs w:val="24"/>
        </w:rPr>
        <w:t>j</w:t>
      </w:r>
      <w:r w:rsidRPr="008F58F5" w:rsidR="000A3F49">
        <w:rPr>
          <w:rFonts w:eastAsiaTheme="minorEastAsia"/>
          <w:szCs w:val="24"/>
        </w:rPr>
        <w:t>’s weight in the base period.</w:t>
      </w:r>
    </w:p>
    <w:p w:rsidRPr="008F58F5" w:rsidR="000A3F49" w:rsidP="008F58F5" w:rsidRDefault="000A3F49" w14:paraId="0B65711A" w14:textId="77777777">
      <w:pPr>
        <w:ind w:left="2160" w:hanging="2160"/>
        <w:rPr>
          <w:rFonts w:asciiTheme="minorHAnsi" w:hAnsiTheme="minorHAnsi" w:eastAsiaTheme="minorEastAsia" w:cstheme="minorHAnsi"/>
          <w:szCs w:val="24"/>
        </w:rPr>
      </w:pPr>
    </w:p>
    <w:p w:rsidRPr="008F58F5" w:rsidR="000A3F49" w:rsidP="00105603" w:rsidRDefault="000A3F49" w14:paraId="4DB0B68E" w14:textId="77777777">
      <w:pPr>
        <w:spacing w:line="240" w:lineRule="exact"/>
        <w:rPr>
          <w:rFonts w:eastAsiaTheme="minorEastAsia"/>
          <w:szCs w:val="24"/>
        </w:rPr>
      </w:pPr>
      <w:r w:rsidRPr="008F58F5">
        <w:rPr>
          <w:rFonts w:eastAsiaTheme="minorEastAsia"/>
          <w:szCs w:val="24"/>
        </w:rPr>
        <w:t xml:space="preserve">The product and sums in the formulas presented above are taken over all price quotes which are usable for estimation in the item-area combination </w:t>
      </w:r>
      <w:r w:rsidRPr="008F58F5">
        <w:rPr>
          <w:rFonts w:eastAsiaTheme="minorEastAsia"/>
          <w:i/>
          <w:szCs w:val="24"/>
        </w:rPr>
        <w:t>(i,a)</w:t>
      </w:r>
      <w:r w:rsidRPr="008F58F5">
        <w:rPr>
          <w:rFonts w:eastAsiaTheme="minorEastAsia"/>
          <w:szCs w:val="24"/>
        </w:rPr>
        <w:t>. It is important that the price of each quote be collected (or estimated) in both periods in order to measure price change.</w:t>
      </w:r>
    </w:p>
    <w:p w:rsidRPr="008F58F5" w:rsidR="000A3F49" w:rsidP="008F58F5" w:rsidRDefault="000A3F49" w14:paraId="0F5843B3" w14:textId="77777777">
      <w:pPr>
        <w:rPr>
          <w:rFonts w:asciiTheme="minorHAnsi" w:hAnsiTheme="minorHAnsi" w:eastAsiaTheme="minorEastAsia" w:cstheme="minorHAnsi"/>
          <w:szCs w:val="24"/>
        </w:rPr>
      </w:pPr>
    </w:p>
    <w:p w:rsidR="000A3F49" w:rsidP="003D7B1A" w:rsidRDefault="000A3F49" w14:paraId="17E23296" w14:textId="77777777">
      <w:pPr>
        <w:autoSpaceDE w:val="0"/>
        <w:autoSpaceDN w:val="0"/>
        <w:adjustRightInd w:val="0"/>
        <w:rPr>
          <w:color w:val="231F20"/>
          <w:szCs w:val="24"/>
        </w:rPr>
      </w:pPr>
      <w:r w:rsidRPr="00356A3D">
        <w:rPr>
          <w:bCs/>
          <w:iCs/>
          <w:color w:val="231F20"/>
          <w:szCs w:val="24"/>
          <w:u w:val="single"/>
        </w:rPr>
        <w:t>Quote weights</w:t>
      </w:r>
      <w:r w:rsidRPr="00356A3D">
        <w:rPr>
          <w:bCs/>
          <w:iCs/>
          <w:color w:val="231F20"/>
          <w:szCs w:val="24"/>
        </w:rPr>
        <w:t xml:space="preserve">. </w:t>
      </w:r>
    </w:p>
    <w:p w:rsidR="000A3F49" w:rsidP="003D7B1A" w:rsidRDefault="000A3F49" w14:paraId="5BBB52DF" w14:textId="77777777">
      <w:pPr>
        <w:autoSpaceDE w:val="0"/>
        <w:autoSpaceDN w:val="0"/>
        <w:adjustRightInd w:val="0"/>
        <w:rPr>
          <w:color w:val="231F20"/>
          <w:szCs w:val="24"/>
        </w:rPr>
      </w:pPr>
    </w:p>
    <w:p w:rsidRPr="00290A57" w:rsidR="000A3F49" w:rsidP="00105603" w:rsidRDefault="000A3F49" w14:paraId="089DBE0B" w14:textId="77777777">
      <w:pPr>
        <w:spacing w:line="240" w:lineRule="exact"/>
        <w:rPr>
          <w:rFonts w:eastAsiaTheme="minorEastAsia"/>
          <w:szCs w:val="24"/>
        </w:rPr>
      </w:pPr>
      <w:r w:rsidRPr="00290A57">
        <w:rPr>
          <w:rFonts w:eastAsiaTheme="minorEastAsia"/>
          <w:szCs w:val="24"/>
        </w:rPr>
        <w:t xml:space="preserve">For each individual quote, the weight, or </w:t>
      </w:r>
      <w:r w:rsidRPr="00290A57">
        <w:rPr>
          <w:rFonts w:eastAsiaTheme="minorHAnsi"/>
          <w:szCs w:val="22"/>
        </w:rPr>
        <w:t>each quote’s share of the average daily expenditure on the ELI in the PSU, is given by</w:t>
      </w:r>
      <w:r w:rsidRPr="00290A57">
        <w:rPr>
          <w:rFonts w:eastAsiaTheme="minorEastAsia"/>
          <w:szCs w:val="24"/>
        </w:rPr>
        <w:t xml:space="preserve"> </w:t>
      </w:r>
      <m:oMath>
        <m:sSub>
          <m:sSubPr>
            <m:ctrlPr>
              <w:rPr>
                <w:rFonts w:ascii="Cambria Math" w:hAnsi="Cambria Math" w:eastAsiaTheme="minorEastAsia"/>
                <w:i/>
                <w:szCs w:val="24"/>
              </w:rPr>
            </m:ctrlPr>
          </m:sSubPr>
          <m:e>
            <m:r>
              <w:rPr>
                <w:rFonts w:ascii="Cambria Math" w:hAnsi="Cambria Math" w:eastAsiaTheme="minorEastAsia"/>
                <w:szCs w:val="24"/>
              </w:rPr>
              <m:t>W</m:t>
            </m:r>
          </m:e>
          <m:sub>
            <m:r>
              <w:rPr>
                <w:rFonts w:ascii="Cambria Math" w:hAnsi="Cambria Math" w:eastAsiaTheme="minorEastAsia"/>
                <w:szCs w:val="24"/>
              </w:rPr>
              <m:t>j,b,</m:t>
            </m:r>
          </m:sub>
        </m:sSub>
      </m:oMath>
      <w:r w:rsidRPr="00290A57">
        <w:rPr>
          <w:rFonts w:eastAsiaTheme="minorEastAsia"/>
          <w:szCs w:val="24"/>
        </w:rPr>
        <w:t>which is computed as</w:t>
      </w:r>
    </w:p>
    <w:p w:rsidRPr="00290A57" w:rsidR="000A3F49" w:rsidP="00290A57" w:rsidRDefault="000A3F49" w14:paraId="26904E64" w14:textId="77777777">
      <w:pPr>
        <w:rPr>
          <w:rFonts w:eastAsiaTheme="minorEastAsia"/>
          <w:szCs w:val="24"/>
        </w:rPr>
      </w:pPr>
    </w:p>
    <w:p w:rsidRPr="00290A57" w:rsidR="000A3F49" w:rsidP="00290A57" w:rsidRDefault="008C4472" w14:paraId="091C141E" w14:textId="77777777">
      <w:pPr>
        <w:jc w:val="center"/>
        <w:rPr>
          <w:rFonts w:asciiTheme="minorHAnsi" w:hAnsiTheme="minorHAnsi" w:eastAsiaTheme="minorEastAsia" w:cstheme="minorHAnsi"/>
          <w:szCs w:val="24"/>
        </w:rPr>
      </w:pPr>
      <m:oMathPara>
        <m:oMath>
          <m:sSub>
            <m:sSubPr>
              <m:ctrlPr>
                <w:rPr>
                  <w:rFonts w:ascii="Cambria Math" w:hAnsi="Cambria Math" w:eastAsiaTheme="minorEastAsia" w:cstheme="minorHAnsi"/>
                  <w:i/>
                  <w:szCs w:val="24"/>
                </w:rPr>
              </m:ctrlPr>
            </m:sSubPr>
            <m:e>
              <m:r>
                <w:rPr>
                  <w:rFonts w:ascii="Cambria Math" w:hAnsi="Cambria Math" w:eastAsiaTheme="minorEastAsia" w:cstheme="minorHAnsi"/>
                  <w:szCs w:val="24"/>
                </w:rPr>
                <m:t>W</m:t>
              </m:r>
            </m:e>
            <m:sub>
              <m:r>
                <w:rPr>
                  <w:rFonts w:ascii="Cambria Math" w:hAnsi="Cambria Math" w:eastAsiaTheme="minorEastAsia" w:cstheme="minorHAnsi"/>
                  <w:szCs w:val="24"/>
                </w:rPr>
                <m:t>j,b</m:t>
              </m:r>
            </m:sub>
          </m:sSub>
          <m:r>
            <w:rPr>
              <w:rFonts w:ascii="Cambria Math" w:hAnsi="Cambria Math" w:eastAsiaTheme="minorEastAsia" w:cstheme="minorHAnsi"/>
              <w:szCs w:val="24"/>
            </w:rPr>
            <m:t>=</m:t>
          </m:r>
          <m:f>
            <m:fPr>
              <m:ctrlPr>
                <w:rPr>
                  <w:rFonts w:ascii="Cambria Math" w:hAnsi="Cambria Math" w:eastAsiaTheme="minorEastAsia" w:cstheme="minorHAnsi"/>
                  <w:i/>
                  <w:szCs w:val="24"/>
                </w:rPr>
              </m:ctrlPr>
            </m:fPr>
            <m:num>
              <m:r>
                <w:rPr>
                  <w:rFonts w:ascii="Cambria Math" w:hAnsi="Cambria Math" w:eastAsiaTheme="minorEastAsia" w:cstheme="minorHAnsi"/>
                  <w:szCs w:val="24"/>
                </w:rPr>
                <m:t>AEfgη</m:t>
              </m:r>
            </m:num>
            <m:den>
              <m:r>
                <w:rPr>
                  <w:rFonts w:ascii="Cambria Math" w:hAnsi="Cambria Math" w:eastAsiaTheme="minorEastAsia" w:cstheme="minorHAnsi"/>
                  <w:szCs w:val="24"/>
                </w:rPr>
                <m:t>BN</m:t>
              </m:r>
            </m:den>
          </m:f>
        </m:oMath>
      </m:oMathPara>
    </w:p>
    <w:p w:rsidRPr="00290A57" w:rsidR="000A3F49" w:rsidP="00290A57" w:rsidRDefault="000A3F49" w14:paraId="153C88CF" w14:textId="77777777">
      <w:pPr>
        <w:rPr>
          <w:rFonts w:eastAsiaTheme="minorEastAsia"/>
          <w:szCs w:val="24"/>
        </w:rPr>
      </w:pPr>
      <w:r w:rsidRPr="00290A57">
        <w:rPr>
          <w:rFonts w:eastAsiaTheme="minorEastAsia"/>
          <w:szCs w:val="24"/>
        </w:rPr>
        <w:t>where</w:t>
      </w:r>
    </w:p>
    <w:p w:rsidRPr="00290A57" w:rsidR="000A3F49" w:rsidP="00290A57" w:rsidRDefault="000A3F49" w14:paraId="4E5932BB" w14:textId="77777777">
      <w:pPr>
        <w:rPr>
          <w:rFonts w:eastAsiaTheme="minorEastAsia"/>
          <w:szCs w:val="24"/>
        </w:rPr>
      </w:pPr>
    </w:p>
    <w:p w:rsidRPr="00290A57" w:rsidR="000A3F49" w:rsidP="00290A57" w:rsidRDefault="000A3F49" w14:paraId="4EFC1F5A" w14:textId="77777777">
      <w:pPr>
        <w:ind w:left="2160" w:hanging="2160"/>
        <w:rPr>
          <w:rFonts w:eastAsiaTheme="minorEastAsia"/>
          <w:szCs w:val="24"/>
        </w:rPr>
      </w:pPr>
      <m:oMath>
        <m:r>
          <w:rPr>
            <w:rFonts w:ascii="Cambria Math" w:hAnsi="Cambria Math" w:eastAsiaTheme="minorEastAsia"/>
            <w:szCs w:val="24"/>
          </w:rPr>
          <m:t>A</m:t>
        </m:r>
      </m:oMath>
      <w:r w:rsidRPr="00290A57">
        <w:rPr>
          <w:rFonts w:eastAsiaTheme="minorEastAsia"/>
          <w:szCs w:val="24"/>
        </w:rPr>
        <w:tab/>
        <w:t>is</w:t>
      </w:r>
      <w:r w:rsidRPr="00290A57">
        <w:rPr>
          <w:rFonts w:eastAsiaTheme="minorHAnsi"/>
          <w:szCs w:val="22"/>
        </w:rPr>
        <w:t xml:space="preserve"> defined as the proportion of CE expenditures for the ELI relative to the entire item category within the Census region</w:t>
      </w:r>
      <w:r w:rsidRPr="00290A57">
        <w:rPr>
          <w:rFonts w:eastAsiaTheme="minorEastAsia"/>
          <w:szCs w:val="24"/>
        </w:rPr>
        <w:t>;</w:t>
      </w:r>
    </w:p>
    <w:p w:rsidRPr="00290A57" w:rsidR="000A3F49" w:rsidP="00290A57" w:rsidRDefault="000A3F49" w14:paraId="394B9D5B" w14:textId="77777777">
      <w:pPr>
        <w:ind w:left="2160" w:hanging="2160"/>
        <w:rPr>
          <w:rFonts w:eastAsiaTheme="minorEastAsia"/>
          <w:szCs w:val="24"/>
        </w:rPr>
      </w:pPr>
    </w:p>
    <w:p w:rsidRPr="00290A57" w:rsidR="000A3F49" w:rsidP="00105603" w:rsidRDefault="000A3F49" w14:paraId="24E087D9" w14:textId="77777777">
      <w:pPr>
        <w:spacing w:line="240" w:lineRule="exact"/>
        <w:ind w:left="2160" w:hanging="2160"/>
        <w:rPr>
          <w:rFonts w:eastAsiaTheme="minorEastAsia"/>
          <w:szCs w:val="24"/>
        </w:rPr>
      </w:pPr>
      <m:oMath>
        <m:r>
          <w:rPr>
            <w:rFonts w:ascii="Cambria Math" w:hAnsi="Cambria Math" w:eastAsiaTheme="minorEastAsia"/>
            <w:szCs w:val="24"/>
          </w:rPr>
          <m:t>E</m:t>
        </m:r>
      </m:oMath>
      <w:r w:rsidRPr="00290A57">
        <w:rPr>
          <w:rFonts w:eastAsiaTheme="minorEastAsia"/>
          <w:szCs w:val="24"/>
        </w:rPr>
        <w:tab/>
        <w:t>is an estimate of the total daily expenditure for the item category in the PSU by people in the CPI-U population (called the basic weight);</w:t>
      </w:r>
    </w:p>
    <w:p w:rsidRPr="00290A57" w:rsidR="000A3F49" w:rsidP="00105603" w:rsidRDefault="000A3F49" w14:paraId="54C856DD" w14:textId="77777777">
      <w:pPr>
        <w:spacing w:line="240" w:lineRule="exact"/>
        <w:ind w:left="2160" w:hanging="2160"/>
        <w:rPr>
          <w:rFonts w:eastAsiaTheme="minorEastAsia"/>
          <w:szCs w:val="24"/>
        </w:rPr>
      </w:pPr>
    </w:p>
    <w:p w:rsidRPr="00290A57" w:rsidR="000A3F49" w:rsidP="00105603" w:rsidRDefault="000A3F49" w14:paraId="24B93D9E" w14:textId="77777777">
      <w:pPr>
        <w:spacing w:line="240" w:lineRule="exact"/>
        <w:ind w:left="2160" w:hanging="2160"/>
        <w:rPr>
          <w:rFonts w:eastAsiaTheme="minorEastAsia"/>
          <w:szCs w:val="24"/>
        </w:rPr>
      </w:pPr>
      <m:oMath>
        <m:r>
          <w:rPr>
            <w:rFonts w:ascii="Cambria Math" w:hAnsi="Cambria Math" w:eastAsiaTheme="minorEastAsia"/>
            <w:szCs w:val="24"/>
          </w:rPr>
          <m:t>f</m:t>
        </m:r>
      </m:oMath>
      <w:r w:rsidRPr="00290A57">
        <w:rPr>
          <w:rFonts w:eastAsiaTheme="minorEastAsia"/>
          <w:szCs w:val="24"/>
        </w:rPr>
        <w:tab/>
        <w:t>is a duplication factor that accounts for any special subsampling of outlets and quotes;</w:t>
      </w:r>
    </w:p>
    <w:p w:rsidRPr="00290A57" w:rsidR="000A3F49" w:rsidP="00105603" w:rsidRDefault="000A3F49" w14:paraId="717DAE5D" w14:textId="77777777">
      <w:pPr>
        <w:spacing w:line="240" w:lineRule="exact"/>
        <w:ind w:left="2160" w:hanging="2160"/>
        <w:rPr>
          <w:rFonts w:eastAsiaTheme="minorEastAsia"/>
          <w:szCs w:val="24"/>
        </w:rPr>
      </w:pPr>
    </w:p>
    <w:p w:rsidRPr="00290A57" w:rsidR="000A3F49" w:rsidP="00105603" w:rsidRDefault="000A3F49" w14:paraId="7D970910" w14:textId="77777777">
      <w:pPr>
        <w:spacing w:line="240" w:lineRule="exact"/>
        <w:ind w:left="2160" w:hanging="2160"/>
        <w:rPr>
          <w:rFonts w:eastAsiaTheme="minorEastAsia"/>
          <w:szCs w:val="24"/>
        </w:rPr>
      </w:pPr>
      <m:oMath>
        <m:r>
          <w:rPr>
            <w:rFonts w:ascii="Cambria Math" w:hAnsi="Cambria Math" w:eastAsiaTheme="minorEastAsia"/>
            <w:szCs w:val="24"/>
          </w:rPr>
          <m:t>g</m:t>
        </m:r>
      </m:oMath>
      <w:r w:rsidRPr="00290A57">
        <w:rPr>
          <w:rFonts w:eastAsiaTheme="minorEastAsia"/>
          <w:szCs w:val="24"/>
        </w:rPr>
        <w:tab/>
        <w:t>is a geographic factor used to account for differences in the index area’s coverage when the CPI is changing its area design;</w:t>
      </w:r>
    </w:p>
    <w:p w:rsidRPr="00290A57" w:rsidR="000A3F49" w:rsidP="00105603" w:rsidRDefault="000A3F49" w14:paraId="26439E94" w14:textId="77777777">
      <w:pPr>
        <w:spacing w:line="240" w:lineRule="exact"/>
        <w:ind w:left="2160" w:hanging="2160"/>
        <w:rPr>
          <w:rFonts w:eastAsiaTheme="minorEastAsia"/>
          <w:szCs w:val="24"/>
        </w:rPr>
      </w:pPr>
    </w:p>
    <w:p w:rsidRPr="00290A57" w:rsidR="000A3F49" w:rsidP="00105603" w:rsidRDefault="000A3F49" w14:paraId="0B275FAC" w14:textId="77777777">
      <w:pPr>
        <w:spacing w:line="240" w:lineRule="exact"/>
        <w:ind w:left="2160" w:hanging="2160"/>
        <w:rPr>
          <w:rFonts w:eastAsiaTheme="minorEastAsia"/>
          <w:szCs w:val="24"/>
        </w:rPr>
      </w:pPr>
      <m:oMath>
        <m:r>
          <w:rPr>
            <w:rFonts w:ascii="Cambria Math" w:hAnsi="Cambria Math" w:eastAsiaTheme="minorEastAsia"/>
            <w:szCs w:val="24"/>
          </w:rPr>
          <m:t>N</m:t>
        </m:r>
      </m:oMath>
      <w:r w:rsidRPr="00290A57">
        <w:rPr>
          <w:rFonts w:eastAsiaTheme="minorEastAsia"/>
          <w:szCs w:val="24"/>
        </w:rPr>
        <w:tab/>
        <w:t>is the number of quotes planned for collection in the item stratum-PSU, which is also the sum of duplication factors for all sampled quotes in the item stratum-PSU;</w:t>
      </w:r>
    </w:p>
    <w:p w:rsidRPr="00290A57" w:rsidR="000A3F49" w:rsidP="00105603" w:rsidRDefault="000A3F49" w14:paraId="008DFD0A" w14:textId="77777777">
      <w:pPr>
        <w:spacing w:line="240" w:lineRule="exact"/>
        <w:ind w:left="2160" w:hanging="2160"/>
        <w:rPr>
          <w:rFonts w:eastAsiaTheme="minorEastAsia"/>
          <w:szCs w:val="24"/>
        </w:rPr>
      </w:pPr>
    </w:p>
    <w:p w:rsidRPr="00290A57" w:rsidR="000A3F49" w:rsidP="00105603" w:rsidRDefault="000A3F49" w14:paraId="62311AE8" w14:textId="77777777">
      <w:pPr>
        <w:spacing w:line="240" w:lineRule="exact"/>
        <w:ind w:left="2160" w:hanging="2160"/>
        <w:rPr>
          <w:rFonts w:eastAsiaTheme="minorEastAsia"/>
          <w:szCs w:val="24"/>
        </w:rPr>
      </w:pPr>
      <m:oMath>
        <m:r>
          <w:rPr>
            <w:rFonts w:ascii="Cambria Math" w:hAnsi="Cambria Math" w:eastAsiaTheme="minorEastAsia"/>
            <w:szCs w:val="24"/>
          </w:rPr>
          <m:t>B</m:t>
        </m:r>
      </m:oMath>
      <w:r w:rsidRPr="00290A57">
        <w:rPr>
          <w:rFonts w:eastAsiaTheme="minorEastAsia"/>
          <w:szCs w:val="24"/>
        </w:rPr>
        <w:tab/>
        <w:t>is the proportion of CE expenditures for the ELI relative to the item stratum within the region; and</w:t>
      </w:r>
    </w:p>
    <w:p w:rsidRPr="00290A57" w:rsidR="000A3F49" w:rsidP="00105603" w:rsidRDefault="000A3F49" w14:paraId="10E231EB" w14:textId="77777777">
      <w:pPr>
        <w:spacing w:line="240" w:lineRule="exact"/>
        <w:ind w:left="2160" w:hanging="2160"/>
        <w:rPr>
          <w:rFonts w:eastAsiaTheme="minorEastAsia"/>
          <w:szCs w:val="24"/>
        </w:rPr>
      </w:pPr>
    </w:p>
    <w:p w:rsidRPr="00290A57" w:rsidR="000A3F49" w:rsidP="00105603" w:rsidRDefault="000A3F49" w14:paraId="50A1B812" w14:textId="77777777">
      <w:pPr>
        <w:spacing w:line="240" w:lineRule="exact"/>
        <w:ind w:left="2160" w:hanging="2160"/>
        <w:rPr>
          <w:rFonts w:eastAsiaTheme="minorEastAsia"/>
          <w:szCs w:val="24"/>
        </w:rPr>
      </w:pPr>
      <m:oMath>
        <m:r>
          <w:rPr>
            <w:rFonts w:ascii="Cambria Math" w:hAnsi="Cambria Math" w:eastAsiaTheme="minorEastAsia"/>
            <w:szCs w:val="24"/>
          </w:rPr>
          <m:t>η</m:t>
        </m:r>
      </m:oMath>
      <w:r w:rsidRPr="00290A57">
        <w:rPr>
          <w:rFonts w:eastAsiaTheme="minorEastAsia"/>
          <w:szCs w:val="24"/>
        </w:rPr>
        <w:tab/>
        <w:t xml:space="preserve">is a nonresponse adjustment factor calculated as the quantity </w:t>
      </w:r>
      <m:oMath>
        <m:r>
          <w:rPr>
            <w:rFonts w:ascii="Cambria Math" w:hAnsi="Cambria Math" w:eastAsiaTheme="minorEastAsia"/>
            <w:szCs w:val="24"/>
          </w:rPr>
          <m:t xml:space="preserve">1+ </m:t>
        </m:r>
        <m:f>
          <m:fPr>
            <m:ctrlPr>
              <w:rPr>
                <w:rFonts w:ascii="Cambria Math" w:hAnsi="Cambria Math" w:eastAsiaTheme="minorEastAsia"/>
                <w:i/>
                <w:szCs w:val="24"/>
              </w:rPr>
            </m:ctrlPr>
          </m:fPr>
          <m:num>
            <m:r>
              <w:rPr>
                <w:rFonts w:ascii="Cambria Math" w:hAnsi="Cambria Math" w:eastAsiaTheme="minorEastAsia"/>
                <w:szCs w:val="24"/>
              </w:rPr>
              <m:t>y</m:t>
            </m:r>
          </m:num>
          <m:den>
            <m:r>
              <w:rPr>
                <w:rFonts w:ascii="Cambria Math" w:hAnsi="Cambria Math" w:eastAsiaTheme="minorEastAsia"/>
                <w:szCs w:val="24"/>
              </w:rPr>
              <m:t>n-y</m:t>
            </m:r>
          </m:den>
        </m:f>
      </m:oMath>
      <w:r w:rsidRPr="00290A57">
        <w:rPr>
          <w:rFonts w:eastAsiaTheme="minorEastAsia"/>
          <w:szCs w:val="24"/>
        </w:rPr>
        <w:t xml:space="preserve"> where y is the sum of duplication factors for uninitiated quotes and </w:t>
      </w:r>
      <m:oMath>
        <m:r>
          <w:rPr>
            <w:rFonts w:ascii="Cambria Math" w:hAnsi="Cambria Math" w:eastAsiaTheme="minorEastAsia"/>
            <w:szCs w:val="24"/>
          </w:rPr>
          <m:t>n</m:t>
        </m:r>
      </m:oMath>
      <w:r w:rsidRPr="00290A57">
        <w:rPr>
          <w:rFonts w:eastAsiaTheme="minorEastAsia"/>
          <w:szCs w:val="24"/>
        </w:rPr>
        <w:t xml:space="preserve"> is the number of quotes in the sample design in the ELI-PSU. This is the ratio of planned quotes to quotes with usable prices in both period t and period </w:t>
      </w:r>
      <w:r w:rsidRPr="00290A57">
        <w:rPr>
          <w:rFonts w:eastAsiaTheme="minorEastAsia"/>
          <w:i/>
          <w:szCs w:val="24"/>
        </w:rPr>
        <w:t>t-1</w:t>
      </w:r>
      <w:r w:rsidRPr="00290A57">
        <w:rPr>
          <w:rFonts w:eastAsiaTheme="minorEastAsia"/>
          <w:szCs w:val="24"/>
        </w:rPr>
        <w:t xml:space="preserve"> for the ELI-PSU.</w:t>
      </w:r>
    </w:p>
    <w:p w:rsidR="000A3F49" w:rsidP="003D7B1A" w:rsidRDefault="000A3F49" w14:paraId="3B34EDA8" w14:textId="77777777">
      <w:pPr>
        <w:autoSpaceDE w:val="0"/>
        <w:autoSpaceDN w:val="0"/>
        <w:adjustRightInd w:val="0"/>
        <w:rPr>
          <w:color w:val="231F20"/>
          <w:szCs w:val="24"/>
        </w:rPr>
      </w:pPr>
    </w:p>
    <w:p w:rsidR="000A3F49" w:rsidP="003D7B1A" w:rsidRDefault="000A3F49" w14:paraId="5949772F" w14:textId="4B41ED2E">
      <w:pPr>
        <w:spacing w:line="240" w:lineRule="exact"/>
      </w:pPr>
      <w:r w:rsidRPr="00D411EF">
        <w:rPr>
          <w:u w:val="single"/>
        </w:rPr>
        <w:t>Index calculation</w:t>
      </w:r>
      <w:r w:rsidRPr="00D411EF">
        <w:t>.</w:t>
      </w:r>
    </w:p>
    <w:p w:rsidR="000A3F49" w:rsidP="003D7B1A" w:rsidRDefault="000A3F49" w14:paraId="726E1C17" w14:textId="77777777">
      <w:pPr>
        <w:spacing w:line="240" w:lineRule="exact"/>
      </w:pPr>
    </w:p>
    <w:p w:rsidRPr="00D411EF" w:rsidR="000A3F49" w:rsidP="003D7B1A" w:rsidRDefault="000A3F49" w14:paraId="05388C47" w14:textId="77777777">
      <w:pPr>
        <w:spacing w:line="240" w:lineRule="exact"/>
      </w:pPr>
      <w:r w:rsidRPr="00D411EF">
        <w:t xml:space="preserve">When aggregating together price relatives above the </w:t>
      </w:r>
      <w:r>
        <w:t>elementary index</w:t>
      </w:r>
      <w:r w:rsidRPr="00D411EF">
        <w:t xml:space="preserve"> level, the Laspeyres formula </w:t>
      </w:r>
      <w:r>
        <w:t>is</w:t>
      </w:r>
      <w:r w:rsidRPr="00D411EF">
        <w:t xml:space="preserve"> used exclusively implying no substitution across </w:t>
      </w:r>
      <w:r>
        <w:t>elementary index cells</w:t>
      </w:r>
      <w:r w:rsidRPr="00D411EF">
        <w:t xml:space="preserve"> in the CPI.</w:t>
      </w:r>
    </w:p>
    <w:p w:rsidRPr="00D411EF" w:rsidR="000A3F49" w:rsidP="003D7B1A" w:rsidRDefault="000A3F49" w14:paraId="656A4540" w14:textId="77777777">
      <w:pPr>
        <w:spacing w:line="240" w:lineRule="exact"/>
      </w:pPr>
    </w:p>
    <w:p w:rsidR="000A3F49" w:rsidP="003D7B1A" w:rsidRDefault="000A3F49" w14:paraId="38EF90B3" w14:textId="39969D4B">
      <w:pPr>
        <w:pStyle w:val="Header"/>
        <w:tabs>
          <w:tab w:val="clear" w:pos="4320"/>
          <w:tab w:val="clear" w:pos="8640"/>
        </w:tabs>
        <w:spacing w:line="240" w:lineRule="exact"/>
      </w:pPr>
      <w:r w:rsidRPr="0040110F">
        <w:t xml:space="preserve">In mid-2002, BLS began publishing a Chained Consumer Price Index for All Urban Consumers (C-CPI-U). </w:t>
      </w:r>
      <w:r>
        <w:rPr>
          <w:rStyle w:val="EndnoteReference"/>
        </w:rPr>
        <w:endnoteReference w:id="1"/>
      </w:r>
      <w:r w:rsidRPr="0040110F">
        <w:t xml:space="preserve">  The C-CPI-U is a monthly-chained index that uses a Tornqvist formula to aggregate indexes.  This index is designed to be a closer approximation to a “cost-of-living index” than the present measures.  By utilizing expenditure data in adjoining periods, it reflects consumer substitution across item categories in response to relative prices.  The use of</w:t>
      </w:r>
      <w:r w:rsidRPr="00D411EF">
        <w:t xml:space="preserve"> expenditure data for both a base period and the current period to average price change across item categories distinguishes the C-CPI-U from the existing CPI measures.  Expenditure data required for the C-CPI-U calculations are available </w:t>
      </w:r>
      <w:r>
        <w:t xml:space="preserve">only with </w:t>
      </w:r>
      <w:r w:rsidRPr="00D411EF">
        <w:t xml:space="preserve">a lag.  Thus, the C-CPI-U, unlike the CPI-U and CPI-W, is issued first in preliminary form and then subject to </w:t>
      </w:r>
      <w:r>
        <w:t>subsequent</w:t>
      </w:r>
      <w:r w:rsidRPr="00D411EF">
        <w:t xml:space="preserve"> revisions.  No additional data collection is required to support the publication of the C-CPI-U.</w:t>
      </w:r>
      <w:r>
        <w:t xml:space="preserve">  </w:t>
      </w:r>
    </w:p>
    <w:p w:rsidR="000A3F49" w:rsidP="003D7B1A" w:rsidRDefault="000A3F49" w14:paraId="598F04CF" w14:textId="77777777">
      <w:pPr>
        <w:pStyle w:val="Header"/>
        <w:tabs>
          <w:tab w:val="clear" w:pos="4320"/>
          <w:tab w:val="clear" w:pos="8640"/>
        </w:tabs>
        <w:spacing w:line="240" w:lineRule="exact"/>
      </w:pPr>
    </w:p>
    <w:p w:rsidR="000A3F49" w:rsidP="003D7B1A" w:rsidRDefault="000A3F49" w14:paraId="5EB8549C" w14:textId="4975DCA6">
      <w:pPr>
        <w:pStyle w:val="Header"/>
        <w:tabs>
          <w:tab w:val="clear" w:pos="4320"/>
          <w:tab w:val="clear" w:pos="8640"/>
        </w:tabs>
        <w:spacing w:line="240" w:lineRule="exact"/>
      </w:pPr>
      <w:r>
        <w:t>BLS periodically issues a report on its experimental index for the elderly.  The CPI for the elderly or CPI-E is calculated monthly and is available on request.  It should be emphasized, the CPI-E is merely a reweighting of the CPI basic indexes using expenditure weights from households headed by someone 62 years of age or older.  No additional data collection is required to support the publication of the CPI-E.</w:t>
      </w:r>
    </w:p>
    <w:p w:rsidR="000A3F49" w:rsidP="003D7B1A" w:rsidRDefault="000A3F49" w14:paraId="6092D596" w14:textId="77777777">
      <w:pPr>
        <w:pStyle w:val="Header"/>
        <w:tabs>
          <w:tab w:val="clear" w:pos="4320"/>
          <w:tab w:val="clear" w:pos="8640"/>
        </w:tabs>
        <w:spacing w:line="240" w:lineRule="exact"/>
      </w:pPr>
    </w:p>
    <w:p w:rsidRPr="00D411EF" w:rsidR="000A3F49" w:rsidP="003D7B1A" w:rsidRDefault="000A3F49" w14:paraId="7C18D16D" w14:textId="77777777">
      <w:pPr>
        <w:pStyle w:val="Header"/>
        <w:tabs>
          <w:tab w:val="clear" w:pos="4320"/>
          <w:tab w:val="clear" w:pos="8640"/>
        </w:tabs>
        <w:spacing w:line="240" w:lineRule="exact"/>
      </w:pPr>
      <w:r w:rsidRPr="00D411EF">
        <w:t>2.iii.  Degree of Accuracy Required</w:t>
      </w:r>
    </w:p>
    <w:p w:rsidRPr="00D411EF" w:rsidR="000A3F49" w:rsidP="003D7B1A" w:rsidRDefault="000A3F49" w14:paraId="5F273F0D" w14:textId="77777777">
      <w:pPr>
        <w:spacing w:line="240" w:lineRule="exact"/>
      </w:pPr>
    </w:p>
    <w:p w:rsidRPr="00D411EF" w:rsidR="000A3F49" w:rsidP="003D7B1A" w:rsidRDefault="000A3F49" w14:paraId="7FAACAAF" w14:textId="1938F2E0">
      <w:pPr>
        <w:spacing w:line="240" w:lineRule="exact"/>
      </w:pPr>
      <w:r w:rsidRPr="00592DCE">
        <w:rPr>
          <w:szCs w:val="24"/>
        </w:rPr>
        <w:t>Section 2 of Title 29, Chapter 1, Subchapter 1, United States Code</w:t>
      </w:r>
      <w:r w:rsidRPr="00D411EF">
        <w:t xml:space="preserve"> mandating the CPI does not specify a required precision or accuracy for the index.  BLS </w:t>
      </w:r>
      <w:r>
        <w:t>requires</w:t>
      </w:r>
      <w:r w:rsidRPr="00D411EF">
        <w:t xml:space="preserve"> that the precision of the CPI be maximized given the total cost constraint imposed by the authorized spending level.  BLS developed an allocation model to examine relative efficiencies of various alterna</w:t>
      </w:r>
      <w:r>
        <w:t>tive sample designs.  The objec</w:t>
      </w:r>
      <w:r w:rsidRPr="00D411EF">
        <w:t xml:space="preserve">tive of the allocation process is to determine values for all sample design parameters which will minimize the variance of price change for the CPI at the U.S. level subject to the CPI budget.  The model uses a variance function to project the variance of price change given a set of sample design parameters.  It also has a cost function to project the annual cost given a set of values for the sample design parameters.  A non-linear programming technique is used to determine the set of values for the sample design parameters which minimizes the variance of price change given a cost constraint. </w:t>
      </w:r>
      <w:r>
        <w:rPr>
          <w:rStyle w:val="EndnoteReference"/>
        </w:rPr>
        <w:endnoteReference w:id="2"/>
      </w:r>
      <w:r w:rsidRPr="00D411EF">
        <w:t xml:space="preserve"> </w:t>
      </w:r>
    </w:p>
    <w:p w:rsidR="000A3F49" w:rsidP="003D7B1A" w:rsidRDefault="000A3F49" w14:paraId="562E8A2B" w14:textId="77777777">
      <w:pPr>
        <w:spacing w:line="240" w:lineRule="exact"/>
      </w:pPr>
    </w:p>
    <w:p w:rsidRPr="00356A3D" w:rsidR="003D7B1A" w:rsidP="003D7B1A" w:rsidRDefault="000A3F49" w14:paraId="5277715B" w14:textId="77777777">
      <w:pPr>
        <w:autoSpaceDE w:val="0"/>
        <w:autoSpaceDN w:val="0"/>
        <w:adjustRightInd w:val="0"/>
        <w:spacing w:line="240" w:lineRule="exact"/>
        <w:rPr>
          <w:szCs w:val="24"/>
        </w:rPr>
      </w:pPr>
      <w:r>
        <w:rPr>
          <w:szCs w:val="24"/>
        </w:rPr>
        <w:t xml:space="preserve">Since </w:t>
      </w:r>
      <w:r w:rsidRPr="00356A3D">
        <w:rPr>
          <w:szCs w:val="24"/>
        </w:rPr>
        <w:t>1978, the CPI’s sample design has accompl</w:t>
      </w:r>
      <w:r>
        <w:rPr>
          <w:szCs w:val="24"/>
        </w:rPr>
        <w:t>ished</w:t>
      </w:r>
      <w:r w:rsidRPr="00356A3D">
        <w:rPr>
          <w:szCs w:val="24"/>
        </w:rPr>
        <w:t xml:space="preserve"> variance estimation by using two or more independent samples of items and outlets in each geographic area.</w:t>
      </w:r>
      <w:r w:rsidRPr="00356A3D">
        <w:rPr>
          <w:rStyle w:val="EndnoteReference"/>
          <w:szCs w:val="24"/>
        </w:rPr>
        <w:endnoteReference w:id="3"/>
      </w:r>
      <w:r w:rsidRPr="00356A3D">
        <w:rPr>
          <w:szCs w:val="24"/>
        </w:rPr>
        <w:t xml:space="preserve"> </w:t>
      </w:r>
      <w:r w:rsidR="003D7B1A">
        <w:rPr>
          <w:szCs w:val="24"/>
        </w:rPr>
        <w:t xml:space="preserve"> </w:t>
      </w:r>
      <w:r w:rsidRPr="00356A3D" w:rsidR="003D7B1A">
        <w:rPr>
          <w:szCs w:val="24"/>
        </w:rPr>
        <w:t xml:space="preserve">This allows two or more statistically independent estimates of the index to be made. </w:t>
      </w:r>
      <w:r w:rsidR="003D7B1A">
        <w:rPr>
          <w:szCs w:val="24"/>
        </w:rPr>
        <w:t xml:space="preserve"> </w:t>
      </w:r>
      <w:r w:rsidRPr="00356A3D" w:rsidR="003D7B1A">
        <w:rPr>
          <w:szCs w:val="24"/>
        </w:rPr>
        <w:t xml:space="preserve">The independent samples are called </w:t>
      </w:r>
      <w:r w:rsidRPr="00356A3D" w:rsidR="003D7B1A">
        <w:rPr>
          <w:i/>
          <w:iCs/>
          <w:szCs w:val="24"/>
        </w:rPr>
        <w:t>replicates</w:t>
      </w:r>
      <w:r w:rsidRPr="00356A3D" w:rsidR="003D7B1A">
        <w:rPr>
          <w:szCs w:val="24"/>
        </w:rPr>
        <w:t xml:space="preserve">, and the set of all observed prices is called the </w:t>
      </w:r>
      <w:r w:rsidRPr="00356A3D" w:rsidR="003D7B1A">
        <w:rPr>
          <w:i/>
          <w:iCs/>
          <w:szCs w:val="24"/>
        </w:rPr>
        <w:t>full sample</w:t>
      </w:r>
      <w:r w:rsidRPr="00356A3D" w:rsidR="003D7B1A">
        <w:rPr>
          <w:szCs w:val="24"/>
        </w:rPr>
        <w:t>.</w:t>
      </w:r>
    </w:p>
    <w:p w:rsidRPr="00356A3D" w:rsidR="003D7B1A" w:rsidP="003D7B1A" w:rsidRDefault="003D7B1A" w14:paraId="4B4492D0" w14:textId="77777777">
      <w:pPr>
        <w:autoSpaceDE w:val="0"/>
        <w:autoSpaceDN w:val="0"/>
        <w:adjustRightInd w:val="0"/>
        <w:spacing w:line="240" w:lineRule="exact"/>
        <w:rPr>
          <w:szCs w:val="24"/>
        </w:rPr>
      </w:pPr>
    </w:p>
    <w:p w:rsidRPr="00356A3D" w:rsidR="003D7B1A" w:rsidP="003D7B1A" w:rsidRDefault="00783DED" w14:paraId="20C11ED7" w14:textId="69293037">
      <w:pPr>
        <w:autoSpaceDE w:val="0"/>
        <w:autoSpaceDN w:val="0"/>
        <w:adjustRightInd w:val="0"/>
        <w:spacing w:line="240" w:lineRule="exact"/>
        <w:rPr>
          <w:szCs w:val="24"/>
        </w:rPr>
      </w:pPr>
      <w:r>
        <w:rPr>
          <w:szCs w:val="24"/>
        </w:rPr>
        <w:t xml:space="preserve">From 1978-2018, </w:t>
      </w:r>
      <w:r w:rsidRPr="00356A3D" w:rsidR="003D7B1A">
        <w:rPr>
          <w:szCs w:val="24"/>
        </w:rPr>
        <w:t>BLS collect</w:t>
      </w:r>
      <w:r>
        <w:rPr>
          <w:szCs w:val="24"/>
        </w:rPr>
        <w:t>ed</w:t>
      </w:r>
      <w:r w:rsidRPr="00356A3D" w:rsidR="003D7B1A">
        <w:rPr>
          <w:szCs w:val="24"/>
        </w:rPr>
        <w:t xml:space="preserve"> CPI data in </w:t>
      </w:r>
      <w:r w:rsidRPr="00783DED" w:rsidR="003D7B1A">
        <w:rPr>
          <w:szCs w:val="24"/>
        </w:rPr>
        <w:t>3</w:t>
      </w:r>
      <w:r w:rsidRPr="00783DED">
        <w:rPr>
          <w:szCs w:val="24"/>
        </w:rPr>
        <w:t>8</w:t>
      </w:r>
      <w:r w:rsidRPr="00356A3D" w:rsidR="003D7B1A">
        <w:rPr>
          <w:szCs w:val="24"/>
        </w:rPr>
        <w:t xml:space="preserve"> geographic areas across the United States. </w:t>
      </w:r>
      <w:r w:rsidR="003D7B1A">
        <w:rPr>
          <w:szCs w:val="24"/>
        </w:rPr>
        <w:t xml:space="preserve"> </w:t>
      </w:r>
      <w:r w:rsidRPr="00356A3D" w:rsidR="003D7B1A">
        <w:rPr>
          <w:szCs w:val="24"/>
        </w:rPr>
        <w:t>These areas consist</w:t>
      </w:r>
      <w:r>
        <w:rPr>
          <w:szCs w:val="24"/>
        </w:rPr>
        <w:t>ed</w:t>
      </w:r>
      <w:r w:rsidRPr="00356A3D" w:rsidR="003D7B1A">
        <w:rPr>
          <w:szCs w:val="24"/>
        </w:rPr>
        <w:t xml:space="preserve"> o</w:t>
      </w:r>
      <w:r w:rsidR="00EC0E74">
        <w:rPr>
          <w:szCs w:val="24"/>
        </w:rPr>
        <w:t>f 31</w:t>
      </w:r>
      <w:r w:rsidRPr="00356A3D" w:rsidR="003D7B1A">
        <w:rPr>
          <w:szCs w:val="24"/>
        </w:rPr>
        <w:t xml:space="preserve"> </w:t>
      </w:r>
      <w:r w:rsidRPr="00356A3D" w:rsidR="003D7B1A">
        <w:rPr>
          <w:i/>
          <w:iCs/>
          <w:szCs w:val="24"/>
        </w:rPr>
        <w:t xml:space="preserve">self-representing </w:t>
      </w:r>
      <w:r w:rsidRPr="00356A3D" w:rsidR="003D7B1A">
        <w:rPr>
          <w:szCs w:val="24"/>
        </w:rPr>
        <w:t xml:space="preserve">areas and </w:t>
      </w:r>
      <w:r w:rsidR="00353DFF">
        <w:rPr>
          <w:szCs w:val="24"/>
        </w:rPr>
        <w:t>7</w:t>
      </w:r>
      <w:r w:rsidRPr="00356A3D" w:rsidR="003D7B1A">
        <w:rPr>
          <w:szCs w:val="24"/>
        </w:rPr>
        <w:t xml:space="preserve"> </w:t>
      </w:r>
      <w:r w:rsidRPr="00356A3D" w:rsidR="003D7B1A">
        <w:rPr>
          <w:i/>
          <w:iCs/>
          <w:szCs w:val="24"/>
        </w:rPr>
        <w:t xml:space="preserve">non-self-representing </w:t>
      </w:r>
      <w:r w:rsidRPr="00356A3D" w:rsidR="003D7B1A">
        <w:rPr>
          <w:szCs w:val="24"/>
        </w:rPr>
        <w:t xml:space="preserve">areas. </w:t>
      </w:r>
      <w:r w:rsidR="003D7B1A">
        <w:rPr>
          <w:szCs w:val="24"/>
        </w:rPr>
        <w:t xml:space="preserve"> </w:t>
      </w:r>
      <w:r w:rsidRPr="00356A3D" w:rsidR="003D7B1A">
        <w:rPr>
          <w:szCs w:val="24"/>
        </w:rPr>
        <w:t xml:space="preserve">Self-representing areas are large metropolitan areas, such as the Boston, St. Louis, and San Francisco metropolitan areas. </w:t>
      </w:r>
      <w:r w:rsidR="003D7B1A">
        <w:rPr>
          <w:szCs w:val="24"/>
        </w:rPr>
        <w:t xml:space="preserve"> </w:t>
      </w:r>
      <w:r w:rsidRPr="00356A3D" w:rsidR="003D7B1A">
        <w:rPr>
          <w:szCs w:val="24"/>
        </w:rPr>
        <w:t xml:space="preserve">Non-self-representing areas are collections of smaller metropolitan areas. </w:t>
      </w:r>
      <w:r w:rsidR="003D7B1A">
        <w:rPr>
          <w:szCs w:val="24"/>
        </w:rPr>
        <w:t xml:space="preserve"> </w:t>
      </w:r>
      <w:r w:rsidRPr="00356A3D" w:rsidR="003D7B1A">
        <w:rPr>
          <w:szCs w:val="24"/>
        </w:rPr>
        <w:t xml:space="preserve">For example, one non-self-representing area is a collection of </w:t>
      </w:r>
      <w:r w:rsidRPr="00783DED" w:rsidR="003D7B1A">
        <w:rPr>
          <w:szCs w:val="24"/>
        </w:rPr>
        <w:t>32</w:t>
      </w:r>
      <w:r w:rsidRPr="00356A3D" w:rsidR="003D7B1A">
        <w:rPr>
          <w:szCs w:val="24"/>
        </w:rPr>
        <w:t xml:space="preserve"> small metropolitan areas in the Northeast region (Buffalo, Hartford, </w:t>
      </w:r>
      <w:r w:rsidRPr="007C6C8A" w:rsidR="0062487C">
        <w:rPr>
          <w:szCs w:val="24"/>
        </w:rPr>
        <w:t xml:space="preserve">Syracuse, </w:t>
      </w:r>
      <w:r w:rsidRPr="009655B7" w:rsidR="0062487C">
        <w:rPr>
          <w:szCs w:val="24"/>
        </w:rPr>
        <w:t>Burlington</w:t>
      </w:r>
      <w:r w:rsidRPr="00356A3D" w:rsidR="003D7B1A">
        <w:rPr>
          <w:szCs w:val="24"/>
        </w:rPr>
        <w:t xml:space="preserve">, and others), of which 8 were randomly selected to represent the entire set. </w:t>
      </w:r>
      <w:r w:rsidR="003D7B1A">
        <w:rPr>
          <w:szCs w:val="24"/>
        </w:rPr>
        <w:t xml:space="preserve"> </w:t>
      </w:r>
      <w:r w:rsidRPr="00356A3D" w:rsidR="003D7B1A">
        <w:rPr>
          <w:szCs w:val="24"/>
        </w:rPr>
        <w:t xml:space="preserve">Within </w:t>
      </w:r>
      <w:r w:rsidRPr="001E500E" w:rsidR="003D7B1A">
        <w:rPr>
          <w:szCs w:val="24"/>
        </w:rPr>
        <w:t xml:space="preserve">each of the </w:t>
      </w:r>
      <w:r w:rsidRPr="00783DED" w:rsidR="003D7B1A">
        <w:rPr>
          <w:szCs w:val="24"/>
        </w:rPr>
        <w:t>3</w:t>
      </w:r>
      <w:r w:rsidRPr="00783DED" w:rsidR="001E500E">
        <w:rPr>
          <w:szCs w:val="24"/>
        </w:rPr>
        <w:t>2</w:t>
      </w:r>
      <w:r w:rsidRPr="001E500E" w:rsidR="003D7B1A">
        <w:rPr>
          <w:szCs w:val="24"/>
        </w:rPr>
        <w:t xml:space="preserve"> areas, price data are collected for 211 item</w:t>
      </w:r>
      <w:r w:rsidRPr="00356A3D" w:rsidR="003D7B1A">
        <w:rPr>
          <w:szCs w:val="24"/>
        </w:rPr>
        <w:t xml:space="preserve"> categories called </w:t>
      </w:r>
      <w:r w:rsidRPr="00356A3D" w:rsidR="003D7B1A">
        <w:rPr>
          <w:i/>
          <w:iCs/>
          <w:szCs w:val="24"/>
        </w:rPr>
        <w:t>item strata</w:t>
      </w:r>
      <w:r w:rsidRPr="00356A3D" w:rsidR="003D7B1A">
        <w:rPr>
          <w:szCs w:val="24"/>
        </w:rPr>
        <w:t xml:space="preserve">. </w:t>
      </w:r>
      <w:r w:rsidR="003D7B1A">
        <w:rPr>
          <w:szCs w:val="24"/>
        </w:rPr>
        <w:t xml:space="preserve"> </w:t>
      </w:r>
      <w:r w:rsidRPr="00356A3D" w:rsidR="003D7B1A">
        <w:rPr>
          <w:szCs w:val="24"/>
        </w:rPr>
        <w:t xml:space="preserve">Together the 211 item strata cover all consumer purchases. </w:t>
      </w:r>
      <w:r w:rsidR="003D7B1A">
        <w:rPr>
          <w:szCs w:val="24"/>
        </w:rPr>
        <w:t xml:space="preserve"> </w:t>
      </w:r>
      <w:r w:rsidRPr="00356A3D" w:rsidR="003D7B1A">
        <w:rPr>
          <w:szCs w:val="24"/>
        </w:rPr>
        <w:t xml:space="preserve">Examples of item strata are bananas, women’s dresses, and electricity. </w:t>
      </w:r>
    </w:p>
    <w:p w:rsidRPr="00356A3D" w:rsidR="003D7B1A" w:rsidP="003D7B1A" w:rsidRDefault="003D7B1A" w14:paraId="2BC8D973" w14:textId="77777777">
      <w:pPr>
        <w:autoSpaceDE w:val="0"/>
        <w:autoSpaceDN w:val="0"/>
        <w:adjustRightInd w:val="0"/>
        <w:spacing w:line="240" w:lineRule="exact"/>
        <w:rPr>
          <w:szCs w:val="24"/>
        </w:rPr>
      </w:pPr>
    </w:p>
    <w:p w:rsidR="003D7B1A" w:rsidP="003D7B1A" w:rsidRDefault="003D7B1A" w14:paraId="534AE538" w14:textId="598A89BA">
      <w:pPr>
        <w:autoSpaceDE w:val="0"/>
        <w:autoSpaceDN w:val="0"/>
        <w:adjustRightInd w:val="0"/>
        <w:spacing w:line="240" w:lineRule="exact"/>
      </w:pPr>
      <w:r w:rsidRPr="00356A3D">
        <w:rPr>
          <w:szCs w:val="24"/>
        </w:rPr>
        <w:t xml:space="preserve">Multiplying the number of </w:t>
      </w:r>
      <w:r>
        <w:rPr>
          <w:szCs w:val="24"/>
        </w:rPr>
        <w:t xml:space="preserve">current </w:t>
      </w:r>
      <w:r w:rsidRPr="00356A3D">
        <w:rPr>
          <w:szCs w:val="24"/>
        </w:rPr>
        <w:t xml:space="preserve">areas by the number of item strata </w:t>
      </w:r>
      <w:r w:rsidRPr="00BB03A6">
        <w:rPr>
          <w:szCs w:val="24"/>
        </w:rPr>
        <w:t xml:space="preserve">gives </w:t>
      </w:r>
      <w:r w:rsidR="00353DFF">
        <w:rPr>
          <w:szCs w:val="24"/>
        </w:rPr>
        <w:t>8,018</w:t>
      </w:r>
      <w:r w:rsidRPr="00BB03A6">
        <w:rPr>
          <w:szCs w:val="24"/>
        </w:rPr>
        <w:t xml:space="preserve"> (= 3</w:t>
      </w:r>
      <w:r w:rsidR="00353DFF">
        <w:rPr>
          <w:szCs w:val="24"/>
        </w:rPr>
        <w:t>8</w:t>
      </w:r>
      <w:r w:rsidRPr="00BB03A6">
        <w:rPr>
          <w:szCs w:val="24"/>
        </w:rPr>
        <w:t xml:space="preserve"> x 211)</w:t>
      </w:r>
      <w:r w:rsidRPr="00356A3D">
        <w:rPr>
          <w:szCs w:val="24"/>
        </w:rPr>
        <w:t xml:space="preserve"> different area and item combinations for which price indexes need to be calculated. </w:t>
      </w:r>
      <w:r>
        <w:rPr>
          <w:szCs w:val="24"/>
        </w:rPr>
        <w:t xml:space="preserve"> </w:t>
      </w:r>
      <w:r w:rsidRPr="00356A3D">
        <w:rPr>
          <w:szCs w:val="24"/>
        </w:rPr>
        <w:t xml:space="preserve">Separate price indexes are calculated for each one of these </w:t>
      </w:r>
      <w:r w:rsidR="00E013D1">
        <w:rPr>
          <w:szCs w:val="24"/>
        </w:rPr>
        <w:t>8</w:t>
      </w:r>
      <w:r w:rsidR="00550E79">
        <w:rPr>
          <w:szCs w:val="24"/>
        </w:rPr>
        <w:t>,</w:t>
      </w:r>
      <w:r w:rsidR="00E013D1">
        <w:rPr>
          <w:szCs w:val="24"/>
        </w:rPr>
        <w:t>018</w:t>
      </w:r>
      <w:r w:rsidRPr="00356A3D">
        <w:rPr>
          <w:szCs w:val="24"/>
        </w:rPr>
        <w:t xml:space="preserve"> area and item combinations.</w:t>
      </w:r>
      <w:r>
        <w:rPr>
          <w:szCs w:val="24"/>
        </w:rPr>
        <w:t xml:space="preserve"> </w:t>
      </w:r>
      <w:r w:rsidRPr="00356A3D">
        <w:rPr>
          <w:szCs w:val="24"/>
        </w:rPr>
        <w:t xml:space="preserve"> After all </w:t>
      </w:r>
      <w:r w:rsidR="00353DFF">
        <w:rPr>
          <w:szCs w:val="24"/>
        </w:rPr>
        <w:t>8,018</w:t>
      </w:r>
      <w:r w:rsidRPr="00356A3D">
        <w:rPr>
          <w:szCs w:val="24"/>
        </w:rPr>
        <w:t xml:space="preserve"> of these </w:t>
      </w:r>
      <w:r w:rsidRPr="00356A3D">
        <w:rPr>
          <w:i/>
          <w:iCs/>
          <w:szCs w:val="24"/>
        </w:rPr>
        <w:t xml:space="preserve">basic-level </w:t>
      </w:r>
      <w:r w:rsidRPr="00356A3D">
        <w:rPr>
          <w:szCs w:val="24"/>
        </w:rPr>
        <w:t xml:space="preserve">indexes are calculated, they are aggregated to form </w:t>
      </w:r>
      <w:r w:rsidRPr="00356A3D">
        <w:rPr>
          <w:i/>
          <w:iCs/>
          <w:szCs w:val="24"/>
        </w:rPr>
        <w:t xml:space="preserve">higher-level </w:t>
      </w:r>
      <w:r w:rsidRPr="00356A3D">
        <w:rPr>
          <w:szCs w:val="24"/>
        </w:rPr>
        <w:t xml:space="preserve">indexes, using expenditure estimates from the </w:t>
      </w:r>
      <w:r w:rsidR="00984DE4">
        <w:rPr>
          <w:szCs w:val="24"/>
        </w:rPr>
        <w:t>CE</w:t>
      </w:r>
      <w:r w:rsidRPr="00356A3D">
        <w:rPr>
          <w:szCs w:val="24"/>
        </w:rPr>
        <w:t xml:space="preserve"> Survey as their weights. </w:t>
      </w:r>
      <w:r>
        <w:rPr>
          <w:szCs w:val="24"/>
        </w:rPr>
        <w:t xml:space="preserve"> </w:t>
      </w:r>
      <w:r w:rsidRPr="00356A3D">
        <w:rPr>
          <w:szCs w:val="24"/>
        </w:rPr>
        <w:t xml:space="preserve">Examples of higher-level geographic areas are the four regions (Northeast, Midwest, South, and West); and examples of higher-level item categories are the eight major groups (food &amp; beverages, housing, apparel, transportation, medical care, education and communication, recreation, and other goods and services). </w:t>
      </w:r>
      <w:r>
        <w:rPr>
          <w:szCs w:val="24"/>
        </w:rPr>
        <w:t xml:space="preserve"> </w:t>
      </w:r>
      <w:r w:rsidRPr="00356A3D">
        <w:rPr>
          <w:szCs w:val="24"/>
        </w:rPr>
        <w:t xml:space="preserve">The highest level of geographic aggregation is the U.S. city average, and the highest level of item aggregation is all items. </w:t>
      </w:r>
      <w:r>
        <w:rPr>
          <w:szCs w:val="24"/>
        </w:rPr>
        <w:t xml:space="preserve"> </w:t>
      </w:r>
      <w:r w:rsidRPr="00356A3D">
        <w:rPr>
          <w:szCs w:val="24"/>
        </w:rPr>
        <w:t>Variances are computed with a Stratified Random Groups Method, in which variances are computed separately for certain subsets of areas and items and are then combined to produce the variance of the entire area and item combination.</w:t>
      </w:r>
      <w:r>
        <w:rPr>
          <w:szCs w:val="24"/>
        </w:rPr>
        <w:t xml:space="preserve"> </w:t>
      </w:r>
      <w:r w:rsidRPr="00356A3D">
        <w:rPr>
          <w:szCs w:val="24"/>
        </w:rPr>
        <w:t xml:space="preserve"> Subsets of items are formed by the intersection of the item category with each of the eight major group</w:t>
      </w:r>
      <w:r w:rsidRPr="00356A3D">
        <w:t>s.</w:t>
      </w:r>
    </w:p>
    <w:p w:rsidR="003D7B1A" w:rsidP="003D7B1A" w:rsidRDefault="003D7B1A" w14:paraId="7B488A61" w14:textId="77777777">
      <w:pPr>
        <w:autoSpaceDE w:val="0"/>
        <w:autoSpaceDN w:val="0"/>
        <w:adjustRightInd w:val="0"/>
        <w:spacing w:line="240" w:lineRule="exact"/>
      </w:pPr>
    </w:p>
    <w:p w:rsidRPr="00E339ED" w:rsidR="003D7B1A" w:rsidP="003D7B1A" w:rsidRDefault="003D7B1A" w14:paraId="28F1A0CD" w14:textId="3DC03628">
      <w:pPr>
        <w:autoSpaceDE w:val="0"/>
        <w:autoSpaceDN w:val="0"/>
        <w:adjustRightInd w:val="0"/>
        <w:spacing w:line="240" w:lineRule="exact"/>
        <w:rPr>
          <w:color w:val="7030A0"/>
          <w:szCs w:val="24"/>
        </w:rPr>
      </w:pPr>
      <w:r w:rsidRPr="00BD4055">
        <w:rPr>
          <w:szCs w:val="24"/>
        </w:rPr>
        <w:t>In 2018, BLS introduce</w:t>
      </w:r>
      <w:r w:rsidRPr="00BD4055" w:rsidR="00CC5C8C">
        <w:rPr>
          <w:szCs w:val="24"/>
        </w:rPr>
        <w:t>d</w:t>
      </w:r>
      <w:r w:rsidRPr="00BD4055">
        <w:rPr>
          <w:szCs w:val="24"/>
        </w:rPr>
        <w:t xml:space="preserve"> a new geographic area sample for the CPI.  The new area sample </w:t>
      </w:r>
      <w:r w:rsidR="008D4167">
        <w:rPr>
          <w:szCs w:val="24"/>
        </w:rPr>
        <w:t>has</w:t>
      </w:r>
      <w:r w:rsidRPr="00BD4055">
        <w:rPr>
          <w:szCs w:val="24"/>
        </w:rPr>
        <w:t xml:space="preserve"> 23 self-representing areas and </w:t>
      </w:r>
      <w:r w:rsidR="008D4167">
        <w:rPr>
          <w:szCs w:val="24"/>
        </w:rPr>
        <w:t>9</w:t>
      </w:r>
      <w:r w:rsidRPr="00BD4055" w:rsidR="008D4167">
        <w:rPr>
          <w:szCs w:val="24"/>
        </w:rPr>
        <w:t xml:space="preserve"> </w:t>
      </w:r>
      <w:r w:rsidR="008D4167">
        <w:rPr>
          <w:szCs w:val="24"/>
        </w:rPr>
        <w:t>Census divisions</w:t>
      </w:r>
      <w:r w:rsidRPr="00BD4055">
        <w:rPr>
          <w:szCs w:val="24"/>
        </w:rPr>
        <w:t xml:space="preserve"> for a total of 32 geographic areas.  </w:t>
      </w:r>
      <w:r w:rsidRPr="00BD4055">
        <w:rPr>
          <w:color w:val="000000" w:themeColor="text1"/>
          <w:szCs w:val="24"/>
        </w:rPr>
        <w:t xml:space="preserve">The 23 self-representing areas include 21 PSUs </w:t>
      </w:r>
      <w:r w:rsidRPr="00BD4055">
        <w:rPr>
          <w:szCs w:val="24"/>
        </w:rPr>
        <w:t xml:space="preserve">whose population is greater than </w:t>
      </w:r>
      <w:r w:rsidR="008D4167">
        <w:rPr>
          <w:szCs w:val="24"/>
        </w:rPr>
        <w:t>2</w:t>
      </w:r>
      <w:r w:rsidRPr="00BD4055">
        <w:rPr>
          <w:szCs w:val="24"/>
        </w:rPr>
        <w:t xml:space="preserve">.5 million and 2 additional units - Anchorage, AK, and Honolulu, HI.  Anchorage represents all CBSAs in Alaska, and Honolulu represents all CBSAs in Hawaii.  These CBSAs are unique because the locations of both states make price change in their markets geographically isolated from that in other markets.  For this reason, the CBSAs in Alaska and Hawaii are treated as separate geographic strata.  With 23 self-representing PSUs and nine Census divisions, the new area design will yield 6,752 basic indexes (32 index areas by 211 item strata) for the U.S. all-items CPI.  </w:t>
      </w:r>
    </w:p>
    <w:p w:rsidRPr="00356A3D" w:rsidR="003D7B1A" w:rsidP="003D7B1A" w:rsidRDefault="003D7B1A" w14:paraId="58B2B229" w14:textId="77777777">
      <w:pPr>
        <w:autoSpaceDE w:val="0"/>
        <w:autoSpaceDN w:val="0"/>
        <w:adjustRightInd w:val="0"/>
        <w:spacing w:line="240" w:lineRule="exact"/>
        <w:rPr>
          <w:szCs w:val="24"/>
        </w:rPr>
      </w:pPr>
    </w:p>
    <w:p w:rsidRPr="00D411EF" w:rsidR="003D7B1A" w:rsidP="003D7B1A" w:rsidRDefault="003D7B1A" w14:paraId="5A69B8FE" w14:textId="3F1A628B">
      <w:pPr>
        <w:spacing w:line="240" w:lineRule="exact"/>
      </w:pPr>
      <w:r w:rsidRPr="00B51D46">
        <w:t xml:space="preserve">The estimate of the CPI-U median standard error for 12-month intervals from January </w:t>
      </w:r>
      <w:r w:rsidRPr="00B51D46" w:rsidR="008D4167">
        <w:t>201</w:t>
      </w:r>
      <w:r w:rsidR="008D4167">
        <w:t>9</w:t>
      </w:r>
      <w:r w:rsidRPr="00B51D46" w:rsidR="008D4167">
        <w:t xml:space="preserve"> </w:t>
      </w:r>
      <w:r w:rsidRPr="00B51D46">
        <w:t xml:space="preserve">through December </w:t>
      </w:r>
      <w:r w:rsidRPr="00B51D46" w:rsidR="008D4167">
        <w:t>201</w:t>
      </w:r>
      <w:r w:rsidR="008D4167">
        <w:t>9</w:t>
      </w:r>
      <w:r w:rsidRPr="00B51D46" w:rsidR="008D4167">
        <w:t xml:space="preserve"> </w:t>
      </w:r>
      <w:r w:rsidRPr="00B51D46">
        <w:t>was 0.08</w:t>
      </w:r>
      <w:r w:rsidR="00E013D1">
        <w:t>%</w:t>
      </w:r>
      <w:r w:rsidRPr="00B51D46">
        <w:t xml:space="preserve"> for All Items.</w:t>
      </w:r>
      <w:r w:rsidRPr="00D411EF">
        <w:t xml:space="preserve"> </w:t>
      </w:r>
    </w:p>
    <w:p w:rsidRPr="00D411EF" w:rsidR="003D7B1A" w:rsidP="003D7B1A" w:rsidRDefault="003D7B1A" w14:paraId="24EAC9E8" w14:textId="77777777">
      <w:pPr>
        <w:spacing w:line="240" w:lineRule="exact"/>
      </w:pPr>
    </w:p>
    <w:p w:rsidRPr="00D411EF" w:rsidR="003D7B1A" w:rsidP="003D7B1A" w:rsidRDefault="003D7B1A" w14:paraId="5E5096C1" w14:textId="61F46BEF">
      <w:pPr>
        <w:pStyle w:val="Header"/>
        <w:tabs>
          <w:tab w:val="clear" w:pos="4320"/>
          <w:tab w:val="clear" w:pos="8640"/>
        </w:tabs>
        <w:spacing w:line="240" w:lineRule="exact"/>
      </w:pPr>
      <w:r w:rsidRPr="00D411EF">
        <w:t>2.iv.  Sampling -- Sampling of Time</w:t>
      </w:r>
    </w:p>
    <w:p w:rsidRPr="00D411EF" w:rsidR="003D7B1A" w:rsidP="003D7B1A" w:rsidRDefault="003D7B1A" w14:paraId="54B46345" w14:textId="77777777">
      <w:pPr>
        <w:spacing w:line="240" w:lineRule="exact"/>
      </w:pPr>
    </w:p>
    <w:p w:rsidRPr="00D411EF" w:rsidR="003D7B1A" w:rsidP="003D7B1A" w:rsidRDefault="003D7B1A" w14:paraId="27514342" w14:textId="77777777">
      <w:pPr>
        <w:spacing w:line="240" w:lineRule="exact"/>
        <w:rPr>
          <w:b/>
          <w:szCs w:val="24"/>
        </w:rPr>
      </w:pPr>
      <w:r w:rsidRPr="00D411EF">
        <w:t xml:space="preserve">The outlet samples of each PSU </w:t>
      </w:r>
      <w:r>
        <w:t>are</w:t>
      </w:r>
      <w:r w:rsidRPr="00D411EF">
        <w:t xml:space="preserve"> divided into three pricing periods.  Each outlet </w:t>
      </w:r>
      <w:r>
        <w:t>is</w:t>
      </w:r>
      <w:r w:rsidRPr="00D411EF">
        <w:t xml:space="preserve"> designated for pricing during a specified period of the month.  Therefore, a given item is priced at different times in different outlets in order to average out possible systematic differences between one time period of the month and another</w:t>
      </w:r>
      <w:r>
        <w:t>.  Assigning pricing periods also</w:t>
      </w:r>
      <w:r w:rsidRPr="00D411EF">
        <w:t xml:space="preserve"> ensure</w:t>
      </w:r>
      <w:r>
        <w:t>s</w:t>
      </w:r>
      <w:r w:rsidRPr="00D411EF">
        <w:t xml:space="preserve"> there is a full month between pricing</w:t>
      </w:r>
      <w:r>
        <w:t>s</w:t>
      </w:r>
      <w:r w:rsidRPr="00D411EF">
        <w:t xml:space="preserve"> for each monthly priced outlet or a full two months between pricings for bi-monthly collected outlets.</w:t>
      </w:r>
      <w:r>
        <w:t xml:space="preserve"> </w:t>
      </w:r>
    </w:p>
    <w:p w:rsidRPr="00D411EF" w:rsidR="003D7B1A" w:rsidP="003D7B1A" w:rsidRDefault="003D7B1A" w14:paraId="738DF1BF" w14:textId="77777777">
      <w:pPr>
        <w:spacing w:line="240" w:lineRule="exact"/>
      </w:pPr>
    </w:p>
    <w:p w:rsidR="003D7B1A" w:rsidP="003D7B1A" w:rsidRDefault="003D7B1A" w14:paraId="27802420" w14:textId="0103B160">
      <w:pPr>
        <w:pStyle w:val="Header"/>
        <w:tabs>
          <w:tab w:val="clear" w:pos="4320"/>
          <w:tab w:val="clear" w:pos="8640"/>
        </w:tabs>
        <w:spacing w:line="240" w:lineRule="exact"/>
      </w:pPr>
      <w:r w:rsidRPr="00D411EF">
        <w:t>2.v.  Use of Periodic Data Collection Cycles</w:t>
      </w:r>
    </w:p>
    <w:p w:rsidRPr="00D411EF" w:rsidR="003D7B1A" w:rsidP="003D7B1A" w:rsidRDefault="003D7B1A" w14:paraId="79F69D4A" w14:textId="77777777">
      <w:pPr>
        <w:pStyle w:val="Header"/>
        <w:tabs>
          <w:tab w:val="clear" w:pos="4320"/>
          <w:tab w:val="clear" w:pos="8640"/>
        </w:tabs>
        <w:spacing w:line="240" w:lineRule="exact"/>
      </w:pPr>
    </w:p>
    <w:p w:rsidRPr="00BD4055" w:rsidR="003D7B1A" w:rsidP="00105603" w:rsidRDefault="003D7B1A" w14:paraId="04FD0C88" w14:textId="77777777">
      <w:pPr>
        <w:spacing w:line="240" w:lineRule="exact"/>
      </w:pPr>
      <w:r w:rsidRPr="00BD4055">
        <w:t xml:space="preserve">Although BLS publishes monthly estimates of the CPI, prices for about only 59% of the total covered expenditures are collected monthly in all sampling areas.  Of the 59% priced monthly, 32% reflects rent and owners’ equivalent rent and 27% C&amp;S items.  </w:t>
      </w:r>
    </w:p>
    <w:p w:rsidRPr="00BD4055" w:rsidR="003D7B1A" w:rsidP="00105603" w:rsidRDefault="003D7B1A" w14:paraId="7AD67F91" w14:textId="77777777">
      <w:pPr>
        <w:spacing w:line="240" w:lineRule="exact"/>
      </w:pPr>
    </w:p>
    <w:p w:rsidR="003D7B1A" w:rsidRDefault="003D7B1A" w14:paraId="11E8C66E" w14:textId="78DD9473">
      <w:pPr>
        <w:spacing w:line="240" w:lineRule="exact"/>
      </w:pPr>
      <w:r w:rsidRPr="00BD4055">
        <w:t>Regarding just the C&amp;S portion (68%) of the total CPI expenditure weight, 27%</w:t>
      </w:r>
      <w:r w:rsidRPr="00D411EF">
        <w:t xml:space="preserve"> is collected monthly and </w:t>
      </w:r>
      <w:r>
        <w:t>41%</w:t>
      </w:r>
      <w:r w:rsidRPr="00D411EF">
        <w:t xml:space="preserve"> is collected bi</w:t>
      </w:r>
      <w:r>
        <w:t>-</w:t>
      </w:r>
      <w:r w:rsidRPr="00D411EF">
        <w:t>monthly.</w:t>
      </w:r>
      <w:r>
        <w:t xml:space="preserve">  </w:t>
      </w:r>
      <w:r w:rsidRPr="00DB0BA0">
        <w:t>The monthly priced C&amp;S items</w:t>
      </w:r>
      <w:r w:rsidRPr="00D411EF">
        <w:t xml:space="preserve"> include Food at home, Lodging away from home, Tenants insurance, Household fuels, Motor fuels, Motor vehicle parts, equipment and fees, Recreational reading materials, Education, Postage and delivery, Telephone services, and Tobacco products. </w:t>
      </w:r>
      <w:r>
        <w:t xml:space="preserve"> </w:t>
      </w:r>
      <w:r w:rsidRPr="00D411EF">
        <w:t xml:space="preserve">(Note, in the three largest areas, </w:t>
      </w:r>
      <w:smartTag w:uri="urn:schemas-microsoft-com:office:smarttags" w:element="State">
        <w:r w:rsidRPr="00D411EF">
          <w:t>New York</w:t>
        </w:r>
      </w:smartTag>
      <w:r w:rsidRPr="00D411EF">
        <w:t xml:space="preserve">, </w:t>
      </w:r>
      <w:smartTag w:uri="urn:schemas-microsoft-com:office:smarttags" w:element="City">
        <w:r w:rsidRPr="00D411EF">
          <w:t>Chicago</w:t>
        </w:r>
      </w:smartTag>
      <w:r w:rsidRPr="00D411EF">
        <w:t xml:space="preserve"> and </w:t>
      </w:r>
      <w:smartTag w:uri="urn:schemas-microsoft-com:office:smarttags" w:element="place">
        <w:smartTag w:uri="urn:schemas-microsoft-com:office:smarttags" w:element="City">
          <w:r w:rsidRPr="00D411EF">
            <w:t>Los Angeles</w:t>
          </w:r>
        </w:smartTag>
      </w:smartTag>
      <w:r w:rsidRPr="00D411EF">
        <w:t xml:space="preserve"> all sampled items are priced monthly.) </w:t>
      </w:r>
      <w:r>
        <w:t xml:space="preserve"> </w:t>
      </w:r>
      <w:r w:rsidRPr="00D411EF">
        <w:t xml:space="preserve">Other </w:t>
      </w:r>
      <w:r w:rsidR="00C105A9">
        <w:t>C&amp;S</w:t>
      </w:r>
      <w:r w:rsidRPr="00D411EF">
        <w:t xml:space="preserve"> are priced bi-monthly ("even" cycle--February, April, June, August, October and December or "odd" cycle--January, March, May, July, September and November.) </w:t>
      </w:r>
      <w:r w:rsidRPr="00D411EF">
        <w:br/>
      </w:r>
    </w:p>
    <w:p w:rsidRPr="00D411EF" w:rsidR="003D7B1A" w:rsidRDefault="003D7B1A" w14:paraId="2A111B0A" w14:textId="77777777">
      <w:pPr>
        <w:numPr>
          <w:ilvl w:val="0"/>
          <w:numId w:val="1"/>
        </w:numPr>
        <w:spacing w:line="240" w:lineRule="exact"/>
      </w:pPr>
      <w:r w:rsidRPr="00D411EF">
        <w:t>Methods of Maximizing Response</w:t>
      </w:r>
    </w:p>
    <w:p w:rsidRPr="00D411EF" w:rsidR="003D7B1A" w:rsidRDefault="003D7B1A" w14:paraId="6D47277F" w14:textId="77777777">
      <w:pPr>
        <w:pStyle w:val="Header"/>
        <w:tabs>
          <w:tab w:val="clear" w:pos="4320"/>
          <w:tab w:val="clear" w:pos="8640"/>
        </w:tabs>
        <w:spacing w:line="240" w:lineRule="exact"/>
      </w:pPr>
    </w:p>
    <w:p w:rsidR="003D7B1A" w:rsidRDefault="003D7B1A" w14:paraId="5DC31D4F" w14:textId="6794FDCE">
      <w:pPr>
        <w:spacing w:line="240" w:lineRule="exact"/>
      </w:pPr>
      <w:r w:rsidRPr="00D411EF">
        <w:t xml:space="preserve">BLS utilizes several techniques to </w:t>
      </w:r>
      <w:r>
        <w:t>e</w:t>
      </w:r>
      <w:r w:rsidRPr="00D411EF">
        <w:t xml:space="preserve">nsure that adequate sample sizes are maintained for estimating the CPI.  Initial sample sizes are larger than the desired sample sizes to cover initial non-responses, </w:t>
      </w:r>
      <w:r w:rsidR="00C105A9">
        <w:t>e.g.</w:t>
      </w:r>
      <w:r w:rsidRPr="00D411EF">
        <w:t xml:space="preserve">, out-of-business, out-of-scope, refusal, sample items not available, and unable to locate.  </w:t>
      </w:r>
      <w:r>
        <w:t>In rare circumstances, if the</w:t>
      </w:r>
      <w:r w:rsidRPr="00D411EF">
        <w:t xml:space="preserve"> sample of outlets </w:t>
      </w:r>
      <w:r>
        <w:t>is</w:t>
      </w:r>
      <w:r w:rsidRPr="00D411EF">
        <w:t xml:space="preserve"> deemed insufficient, </w:t>
      </w:r>
      <w:r>
        <w:t>the CPI will</w:t>
      </w:r>
      <w:r w:rsidRPr="00D411EF">
        <w:t xml:space="preserve"> continue pricing the current sample.  </w:t>
      </w:r>
    </w:p>
    <w:p w:rsidR="003D7B1A" w:rsidRDefault="003D7B1A" w14:paraId="21484860" w14:textId="77777777">
      <w:pPr>
        <w:spacing w:line="240" w:lineRule="exact"/>
      </w:pPr>
    </w:p>
    <w:p w:rsidR="003D7B1A" w:rsidP="00105603" w:rsidRDefault="003D7B1A" w14:paraId="6D0D5B32" w14:textId="77777777">
      <w:pPr>
        <w:pStyle w:val="ListParagraph"/>
        <w:numPr>
          <w:ilvl w:val="0"/>
          <w:numId w:val="1"/>
        </w:numPr>
        <w:spacing w:line="240" w:lineRule="exact"/>
      </w:pPr>
      <w:r>
        <w:t>Testing Plans/Procedures</w:t>
      </w:r>
    </w:p>
    <w:p w:rsidR="003D7B1A" w:rsidP="00105603" w:rsidRDefault="003D7B1A" w14:paraId="34708294" w14:textId="77777777">
      <w:pPr>
        <w:pStyle w:val="ListParagraph"/>
        <w:spacing w:line="240" w:lineRule="exact"/>
        <w:ind w:left="360"/>
      </w:pPr>
    </w:p>
    <w:p w:rsidR="003D7B1A" w:rsidP="00105603" w:rsidRDefault="003D7B1A" w14:paraId="5B4E3384" w14:textId="77777777">
      <w:pPr>
        <w:spacing w:line="240" w:lineRule="exact"/>
        <w:rPr>
          <w:color w:val="000000"/>
        </w:rPr>
      </w:pPr>
      <w:r>
        <w:rPr>
          <w:color w:val="000000"/>
        </w:rPr>
        <w:t>Periodically, t</w:t>
      </w:r>
      <w:r w:rsidRPr="00235006">
        <w:rPr>
          <w:color w:val="000000"/>
        </w:rPr>
        <w:t xml:space="preserve">he </w:t>
      </w:r>
      <w:r>
        <w:rPr>
          <w:color w:val="000000"/>
        </w:rPr>
        <w:t>CPI</w:t>
      </w:r>
      <w:r w:rsidRPr="00235006">
        <w:rPr>
          <w:color w:val="000000"/>
        </w:rPr>
        <w:t xml:space="preserve"> </w:t>
      </w:r>
      <w:r>
        <w:rPr>
          <w:color w:val="000000"/>
        </w:rPr>
        <w:t>may test a new procedure or method to determine its validity.  Prior to testing of any new questions CPI will submit a nonsubstantive change to OMB for approval.</w:t>
      </w:r>
    </w:p>
    <w:p w:rsidR="003D7B1A" w:rsidRDefault="003D7B1A" w14:paraId="621B414B" w14:textId="77777777">
      <w:pPr>
        <w:spacing w:line="240" w:lineRule="exact"/>
        <w:ind w:left="360"/>
      </w:pPr>
    </w:p>
    <w:p w:rsidRPr="00D411EF" w:rsidR="003D7B1A" w:rsidRDefault="003D7B1A" w14:paraId="4AA4BB21" w14:textId="77777777">
      <w:pPr>
        <w:numPr>
          <w:ilvl w:val="0"/>
          <w:numId w:val="1"/>
        </w:numPr>
        <w:spacing w:line="240" w:lineRule="exact"/>
      </w:pPr>
      <w:r w:rsidRPr="00D411EF">
        <w:t>Statistical Responsibility</w:t>
      </w:r>
    </w:p>
    <w:p w:rsidRPr="00D411EF" w:rsidR="003D7B1A" w:rsidRDefault="003D7B1A" w14:paraId="2CABB582" w14:textId="77777777">
      <w:pPr>
        <w:pStyle w:val="Header"/>
        <w:tabs>
          <w:tab w:val="clear" w:pos="4320"/>
          <w:tab w:val="clear" w:pos="8640"/>
        </w:tabs>
        <w:spacing w:line="240" w:lineRule="exact"/>
      </w:pPr>
    </w:p>
    <w:p w:rsidR="003D7B1A" w:rsidRDefault="00043377" w14:paraId="525F11DE" w14:textId="77777777">
      <w:pPr>
        <w:spacing w:line="240" w:lineRule="exact"/>
      </w:pPr>
      <w:r w:rsidRPr="000B5A85">
        <w:t>Rob Cage</w:t>
      </w:r>
      <w:r w:rsidRPr="000B5A85" w:rsidR="003D7B1A">
        <w:t>, Assistant Commissioner, Division of Consumer Prices and Price Indexes, Office of Prices and Living Conditions of BLS (Telephone: 202-691-695</w:t>
      </w:r>
      <w:r w:rsidRPr="000B5A85">
        <w:t>9</w:t>
      </w:r>
      <w:r w:rsidRPr="000B5A85" w:rsidR="003D7B1A">
        <w:t>) is the</w:t>
      </w:r>
      <w:r w:rsidRPr="00D411EF" w:rsidR="003D7B1A">
        <w:t xml:space="preserve"> CPI pro</w:t>
      </w:r>
      <w:r w:rsidR="003D7B1A">
        <w:t>gram manager and has overall re</w:t>
      </w:r>
      <w:r w:rsidRPr="00D411EF" w:rsidR="003D7B1A">
        <w:t xml:space="preserve">sponsibility for the CPI.  </w:t>
      </w:r>
    </w:p>
    <w:p w:rsidR="003D7B1A" w:rsidRDefault="003D7B1A" w14:paraId="243D6318" w14:textId="77777777">
      <w:pPr>
        <w:spacing w:line="240" w:lineRule="exact"/>
      </w:pPr>
    </w:p>
    <w:p w:rsidR="003D7B1A" w:rsidRDefault="003D7B1A" w14:paraId="620F4358" w14:textId="77777777">
      <w:pPr>
        <w:spacing w:line="240" w:lineRule="exact"/>
      </w:pPr>
      <w:r>
        <w:t>William</w:t>
      </w:r>
      <w:r w:rsidRPr="00D411EF">
        <w:t xml:space="preserve"> Johnson, Chief of the Survey </w:t>
      </w:r>
      <w:r>
        <w:t xml:space="preserve">Research </w:t>
      </w:r>
      <w:r w:rsidRPr="00D411EF">
        <w:t>and Analysis Branch of the Price Statistical Methods Division of the Office of Prices and Living Conditions (Telephone</w:t>
      </w:r>
      <w:r>
        <w:t>:</w:t>
      </w:r>
      <w:r w:rsidRPr="00D411EF">
        <w:t xml:space="preserve"> 202-691-69</w:t>
      </w:r>
      <w:r>
        <w:t>21</w:t>
      </w:r>
      <w:r w:rsidRPr="00D411EF">
        <w:t xml:space="preserve">) has reviewed and approved the statistical methodology for the survey design.  </w:t>
      </w:r>
    </w:p>
    <w:p w:rsidR="003D7B1A" w:rsidRDefault="003D7B1A" w14:paraId="7E976693" w14:textId="77777777">
      <w:pPr>
        <w:spacing w:line="240" w:lineRule="exact"/>
      </w:pPr>
    </w:p>
    <w:p w:rsidR="00A912E9" w:rsidRDefault="00A912E9" w14:paraId="495B24C4" w14:textId="77777777">
      <w:pPr>
        <w:spacing w:line="240" w:lineRule="exact"/>
      </w:pPr>
    </w:p>
    <w:p w:rsidRPr="00E81552" w:rsidR="00A912E9" w:rsidP="00105603" w:rsidRDefault="00A912E9" w14:paraId="7CDEA694" w14:textId="77777777">
      <w:pPr>
        <w:spacing w:line="240" w:lineRule="exact"/>
      </w:pPr>
      <w:r w:rsidRPr="00E81552">
        <w:t>OMB Supporting Statement Attachments:</w:t>
      </w:r>
    </w:p>
    <w:p w:rsidRPr="00E81552" w:rsidR="00A912E9" w:rsidP="00105603" w:rsidRDefault="00A912E9" w14:paraId="04A96CFC" w14:textId="77777777">
      <w:pPr>
        <w:spacing w:line="240" w:lineRule="exact"/>
      </w:pPr>
    </w:p>
    <w:p w:rsidRPr="00E81552" w:rsidR="00A912E9" w:rsidP="00105603" w:rsidRDefault="00A912E9" w14:paraId="72C6C4B4" w14:textId="77777777">
      <w:pPr>
        <w:numPr>
          <w:ilvl w:val="0"/>
          <w:numId w:val="3"/>
        </w:numPr>
        <w:spacing w:line="240" w:lineRule="exact"/>
      </w:pPr>
      <w:r w:rsidRPr="00E81552">
        <w:t>Screen Shots-Collection Instrument for C&amp;S</w:t>
      </w:r>
    </w:p>
    <w:p w:rsidR="00A912E9" w:rsidP="00105603" w:rsidRDefault="00A912E9" w14:paraId="4E752055" w14:textId="77777777">
      <w:pPr>
        <w:numPr>
          <w:ilvl w:val="0"/>
          <w:numId w:val="3"/>
        </w:numPr>
        <w:spacing w:line="240" w:lineRule="exact"/>
      </w:pPr>
      <w:r w:rsidRPr="00E81552">
        <w:rPr>
          <w:i/>
        </w:rPr>
        <w:t>The Consumer Price Index Commodities and Service Survey: Questions &amp; Answers</w:t>
      </w:r>
      <w:r w:rsidRPr="00E81552">
        <w:t xml:space="preserve"> Pamphlet</w:t>
      </w:r>
    </w:p>
    <w:p w:rsidRPr="00E81552" w:rsidR="00050CF4" w:rsidP="00105603" w:rsidRDefault="00050CF4" w14:paraId="22D9DA4F" w14:textId="1A98D341">
      <w:pPr>
        <w:numPr>
          <w:ilvl w:val="0"/>
          <w:numId w:val="3"/>
        </w:numPr>
        <w:spacing w:line="240" w:lineRule="exact"/>
      </w:pPr>
      <w:r>
        <w:rPr>
          <w:i/>
        </w:rPr>
        <w:t xml:space="preserve">The Consumer Price Index Commodities and Service Survey:  Questions &amp; Answers </w:t>
      </w:r>
      <w:r w:rsidRPr="00050CF4">
        <w:t>Pamphlet</w:t>
      </w:r>
      <w:r>
        <w:rPr>
          <w:i/>
        </w:rPr>
        <w:t xml:space="preserve"> </w:t>
      </w:r>
      <w:r w:rsidRPr="00050CF4">
        <w:t>(Spanish</w:t>
      </w:r>
      <w:r>
        <w:rPr>
          <w:i/>
        </w:rPr>
        <w:t xml:space="preserve"> </w:t>
      </w:r>
      <w:r w:rsidRPr="00050CF4">
        <w:t>version)</w:t>
      </w:r>
    </w:p>
    <w:p w:rsidRPr="00E81552" w:rsidR="00A912E9" w:rsidP="00105603" w:rsidRDefault="00A912E9" w14:paraId="7E6628ED" w14:textId="5300AB0A">
      <w:pPr>
        <w:numPr>
          <w:ilvl w:val="0"/>
          <w:numId w:val="3"/>
        </w:numPr>
        <w:spacing w:line="240" w:lineRule="exact"/>
      </w:pPr>
      <w:r w:rsidRPr="00E81552">
        <w:rPr>
          <w:i/>
        </w:rPr>
        <w:t xml:space="preserve">The Consumer Price Index: Modernizing </w:t>
      </w:r>
      <w:r w:rsidRPr="00E81552" w:rsidR="00E81552">
        <w:rPr>
          <w:i/>
        </w:rPr>
        <w:t xml:space="preserve">Data Collection: </w:t>
      </w:r>
      <w:r w:rsidRPr="00E81552">
        <w:rPr>
          <w:i/>
        </w:rPr>
        <w:t xml:space="preserve">APIs and Web Scraping </w:t>
      </w:r>
      <w:r w:rsidRPr="00E81552" w:rsidR="00E81552">
        <w:t>Fact Sheet</w:t>
      </w:r>
    </w:p>
    <w:p w:rsidRPr="00E81552" w:rsidR="00A912E9" w:rsidP="00105603" w:rsidRDefault="00A912E9" w14:paraId="303D1A50" w14:textId="77777777">
      <w:pPr>
        <w:numPr>
          <w:ilvl w:val="0"/>
          <w:numId w:val="3"/>
        </w:numPr>
        <w:spacing w:line="240" w:lineRule="exact"/>
      </w:pPr>
      <w:r w:rsidRPr="00E81552">
        <w:rPr>
          <w:i/>
        </w:rPr>
        <w:t xml:space="preserve">The Consumer Price Index: Modernizing Data Collection: APIs and Web Scraping </w:t>
      </w:r>
      <w:r w:rsidRPr="00E81552">
        <w:t>Pamphlet</w:t>
      </w:r>
    </w:p>
    <w:p w:rsidRPr="00E81552" w:rsidR="00A912E9" w:rsidP="00105603" w:rsidRDefault="00A912E9" w14:paraId="33273F9D" w14:textId="77777777">
      <w:pPr>
        <w:numPr>
          <w:ilvl w:val="0"/>
          <w:numId w:val="3"/>
        </w:numPr>
        <w:spacing w:line="240" w:lineRule="exact"/>
      </w:pPr>
      <w:r w:rsidRPr="00E81552">
        <w:t>C&amp;S Introductory Letter from a Regional Commissioner of Labor Statistics</w:t>
      </w:r>
    </w:p>
    <w:p w:rsidR="006A79BB" w:rsidP="00105603" w:rsidRDefault="006A79BB" w14:paraId="0F57D721" w14:textId="77777777">
      <w:pPr>
        <w:spacing w:line="240" w:lineRule="exact"/>
      </w:pPr>
    </w:p>
    <w:sectPr w:rsidR="006A79BB" w:rsidSect="003D7B1A">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E5038" w14:textId="77777777" w:rsidR="00B965F2" w:rsidRDefault="00B965F2" w:rsidP="003D7B1A">
      <w:r>
        <w:separator/>
      </w:r>
    </w:p>
  </w:endnote>
  <w:endnote w:type="continuationSeparator" w:id="0">
    <w:p w14:paraId="787F9525" w14:textId="77777777" w:rsidR="00B965F2" w:rsidRDefault="00B965F2" w:rsidP="003D7B1A">
      <w:r>
        <w:continuationSeparator/>
      </w:r>
    </w:p>
  </w:endnote>
  <w:endnote w:id="1">
    <w:p w14:paraId="093A2047" w14:textId="77777777" w:rsidR="000A3F49" w:rsidRDefault="000A3F49" w:rsidP="003D7B1A">
      <w:pPr>
        <w:pStyle w:val="Heading3"/>
      </w:pPr>
      <w:r w:rsidRPr="00A619FA">
        <w:rPr>
          <w:rStyle w:val="EndnoteReference"/>
          <w:u w:val="none"/>
        </w:rPr>
        <w:endnoteRef/>
      </w:r>
      <w:r w:rsidRPr="00A619FA">
        <w:rPr>
          <w:u w:val="none"/>
        </w:rPr>
        <w:t xml:space="preserve"> </w:t>
      </w:r>
      <w:r w:rsidRPr="00A619FA">
        <w:rPr>
          <w:sz w:val="22"/>
          <w:szCs w:val="22"/>
          <w:u w:val="none"/>
        </w:rPr>
        <w:t>For additional details regarding the C-CPI-U, please see BLS Handbook of Methods, Chapter 17, The Consumer Price Index, pages</w:t>
      </w:r>
      <w:r>
        <w:rPr>
          <w:sz w:val="22"/>
          <w:szCs w:val="22"/>
          <w:u w:val="none"/>
        </w:rPr>
        <w:t xml:space="preserve"> 28-34</w:t>
      </w:r>
      <w:r w:rsidRPr="00A619FA">
        <w:rPr>
          <w:sz w:val="22"/>
          <w:szCs w:val="22"/>
          <w:u w:val="none"/>
        </w:rPr>
        <w:t xml:space="preserve">.  </w:t>
      </w:r>
      <w:r w:rsidRPr="004172A8">
        <w:rPr>
          <w:sz w:val="22"/>
          <w:szCs w:val="22"/>
          <w:u w:val="none"/>
        </w:rPr>
        <w:t>https://www.bls.gov/opub/hom/pdf/homch17.pdf</w:t>
      </w:r>
    </w:p>
  </w:endnote>
  <w:endnote w:id="2">
    <w:p w14:paraId="15F4F6AC" w14:textId="77777777" w:rsidR="000A3F49" w:rsidRPr="00A619FA" w:rsidRDefault="000A3F49" w:rsidP="003D7B1A">
      <w:pPr>
        <w:pStyle w:val="EndnoteText"/>
        <w:rPr>
          <w:sz w:val="22"/>
          <w:szCs w:val="22"/>
        </w:rPr>
      </w:pPr>
      <w:r>
        <w:rPr>
          <w:rStyle w:val="EndnoteReference"/>
        </w:rPr>
        <w:endnoteRef/>
      </w:r>
      <w:r>
        <w:t xml:space="preserve"> </w:t>
      </w:r>
      <w:r w:rsidRPr="00A619FA">
        <w:rPr>
          <w:sz w:val="22"/>
          <w:szCs w:val="22"/>
        </w:rPr>
        <w:t xml:space="preserve">For a complete description of the allocation process, see: Jacobson, Shawn, Leaver, Sylvia G. and Swanson, David C. (1998), “Choosing a Variance Computation Method for The Revised Consumer Price Index,” </w:t>
      </w:r>
      <w:r w:rsidRPr="00A619FA">
        <w:rPr>
          <w:sz w:val="22"/>
          <w:szCs w:val="22"/>
          <w:u w:val="single"/>
        </w:rPr>
        <w:t>Proceedings of the Business and Economics Statistical Section</w:t>
      </w:r>
      <w:r w:rsidRPr="002C2D5B">
        <w:rPr>
          <w:sz w:val="22"/>
          <w:szCs w:val="22"/>
        </w:rPr>
        <w:t xml:space="preserve">, </w:t>
      </w:r>
      <w:r w:rsidRPr="00A619FA">
        <w:rPr>
          <w:sz w:val="22"/>
          <w:szCs w:val="22"/>
        </w:rPr>
        <w:t>American Statistical Association, 131-136, and Swanson, David C., (1999).</w:t>
      </w:r>
    </w:p>
  </w:endnote>
  <w:endnote w:id="3">
    <w:p w14:paraId="71A7E4C5" w14:textId="77777777" w:rsidR="000A3F49" w:rsidRPr="00E25193" w:rsidRDefault="000A3F49" w:rsidP="003D7B1A">
      <w:pPr>
        <w:pStyle w:val="Heading3"/>
      </w:pPr>
      <w:r w:rsidRPr="00A619FA">
        <w:rPr>
          <w:rStyle w:val="EndnoteReference"/>
          <w:u w:val="none"/>
        </w:rPr>
        <w:endnoteRef/>
      </w:r>
      <w:r w:rsidRPr="00A619FA">
        <w:rPr>
          <w:u w:val="none"/>
        </w:rPr>
        <w:t xml:space="preserve"> </w:t>
      </w:r>
      <w:r w:rsidRPr="00A619FA">
        <w:rPr>
          <w:sz w:val="22"/>
          <w:szCs w:val="22"/>
          <w:u w:val="none"/>
        </w:rPr>
        <w:t>For additional details regarding variance estimation, please see BLS Handbook of Methods, Chapter 17, The Consumer Price Index, pages</w:t>
      </w:r>
      <w:r>
        <w:rPr>
          <w:sz w:val="22"/>
          <w:szCs w:val="22"/>
          <w:u w:val="none"/>
        </w:rPr>
        <w:t xml:space="preserve"> 37-39</w:t>
      </w:r>
      <w:r w:rsidRPr="00A619FA">
        <w:rPr>
          <w:sz w:val="22"/>
          <w:szCs w:val="22"/>
          <w:u w:val="none"/>
        </w:rPr>
        <w:t xml:space="preserve">.  </w:t>
      </w:r>
      <w:r w:rsidRPr="006576A9">
        <w:rPr>
          <w:sz w:val="22"/>
          <w:szCs w:val="22"/>
          <w:u w:val="none"/>
        </w:rPr>
        <w:t>https://www.bls.gov/opub/hom/pdf/homch17.pdf</w:t>
      </w:r>
    </w:p>
    <w:p w14:paraId="510053EC" w14:textId="77777777" w:rsidR="000A3F49" w:rsidRDefault="000A3F49" w:rsidP="003D7B1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Uni">
    <w:altName w:val="Arial Unicode MS"/>
    <w:charset w:val="80"/>
    <w:family w:val="roman"/>
    <w:pitch w:val="variable"/>
    <w:sig w:usb0="B334AAFF" w:usb1="F9DFFFFF" w:usb2="0000003E" w:usb3="00000000" w:csb0="001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5D728" w14:textId="77777777" w:rsidR="00210165" w:rsidRDefault="00664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DC0B6D" w14:textId="77777777" w:rsidR="00210165" w:rsidRDefault="008C4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F8C5E" w14:textId="77777777" w:rsidR="00210165" w:rsidRDefault="00664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4472">
      <w:rPr>
        <w:rStyle w:val="PageNumber"/>
        <w:noProof/>
      </w:rPr>
      <w:t>2</w:t>
    </w:r>
    <w:r>
      <w:rPr>
        <w:rStyle w:val="PageNumber"/>
      </w:rPr>
      <w:fldChar w:fldCharType="end"/>
    </w:r>
  </w:p>
  <w:p w14:paraId="3898C58B" w14:textId="77777777" w:rsidR="00210165" w:rsidRDefault="008C4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D1D59" w14:textId="77777777" w:rsidR="0047331E" w:rsidRDefault="00473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B591D" w14:textId="77777777" w:rsidR="00B965F2" w:rsidRDefault="00B965F2" w:rsidP="003D7B1A">
      <w:r>
        <w:separator/>
      </w:r>
    </w:p>
  </w:footnote>
  <w:footnote w:type="continuationSeparator" w:id="0">
    <w:p w14:paraId="50581E53" w14:textId="77777777" w:rsidR="00B965F2" w:rsidRDefault="00B965F2" w:rsidP="003D7B1A">
      <w:r>
        <w:continuationSeparator/>
      </w:r>
    </w:p>
  </w:footnote>
  <w:footnote w:id="1">
    <w:p w14:paraId="30EA187C" w14:textId="51B7895E" w:rsidR="008869F5" w:rsidRPr="007C2A83" w:rsidRDefault="00BB28E6" w:rsidP="008869F5">
      <w:pPr>
        <w:pStyle w:val="ListParagraph"/>
        <w:ind w:left="90"/>
        <w:rPr>
          <w:i/>
          <w:iCs/>
          <w:color w:val="000000" w:themeColor="text1"/>
          <w:sz w:val="22"/>
        </w:rPr>
      </w:pPr>
      <w:r>
        <w:rPr>
          <w:rStyle w:val="FootnoteReference"/>
          <w:sz w:val="20"/>
        </w:rPr>
        <w:footnoteRef/>
      </w:r>
      <w:r>
        <w:rPr>
          <w:i/>
          <w:iCs/>
          <w:color w:val="000000" w:themeColor="text1"/>
        </w:rPr>
        <w:t xml:space="preserve"> </w:t>
      </w:r>
      <w:r w:rsidR="008869F5" w:rsidRPr="007C2A83">
        <w:rPr>
          <w:iCs/>
          <w:color w:val="000000" w:themeColor="text1"/>
          <w:sz w:val="22"/>
        </w:rPr>
        <w:t>The estimated unable to locate outlets that are eligible (0.829%) was computed by multiplying the unable to locate outlet rate (0.9%) with the unable to locate units but are eligible rate (92.1%). The unable to locate units but are eligible rate (92.1%) is based on the percentage of located units that are eligible: 92.1% = (72.9 + 16.4 + 2.0) /</w:t>
      </w:r>
      <w:r w:rsidR="001824E3" w:rsidRPr="007C2A83">
        <w:rPr>
          <w:iCs/>
          <w:color w:val="000000" w:themeColor="text1"/>
          <w:sz w:val="22"/>
        </w:rPr>
        <w:t xml:space="preserve"> (72.9 + 16.4 + 2.0 + 5.0 + 2.8</w:t>
      </w:r>
      <w:r w:rsidR="009E246D">
        <w:rPr>
          <w:iCs/>
          <w:color w:val="000000" w:themeColor="text1"/>
          <w:sz w:val="22"/>
        </w:rPr>
        <w:t>)</w:t>
      </w:r>
      <w:r w:rsidR="001824E3" w:rsidRPr="007C2A83">
        <w:rPr>
          <w:iCs/>
          <w:color w:val="000000" w:themeColor="text1"/>
          <w:sz w:val="22"/>
        </w:rPr>
        <w:t>.</w:t>
      </w:r>
    </w:p>
    <w:p w14:paraId="2CAC5200" w14:textId="4E325FD1" w:rsidR="000A3F49" w:rsidRDefault="000A3F49">
      <w:pPr>
        <w:pStyle w:val="FootnoteText"/>
      </w:pPr>
    </w:p>
  </w:footnote>
  <w:footnote w:id="2">
    <w:p w14:paraId="1C65D008" w14:textId="14B9BF88" w:rsidR="00CF1AB9" w:rsidRPr="007C2A83" w:rsidRDefault="00CF1AB9">
      <w:pPr>
        <w:pStyle w:val="FootnoteText"/>
        <w:rPr>
          <w:sz w:val="22"/>
          <w:szCs w:val="22"/>
        </w:rPr>
      </w:pPr>
      <w:r>
        <w:rPr>
          <w:rStyle w:val="FootnoteReference"/>
        </w:rPr>
        <w:footnoteRef/>
      </w:r>
      <w:r>
        <w:t xml:space="preserve"> </w:t>
      </w:r>
      <w:r w:rsidRPr="007C2A83">
        <w:rPr>
          <w:sz w:val="22"/>
          <w:szCs w:val="22"/>
        </w:rPr>
        <w:t>TPOPS – OMB Control Number 1220-0044</w:t>
      </w:r>
    </w:p>
  </w:footnote>
  <w:footnote w:id="3">
    <w:p w14:paraId="528032E2" w14:textId="54E4CA24" w:rsidR="00E97DC1" w:rsidRPr="007C2A83" w:rsidRDefault="00FD0E5D">
      <w:pPr>
        <w:pStyle w:val="FootnoteText"/>
        <w:rPr>
          <w:sz w:val="22"/>
          <w:szCs w:val="22"/>
          <w:vertAlign w:val="superscript"/>
        </w:rPr>
      </w:pPr>
      <w:r w:rsidRPr="007C2A83">
        <w:rPr>
          <w:rStyle w:val="FootnoteReference"/>
          <w:sz w:val="22"/>
          <w:szCs w:val="22"/>
        </w:rPr>
        <w:footnoteRef/>
      </w:r>
      <w:r w:rsidRPr="007C2A83">
        <w:rPr>
          <w:sz w:val="22"/>
          <w:szCs w:val="22"/>
        </w:rPr>
        <w:t xml:space="preserve"> CE – OMB Control Number 1220-0050</w:t>
      </w:r>
    </w:p>
  </w:footnote>
  <w:footnote w:id="4">
    <w:p w14:paraId="6F07F561" w14:textId="2BC9EF56" w:rsidR="00E97DC1" w:rsidRDefault="00E97DC1">
      <w:pPr>
        <w:pStyle w:val="FootnoteText"/>
      </w:pPr>
      <w:r w:rsidRPr="007C2A83">
        <w:rPr>
          <w:rStyle w:val="FootnoteReference"/>
          <w:sz w:val="22"/>
          <w:szCs w:val="22"/>
        </w:rPr>
        <w:footnoteRef/>
      </w:r>
      <w:r w:rsidRPr="007C2A83">
        <w:rPr>
          <w:sz w:val="22"/>
          <w:szCs w:val="22"/>
        </w:rPr>
        <w:t xml:space="preserve"> QCEW – OMB Control Number 1220-0012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6E1DD" w14:textId="77777777" w:rsidR="00210165" w:rsidRDefault="006640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9F388C3" w14:textId="77777777" w:rsidR="00210165" w:rsidRDefault="008C447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183E0" w14:textId="77777777" w:rsidR="00210165" w:rsidRDefault="008C4472">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72CED" w14:textId="0F123981" w:rsidR="00A912E9" w:rsidRPr="00CB5188" w:rsidRDefault="00A912E9" w:rsidP="00A912E9">
    <w:pPr>
      <w:pBdr>
        <w:bottom w:val="single" w:sz="6" w:space="4" w:color="auto"/>
      </w:pBdr>
      <w:tabs>
        <w:tab w:val="center" w:pos="4320"/>
        <w:tab w:val="right" w:pos="8640"/>
      </w:tabs>
      <w:rPr>
        <w:sz w:val="20"/>
      </w:rPr>
    </w:pPr>
    <w:r>
      <w:rPr>
        <w:sz w:val="20"/>
      </w:rPr>
      <w:t>Consumer Price Index Commodities and Services</w:t>
    </w:r>
    <w:r w:rsidRPr="00CB5188">
      <w:rPr>
        <w:sz w:val="20"/>
      </w:rPr>
      <w:t xml:space="preserve"> </w:t>
    </w:r>
  </w:p>
  <w:p w14:paraId="5B833D3D" w14:textId="77777777" w:rsidR="00A912E9" w:rsidRDefault="00A912E9" w:rsidP="00A912E9">
    <w:pPr>
      <w:pBdr>
        <w:bottom w:val="single" w:sz="6" w:space="4" w:color="auto"/>
      </w:pBdr>
      <w:tabs>
        <w:tab w:val="center" w:pos="4320"/>
        <w:tab w:val="right" w:pos="8640"/>
      </w:tabs>
      <w:rPr>
        <w:sz w:val="20"/>
      </w:rPr>
    </w:pPr>
    <w:r w:rsidRPr="00CB5188">
      <w:rPr>
        <w:sz w:val="20"/>
      </w:rPr>
      <w:t>OMB Number 1220-0</w:t>
    </w:r>
    <w:r>
      <w:rPr>
        <w:sz w:val="20"/>
      </w:rPr>
      <w:t>039</w:t>
    </w:r>
  </w:p>
  <w:p w14:paraId="3AD09527" w14:textId="75F59756" w:rsidR="00A912E9" w:rsidRPr="00CB5188" w:rsidRDefault="0047331E" w:rsidP="00A912E9">
    <w:pPr>
      <w:pBdr>
        <w:bottom w:val="single" w:sz="6" w:space="4" w:color="auto"/>
      </w:pBdr>
      <w:tabs>
        <w:tab w:val="center" w:pos="4320"/>
        <w:tab w:val="right" w:pos="8640"/>
      </w:tabs>
      <w:rPr>
        <w:sz w:val="20"/>
      </w:rPr>
    </w:pPr>
    <w:r>
      <w:rPr>
        <w:sz w:val="20"/>
      </w:rPr>
      <w:t xml:space="preserve">April </w:t>
    </w:r>
    <w:r w:rsidR="00A912E9">
      <w:rPr>
        <w:sz w:val="20"/>
      </w:rPr>
      <w:t>2020</w:t>
    </w:r>
  </w:p>
  <w:p w14:paraId="2B81ECEC" w14:textId="72A389D8" w:rsidR="00210165" w:rsidRDefault="008C4472" w:rsidP="00A912E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1065A"/>
    <w:multiLevelType w:val="hybridMultilevel"/>
    <w:tmpl w:val="98DA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D18F2"/>
    <w:multiLevelType w:val="hybridMultilevel"/>
    <w:tmpl w:val="6B8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01FBC"/>
    <w:multiLevelType w:val="hybridMultilevel"/>
    <w:tmpl w:val="FE8C0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B27EA"/>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BA21DF4"/>
    <w:multiLevelType w:val="hybridMultilevel"/>
    <w:tmpl w:val="8FECD5E0"/>
    <w:lvl w:ilvl="0" w:tplc="8BB6254E">
      <w:start w:val="6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B1A"/>
    <w:rsid w:val="0000455E"/>
    <w:rsid w:val="00021748"/>
    <w:rsid w:val="00043377"/>
    <w:rsid w:val="00050CF4"/>
    <w:rsid w:val="00060B28"/>
    <w:rsid w:val="00070748"/>
    <w:rsid w:val="00087E16"/>
    <w:rsid w:val="000A3F49"/>
    <w:rsid w:val="000B5A85"/>
    <w:rsid w:val="000D29B3"/>
    <w:rsid w:val="000E2DF3"/>
    <w:rsid w:val="000E493A"/>
    <w:rsid w:val="000E537A"/>
    <w:rsid w:val="00105603"/>
    <w:rsid w:val="00116252"/>
    <w:rsid w:val="00125DF8"/>
    <w:rsid w:val="00144D5A"/>
    <w:rsid w:val="0014730B"/>
    <w:rsid w:val="0018082D"/>
    <w:rsid w:val="001824E3"/>
    <w:rsid w:val="00190859"/>
    <w:rsid w:val="00196723"/>
    <w:rsid w:val="001C595B"/>
    <w:rsid w:val="001C7954"/>
    <w:rsid w:val="001E37A3"/>
    <w:rsid w:val="001E500E"/>
    <w:rsid w:val="001F092E"/>
    <w:rsid w:val="001F6322"/>
    <w:rsid w:val="00211D2E"/>
    <w:rsid w:val="00243B1E"/>
    <w:rsid w:val="002612B2"/>
    <w:rsid w:val="0027304B"/>
    <w:rsid w:val="0027555B"/>
    <w:rsid w:val="00290A57"/>
    <w:rsid w:val="00290B91"/>
    <w:rsid w:val="00293040"/>
    <w:rsid w:val="002C2C0B"/>
    <w:rsid w:val="002D706B"/>
    <w:rsid w:val="002F2667"/>
    <w:rsid w:val="002F4246"/>
    <w:rsid w:val="00306662"/>
    <w:rsid w:val="003169B3"/>
    <w:rsid w:val="00340EC9"/>
    <w:rsid w:val="00353DFF"/>
    <w:rsid w:val="0036694D"/>
    <w:rsid w:val="00370B2A"/>
    <w:rsid w:val="00371013"/>
    <w:rsid w:val="00377417"/>
    <w:rsid w:val="003912F2"/>
    <w:rsid w:val="00391BF8"/>
    <w:rsid w:val="00395AA9"/>
    <w:rsid w:val="003B191E"/>
    <w:rsid w:val="003C2C21"/>
    <w:rsid w:val="003C3E64"/>
    <w:rsid w:val="003D2CFC"/>
    <w:rsid w:val="003D4B76"/>
    <w:rsid w:val="003D7B1A"/>
    <w:rsid w:val="003F004C"/>
    <w:rsid w:val="003F0484"/>
    <w:rsid w:val="003F3628"/>
    <w:rsid w:val="00414E08"/>
    <w:rsid w:val="004211FC"/>
    <w:rsid w:val="0047331E"/>
    <w:rsid w:val="00474AE4"/>
    <w:rsid w:val="00487FE0"/>
    <w:rsid w:val="004A027E"/>
    <w:rsid w:val="004B1003"/>
    <w:rsid w:val="004B3716"/>
    <w:rsid w:val="004B6A92"/>
    <w:rsid w:val="004E2C9A"/>
    <w:rsid w:val="004E4197"/>
    <w:rsid w:val="005152B7"/>
    <w:rsid w:val="00520FAA"/>
    <w:rsid w:val="005239FF"/>
    <w:rsid w:val="0052584C"/>
    <w:rsid w:val="00550E79"/>
    <w:rsid w:val="00575080"/>
    <w:rsid w:val="005B5B51"/>
    <w:rsid w:val="005E10D8"/>
    <w:rsid w:val="005E3431"/>
    <w:rsid w:val="005E776B"/>
    <w:rsid w:val="005F0650"/>
    <w:rsid w:val="0060251C"/>
    <w:rsid w:val="00615305"/>
    <w:rsid w:val="0062024A"/>
    <w:rsid w:val="0062487C"/>
    <w:rsid w:val="00664085"/>
    <w:rsid w:val="00672E29"/>
    <w:rsid w:val="00685DCE"/>
    <w:rsid w:val="006A11CC"/>
    <w:rsid w:val="006A79BB"/>
    <w:rsid w:val="006C472E"/>
    <w:rsid w:val="006C670A"/>
    <w:rsid w:val="006C6F06"/>
    <w:rsid w:val="006E6265"/>
    <w:rsid w:val="0070631F"/>
    <w:rsid w:val="007066F0"/>
    <w:rsid w:val="00720A1F"/>
    <w:rsid w:val="00721040"/>
    <w:rsid w:val="00721F85"/>
    <w:rsid w:val="007308DA"/>
    <w:rsid w:val="00767A2A"/>
    <w:rsid w:val="00783DED"/>
    <w:rsid w:val="007942EA"/>
    <w:rsid w:val="007A4120"/>
    <w:rsid w:val="007C2A83"/>
    <w:rsid w:val="007C6C8A"/>
    <w:rsid w:val="007D13ED"/>
    <w:rsid w:val="007E7A75"/>
    <w:rsid w:val="007F4077"/>
    <w:rsid w:val="0080589A"/>
    <w:rsid w:val="008433A0"/>
    <w:rsid w:val="00852C30"/>
    <w:rsid w:val="00885B91"/>
    <w:rsid w:val="008869F5"/>
    <w:rsid w:val="00890884"/>
    <w:rsid w:val="008B15F7"/>
    <w:rsid w:val="008C0503"/>
    <w:rsid w:val="008C4472"/>
    <w:rsid w:val="008C7DD3"/>
    <w:rsid w:val="008D4167"/>
    <w:rsid w:val="008E5835"/>
    <w:rsid w:val="008F58F5"/>
    <w:rsid w:val="009000CC"/>
    <w:rsid w:val="009241B7"/>
    <w:rsid w:val="00950569"/>
    <w:rsid w:val="009543B4"/>
    <w:rsid w:val="009655B7"/>
    <w:rsid w:val="00967C34"/>
    <w:rsid w:val="00975C98"/>
    <w:rsid w:val="00975FA0"/>
    <w:rsid w:val="00984DE4"/>
    <w:rsid w:val="009B636E"/>
    <w:rsid w:val="009C50EA"/>
    <w:rsid w:val="009C5741"/>
    <w:rsid w:val="009C5F6F"/>
    <w:rsid w:val="009C691D"/>
    <w:rsid w:val="009C72B5"/>
    <w:rsid w:val="009D6889"/>
    <w:rsid w:val="009E246D"/>
    <w:rsid w:val="009E6669"/>
    <w:rsid w:val="009F4634"/>
    <w:rsid w:val="009F49EB"/>
    <w:rsid w:val="00A200A4"/>
    <w:rsid w:val="00A7027E"/>
    <w:rsid w:val="00A87A92"/>
    <w:rsid w:val="00A912E9"/>
    <w:rsid w:val="00AA249F"/>
    <w:rsid w:val="00AB1254"/>
    <w:rsid w:val="00B05D74"/>
    <w:rsid w:val="00B10B17"/>
    <w:rsid w:val="00B24B72"/>
    <w:rsid w:val="00B26A9E"/>
    <w:rsid w:val="00B32149"/>
    <w:rsid w:val="00B35051"/>
    <w:rsid w:val="00B44338"/>
    <w:rsid w:val="00B51D46"/>
    <w:rsid w:val="00B54A72"/>
    <w:rsid w:val="00B55C2F"/>
    <w:rsid w:val="00B84DC6"/>
    <w:rsid w:val="00B965F2"/>
    <w:rsid w:val="00BB03A6"/>
    <w:rsid w:val="00BB28E6"/>
    <w:rsid w:val="00BC566E"/>
    <w:rsid w:val="00BD4055"/>
    <w:rsid w:val="00BD4D99"/>
    <w:rsid w:val="00BE7F82"/>
    <w:rsid w:val="00BF560E"/>
    <w:rsid w:val="00BF7A1F"/>
    <w:rsid w:val="00C04B51"/>
    <w:rsid w:val="00C067E2"/>
    <w:rsid w:val="00C105A9"/>
    <w:rsid w:val="00C1320E"/>
    <w:rsid w:val="00C2008E"/>
    <w:rsid w:val="00C20CAB"/>
    <w:rsid w:val="00C272B5"/>
    <w:rsid w:val="00C320E1"/>
    <w:rsid w:val="00C34AEE"/>
    <w:rsid w:val="00C812DB"/>
    <w:rsid w:val="00CA0AE9"/>
    <w:rsid w:val="00CC5C8C"/>
    <w:rsid w:val="00CD0B8C"/>
    <w:rsid w:val="00CD747B"/>
    <w:rsid w:val="00CE3978"/>
    <w:rsid w:val="00CF1AB9"/>
    <w:rsid w:val="00CF70EF"/>
    <w:rsid w:val="00D02175"/>
    <w:rsid w:val="00D060FB"/>
    <w:rsid w:val="00D0697F"/>
    <w:rsid w:val="00D37D5A"/>
    <w:rsid w:val="00D45783"/>
    <w:rsid w:val="00D63EC0"/>
    <w:rsid w:val="00D65556"/>
    <w:rsid w:val="00D752D6"/>
    <w:rsid w:val="00D7648E"/>
    <w:rsid w:val="00DC0BA4"/>
    <w:rsid w:val="00DC191A"/>
    <w:rsid w:val="00DE047D"/>
    <w:rsid w:val="00E013D1"/>
    <w:rsid w:val="00E04901"/>
    <w:rsid w:val="00E07600"/>
    <w:rsid w:val="00E16E08"/>
    <w:rsid w:val="00E2178E"/>
    <w:rsid w:val="00E339ED"/>
    <w:rsid w:val="00E347D9"/>
    <w:rsid w:val="00E50CBE"/>
    <w:rsid w:val="00E542CA"/>
    <w:rsid w:val="00E81552"/>
    <w:rsid w:val="00E97DC1"/>
    <w:rsid w:val="00EA062F"/>
    <w:rsid w:val="00EA2A42"/>
    <w:rsid w:val="00EB0AA9"/>
    <w:rsid w:val="00EC0E74"/>
    <w:rsid w:val="00EE2025"/>
    <w:rsid w:val="00EE358F"/>
    <w:rsid w:val="00F27247"/>
    <w:rsid w:val="00F55688"/>
    <w:rsid w:val="00F76A49"/>
    <w:rsid w:val="00FD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37EFD62"/>
  <w15:chartTrackingRefBased/>
  <w15:docId w15:val="{F4A7F7BA-9799-4F70-9CB6-B5FF137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B1A"/>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3D7B1A"/>
    <w:pPr>
      <w:keepNext/>
      <w:spacing w:line="240" w:lineRule="exact"/>
      <w:jc w:val="center"/>
      <w:outlineLvl w:val="1"/>
    </w:pPr>
  </w:style>
  <w:style w:type="paragraph" w:styleId="Heading3">
    <w:name w:val="heading 3"/>
    <w:basedOn w:val="Normal"/>
    <w:next w:val="Normal"/>
    <w:link w:val="Heading3Char"/>
    <w:qFormat/>
    <w:rsid w:val="003D7B1A"/>
    <w:pPr>
      <w:keepNext/>
      <w:spacing w:line="240" w:lineRule="exac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7B1A"/>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9"/>
    <w:rsid w:val="003D7B1A"/>
    <w:rPr>
      <w:rFonts w:ascii="Times New Roman" w:eastAsia="Times New Roman" w:hAnsi="Times New Roman" w:cs="Times New Roman"/>
      <w:sz w:val="24"/>
      <w:szCs w:val="20"/>
      <w:u w:val="single"/>
    </w:rPr>
  </w:style>
  <w:style w:type="paragraph" w:styleId="Header">
    <w:name w:val="header"/>
    <w:basedOn w:val="Normal"/>
    <w:link w:val="HeaderChar"/>
    <w:rsid w:val="003D7B1A"/>
    <w:pPr>
      <w:tabs>
        <w:tab w:val="center" w:pos="4320"/>
        <w:tab w:val="right" w:pos="8640"/>
      </w:tabs>
    </w:pPr>
  </w:style>
  <w:style w:type="character" w:customStyle="1" w:styleId="HeaderChar">
    <w:name w:val="Header Char"/>
    <w:basedOn w:val="DefaultParagraphFont"/>
    <w:link w:val="Header"/>
    <w:rsid w:val="003D7B1A"/>
    <w:rPr>
      <w:rFonts w:ascii="Times New Roman" w:eastAsia="Times New Roman" w:hAnsi="Times New Roman" w:cs="Times New Roman"/>
      <w:sz w:val="24"/>
      <w:szCs w:val="20"/>
    </w:rPr>
  </w:style>
  <w:style w:type="character" w:styleId="PageNumber">
    <w:name w:val="page number"/>
    <w:basedOn w:val="DefaultParagraphFont"/>
    <w:rsid w:val="003D7B1A"/>
  </w:style>
  <w:style w:type="paragraph" w:styleId="BodyText">
    <w:name w:val="Body Text"/>
    <w:basedOn w:val="Normal"/>
    <w:link w:val="BodyTextChar"/>
    <w:rsid w:val="003D7B1A"/>
    <w:pPr>
      <w:spacing w:line="240" w:lineRule="exact"/>
    </w:pPr>
    <w:rPr>
      <w:rFonts w:ascii="Courier" w:hAnsi="Courier"/>
    </w:rPr>
  </w:style>
  <w:style w:type="character" w:customStyle="1" w:styleId="BodyTextChar">
    <w:name w:val="Body Text Char"/>
    <w:basedOn w:val="DefaultParagraphFont"/>
    <w:link w:val="BodyText"/>
    <w:rsid w:val="003D7B1A"/>
    <w:rPr>
      <w:rFonts w:ascii="Courier" w:eastAsia="Times New Roman" w:hAnsi="Courier" w:cs="Times New Roman"/>
      <w:sz w:val="24"/>
      <w:szCs w:val="20"/>
    </w:rPr>
  </w:style>
  <w:style w:type="paragraph" w:styleId="Footer">
    <w:name w:val="footer"/>
    <w:basedOn w:val="Normal"/>
    <w:link w:val="FooterChar"/>
    <w:rsid w:val="003D7B1A"/>
    <w:pPr>
      <w:tabs>
        <w:tab w:val="center" w:pos="4320"/>
        <w:tab w:val="right" w:pos="8640"/>
      </w:tabs>
    </w:pPr>
  </w:style>
  <w:style w:type="character" w:customStyle="1" w:styleId="FooterChar">
    <w:name w:val="Footer Char"/>
    <w:basedOn w:val="DefaultParagraphFont"/>
    <w:link w:val="Footer"/>
    <w:rsid w:val="003D7B1A"/>
    <w:rPr>
      <w:rFonts w:ascii="Times New Roman" w:eastAsia="Times New Roman" w:hAnsi="Times New Roman" w:cs="Times New Roman"/>
      <w:sz w:val="24"/>
      <w:szCs w:val="20"/>
    </w:rPr>
  </w:style>
  <w:style w:type="character" w:styleId="FootnoteReference">
    <w:name w:val="footnote reference"/>
    <w:basedOn w:val="DefaultParagraphFont"/>
    <w:semiHidden/>
    <w:rsid w:val="003D7B1A"/>
    <w:rPr>
      <w:vertAlign w:val="superscript"/>
    </w:rPr>
  </w:style>
  <w:style w:type="paragraph" w:styleId="FootnoteText">
    <w:name w:val="footnote text"/>
    <w:basedOn w:val="Normal"/>
    <w:link w:val="FootnoteTextChar"/>
    <w:semiHidden/>
    <w:rsid w:val="003D7B1A"/>
    <w:rPr>
      <w:sz w:val="20"/>
    </w:rPr>
  </w:style>
  <w:style w:type="character" w:customStyle="1" w:styleId="FootnoteTextChar">
    <w:name w:val="Footnote Text Char"/>
    <w:basedOn w:val="DefaultParagraphFont"/>
    <w:link w:val="FootnoteText"/>
    <w:semiHidden/>
    <w:rsid w:val="003D7B1A"/>
    <w:rPr>
      <w:rFonts w:ascii="Times New Roman" w:eastAsia="Times New Roman" w:hAnsi="Times New Roman" w:cs="Times New Roman"/>
      <w:sz w:val="20"/>
      <w:szCs w:val="20"/>
    </w:rPr>
  </w:style>
  <w:style w:type="paragraph" w:styleId="ListParagraph">
    <w:name w:val="List Paragraph"/>
    <w:basedOn w:val="Normal"/>
    <w:uiPriority w:val="34"/>
    <w:qFormat/>
    <w:rsid w:val="003D7B1A"/>
    <w:pPr>
      <w:ind w:left="720"/>
      <w:contextualSpacing/>
    </w:pPr>
  </w:style>
  <w:style w:type="paragraph" w:styleId="Revision">
    <w:name w:val="Revision"/>
    <w:hidden/>
    <w:uiPriority w:val="99"/>
    <w:semiHidden/>
    <w:rsid w:val="00371013"/>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71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01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72B5"/>
    <w:rPr>
      <w:sz w:val="16"/>
      <w:szCs w:val="16"/>
    </w:rPr>
  </w:style>
  <w:style w:type="paragraph" w:styleId="CommentText">
    <w:name w:val="annotation text"/>
    <w:basedOn w:val="Normal"/>
    <w:link w:val="CommentTextChar"/>
    <w:uiPriority w:val="99"/>
    <w:unhideWhenUsed/>
    <w:rsid w:val="009C72B5"/>
    <w:rPr>
      <w:sz w:val="20"/>
    </w:rPr>
  </w:style>
  <w:style w:type="character" w:customStyle="1" w:styleId="CommentTextChar">
    <w:name w:val="Comment Text Char"/>
    <w:basedOn w:val="DefaultParagraphFont"/>
    <w:link w:val="CommentText"/>
    <w:uiPriority w:val="99"/>
    <w:rsid w:val="009C7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72B5"/>
    <w:rPr>
      <w:b/>
      <w:bCs/>
    </w:rPr>
  </w:style>
  <w:style w:type="character" w:customStyle="1" w:styleId="CommentSubjectChar">
    <w:name w:val="Comment Subject Char"/>
    <w:basedOn w:val="CommentTextChar"/>
    <w:link w:val="CommentSubject"/>
    <w:uiPriority w:val="99"/>
    <w:semiHidden/>
    <w:rsid w:val="009C72B5"/>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0A3F49"/>
    <w:rPr>
      <w:sz w:val="20"/>
    </w:rPr>
  </w:style>
  <w:style w:type="character" w:customStyle="1" w:styleId="EndnoteTextChar">
    <w:name w:val="Endnote Text Char"/>
    <w:basedOn w:val="DefaultParagraphFont"/>
    <w:link w:val="EndnoteText"/>
    <w:uiPriority w:val="99"/>
    <w:semiHidden/>
    <w:rsid w:val="000A3F4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3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0929">
      <w:bodyDiv w:val="1"/>
      <w:marLeft w:val="0"/>
      <w:marRight w:val="0"/>
      <w:marTop w:val="0"/>
      <w:marBottom w:val="0"/>
      <w:divBdr>
        <w:top w:val="none" w:sz="0" w:space="0" w:color="auto"/>
        <w:left w:val="none" w:sz="0" w:space="0" w:color="auto"/>
        <w:bottom w:val="none" w:sz="0" w:space="0" w:color="auto"/>
        <w:right w:val="none" w:sz="0" w:space="0" w:color="auto"/>
      </w:divBdr>
    </w:div>
    <w:div w:id="66396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547E-1846-4D30-9148-C7A96A02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3052</Words>
  <Characters>17399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Marton, Thomas - BLS</dc:creator>
  <cp:keywords/>
  <dc:description/>
  <cp:lastModifiedBy>Kincaid, Nora - BLS</cp:lastModifiedBy>
  <cp:revision>2</cp:revision>
  <cp:lastPrinted>2020-01-16T19:26:00Z</cp:lastPrinted>
  <dcterms:created xsi:type="dcterms:W3CDTF">2020-04-14T11:08:00Z</dcterms:created>
  <dcterms:modified xsi:type="dcterms:W3CDTF">2020-04-14T11:08:00Z</dcterms:modified>
</cp:coreProperties>
</file>