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267" w:rsidP="003C4400" w:rsidRDefault="00FA5435" w14:paraId="710C826C" w14:textId="77777777">
      <w:pPr>
        <w:pStyle w:val="Heading2"/>
        <w:tabs>
          <w:tab w:val="left" w:pos="4770"/>
        </w:tabs>
        <w:spacing w:before="0" w:after="240"/>
        <w:jc w:val="center"/>
        <w:rPr>
          <w:sz w:val="36"/>
        </w:rPr>
      </w:pPr>
      <w:r>
        <w:rPr>
          <w:sz w:val="36"/>
        </w:rPr>
        <w:t xml:space="preserve">SUPPORTING STATEMENT </w:t>
      </w:r>
      <w:r>
        <w:rPr>
          <w:sz w:val="36"/>
        </w:rPr>
        <w:br/>
        <w:t>FOR PAPERWORK REDUCTION ACT SUBMISSION</w:t>
      </w:r>
    </w:p>
    <w:p w:rsidR="003C4400" w:rsidP="003C4400" w:rsidRDefault="00316267" w14:paraId="07F45D74" w14:textId="77777777">
      <w:pPr>
        <w:pStyle w:val="Heading2"/>
        <w:jc w:val="center"/>
        <w:rPr>
          <w:sz w:val="28"/>
          <w:szCs w:val="28"/>
        </w:rPr>
      </w:pPr>
      <w:r>
        <w:rPr>
          <w:sz w:val="28"/>
          <w:szCs w:val="28"/>
        </w:rPr>
        <w:t>REQUEST FOR DETERMINATION OF POSSIBLE LOSS OF</w:t>
      </w:r>
    </w:p>
    <w:p w:rsidR="003C4400" w:rsidP="003C4400" w:rsidRDefault="00316267" w14:paraId="44B1D420" w14:textId="77777777">
      <w:pPr>
        <w:pStyle w:val="Heading2"/>
        <w:jc w:val="center"/>
        <w:rPr>
          <w:sz w:val="28"/>
          <w:szCs w:val="28"/>
        </w:rPr>
      </w:pPr>
      <w:r>
        <w:rPr>
          <w:sz w:val="28"/>
          <w:szCs w:val="28"/>
        </w:rPr>
        <w:t>UNITED STATES CITIZENSHIP</w:t>
      </w:r>
    </w:p>
    <w:p w:rsidR="00316267" w:rsidP="003C4400" w:rsidRDefault="00316267" w14:paraId="7523B72C" w14:textId="77777777">
      <w:pPr>
        <w:pStyle w:val="Heading2"/>
        <w:jc w:val="center"/>
        <w:rPr>
          <w:sz w:val="28"/>
          <w:szCs w:val="28"/>
        </w:rPr>
      </w:pPr>
      <w:r>
        <w:rPr>
          <w:sz w:val="28"/>
          <w:szCs w:val="28"/>
        </w:rPr>
        <w:t>(</w:t>
      </w:r>
      <w:r w:rsidR="00D02621">
        <w:rPr>
          <w:sz w:val="28"/>
          <w:szCs w:val="28"/>
        </w:rPr>
        <w:t xml:space="preserve">OMB </w:t>
      </w:r>
      <w:r>
        <w:rPr>
          <w:sz w:val="28"/>
          <w:szCs w:val="28"/>
        </w:rPr>
        <w:t>No.1405-0178</w:t>
      </w:r>
      <w:r w:rsidR="00D02621">
        <w:rPr>
          <w:sz w:val="28"/>
          <w:szCs w:val="28"/>
        </w:rPr>
        <w:t>,</w:t>
      </w:r>
      <w:r>
        <w:rPr>
          <w:sz w:val="28"/>
          <w:szCs w:val="28"/>
        </w:rPr>
        <w:t xml:space="preserve"> Form DS-4079)</w:t>
      </w:r>
    </w:p>
    <w:p w:rsidR="00FA5435" w:rsidP="00A6269B" w:rsidRDefault="00FA5435" w14:paraId="7637143C" w14:textId="77777777">
      <w:pPr>
        <w:pStyle w:val="Heading2"/>
        <w:spacing w:before="0" w:after="240"/>
        <w:rPr>
          <w:sz w:val="28"/>
        </w:rPr>
      </w:pPr>
    </w:p>
    <w:p w:rsidR="00101BFC" w:rsidRDefault="00101BFC" w14:paraId="3A102860" w14:textId="77777777">
      <w:pPr>
        <w:spacing w:after="240"/>
        <w:rPr>
          <w:b/>
          <w:szCs w:val="20"/>
        </w:rPr>
      </w:pPr>
      <w:r>
        <w:rPr>
          <w:b/>
        </w:rPr>
        <w:t>A.</w:t>
      </w:r>
      <w:r>
        <w:rPr>
          <w:b/>
        </w:rPr>
        <w:tab/>
        <w:t xml:space="preserve">JUSTIFICATION </w:t>
      </w:r>
    </w:p>
    <w:p w:rsidR="00CF7F20" w:rsidP="002F0096" w:rsidRDefault="00101BFC" w14:paraId="18E9B7FB" w14:textId="77777777">
      <w:pPr>
        <w:pStyle w:val="HTMLPreformatted"/>
        <w:spacing w:after="240"/>
        <w:rPr>
          <w:rFonts w:ascii="Times New Roman" w:hAnsi="Times New Roman" w:cs="Times New Roman"/>
          <w:iCs/>
          <w:sz w:val="24"/>
        </w:rPr>
      </w:pPr>
      <w:r>
        <w:rPr>
          <w:rFonts w:ascii="Times New Roman" w:hAnsi="Times New Roman" w:cs="Times New Roman"/>
          <w:b/>
          <w:bCs/>
          <w:iCs/>
          <w:sz w:val="24"/>
        </w:rPr>
        <w:t>1.</w:t>
      </w:r>
      <w:r>
        <w:rPr>
          <w:rFonts w:ascii="Times New Roman" w:hAnsi="Times New Roman" w:cs="Times New Roman"/>
          <w:iCs/>
          <w:sz w:val="24"/>
        </w:rPr>
        <w:t xml:space="preserve"> </w:t>
      </w:r>
      <w:r w:rsidR="00625346">
        <w:rPr>
          <w:rFonts w:ascii="Times New Roman" w:hAnsi="Times New Roman" w:cs="Times New Roman"/>
          <w:iCs/>
          <w:sz w:val="24"/>
        </w:rPr>
        <w:t xml:space="preserve"> </w:t>
      </w:r>
      <w:r w:rsidRPr="002B0E71" w:rsidR="00CF7F20">
        <w:rPr>
          <w:rFonts w:ascii="Times New Roman" w:hAnsi="Times New Roman" w:eastAsia="Times New Roman" w:cs="Times New Roman"/>
          <w:i/>
          <w:color w:val="000000"/>
          <w:sz w:val="28"/>
          <w:szCs w:val="28"/>
        </w:rPr>
        <w:t>Why is this collection necessary and what are the legal statutes that allow this</w:t>
      </w:r>
      <w:r w:rsidR="00CF7F20">
        <w:rPr>
          <w:rFonts w:ascii="Times New Roman" w:hAnsi="Times New Roman" w:eastAsia="Times New Roman" w:cs="Times New Roman"/>
          <w:i/>
          <w:color w:val="000000"/>
          <w:sz w:val="28"/>
          <w:szCs w:val="28"/>
        </w:rPr>
        <w:t>?</w:t>
      </w:r>
      <w:r w:rsidR="00CF7F20">
        <w:rPr>
          <w:rFonts w:ascii="Times New Roman" w:hAnsi="Times New Roman" w:cs="Times New Roman"/>
          <w:iCs/>
          <w:sz w:val="24"/>
        </w:rPr>
        <w:t xml:space="preserve">  </w:t>
      </w:r>
    </w:p>
    <w:p w:rsidR="00963D61" w:rsidP="002F0096" w:rsidRDefault="005C3378" w14:paraId="5943C823" w14:textId="1E0A1B62">
      <w:pPr>
        <w:pStyle w:val="HTMLPreformatted"/>
        <w:spacing w:after="240"/>
        <w:rPr>
          <w:rFonts w:ascii="Times New Roman" w:hAnsi="Times New Roman" w:cs="Times New Roman"/>
          <w:sz w:val="24"/>
          <w:szCs w:val="24"/>
        </w:rPr>
      </w:pPr>
      <w:r w:rsidRPr="00217D2F">
        <w:rPr>
          <w:rFonts w:ascii="Times New Roman" w:hAnsi="Times New Roman" w:eastAsia="Times New Roman" w:cs="Times New Roman"/>
          <w:color w:val="000000"/>
          <w:sz w:val="24"/>
          <w:szCs w:val="24"/>
        </w:rPr>
        <w:t xml:space="preserve">Section 349(a) of the Immigration and Nationality Act (INA), 8 U.S.C. </w:t>
      </w:r>
      <w:r>
        <w:rPr>
          <w:rFonts w:ascii="Times New Roman" w:hAnsi="Times New Roman" w:eastAsia="Times New Roman" w:cs="Times New Roman"/>
          <w:color w:val="000000"/>
          <w:sz w:val="24"/>
          <w:szCs w:val="24"/>
        </w:rPr>
        <w:t>§</w:t>
      </w:r>
      <w:r w:rsidRPr="00217D2F">
        <w:rPr>
          <w:rFonts w:ascii="Times New Roman" w:hAnsi="Times New Roman" w:eastAsia="Times New Roman" w:cs="Times New Roman"/>
          <w:color w:val="000000"/>
          <w:sz w:val="24"/>
          <w:szCs w:val="24"/>
        </w:rPr>
        <w:t xml:space="preserve">1481(a), establishes the statutory </w:t>
      </w:r>
      <w:r w:rsidRPr="00217D2F" w:rsidR="00357C6D">
        <w:rPr>
          <w:rFonts w:ascii="Times New Roman" w:hAnsi="Times New Roman" w:eastAsia="Times New Roman" w:cs="Times New Roman"/>
          <w:color w:val="000000"/>
          <w:sz w:val="24"/>
          <w:szCs w:val="24"/>
        </w:rPr>
        <w:t>bas</w:t>
      </w:r>
      <w:r w:rsidR="00357C6D">
        <w:rPr>
          <w:rFonts w:ascii="Times New Roman" w:hAnsi="Times New Roman" w:eastAsia="Times New Roman" w:cs="Times New Roman"/>
          <w:color w:val="000000"/>
          <w:sz w:val="24"/>
          <w:szCs w:val="24"/>
        </w:rPr>
        <w:t>e</w:t>
      </w:r>
      <w:r w:rsidRPr="00217D2F" w:rsidR="00357C6D">
        <w:rPr>
          <w:rFonts w:ascii="Times New Roman" w:hAnsi="Times New Roman" w:eastAsia="Times New Roman" w:cs="Times New Roman"/>
          <w:color w:val="000000"/>
          <w:sz w:val="24"/>
          <w:szCs w:val="24"/>
        </w:rPr>
        <w:t xml:space="preserve">s </w:t>
      </w:r>
      <w:r w:rsidRPr="00217D2F">
        <w:rPr>
          <w:rFonts w:ascii="Times New Roman" w:hAnsi="Times New Roman" w:eastAsia="Times New Roman" w:cs="Times New Roman"/>
          <w:color w:val="000000"/>
          <w:sz w:val="24"/>
          <w:szCs w:val="24"/>
        </w:rPr>
        <w:t xml:space="preserve">upon which United States </w:t>
      </w:r>
      <w:r w:rsidR="00347A78">
        <w:rPr>
          <w:rFonts w:ascii="Times New Roman" w:hAnsi="Times New Roman" w:eastAsia="Times New Roman" w:cs="Times New Roman"/>
          <w:color w:val="000000"/>
          <w:sz w:val="24"/>
          <w:szCs w:val="24"/>
        </w:rPr>
        <w:t>national</w:t>
      </w:r>
      <w:r w:rsidRPr="00217D2F">
        <w:rPr>
          <w:rFonts w:ascii="Times New Roman" w:hAnsi="Times New Roman" w:eastAsia="Times New Roman" w:cs="Times New Roman"/>
          <w:color w:val="000000"/>
          <w:sz w:val="24"/>
          <w:szCs w:val="24"/>
        </w:rPr>
        <w:t xml:space="preserve">s may relinquish their U.S. </w:t>
      </w:r>
      <w:r w:rsidRPr="003E740F">
        <w:rPr>
          <w:rFonts w:ascii="Times New Roman" w:hAnsi="Times New Roman" w:eastAsia="Times New Roman" w:cs="Times New Roman"/>
          <w:color w:val="000000"/>
          <w:sz w:val="24"/>
          <w:szCs w:val="24"/>
        </w:rPr>
        <w:t xml:space="preserve">nationality. </w:t>
      </w:r>
      <w:r w:rsidRPr="003E740F" w:rsidR="003E740F">
        <w:rPr>
          <w:rFonts w:ascii="Times New Roman" w:hAnsi="Times New Roman" w:cs="Times New Roman"/>
          <w:sz w:val="24"/>
          <w:szCs w:val="24"/>
        </w:rPr>
        <w:t>A U.S. citizen by birth or naturalization INA 301 (</w:t>
      </w:r>
      <w:hyperlink w:history="1" r:id="rId13">
        <w:r w:rsidRPr="003E740F" w:rsidR="003E740F">
          <w:rPr>
            <w:rStyle w:val="Hyperlink"/>
            <w:rFonts w:ascii="Times New Roman" w:hAnsi="Times New Roman" w:cs="Times New Roman"/>
            <w:sz w:val="24"/>
            <w:szCs w:val="24"/>
          </w:rPr>
          <w:t>8 U.S.C. 1401)</w:t>
        </w:r>
      </w:hyperlink>
      <w:r w:rsidRPr="003E740F" w:rsidR="003E740F">
        <w:rPr>
          <w:rFonts w:ascii="Times New Roman" w:hAnsi="Times New Roman" w:cs="Times New Roman"/>
          <w:sz w:val="24"/>
          <w:szCs w:val="24"/>
        </w:rPr>
        <w:t>, INA 310 (</w:t>
      </w:r>
      <w:hyperlink w:history="1" r:id="rId14">
        <w:r w:rsidRPr="003E740F" w:rsidR="003E740F">
          <w:rPr>
            <w:rStyle w:val="Hyperlink"/>
            <w:rFonts w:ascii="Times New Roman" w:hAnsi="Times New Roman" w:cs="Times New Roman"/>
            <w:sz w:val="24"/>
            <w:szCs w:val="24"/>
          </w:rPr>
          <w:t>8 U.S.C. 1421)</w:t>
        </w:r>
      </w:hyperlink>
      <w:r w:rsidRPr="003E740F" w:rsidR="003E740F">
        <w:rPr>
          <w:rFonts w:ascii="Times New Roman" w:hAnsi="Times New Roman" w:cs="Times New Roman"/>
          <w:sz w:val="24"/>
          <w:szCs w:val="24"/>
        </w:rPr>
        <w:t xml:space="preserve"> or a U.S. non</w:t>
      </w:r>
      <w:r w:rsidR="00347A78">
        <w:rPr>
          <w:rFonts w:ascii="Times New Roman" w:hAnsi="Times New Roman" w:cs="Times New Roman"/>
          <w:sz w:val="24"/>
          <w:szCs w:val="24"/>
        </w:rPr>
        <w:t>-</w:t>
      </w:r>
      <w:r w:rsidRPr="003E740F" w:rsidR="003E740F">
        <w:rPr>
          <w:rFonts w:ascii="Times New Roman" w:hAnsi="Times New Roman" w:cs="Times New Roman"/>
          <w:sz w:val="24"/>
          <w:szCs w:val="24"/>
        </w:rPr>
        <w:t>citizen national INA 308 (</w:t>
      </w:r>
      <w:hyperlink w:history="1" r:id="rId15">
        <w:r w:rsidRPr="003E740F" w:rsidR="003E740F">
          <w:rPr>
            <w:rStyle w:val="Hyperlink"/>
            <w:rFonts w:ascii="Times New Roman" w:hAnsi="Times New Roman" w:cs="Times New Roman"/>
            <w:sz w:val="24"/>
            <w:szCs w:val="24"/>
          </w:rPr>
          <w:t>8 U.S.C. 1408)</w:t>
        </w:r>
      </w:hyperlink>
      <w:r w:rsidRPr="003E740F" w:rsidR="003E740F">
        <w:rPr>
          <w:rFonts w:ascii="Times New Roman" w:hAnsi="Times New Roman" w:cs="Times New Roman"/>
          <w:sz w:val="24"/>
          <w:szCs w:val="24"/>
        </w:rPr>
        <w:t>, INA 101(29) (</w:t>
      </w:r>
      <w:hyperlink w:history="1" w:anchor=".0_29" r:id="rId16">
        <w:r w:rsidRPr="003E740F" w:rsidR="003E740F">
          <w:rPr>
            <w:rStyle w:val="Hyperlink"/>
            <w:rFonts w:ascii="Times New Roman" w:hAnsi="Times New Roman" w:cs="Times New Roman"/>
            <w:sz w:val="24"/>
            <w:szCs w:val="24"/>
          </w:rPr>
          <w:t>8 U.S.C. 1101(29))</w:t>
        </w:r>
      </w:hyperlink>
      <w:r w:rsidRPr="003E740F" w:rsidR="003E740F">
        <w:rPr>
          <w:rFonts w:ascii="Times New Roman" w:hAnsi="Times New Roman" w:cs="Times New Roman"/>
          <w:sz w:val="24"/>
          <w:szCs w:val="24"/>
        </w:rPr>
        <w:t xml:space="preserve"> will lose U.S. nationality (“expatriate” her or himself</w:t>
      </w:r>
      <w:r w:rsidR="00B45ED8">
        <w:rPr>
          <w:rFonts w:ascii="Times New Roman" w:hAnsi="Times New Roman" w:cs="Times New Roman"/>
          <w:sz w:val="24"/>
          <w:szCs w:val="24"/>
        </w:rPr>
        <w:t>)</w:t>
      </w:r>
      <w:r w:rsidRPr="003E740F" w:rsidR="003E740F">
        <w:rPr>
          <w:rFonts w:ascii="Times New Roman" w:hAnsi="Times New Roman" w:cs="Times New Roman"/>
          <w:sz w:val="24"/>
          <w:szCs w:val="24"/>
        </w:rPr>
        <w:t xml:space="preserve"> by committing a statutory act of expatriation as defined in INA 349 (</w:t>
      </w:r>
      <w:hyperlink w:history="1" r:id="rId17">
        <w:r w:rsidRPr="003E740F" w:rsidR="003E740F">
          <w:rPr>
            <w:rStyle w:val="Hyperlink"/>
            <w:rFonts w:ascii="Times New Roman" w:hAnsi="Times New Roman" w:cs="Times New Roman"/>
            <w:sz w:val="24"/>
            <w:szCs w:val="24"/>
          </w:rPr>
          <w:t>8 U.S.C. 1481)</w:t>
        </w:r>
      </w:hyperlink>
      <w:r w:rsidRPr="003E740F" w:rsidR="003E740F">
        <w:rPr>
          <w:rFonts w:ascii="Times New Roman" w:hAnsi="Times New Roman" w:cs="Times New Roman"/>
          <w:sz w:val="24"/>
          <w:szCs w:val="24"/>
        </w:rPr>
        <w:t xml:space="preserve">, or predecessor statute, </w:t>
      </w:r>
      <w:r w:rsidR="00B45ED8">
        <w:rPr>
          <w:rFonts w:ascii="Times New Roman" w:hAnsi="Times New Roman" w:cs="Times New Roman"/>
          <w:sz w:val="24"/>
          <w:szCs w:val="24"/>
        </w:rPr>
        <w:t>provided</w:t>
      </w:r>
      <w:r w:rsidRPr="003E740F" w:rsidR="003E740F">
        <w:rPr>
          <w:rFonts w:ascii="Times New Roman" w:hAnsi="Times New Roman" w:cs="Times New Roman"/>
          <w:sz w:val="24"/>
          <w:szCs w:val="24"/>
        </w:rPr>
        <w:t xml:space="preserve"> the act is performed (1) voluntarily and (2) with the intention of relinquishing U.S. </w:t>
      </w:r>
      <w:r w:rsidR="00B45ED8">
        <w:rPr>
          <w:rFonts w:ascii="Times New Roman" w:hAnsi="Times New Roman" w:cs="Times New Roman"/>
          <w:sz w:val="24"/>
          <w:szCs w:val="24"/>
        </w:rPr>
        <w:t>nationality</w:t>
      </w:r>
      <w:r w:rsidRPr="003E740F" w:rsidR="003E740F">
        <w:rPr>
          <w:rFonts w:ascii="Times New Roman" w:hAnsi="Times New Roman" w:cs="Times New Roman"/>
          <w:sz w:val="24"/>
          <w:szCs w:val="24"/>
        </w:rPr>
        <w:t>.  (</w:t>
      </w:r>
      <w:r w:rsidR="00B45ED8">
        <w:rPr>
          <w:rFonts w:ascii="Times New Roman" w:hAnsi="Times New Roman" w:cs="Times New Roman"/>
          <w:sz w:val="24"/>
          <w:szCs w:val="24"/>
        </w:rPr>
        <w:t xml:space="preserve">See </w:t>
      </w:r>
      <w:hyperlink w:history="1" r:id="rId18">
        <w:r w:rsidRPr="003E740F" w:rsidR="003E740F">
          <w:rPr>
            <w:rStyle w:val="Hyperlink"/>
            <w:rFonts w:ascii="Times New Roman" w:hAnsi="Times New Roman" w:cs="Times New Roman"/>
            <w:sz w:val="24"/>
            <w:szCs w:val="24"/>
          </w:rPr>
          <w:t>Afroyim v. Rusk</w:t>
        </w:r>
      </w:hyperlink>
      <w:r w:rsidRPr="003E740F" w:rsidR="003E740F">
        <w:rPr>
          <w:rFonts w:ascii="Times New Roman" w:hAnsi="Times New Roman" w:cs="Times New Roman"/>
          <w:sz w:val="24"/>
          <w:szCs w:val="24"/>
        </w:rPr>
        <w:t xml:space="preserve">, 387 U.S. 253 (1967) and </w:t>
      </w:r>
      <w:hyperlink w:history="1" r:id="rId19">
        <w:r w:rsidRPr="003E740F" w:rsidR="003E740F">
          <w:rPr>
            <w:rStyle w:val="Hyperlink"/>
            <w:rFonts w:ascii="Times New Roman" w:hAnsi="Times New Roman" w:cs="Times New Roman"/>
            <w:sz w:val="24"/>
            <w:szCs w:val="24"/>
          </w:rPr>
          <w:t>Vance v. Terrazas</w:t>
        </w:r>
      </w:hyperlink>
      <w:r w:rsidR="003E740F">
        <w:rPr>
          <w:rFonts w:ascii="Times New Roman" w:hAnsi="Times New Roman" w:cs="Times New Roman"/>
          <w:sz w:val="24"/>
          <w:szCs w:val="24"/>
        </w:rPr>
        <w:t xml:space="preserve">, </w:t>
      </w:r>
      <w:r w:rsidRPr="003E740F" w:rsidR="003E740F">
        <w:rPr>
          <w:rFonts w:ascii="Times New Roman" w:hAnsi="Times New Roman" w:cs="Times New Roman"/>
          <w:sz w:val="24"/>
          <w:szCs w:val="24"/>
        </w:rPr>
        <w:t>444 U.S. 252 (1980</w:t>
      </w:r>
      <w:r w:rsidR="00B45ED8">
        <w:rPr>
          <w:rFonts w:ascii="Times New Roman" w:hAnsi="Times New Roman" w:cs="Times New Roman"/>
          <w:sz w:val="24"/>
          <w:szCs w:val="24"/>
        </w:rPr>
        <w:t>).)</w:t>
      </w:r>
      <w:r w:rsidR="00590797">
        <w:rPr>
          <w:rFonts w:ascii="Times New Roman" w:hAnsi="Times New Roman" w:cs="Times New Roman"/>
          <w:sz w:val="24"/>
          <w:szCs w:val="24"/>
        </w:rPr>
        <w:t xml:space="preserve">  Section 104(a) of the INA (8 U.S.C. 1104(a)) charges the Secretary of State with the administration and enforcement of certain immigration and nationality laws, </w:t>
      </w:r>
      <w:r w:rsidR="00D730DF">
        <w:rPr>
          <w:rFonts w:ascii="Times New Roman" w:hAnsi="Times New Roman" w:cs="Times New Roman"/>
          <w:sz w:val="24"/>
          <w:szCs w:val="24"/>
        </w:rPr>
        <w:t>including loss of nationality.</w:t>
      </w:r>
      <w:r w:rsidR="00357272">
        <w:rPr>
          <w:rFonts w:ascii="Times New Roman" w:hAnsi="Times New Roman" w:cs="Times New Roman"/>
          <w:sz w:val="24"/>
          <w:szCs w:val="24"/>
        </w:rPr>
        <w:t xml:space="preserve">  </w:t>
      </w:r>
      <w:r w:rsidR="00590797">
        <w:rPr>
          <w:rFonts w:ascii="Times New Roman" w:hAnsi="Times New Roman" w:cs="Times New Roman"/>
          <w:sz w:val="24"/>
          <w:szCs w:val="24"/>
        </w:rPr>
        <w:t xml:space="preserve">Section 358 (8 U.S.C. 1501) sets forth steps that must be followed in order to certify an individual’s loss of U.S. nationality. </w:t>
      </w:r>
    </w:p>
    <w:p w:rsidR="00CF7F20" w:rsidP="00D2150E" w:rsidRDefault="00D2150E" w14:paraId="1861CA26" w14:textId="77777777">
      <w:pPr>
        <w:spacing w:after="240"/>
        <w:rPr>
          <w:i/>
          <w:color w:val="000000"/>
          <w:sz w:val="28"/>
          <w:szCs w:val="28"/>
        </w:rPr>
      </w:pPr>
      <w:r>
        <w:rPr>
          <w:b/>
          <w:bCs/>
        </w:rPr>
        <w:t>2</w:t>
      </w:r>
      <w:r>
        <w:rPr>
          <w:b/>
          <w:bCs/>
          <w:iCs/>
        </w:rPr>
        <w:t xml:space="preserve">. </w:t>
      </w:r>
      <w:r w:rsidR="00625346">
        <w:rPr>
          <w:b/>
          <w:bCs/>
          <w:iCs/>
        </w:rPr>
        <w:t xml:space="preserve"> </w:t>
      </w:r>
      <w:r w:rsidRPr="00357953" w:rsidR="00CF7F20">
        <w:rPr>
          <w:i/>
          <w:color w:val="000000"/>
          <w:sz w:val="28"/>
          <w:szCs w:val="28"/>
        </w:rPr>
        <w:t>What business purpose is the information gathered going to be used for?</w:t>
      </w:r>
    </w:p>
    <w:p w:rsidR="00D730DF" w:rsidP="00D2150E" w:rsidRDefault="00D730DF" w14:paraId="66DFE5B4" w14:textId="279E62DB">
      <w:pPr>
        <w:spacing w:after="240"/>
        <w:rPr>
          <w:rStyle w:val="ptext-3"/>
          <w:color w:val="000000"/>
        </w:rPr>
      </w:pPr>
      <w:r>
        <w:rPr>
          <w:rStyle w:val="ptext-3"/>
          <w:color w:val="000000"/>
        </w:rPr>
        <w:t>The Department of State adjudicates loss of nationality cases primarily involving the following potentially expatriating acts: INA 349(a)(1), naturalizing in a foreign state after the age of 18; INA 349(a)(2), taking an oath of allegiance to a foreign state after the age of 18; INA 349(a)(3), entering or serving in the armed forces of a foreign state engaged in hostilities against the United States or if the person is serving as an officer; INA 349(a)(4)(A), accepting, serving in, or performing duties of any office, post, or employment under the government of a foreign state after the age of 18, if the person has or acquires the nationality of that foreign state; INA 349 (a)(4)(B), accepting, serving in, or performing duties of any office, post, or employment under the government of a foreign state after the age of 18, if an oath of allegiance is required; and INA 349(a)(5), making a formal renunciation of nationality before a diplomatic or consular officer of the United States in a foreign state in such form as may be prescribed by the Secretary of State.</w:t>
      </w:r>
    </w:p>
    <w:p w:rsidR="00AD0B47" w:rsidP="00D2150E" w:rsidRDefault="00AD0B47" w14:paraId="5D1134E4" w14:textId="10BC6CDE">
      <w:pPr>
        <w:spacing w:after="240"/>
        <w:rPr>
          <w:rStyle w:val="ptext-3"/>
          <w:color w:val="000000"/>
        </w:rPr>
      </w:pPr>
      <w:r>
        <w:rPr>
          <w:rStyle w:val="ptext-3"/>
          <w:color w:val="000000"/>
        </w:rPr>
        <w:t>The Department of State uses the following forms in loss of nationality cases:</w:t>
      </w:r>
    </w:p>
    <w:p w:rsidR="00AD0B47" w:rsidP="00D2150E" w:rsidRDefault="00AD0B47" w14:paraId="27A94103" w14:textId="4456BFBE">
      <w:pPr>
        <w:spacing w:after="240"/>
        <w:rPr>
          <w:rStyle w:val="ptext-3"/>
          <w:color w:val="000000"/>
        </w:rPr>
      </w:pPr>
      <w:r w:rsidRPr="00357272">
        <w:rPr>
          <w:rStyle w:val="ptext-3"/>
          <w:b/>
          <w:color w:val="000000"/>
        </w:rPr>
        <w:t>Form DS-4079, OMB Control No. 1405-0178, Request for Determination of Possible Loss of U.S. Citizenship</w:t>
      </w:r>
      <w:r>
        <w:rPr>
          <w:rStyle w:val="ptext-3"/>
          <w:color w:val="000000"/>
        </w:rPr>
        <w:t>;</w:t>
      </w:r>
    </w:p>
    <w:p w:rsidR="004719AD" w:rsidP="00357272" w:rsidRDefault="004719AD" w14:paraId="403AF163" w14:textId="77777777">
      <w:pPr>
        <w:spacing w:after="240"/>
        <w:ind w:left="720"/>
        <w:rPr>
          <w:rStyle w:val="ptext-3"/>
          <w:color w:val="000000"/>
        </w:rPr>
      </w:pPr>
    </w:p>
    <w:p w:rsidR="004719AD" w:rsidP="00357272" w:rsidRDefault="4D067C7B" w14:paraId="04F81898" w14:textId="386C4877">
      <w:pPr>
        <w:spacing w:after="240"/>
        <w:ind w:left="720"/>
        <w:rPr>
          <w:rStyle w:val="ptext-3"/>
          <w:color w:val="000000"/>
        </w:rPr>
      </w:pPr>
      <w:r w:rsidRPr="4D067C7B">
        <w:rPr>
          <w:rStyle w:val="ptext-3"/>
          <w:color w:val="000000" w:themeColor="text1"/>
        </w:rPr>
        <w:lastRenderedPageBreak/>
        <w:t xml:space="preserve">Although there is no prohibition against completing the DS-4079 in connection with making a formal renunciation of U.S. nationality before a diplomatic or consular officer of the United States under INA 349(a)(5), most often U.S. nationals complete the Form DS-4079 when asserting the voluntary commission of a prior potentially expatriating act under INA 349(a)(1)-(a)(4) with intent to lose U.S. nationality.  The DS-4079 can be completed at any time but must be signed in person before a U.S. diplomatic or consular officer overseas. </w:t>
      </w:r>
    </w:p>
    <w:p w:rsidR="004719AD" w:rsidP="00357272" w:rsidRDefault="4D067C7B" w14:paraId="5C47A2B5" w14:textId="2556D56A">
      <w:pPr>
        <w:spacing w:after="240"/>
        <w:ind w:left="720"/>
        <w:rPr>
          <w:rStyle w:val="ptext-3"/>
          <w:color w:val="000000"/>
        </w:rPr>
      </w:pPr>
      <w:r w:rsidRPr="4D067C7B">
        <w:rPr>
          <w:rStyle w:val="ptext-3"/>
          <w:color w:val="000000" w:themeColor="text1"/>
        </w:rPr>
        <w:t xml:space="preserve">Additionally, when a U.S. diplomatic or consular officer overseas has reason to believe that a person may have relinquished his or her U.S. nationality, he/she may also request that the person complete the Form DS-4079 and/or submit other documentary evidence concerning intent. In these relatively rare cases, the person may have been elected to a high level office in the foreign government, which could be considered inconsistent with an intent to retain U.S. nationality, though merely serving in a high level office in a foreign government is not conclusive evidence of intent. </w:t>
      </w:r>
      <w:r w:rsidR="00DB42D0">
        <w:rPr>
          <w:rStyle w:val="ptext-3"/>
          <w:color w:val="000000" w:themeColor="text1"/>
        </w:rPr>
        <w:t xml:space="preserve">An individual may </w:t>
      </w:r>
      <w:r w:rsidR="001E2EC2">
        <w:rPr>
          <w:rStyle w:val="ptext-3"/>
          <w:color w:val="000000" w:themeColor="text1"/>
        </w:rPr>
        <w:t xml:space="preserve">also </w:t>
      </w:r>
      <w:r w:rsidR="00DB42D0">
        <w:rPr>
          <w:rStyle w:val="ptext-3"/>
          <w:color w:val="000000" w:themeColor="text1"/>
        </w:rPr>
        <w:t xml:space="preserve">elect to complete the DS-4079 as a record of </w:t>
      </w:r>
      <w:r w:rsidR="001E2EC2">
        <w:rPr>
          <w:rStyle w:val="ptext-3"/>
          <w:color w:val="000000" w:themeColor="text1"/>
        </w:rPr>
        <w:t xml:space="preserve">his/her </w:t>
      </w:r>
      <w:r w:rsidR="00DB42D0">
        <w:rPr>
          <w:rStyle w:val="ptext-3"/>
          <w:color w:val="000000" w:themeColor="text1"/>
        </w:rPr>
        <w:t>lack of intent to lose U.S. nationality</w:t>
      </w:r>
      <w:r w:rsidR="00B97B22">
        <w:rPr>
          <w:rStyle w:val="ptext-3"/>
          <w:color w:val="000000" w:themeColor="text1"/>
        </w:rPr>
        <w:t xml:space="preserve"> in case there is any question in the future</w:t>
      </w:r>
      <w:r w:rsidR="00DB42D0">
        <w:rPr>
          <w:rStyle w:val="ptext-3"/>
          <w:color w:val="000000" w:themeColor="text1"/>
        </w:rPr>
        <w:t>.</w:t>
      </w:r>
    </w:p>
    <w:p w:rsidR="004719AD" w:rsidP="00357272" w:rsidRDefault="004719AD" w14:paraId="2F69FAC8" w14:textId="0DCB7545">
      <w:pPr>
        <w:spacing w:after="240"/>
        <w:ind w:left="720"/>
        <w:rPr>
          <w:rStyle w:val="ptext-3"/>
          <w:color w:val="000000"/>
        </w:rPr>
      </w:pPr>
      <w:r>
        <w:rPr>
          <w:rStyle w:val="ptext-3"/>
          <w:color w:val="000000"/>
        </w:rPr>
        <w:t xml:space="preserve">With the exception of taking the oath of renunciation, INA 349(a)(5), which occurs in real time before a U.S. diplomatic or consular officer in a foreign state, the other potentially expatriating acts listed in 349(a)(1)-(4) already will have been committed (sometimes many years) before the person comes in to the U.S. embassy or consulate to request a Certificate of Loss of U.S. Nationality (CLN).  </w:t>
      </w:r>
    </w:p>
    <w:p w:rsidR="004719AD" w:rsidP="00357272" w:rsidRDefault="004719AD" w14:paraId="2375E5D6" w14:textId="4CA34A66">
      <w:pPr>
        <w:spacing w:after="240"/>
        <w:ind w:left="720"/>
        <w:rPr>
          <w:rStyle w:val="ptext-3"/>
          <w:color w:val="000000"/>
        </w:rPr>
      </w:pPr>
      <w:r>
        <w:rPr>
          <w:rStyle w:val="ptext-3"/>
          <w:color w:val="000000"/>
        </w:rPr>
        <w:t xml:space="preserve">The business purpose for which the information gathered on the Form DS-4079 is used is to assist the Department in determining 1) whether the person has committed a potentially expatriating act under Immigration and Nationality Act (INA) Section 349(a)(1) through (a)(5), 8 U.S.C. 1481 (a)(1)-(a)(5) (or former sections of law not declared unconstitutional, such as former INA 350); 2) whether the person committing the act was a U.S. national at the time of the act; 3) whether the person committed the act or acts voluntarily and with the intent of relinquishing U.S. nationality; 4) whether a person asserting voluntary and intentional commission of an expatriating act has undertaken any other acts or maintains ties that may be considered inconsistent with an intent to lose U.S. nationality; and 5) other matters possibly germane to the adjudication, such as whether the person has another nationality and/or would be rendered stateless upon a finding of loss of U.S. nationality. </w:t>
      </w:r>
    </w:p>
    <w:p w:rsidRPr="004719AD" w:rsidR="004719AD" w:rsidP="004719AD" w:rsidRDefault="4D067C7B" w14:paraId="6EF19A3E" w14:textId="76154042">
      <w:pPr>
        <w:spacing w:after="240"/>
        <w:ind w:left="720"/>
        <w:rPr>
          <w:color w:val="000000"/>
        </w:rPr>
      </w:pPr>
      <w:r w:rsidRPr="4D067C7B">
        <w:rPr>
          <w:color w:val="000000" w:themeColor="text1"/>
        </w:rPr>
        <w:t xml:space="preserve">If the individual proceeds to request a CLN under 8 U.S.C. §1481 (a)(1)-(4), he or she will sign the Form DS-4079 before the diplomatic or consular officer at an overseas U.S. embassy or consulate and pay the mandatory fee for the associated consular service at that time.  The diplomatic or consular officer would then send the Form DS-4079 with a detailed memorandum recommending approval or denial of the CLN to the Directorate of Overseas Citizens Services in Washington, D.C., for adjudication.  The data provided in the Form DS-4079 is critical in establishing whether the four elements of loss of nationality are present.  Those four elements as stated above are: (1) the person is a U.S. national who (2) has performed a potentially expatriating act; and (3) the performance of that act was voluntary and (4) performed with the intent to relinquish U.S. nationality.  If the individual establishes by a preponderance of the evidence that these elements are met, Overseas Citizens Services will find that a loss of nationality has occurred and will approve a CLN.  The Form DS-4079 </w:t>
      </w:r>
      <w:r w:rsidR="001E2EC2">
        <w:rPr>
          <w:color w:val="000000" w:themeColor="text1"/>
        </w:rPr>
        <w:t xml:space="preserve">is, therefore, a required document for adjudication, </w:t>
      </w:r>
      <w:r w:rsidRPr="4D067C7B">
        <w:rPr>
          <w:color w:val="000000" w:themeColor="text1"/>
        </w:rPr>
        <w:t>becomes part of the file associated with an approved CLN</w:t>
      </w:r>
      <w:r w:rsidR="001E2EC2">
        <w:rPr>
          <w:color w:val="000000" w:themeColor="text1"/>
        </w:rPr>
        <w:t>,</w:t>
      </w:r>
      <w:r w:rsidRPr="4D067C7B">
        <w:rPr>
          <w:color w:val="000000" w:themeColor="text1"/>
        </w:rPr>
        <w:t xml:space="preserve"> and is available for review if there is any subsequent request to reconsider a finding of loss or CLN denial.  Section 349(b) of the INA, 8 U.S.C. § 1481(b) places the burden of establishing that loss occurred on the party asserting loss, so the information collection is often the determinative piece of evidence in these reconsiderations.</w:t>
      </w:r>
    </w:p>
    <w:p w:rsidR="00B25539" w:rsidP="00357272" w:rsidRDefault="00B25539" w14:paraId="4F06B423" w14:textId="3902EC95">
      <w:pPr>
        <w:spacing w:after="240"/>
        <w:ind w:left="720"/>
        <w:rPr>
          <w:rStyle w:val="ptext-3"/>
          <w:color w:val="000000"/>
        </w:rPr>
      </w:pPr>
    </w:p>
    <w:p w:rsidR="00AD0B47" w:rsidP="00D2150E" w:rsidRDefault="00AD0B47" w14:paraId="6BFCB105" w14:textId="182E2ECD">
      <w:pPr>
        <w:spacing w:after="240"/>
        <w:rPr>
          <w:rStyle w:val="ptext-3"/>
          <w:color w:val="000000"/>
        </w:rPr>
      </w:pPr>
      <w:r w:rsidRPr="00357272">
        <w:rPr>
          <w:rStyle w:val="ptext-3"/>
          <w:b/>
          <w:color w:val="000000"/>
        </w:rPr>
        <w:t>Form DS-</w:t>
      </w:r>
      <w:r w:rsidRPr="00357272" w:rsidR="00C13317">
        <w:rPr>
          <w:rStyle w:val="ptext-3"/>
          <w:b/>
          <w:color w:val="000000"/>
        </w:rPr>
        <w:t>4080, (Not an information collection/no OMB Control Number) Oath/Affirmation of Renunciation of Nationality of the United States</w:t>
      </w:r>
      <w:r w:rsidR="00C13317">
        <w:rPr>
          <w:rStyle w:val="ptext-3"/>
          <w:color w:val="000000"/>
        </w:rPr>
        <w:t>;</w:t>
      </w:r>
    </w:p>
    <w:p w:rsidR="00B25539" w:rsidP="00357272" w:rsidRDefault="00B25539" w14:paraId="0625377F" w14:textId="762B5EFE">
      <w:pPr>
        <w:spacing w:after="240"/>
        <w:ind w:left="720"/>
        <w:rPr>
          <w:rStyle w:val="ptext-3"/>
          <w:color w:val="000000"/>
        </w:rPr>
      </w:pPr>
      <w:r>
        <w:rPr>
          <w:rStyle w:val="ptext-3"/>
          <w:color w:val="000000"/>
        </w:rPr>
        <w:t>The DS-4080 must be signed in person before a U.S. diplomatic or consular officer in a foreign state.</w:t>
      </w:r>
      <w:r w:rsidR="0036035A">
        <w:rPr>
          <w:rStyle w:val="ptext-3"/>
          <w:color w:val="000000"/>
        </w:rPr>
        <w:t xml:space="preserve">  As noted above, a person renouncing U.S. citizenship generally would not be required to complete a DS-4079 but could do so before or during the interview in which the oath of renunciation is signed.  Also, the Form DS-4081 would be completed at the same time as the DS-4080.</w:t>
      </w:r>
    </w:p>
    <w:p w:rsidR="00C13317" w:rsidP="00D2150E" w:rsidRDefault="00C13317" w14:paraId="3EC631D5" w14:textId="493B61D6">
      <w:pPr>
        <w:spacing w:after="240"/>
        <w:rPr>
          <w:rStyle w:val="ptext-3"/>
          <w:color w:val="000000"/>
        </w:rPr>
      </w:pPr>
      <w:r w:rsidRPr="00357272">
        <w:rPr>
          <w:rStyle w:val="ptext-3"/>
          <w:b/>
          <w:color w:val="000000"/>
        </w:rPr>
        <w:t>Form DS-4081, (Not an information collection/no OMB Control Number) Statement of Understanding Concerning the Consequences and Ramifications of Renunciation or Relinquishment of United States Nationality</w:t>
      </w:r>
      <w:r>
        <w:rPr>
          <w:rStyle w:val="ptext-3"/>
          <w:color w:val="000000"/>
        </w:rPr>
        <w:t>;</w:t>
      </w:r>
    </w:p>
    <w:p w:rsidR="0036035A" w:rsidP="007727A3" w:rsidRDefault="0036035A" w14:paraId="7403AF66" w14:textId="26884A65">
      <w:pPr>
        <w:spacing w:after="240"/>
        <w:ind w:left="720"/>
        <w:rPr>
          <w:rStyle w:val="ptext-3"/>
          <w:color w:val="000000"/>
        </w:rPr>
      </w:pPr>
      <w:r>
        <w:rPr>
          <w:rStyle w:val="ptext-3"/>
          <w:color w:val="000000"/>
        </w:rPr>
        <w:t>All persons requesting a Certificate of Loss of Nationality must sign the DS-4081</w:t>
      </w:r>
      <w:r w:rsidR="00E94609">
        <w:rPr>
          <w:rStyle w:val="ptext-3"/>
          <w:color w:val="000000"/>
        </w:rPr>
        <w:t xml:space="preserve"> before a diplomatic or consular officer</w:t>
      </w:r>
      <w:r>
        <w:rPr>
          <w:rStyle w:val="ptext-3"/>
          <w:color w:val="000000"/>
        </w:rPr>
        <w:t xml:space="preserve">. This form may be signed at the same time, on the same visit to the U.S. embassy or consulate, as the oath of renunciation is taken or, if the claim is under INA 349(a)(1)-(4), </w:t>
      </w:r>
      <w:r w:rsidR="002561CC">
        <w:rPr>
          <w:rStyle w:val="ptext-3"/>
          <w:color w:val="000000"/>
        </w:rPr>
        <w:t>at the same time the person completes/signs the DS-4079 before</w:t>
      </w:r>
      <w:r>
        <w:rPr>
          <w:rStyle w:val="ptext-3"/>
          <w:color w:val="000000"/>
        </w:rPr>
        <w:t xml:space="preserve"> </w:t>
      </w:r>
      <w:r w:rsidR="00E94609">
        <w:rPr>
          <w:rStyle w:val="ptext-3"/>
          <w:color w:val="000000"/>
        </w:rPr>
        <w:t>a</w:t>
      </w:r>
      <w:r>
        <w:rPr>
          <w:rStyle w:val="ptext-3"/>
          <w:color w:val="000000"/>
        </w:rPr>
        <w:t xml:space="preserve"> U.S. diplomatic or consular officer.  </w:t>
      </w:r>
      <w:r w:rsidR="002561CC">
        <w:rPr>
          <w:rStyle w:val="ptext-3"/>
          <w:color w:val="000000"/>
        </w:rPr>
        <w:t>Although it varies from post to post, unless</w:t>
      </w:r>
      <w:r>
        <w:rPr>
          <w:rStyle w:val="ptext-3"/>
          <w:color w:val="000000"/>
        </w:rPr>
        <w:t xml:space="preserve"> additional information is required, </w:t>
      </w:r>
      <w:r w:rsidR="002561CC">
        <w:rPr>
          <w:rStyle w:val="ptext-3"/>
          <w:color w:val="000000"/>
        </w:rPr>
        <w:t>often the forms may be completed/signed in one trip to the U.S. embassy or consulate</w:t>
      </w:r>
      <w:r>
        <w:rPr>
          <w:rStyle w:val="ptext-3"/>
          <w:color w:val="000000"/>
        </w:rPr>
        <w:t>.</w:t>
      </w:r>
    </w:p>
    <w:p w:rsidR="00C13317" w:rsidP="00D2150E" w:rsidRDefault="00C13317" w14:paraId="444976D1" w14:textId="303B74FC">
      <w:pPr>
        <w:spacing w:after="240"/>
        <w:rPr>
          <w:rStyle w:val="ptext-3"/>
          <w:color w:val="000000"/>
        </w:rPr>
      </w:pPr>
      <w:r w:rsidRPr="0014221F">
        <w:rPr>
          <w:rStyle w:val="ptext-3"/>
          <w:b/>
          <w:color w:val="000000"/>
        </w:rPr>
        <w:t>Form DS-4082, (Not an information collection/no OMB Control Number) Witnesses’ Attestation Renunciation/Relinquishment of Citizenship</w:t>
      </w:r>
      <w:r>
        <w:rPr>
          <w:rStyle w:val="ptext-3"/>
          <w:color w:val="000000"/>
        </w:rPr>
        <w:t>;</w:t>
      </w:r>
    </w:p>
    <w:p w:rsidR="00C501BF" w:rsidP="0014221F" w:rsidRDefault="00C501BF" w14:paraId="1814886B" w14:textId="2D7C4F66">
      <w:pPr>
        <w:spacing w:after="240"/>
        <w:ind w:left="720"/>
        <w:rPr>
          <w:rStyle w:val="ptext-3"/>
          <w:color w:val="000000"/>
        </w:rPr>
      </w:pPr>
      <w:r>
        <w:rPr>
          <w:rStyle w:val="ptext-3"/>
          <w:color w:val="000000"/>
        </w:rPr>
        <w:t>This form is signed by a witness to the in</w:t>
      </w:r>
      <w:r w:rsidR="0057724B">
        <w:rPr>
          <w:rStyle w:val="ptext-3"/>
          <w:color w:val="000000"/>
        </w:rPr>
        <w:t>-</w:t>
      </w:r>
      <w:r>
        <w:rPr>
          <w:rStyle w:val="ptext-3"/>
          <w:color w:val="000000"/>
        </w:rPr>
        <w:t xml:space="preserve">person interview </w:t>
      </w:r>
      <w:r w:rsidR="00C42C9C">
        <w:rPr>
          <w:rStyle w:val="ptext-3"/>
          <w:color w:val="000000"/>
        </w:rPr>
        <w:t>when</w:t>
      </w:r>
      <w:r>
        <w:rPr>
          <w:rStyle w:val="ptext-3"/>
          <w:color w:val="000000"/>
        </w:rPr>
        <w:t xml:space="preserve"> the</w:t>
      </w:r>
      <w:r w:rsidR="0057724B">
        <w:rPr>
          <w:rStyle w:val="ptext-3"/>
          <w:color w:val="000000"/>
        </w:rPr>
        <w:t xml:space="preserve"> individual </w:t>
      </w:r>
      <w:r w:rsidR="00C42C9C">
        <w:rPr>
          <w:rStyle w:val="ptext-3"/>
          <w:color w:val="000000"/>
        </w:rPr>
        <w:t xml:space="preserve">requesting the Certificate of Loss of Nationality </w:t>
      </w:r>
      <w:r w:rsidR="00B97B22">
        <w:rPr>
          <w:rStyle w:val="ptext-3"/>
          <w:color w:val="000000"/>
        </w:rPr>
        <w:t>does not speak or understand English</w:t>
      </w:r>
      <w:r w:rsidR="0057724B">
        <w:rPr>
          <w:rStyle w:val="ptext-3"/>
          <w:color w:val="000000"/>
        </w:rPr>
        <w:t xml:space="preserve">. </w:t>
      </w:r>
    </w:p>
    <w:p w:rsidRPr="0014221F" w:rsidR="00C13317" w:rsidP="00D2150E" w:rsidRDefault="00C13317" w14:paraId="60564517" w14:textId="701606EC">
      <w:pPr>
        <w:spacing w:after="240"/>
        <w:rPr>
          <w:rStyle w:val="ptext-3"/>
          <w:b/>
          <w:color w:val="000000"/>
        </w:rPr>
      </w:pPr>
      <w:r w:rsidRPr="0014221F">
        <w:rPr>
          <w:rStyle w:val="ptext-3"/>
          <w:b/>
          <w:color w:val="000000"/>
        </w:rPr>
        <w:t>Form DS-4083, (Not an information collection/no OMB Control Number) Certificate of Loss of Nationality of the United States</w:t>
      </w:r>
    </w:p>
    <w:p w:rsidR="00AD0B47" w:rsidP="0014221F" w:rsidRDefault="00C501BF" w14:paraId="024338AB" w14:textId="0D3F58A5">
      <w:pPr>
        <w:spacing w:after="240"/>
        <w:ind w:left="720"/>
        <w:rPr>
          <w:rStyle w:val="ptext-3"/>
          <w:color w:val="000000"/>
        </w:rPr>
      </w:pPr>
      <w:r>
        <w:rPr>
          <w:rStyle w:val="ptext-3"/>
          <w:color w:val="000000"/>
        </w:rPr>
        <w:t xml:space="preserve">This form is completed by the U.S. diplomatic or consular officer.  </w:t>
      </w:r>
      <w:r w:rsidR="004719AD">
        <w:rPr>
          <w:rStyle w:val="ptext-3"/>
          <w:color w:val="000000"/>
        </w:rPr>
        <w:t>If the Certificate is</w:t>
      </w:r>
      <w:r>
        <w:rPr>
          <w:rStyle w:val="ptext-3"/>
          <w:color w:val="000000"/>
        </w:rPr>
        <w:t xml:space="preserve"> approved by the Department of State, </w:t>
      </w:r>
      <w:r w:rsidR="008669AC">
        <w:rPr>
          <w:rStyle w:val="ptext-3"/>
          <w:color w:val="000000"/>
        </w:rPr>
        <w:t>such approval constitutes a final administrative</w:t>
      </w:r>
      <w:r w:rsidR="001E2EC2">
        <w:rPr>
          <w:rStyle w:val="ptext-3"/>
          <w:color w:val="000000"/>
        </w:rPr>
        <w:t xml:space="preserve"> </w:t>
      </w:r>
      <w:r w:rsidR="008669AC">
        <w:rPr>
          <w:rStyle w:val="ptext-3"/>
          <w:color w:val="000000"/>
        </w:rPr>
        <w:t xml:space="preserve">determination of loss of United States nationality, and </w:t>
      </w:r>
      <w:r>
        <w:rPr>
          <w:rStyle w:val="ptext-3"/>
          <w:color w:val="000000"/>
        </w:rPr>
        <w:t xml:space="preserve">the </w:t>
      </w:r>
      <w:r w:rsidR="004719AD">
        <w:rPr>
          <w:rStyle w:val="ptext-3"/>
          <w:color w:val="000000"/>
        </w:rPr>
        <w:t>person requesting the Certificate of Loss of Nationality may pick it up in person at the U.S. embassy or consulate.</w:t>
      </w:r>
    </w:p>
    <w:p w:rsidR="00760C1E" w:rsidP="00D2150E" w:rsidRDefault="00760C1E" w14:paraId="7A94C8B3" w14:textId="6B3506FA">
      <w:pPr>
        <w:spacing w:after="240"/>
        <w:rPr>
          <w:rStyle w:val="ptext-3"/>
          <w:color w:val="000000"/>
        </w:rPr>
      </w:pPr>
    </w:p>
    <w:p w:rsidR="00CF7F20" w:rsidP="001F7AB6" w:rsidRDefault="001A5395" w14:paraId="38E4845F" w14:textId="77777777">
      <w:pPr>
        <w:rPr>
          <w:i/>
          <w:color w:val="000000"/>
          <w:sz w:val="28"/>
          <w:szCs w:val="28"/>
        </w:rPr>
      </w:pPr>
      <w:r>
        <w:rPr>
          <w:b/>
          <w:iCs/>
        </w:rPr>
        <w:t xml:space="preserve">3.  </w:t>
      </w:r>
      <w:r w:rsidRPr="00357953" w:rsidR="00CF7F20">
        <w:rPr>
          <w:i/>
          <w:color w:val="000000"/>
          <w:sz w:val="28"/>
          <w:szCs w:val="28"/>
        </w:rPr>
        <w:t>Is this collection able to be completed electronically (e.g. through a website or application)?</w:t>
      </w:r>
    </w:p>
    <w:p w:rsidR="00CF7F20" w:rsidP="001F7AB6" w:rsidRDefault="00CF7F20" w14:paraId="31B70867" w14:textId="77777777">
      <w:pPr>
        <w:rPr>
          <w:i/>
          <w:color w:val="000000"/>
          <w:sz w:val="28"/>
          <w:szCs w:val="28"/>
        </w:rPr>
      </w:pPr>
    </w:p>
    <w:p w:rsidR="0076691F" w:rsidP="0076691F" w:rsidRDefault="001F7AB6" w14:paraId="272C9C79" w14:textId="3AF1A03A">
      <w:r>
        <w:t xml:space="preserve">The </w:t>
      </w:r>
      <w:r w:rsidR="00B844CE">
        <w:t>Depa</w:t>
      </w:r>
      <w:r w:rsidR="00EA311E">
        <w:t xml:space="preserve">rtment </w:t>
      </w:r>
      <w:r w:rsidR="00C3426F">
        <w:t xml:space="preserve">has </w:t>
      </w:r>
      <w:r w:rsidR="0059263B">
        <w:t>an accessible fully fillable PDF of the DS-4079 online that can be completed by respondents</w:t>
      </w:r>
      <w:r w:rsidRPr="0076691F" w:rsidR="0059263B">
        <w:t xml:space="preserve">. However, respondents must print the form </w:t>
      </w:r>
      <w:r w:rsidRPr="0076691F" w:rsidR="00E2224F">
        <w:t xml:space="preserve">and, </w:t>
      </w:r>
      <w:r w:rsidR="00E2224F">
        <w:t xml:space="preserve">if they wish to proceed with a request for </w:t>
      </w:r>
      <w:r w:rsidR="00A22B1E">
        <w:t>a Certificate of Loss of Nationality (CLN) under INA 349(a)(1)-(4)</w:t>
      </w:r>
      <w:r w:rsidR="00E2224F">
        <w:t xml:space="preserve">, </w:t>
      </w:r>
      <w:r w:rsidRPr="0076691F" w:rsidR="00E2224F">
        <w:t xml:space="preserve">sign it before a consular officer as indicated in Part II of the form itself.. The mandatory consular services fee for the processing of the request for </w:t>
      </w:r>
      <w:r w:rsidR="00A22B1E">
        <w:t xml:space="preserve">a </w:t>
      </w:r>
      <w:r w:rsidRPr="0076691F" w:rsidR="00E2224F">
        <w:t xml:space="preserve">CLN is </w:t>
      </w:r>
      <w:r w:rsidR="00E2224F">
        <w:t xml:space="preserve">then </w:t>
      </w:r>
      <w:r w:rsidRPr="0076691F" w:rsidR="00E2224F">
        <w:t xml:space="preserve">collected at the time the respondent signs the DS-4079 before a consular officer. </w:t>
      </w:r>
      <w:r w:rsidRPr="00A83C0E" w:rsidR="00E2224F">
        <w:t>22 C.F.R. § 22.1(8); 80 Fed. Reg. 53,704 and 53,707 (Sept. 8, 2015).</w:t>
      </w:r>
      <w:r w:rsidRPr="0076691F" w:rsidR="00E2224F">
        <w:t xml:space="preserve"> The signed DS-4079 is a required document for the Department’s adjudication of the request for </w:t>
      </w:r>
      <w:r w:rsidR="00A22B1E">
        <w:t xml:space="preserve">a </w:t>
      </w:r>
      <w:r w:rsidRPr="0076691F" w:rsidR="00E2224F">
        <w:t>CLN.  7 FAM 1227</w:t>
      </w:r>
      <w:r w:rsidRPr="003C3FC9" w:rsidR="00E2224F">
        <w:t xml:space="preserve">(a), 7 FAM Exhibit 1227(A); 7 FAM 1228.3.  </w:t>
      </w:r>
      <w:r w:rsidRPr="00E2224F" w:rsidR="00E2224F">
        <w:t xml:space="preserve">The requirement to appear in person to sign both the DS-4079 and the DS-4081 derives directly from the Department of State’s explicit authority under Section 104(a) of the INA, 8 U.S.C. §1104(a) to </w:t>
      </w:r>
      <w:r w:rsidRPr="00A83C0E" w:rsidR="00E2224F">
        <w:t xml:space="preserve">“establish such regulations, prescribe such forms of reports, entries, and other papers, issue such instructions, and perform such other acts </w:t>
      </w:r>
      <w:r w:rsidRPr="00A83C0E" w:rsidR="00E2224F">
        <w:rPr>
          <w:i/>
          <w:iCs/>
        </w:rPr>
        <w:t xml:space="preserve">as deemed necessary </w:t>
      </w:r>
      <w:r w:rsidRPr="00A83C0E" w:rsidR="00E2224F">
        <w:t>….” to determine the nationality of a person not in the United States</w:t>
      </w:r>
      <w:r w:rsidR="00E2224F">
        <w:t>, as well as</w:t>
      </w:r>
      <w:r w:rsidRPr="0076691F" w:rsidR="00E2224F">
        <w:t xml:space="preserve"> the Department’s discretion to determine wither a CLN should be issued</w:t>
      </w:r>
      <w:r w:rsidRPr="00A83C0E" w:rsidR="00E2224F">
        <w:t xml:space="preserve"> </w:t>
      </w:r>
      <w:r w:rsidRPr="0076691F" w:rsidR="00E2224F">
        <w:t>under Section 358 of the INA, 8 U.S.C. §1501</w:t>
      </w:r>
      <w:r w:rsidR="00E2224F">
        <w:t xml:space="preserve">. </w:t>
      </w:r>
    </w:p>
    <w:p w:rsidR="001F7AB6" w:rsidP="001F7AB6" w:rsidRDefault="0059263B" w14:paraId="55CA33BB" w14:textId="79200C0C">
      <w:r>
        <w:t xml:space="preserve"> </w:t>
      </w:r>
      <w:r w:rsidR="00E34412">
        <w:t xml:space="preserve">  </w:t>
      </w:r>
    </w:p>
    <w:p w:rsidR="00200935" w:rsidP="00B147DC" w:rsidRDefault="00200935" w14:paraId="492F5E61" w14:textId="77777777">
      <w:pPr>
        <w:rPr>
          <w:iCs/>
        </w:rPr>
      </w:pPr>
    </w:p>
    <w:p w:rsidR="00B147DC" w:rsidP="00B147DC" w:rsidRDefault="00B147DC" w14:paraId="39449A16" w14:textId="77777777">
      <w:pPr>
        <w:rPr>
          <w:iCs/>
        </w:rPr>
      </w:pPr>
      <w:r>
        <w:rPr>
          <w:iCs/>
        </w:rPr>
        <w:t xml:space="preserve">Scanned copies of the </w:t>
      </w:r>
      <w:r w:rsidR="005C0C36">
        <w:rPr>
          <w:rStyle w:val="ptext-3"/>
          <w:color w:val="000000"/>
        </w:rPr>
        <w:t>Form DS-</w:t>
      </w:r>
      <w:r w:rsidR="00363947">
        <w:rPr>
          <w:rStyle w:val="ptext-3"/>
          <w:color w:val="000000"/>
        </w:rPr>
        <w:t xml:space="preserve">4079 </w:t>
      </w:r>
      <w:r>
        <w:rPr>
          <w:iCs/>
        </w:rPr>
        <w:t xml:space="preserve">are maintained as part of the file documenting loss of nationality and are retrievable electronically through the Passport Lookout Tracking System (PLOTS).  This minimizes the burden of production when </w:t>
      </w:r>
      <w:r w:rsidR="008B4287">
        <w:rPr>
          <w:iCs/>
        </w:rPr>
        <w:t xml:space="preserve">reviewing </w:t>
      </w:r>
      <w:r>
        <w:rPr>
          <w:iCs/>
        </w:rPr>
        <w:t xml:space="preserve">requests </w:t>
      </w:r>
      <w:r w:rsidR="008B370E">
        <w:rPr>
          <w:iCs/>
        </w:rPr>
        <w:t>for reconsideration of</w:t>
      </w:r>
      <w:r>
        <w:rPr>
          <w:iCs/>
        </w:rPr>
        <w:t xml:space="preserve"> a previous finding of loss of nationality</w:t>
      </w:r>
      <w:r w:rsidR="008B4287">
        <w:rPr>
          <w:iCs/>
        </w:rPr>
        <w:t xml:space="preserve"> or CLN denial</w:t>
      </w:r>
      <w:r>
        <w:rPr>
          <w:iCs/>
        </w:rPr>
        <w:t xml:space="preserve">.  </w:t>
      </w:r>
    </w:p>
    <w:p w:rsidRPr="00775C77" w:rsidR="00200935" w:rsidP="00B147DC" w:rsidRDefault="00200935" w14:paraId="17D81895" w14:textId="77777777"/>
    <w:p w:rsidR="00263A47" w:rsidP="005312E1" w:rsidRDefault="00F50A77" w14:paraId="5833D6C2" w14:textId="77777777">
      <w:pPr>
        <w:spacing w:after="240"/>
        <w:rPr>
          <w:b/>
          <w:iCs/>
        </w:rPr>
      </w:pPr>
      <w:r>
        <w:rPr>
          <w:b/>
          <w:iCs/>
        </w:rPr>
        <w:t>4.</w:t>
      </w:r>
      <w:r w:rsidR="00263A47">
        <w:rPr>
          <w:b/>
          <w:iCs/>
        </w:rPr>
        <w:t xml:space="preserve">  </w:t>
      </w:r>
      <w:r w:rsidRPr="00357953" w:rsidR="00263A47">
        <w:rPr>
          <w:i/>
          <w:color w:val="000000"/>
          <w:sz w:val="28"/>
          <w:szCs w:val="28"/>
        </w:rPr>
        <w:t>Does this collection duplicate any other collection of information?</w:t>
      </w:r>
      <w:r>
        <w:rPr>
          <w:b/>
          <w:iCs/>
        </w:rPr>
        <w:t xml:space="preserve">  </w:t>
      </w:r>
    </w:p>
    <w:p w:rsidR="005312E1" w:rsidP="005312E1" w:rsidRDefault="005312E1" w14:paraId="57C2A705" w14:textId="77777777">
      <w:pPr>
        <w:spacing w:after="240"/>
      </w:pPr>
      <w:r>
        <w:t xml:space="preserve">The information in the </w:t>
      </w:r>
      <w:r w:rsidR="005C0C36">
        <w:rPr>
          <w:rStyle w:val="ptext-3"/>
          <w:color w:val="000000"/>
        </w:rPr>
        <w:t>Form DS-</w:t>
      </w:r>
      <w:r w:rsidR="002E2EA2">
        <w:rPr>
          <w:rStyle w:val="ptext-3"/>
          <w:color w:val="000000"/>
        </w:rPr>
        <w:t>4079</w:t>
      </w:r>
      <w:r>
        <w:t xml:space="preserve"> is not duplicative of information maintained elsewhere or otherwise available.  </w:t>
      </w:r>
    </w:p>
    <w:p w:rsidR="008560B0" w:rsidP="00A361C9" w:rsidRDefault="00A361C9" w14:paraId="618E3CC9" w14:textId="77777777">
      <w:pPr>
        <w:spacing w:after="240"/>
      </w:pPr>
      <w:r w:rsidRPr="00625346">
        <w:rPr>
          <w:b/>
        </w:rPr>
        <w:t>5.</w:t>
      </w:r>
      <w:r>
        <w:t xml:space="preserve"> </w:t>
      </w:r>
      <w:r w:rsidR="00625346">
        <w:t xml:space="preserve"> </w:t>
      </w:r>
      <w:r w:rsidRPr="002B0E71" w:rsidR="008560B0">
        <w:rPr>
          <w:i/>
          <w:color w:val="000000"/>
          <w:sz w:val="28"/>
          <w:szCs w:val="28"/>
        </w:rPr>
        <w:t>Describe any impacts on small business</w:t>
      </w:r>
      <w:r w:rsidR="008560B0">
        <w:t xml:space="preserve"> </w:t>
      </w:r>
    </w:p>
    <w:p w:rsidR="00A361C9" w:rsidP="00A361C9" w:rsidRDefault="00A361C9" w14:paraId="28BEE049" w14:textId="77777777">
      <w:pPr>
        <w:spacing w:after="240"/>
      </w:pPr>
      <w:r>
        <w:t xml:space="preserve">The information collection does not involve </w:t>
      </w:r>
      <w:r w:rsidR="008204A3">
        <w:t xml:space="preserve">or impact </w:t>
      </w:r>
      <w:r>
        <w:t>small businesses or other small entities.</w:t>
      </w:r>
    </w:p>
    <w:p w:rsidR="008560B0" w:rsidP="00C959DB" w:rsidRDefault="00C959DB" w14:paraId="3DAF0E43" w14:textId="77777777">
      <w:pPr>
        <w:spacing w:after="240"/>
        <w:rPr>
          <w:i/>
          <w:color w:val="000000"/>
          <w:sz w:val="28"/>
          <w:szCs w:val="28"/>
        </w:rPr>
      </w:pPr>
      <w:r>
        <w:rPr>
          <w:b/>
          <w:iCs/>
        </w:rPr>
        <w:t xml:space="preserve">6.  </w:t>
      </w:r>
      <w:r w:rsidRPr="002B0E71" w:rsidR="008560B0">
        <w:rPr>
          <w:i/>
          <w:color w:val="000000"/>
          <w:sz w:val="28"/>
          <w:szCs w:val="28"/>
        </w:rPr>
        <w:t>What are consequences if this collection is not done?</w:t>
      </w:r>
    </w:p>
    <w:p w:rsidR="00D70782" w:rsidP="00C959DB" w:rsidRDefault="00F927DC" w14:paraId="7FC2ED96" w14:textId="77777777">
      <w:pPr>
        <w:spacing w:after="240"/>
      </w:pPr>
      <w:r w:rsidRPr="002E2EA2">
        <w:rPr>
          <w:iCs/>
        </w:rPr>
        <w:t xml:space="preserve">Use of the </w:t>
      </w:r>
      <w:r w:rsidR="005C0C36">
        <w:rPr>
          <w:rStyle w:val="ptext-3"/>
          <w:color w:val="000000"/>
        </w:rPr>
        <w:t>Form DS-</w:t>
      </w:r>
      <w:r w:rsidRPr="002E2EA2">
        <w:rPr>
          <w:rStyle w:val="ptext-3"/>
          <w:color w:val="000000"/>
        </w:rPr>
        <w:t>4079</w:t>
      </w:r>
      <w:r w:rsidRPr="002E2EA2" w:rsidR="00D70782">
        <w:t xml:space="preserve"> facilitates </w:t>
      </w:r>
      <w:r w:rsidRPr="002E2EA2" w:rsidR="006E5E7B">
        <w:t xml:space="preserve">the </w:t>
      </w:r>
      <w:r w:rsidRPr="002E2EA2" w:rsidR="00D70782">
        <w:t>determin</w:t>
      </w:r>
      <w:r w:rsidRPr="002E2EA2" w:rsidR="006E5E7B">
        <w:t xml:space="preserve">ation of </w:t>
      </w:r>
      <w:r w:rsidRPr="002E2EA2" w:rsidR="00D70782">
        <w:t xml:space="preserve">whether a loss of nationality occurred </w:t>
      </w:r>
      <w:r w:rsidRPr="002E2EA2" w:rsidR="006E5E7B">
        <w:t>under Section 349(a)</w:t>
      </w:r>
      <w:r w:rsidR="00ED25B5">
        <w:t>(1)-(4)</w:t>
      </w:r>
      <w:r w:rsidRPr="002E2EA2" w:rsidR="006E5E7B">
        <w:t xml:space="preserve"> of the INA, 8 U.S.C.</w:t>
      </w:r>
      <w:r w:rsidRPr="002E2EA2" w:rsidR="0097294F">
        <w:t xml:space="preserve"> §</w:t>
      </w:r>
      <w:r w:rsidRPr="002E2EA2" w:rsidR="006E5E7B">
        <w:t>1481(a)</w:t>
      </w:r>
      <w:r w:rsidR="00ED25B5">
        <w:t>(1)-(4)</w:t>
      </w:r>
      <w:r w:rsidRPr="002E2EA2" w:rsidR="006E5E7B">
        <w:t xml:space="preserve">.  </w:t>
      </w:r>
      <w:r w:rsidRPr="002E2EA2" w:rsidR="006964EE">
        <w:t>Section 349 (</w:t>
      </w:r>
      <w:r w:rsidRPr="002E2EA2" w:rsidR="00CD00D2">
        <w:t>b</w:t>
      </w:r>
      <w:r w:rsidRPr="002E2EA2" w:rsidR="006964EE">
        <w:t>)</w:t>
      </w:r>
      <w:r w:rsidRPr="002E2EA2" w:rsidR="00D70782">
        <w:t xml:space="preserve"> of the Im</w:t>
      </w:r>
      <w:r w:rsidR="00D70782">
        <w:t>migration</w:t>
      </w:r>
      <w:r w:rsidR="00CD00D2">
        <w:t xml:space="preserve"> and </w:t>
      </w:r>
      <w:r w:rsidR="00D70782">
        <w:t xml:space="preserve">Nationality Act places the burden of proof on the person </w:t>
      </w:r>
      <w:r w:rsidR="008536F4">
        <w:t xml:space="preserve">claiming </w:t>
      </w:r>
      <w:r w:rsidR="00D70782">
        <w:t>that the loss has</w:t>
      </w:r>
      <w:r w:rsidR="001F7910">
        <w:t xml:space="preserve"> occurred</w:t>
      </w:r>
      <w:r w:rsidR="008536F4">
        <w:t>.  W</w:t>
      </w:r>
      <w:r w:rsidR="001F7910">
        <w:t>hen findings of loss</w:t>
      </w:r>
      <w:r w:rsidR="008536F4">
        <w:t xml:space="preserve"> or non-loss</w:t>
      </w:r>
      <w:r w:rsidR="001F7910">
        <w:t xml:space="preserve"> of</w:t>
      </w:r>
      <w:r w:rsidR="008536F4">
        <w:t xml:space="preserve"> U.S.</w:t>
      </w:r>
      <w:r w:rsidR="001F7910">
        <w:t xml:space="preserve"> nationality are challenged</w:t>
      </w:r>
      <w:r w:rsidR="001965B5">
        <w:t>,</w:t>
      </w:r>
      <w:r w:rsidR="001F7910">
        <w:t xml:space="preserve"> the </w:t>
      </w:r>
      <w:r w:rsidR="00583FC2">
        <w:t>Department use</w:t>
      </w:r>
      <w:r w:rsidR="004A1F99">
        <w:t>s</w:t>
      </w:r>
      <w:r w:rsidR="00583FC2">
        <w:t xml:space="preserve"> the </w:t>
      </w:r>
      <w:r w:rsidR="006D4951">
        <w:t>information collection</w:t>
      </w:r>
      <w:r w:rsidR="001F7910">
        <w:t xml:space="preserve"> </w:t>
      </w:r>
      <w:r w:rsidR="004A1F99">
        <w:t xml:space="preserve">as a key element of the record </w:t>
      </w:r>
      <w:r w:rsidR="00583FC2">
        <w:t>during reconsideration of a loss/non-loss determination</w:t>
      </w:r>
      <w:r w:rsidR="001F7910">
        <w:t xml:space="preserve">.  </w:t>
      </w:r>
    </w:p>
    <w:p w:rsidRPr="00457DD5" w:rsidR="00D852F8" w:rsidP="00C959DB" w:rsidRDefault="00984C67" w14:paraId="74219E1B" w14:textId="77777777">
      <w:pPr>
        <w:spacing w:after="240"/>
      </w:pPr>
      <w:r>
        <w:t xml:space="preserve">The elimination of the </w:t>
      </w:r>
      <w:r w:rsidR="006D4951">
        <w:t>information collection</w:t>
      </w:r>
      <w:r>
        <w:t xml:space="preserve"> would </w:t>
      </w:r>
      <w:r w:rsidR="00A30F37">
        <w:t>significantly affect t</w:t>
      </w:r>
      <w:r w:rsidR="000C1F57">
        <w:t xml:space="preserve">he ability </w:t>
      </w:r>
      <w:r w:rsidR="00661DCD">
        <w:t xml:space="preserve">of the </w:t>
      </w:r>
      <w:r w:rsidR="00A30F37">
        <w:t>Department of State</w:t>
      </w:r>
      <w:r w:rsidR="00661DCD">
        <w:t xml:space="preserve"> to </w:t>
      </w:r>
      <w:r w:rsidR="00583FC2">
        <w:t xml:space="preserve">meaningfully reconsider </w:t>
      </w:r>
      <w:r w:rsidR="00A30F37">
        <w:t>its</w:t>
      </w:r>
      <w:r w:rsidR="00661DCD">
        <w:t xml:space="preserve"> decisions</w:t>
      </w:r>
      <w:r w:rsidR="00A30F37">
        <w:t xml:space="preserve"> </w:t>
      </w:r>
      <w:r w:rsidR="00583FC2">
        <w:t>of loss or non-loss</w:t>
      </w:r>
      <w:r w:rsidR="0047058E">
        <w:t xml:space="preserve"> </w:t>
      </w:r>
      <w:r w:rsidR="00A30F37">
        <w:t>of U.S. nationality</w:t>
      </w:r>
      <w:r w:rsidR="00661DCD">
        <w:t>.</w:t>
      </w:r>
      <w:r w:rsidR="00D21EF5">
        <w:t xml:space="preserve">  </w:t>
      </w:r>
      <w:r w:rsidR="00661DCD">
        <w:t xml:space="preserve">Because Federal law mandates the circumstances under which loss </w:t>
      </w:r>
      <w:r w:rsidR="005C3378">
        <w:t xml:space="preserve">of nationality </w:t>
      </w:r>
      <w:r w:rsidR="00661DCD">
        <w:t>occurs</w:t>
      </w:r>
      <w:r w:rsidR="005C3378">
        <w:t>,</w:t>
      </w:r>
      <w:r w:rsidR="00661DCD">
        <w:t xml:space="preserve"> the Department </w:t>
      </w:r>
      <w:r w:rsidR="004C37DB">
        <w:t xml:space="preserve">cannot </w:t>
      </w:r>
      <w:r w:rsidR="00661DCD">
        <w:t xml:space="preserve">take measures </w:t>
      </w:r>
      <w:r w:rsidR="004C37DB">
        <w:t>that</w:t>
      </w:r>
      <w:r w:rsidR="00661DCD">
        <w:t xml:space="preserve"> would reduce the</w:t>
      </w:r>
      <w:r w:rsidR="005C3378">
        <w:t xml:space="preserve"> </w:t>
      </w:r>
      <w:r w:rsidR="00661DCD">
        <w:t>frequency of collection</w:t>
      </w:r>
      <w:r w:rsidR="009C5F24">
        <w:t>.</w:t>
      </w:r>
    </w:p>
    <w:p w:rsidR="005C5BA4" w:rsidP="00457DD5" w:rsidRDefault="00D852F8" w14:paraId="48BB7382" w14:textId="77777777">
      <w:pPr>
        <w:spacing w:after="240"/>
        <w:rPr>
          <w:i/>
          <w:color w:val="000000"/>
          <w:sz w:val="28"/>
          <w:szCs w:val="28"/>
        </w:rPr>
      </w:pPr>
      <w:r w:rsidRPr="00582A88">
        <w:rPr>
          <w:b/>
        </w:rPr>
        <w:t>7</w:t>
      </w:r>
      <w:r w:rsidRPr="00582A88">
        <w:rPr>
          <w:b/>
          <w:i/>
        </w:rPr>
        <w:t>.</w:t>
      </w:r>
      <w:r>
        <w:rPr>
          <w:b/>
          <w:i/>
          <w:sz w:val="20"/>
        </w:rPr>
        <w:t xml:space="preserve">   </w:t>
      </w:r>
      <w:r w:rsidRPr="002B0E71" w:rsidR="005C5BA4">
        <w:rPr>
          <w:i/>
          <w:color w:val="000000"/>
          <w:sz w:val="28"/>
          <w:szCs w:val="28"/>
        </w:rPr>
        <w:t>Are there any special collection circumstances?</w:t>
      </w:r>
    </w:p>
    <w:p w:rsidR="00457DD5" w:rsidP="00457DD5" w:rsidRDefault="00457DD5" w14:paraId="5A4B2C40" w14:textId="77777777">
      <w:pPr>
        <w:spacing w:after="240"/>
      </w:pPr>
      <w:r>
        <w:t>No s</w:t>
      </w:r>
      <w:r w:rsidR="00D02621">
        <w:t>pecial</w:t>
      </w:r>
      <w:r>
        <w:t xml:space="preserve"> circumstances exist.</w:t>
      </w:r>
    </w:p>
    <w:p w:rsidR="00570C2C" w:rsidP="00457DD5" w:rsidRDefault="00D0780C" w14:paraId="10ED6DEB" w14:textId="77777777">
      <w:pPr>
        <w:spacing w:after="240"/>
        <w:rPr>
          <w:rStyle w:val="ptext-3"/>
          <w:color w:val="000000"/>
        </w:rPr>
      </w:pPr>
      <w:r>
        <w:rPr>
          <w:b/>
          <w:iCs/>
        </w:rPr>
        <w:t xml:space="preserve">8. </w:t>
      </w:r>
      <w:r w:rsidR="0038640B">
        <w:rPr>
          <w:b/>
          <w:iCs/>
        </w:rPr>
        <w:t xml:space="preserve"> </w:t>
      </w:r>
      <w:r w:rsidRPr="002B0E71" w:rsidR="00570C2C">
        <w:rPr>
          <w:i/>
          <w:color w:val="000000"/>
          <w:sz w:val="28"/>
          <w:szCs w:val="28"/>
        </w:rPr>
        <w:t>Document publication (or intent to publish) a request for public comments in the Federal Register</w:t>
      </w:r>
      <w:r w:rsidRPr="00B43290" w:rsidR="00570C2C">
        <w:rPr>
          <w:rStyle w:val="ptext-3"/>
          <w:color w:val="000000"/>
        </w:rPr>
        <w:t xml:space="preserve"> </w:t>
      </w:r>
    </w:p>
    <w:p w:rsidR="00356EAB" w:rsidP="003E17DD" w:rsidRDefault="00356EAB" w14:paraId="7F9E7B9A" w14:textId="77777777">
      <w:pPr>
        <w:rPr>
          <w:i/>
        </w:rPr>
      </w:pPr>
      <w:r>
        <w:rPr>
          <w:bCs/>
        </w:rPr>
        <w:t xml:space="preserve">The </w:t>
      </w:r>
      <w:r>
        <w:rPr>
          <w:rStyle w:val="ptext-3"/>
          <w:color w:val="000000"/>
        </w:rPr>
        <w:t xml:space="preserve">Department of State published a 60 day </w:t>
      </w:r>
      <w:r>
        <w:rPr>
          <w:rStyle w:val="ptext-3"/>
          <w:i/>
          <w:color w:val="000000"/>
        </w:rPr>
        <w:t>Federal Register</w:t>
      </w:r>
      <w:r>
        <w:rPr>
          <w:rStyle w:val="ptext-3"/>
          <w:color w:val="000000"/>
        </w:rPr>
        <w:t xml:space="preserve"> </w:t>
      </w:r>
      <w:r w:rsidR="00200935">
        <w:rPr>
          <w:rStyle w:val="ptext-3"/>
          <w:color w:val="000000"/>
        </w:rPr>
        <w:t xml:space="preserve">(84 FR 57545) </w:t>
      </w:r>
      <w:r>
        <w:rPr>
          <w:rStyle w:val="ptext-3"/>
          <w:color w:val="000000"/>
        </w:rPr>
        <w:t>notice for public comments</w:t>
      </w:r>
      <w:r w:rsidR="00200935">
        <w:rPr>
          <w:rStyle w:val="ptext-3"/>
          <w:color w:val="000000"/>
        </w:rPr>
        <w:t xml:space="preserve"> on October 25, 2019</w:t>
      </w:r>
      <w:r>
        <w:rPr>
          <w:rStyle w:val="ptext-3"/>
          <w:color w:val="000000"/>
        </w:rPr>
        <w:t>. The Department of State did not receive any public comments.</w:t>
      </w:r>
    </w:p>
    <w:p w:rsidR="003E17DD" w:rsidP="003E17DD" w:rsidRDefault="003E17DD" w14:paraId="7DF8BBBA" w14:textId="77777777">
      <w:pPr>
        <w:rPr>
          <w:b/>
          <w:iCs/>
        </w:rPr>
      </w:pPr>
    </w:p>
    <w:p w:rsidR="00541BBD" w:rsidP="003E17DD" w:rsidRDefault="00A439EA" w14:paraId="4A46C748" w14:textId="77777777">
      <w:pPr>
        <w:rPr>
          <w:i/>
          <w:color w:val="000000"/>
          <w:sz w:val="28"/>
          <w:szCs w:val="28"/>
        </w:rPr>
      </w:pPr>
      <w:r w:rsidRPr="00A439EA">
        <w:rPr>
          <w:b/>
          <w:iCs/>
        </w:rPr>
        <w:t xml:space="preserve">9. </w:t>
      </w:r>
      <w:r w:rsidR="0038640B">
        <w:rPr>
          <w:b/>
          <w:iCs/>
        </w:rPr>
        <w:t xml:space="preserve"> </w:t>
      </w:r>
      <w:r w:rsidRPr="002B0E71" w:rsidR="00541BBD">
        <w:rPr>
          <w:i/>
          <w:color w:val="000000"/>
          <w:sz w:val="28"/>
          <w:szCs w:val="28"/>
        </w:rPr>
        <w:t>Are payments or gifts given to the respondents?</w:t>
      </w:r>
    </w:p>
    <w:p w:rsidR="003E17DD" w:rsidP="003E17DD" w:rsidRDefault="003E17DD" w14:paraId="1857E09D" w14:textId="77777777"/>
    <w:p w:rsidR="0038640B" w:rsidP="003E17DD" w:rsidRDefault="0038640B" w14:paraId="7E509723" w14:textId="77777777">
      <w:r>
        <w:t xml:space="preserve">No payment or gift is provided to respondents. </w:t>
      </w:r>
    </w:p>
    <w:p w:rsidR="003E17DD" w:rsidP="003E17DD" w:rsidRDefault="003E17DD" w14:paraId="74C30B14" w14:textId="77777777"/>
    <w:p w:rsidR="00966ED0" w:rsidP="000A3639" w:rsidRDefault="0038640B" w14:paraId="798CF7B9" w14:textId="77777777">
      <w:pPr>
        <w:pStyle w:val="BodyText2"/>
        <w:spacing w:after="240"/>
        <w:rPr>
          <w:rFonts w:ascii="Times New Roman" w:hAnsi="Times New Roman" w:cs="Times New Roman"/>
          <w:b w:val="0"/>
          <w:bCs/>
          <w:i w:val="0"/>
          <w:iCs/>
          <w:sz w:val="24"/>
        </w:rPr>
      </w:pPr>
      <w:r w:rsidRPr="0038640B">
        <w:rPr>
          <w:rFonts w:ascii="Times New Roman" w:hAnsi="Times New Roman" w:cs="Times New Roman"/>
          <w:i w:val="0"/>
          <w:sz w:val="24"/>
        </w:rPr>
        <w:t>10.</w:t>
      </w:r>
      <w:r>
        <w:t xml:space="preserve"> </w:t>
      </w:r>
      <w:r w:rsidRPr="002B0E71" w:rsidR="00966ED0">
        <w:rPr>
          <w:rFonts w:ascii="Times New Roman" w:hAnsi="Times New Roman" w:cs="Times New Roman"/>
          <w:b w:val="0"/>
          <w:color w:val="000000"/>
          <w:sz w:val="28"/>
          <w:szCs w:val="28"/>
        </w:rPr>
        <w:t>Describe assurances of privacy/confidentiality</w:t>
      </w:r>
      <w:r w:rsidR="00966ED0">
        <w:rPr>
          <w:rFonts w:ascii="Times New Roman" w:hAnsi="Times New Roman" w:cs="Times New Roman"/>
          <w:b w:val="0"/>
          <w:bCs/>
          <w:i w:val="0"/>
          <w:iCs/>
          <w:sz w:val="24"/>
        </w:rPr>
        <w:t xml:space="preserve"> </w:t>
      </w:r>
    </w:p>
    <w:p w:rsidR="000A3639" w:rsidP="000A3639" w:rsidRDefault="00D7327B" w14:paraId="30085EFB" w14:textId="77777777">
      <w:pPr>
        <w:pStyle w:val="BodyText2"/>
        <w:spacing w:after="240"/>
        <w:rPr>
          <w:rFonts w:ascii="Times New Roman" w:hAnsi="Times New Roman" w:cs="Times New Roman"/>
          <w:b w:val="0"/>
          <w:bCs/>
          <w:i w:val="0"/>
          <w:iCs/>
          <w:sz w:val="24"/>
        </w:rPr>
      </w:pPr>
      <w:r>
        <w:rPr>
          <w:rFonts w:ascii="Times New Roman" w:hAnsi="Times New Roman" w:cs="Times New Roman"/>
          <w:b w:val="0"/>
          <w:bCs/>
          <w:i w:val="0"/>
          <w:iCs/>
          <w:sz w:val="24"/>
        </w:rPr>
        <w:t xml:space="preserve">The Form DS-4079 includes </w:t>
      </w:r>
      <w:r w:rsidR="00F927DC">
        <w:rPr>
          <w:rFonts w:ascii="Times New Roman" w:hAnsi="Times New Roman" w:cs="Times New Roman"/>
          <w:b w:val="0"/>
          <w:bCs/>
          <w:i w:val="0"/>
          <w:iCs/>
          <w:sz w:val="24"/>
        </w:rPr>
        <w:t>no promises of confidentiality to the respondents</w:t>
      </w:r>
      <w:r w:rsidR="000A3639">
        <w:rPr>
          <w:rFonts w:ascii="Times New Roman" w:hAnsi="Times New Roman" w:cs="Times New Roman"/>
          <w:b w:val="0"/>
          <w:bCs/>
          <w:i w:val="0"/>
          <w:iCs/>
          <w:sz w:val="24"/>
        </w:rPr>
        <w:t>.</w:t>
      </w:r>
    </w:p>
    <w:p w:rsidR="00665CEB" w:rsidP="000A3639" w:rsidRDefault="0038640B" w14:paraId="4C3096E1" w14:textId="77777777">
      <w:pPr>
        <w:pStyle w:val="BodyText2"/>
        <w:spacing w:after="240"/>
        <w:rPr>
          <w:rFonts w:ascii="Times New Roman" w:hAnsi="Times New Roman" w:cs="Times New Roman"/>
          <w:b w:val="0"/>
          <w:color w:val="000000"/>
          <w:sz w:val="28"/>
          <w:szCs w:val="28"/>
        </w:rPr>
      </w:pPr>
      <w:r w:rsidRPr="000A3639">
        <w:rPr>
          <w:rFonts w:ascii="Times New Roman" w:hAnsi="Times New Roman" w:cs="Times New Roman"/>
          <w:bCs/>
          <w:i w:val="0"/>
          <w:iCs/>
          <w:sz w:val="24"/>
        </w:rPr>
        <w:t>11.</w:t>
      </w:r>
      <w:r w:rsidRPr="000A3639">
        <w:rPr>
          <w:rFonts w:ascii="Times New Roman" w:hAnsi="Times New Roman" w:cs="Times New Roman"/>
          <w:b w:val="0"/>
          <w:bCs/>
          <w:i w:val="0"/>
          <w:iCs/>
          <w:sz w:val="24"/>
        </w:rPr>
        <w:t xml:space="preserve">  </w:t>
      </w:r>
      <w:r w:rsidRPr="002B0E71" w:rsidR="00665CEB">
        <w:rPr>
          <w:rFonts w:ascii="Times New Roman" w:hAnsi="Times New Roman" w:cs="Times New Roman"/>
          <w:b w:val="0"/>
          <w:color w:val="000000"/>
          <w:sz w:val="28"/>
          <w:szCs w:val="28"/>
        </w:rPr>
        <w:t>Are any questions of a sensitive nature asked?</w:t>
      </w:r>
    </w:p>
    <w:p w:rsidRPr="000A3639" w:rsidR="0038640B" w:rsidP="000A3639" w:rsidRDefault="0038640B" w14:paraId="7F190B74" w14:textId="77777777">
      <w:pPr>
        <w:pStyle w:val="BodyText2"/>
        <w:spacing w:after="240"/>
        <w:rPr>
          <w:rFonts w:ascii="Times New Roman" w:hAnsi="Times New Roman" w:cs="Times New Roman"/>
          <w:b w:val="0"/>
          <w:bCs/>
          <w:i w:val="0"/>
          <w:iCs/>
          <w:sz w:val="24"/>
        </w:rPr>
      </w:pPr>
      <w:r w:rsidRPr="000A3639">
        <w:rPr>
          <w:rFonts w:ascii="Times New Roman" w:hAnsi="Times New Roman" w:cs="Times New Roman"/>
          <w:b w:val="0"/>
          <w:bCs/>
          <w:i w:val="0"/>
          <w:iCs/>
          <w:sz w:val="24"/>
        </w:rPr>
        <w:t>No s</w:t>
      </w:r>
      <w:r w:rsidR="00D02621">
        <w:rPr>
          <w:rFonts w:ascii="Times New Roman" w:hAnsi="Times New Roman" w:cs="Times New Roman"/>
          <w:b w:val="0"/>
          <w:bCs/>
          <w:i w:val="0"/>
          <w:iCs/>
          <w:sz w:val="24"/>
        </w:rPr>
        <w:t>ensitive</w:t>
      </w:r>
      <w:r w:rsidRPr="000A3639">
        <w:rPr>
          <w:rFonts w:ascii="Times New Roman" w:hAnsi="Times New Roman" w:cs="Times New Roman"/>
          <w:b w:val="0"/>
          <w:bCs/>
          <w:i w:val="0"/>
          <w:iCs/>
          <w:sz w:val="24"/>
        </w:rPr>
        <w:t xml:space="preserve"> questions </w:t>
      </w:r>
      <w:r w:rsidR="00D02621">
        <w:rPr>
          <w:rFonts w:ascii="Times New Roman" w:hAnsi="Times New Roman" w:cs="Times New Roman"/>
          <w:b w:val="0"/>
          <w:bCs/>
          <w:i w:val="0"/>
          <w:iCs/>
          <w:sz w:val="24"/>
        </w:rPr>
        <w:t xml:space="preserve">are </w:t>
      </w:r>
      <w:r w:rsidRPr="000A3639">
        <w:rPr>
          <w:rFonts w:ascii="Times New Roman" w:hAnsi="Times New Roman" w:cs="Times New Roman"/>
          <w:b w:val="0"/>
          <w:bCs/>
          <w:i w:val="0"/>
          <w:iCs/>
          <w:sz w:val="24"/>
        </w:rPr>
        <w:t>asked.</w:t>
      </w:r>
    </w:p>
    <w:p w:rsidR="00665CEB" w:rsidP="00665CEB" w:rsidRDefault="007C74BD" w14:paraId="7ED9598C" w14:textId="77777777">
      <w:pPr>
        <w:spacing w:after="240"/>
        <w:rPr>
          <w:iCs/>
        </w:rPr>
      </w:pPr>
      <w:r w:rsidRPr="007C74BD">
        <w:rPr>
          <w:b/>
        </w:rPr>
        <w:t>12.</w:t>
      </w:r>
      <w:r>
        <w:t xml:space="preserve">  </w:t>
      </w:r>
      <w:r w:rsidRPr="002B0E71" w:rsidR="00665CEB">
        <w:rPr>
          <w:i/>
          <w:color w:val="000000"/>
          <w:sz w:val="28"/>
          <w:szCs w:val="28"/>
        </w:rPr>
        <w:t>Describe the hour time burden and the hour cost burden on the respondent needed to complete this collection</w:t>
      </w:r>
      <w:r w:rsidR="00665CEB">
        <w:rPr>
          <w:iCs/>
        </w:rPr>
        <w:t xml:space="preserve"> </w:t>
      </w:r>
    </w:p>
    <w:p w:rsidRPr="00366FAA" w:rsidR="007522D5" w:rsidP="00F80DA8" w:rsidRDefault="007522D5" w14:paraId="734D4C2A" w14:textId="65A17BCC">
      <w:pPr>
        <w:spacing w:after="240"/>
        <w:rPr>
          <w:iCs/>
        </w:rPr>
      </w:pPr>
      <w:r>
        <w:rPr>
          <w:iCs/>
        </w:rPr>
        <w:t xml:space="preserve">An average </w:t>
      </w:r>
      <w:r w:rsidRPr="00366FAA">
        <w:rPr>
          <w:iCs/>
        </w:rPr>
        <w:t xml:space="preserve">of </w:t>
      </w:r>
      <w:r w:rsidRPr="00366FAA" w:rsidR="00EF612C">
        <w:rPr>
          <w:iCs/>
        </w:rPr>
        <w:t>3,2</w:t>
      </w:r>
      <w:r w:rsidR="006E2873">
        <w:rPr>
          <w:iCs/>
        </w:rPr>
        <w:t>5</w:t>
      </w:r>
      <w:r w:rsidRPr="00366FAA" w:rsidR="00EF612C">
        <w:rPr>
          <w:iCs/>
        </w:rPr>
        <w:t xml:space="preserve">0 </w:t>
      </w:r>
      <w:r w:rsidRPr="00366FAA" w:rsidR="00F80DA8">
        <w:rPr>
          <w:iCs/>
        </w:rPr>
        <w:t xml:space="preserve">U.S. citizens worldwide </w:t>
      </w:r>
      <w:r w:rsidRPr="00366FAA" w:rsidR="00BF5461">
        <w:rPr>
          <w:iCs/>
        </w:rPr>
        <w:t>submit</w:t>
      </w:r>
      <w:r w:rsidRPr="00366FAA" w:rsidR="00F80DA8">
        <w:rPr>
          <w:iCs/>
        </w:rPr>
        <w:t xml:space="preserve"> the </w:t>
      </w:r>
      <w:r w:rsidR="005C0C36">
        <w:rPr>
          <w:rStyle w:val="ptext-3"/>
          <w:color w:val="000000"/>
        </w:rPr>
        <w:t>Form DS-</w:t>
      </w:r>
      <w:r w:rsidRPr="00366FAA" w:rsidR="00F927DC">
        <w:rPr>
          <w:rStyle w:val="ptext-3"/>
          <w:color w:val="000000"/>
        </w:rPr>
        <w:t xml:space="preserve">4079 </w:t>
      </w:r>
      <w:r w:rsidRPr="00366FAA" w:rsidR="00F80DA8">
        <w:rPr>
          <w:iCs/>
        </w:rPr>
        <w:t>annually to U.S. Consular Officers in order to docu</w:t>
      </w:r>
      <w:r w:rsidRPr="00366FAA">
        <w:rPr>
          <w:iCs/>
        </w:rPr>
        <w:t xml:space="preserve">ment loss of U.S. nationality.  </w:t>
      </w:r>
      <w:r w:rsidRPr="00366FAA" w:rsidR="00F80DA8">
        <w:rPr>
          <w:iCs/>
        </w:rPr>
        <w:t xml:space="preserve">The </w:t>
      </w:r>
      <w:r w:rsidRPr="00366FAA">
        <w:rPr>
          <w:iCs/>
        </w:rPr>
        <w:t xml:space="preserve">average </w:t>
      </w:r>
      <w:r w:rsidRPr="00366FAA" w:rsidR="00F80DA8">
        <w:rPr>
          <w:iCs/>
        </w:rPr>
        <w:t xml:space="preserve">total annual hour burden to complete the </w:t>
      </w:r>
      <w:r w:rsidR="005C0C36">
        <w:rPr>
          <w:rStyle w:val="ptext-3"/>
          <w:color w:val="000000"/>
        </w:rPr>
        <w:t>Form DS-</w:t>
      </w:r>
      <w:r w:rsidRPr="00366FAA" w:rsidR="00F927DC">
        <w:rPr>
          <w:rStyle w:val="ptext-3"/>
          <w:color w:val="000000"/>
        </w:rPr>
        <w:t xml:space="preserve">4079 </w:t>
      </w:r>
      <w:r w:rsidR="00AE27A9">
        <w:rPr>
          <w:rStyle w:val="ptext-3"/>
          <w:color w:val="000000"/>
        </w:rPr>
        <w:t xml:space="preserve">and attend the in-person interview </w:t>
      </w:r>
      <w:r w:rsidRPr="00366FAA" w:rsidR="00F80DA8">
        <w:rPr>
          <w:iCs/>
        </w:rPr>
        <w:t>for all respondents i</w:t>
      </w:r>
      <w:r w:rsidRPr="00366FAA">
        <w:rPr>
          <w:iCs/>
        </w:rPr>
        <w:t xml:space="preserve">s </w:t>
      </w:r>
      <w:r w:rsidR="00AE27A9">
        <w:rPr>
          <w:iCs/>
        </w:rPr>
        <w:t xml:space="preserve">5,687.5 </w:t>
      </w:r>
      <w:r w:rsidRPr="00366FAA" w:rsidR="00F80DA8">
        <w:rPr>
          <w:iCs/>
        </w:rPr>
        <w:t>hours.</w:t>
      </w:r>
    </w:p>
    <w:p w:rsidR="00B52E30" w:rsidP="00F80DA8" w:rsidRDefault="007522D5" w14:paraId="776FCE48" w14:textId="477BA76B">
      <w:pPr>
        <w:spacing w:after="240"/>
        <w:rPr>
          <w:iCs/>
        </w:rPr>
      </w:pPr>
      <w:r w:rsidRPr="00366FAA">
        <w:rPr>
          <w:iCs/>
        </w:rPr>
        <w:t xml:space="preserve">The annual hour burden was determined by multiplying </w:t>
      </w:r>
      <w:r w:rsidRPr="00366FAA" w:rsidR="00EF612C">
        <w:rPr>
          <w:iCs/>
        </w:rPr>
        <w:t>3</w:t>
      </w:r>
      <w:r w:rsidRPr="00366FAA">
        <w:rPr>
          <w:iCs/>
        </w:rPr>
        <w:t>,</w:t>
      </w:r>
      <w:r w:rsidRPr="00366FAA" w:rsidR="00EF612C">
        <w:rPr>
          <w:iCs/>
        </w:rPr>
        <w:t>2</w:t>
      </w:r>
      <w:r w:rsidR="006E2873">
        <w:rPr>
          <w:iCs/>
        </w:rPr>
        <w:t>5</w:t>
      </w:r>
      <w:r w:rsidRPr="00366FAA" w:rsidR="00EF612C">
        <w:rPr>
          <w:iCs/>
        </w:rPr>
        <w:t>0</w:t>
      </w:r>
      <w:r w:rsidRPr="00366FAA">
        <w:rPr>
          <w:iCs/>
        </w:rPr>
        <w:t xml:space="preserve"> by </w:t>
      </w:r>
      <w:r w:rsidR="00E0576D">
        <w:rPr>
          <w:iCs/>
        </w:rPr>
        <w:t>105</w:t>
      </w:r>
      <w:r w:rsidRPr="00366FAA" w:rsidR="00E0576D">
        <w:rPr>
          <w:iCs/>
        </w:rPr>
        <w:t xml:space="preserve"> </w:t>
      </w:r>
      <w:r w:rsidRPr="00366FAA">
        <w:rPr>
          <w:iCs/>
        </w:rPr>
        <w:t>minutes equali</w:t>
      </w:r>
      <w:r>
        <w:rPr>
          <w:iCs/>
        </w:rPr>
        <w:t xml:space="preserve">ng </w:t>
      </w:r>
      <w:r w:rsidR="00AE27A9">
        <w:rPr>
          <w:iCs/>
        </w:rPr>
        <w:t>341,250</w:t>
      </w:r>
      <w:r w:rsidR="0019566A">
        <w:rPr>
          <w:iCs/>
        </w:rPr>
        <w:t xml:space="preserve"> </w:t>
      </w:r>
      <w:r>
        <w:rPr>
          <w:iCs/>
        </w:rPr>
        <w:t xml:space="preserve">minutes.  Then </w:t>
      </w:r>
      <w:r w:rsidR="00A83C0E">
        <w:rPr>
          <w:iCs/>
        </w:rPr>
        <w:t>341,250</w:t>
      </w:r>
      <w:r>
        <w:rPr>
          <w:iCs/>
        </w:rPr>
        <w:t xml:space="preserve"> minutes </w:t>
      </w:r>
      <w:r w:rsidR="009C5F24">
        <w:rPr>
          <w:iCs/>
        </w:rPr>
        <w:t xml:space="preserve">was </w:t>
      </w:r>
      <w:r>
        <w:rPr>
          <w:iCs/>
        </w:rPr>
        <w:t>divided by 60 minutes</w:t>
      </w:r>
      <w:r w:rsidR="00F927DC">
        <w:rPr>
          <w:iCs/>
        </w:rPr>
        <w:t>, to give an</w:t>
      </w:r>
      <w:r>
        <w:rPr>
          <w:iCs/>
        </w:rPr>
        <w:t xml:space="preserve"> annual </w:t>
      </w:r>
      <w:r w:rsidR="00F927DC">
        <w:rPr>
          <w:iCs/>
        </w:rPr>
        <w:t xml:space="preserve">burden </w:t>
      </w:r>
      <w:r>
        <w:rPr>
          <w:iCs/>
        </w:rPr>
        <w:t xml:space="preserve">of </w:t>
      </w:r>
      <w:r w:rsidR="00AE27A9">
        <w:rPr>
          <w:iCs/>
        </w:rPr>
        <w:t xml:space="preserve">5,687.5 </w:t>
      </w:r>
      <w:r>
        <w:rPr>
          <w:iCs/>
        </w:rPr>
        <w:t>hours</w:t>
      </w:r>
      <w:r w:rsidR="00176DF8">
        <w:rPr>
          <w:iCs/>
        </w:rPr>
        <w:t xml:space="preserve"> ((3</w:t>
      </w:r>
      <w:r w:rsidR="00EA522D">
        <w:rPr>
          <w:iCs/>
        </w:rPr>
        <w:t>,</w:t>
      </w:r>
      <w:r w:rsidR="0019566A">
        <w:rPr>
          <w:iCs/>
        </w:rPr>
        <w:t>250</w:t>
      </w:r>
      <w:r w:rsidR="00EA522D">
        <w:rPr>
          <w:iCs/>
        </w:rPr>
        <w:t xml:space="preserve"> x </w:t>
      </w:r>
      <w:r w:rsidR="00AE27A9">
        <w:rPr>
          <w:iCs/>
        </w:rPr>
        <w:t>105</w:t>
      </w:r>
      <w:r w:rsidR="00EA522D">
        <w:rPr>
          <w:iCs/>
        </w:rPr>
        <w:t>) / 60)</w:t>
      </w:r>
      <w:r>
        <w:rPr>
          <w:iCs/>
        </w:rPr>
        <w:t xml:space="preserve">. </w:t>
      </w:r>
    </w:p>
    <w:p w:rsidRPr="007F567A" w:rsidR="001C733A" w:rsidP="001C733A" w:rsidRDefault="001C733A" w14:paraId="17499712" w14:textId="77777777">
      <w:pPr>
        <w:pStyle w:val="HTMLPreformatted"/>
      </w:pPr>
      <w:r w:rsidRPr="007F567A">
        <w:rPr>
          <w:rFonts w:ascii="Times New Roman" w:hAnsi="Times New Roman" w:cs="Times New Roman"/>
          <w:sz w:val="24"/>
        </w:rPr>
        <w:t>The annualized cost to all respondents for the hour burden for collections of information is $</w:t>
      </w:r>
      <w:r w:rsidR="006D4D28">
        <w:rPr>
          <w:rFonts w:ascii="Times New Roman" w:hAnsi="Times New Roman" w:cs="Times New Roman"/>
          <w:sz w:val="24"/>
        </w:rPr>
        <w:t xml:space="preserve">30,068.36.  </w:t>
      </w:r>
      <w:r w:rsidRPr="007F567A">
        <w:rPr>
          <w:rFonts w:ascii="Times New Roman" w:hAnsi="Times New Roman" w:cs="Times New Roman"/>
          <w:sz w:val="24"/>
        </w:rPr>
        <w:t xml:space="preserve">The custodial parent/legal guardian respondents to the form can come from any occupation.  The Department used the mean hourly wage rate from the </w:t>
      </w:r>
      <w:r w:rsidRPr="007F567A">
        <w:rPr>
          <w:rFonts w:ascii="Times New Roman" w:hAnsi="Times New Roman" w:cs="Times New Roman"/>
          <w:sz w:val="24"/>
          <w:vertAlign w:val="superscript"/>
        </w:rPr>
        <w:t>1</w:t>
      </w:r>
      <w:r w:rsidRPr="007F567A">
        <w:rPr>
          <w:rFonts w:ascii="Times New Roman" w:hAnsi="Times New Roman" w:cs="Times New Roman"/>
          <w:sz w:val="24"/>
        </w:rPr>
        <w:t>Bureau of Labor Statistics - Comparison of All Employee Average Hourly Earnings to determine the mean</w:t>
      </w:r>
      <w:r>
        <w:rPr>
          <w:rFonts w:ascii="Times New Roman" w:hAnsi="Times New Roman" w:cs="Times New Roman"/>
          <w:sz w:val="24"/>
        </w:rPr>
        <w:t xml:space="preserve"> hourly wage rate</w:t>
      </w:r>
      <w:r w:rsidRPr="007F567A">
        <w:rPr>
          <w:rFonts w:ascii="Times New Roman" w:hAnsi="Times New Roman" w:cs="Times New Roman"/>
          <w:sz w:val="24"/>
        </w:rPr>
        <w:t xml:space="preserve">.  At the end of </w:t>
      </w:r>
      <w:r w:rsidR="006D4D28">
        <w:rPr>
          <w:rFonts w:ascii="Times New Roman" w:hAnsi="Times New Roman" w:cs="Times New Roman"/>
          <w:sz w:val="24"/>
        </w:rPr>
        <w:t>September</w:t>
      </w:r>
      <w:r w:rsidRPr="007F567A">
        <w:rPr>
          <w:rFonts w:ascii="Times New Roman" w:hAnsi="Times New Roman" w:cs="Times New Roman"/>
          <w:sz w:val="24"/>
        </w:rPr>
        <w:t xml:space="preserve"> 201</w:t>
      </w:r>
      <w:r w:rsidR="006D4D28">
        <w:rPr>
          <w:rFonts w:ascii="Times New Roman" w:hAnsi="Times New Roman" w:cs="Times New Roman"/>
          <w:sz w:val="24"/>
        </w:rPr>
        <w:t>9</w:t>
      </w:r>
      <w:r w:rsidRPr="007F567A">
        <w:rPr>
          <w:rFonts w:ascii="Times New Roman" w:hAnsi="Times New Roman" w:cs="Times New Roman"/>
          <w:sz w:val="24"/>
        </w:rPr>
        <w:t>, the mean hourly wage rate was $</w:t>
      </w:r>
      <w:r>
        <w:rPr>
          <w:rFonts w:ascii="Times New Roman" w:hAnsi="Times New Roman" w:cs="Times New Roman"/>
          <w:sz w:val="24"/>
        </w:rPr>
        <w:t>3</w:t>
      </w:r>
      <w:r w:rsidR="006D4D28">
        <w:rPr>
          <w:rFonts w:ascii="Times New Roman" w:hAnsi="Times New Roman" w:cs="Times New Roman"/>
          <w:sz w:val="24"/>
        </w:rPr>
        <w:t>7.03/</w:t>
      </w:r>
      <w:r>
        <w:rPr>
          <w:rFonts w:ascii="Times New Roman" w:hAnsi="Times New Roman" w:cs="Times New Roman"/>
          <w:sz w:val="24"/>
        </w:rPr>
        <w:t>hr</w:t>
      </w:r>
      <w:r w:rsidRPr="007F567A">
        <w:rPr>
          <w:rFonts w:ascii="Times New Roman" w:hAnsi="Times New Roman" w:cs="Times New Roman"/>
          <w:sz w:val="24"/>
        </w:rPr>
        <w:t xml:space="preserve">. To get to </w:t>
      </w:r>
      <w:r w:rsidRPr="007F567A" w:rsidR="006D4D28">
        <w:rPr>
          <w:rFonts w:ascii="Times New Roman" w:hAnsi="Times New Roman" w:cs="Times New Roman"/>
          <w:sz w:val="24"/>
        </w:rPr>
        <w:t>$</w:t>
      </w:r>
      <w:r w:rsidR="006D4D28">
        <w:rPr>
          <w:rFonts w:ascii="Times New Roman" w:hAnsi="Times New Roman" w:cs="Times New Roman"/>
          <w:sz w:val="24"/>
        </w:rPr>
        <w:t>30,068.36</w:t>
      </w:r>
      <w:r w:rsidRPr="007F567A">
        <w:rPr>
          <w:rFonts w:ascii="Times New Roman" w:hAnsi="Times New Roman" w:cs="Times New Roman"/>
          <w:sz w:val="24"/>
        </w:rPr>
        <w:t xml:space="preserve">, we multiplied the </w:t>
      </w:r>
      <w:r>
        <w:rPr>
          <w:rFonts w:ascii="Times New Roman" w:hAnsi="Times New Roman" w:cs="Times New Roman"/>
          <w:sz w:val="24"/>
        </w:rPr>
        <w:t>mean</w:t>
      </w:r>
      <w:r w:rsidRPr="007F567A">
        <w:rPr>
          <w:rFonts w:ascii="Times New Roman" w:hAnsi="Times New Roman" w:cs="Times New Roman"/>
          <w:sz w:val="24"/>
        </w:rPr>
        <w:t xml:space="preserve"> hourly wage</w:t>
      </w:r>
      <w:r>
        <w:rPr>
          <w:rFonts w:ascii="Times New Roman" w:hAnsi="Times New Roman" w:cs="Times New Roman"/>
          <w:sz w:val="24"/>
        </w:rPr>
        <w:t xml:space="preserve"> rate</w:t>
      </w:r>
      <w:r w:rsidRPr="007F567A">
        <w:rPr>
          <w:rFonts w:ascii="Times New Roman" w:hAnsi="Times New Roman" w:cs="Times New Roman"/>
          <w:sz w:val="24"/>
        </w:rPr>
        <w:t xml:space="preserve">, which is </w:t>
      </w:r>
      <w:r w:rsidRPr="007F567A" w:rsidR="006D4D28">
        <w:rPr>
          <w:rFonts w:ascii="Times New Roman" w:hAnsi="Times New Roman" w:cs="Times New Roman"/>
          <w:sz w:val="24"/>
        </w:rPr>
        <w:t>$</w:t>
      </w:r>
      <w:r w:rsidR="006D4D28">
        <w:rPr>
          <w:rFonts w:ascii="Times New Roman" w:hAnsi="Times New Roman" w:cs="Times New Roman"/>
          <w:sz w:val="24"/>
        </w:rPr>
        <w:t>37.03</w:t>
      </w:r>
      <w:r w:rsidRPr="007F567A">
        <w:rPr>
          <w:rFonts w:ascii="Times New Roman" w:hAnsi="Times New Roman" w:cs="Times New Roman"/>
          <w:sz w:val="24"/>
        </w:rPr>
        <w:t xml:space="preserve">/hr., by </w:t>
      </w:r>
      <w:r>
        <w:rPr>
          <w:rFonts w:ascii="Times New Roman" w:hAnsi="Times New Roman" w:cs="Times New Roman"/>
          <w:sz w:val="24"/>
        </w:rPr>
        <w:t xml:space="preserve">812 </w:t>
      </w:r>
      <w:r w:rsidRPr="007F567A">
        <w:rPr>
          <w:rFonts w:ascii="Times New Roman" w:hAnsi="Times New Roman" w:cs="Times New Roman"/>
          <w:sz w:val="24"/>
        </w:rPr>
        <w:t xml:space="preserve">burden hours.  </w:t>
      </w:r>
    </w:p>
    <w:p w:rsidRPr="007F567A" w:rsidR="00D83C8A" w:rsidP="00D83C8A" w:rsidRDefault="00D83C8A" w14:paraId="7D354B34" w14:textId="77777777">
      <w:pPr>
        <w:pStyle w:val="HTMLPreformatted"/>
      </w:pPr>
      <w:r w:rsidRPr="007F567A">
        <w:rPr>
          <w:rFonts w:ascii="Times New Roman" w:hAnsi="Times New Roman" w:cs="Times New Roman"/>
          <w:sz w:val="24"/>
        </w:rPr>
        <w:t xml:space="preserve">  </w:t>
      </w:r>
    </w:p>
    <w:p w:rsidR="00BA0FE8" w:rsidP="009A3EEB" w:rsidRDefault="00BA0FE8" w14:paraId="0092F68A" w14:textId="77777777">
      <w:pPr>
        <w:rPr>
          <w:b/>
          <w:iCs/>
        </w:rPr>
      </w:pPr>
    </w:p>
    <w:p w:rsidR="00665CEB" w:rsidP="007648B6" w:rsidRDefault="00D615D3" w14:paraId="2108CE4C" w14:textId="77777777">
      <w:pPr>
        <w:rPr>
          <w:i/>
          <w:color w:val="000000"/>
          <w:sz w:val="28"/>
          <w:szCs w:val="28"/>
        </w:rPr>
      </w:pPr>
      <w:r w:rsidRPr="007960E3">
        <w:rPr>
          <w:b/>
          <w:iCs/>
        </w:rPr>
        <w:t xml:space="preserve">13. </w:t>
      </w:r>
      <w:r w:rsidRPr="007960E3" w:rsidR="00F45E71">
        <w:rPr>
          <w:b/>
          <w:iCs/>
        </w:rPr>
        <w:t xml:space="preserve"> </w:t>
      </w:r>
      <w:r w:rsidRPr="002B0E71" w:rsidR="00665CEB">
        <w:rPr>
          <w:i/>
          <w:color w:val="000000"/>
          <w:sz w:val="28"/>
          <w:szCs w:val="28"/>
        </w:rPr>
        <w:t>Describe the monetary burden to respondents (out of pocket costs) needed to complete this collection.</w:t>
      </w:r>
    </w:p>
    <w:p w:rsidR="00665CEB" w:rsidP="007648B6" w:rsidRDefault="00665CEB" w14:paraId="69DEFBFF" w14:textId="77777777">
      <w:pPr>
        <w:rPr>
          <w:i/>
          <w:color w:val="000000"/>
          <w:sz w:val="28"/>
          <w:szCs w:val="28"/>
        </w:rPr>
      </w:pPr>
    </w:p>
    <w:p w:rsidRPr="007960E3" w:rsidR="007648B6" w:rsidP="007648B6" w:rsidRDefault="007648B6" w14:paraId="2A76486E" w14:textId="77777777">
      <w:r w:rsidRPr="007960E3">
        <w:t xml:space="preserve">The cost </w:t>
      </w:r>
      <w:r>
        <w:t xml:space="preserve">to the respondent </w:t>
      </w:r>
      <w:r w:rsidRPr="007960E3">
        <w:t>associated with this application</w:t>
      </w:r>
      <w:r w:rsidR="00366FAA">
        <w:t xml:space="preserve"> </w:t>
      </w:r>
      <w:r w:rsidR="00FE59D4">
        <w:t xml:space="preserve">would be </w:t>
      </w:r>
      <w:r w:rsidR="00D7327B">
        <w:t xml:space="preserve">mailing costs and/or </w:t>
      </w:r>
      <w:r>
        <w:t>travel costs for submitting the form to the U.S. diplomatic mission in person</w:t>
      </w:r>
      <w:r w:rsidRPr="007960E3">
        <w:t xml:space="preserve">.  </w:t>
      </w:r>
    </w:p>
    <w:p w:rsidRPr="007960E3" w:rsidR="007648B6" w:rsidP="007648B6" w:rsidRDefault="007648B6" w14:paraId="16C57D94" w14:textId="77777777"/>
    <w:p w:rsidR="007648B6" w:rsidP="007648B6" w:rsidRDefault="007648B6" w14:paraId="316F5389" w14:textId="4AAE9246">
      <w:r w:rsidRPr="007960E3">
        <w:t xml:space="preserve">An estimated </w:t>
      </w:r>
      <w:r>
        <w:t>32</w:t>
      </w:r>
      <w:r w:rsidR="000D4885">
        <w:t xml:space="preserve">5 </w:t>
      </w:r>
      <w:r w:rsidRPr="007960E3">
        <w:t>respondents choose to use express mail</w:t>
      </w:r>
      <w:r w:rsidR="00D7327B">
        <w:t xml:space="preserve"> to submit the form for preliminary consideration</w:t>
      </w:r>
      <w:r w:rsidRPr="007960E3">
        <w:t>. The average rates were based on data for FedEx express mail shipments.</w:t>
      </w:r>
      <w:r w:rsidRPr="008F6236" w:rsidR="008F6236">
        <w:rPr>
          <w:vertAlign w:val="superscript"/>
        </w:rPr>
        <w:t xml:space="preserve"> </w:t>
      </w:r>
      <w:r w:rsidRPr="001B3B06" w:rsidR="008F6236">
        <w:rPr>
          <w:vertAlign w:val="superscript"/>
        </w:rPr>
        <w:t>2</w:t>
      </w:r>
      <w:r w:rsidRPr="007960E3">
        <w:t xml:space="preserve"> The average total cost per respondent for express mail shipments is $45.</w:t>
      </w:r>
      <w:r>
        <w:t xml:space="preserve"> </w:t>
      </w:r>
      <w:r w:rsidRPr="007960E3">
        <w:t xml:space="preserve">Multiply </w:t>
      </w:r>
      <w:r>
        <w:t>32</w:t>
      </w:r>
      <w:r w:rsidR="000D4885">
        <w:t>5</w:t>
      </w:r>
      <w:r w:rsidRPr="007960E3">
        <w:t xml:space="preserve"> respondents by $45 and the total overall cost for express mail is $</w:t>
      </w:r>
      <w:r>
        <w:t>14</w:t>
      </w:r>
      <w:r w:rsidRPr="007960E3">
        <w:t>,</w:t>
      </w:r>
      <w:r w:rsidR="000D4885">
        <w:t>625</w:t>
      </w:r>
      <w:r w:rsidRPr="007960E3">
        <w:t>.</w:t>
      </w:r>
      <w:r>
        <w:t xml:space="preserve">  </w:t>
      </w:r>
    </w:p>
    <w:p w:rsidR="007648B6" w:rsidP="007648B6" w:rsidRDefault="007648B6" w14:paraId="16E46E29" w14:textId="77777777"/>
    <w:p w:rsidR="00AD475D" w:rsidP="00BC69DE" w:rsidRDefault="00D7327B" w14:paraId="5462E7FF" w14:textId="77777777">
      <w:pPr>
        <w:rPr>
          <w:b/>
          <w:bCs/>
          <w:color w:val="000000"/>
        </w:rPr>
      </w:pPr>
      <w:r>
        <w:t xml:space="preserve">Any individual who seeks to complete the process of requesting a CLN under INA 349(a)(1)-(4); 8 USC </w:t>
      </w:r>
      <w:r>
        <w:rPr>
          <w:color w:val="000000"/>
        </w:rPr>
        <w:t>§</w:t>
      </w:r>
      <w:r w:rsidRPr="00217D2F">
        <w:rPr>
          <w:color w:val="000000"/>
        </w:rPr>
        <w:t>1481(a)</w:t>
      </w:r>
      <w:r>
        <w:rPr>
          <w:color w:val="000000"/>
        </w:rPr>
        <w:t>-(4) must appear for an in-person interview and sign the Form DS-4079 before a consular officer</w:t>
      </w:r>
      <w:r w:rsidRPr="007960E3">
        <w:t xml:space="preserve">.  </w:t>
      </w:r>
      <w:r w:rsidR="003C431B">
        <w:t>An estimated 2,</w:t>
      </w:r>
      <w:r w:rsidR="00184EF2">
        <w:t>925</w:t>
      </w:r>
      <w:r w:rsidR="003C431B">
        <w:t xml:space="preserve"> respondents travel to </w:t>
      </w:r>
      <w:bookmarkStart w:name="_GoBack" w:id="0"/>
      <w:bookmarkEnd w:id="0"/>
      <w:r w:rsidR="003C431B">
        <w:t xml:space="preserve">a U.S. diplomatic mission in person. </w:t>
      </w:r>
      <w:r w:rsidR="007648B6">
        <w:t>Mileage costs for traveling by car will vary based on how far the person has to travel.</w:t>
      </w:r>
      <w:r w:rsidRPr="00F54974" w:rsidR="007648B6">
        <w:t xml:space="preserve"> </w:t>
      </w:r>
      <w:r w:rsidR="007648B6">
        <w:t xml:space="preserve"> If the travel is ten miles, the overall total cost based on </w:t>
      </w:r>
      <w:r w:rsidR="00AD475D">
        <w:t>975</w:t>
      </w:r>
      <w:r w:rsidR="007648B6">
        <w:t xml:space="preserve"> respondents that drive is $</w:t>
      </w:r>
      <w:r w:rsidR="00AD475D">
        <w:rPr>
          <w:color w:val="000000"/>
        </w:rPr>
        <w:t>5,752.50</w:t>
      </w:r>
      <w:r w:rsidR="007648B6">
        <w:t xml:space="preserve">.  If the travel is 25 miles, the overall total cost based on </w:t>
      </w:r>
      <w:r w:rsidR="00AD475D">
        <w:t>975</w:t>
      </w:r>
      <w:r w:rsidR="007648B6">
        <w:t xml:space="preserve"> respondents is $</w:t>
      </w:r>
      <w:r w:rsidR="00AD475D">
        <w:rPr>
          <w:color w:val="000000"/>
        </w:rPr>
        <w:t>14,381.25</w:t>
      </w:r>
      <w:r w:rsidR="007648B6">
        <w:t xml:space="preserve">.  If the travel is 50 miles, the overall total cost based on </w:t>
      </w:r>
      <w:r w:rsidR="00AD475D">
        <w:t>975</w:t>
      </w:r>
      <w:r w:rsidR="007648B6">
        <w:t xml:space="preserve"> respondents is $</w:t>
      </w:r>
      <w:r w:rsidR="00AD475D">
        <w:rPr>
          <w:color w:val="000000"/>
        </w:rPr>
        <w:t>28,762.50</w:t>
      </w:r>
      <w:r w:rsidR="007648B6">
        <w:t>.  The grand total mileage cost is $</w:t>
      </w:r>
      <w:r w:rsidRPr="00AD475D" w:rsidR="00AD475D">
        <w:rPr>
          <w:bCs/>
          <w:color w:val="000000"/>
        </w:rPr>
        <w:t>48,896.25</w:t>
      </w:r>
      <w:r w:rsidR="00AD475D">
        <w:rPr>
          <w:b/>
          <w:bCs/>
          <w:color w:val="000000"/>
        </w:rPr>
        <w:t xml:space="preserve"> </w:t>
      </w:r>
    </w:p>
    <w:p w:rsidR="00AD475D" w:rsidP="00BC69DE" w:rsidRDefault="00AD475D" w14:paraId="716AF7F4" w14:textId="77777777">
      <w:pPr>
        <w:rPr>
          <w:b/>
          <w:bCs/>
          <w:color w:val="000000"/>
        </w:rPr>
      </w:pPr>
    </w:p>
    <w:p w:rsidR="00BC69DE" w:rsidP="00BC69DE" w:rsidRDefault="00BC69DE" w14:paraId="2FB72F12" w14:textId="37844286">
      <w:r w:rsidRPr="00BC69DE">
        <w:t xml:space="preserve">The number of people traveling by vehicle per # of miles shown in the table below was determined by dividing </w:t>
      </w:r>
      <w:r w:rsidR="00F6200D">
        <w:t>2,</w:t>
      </w:r>
      <w:r w:rsidR="00AD475D">
        <w:t>925</w:t>
      </w:r>
      <w:r w:rsidRPr="00BC69DE">
        <w:t xml:space="preserve"> individuals by 3 which gives you </w:t>
      </w:r>
      <w:r w:rsidR="00AD475D">
        <w:t>975</w:t>
      </w:r>
      <w:r w:rsidRPr="00BC69DE">
        <w:t xml:space="preserve"> individuals.  The driving cost per mile of $0.5</w:t>
      </w:r>
      <w:r w:rsidR="00F6200D">
        <w:t>9</w:t>
      </w:r>
      <w:r w:rsidRPr="00BC69DE">
        <w:t xml:space="preserve"> was determined using the Bureau of Transportation Statistics (BTS) calculation from 201</w:t>
      </w:r>
      <w:r w:rsidR="00F6200D">
        <w:t>8</w:t>
      </w:r>
      <w:r w:rsidRPr="00BC69DE">
        <w:t>.</w:t>
      </w:r>
      <w:r w:rsidRPr="008F6236" w:rsidR="008F6236">
        <w:rPr>
          <w:vertAlign w:val="superscript"/>
        </w:rPr>
        <w:t xml:space="preserve"> </w:t>
      </w:r>
      <w:r w:rsidR="008F6236">
        <w:rPr>
          <w:vertAlign w:val="superscript"/>
        </w:rPr>
        <w:t>3</w:t>
      </w:r>
      <w:r w:rsidR="00C5495C">
        <w:t xml:space="preserve"> </w:t>
      </w:r>
      <w:r w:rsidRPr="00BC69DE">
        <w:t xml:space="preserve">The BTS calculation is an adequate source because the </w:t>
      </w:r>
      <w:r w:rsidRPr="00BC69DE">
        <w:rPr>
          <w:color w:val="000000"/>
          <w:sz w:val="23"/>
          <w:szCs w:val="23"/>
          <w:shd w:val="clear" w:color="auto" w:fill="F8F8F8"/>
        </w:rPr>
        <w:t xml:space="preserve">method for calculating vehicle operating costs represent the real-world personal use of a vehicle over a five-year and 75,000-mile ownership </w:t>
      </w:r>
      <w:r w:rsidRPr="00BC69DE">
        <w:t xml:space="preserve">period.  The total cost of owning and operating an automobile include fuel, maintenance, tires, insurance, license, registration and taxes, depreciation, and finance.  </w:t>
      </w:r>
    </w:p>
    <w:p w:rsidR="006D4D28" w:rsidP="00BC69DE" w:rsidRDefault="006D4D28" w14:paraId="2195A0E1" w14:textId="77777777"/>
    <w:p w:rsidR="006D4D28" w:rsidP="00BC69DE" w:rsidRDefault="006D4D28" w14:paraId="04499B54" w14:textId="77777777"/>
    <w:p w:rsidR="006D4D28" w:rsidP="00BC69DE" w:rsidRDefault="006D4D28" w14:paraId="16D892DA" w14:textId="77777777"/>
    <w:p w:rsidR="006D4D28" w:rsidP="00BC69DE" w:rsidRDefault="006D4D28" w14:paraId="0D86648E" w14:textId="77777777"/>
    <w:p w:rsidR="006D4D28" w:rsidP="00BC69DE" w:rsidRDefault="006D4D28" w14:paraId="77CC4744" w14:textId="77777777"/>
    <w:p w:rsidR="006D4D28" w:rsidP="00BC69DE" w:rsidRDefault="006D4D28" w14:paraId="72D6F7EE" w14:textId="77777777"/>
    <w:p w:rsidR="006D4D28" w:rsidP="00BC69DE" w:rsidRDefault="006D4D28" w14:paraId="3BF26BF5" w14:textId="77777777"/>
    <w:p w:rsidR="006D4D28" w:rsidP="00BC69DE" w:rsidRDefault="006D4D28" w14:paraId="5E2471A4" w14:textId="77777777"/>
    <w:p w:rsidR="006D4D28" w:rsidP="00BC69DE" w:rsidRDefault="006D4D28" w14:paraId="3728800A" w14:textId="77777777"/>
    <w:p w:rsidR="006D4D28" w:rsidP="00BC69DE" w:rsidRDefault="006D4D28" w14:paraId="27C4C2D8" w14:textId="77777777"/>
    <w:p w:rsidR="006D4D28" w:rsidP="00BC69DE" w:rsidRDefault="006D4D28" w14:paraId="4273AFAF" w14:textId="77777777"/>
    <w:p w:rsidR="00C078D7" w:rsidP="00F6200D" w:rsidRDefault="00C078D7" w14:paraId="6B27B6E5" w14:textId="77777777">
      <w:pPr>
        <w:pStyle w:val="FRNoticeHeading2"/>
        <w:rPr>
          <w:bCs w:val="0"/>
          <w:i w:val="0"/>
          <w:iCs w:val="0"/>
        </w:rPr>
      </w:pPr>
    </w:p>
    <w:p w:rsidR="00F6200D" w:rsidP="00F6200D" w:rsidRDefault="00F6200D" w14:paraId="6DA065BA" w14:textId="77777777">
      <w:pPr>
        <w:pStyle w:val="FRNoticeHeading2"/>
        <w:rPr>
          <w:bCs w:val="0"/>
          <w:i w:val="0"/>
          <w:iCs w:val="0"/>
        </w:rPr>
      </w:pPr>
      <w:r>
        <w:rPr>
          <w:bCs w:val="0"/>
          <w:i w:val="0"/>
          <w:iCs w:val="0"/>
        </w:rPr>
        <w:t>______________________</w:t>
      </w:r>
    </w:p>
    <w:p w:rsidR="00AF4240" w:rsidP="001B3B06" w:rsidRDefault="00AF4240" w14:paraId="3D6B7832" w14:textId="77777777">
      <w:pPr>
        <w:pStyle w:val="NoSpacing"/>
        <w:rPr>
          <w:rStyle w:val="Hyperlink"/>
          <w:rFonts w:ascii="Cambria" w:hAnsi="Cambria"/>
          <w:b/>
          <w:bCs/>
          <w:kern w:val="32"/>
          <w:sz w:val="16"/>
          <w:szCs w:val="16"/>
        </w:rPr>
      </w:pPr>
      <w:r w:rsidRPr="001B3B06">
        <w:rPr>
          <w:sz w:val="16"/>
          <w:szCs w:val="16"/>
          <w:vertAlign w:val="superscript"/>
        </w:rPr>
        <w:t>1</w:t>
      </w:r>
      <w:r w:rsidRPr="001B3B06">
        <w:rPr>
          <w:sz w:val="16"/>
          <w:szCs w:val="16"/>
        </w:rPr>
        <w:t xml:space="preserve"> Source: </w:t>
      </w:r>
      <w:r w:rsidR="006D4D28">
        <w:rPr>
          <w:sz w:val="16"/>
          <w:szCs w:val="16"/>
        </w:rPr>
        <w:t>“</w:t>
      </w:r>
      <w:r w:rsidRPr="003E17DD" w:rsidR="006D4D28">
        <w:rPr>
          <w:sz w:val="16"/>
          <w:szCs w:val="16"/>
        </w:rPr>
        <w:t>Table 2. Civilian workers by occupational and industry group</w:t>
      </w:r>
      <w:r w:rsidRPr="001B3B06">
        <w:rPr>
          <w:sz w:val="16"/>
          <w:szCs w:val="16"/>
        </w:rPr>
        <w:t xml:space="preserve">”. </w:t>
      </w:r>
      <w:r w:rsidRPr="003E17DD" w:rsidR="006D4D28">
        <w:rPr>
          <w:rStyle w:val="Hyperlink"/>
          <w:rFonts w:ascii="Cambria" w:hAnsi="Cambria"/>
          <w:kern w:val="32"/>
          <w:sz w:val="16"/>
          <w:szCs w:val="16"/>
        </w:rPr>
        <w:t>https://www.bls.gov/news.release/ecec.t02.htm</w:t>
      </w:r>
    </w:p>
    <w:p w:rsidR="00FD36CF" w:rsidP="001B3B06" w:rsidRDefault="00FD36CF" w14:paraId="5EEEF818" w14:textId="77777777">
      <w:pPr>
        <w:pStyle w:val="NoSpacing"/>
        <w:rPr>
          <w:rStyle w:val="Hyperlink"/>
          <w:rFonts w:ascii="Cambria" w:hAnsi="Cambria"/>
          <w:b/>
          <w:bCs/>
          <w:kern w:val="32"/>
          <w:sz w:val="16"/>
          <w:szCs w:val="16"/>
        </w:rPr>
      </w:pPr>
    </w:p>
    <w:p w:rsidRPr="001B3B06" w:rsidR="00FD36CF" w:rsidP="001B3B06" w:rsidRDefault="00FD36CF" w14:paraId="10B09A12" w14:textId="77777777">
      <w:pPr>
        <w:pStyle w:val="NoSpacing"/>
        <w:rPr>
          <w:sz w:val="16"/>
          <w:szCs w:val="16"/>
        </w:rPr>
      </w:pPr>
      <w:r w:rsidRPr="001B3B06">
        <w:rPr>
          <w:sz w:val="16"/>
          <w:szCs w:val="16"/>
          <w:vertAlign w:val="superscript"/>
        </w:rPr>
        <w:t>2</w:t>
      </w:r>
      <w:r>
        <w:rPr>
          <w:sz w:val="16"/>
          <w:szCs w:val="16"/>
          <w:vertAlign w:val="superscript"/>
        </w:rPr>
        <w:t xml:space="preserve"> </w:t>
      </w:r>
      <w:r w:rsidRPr="001B3B06" w:rsidR="00B34195">
        <w:rPr>
          <w:sz w:val="16"/>
          <w:szCs w:val="16"/>
        </w:rPr>
        <w:t>Sour</w:t>
      </w:r>
      <w:r w:rsidR="00B34195">
        <w:rPr>
          <w:sz w:val="16"/>
          <w:szCs w:val="16"/>
        </w:rPr>
        <w:t xml:space="preserve">ce: FedEx, “International Shipping”. </w:t>
      </w:r>
      <w:hyperlink w:history="1" r:id="rId20">
        <w:r w:rsidRPr="001B3B06" w:rsidR="00B34195">
          <w:rPr>
            <w:rStyle w:val="Hyperlink"/>
            <w:rFonts w:ascii="Cambria" w:hAnsi="Cambria"/>
            <w:bCs/>
            <w:kern w:val="32"/>
            <w:sz w:val="16"/>
            <w:szCs w:val="16"/>
          </w:rPr>
          <w:t>https://www.fedex.com/en-us/shipping/international.html</w:t>
        </w:r>
      </w:hyperlink>
    </w:p>
    <w:p w:rsidR="00AF4240" w:rsidP="001B3B06" w:rsidRDefault="00AF4240" w14:paraId="621366D9" w14:textId="77777777">
      <w:pPr>
        <w:pStyle w:val="NoSpacing"/>
        <w:rPr>
          <w:sz w:val="16"/>
          <w:szCs w:val="16"/>
          <w:vertAlign w:val="superscript"/>
        </w:rPr>
      </w:pPr>
    </w:p>
    <w:p w:rsidR="00F6200D" w:rsidP="001B3B06" w:rsidRDefault="00B34195" w14:paraId="1D5D8985" w14:textId="77777777">
      <w:pPr>
        <w:pStyle w:val="NoSpacing"/>
      </w:pPr>
      <w:r>
        <w:rPr>
          <w:sz w:val="16"/>
          <w:szCs w:val="16"/>
          <w:vertAlign w:val="superscript"/>
        </w:rPr>
        <w:t>3</w:t>
      </w:r>
      <w:r w:rsidR="00DF31DB">
        <w:rPr>
          <w:sz w:val="16"/>
          <w:szCs w:val="16"/>
          <w:vertAlign w:val="superscript"/>
        </w:rPr>
        <w:t xml:space="preserve"> </w:t>
      </w:r>
      <w:r w:rsidRPr="009E2EE0" w:rsidR="00DF31DB">
        <w:rPr>
          <w:bCs/>
          <w:sz w:val="16"/>
          <w:szCs w:val="16"/>
        </w:rPr>
        <w:t xml:space="preserve">Source:  “Average Cost of Owning and Operating an Automobile”.  </w:t>
      </w:r>
      <w:r w:rsidRPr="006D6066" w:rsidR="00F6200D">
        <w:rPr>
          <w:rStyle w:val="Hyperlink"/>
          <w:sz w:val="16"/>
          <w:szCs w:val="16"/>
        </w:rPr>
        <w:t>https://www.bts.gov/content/average-cost-owning-and-operating-automobile</w:t>
      </w:r>
    </w:p>
    <w:p w:rsidRPr="00BC69DE" w:rsidR="00F6200D" w:rsidP="00BC69DE" w:rsidRDefault="00F6200D" w14:paraId="2871825E" w14:textId="77777777"/>
    <w:tbl>
      <w:tblPr>
        <w:tblW w:w="6716" w:type="dxa"/>
        <w:tblInd w:w="93" w:type="dxa"/>
        <w:tblLook w:val="04A0" w:firstRow="1" w:lastRow="0" w:firstColumn="1" w:lastColumn="0" w:noHBand="0" w:noVBand="1"/>
      </w:tblPr>
      <w:tblGrid>
        <w:gridCol w:w="954"/>
        <w:gridCol w:w="1443"/>
        <w:gridCol w:w="1736"/>
        <w:gridCol w:w="1736"/>
        <w:gridCol w:w="1296"/>
      </w:tblGrid>
      <w:tr w:rsidR="006378ED" w:rsidTr="00C5495C" w14:paraId="5BB63AE9" w14:textId="77777777">
        <w:trPr>
          <w:trHeight w:val="577"/>
        </w:trPr>
        <w:tc>
          <w:tcPr>
            <w:tcW w:w="954" w:type="dxa"/>
            <w:tcBorders>
              <w:top w:val="nil"/>
              <w:left w:val="nil"/>
              <w:bottom w:val="nil"/>
              <w:right w:val="nil"/>
            </w:tcBorders>
            <w:shd w:val="clear" w:color="auto" w:fill="auto"/>
            <w:noWrap/>
            <w:vAlign w:val="bottom"/>
            <w:hideMark/>
          </w:tcPr>
          <w:p w:rsidR="006378ED" w:rsidRDefault="006378ED" w14:paraId="25A31BD4" w14:textId="77777777">
            <w:pPr>
              <w:rPr>
                <w:color w:val="000000"/>
                <w:sz w:val="20"/>
                <w:szCs w:val="20"/>
              </w:rPr>
            </w:pPr>
          </w:p>
        </w:tc>
        <w:tc>
          <w:tcPr>
            <w:tcW w:w="14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006378ED" w:rsidRDefault="006378ED" w14:paraId="7D6F5905" w14:textId="77777777">
            <w:pPr>
              <w:jc w:val="center"/>
              <w:rPr>
                <w:color w:val="000000"/>
              </w:rPr>
            </w:pPr>
            <w:r>
              <w:rPr>
                <w:color w:val="000000"/>
              </w:rPr>
              <w:t xml:space="preserve">Total # of Respondents </w:t>
            </w:r>
          </w:p>
        </w:tc>
        <w:tc>
          <w:tcPr>
            <w:tcW w:w="1534" w:type="dxa"/>
            <w:tcBorders>
              <w:top w:val="single" w:color="auto" w:sz="8" w:space="0"/>
              <w:left w:val="nil"/>
              <w:bottom w:val="single" w:color="auto" w:sz="8" w:space="0"/>
              <w:right w:val="single" w:color="auto" w:sz="8" w:space="0"/>
            </w:tcBorders>
            <w:shd w:val="clear" w:color="auto" w:fill="auto"/>
            <w:noWrap/>
            <w:vAlign w:val="center"/>
            <w:hideMark/>
          </w:tcPr>
          <w:p w:rsidR="006378ED" w:rsidP="00184EF2" w:rsidRDefault="006378ED" w14:paraId="33B7202F" w14:textId="77777777">
            <w:pPr>
              <w:jc w:val="center"/>
              <w:rPr>
                <w:b/>
                <w:bCs/>
                <w:color w:val="000000"/>
              </w:rPr>
            </w:pPr>
            <w:r>
              <w:rPr>
                <w:b/>
                <w:bCs/>
                <w:color w:val="000000"/>
              </w:rPr>
              <w:t>3,2</w:t>
            </w:r>
            <w:r w:rsidR="00184EF2">
              <w:rPr>
                <w:b/>
                <w:bCs/>
                <w:color w:val="000000"/>
              </w:rPr>
              <w:t>5</w:t>
            </w:r>
            <w:r>
              <w:rPr>
                <w:b/>
                <w:bCs/>
                <w:color w:val="000000"/>
              </w:rPr>
              <w:t>0</w:t>
            </w:r>
          </w:p>
        </w:tc>
        <w:tc>
          <w:tcPr>
            <w:tcW w:w="1534" w:type="dxa"/>
            <w:tcBorders>
              <w:top w:val="nil"/>
              <w:left w:val="nil"/>
              <w:bottom w:val="nil"/>
              <w:right w:val="nil"/>
            </w:tcBorders>
            <w:shd w:val="clear" w:color="auto" w:fill="auto"/>
            <w:noWrap/>
            <w:vAlign w:val="bottom"/>
            <w:hideMark/>
          </w:tcPr>
          <w:p w:rsidR="006378ED" w:rsidRDefault="006378ED" w14:paraId="135A7F39" w14:textId="77777777">
            <w:pPr>
              <w:rPr>
                <w:color w:val="000000"/>
                <w:sz w:val="20"/>
                <w:szCs w:val="20"/>
              </w:rPr>
            </w:pPr>
          </w:p>
        </w:tc>
        <w:tc>
          <w:tcPr>
            <w:tcW w:w="1254" w:type="dxa"/>
            <w:tcBorders>
              <w:top w:val="nil"/>
              <w:left w:val="nil"/>
              <w:bottom w:val="nil"/>
              <w:right w:val="nil"/>
            </w:tcBorders>
            <w:shd w:val="clear" w:color="auto" w:fill="auto"/>
            <w:noWrap/>
            <w:vAlign w:val="bottom"/>
            <w:hideMark/>
          </w:tcPr>
          <w:p w:rsidR="006378ED" w:rsidRDefault="006378ED" w14:paraId="11CF6083" w14:textId="77777777">
            <w:pPr>
              <w:rPr>
                <w:color w:val="000000"/>
                <w:sz w:val="20"/>
                <w:szCs w:val="20"/>
              </w:rPr>
            </w:pPr>
          </w:p>
        </w:tc>
      </w:tr>
      <w:tr w:rsidR="006378ED" w:rsidTr="00C5495C" w14:paraId="4D2FE328" w14:textId="77777777">
        <w:trPr>
          <w:trHeight w:val="720"/>
        </w:trPr>
        <w:tc>
          <w:tcPr>
            <w:tcW w:w="954" w:type="dxa"/>
            <w:tcBorders>
              <w:top w:val="nil"/>
              <w:left w:val="nil"/>
              <w:bottom w:val="nil"/>
              <w:right w:val="nil"/>
            </w:tcBorders>
            <w:shd w:val="clear" w:color="auto" w:fill="auto"/>
            <w:noWrap/>
            <w:vAlign w:val="bottom"/>
            <w:hideMark/>
          </w:tcPr>
          <w:p w:rsidR="006378ED" w:rsidRDefault="006378ED" w14:paraId="78FED4C2" w14:textId="77777777">
            <w:pPr>
              <w:rPr>
                <w:color w:val="000000"/>
                <w:sz w:val="20"/>
                <w:szCs w:val="20"/>
              </w:rPr>
            </w:pPr>
          </w:p>
        </w:tc>
        <w:tc>
          <w:tcPr>
            <w:tcW w:w="1440" w:type="dxa"/>
            <w:tcBorders>
              <w:top w:val="nil"/>
              <w:left w:val="single" w:color="auto" w:sz="8" w:space="0"/>
              <w:bottom w:val="single" w:color="auto" w:sz="8" w:space="0"/>
              <w:right w:val="single" w:color="auto" w:sz="8" w:space="0"/>
            </w:tcBorders>
            <w:shd w:val="clear" w:color="auto" w:fill="auto"/>
            <w:vAlign w:val="center"/>
            <w:hideMark/>
          </w:tcPr>
          <w:p w:rsidR="006378ED" w:rsidRDefault="006378ED" w14:paraId="633507B1" w14:textId="77777777">
            <w:pPr>
              <w:jc w:val="center"/>
              <w:rPr>
                <w:color w:val="000000"/>
              </w:rPr>
            </w:pPr>
            <w:r>
              <w:rPr>
                <w:color w:val="000000"/>
              </w:rPr>
              <w:t>Total # of Respondents that Drove</w:t>
            </w:r>
          </w:p>
        </w:tc>
        <w:tc>
          <w:tcPr>
            <w:tcW w:w="1534" w:type="dxa"/>
            <w:tcBorders>
              <w:top w:val="nil"/>
              <w:left w:val="nil"/>
              <w:bottom w:val="single" w:color="auto" w:sz="8" w:space="0"/>
              <w:right w:val="single" w:color="auto" w:sz="8" w:space="0"/>
            </w:tcBorders>
            <w:shd w:val="clear" w:color="auto" w:fill="auto"/>
            <w:noWrap/>
            <w:vAlign w:val="center"/>
            <w:hideMark/>
          </w:tcPr>
          <w:p w:rsidR="006378ED" w:rsidP="00184EF2" w:rsidRDefault="006378ED" w14:paraId="0474FCD4" w14:textId="77777777">
            <w:pPr>
              <w:jc w:val="center"/>
              <w:rPr>
                <w:b/>
                <w:bCs/>
                <w:color w:val="000000"/>
              </w:rPr>
            </w:pPr>
            <w:r>
              <w:rPr>
                <w:b/>
                <w:bCs/>
                <w:color w:val="000000"/>
              </w:rPr>
              <w:t>2,</w:t>
            </w:r>
            <w:r w:rsidR="00184EF2">
              <w:rPr>
                <w:b/>
                <w:bCs/>
                <w:color w:val="000000"/>
              </w:rPr>
              <w:t>925</w:t>
            </w:r>
          </w:p>
        </w:tc>
        <w:tc>
          <w:tcPr>
            <w:tcW w:w="1534" w:type="dxa"/>
            <w:tcBorders>
              <w:top w:val="nil"/>
              <w:left w:val="nil"/>
              <w:bottom w:val="nil"/>
              <w:right w:val="nil"/>
            </w:tcBorders>
            <w:shd w:val="clear" w:color="auto" w:fill="auto"/>
            <w:noWrap/>
            <w:vAlign w:val="bottom"/>
            <w:hideMark/>
          </w:tcPr>
          <w:p w:rsidR="006378ED" w:rsidRDefault="006378ED" w14:paraId="1713F73B" w14:textId="77777777">
            <w:pPr>
              <w:rPr>
                <w:color w:val="000000"/>
                <w:sz w:val="20"/>
                <w:szCs w:val="20"/>
              </w:rPr>
            </w:pPr>
          </w:p>
        </w:tc>
        <w:tc>
          <w:tcPr>
            <w:tcW w:w="1254" w:type="dxa"/>
            <w:tcBorders>
              <w:top w:val="nil"/>
              <w:left w:val="nil"/>
              <w:bottom w:val="nil"/>
              <w:right w:val="nil"/>
            </w:tcBorders>
            <w:shd w:val="clear" w:color="auto" w:fill="auto"/>
            <w:noWrap/>
            <w:vAlign w:val="bottom"/>
            <w:hideMark/>
          </w:tcPr>
          <w:p w:rsidR="006378ED" w:rsidRDefault="006378ED" w14:paraId="74005E55" w14:textId="77777777">
            <w:pPr>
              <w:rPr>
                <w:color w:val="000000"/>
                <w:sz w:val="20"/>
                <w:szCs w:val="20"/>
              </w:rPr>
            </w:pPr>
          </w:p>
        </w:tc>
      </w:tr>
      <w:tr w:rsidR="006378ED" w:rsidTr="00C5495C" w14:paraId="4EFF0573" w14:textId="77777777">
        <w:trPr>
          <w:trHeight w:val="1006"/>
        </w:trPr>
        <w:tc>
          <w:tcPr>
            <w:tcW w:w="954" w:type="dxa"/>
            <w:tcBorders>
              <w:top w:val="single" w:color="auto" w:sz="8" w:space="0"/>
              <w:left w:val="single" w:color="auto" w:sz="8" w:space="0"/>
              <w:bottom w:val="single" w:color="auto" w:sz="8" w:space="0"/>
              <w:right w:val="single" w:color="auto" w:sz="8" w:space="0"/>
            </w:tcBorders>
            <w:shd w:val="clear" w:color="auto" w:fill="auto"/>
            <w:vAlign w:val="center"/>
            <w:hideMark/>
          </w:tcPr>
          <w:p w:rsidR="006378ED" w:rsidRDefault="006378ED" w14:paraId="412A4E2C" w14:textId="77777777">
            <w:pPr>
              <w:jc w:val="center"/>
              <w:rPr>
                <w:color w:val="000000"/>
              </w:rPr>
            </w:pPr>
            <w:r>
              <w:rPr>
                <w:color w:val="000000"/>
              </w:rPr>
              <w:t># of People</w:t>
            </w:r>
          </w:p>
        </w:tc>
        <w:tc>
          <w:tcPr>
            <w:tcW w:w="1440" w:type="dxa"/>
            <w:tcBorders>
              <w:top w:val="nil"/>
              <w:left w:val="nil"/>
              <w:bottom w:val="single" w:color="auto" w:sz="8" w:space="0"/>
              <w:right w:val="single" w:color="auto" w:sz="8" w:space="0"/>
            </w:tcBorders>
            <w:shd w:val="clear" w:color="auto" w:fill="auto"/>
            <w:noWrap/>
            <w:vAlign w:val="center"/>
            <w:hideMark/>
          </w:tcPr>
          <w:p w:rsidR="006378ED" w:rsidRDefault="006378ED" w14:paraId="0F05C342" w14:textId="77777777">
            <w:pPr>
              <w:jc w:val="center"/>
              <w:rPr>
                <w:color w:val="000000"/>
              </w:rPr>
            </w:pPr>
            <w:r>
              <w:rPr>
                <w:color w:val="000000"/>
              </w:rPr>
              <w:t># of Miles</w:t>
            </w:r>
          </w:p>
        </w:tc>
        <w:tc>
          <w:tcPr>
            <w:tcW w:w="1534" w:type="dxa"/>
            <w:tcBorders>
              <w:top w:val="nil"/>
              <w:left w:val="nil"/>
              <w:bottom w:val="single" w:color="auto" w:sz="8" w:space="0"/>
              <w:right w:val="single" w:color="auto" w:sz="8" w:space="0"/>
            </w:tcBorders>
            <w:shd w:val="clear" w:color="auto" w:fill="auto"/>
            <w:vAlign w:val="center"/>
            <w:hideMark/>
          </w:tcPr>
          <w:p w:rsidR="006378ED" w:rsidRDefault="006378ED" w14:paraId="6B206336" w14:textId="77777777">
            <w:pPr>
              <w:jc w:val="center"/>
              <w:rPr>
                <w:color w:val="000000"/>
              </w:rPr>
            </w:pPr>
            <w:r>
              <w:rPr>
                <w:color w:val="000000"/>
              </w:rPr>
              <w:t>Reimbursement Cost  Per Mile</w:t>
            </w:r>
          </w:p>
        </w:tc>
        <w:tc>
          <w:tcPr>
            <w:tcW w:w="1534" w:type="dxa"/>
            <w:tcBorders>
              <w:top w:val="single" w:color="auto" w:sz="8" w:space="0"/>
              <w:left w:val="nil"/>
              <w:bottom w:val="single" w:color="auto" w:sz="8" w:space="0"/>
              <w:right w:val="single" w:color="auto" w:sz="8" w:space="0"/>
            </w:tcBorders>
            <w:shd w:val="clear" w:color="auto" w:fill="auto"/>
            <w:vAlign w:val="center"/>
            <w:hideMark/>
          </w:tcPr>
          <w:p w:rsidR="006378ED" w:rsidRDefault="006378ED" w14:paraId="548AFD36" w14:textId="77777777">
            <w:pPr>
              <w:jc w:val="center"/>
              <w:rPr>
                <w:color w:val="000000"/>
              </w:rPr>
            </w:pPr>
            <w:r>
              <w:rPr>
                <w:color w:val="000000"/>
              </w:rPr>
              <w:t>Total Reimbursement for mileage listed for one person</w:t>
            </w:r>
          </w:p>
        </w:tc>
        <w:tc>
          <w:tcPr>
            <w:tcW w:w="1254" w:type="dxa"/>
            <w:tcBorders>
              <w:top w:val="single" w:color="auto" w:sz="8" w:space="0"/>
              <w:left w:val="nil"/>
              <w:bottom w:val="single" w:color="auto" w:sz="8" w:space="0"/>
              <w:right w:val="single" w:color="auto" w:sz="8" w:space="0"/>
            </w:tcBorders>
            <w:shd w:val="clear" w:color="auto" w:fill="auto"/>
            <w:vAlign w:val="center"/>
            <w:hideMark/>
          </w:tcPr>
          <w:p w:rsidR="006378ED" w:rsidRDefault="006378ED" w14:paraId="7320DE5A" w14:textId="77777777">
            <w:pPr>
              <w:jc w:val="center"/>
              <w:rPr>
                <w:color w:val="000000"/>
              </w:rPr>
            </w:pPr>
            <w:r>
              <w:rPr>
                <w:color w:val="000000"/>
              </w:rPr>
              <w:t>Totals</w:t>
            </w:r>
          </w:p>
        </w:tc>
      </w:tr>
      <w:tr w:rsidR="006378ED" w:rsidTr="00C5495C" w14:paraId="24CE43B6" w14:textId="77777777">
        <w:trPr>
          <w:trHeight w:val="149"/>
        </w:trPr>
        <w:tc>
          <w:tcPr>
            <w:tcW w:w="954" w:type="dxa"/>
            <w:tcBorders>
              <w:top w:val="nil"/>
              <w:left w:val="single" w:color="auto" w:sz="8" w:space="0"/>
              <w:bottom w:val="single" w:color="auto" w:sz="8" w:space="0"/>
              <w:right w:val="single" w:color="auto" w:sz="8" w:space="0"/>
            </w:tcBorders>
            <w:shd w:val="clear" w:color="auto" w:fill="auto"/>
            <w:noWrap/>
            <w:vAlign w:val="center"/>
            <w:hideMark/>
          </w:tcPr>
          <w:p w:rsidR="006378ED" w:rsidP="00E77CA6" w:rsidRDefault="006378ED" w14:paraId="2880F634" w14:textId="77777777">
            <w:pPr>
              <w:jc w:val="center"/>
              <w:rPr>
                <w:color w:val="000000"/>
              </w:rPr>
            </w:pPr>
            <w:r>
              <w:rPr>
                <w:color w:val="000000"/>
              </w:rPr>
              <w:t>9</w:t>
            </w:r>
            <w:r w:rsidR="00E77CA6">
              <w:rPr>
                <w:color w:val="000000"/>
              </w:rPr>
              <w:t>75</w:t>
            </w:r>
          </w:p>
        </w:tc>
        <w:tc>
          <w:tcPr>
            <w:tcW w:w="1440" w:type="dxa"/>
            <w:tcBorders>
              <w:top w:val="nil"/>
              <w:left w:val="nil"/>
              <w:bottom w:val="single" w:color="auto" w:sz="8" w:space="0"/>
              <w:right w:val="single" w:color="auto" w:sz="8" w:space="0"/>
            </w:tcBorders>
            <w:shd w:val="clear" w:color="auto" w:fill="auto"/>
            <w:noWrap/>
            <w:vAlign w:val="center"/>
            <w:hideMark/>
          </w:tcPr>
          <w:p w:rsidR="006378ED" w:rsidRDefault="006378ED" w14:paraId="7671F22B" w14:textId="77777777">
            <w:pPr>
              <w:jc w:val="center"/>
              <w:rPr>
                <w:color w:val="000000"/>
              </w:rPr>
            </w:pPr>
            <w:r>
              <w:rPr>
                <w:color w:val="000000"/>
              </w:rPr>
              <w:t>10</w:t>
            </w:r>
          </w:p>
        </w:tc>
        <w:tc>
          <w:tcPr>
            <w:tcW w:w="1534" w:type="dxa"/>
            <w:tcBorders>
              <w:top w:val="nil"/>
              <w:left w:val="nil"/>
              <w:bottom w:val="single" w:color="auto" w:sz="8" w:space="0"/>
              <w:right w:val="single" w:color="auto" w:sz="8" w:space="0"/>
            </w:tcBorders>
            <w:shd w:val="clear" w:color="auto" w:fill="auto"/>
            <w:noWrap/>
            <w:vAlign w:val="center"/>
            <w:hideMark/>
          </w:tcPr>
          <w:p w:rsidR="006378ED" w:rsidRDefault="006378ED" w14:paraId="0C644E31" w14:textId="77777777">
            <w:pPr>
              <w:jc w:val="center"/>
              <w:rPr>
                <w:color w:val="000000"/>
              </w:rPr>
            </w:pPr>
            <w:r>
              <w:rPr>
                <w:color w:val="000000"/>
              </w:rPr>
              <w:t xml:space="preserve">$0.59 </w:t>
            </w:r>
          </w:p>
        </w:tc>
        <w:tc>
          <w:tcPr>
            <w:tcW w:w="1534" w:type="dxa"/>
            <w:tcBorders>
              <w:top w:val="nil"/>
              <w:left w:val="nil"/>
              <w:bottom w:val="single" w:color="auto" w:sz="8" w:space="0"/>
              <w:right w:val="single" w:color="auto" w:sz="8" w:space="0"/>
            </w:tcBorders>
            <w:shd w:val="clear" w:color="auto" w:fill="auto"/>
            <w:noWrap/>
            <w:vAlign w:val="center"/>
            <w:hideMark/>
          </w:tcPr>
          <w:p w:rsidR="006378ED" w:rsidRDefault="006378ED" w14:paraId="7F1856EF" w14:textId="77777777">
            <w:pPr>
              <w:jc w:val="center"/>
              <w:rPr>
                <w:color w:val="000000"/>
              </w:rPr>
            </w:pPr>
            <w:r>
              <w:rPr>
                <w:color w:val="000000"/>
              </w:rPr>
              <w:t xml:space="preserve">$5.90 </w:t>
            </w:r>
          </w:p>
        </w:tc>
        <w:tc>
          <w:tcPr>
            <w:tcW w:w="1254" w:type="dxa"/>
            <w:tcBorders>
              <w:top w:val="nil"/>
              <w:left w:val="nil"/>
              <w:bottom w:val="single" w:color="auto" w:sz="8" w:space="0"/>
              <w:right w:val="single" w:color="auto" w:sz="8" w:space="0"/>
            </w:tcBorders>
            <w:shd w:val="clear" w:color="auto" w:fill="auto"/>
            <w:vAlign w:val="center"/>
            <w:hideMark/>
          </w:tcPr>
          <w:p w:rsidR="006378ED" w:rsidP="00E77CA6" w:rsidRDefault="006378ED" w14:paraId="63CC044F" w14:textId="77777777">
            <w:pPr>
              <w:jc w:val="center"/>
              <w:rPr>
                <w:color w:val="000000"/>
              </w:rPr>
            </w:pPr>
            <w:r>
              <w:rPr>
                <w:color w:val="000000"/>
              </w:rPr>
              <w:t>$5,</w:t>
            </w:r>
            <w:r w:rsidR="00E77CA6">
              <w:rPr>
                <w:color w:val="000000"/>
              </w:rPr>
              <w:t>752.5</w:t>
            </w:r>
            <w:r>
              <w:rPr>
                <w:color w:val="000000"/>
              </w:rPr>
              <w:t xml:space="preserve">0 </w:t>
            </w:r>
          </w:p>
        </w:tc>
      </w:tr>
      <w:tr w:rsidR="006378ED" w:rsidTr="00C5495C" w14:paraId="370EF9FA" w14:textId="77777777">
        <w:trPr>
          <w:trHeight w:val="149"/>
        </w:trPr>
        <w:tc>
          <w:tcPr>
            <w:tcW w:w="954" w:type="dxa"/>
            <w:tcBorders>
              <w:top w:val="nil"/>
              <w:left w:val="single" w:color="auto" w:sz="8" w:space="0"/>
              <w:bottom w:val="single" w:color="auto" w:sz="8" w:space="0"/>
              <w:right w:val="single" w:color="auto" w:sz="8" w:space="0"/>
            </w:tcBorders>
            <w:shd w:val="clear" w:color="auto" w:fill="auto"/>
            <w:noWrap/>
            <w:vAlign w:val="center"/>
            <w:hideMark/>
          </w:tcPr>
          <w:p w:rsidR="006378ED" w:rsidP="00E77CA6" w:rsidRDefault="006378ED" w14:paraId="18085E02" w14:textId="77777777">
            <w:pPr>
              <w:jc w:val="center"/>
              <w:rPr>
                <w:color w:val="000000"/>
              </w:rPr>
            </w:pPr>
            <w:r>
              <w:rPr>
                <w:color w:val="000000"/>
              </w:rPr>
              <w:t>9</w:t>
            </w:r>
            <w:r w:rsidR="00E77CA6">
              <w:rPr>
                <w:color w:val="000000"/>
              </w:rPr>
              <w:t>75</w:t>
            </w:r>
          </w:p>
        </w:tc>
        <w:tc>
          <w:tcPr>
            <w:tcW w:w="1440" w:type="dxa"/>
            <w:tcBorders>
              <w:top w:val="nil"/>
              <w:left w:val="nil"/>
              <w:bottom w:val="single" w:color="auto" w:sz="8" w:space="0"/>
              <w:right w:val="single" w:color="auto" w:sz="8" w:space="0"/>
            </w:tcBorders>
            <w:shd w:val="clear" w:color="auto" w:fill="auto"/>
            <w:noWrap/>
            <w:vAlign w:val="center"/>
            <w:hideMark/>
          </w:tcPr>
          <w:p w:rsidR="006378ED" w:rsidRDefault="006378ED" w14:paraId="140B31BF" w14:textId="77777777">
            <w:pPr>
              <w:jc w:val="center"/>
              <w:rPr>
                <w:color w:val="000000"/>
              </w:rPr>
            </w:pPr>
            <w:r>
              <w:rPr>
                <w:color w:val="000000"/>
              </w:rPr>
              <w:t>25</w:t>
            </w:r>
          </w:p>
        </w:tc>
        <w:tc>
          <w:tcPr>
            <w:tcW w:w="1534" w:type="dxa"/>
            <w:tcBorders>
              <w:top w:val="nil"/>
              <w:left w:val="nil"/>
              <w:bottom w:val="single" w:color="auto" w:sz="8" w:space="0"/>
              <w:right w:val="single" w:color="auto" w:sz="8" w:space="0"/>
            </w:tcBorders>
            <w:shd w:val="clear" w:color="auto" w:fill="auto"/>
            <w:noWrap/>
            <w:vAlign w:val="center"/>
            <w:hideMark/>
          </w:tcPr>
          <w:p w:rsidR="006378ED" w:rsidRDefault="006378ED" w14:paraId="0C8016A6" w14:textId="77777777">
            <w:pPr>
              <w:jc w:val="center"/>
              <w:rPr>
                <w:color w:val="000000"/>
              </w:rPr>
            </w:pPr>
            <w:r>
              <w:rPr>
                <w:color w:val="000000"/>
              </w:rPr>
              <w:t xml:space="preserve">$0.59 </w:t>
            </w:r>
          </w:p>
        </w:tc>
        <w:tc>
          <w:tcPr>
            <w:tcW w:w="1534" w:type="dxa"/>
            <w:tcBorders>
              <w:top w:val="nil"/>
              <w:left w:val="nil"/>
              <w:bottom w:val="single" w:color="auto" w:sz="8" w:space="0"/>
              <w:right w:val="single" w:color="auto" w:sz="8" w:space="0"/>
            </w:tcBorders>
            <w:shd w:val="clear" w:color="auto" w:fill="auto"/>
            <w:noWrap/>
            <w:vAlign w:val="center"/>
            <w:hideMark/>
          </w:tcPr>
          <w:p w:rsidR="006378ED" w:rsidRDefault="006378ED" w14:paraId="28F1A2DE" w14:textId="77777777">
            <w:pPr>
              <w:jc w:val="center"/>
              <w:rPr>
                <w:color w:val="000000"/>
              </w:rPr>
            </w:pPr>
            <w:r>
              <w:rPr>
                <w:color w:val="000000"/>
              </w:rPr>
              <w:t xml:space="preserve">$14.75 </w:t>
            </w:r>
          </w:p>
        </w:tc>
        <w:tc>
          <w:tcPr>
            <w:tcW w:w="1254" w:type="dxa"/>
            <w:tcBorders>
              <w:top w:val="nil"/>
              <w:left w:val="nil"/>
              <w:bottom w:val="single" w:color="auto" w:sz="8" w:space="0"/>
              <w:right w:val="single" w:color="auto" w:sz="8" w:space="0"/>
            </w:tcBorders>
            <w:shd w:val="clear" w:color="auto" w:fill="auto"/>
            <w:vAlign w:val="center"/>
            <w:hideMark/>
          </w:tcPr>
          <w:p w:rsidR="006378ED" w:rsidP="00E77CA6" w:rsidRDefault="006378ED" w14:paraId="5901D9D7" w14:textId="77777777">
            <w:pPr>
              <w:jc w:val="center"/>
              <w:rPr>
                <w:color w:val="000000"/>
              </w:rPr>
            </w:pPr>
            <w:r>
              <w:rPr>
                <w:color w:val="000000"/>
              </w:rPr>
              <w:t>$</w:t>
            </w:r>
            <w:r w:rsidR="00E1168B">
              <w:rPr>
                <w:color w:val="000000"/>
              </w:rPr>
              <w:t>14,381.25</w:t>
            </w:r>
          </w:p>
        </w:tc>
      </w:tr>
      <w:tr w:rsidR="006378ED" w:rsidTr="00C5495C" w14:paraId="1A3CDD1D" w14:textId="77777777">
        <w:trPr>
          <w:trHeight w:val="149"/>
        </w:trPr>
        <w:tc>
          <w:tcPr>
            <w:tcW w:w="954" w:type="dxa"/>
            <w:tcBorders>
              <w:top w:val="nil"/>
              <w:left w:val="single" w:color="auto" w:sz="8" w:space="0"/>
              <w:bottom w:val="single" w:color="auto" w:sz="8" w:space="0"/>
              <w:right w:val="single" w:color="auto" w:sz="8" w:space="0"/>
            </w:tcBorders>
            <w:shd w:val="clear" w:color="auto" w:fill="auto"/>
            <w:noWrap/>
            <w:vAlign w:val="center"/>
            <w:hideMark/>
          </w:tcPr>
          <w:p w:rsidR="006378ED" w:rsidP="00E77CA6" w:rsidRDefault="006378ED" w14:paraId="5498C2BC" w14:textId="77777777">
            <w:pPr>
              <w:jc w:val="center"/>
              <w:rPr>
                <w:color w:val="000000"/>
              </w:rPr>
            </w:pPr>
            <w:r>
              <w:rPr>
                <w:color w:val="000000"/>
              </w:rPr>
              <w:t>9</w:t>
            </w:r>
            <w:r w:rsidR="00E77CA6">
              <w:rPr>
                <w:color w:val="000000"/>
              </w:rPr>
              <w:t>75</w:t>
            </w:r>
          </w:p>
        </w:tc>
        <w:tc>
          <w:tcPr>
            <w:tcW w:w="1440" w:type="dxa"/>
            <w:tcBorders>
              <w:top w:val="nil"/>
              <w:left w:val="nil"/>
              <w:bottom w:val="single" w:color="auto" w:sz="8" w:space="0"/>
              <w:right w:val="single" w:color="auto" w:sz="8" w:space="0"/>
            </w:tcBorders>
            <w:shd w:val="clear" w:color="auto" w:fill="auto"/>
            <w:noWrap/>
            <w:vAlign w:val="center"/>
            <w:hideMark/>
          </w:tcPr>
          <w:p w:rsidR="006378ED" w:rsidRDefault="006378ED" w14:paraId="03739B1D" w14:textId="77777777">
            <w:pPr>
              <w:jc w:val="center"/>
              <w:rPr>
                <w:color w:val="000000"/>
              </w:rPr>
            </w:pPr>
            <w:r>
              <w:rPr>
                <w:color w:val="000000"/>
              </w:rPr>
              <w:t>50</w:t>
            </w:r>
          </w:p>
        </w:tc>
        <w:tc>
          <w:tcPr>
            <w:tcW w:w="1534" w:type="dxa"/>
            <w:tcBorders>
              <w:top w:val="nil"/>
              <w:left w:val="nil"/>
              <w:bottom w:val="single" w:color="auto" w:sz="8" w:space="0"/>
              <w:right w:val="single" w:color="auto" w:sz="8" w:space="0"/>
            </w:tcBorders>
            <w:shd w:val="clear" w:color="auto" w:fill="auto"/>
            <w:noWrap/>
            <w:vAlign w:val="center"/>
            <w:hideMark/>
          </w:tcPr>
          <w:p w:rsidR="006378ED" w:rsidRDefault="006378ED" w14:paraId="051261D5" w14:textId="77777777">
            <w:pPr>
              <w:jc w:val="center"/>
              <w:rPr>
                <w:color w:val="000000"/>
              </w:rPr>
            </w:pPr>
            <w:r>
              <w:rPr>
                <w:color w:val="000000"/>
              </w:rPr>
              <w:t xml:space="preserve">$0.59 </w:t>
            </w:r>
          </w:p>
        </w:tc>
        <w:tc>
          <w:tcPr>
            <w:tcW w:w="1534" w:type="dxa"/>
            <w:tcBorders>
              <w:top w:val="nil"/>
              <w:left w:val="nil"/>
              <w:bottom w:val="single" w:color="auto" w:sz="8" w:space="0"/>
              <w:right w:val="single" w:color="auto" w:sz="8" w:space="0"/>
            </w:tcBorders>
            <w:shd w:val="clear" w:color="auto" w:fill="auto"/>
            <w:noWrap/>
            <w:vAlign w:val="center"/>
            <w:hideMark/>
          </w:tcPr>
          <w:p w:rsidR="006378ED" w:rsidRDefault="006378ED" w14:paraId="2D3FE7FF" w14:textId="77777777">
            <w:pPr>
              <w:jc w:val="center"/>
              <w:rPr>
                <w:color w:val="000000"/>
              </w:rPr>
            </w:pPr>
            <w:r>
              <w:rPr>
                <w:color w:val="000000"/>
              </w:rPr>
              <w:t xml:space="preserve">$29.50 </w:t>
            </w:r>
          </w:p>
        </w:tc>
        <w:tc>
          <w:tcPr>
            <w:tcW w:w="1254" w:type="dxa"/>
            <w:tcBorders>
              <w:top w:val="nil"/>
              <w:left w:val="nil"/>
              <w:bottom w:val="single" w:color="auto" w:sz="8" w:space="0"/>
              <w:right w:val="single" w:color="auto" w:sz="8" w:space="0"/>
            </w:tcBorders>
            <w:shd w:val="clear" w:color="auto" w:fill="auto"/>
            <w:vAlign w:val="center"/>
            <w:hideMark/>
          </w:tcPr>
          <w:p w:rsidR="006378ED" w:rsidP="00E77CA6" w:rsidRDefault="006378ED" w14:paraId="07B3DD49" w14:textId="77777777">
            <w:pPr>
              <w:jc w:val="center"/>
              <w:rPr>
                <w:color w:val="000000"/>
              </w:rPr>
            </w:pPr>
            <w:r>
              <w:rPr>
                <w:color w:val="000000"/>
              </w:rPr>
              <w:t>$</w:t>
            </w:r>
            <w:r w:rsidR="00E1168B">
              <w:rPr>
                <w:color w:val="000000"/>
              </w:rPr>
              <w:t>28,762.50</w:t>
            </w:r>
            <w:r>
              <w:rPr>
                <w:color w:val="000000"/>
              </w:rPr>
              <w:t xml:space="preserve"> </w:t>
            </w:r>
          </w:p>
        </w:tc>
      </w:tr>
      <w:tr w:rsidR="006378ED" w:rsidTr="00C5495C" w14:paraId="23A147E8" w14:textId="77777777">
        <w:trPr>
          <w:trHeight w:val="149"/>
        </w:trPr>
        <w:tc>
          <w:tcPr>
            <w:tcW w:w="954" w:type="dxa"/>
            <w:tcBorders>
              <w:top w:val="nil"/>
              <w:left w:val="nil"/>
              <w:bottom w:val="nil"/>
              <w:right w:val="nil"/>
            </w:tcBorders>
            <w:shd w:val="clear" w:color="auto" w:fill="auto"/>
            <w:noWrap/>
            <w:vAlign w:val="bottom"/>
            <w:hideMark/>
          </w:tcPr>
          <w:p w:rsidR="006378ED" w:rsidRDefault="006378ED" w14:paraId="2BFB5FBA" w14:textId="77777777">
            <w:pPr>
              <w:rPr>
                <w:color w:val="000000"/>
                <w:sz w:val="20"/>
                <w:szCs w:val="20"/>
              </w:rPr>
            </w:pPr>
          </w:p>
        </w:tc>
        <w:tc>
          <w:tcPr>
            <w:tcW w:w="1440" w:type="dxa"/>
            <w:tcBorders>
              <w:top w:val="nil"/>
              <w:left w:val="nil"/>
              <w:bottom w:val="nil"/>
              <w:right w:val="nil"/>
            </w:tcBorders>
            <w:shd w:val="clear" w:color="auto" w:fill="auto"/>
            <w:noWrap/>
            <w:vAlign w:val="bottom"/>
            <w:hideMark/>
          </w:tcPr>
          <w:p w:rsidR="006378ED" w:rsidRDefault="006378ED" w14:paraId="65943344" w14:textId="77777777">
            <w:pPr>
              <w:rPr>
                <w:color w:val="000000"/>
                <w:sz w:val="20"/>
                <w:szCs w:val="20"/>
              </w:rPr>
            </w:pPr>
          </w:p>
        </w:tc>
        <w:tc>
          <w:tcPr>
            <w:tcW w:w="1534" w:type="dxa"/>
            <w:tcBorders>
              <w:top w:val="nil"/>
              <w:left w:val="nil"/>
              <w:bottom w:val="nil"/>
              <w:right w:val="nil"/>
            </w:tcBorders>
            <w:shd w:val="clear" w:color="auto" w:fill="auto"/>
            <w:noWrap/>
            <w:vAlign w:val="bottom"/>
            <w:hideMark/>
          </w:tcPr>
          <w:p w:rsidR="006378ED" w:rsidRDefault="006378ED" w14:paraId="017FA999" w14:textId="77777777">
            <w:pPr>
              <w:rPr>
                <w:color w:val="000000"/>
                <w:sz w:val="20"/>
                <w:szCs w:val="20"/>
              </w:rPr>
            </w:pPr>
          </w:p>
        </w:tc>
        <w:tc>
          <w:tcPr>
            <w:tcW w:w="1534" w:type="dxa"/>
            <w:tcBorders>
              <w:top w:val="nil"/>
              <w:left w:val="nil"/>
              <w:bottom w:val="nil"/>
              <w:right w:val="nil"/>
            </w:tcBorders>
            <w:shd w:val="clear" w:color="auto" w:fill="auto"/>
            <w:noWrap/>
            <w:vAlign w:val="bottom"/>
            <w:hideMark/>
          </w:tcPr>
          <w:p w:rsidR="006378ED" w:rsidRDefault="006378ED" w14:paraId="199A09A8" w14:textId="77777777">
            <w:pPr>
              <w:rPr>
                <w:color w:val="000000"/>
                <w:sz w:val="20"/>
                <w:szCs w:val="20"/>
              </w:rPr>
            </w:pPr>
          </w:p>
        </w:tc>
        <w:tc>
          <w:tcPr>
            <w:tcW w:w="1254" w:type="dxa"/>
            <w:tcBorders>
              <w:top w:val="nil"/>
              <w:left w:val="single" w:color="auto" w:sz="8" w:space="0"/>
              <w:bottom w:val="single" w:color="auto" w:sz="8" w:space="0"/>
              <w:right w:val="single" w:color="auto" w:sz="8" w:space="0"/>
            </w:tcBorders>
            <w:shd w:val="clear" w:color="auto" w:fill="auto"/>
            <w:noWrap/>
            <w:vAlign w:val="center"/>
            <w:hideMark/>
          </w:tcPr>
          <w:p w:rsidR="006378ED" w:rsidP="00E77CA6" w:rsidRDefault="006378ED" w14:paraId="457138EA" w14:textId="77777777">
            <w:pPr>
              <w:jc w:val="center"/>
              <w:rPr>
                <w:b/>
                <w:bCs/>
                <w:color w:val="000000"/>
              </w:rPr>
            </w:pPr>
            <w:r>
              <w:rPr>
                <w:b/>
                <w:bCs/>
                <w:color w:val="000000"/>
              </w:rPr>
              <w:t>$</w:t>
            </w:r>
            <w:r w:rsidR="00E1168B">
              <w:rPr>
                <w:b/>
                <w:bCs/>
                <w:color w:val="000000"/>
              </w:rPr>
              <w:t>48,896.25</w:t>
            </w:r>
            <w:r>
              <w:rPr>
                <w:b/>
                <w:bCs/>
                <w:color w:val="000000"/>
              </w:rPr>
              <w:t xml:space="preserve"> </w:t>
            </w:r>
          </w:p>
        </w:tc>
      </w:tr>
    </w:tbl>
    <w:p w:rsidR="007648B6" w:rsidP="007648B6" w:rsidRDefault="007648B6" w14:paraId="7D5057CF" w14:textId="77777777">
      <w:r>
        <w:t xml:space="preserve">  </w:t>
      </w:r>
    </w:p>
    <w:p w:rsidRPr="00EB0A21" w:rsidR="007648B6" w:rsidP="007648B6" w:rsidRDefault="007648B6" w14:paraId="0E4599D0" w14:textId="77777777">
      <w:r>
        <w:t>The estimated total cost for all respondents is $</w:t>
      </w:r>
      <w:r w:rsidR="00603A93">
        <w:t>6</w:t>
      </w:r>
      <w:r w:rsidR="00D91BFB">
        <w:t>3</w:t>
      </w:r>
      <w:r w:rsidR="00603A93">
        <w:t>,</w:t>
      </w:r>
      <w:r w:rsidR="00D91BFB">
        <w:t>521.25</w:t>
      </w:r>
      <w:r>
        <w:t xml:space="preserve">.   </w:t>
      </w:r>
    </w:p>
    <w:p w:rsidR="007648B6" w:rsidP="007648B6" w:rsidRDefault="007648B6" w14:paraId="1F2A6C8C" w14:textId="77777777">
      <w:pPr>
        <w:rPr>
          <w:bCs/>
          <w:iCs/>
        </w:rPr>
      </w:pPr>
    </w:p>
    <w:p w:rsidR="00977967" w:rsidP="00AC4973" w:rsidRDefault="007648B6" w14:paraId="3993023D" w14:textId="77777777">
      <w:pPr>
        <w:rPr>
          <w:i/>
          <w:color w:val="000000"/>
          <w:sz w:val="28"/>
          <w:szCs w:val="28"/>
        </w:rPr>
      </w:pPr>
      <w:r>
        <w:rPr>
          <w:b/>
          <w:iCs/>
        </w:rPr>
        <w:t xml:space="preserve">14.  </w:t>
      </w:r>
      <w:r w:rsidR="00977967">
        <w:rPr>
          <w:i/>
          <w:color w:val="000000"/>
          <w:sz w:val="28"/>
          <w:szCs w:val="28"/>
        </w:rPr>
        <w:t>Describe the cost incurred by the Federal Government</w:t>
      </w:r>
      <w:r w:rsidRPr="002B0E71" w:rsidR="00977967">
        <w:rPr>
          <w:i/>
          <w:color w:val="000000"/>
          <w:sz w:val="28"/>
          <w:szCs w:val="28"/>
        </w:rPr>
        <w:t xml:space="preserve"> to complete this collection.</w:t>
      </w:r>
    </w:p>
    <w:p w:rsidR="00977967" w:rsidP="00AC4973" w:rsidRDefault="00977967" w14:paraId="57C9ADA8" w14:textId="77777777">
      <w:pPr>
        <w:rPr>
          <w:i/>
          <w:color w:val="000000"/>
          <w:sz w:val="28"/>
          <w:szCs w:val="28"/>
        </w:rPr>
      </w:pPr>
    </w:p>
    <w:p w:rsidR="00CC593C" w:rsidP="00CC593C" w:rsidRDefault="007648B6" w14:paraId="6F17FB84" w14:textId="002894FC">
      <w:pPr>
        <w:rPr>
          <w:color w:val="000000"/>
          <w:sz w:val="22"/>
          <w:szCs w:val="22"/>
        </w:rPr>
      </w:pPr>
      <w:r w:rsidRPr="00775C77">
        <w:t xml:space="preserve">The </w:t>
      </w:r>
      <w:r>
        <w:t xml:space="preserve">total cost </w:t>
      </w:r>
      <w:r w:rsidRPr="00775C77">
        <w:t>to the Federal Government</w:t>
      </w:r>
      <w:r>
        <w:t xml:space="preserve"> </w:t>
      </w:r>
      <w:r w:rsidR="003C431B">
        <w:t xml:space="preserve">for evaluating the responses to this information collection </w:t>
      </w:r>
      <w:r>
        <w:t>comes from</w:t>
      </w:r>
      <w:r w:rsidRPr="00775C77">
        <w:t xml:space="preserve"> </w:t>
      </w:r>
      <w:r>
        <w:t xml:space="preserve">calculating </w:t>
      </w:r>
      <w:r w:rsidR="003C431B">
        <w:t xml:space="preserve">the </w:t>
      </w:r>
      <w:r>
        <w:t xml:space="preserve">cost to the Federal Government </w:t>
      </w:r>
      <w:r w:rsidRPr="00DF23A8">
        <w:t xml:space="preserve">by average hours spent reviewing </w:t>
      </w:r>
      <w:r>
        <w:t xml:space="preserve">the DS-4079 </w:t>
      </w:r>
      <w:r w:rsidRPr="00DF23A8">
        <w:t xml:space="preserve">form </w:t>
      </w:r>
      <w:r w:rsidR="003C431B">
        <w:t xml:space="preserve">times the </w:t>
      </w:r>
      <w:r w:rsidRPr="00DF23A8">
        <w:t>average compensation cost per hour</w:t>
      </w:r>
      <w:r>
        <w:t xml:space="preserve">. Again, on average, </w:t>
      </w:r>
      <w:r w:rsidR="003C431B">
        <w:t xml:space="preserve">the Department </w:t>
      </w:r>
      <w:r>
        <w:t>receive</w:t>
      </w:r>
      <w:r w:rsidR="003C431B">
        <w:t>s</w:t>
      </w:r>
      <w:r>
        <w:t xml:space="preserve"> 3,2</w:t>
      </w:r>
      <w:r w:rsidR="00633634">
        <w:t>5</w:t>
      </w:r>
      <w:r>
        <w:t xml:space="preserve">0 DS-4079 forms per year.  On average each DS-4079 is reviewed </w:t>
      </w:r>
      <w:r w:rsidRPr="00366FAA">
        <w:t>for five minutes</w:t>
      </w:r>
      <w:r w:rsidR="00B01DEA">
        <w:t xml:space="preserve"> each</w:t>
      </w:r>
      <w:r w:rsidRPr="00366FAA">
        <w:t xml:space="preserve"> by overseas</w:t>
      </w:r>
      <w:r>
        <w:t xml:space="preserve"> Locally Employed Staff (LES)</w:t>
      </w:r>
      <w:r w:rsidR="00A149EB">
        <w:t xml:space="preserve"> (</w:t>
      </w:r>
      <w:r w:rsidR="00DD6740">
        <w:t>3,250</w:t>
      </w:r>
      <w:r w:rsidR="00A149EB">
        <w:t xml:space="preserve"> respondents x $2.05)</w:t>
      </w:r>
      <w:r>
        <w:t>, an overseas Foreign Service officer</w:t>
      </w:r>
      <w:r w:rsidR="00A149EB">
        <w:t xml:space="preserve"> (</w:t>
      </w:r>
      <w:r w:rsidR="00DD6740">
        <w:t>3,250</w:t>
      </w:r>
      <w:r w:rsidR="00A149EB">
        <w:t xml:space="preserve"> x </w:t>
      </w:r>
      <w:r w:rsidR="009C4D1E">
        <w:t>$</w:t>
      </w:r>
      <w:r w:rsidR="00AC4973">
        <w:t>6</w:t>
      </w:r>
      <w:r w:rsidR="009C4D1E">
        <w:t>.</w:t>
      </w:r>
      <w:r w:rsidR="00AC4973">
        <w:t>6</w:t>
      </w:r>
      <w:r w:rsidR="009C4D1E">
        <w:t>0)</w:t>
      </w:r>
      <w:r>
        <w:t>, a domestic Foreign Service officer</w:t>
      </w:r>
      <w:r w:rsidR="009C4D1E">
        <w:t xml:space="preserve"> (</w:t>
      </w:r>
      <w:r w:rsidR="00DD6740">
        <w:t>3,250</w:t>
      </w:r>
      <w:r w:rsidR="009C4D1E">
        <w:t xml:space="preserve"> x $5.80),</w:t>
      </w:r>
      <w:r>
        <w:t xml:space="preserve"> and a domestic Civ</w:t>
      </w:r>
      <w:r w:rsidR="007A13CB">
        <w:t>il Service officer</w:t>
      </w:r>
      <w:r w:rsidR="009C4D1E">
        <w:t xml:space="preserve"> (</w:t>
      </w:r>
      <w:r w:rsidR="00DD6740">
        <w:t>3,250</w:t>
      </w:r>
      <w:r w:rsidR="00AC4973">
        <w:t xml:space="preserve"> x $5.80)</w:t>
      </w:r>
      <w:r w:rsidR="007A13CB">
        <w:t xml:space="preserve">. </w:t>
      </w:r>
      <w:r w:rsidR="00AC4973">
        <w:t xml:space="preserve">The </w:t>
      </w:r>
      <w:r w:rsidRPr="0035641F" w:rsidR="00AC4973">
        <w:t xml:space="preserve">cost to the </w:t>
      </w:r>
      <w:r w:rsidR="006D21A6">
        <w:t xml:space="preserve">Federal Government </w:t>
      </w:r>
      <w:r w:rsidR="00AC4973">
        <w:t>related to this service is $</w:t>
      </w:r>
      <w:r w:rsidR="00DD6740">
        <w:t>61,812.50</w:t>
      </w:r>
      <w:r w:rsidR="007727A3">
        <w:t xml:space="preserve">. </w:t>
      </w:r>
      <w:r w:rsidR="00CC593C">
        <w:rPr>
          <w:color w:val="000000"/>
          <w:sz w:val="22"/>
          <w:szCs w:val="22"/>
        </w:rPr>
        <w:t xml:space="preserve"> To get the calculations above, the hourly rate for an overseas LES is $24.60, overseas Foreign Service officer is $79.20, domestic Foreign Service officer is $69.60 and a domestic Civil Service officer is $69.60. </w:t>
      </w:r>
    </w:p>
    <w:p w:rsidR="00CC593C" w:rsidP="00AC4973" w:rsidRDefault="00CC593C" w14:paraId="0618EFF7" w14:textId="77777777">
      <w:pPr>
        <w:rPr>
          <w:color w:val="000000"/>
          <w:sz w:val="22"/>
          <w:szCs w:val="22"/>
        </w:rPr>
      </w:pPr>
    </w:p>
    <w:p w:rsidR="007648B6" w:rsidP="007648B6" w:rsidRDefault="007648B6" w14:paraId="05BA97B2" w14:textId="77777777">
      <w:r>
        <w:t xml:space="preserve">These calculations are based on the </w:t>
      </w:r>
      <w:r w:rsidR="00803A91">
        <w:t xml:space="preserve">internal to the Department of State position costs for </w:t>
      </w:r>
      <w:r w:rsidRPr="001B3B06" w:rsidR="00564CE2">
        <w:rPr>
          <w:vertAlign w:val="superscript"/>
        </w:rPr>
        <w:t>4</w:t>
      </w:r>
      <w:r w:rsidR="00803A91">
        <w:t xml:space="preserve">LES and the internal </w:t>
      </w:r>
      <w:r>
        <w:t xml:space="preserve">Bureau of Budget and Planning </w:t>
      </w:r>
      <w:r w:rsidRPr="001B3B06" w:rsidR="00564CE2">
        <w:rPr>
          <w:vertAlign w:val="superscript"/>
        </w:rPr>
        <w:t>5</w:t>
      </w:r>
      <w:r>
        <w:t>New Position Cost Model for the respective Foreign Service and Civil Service employment categories.</w:t>
      </w:r>
      <w:r w:rsidR="006E2873">
        <w:t xml:space="preserve">  The </w:t>
      </w:r>
      <w:r w:rsidR="006D21A6">
        <w:t xml:space="preserve">cost </w:t>
      </w:r>
      <w:r w:rsidR="006E2873">
        <w:t>rate</w:t>
      </w:r>
      <w:r w:rsidR="006D21A6">
        <w:t>s include</w:t>
      </w:r>
      <w:r w:rsidR="006E2873">
        <w:t xml:space="preserve"> fringe and overhead costs.</w:t>
      </w:r>
    </w:p>
    <w:p w:rsidR="00977967" w:rsidP="007648B6" w:rsidRDefault="00977967" w14:paraId="625A4DA5" w14:textId="77777777">
      <w:pPr>
        <w:rPr>
          <w:b/>
          <w:iCs/>
        </w:rPr>
      </w:pPr>
    </w:p>
    <w:p w:rsidR="00977967" w:rsidP="007648B6" w:rsidRDefault="007648B6" w14:paraId="3D61A5CF" w14:textId="77777777">
      <w:r>
        <w:rPr>
          <w:b/>
          <w:iCs/>
        </w:rPr>
        <w:t xml:space="preserve">15.  </w:t>
      </w:r>
      <w:r w:rsidRPr="002B0E71" w:rsidR="00977967">
        <w:rPr>
          <w:i/>
          <w:color w:val="000000"/>
          <w:sz w:val="28"/>
          <w:szCs w:val="28"/>
        </w:rPr>
        <w:t>Explain any changes/adjustments to this collection since the previous submission</w:t>
      </w:r>
      <w:r w:rsidRPr="00775C77" w:rsidR="00977967">
        <w:t xml:space="preserve"> </w:t>
      </w:r>
    </w:p>
    <w:p w:rsidR="00977967" w:rsidP="007648B6" w:rsidRDefault="00977967" w14:paraId="6622BB22" w14:textId="77777777"/>
    <w:p w:rsidR="0060122F" w:rsidP="0060122F" w:rsidRDefault="0060122F" w14:paraId="5D71E563" w14:textId="77777777">
      <w:r w:rsidRPr="00775C77">
        <w:t>Based on the average number of respondents in the past 3 years</w:t>
      </w:r>
      <w:r>
        <w:t xml:space="preserve"> (FY16-FY18)</w:t>
      </w:r>
      <w:r w:rsidRPr="00775C77">
        <w:t xml:space="preserve">, </w:t>
      </w:r>
      <w:r>
        <w:t xml:space="preserve">the number of respondents increased to 3,250 resulting in an associated increase in burden to 812 hours.  </w:t>
      </w:r>
      <w:r w:rsidRPr="00775C77">
        <w:t xml:space="preserve">The </w:t>
      </w:r>
      <w:r>
        <w:t xml:space="preserve">reason the </w:t>
      </w:r>
      <w:r w:rsidRPr="00775C77">
        <w:t xml:space="preserve">number of respondents </w:t>
      </w:r>
      <w:r>
        <w:t xml:space="preserve">changed is because the number of respondents that complete the form </w:t>
      </w:r>
      <w:r w:rsidRPr="00775C77">
        <w:t xml:space="preserve">varies from year to year depending on the number of citizens </w:t>
      </w:r>
      <w:r>
        <w:t>who may have relinquished their U.S. citizenship. Cost burden has increased due to the number of respondents on average that submit the DS-4079.  The cost burden of $63,521 was not included in previous iterations of the Supporting Statement.</w:t>
      </w:r>
    </w:p>
    <w:p w:rsidR="0060122F" w:rsidP="0060122F" w:rsidRDefault="0060122F" w14:paraId="7579DF3A" w14:textId="77777777"/>
    <w:p w:rsidRPr="001B3B06" w:rsidR="0060122F" w:rsidP="0060122F" w:rsidRDefault="0060122F" w14:paraId="5F75B339" w14:textId="77777777">
      <w:pPr>
        <w:pStyle w:val="FRNoticeHeading2"/>
        <w:spacing w:line="480" w:lineRule="auto"/>
        <w:rPr>
          <w:bCs w:val="0"/>
          <w:i w:val="0"/>
          <w:iCs w:val="0"/>
        </w:rPr>
      </w:pPr>
      <w:r w:rsidRPr="001B3B06">
        <w:rPr>
          <w:bCs w:val="0"/>
          <w:i w:val="0"/>
          <w:iCs w:val="0"/>
        </w:rPr>
        <w:t>Below is a summary of the proposed revisions to the DS-4079</w:t>
      </w:r>
      <w:r>
        <w:rPr>
          <w:bCs w:val="0"/>
          <w:i w:val="0"/>
          <w:iCs w:val="0"/>
        </w:rPr>
        <w:t>:</w:t>
      </w:r>
      <w:r w:rsidRPr="001B3B06">
        <w:rPr>
          <w:bCs w:val="0"/>
          <w:i w:val="0"/>
          <w:iCs w:val="0"/>
        </w:rPr>
        <w:t xml:space="preserve"> </w:t>
      </w:r>
    </w:p>
    <w:p w:rsidR="0060122F" w:rsidP="0060122F" w:rsidRDefault="0060122F" w14:paraId="416974FD" w14:textId="77777777">
      <w:pPr>
        <w:pStyle w:val="FRNoticeHeading2"/>
        <w:spacing w:line="240" w:lineRule="auto"/>
        <w:rPr>
          <w:bCs w:val="0"/>
          <w:i w:val="0"/>
          <w:iCs w:val="0"/>
          <w:szCs w:val="24"/>
        </w:rPr>
      </w:pPr>
      <w:r>
        <w:rPr>
          <w:bCs w:val="0"/>
          <w:i w:val="0"/>
          <w:iCs w:val="0"/>
          <w:szCs w:val="24"/>
        </w:rPr>
        <w:t xml:space="preserve">1. </w:t>
      </w:r>
      <w:r w:rsidRPr="001C733A">
        <w:rPr>
          <w:bCs w:val="0"/>
          <w:i w:val="0"/>
          <w:iCs w:val="0"/>
          <w:szCs w:val="24"/>
        </w:rPr>
        <w:t>Changed the words “citizen” and “citizenship” to “national” and “nationality” to comport with the language of the governing statute, 8 U.S.C. § 1481, which refers to loss of U.S. nationality.  U.S. citizens are also U.S. nationals under the Immigration and Nationality Act of 1952, as amended.  U.S. non-citizen nationals may also elect to relinquish U.S. nationality.</w:t>
      </w:r>
    </w:p>
    <w:p w:rsidR="0060122F" w:rsidP="0060122F" w:rsidRDefault="0060122F" w14:paraId="05B9DB3D" w14:textId="77777777">
      <w:pPr>
        <w:pStyle w:val="FRNoticeHeading2"/>
        <w:spacing w:line="240" w:lineRule="auto"/>
        <w:rPr>
          <w:bCs w:val="0"/>
          <w:i w:val="0"/>
          <w:iCs w:val="0"/>
          <w:szCs w:val="24"/>
        </w:rPr>
      </w:pPr>
    </w:p>
    <w:p w:rsidR="0060122F" w:rsidP="0060122F" w:rsidRDefault="0060122F" w14:paraId="461C7805" w14:textId="77777777">
      <w:pPr>
        <w:pStyle w:val="FRNoticeHeading2"/>
        <w:spacing w:line="240" w:lineRule="auto"/>
        <w:rPr>
          <w:bCs w:val="0"/>
          <w:i w:val="0"/>
          <w:iCs w:val="0"/>
          <w:szCs w:val="24"/>
        </w:rPr>
      </w:pPr>
      <w:r>
        <w:rPr>
          <w:bCs w:val="0"/>
          <w:i w:val="0"/>
          <w:iCs w:val="0"/>
          <w:szCs w:val="24"/>
        </w:rPr>
        <w:t xml:space="preserve">2. </w:t>
      </w:r>
      <w:r w:rsidRPr="001C733A">
        <w:rPr>
          <w:bCs w:val="0"/>
          <w:i w:val="0"/>
          <w:iCs w:val="0"/>
          <w:szCs w:val="24"/>
        </w:rPr>
        <w:t>Changed the term “foreign state” to “foreign country” for plain language purposes.</w:t>
      </w:r>
    </w:p>
    <w:p w:rsidR="0060122F" w:rsidP="0060122F" w:rsidRDefault="0060122F" w14:paraId="4D352EE2" w14:textId="77777777">
      <w:pPr>
        <w:pStyle w:val="FRNoticeHeading2"/>
        <w:spacing w:line="240" w:lineRule="auto"/>
        <w:rPr>
          <w:bCs w:val="0"/>
          <w:i w:val="0"/>
          <w:iCs w:val="0"/>
          <w:szCs w:val="24"/>
        </w:rPr>
      </w:pPr>
    </w:p>
    <w:p w:rsidR="0060122F" w:rsidP="0060122F" w:rsidRDefault="0060122F" w14:paraId="0C54707E" w14:textId="77777777">
      <w:pPr>
        <w:pStyle w:val="FRNoticeHeading2"/>
        <w:spacing w:line="240" w:lineRule="auto"/>
        <w:rPr>
          <w:bCs w:val="0"/>
          <w:i w:val="0"/>
          <w:iCs w:val="0"/>
          <w:szCs w:val="24"/>
        </w:rPr>
      </w:pPr>
      <w:r>
        <w:rPr>
          <w:bCs w:val="0"/>
          <w:i w:val="0"/>
          <w:iCs w:val="0"/>
          <w:szCs w:val="24"/>
        </w:rPr>
        <w:t xml:space="preserve">3. For number </w:t>
      </w:r>
      <w:r w:rsidRPr="001C733A">
        <w:rPr>
          <w:bCs w:val="0"/>
          <w:i w:val="0"/>
          <w:iCs w:val="0"/>
          <w:szCs w:val="24"/>
        </w:rPr>
        <w:t>1</w:t>
      </w:r>
      <w:r>
        <w:rPr>
          <w:bCs w:val="0"/>
          <w:i w:val="0"/>
          <w:iCs w:val="0"/>
          <w:szCs w:val="24"/>
        </w:rPr>
        <w:t>3</w:t>
      </w:r>
      <w:r w:rsidRPr="001C733A">
        <w:rPr>
          <w:bCs w:val="0"/>
          <w:i w:val="0"/>
          <w:iCs w:val="0"/>
          <w:szCs w:val="24"/>
        </w:rPr>
        <w:t xml:space="preserve">(g), </w:t>
      </w:r>
      <w:r>
        <w:rPr>
          <w:bCs w:val="0"/>
          <w:i w:val="0"/>
          <w:iCs w:val="0"/>
          <w:szCs w:val="24"/>
        </w:rPr>
        <w:t xml:space="preserve">we </w:t>
      </w:r>
      <w:r w:rsidRPr="001C733A">
        <w:rPr>
          <w:bCs w:val="0"/>
          <w:i w:val="0"/>
          <w:iCs w:val="0"/>
          <w:szCs w:val="24"/>
        </w:rPr>
        <w:t>changed the word “registered” to “documented” for plain language purposes;</w:t>
      </w:r>
    </w:p>
    <w:p w:rsidR="0060122F" w:rsidP="0060122F" w:rsidRDefault="0060122F" w14:paraId="1E6C43D4" w14:textId="77777777">
      <w:pPr>
        <w:pStyle w:val="FRNoticeHeading2"/>
        <w:spacing w:line="240" w:lineRule="auto"/>
        <w:rPr>
          <w:bCs w:val="0"/>
          <w:i w:val="0"/>
          <w:iCs w:val="0"/>
          <w:szCs w:val="24"/>
        </w:rPr>
      </w:pPr>
    </w:p>
    <w:p w:rsidR="0060122F" w:rsidP="0060122F" w:rsidRDefault="0060122F" w14:paraId="3A72DC61" w14:textId="77777777">
      <w:r w:rsidRPr="003E17DD">
        <w:t>4. Made streamlining format changes and deleted unnecessary questions.</w:t>
      </w:r>
    </w:p>
    <w:p w:rsidR="007648B6" w:rsidP="007648B6" w:rsidRDefault="007648B6" w14:paraId="637D5033" w14:textId="77777777"/>
    <w:p w:rsidR="00F82A05" w:rsidP="007648B6" w:rsidRDefault="007648B6" w14:paraId="597AA1FF" w14:textId="77777777">
      <w:pPr>
        <w:spacing w:after="240"/>
        <w:rPr>
          <w:i/>
          <w:color w:val="000000"/>
          <w:sz w:val="28"/>
          <w:szCs w:val="28"/>
        </w:rPr>
      </w:pPr>
      <w:r>
        <w:rPr>
          <w:b/>
          <w:iCs/>
        </w:rPr>
        <w:t xml:space="preserve">16.  </w:t>
      </w:r>
      <w:r w:rsidRPr="002B0E71" w:rsidR="00F82A05">
        <w:rPr>
          <w:i/>
          <w:color w:val="000000"/>
          <w:sz w:val="28"/>
          <w:szCs w:val="28"/>
        </w:rPr>
        <w:t>Specify if the data gathered by this collection will be published.</w:t>
      </w:r>
    </w:p>
    <w:p w:rsidR="007648B6" w:rsidP="007648B6" w:rsidRDefault="007648B6" w14:paraId="50A59BF0" w14:textId="77777777">
      <w:pPr>
        <w:spacing w:after="240"/>
        <w:rPr>
          <w:b/>
          <w:i/>
          <w:sz w:val="20"/>
        </w:rPr>
      </w:pPr>
      <w:r>
        <w:t xml:space="preserve">General statistical information regarding U.S citizens and Loss of Nationality is maintained in the “Consular Package,” the Consular Workload Statistical System (CWSS) system. This is raw data broken down by the Foreign Service post issuing the report.  </w:t>
      </w:r>
    </w:p>
    <w:p w:rsidR="00F82A05" w:rsidP="007648B6" w:rsidRDefault="007648B6" w14:paraId="7C5C1A07" w14:textId="77777777">
      <w:pPr>
        <w:spacing w:after="240"/>
        <w:rPr>
          <w:i/>
          <w:color w:val="000000"/>
          <w:sz w:val="28"/>
          <w:szCs w:val="28"/>
        </w:rPr>
      </w:pPr>
      <w:r w:rsidRPr="00AE0D24">
        <w:rPr>
          <w:b/>
          <w:iCs/>
        </w:rPr>
        <w:t>17.</w:t>
      </w:r>
      <w:r>
        <w:rPr>
          <w:b/>
          <w:i/>
          <w:iCs/>
        </w:rPr>
        <w:t xml:space="preserve"> </w:t>
      </w:r>
      <w:r w:rsidRPr="002B0E71" w:rsidR="00F82A05">
        <w:rPr>
          <w:i/>
          <w:color w:val="000000"/>
          <w:sz w:val="28"/>
          <w:szCs w:val="28"/>
        </w:rPr>
        <w:t>If applicable, explain the reason(s) for seeking approval to not display the OMB expiration date</w:t>
      </w:r>
    </w:p>
    <w:p w:rsidRPr="001B3B06" w:rsidR="009E6FF0" w:rsidP="007648B6" w:rsidRDefault="007648B6" w14:paraId="745F888F" w14:textId="77777777">
      <w:pPr>
        <w:spacing w:after="240"/>
        <w:rPr>
          <w:i/>
          <w:color w:val="000000"/>
          <w:sz w:val="28"/>
          <w:szCs w:val="28"/>
        </w:rPr>
      </w:pPr>
      <w:r>
        <w:t>The OMB expiration date will be displayed.</w:t>
      </w:r>
    </w:p>
    <w:p w:rsidR="00457A39" w:rsidP="007648B6" w:rsidRDefault="007648B6" w14:paraId="1006C645" w14:textId="77777777">
      <w:pPr>
        <w:spacing w:after="240"/>
        <w:rPr>
          <w:i/>
          <w:color w:val="000000"/>
          <w:sz w:val="28"/>
          <w:szCs w:val="28"/>
        </w:rPr>
      </w:pPr>
      <w:r w:rsidRPr="00AE0D24">
        <w:rPr>
          <w:b/>
          <w:iCs/>
        </w:rPr>
        <w:t>18.</w:t>
      </w:r>
      <w:r w:rsidRPr="000C0AC7">
        <w:rPr>
          <w:b/>
          <w:i/>
          <w:iCs/>
        </w:rPr>
        <w:t xml:space="preserve">  </w:t>
      </w:r>
      <w:r w:rsidRPr="002B0E71" w:rsidR="00457A39">
        <w:rPr>
          <w:i/>
          <w:color w:val="000000"/>
          <w:sz w:val="28"/>
          <w:szCs w:val="28"/>
        </w:rPr>
        <w:t>Explain any exceptions to the OMB certification statement below</w:t>
      </w:r>
    </w:p>
    <w:p w:rsidR="007648B6" w:rsidP="007648B6" w:rsidRDefault="007648B6" w14:paraId="6EF10354" w14:textId="77777777">
      <w:pPr>
        <w:spacing w:after="240"/>
        <w:rPr>
          <w:szCs w:val="20"/>
        </w:rPr>
      </w:pPr>
      <w:r>
        <w:t>No exceptions to the certification statement are requested.</w:t>
      </w:r>
    </w:p>
    <w:p w:rsidR="007648B6" w:rsidP="007648B6" w:rsidRDefault="007648B6" w14:paraId="2F19AB8C" w14:textId="77777777">
      <w:pPr>
        <w:pStyle w:val="Heading2"/>
        <w:snapToGrid/>
        <w:spacing w:before="0" w:after="240"/>
        <w:rPr>
          <w:rFonts w:eastAsia="Times New Roman"/>
          <w:bCs/>
          <w:szCs w:val="24"/>
        </w:rPr>
      </w:pPr>
      <w:r>
        <w:rPr>
          <w:rFonts w:eastAsia="Times New Roman"/>
          <w:bCs/>
          <w:szCs w:val="24"/>
        </w:rPr>
        <w:t xml:space="preserve">B.  </w:t>
      </w:r>
      <w:r w:rsidRPr="0064031D">
        <w:rPr>
          <w:rFonts w:eastAsia="Times New Roman"/>
          <w:i/>
          <w:iCs/>
          <w:szCs w:val="24"/>
        </w:rPr>
        <w:t>STATISTICAL METHODS</w:t>
      </w:r>
    </w:p>
    <w:p w:rsidR="007648B6" w:rsidP="007648B6" w:rsidRDefault="007648B6" w14:paraId="06D6E16B" w14:textId="77777777">
      <w:r>
        <w:t>This collection does not employ statistical methods.</w:t>
      </w:r>
    </w:p>
    <w:p w:rsidR="006D4D28" w:rsidP="007648B6" w:rsidRDefault="006D4D28" w14:paraId="7C928B40" w14:textId="77777777"/>
    <w:p w:rsidRPr="00D61CFD" w:rsidR="00564CE2" w:rsidP="00564CE2" w:rsidRDefault="00564CE2" w14:paraId="1CF51E19" w14:textId="77777777">
      <w:pPr>
        <w:pStyle w:val="NoSpacing"/>
        <w:rPr>
          <w:sz w:val="16"/>
          <w:szCs w:val="16"/>
        </w:rPr>
      </w:pPr>
      <w:r>
        <w:rPr>
          <w:sz w:val="14"/>
          <w:szCs w:val="14"/>
          <w:vertAlign w:val="superscript"/>
        </w:rPr>
        <w:t xml:space="preserve">4 </w:t>
      </w:r>
      <w:r w:rsidRPr="00D61CFD">
        <w:rPr>
          <w:sz w:val="16"/>
          <w:szCs w:val="16"/>
        </w:rPr>
        <w:t xml:space="preserve">Source: “Local Employed Staff Cost Worksheet”, Department of State, Internal Use Only. </w:t>
      </w:r>
    </w:p>
    <w:p w:rsidRPr="00D61CFD" w:rsidR="00564CE2" w:rsidP="00564CE2" w:rsidRDefault="00564CE2" w14:paraId="029064B3" w14:textId="77777777">
      <w:pPr>
        <w:pStyle w:val="NoSpacing"/>
        <w:rPr>
          <w:sz w:val="16"/>
          <w:szCs w:val="16"/>
        </w:rPr>
      </w:pPr>
      <w:r w:rsidRPr="00D61CFD">
        <w:rPr>
          <w:rStyle w:val="FootnoteReference"/>
          <w:sz w:val="16"/>
          <w:szCs w:val="16"/>
        </w:rPr>
        <w:t>5</w:t>
      </w:r>
      <w:r w:rsidRPr="00D61CFD">
        <w:rPr>
          <w:sz w:val="16"/>
          <w:szCs w:val="16"/>
        </w:rPr>
        <w:t xml:space="preserve"> Source: “Bureau of Budget and Planning New Position Cost Model”, Department of State, Internal Use Only.</w:t>
      </w:r>
    </w:p>
    <w:p w:rsidR="00564CE2" w:rsidP="007648B6" w:rsidRDefault="00564CE2" w14:paraId="7873E2AB" w14:textId="77777777"/>
    <w:p w:rsidR="007648B6" w:rsidP="007648B6" w:rsidRDefault="007648B6" w14:paraId="10CBAA72" w14:textId="77777777"/>
    <w:p w:rsidRPr="00F92230" w:rsidR="00F6200D" w:rsidP="00F6200D" w:rsidRDefault="00F6200D" w14:paraId="7056863E" w14:textId="77777777">
      <w:pPr>
        <w:pStyle w:val="NoSpacing"/>
        <w:rPr>
          <w:sz w:val="16"/>
          <w:szCs w:val="16"/>
        </w:rPr>
      </w:pPr>
    </w:p>
    <w:p w:rsidR="00F6200D" w:rsidP="007648B6" w:rsidRDefault="00F6200D" w14:paraId="4268E685" w14:textId="77777777"/>
    <w:p w:rsidR="00101BFC" w:rsidP="0097294F" w:rsidRDefault="00101BFC" w14:paraId="4D6048AB" w14:textId="77777777"/>
    <w:sectPr w:rsidR="00101BFC">
      <w:headerReference w:type="default" r:id="rId21"/>
      <w:footerReference w:type="defaul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FBD83" w14:textId="77777777" w:rsidR="00217AA0" w:rsidRDefault="00217AA0">
      <w:r>
        <w:separator/>
      </w:r>
    </w:p>
  </w:endnote>
  <w:endnote w:type="continuationSeparator" w:id="0">
    <w:p w14:paraId="4AB88B04" w14:textId="77777777" w:rsidR="00217AA0" w:rsidRDefault="0021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B0AB0" w14:textId="165CEF44" w:rsidR="00200935" w:rsidRPr="00200935" w:rsidRDefault="00200935">
    <w:pPr>
      <w:pStyle w:val="Footer"/>
      <w:jc w:val="center"/>
      <w:rPr>
        <w:caps/>
        <w:noProof/>
        <w:color w:val="4472C4"/>
      </w:rPr>
    </w:pPr>
    <w:r w:rsidRPr="00200935">
      <w:rPr>
        <w:caps/>
        <w:color w:val="4472C4"/>
      </w:rPr>
      <w:fldChar w:fldCharType="begin"/>
    </w:r>
    <w:r w:rsidRPr="00200935">
      <w:rPr>
        <w:caps/>
        <w:color w:val="4472C4"/>
      </w:rPr>
      <w:instrText xml:space="preserve"> PAGE   \* MERGEFORMAT </w:instrText>
    </w:r>
    <w:r w:rsidRPr="00200935">
      <w:rPr>
        <w:caps/>
        <w:color w:val="4472C4"/>
      </w:rPr>
      <w:fldChar w:fldCharType="separate"/>
    </w:r>
    <w:r w:rsidR="00C5495C">
      <w:rPr>
        <w:caps/>
        <w:noProof/>
        <w:color w:val="4472C4"/>
      </w:rPr>
      <w:t>6</w:t>
    </w:r>
    <w:r w:rsidRPr="00200935">
      <w:rPr>
        <w:caps/>
        <w:noProof/>
        <w:color w:val="4472C4"/>
      </w:rPr>
      <w:fldChar w:fldCharType="end"/>
    </w:r>
  </w:p>
  <w:p w14:paraId="66E5EBF6" w14:textId="77777777" w:rsidR="00DF4D18" w:rsidRDefault="00DF4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53F60" w14:textId="2B92DCD4" w:rsidR="00DF4D18" w:rsidRDefault="003825B6">
    <w:pPr>
      <w:pStyle w:val="Footer"/>
    </w:pPr>
    <w:r>
      <w:rPr>
        <w:noProof/>
      </w:rPr>
      <mc:AlternateContent>
        <mc:Choice Requires="wps">
          <w:drawing>
            <wp:anchor distT="0" distB="0" distL="114300" distR="114300" simplePos="0" relativeHeight="251657728" behindDoc="0" locked="0" layoutInCell="0" allowOverlap="1" wp14:anchorId="72B9DB64" wp14:editId="53F2FAF8">
              <wp:simplePos x="0" y="0"/>
              <wp:positionH relativeFrom="page">
                <wp:posOffset>0</wp:posOffset>
              </wp:positionH>
              <wp:positionV relativeFrom="page">
                <wp:posOffset>9601200</wp:posOffset>
              </wp:positionV>
              <wp:extent cx="7772400" cy="266700"/>
              <wp:effectExtent l="0" t="0" r="0" b="0"/>
              <wp:wrapNone/>
              <wp:docPr id="1" name="MSIPCMb67d441b93691cc4e62c4077" descr="{&quot;HashCode&quot;:549228713,&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292F2" w14:textId="77777777" w:rsidR="00DF4D18" w:rsidRPr="00DF4D18" w:rsidRDefault="00DF4D18" w:rsidP="00DF4D18">
                          <w:pPr>
                            <w:jc w:val="center"/>
                            <w:rPr>
                              <w:color w:val="00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E9022D4">
            <v:shapetype id="_x0000_t202" coordsize="21600,21600" o:spt="202" path="m,l,21600r21600,l21600,xe" w14:anchorId="72B9DB64">
              <v:stroke joinstyle="miter"/>
              <v:path gradientshapeok="t" o:connecttype="rect"/>
            </v:shapetype>
            <v:shape id="MSIPCMb67d441b93691cc4e62c4077" style="position:absolute;margin-left:0;margin-top:756pt;width:612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549228713,&quot;Height&quot;:792.0,&quot;Width&quot;:612.0,&quot;Placement&quot;:&quot;Footer&quot;,&quot;Index&quot;:&quot;FirstPage&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">
              <v:textbox inset=",0,,0">
                <w:txbxContent>
                  <w:p w:rsidRPr="00DF4D18" w:rsidR="00DF4D18" w:rsidP="00DF4D18" w:rsidRDefault="00DF4D18" w14:paraId="672A6659" w14:textId="77777777">
                    <w:pPr>
                      <w:jc w:val="center"/>
                      <w:rPr>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BA5E8" w14:textId="77777777" w:rsidR="00217AA0" w:rsidRDefault="00217AA0">
      <w:r>
        <w:separator/>
      </w:r>
    </w:p>
  </w:footnote>
  <w:footnote w:type="continuationSeparator" w:id="0">
    <w:p w14:paraId="187413D6" w14:textId="77777777" w:rsidR="00217AA0" w:rsidRDefault="00217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74B13" w14:textId="24C4F699" w:rsidR="00EF612C" w:rsidRDefault="00EF612C">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5495C">
      <w:rPr>
        <w:rStyle w:val="PageNumber"/>
        <w:noProof/>
      </w:rPr>
      <w:t>6</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40C53"/>
    <w:multiLevelType w:val="hybridMultilevel"/>
    <w:tmpl w:val="92400B6A"/>
    <w:lvl w:ilvl="0" w:tplc="780855B6">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FC0559"/>
    <w:multiLevelType w:val="hybridMultilevel"/>
    <w:tmpl w:val="7A50E1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2D4AD3"/>
    <w:multiLevelType w:val="hybridMultilevel"/>
    <w:tmpl w:val="7A6CE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7448B0"/>
    <w:multiLevelType w:val="hybridMultilevel"/>
    <w:tmpl w:val="0F64BEAA"/>
    <w:lvl w:ilvl="0" w:tplc="CE52DBAC">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4A"/>
    <w:rsid w:val="00017D57"/>
    <w:rsid w:val="00026A04"/>
    <w:rsid w:val="00026E1C"/>
    <w:rsid w:val="0003532A"/>
    <w:rsid w:val="00037153"/>
    <w:rsid w:val="00037F91"/>
    <w:rsid w:val="00043DB4"/>
    <w:rsid w:val="0004443F"/>
    <w:rsid w:val="00053348"/>
    <w:rsid w:val="000544C9"/>
    <w:rsid w:val="00060A8F"/>
    <w:rsid w:val="000635F1"/>
    <w:rsid w:val="0006778E"/>
    <w:rsid w:val="00073528"/>
    <w:rsid w:val="00082596"/>
    <w:rsid w:val="0008457D"/>
    <w:rsid w:val="00087983"/>
    <w:rsid w:val="00094CE4"/>
    <w:rsid w:val="00096C9F"/>
    <w:rsid w:val="000A1CC5"/>
    <w:rsid w:val="000A3639"/>
    <w:rsid w:val="000A3A85"/>
    <w:rsid w:val="000A4177"/>
    <w:rsid w:val="000A4A66"/>
    <w:rsid w:val="000B0D5A"/>
    <w:rsid w:val="000B5C3F"/>
    <w:rsid w:val="000C0AC7"/>
    <w:rsid w:val="000C1F57"/>
    <w:rsid w:val="000D4885"/>
    <w:rsid w:val="000D4A3D"/>
    <w:rsid w:val="000E4858"/>
    <w:rsid w:val="000F0357"/>
    <w:rsid w:val="000F542F"/>
    <w:rsid w:val="000F7446"/>
    <w:rsid w:val="00101BFC"/>
    <w:rsid w:val="00106A7C"/>
    <w:rsid w:val="00116204"/>
    <w:rsid w:val="00124F2C"/>
    <w:rsid w:val="00137AE3"/>
    <w:rsid w:val="0014221F"/>
    <w:rsid w:val="00152E9B"/>
    <w:rsid w:val="00156B00"/>
    <w:rsid w:val="0016234B"/>
    <w:rsid w:val="00163A53"/>
    <w:rsid w:val="00163DAF"/>
    <w:rsid w:val="0016557F"/>
    <w:rsid w:val="001658DA"/>
    <w:rsid w:val="00176DF8"/>
    <w:rsid w:val="00182B26"/>
    <w:rsid w:val="00184EF2"/>
    <w:rsid w:val="001858F7"/>
    <w:rsid w:val="00186636"/>
    <w:rsid w:val="001871D6"/>
    <w:rsid w:val="00187C76"/>
    <w:rsid w:val="00190B3A"/>
    <w:rsid w:val="00193CFA"/>
    <w:rsid w:val="001946BC"/>
    <w:rsid w:val="0019566A"/>
    <w:rsid w:val="00195C34"/>
    <w:rsid w:val="001965B5"/>
    <w:rsid w:val="001A5395"/>
    <w:rsid w:val="001B0C0B"/>
    <w:rsid w:val="001B3747"/>
    <w:rsid w:val="001B39E1"/>
    <w:rsid w:val="001B3B06"/>
    <w:rsid w:val="001B542A"/>
    <w:rsid w:val="001C3141"/>
    <w:rsid w:val="001C65DB"/>
    <w:rsid w:val="001C733A"/>
    <w:rsid w:val="001D2476"/>
    <w:rsid w:val="001E1832"/>
    <w:rsid w:val="001E1A49"/>
    <w:rsid w:val="001E2EC2"/>
    <w:rsid w:val="001F09B9"/>
    <w:rsid w:val="001F21E8"/>
    <w:rsid w:val="001F7910"/>
    <w:rsid w:val="001F7AB6"/>
    <w:rsid w:val="00200935"/>
    <w:rsid w:val="00204997"/>
    <w:rsid w:val="002101D5"/>
    <w:rsid w:val="00210655"/>
    <w:rsid w:val="00210B79"/>
    <w:rsid w:val="00212588"/>
    <w:rsid w:val="00214935"/>
    <w:rsid w:val="00214968"/>
    <w:rsid w:val="0021697F"/>
    <w:rsid w:val="002171D6"/>
    <w:rsid w:val="00217AA0"/>
    <w:rsid w:val="00217D2F"/>
    <w:rsid w:val="00220C6A"/>
    <w:rsid w:val="002222F3"/>
    <w:rsid w:val="002253EF"/>
    <w:rsid w:val="00230E52"/>
    <w:rsid w:val="00234745"/>
    <w:rsid w:val="0023651D"/>
    <w:rsid w:val="0024592E"/>
    <w:rsid w:val="00254172"/>
    <w:rsid w:val="002561CC"/>
    <w:rsid w:val="00263A47"/>
    <w:rsid w:val="00284F1C"/>
    <w:rsid w:val="002903B5"/>
    <w:rsid w:val="002959AB"/>
    <w:rsid w:val="00297592"/>
    <w:rsid w:val="002A0333"/>
    <w:rsid w:val="002B1131"/>
    <w:rsid w:val="002B367A"/>
    <w:rsid w:val="002B427E"/>
    <w:rsid w:val="002B6450"/>
    <w:rsid w:val="002C224D"/>
    <w:rsid w:val="002D08E6"/>
    <w:rsid w:val="002D1593"/>
    <w:rsid w:val="002D7372"/>
    <w:rsid w:val="002E2EA2"/>
    <w:rsid w:val="002E4E41"/>
    <w:rsid w:val="002E630D"/>
    <w:rsid w:val="002F0096"/>
    <w:rsid w:val="002F13C9"/>
    <w:rsid w:val="002F29A2"/>
    <w:rsid w:val="002F33DF"/>
    <w:rsid w:val="002F6358"/>
    <w:rsid w:val="002F7F61"/>
    <w:rsid w:val="003020C8"/>
    <w:rsid w:val="00302110"/>
    <w:rsid w:val="003062FA"/>
    <w:rsid w:val="0031182A"/>
    <w:rsid w:val="00314748"/>
    <w:rsid w:val="00314887"/>
    <w:rsid w:val="00316267"/>
    <w:rsid w:val="0032078F"/>
    <w:rsid w:val="00321623"/>
    <w:rsid w:val="00321906"/>
    <w:rsid w:val="003249C7"/>
    <w:rsid w:val="00335706"/>
    <w:rsid w:val="0033666A"/>
    <w:rsid w:val="00347A78"/>
    <w:rsid w:val="00356EAB"/>
    <w:rsid w:val="00357272"/>
    <w:rsid w:val="00357C6D"/>
    <w:rsid w:val="0036035A"/>
    <w:rsid w:val="00363947"/>
    <w:rsid w:val="003649B6"/>
    <w:rsid w:val="00366FAA"/>
    <w:rsid w:val="00371B1C"/>
    <w:rsid w:val="00371D6F"/>
    <w:rsid w:val="0037731E"/>
    <w:rsid w:val="003804A8"/>
    <w:rsid w:val="003825B6"/>
    <w:rsid w:val="003843A2"/>
    <w:rsid w:val="0038481E"/>
    <w:rsid w:val="0038640B"/>
    <w:rsid w:val="00387D98"/>
    <w:rsid w:val="00390984"/>
    <w:rsid w:val="00391A0D"/>
    <w:rsid w:val="00397D25"/>
    <w:rsid w:val="003C3DB8"/>
    <w:rsid w:val="003C3FC9"/>
    <w:rsid w:val="003C431B"/>
    <w:rsid w:val="003C4400"/>
    <w:rsid w:val="003C4AE6"/>
    <w:rsid w:val="003D3329"/>
    <w:rsid w:val="003D642B"/>
    <w:rsid w:val="003D77C6"/>
    <w:rsid w:val="003E166B"/>
    <w:rsid w:val="003E17DD"/>
    <w:rsid w:val="003E740F"/>
    <w:rsid w:val="003F144A"/>
    <w:rsid w:val="003F3BC1"/>
    <w:rsid w:val="00401760"/>
    <w:rsid w:val="0041053B"/>
    <w:rsid w:val="0041118D"/>
    <w:rsid w:val="00414C44"/>
    <w:rsid w:val="00424E2B"/>
    <w:rsid w:val="0043279E"/>
    <w:rsid w:val="0043409B"/>
    <w:rsid w:val="0044067A"/>
    <w:rsid w:val="00441072"/>
    <w:rsid w:val="004415C5"/>
    <w:rsid w:val="00451A80"/>
    <w:rsid w:val="00453844"/>
    <w:rsid w:val="00453CE9"/>
    <w:rsid w:val="004559F0"/>
    <w:rsid w:val="00457A39"/>
    <w:rsid w:val="00457DD5"/>
    <w:rsid w:val="00461499"/>
    <w:rsid w:val="00462629"/>
    <w:rsid w:val="00464DA5"/>
    <w:rsid w:val="0047058E"/>
    <w:rsid w:val="004719AD"/>
    <w:rsid w:val="00472084"/>
    <w:rsid w:val="00477FBA"/>
    <w:rsid w:val="0048056B"/>
    <w:rsid w:val="0048220D"/>
    <w:rsid w:val="00482746"/>
    <w:rsid w:val="00484EEB"/>
    <w:rsid w:val="00487725"/>
    <w:rsid w:val="00492302"/>
    <w:rsid w:val="00494DC5"/>
    <w:rsid w:val="00495D62"/>
    <w:rsid w:val="004A1D54"/>
    <w:rsid w:val="004A1F99"/>
    <w:rsid w:val="004A239C"/>
    <w:rsid w:val="004A5350"/>
    <w:rsid w:val="004A5A18"/>
    <w:rsid w:val="004B1284"/>
    <w:rsid w:val="004B3A7F"/>
    <w:rsid w:val="004B5707"/>
    <w:rsid w:val="004B5B2C"/>
    <w:rsid w:val="004C37DB"/>
    <w:rsid w:val="004C41A9"/>
    <w:rsid w:val="004C7757"/>
    <w:rsid w:val="004D13FF"/>
    <w:rsid w:val="004D1FC4"/>
    <w:rsid w:val="004D3EAD"/>
    <w:rsid w:val="004D5D0B"/>
    <w:rsid w:val="004D7E8B"/>
    <w:rsid w:val="004D7F79"/>
    <w:rsid w:val="004E3A25"/>
    <w:rsid w:val="004E7844"/>
    <w:rsid w:val="004F49DF"/>
    <w:rsid w:val="004F666C"/>
    <w:rsid w:val="0050670F"/>
    <w:rsid w:val="0051342C"/>
    <w:rsid w:val="00513B9B"/>
    <w:rsid w:val="0051526C"/>
    <w:rsid w:val="005236E2"/>
    <w:rsid w:val="00526B9D"/>
    <w:rsid w:val="005312E1"/>
    <w:rsid w:val="00532765"/>
    <w:rsid w:val="00536F64"/>
    <w:rsid w:val="00541BBD"/>
    <w:rsid w:val="00542735"/>
    <w:rsid w:val="005430F6"/>
    <w:rsid w:val="0054331D"/>
    <w:rsid w:val="005467C1"/>
    <w:rsid w:val="00550E83"/>
    <w:rsid w:val="00552284"/>
    <w:rsid w:val="0055347B"/>
    <w:rsid w:val="0055758F"/>
    <w:rsid w:val="00564CE2"/>
    <w:rsid w:val="00565D52"/>
    <w:rsid w:val="00570C2C"/>
    <w:rsid w:val="00570D01"/>
    <w:rsid w:val="00570DE7"/>
    <w:rsid w:val="005740FF"/>
    <w:rsid w:val="00576917"/>
    <w:rsid w:val="0057724B"/>
    <w:rsid w:val="00577256"/>
    <w:rsid w:val="00582A88"/>
    <w:rsid w:val="0058361C"/>
    <w:rsid w:val="00583FC2"/>
    <w:rsid w:val="005869A4"/>
    <w:rsid w:val="005869C8"/>
    <w:rsid w:val="00587B3A"/>
    <w:rsid w:val="00590797"/>
    <w:rsid w:val="0059263B"/>
    <w:rsid w:val="005A285C"/>
    <w:rsid w:val="005B0CE2"/>
    <w:rsid w:val="005B10D9"/>
    <w:rsid w:val="005C0C36"/>
    <w:rsid w:val="005C3378"/>
    <w:rsid w:val="005C5BA4"/>
    <w:rsid w:val="005D0400"/>
    <w:rsid w:val="005D1AE7"/>
    <w:rsid w:val="005D5195"/>
    <w:rsid w:val="005E3C2C"/>
    <w:rsid w:val="005F05CD"/>
    <w:rsid w:val="005F271D"/>
    <w:rsid w:val="005F4555"/>
    <w:rsid w:val="005F56D3"/>
    <w:rsid w:val="0060112D"/>
    <w:rsid w:val="0060122F"/>
    <w:rsid w:val="00603A93"/>
    <w:rsid w:val="0060507D"/>
    <w:rsid w:val="006112B2"/>
    <w:rsid w:val="0061407D"/>
    <w:rsid w:val="0061591B"/>
    <w:rsid w:val="00616C2E"/>
    <w:rsid w:val="00625346"/>
    <w:rsid w:val="0062724F"/>
    <w:rsid w:val="00627F67"/>
    <w:rsid w:val="00632BA7"/>
    <w:rsid w:val="00633634"/>
    <w:rsid w:val="00635776"/>
    <w:rsid w:val="006378ED"/>
    <w:rsid w:val="0064031D"/>
    <w:rsid w:val="00641967"/>
    <w:rsid w:val="00644070"/>
    <w:rsid w:val="00654130"/>
    <w:rsid w:val="00661C25"/>
    <w:rsid w:val="00661DCD"/>
    <w:rsid w:val="00664BD5"/>
    <w:rsid w:val="00665CEB"/>
    <w:rsid w:val="006725E4"/>
    <w:rsid w:val="00672E4A"/>
    <w:rsid w:val="0067574C"/>
    <w:rsid w:val="0067771A"/>
    <w:rsid w:val="00680180"/>
    <w:rsid w:val="0068062F"/>
    <w:rsid w:val="006817C1"/>
    <w:rsid w:val="00682CAD"/>
    <w:rsid w:val="00691375"/>
    <w:rsid w:val="00691C1E"/>
    <w:rsid w:val="00692452"/>
    <w:rsid w:val="006964EE"/>
    <w:rsid w:val="006B3ADD"/>
    <w:rsid w:val="006B3D73"/>
    <w:rsid w:val="006B7C1C"/>
    <w:rsid w:val="006C11A0"/>
    <w:rsid w:val="006C1885"/>
    <w:rsid w:val="006D21A6"/>
    <w:rsid w:val="006D42C5"/>
    <w:rsid w:val="006D4951"/>
    <w:rsid w:val="006D4D28"/>
    <w:rsid w:val="006D4E6A"/>
    <w:rsid w:val="006D587D"/>
    <w:rsid w:val="006D6066"/>
    <w:rsid w:val="006E2873"/>
    <w:rsid w:val="006E43AE"/>
    <w:rsid w:val="006E5E7B"/>
    <w:rsid w:val="006E6D01"/>
    <w:rsid w:val="006F2D0F"/>
    <w:rsid w:val="006F3175"/>
    <w:rsid w:val="006F3915"/>
    <w:rsid w:val="006F41A7"/>
    <w:rsid w:val="007100B2"/>
    <w:rsid w:val="00711D30"/>
    <w:rsid w:val="00716296"/>
    <w:rsid w:val="007169A6"/>
    <w:rsid w:val="00722B6F"/>
    <w:rsid w:val="00724008"/>
    <w:rsid w:val="007254D4"/>
    <w:rsid w:val="007417D6"/>
    <w:rsid w:val="0074248D"/>
    <w:rsid w:val="00744EBF"/>
    <w:rsid w:val="00751B64"/>
    <w:rsid w:val="007522D5"/>
    <w:rsid w:val="0075258A"/>
    <w:rsid w:val="00760C1E"/>
    <w:rsid w:val="007643EC"/>
    <w:rsid w:val="007648B6"/>
    <w:rsid w:val="0076691F"/>
    <w:rsid w:val="007727A3"/>
    <w:rsid w:val="007729FA"/>
    <w:rsid w:val="00772A38"/>
    <w:rsid w:val="00773DAC"/>
    <w:rsid w:val="00780083"/>
    <w:rsid w:val="007803AE"/>
    <w:rsid w:val="0078114B"/>
    <w:rsid w:val="00784B02"/>
    <w:rsid w:val="007911D4"/>
    <w:rsid w:val="00791577"/>
    <w:rsid w:val="007918F2"/>
    <w:rsid w:val="007960E3"/>
    <w:rsid w:val="007A13CB"/>
    <w:rsid w:val="007B18FB"/>
    <w:rsid w:val="007B1F78"/>
    <w:rsid w:val="007C0448"/>
    <w:rsid w:val="007C2DE5"/>
    <w:rsid w:val="007C41B9"/>
    <w:rsid w:val="007C74BD"/>
    <w:rsid w:val="007D6AE1"/>
    <w:rsid w:val="007E6459"/>
    <w:rsid w:val="007F58F2"/>
    <w:rsid w:val="00803A91"/>
    <w:rsid w:val="00805BA3"/>
    <w:rsid w:val="0081262E"/>
    <w:rsid w:val="00813C6E"/>
    <w:rsid w:val="008204A3"/>
    <w:rsid w:val="0082226B"/>
    <w:rsid w:val="00822B6B"/>
    <w:rsid w:val="0082421D"/>
    <w:rsid w:val="00824AC7"/>
    <w:rsid w:val="008359A9"/>
    <w:rsid w:val="008374BB"/>
    <w:rsid w:val="00843A70"/>
    <w:rsid w:val="008442E5"/>
    <w:rsid w:val="00846B7E"/>
    <w:rsid w:val="00851AE3"/>
    <w:rsid w:val="00852953"/>
    <w:rsid w:val="00852BFD"/>
    <w:rsid w:val="008536F4"/>
    <w:rsid w:val="008560B0"/>
    <w:rsid w:val="008565CE"/>
    <w:rsid w:val="008579D6"/>
    <w:rsid w:val="008616F6"/>
    <w:rsid w:val="008623D5"/>
    <w:rsid w:val="00864F2F"/>
    <w:rsid w:val="008669AC"/>
    <w:rsid w:val="00867E88"/>
    <w:rsid w:val="008764B8"/>
    <w:rsid w:val="0088058C"/>
    <w:rsid w:val="00881941"/>
    <w:rsid w:val="00882A3D"/>
    <w:rsid w:val="00893C5A"/>
    <w:rsid w:val="0089538C"/>
    <w:rsid w:val="008960D3"/>
    <w:rsid w:val="00897390"/>
    <w:rsid w:val="008A3BE6"/>
    <w:rsid w:val="008A651D"/>
    <w:rsid w:val="008B1030"/>
    <w:rsid w:val="008B370E"/>
    <w:rsid w:val="008B4287"/>
    <w:rsid w:val="008C07F0"/>
    <w:rsid w:val="008C65D6"/>
    <w:rsid w:val="008D6122"/>
    <w:rsid w:val="008E0B02"/>
    <w:rsid w:val="008E5226"/>
    <w:rsid w:val="008E530B"/>
    <w:rsid w:val="008F0F2F"/>
    <w:rsid w:val="008F311B"/>
    <w:rsid w:val="008F3FC0"/>
    <w:rsid w:val="008F6236"/>
    <w:rsid w:val="0090080C"/>
    <w:rsid w:val="00901EA0"/>
    <w:rsid w:val="00906C61"/>
    <w:rsid w:val="009146E7"/>
    <w:rsid w:val="009204F9"/>
    <w:rsid w:val="00924F1B"/>
    <w:rsid w:val="00927E32"/>
    <w:rsid w:val="00942CE3"/>
    <w:rsid w:val="00952198"/>
    <w:rsid w:val="0095798E"/>
    <w:rsid w:val="00963D61"/>
    <w:rsid w:val="009646E2"/>
    <w:rsid w:val="00966ED0"/>
    <w:rsid w:val="00967205"/>
    <w:rsid w:val="00970F7C"/>
    <w:rsid w:val="00971E1D"/>
    <w:rsid w:val="0097294F"/>
    <w:rsid w:val="00977967"/>
    <w:rsid w:val="00983E3B"/>
    <w:rsid w:val="00984C67"/>
    <w:rsid w:val="00990DB7"/>
    <w:rsid w:val="009A3EEB"/>
    <w:rsid w:val="009B250D"/>
    <w:rsid w:val="009C4D1E"/>
    <w:rsid w:val="009C5F24"/>
    <w:rsid w:val="009D4362"/>
    <w:rsid w:val="009D53A9"/>
    <w:rsid w:val="009D5E30"/>
    <w:rsid w:val="009D72FA"/>
    <w:rsid w:val="009E2EE0"/>
    <w:rsid w:val="009E6FF0"/>
    <w:rsid w:val="009F0567"/>
    <w:rsid w:val="009F295C"/>
    <w:rsid w:val="009F4FC3"/>
    <w:rsid w:val="00A046CB"/>
    <w:rsid w:val="00A06520"/>
    <w:rsid w:val="00A0667F"/>
    <w:rsid w:val="00A13677"/>
    <w:rsid w:val="00A13C9C"/>
    <w:rsid w:val="00A149BC"/>
    <w:rsid w:val="00A149EB"/>
    <w:rsid w:val="00A15727"/>
    <w:rsid w:val="00A15799"/>
    <w:rsid w:val="00A169F5"/>
    <w:rsid w:val="00A200E5"/>
    <w:rsid w:val="00A2013F"/>
    <w:rsid w:val="00A20BD3"/>
    <w:rsid w:val="00A21726"/>
    <w:rsid w:val="00A22B1E"/>
    <w:rsid w:val="00A30F37"/>
    <w:rsid w:val="00A361C9"/>
    <w:rsid w:val="00A36BF9"/>
    <w:rsid w:val="00A42360"/>
    <w:rsid w:val="00A439EA"/>
    <w:rsid w:val="00A43C10"/>
    <w:rsid w:val="00A6269B"/>
    <w:rsid w:val="00A81CCD"/>
    <w:rsid w:val="00A83C0E"/>
    <w:rsid w:val="00A90652"/>
    <w:rsid w:val="00A9091A"/>
    <w:rsid w:val="00A91883"/>
    <w:rsid w:val="00AA13B1"/>
    <w:rsid w:val="00AA1F4A"/>
    <w:rsid w:val="00AA248E"/>
    <w:rsid w:val="00AA3583"/>
    <w:rsid w:val="00AA4503"/>
    <w:rsid w:val="00AA7566"/>
    <w:rsid w:val="00AB1561"/>
    <w:rsid w:val="00AB2E56"/>
    <w:rsid w:val="00AB5E5B"/>
    <w:rsid w:val="00AB6946"/>
    <w:rsid w:val="00AC4973"/>
    <w:rsid w:val="00AD0424"/>
    <w:rsid w:val="00AD0B47"/>
    <w:rsid w:val="00AD102B"/>
    <w:rsid w:val="00AD475D"/>
    <w:rsid w:val="00AD785E"/>
    <w:rsid w:val="00AE0D24"/>
    <w:rsid w:val="00AE27A9"/>
    <w:rsid w:val="00AE3783"/>
    <w:rsid w:val="00AE3922"/>
    <w:rsid w:val="00AE66BC"/>
    <w:rsid w:val="00AF263F"/>
    <w:rsid w:val="00AF4240"/>
    <w:rsid w:val="00B01DEA"/>
    <w:rsid w:val="00B1273C"/>
    <w:rsid w:val="00B13358"/>
    <w:rsid w:val="00B147DC"/>
    <w:rsid w:val="00B14B7B"/>
    <w:rsid w:val="00B15480"/>
    <w:rsid w:val="00B25539"/>
    <w:rsid w:val="00B263A8"/>
    <w:rsid w:val="00B31903"/>
    <w:rsid w:val="00B323AC"/>
    <w:rsid w:val="00B34195"/>
    <w:rsid w:val="00B35FA5"/>
    <w:rsid w:val="00B3641B"/>
    <w:rsid w:val="00B45ED8"/>
    <w:rsid w:val="00B52E30"/>
    <w:rsid w:val="00B55654"/>
    <w:rsid w:val="00B60CC6"/>
    <w:rsid w:val="00B7175F"/>
    <w:rsid w:val="00B7425F"/>
    <w:rsid w:val="00B76C3B"/>
    <w:rsid w:val="00B80D43"/>
    <w:rsid w:val="00B81188"/>
    <w:rsid w:val="00B844CE"/>
    <w:rsid w:val="00B8761F"/>
    <w:rsid w:val="00B97B22"/>
    <w:rsid w:val="00BA0FE8"/>
    <w:rsid w:val="00BA3E06"/>
    <w:rsid w:val="00BA44D7"/>
    <w:rsid w:val="00BB1A5D"/>
    <w:rsid w:val="00BB5CFF"/>
    <w:rsid w:val="00BB665D"/>
    <w:rsid w:val="00BC17B5"/>
    <w:rsid w:val="00BC1EEE"/>
    <w:rsid w:val="00BC563D"/>
    <w:rsid w:val="00BC62A6"/>
    <w:rsid w:val="00BC69DE"/>
    <w:rsid w:val="00BD4277"/>
    <w:rsid w:val="00BD599D"/>
    <w:rsid w:val="00BE147D"/>
    <w:rsid w:val="00BE331B"/>
    <w:rsid w:val="00BF5461"/>
    <w:rsid w:val="00BF76FB"/>
    <w:rsid w:val="00C001B8"/>
    <w:rsid w:val="00C05AA2"/>
    <w:rsid w:val="00C063CE"/>
    <w:rsid w:val="00C078D7"/>
    <w:rsid w:val="00C104CD"/>
    <w:rsid w:val="00C10612"/>
    <w:rsid w:val="00C13317"/>
    <w:rsid w:val="00C178C5"/>
    <w:rsid w:val="00C203D2"/>
    <w:rsid w:val="00C26C11"/>
    <w:rsid w:val="00C323FA"/>
    <w:rsid w:val="00C3426F"/>
    <w:rsid w:val="00C36ED4"/>
    <w:rsid w:val="00C42C9C"/>
    <w:rsid w:val="00C501BF"/>
    <w:rsid w:val="00C5495C"/>
    <w:rsid w:val="00C54E60"/>
    <w:rsid w:val="00C55369"/>
    <w:rsid w:val="00C56BFE"/>
    <w:rsid w:val="00C57335"/>
    <w:rsid w:val="00C61081"/>
    <w:rsid w:val="00C611AA"/>
    <w:rsid w:val="00C7017B"/>
    <w:rsid w:val="00C7057D"/>
    <w:rsid w:val="00C82F81"/>
    <w:rsid w:val="00C8490B"/>
    <w:rsid w:val="00C86FFA"/>
    <w:rsid w:val="00C93EE8"/>
    <w:rsid w:val="00C959DB"/>
    <w:rsid w:val="00C97CF6"/>
    <w:rsid w:val="00CA068B"/>
    <w:rsid w:val="00CA66FD"/>
    <w:rsid w:val="00CB1862"/>
    <w:rsid w:val="00CC593C"/>
    <w:rsid w:val="00CC5EF2"/>
    <w:rsid w:val="00CD00D2"/>
    <w:rsid w:val="00CD1F9A"/>
    <w:rsid w:val="00CD2B12"/>
    <w:rsid w:val="00CD2DFB"/>
    <w:rsid w:val="00CD3460"/>
    <w:rsid w:val="00CD5C7D"/>
    <w:rsid w:val="00CE33F1"/>
    <w:rsid w:val="00CF7F20"/>
    <w:rsid w:val="00D01940"/>
    <w:rsid w:val="00D02621"/>
    <w:rsid w:val="00D06ED4"/>
    <w:rsid w:val="00D0780C"/>
    <w:rsid w:val="00D13163"/>
    <w:rsid w:val="00D1494E"/>
    <w:rsid w:val="00D15B46"/>
    <w:rsid w:val="00D2030C"/>
    <w:rsid w:val="00D2150E"/>
    <w:rsid w:val="00D21EF5"/>
    <w:rsid w:val="00D25E9F"/>
    <w:rsid w:val="00D33D75"/>
    <w:rsid w:val="00D34BC8"/>
    <w:rsid w:val="00D3749E"/>
    <w:rsid w:val="00D42F01"/>
    <w:rsid w:val="00D52B3F"/>
    <w:rsid w:val="00D54789"/>
    <w:rsid w:val="00D54CB4"/>
    <w:rsid w:val="00D55DA9"/>
    <w:rsid w:val="00D5712F"/>
    <w:rsid w:val="00D60CDB"/>
    <w:rsid w:val="00D615D3"/>
    <w:rsid w:val="00D61CFD"/>
    <w:rsid w:val="00D638CE"/>
    <w:rsid w:val="00D70782"/>
    <w:rsid w:val="00D714C8"/>
    <w:rsid w:val="00D730DF"/>
    <w:rsid w:val="00D7327B"/>
    <w:rsid w:val="00D75397"/>
    <w:rsid w:val="00D80AB8"/>
    <w:rsid w:val="00D83C88"/>
    <w:rsid w:val="00D83C8A"/>
    <w:rsid w:val="00D852F8"/>
    <w:rsid w:val="00D90DEC"/>
    <w:rsid w:val="00D91BFB"/>
    <w:rsid w:val="00D94E19"/>
    <w:rsid w:val="00D96C57"/>
    <w:rsid w:val="00D96EC8"/>
    <w:rsid w:val="00DA352C"/>
    <w:rsid w:val="00DA6DA2"/>
    <w:rsid w:val="00DB09A6"/>
    <w:rsid w:val="00DB1BB0"/>
    <w:rsid w:val="00DB36B0"/>
    <w:rsid w:val="00DB42D0"/>
    <w:rsid w:val="00DB7EEC"/>
    <w:rsid w:val="00DC2F15"/>
    <w:rsid w:val="00DC32A8"/>
    <w:rsid w:val="00DD0033"/>
    <w:rsid w:val="00DD1FB6"/>
    <w:rsid w:val="00DD6740"/>
    <w:rsid w:val="00DE09D6"/>
    <w:rsid w:val="00DE55D9"/>
    <w:rsid w:val="00DF0222"/>
    <w:rsid w:val="00DF23A8"/>
    <w:rsid w:val="00DF31DB"/>
    <w:rsid w:val="00DF4D18"/>
    <w:rsid w:val="00E02D7D"/>
    <w:rsid w:val="00E0576D"/>
    <w:rsid w:val="00E1168B"/>
    <w:rsid w:val="00E1422D"/>
    <w:rsid w:val="00E148B2"/>
    <w:rsid w:val="00E2149D"/>
    <w:rsid w:val="00E2224F"/>
    <w:rsid w:val="00E228DD"/>
    <w:rsid w:val="00E22DEF"/>
    <w:rsid w:val="00E23B5E"/>
    <w:rsid w:val="00E31E67"/>
    <w:rsid w:val="00E3250B"/>
    <w:rsid w:val="00E32F5F"/>
    <w:rsid w:val="00E34412"/>
    <w:rsid w:val="00E34612"/>
    <w:rsid w:val="00E37596"/>
    <w:rsid w:val="00E40778"/>
    <w:rsid w:val="00E43351"/>
    <w:rsid w:val="00E47B4A"/>
    <w:rsid w:val="00E51660"/>
    <w:rsid w:val="00E557EA"/>
    <w:rsid w:val="00E65196"/>
    <w:rsid w:val="00E740B2"/>
    <w:rsid w:val="00E77CA6"/>
    <w:rsid w:val="00E851A3"/>
    <w:rsid w:val="00E916DA"/>
    <w:rsid w:val="00E9193D"/>
    <w:rsid w:val="00E94609"/>
    <w:rsid w:val="00E946B6"/>
    <w:rsid w:val="00E96FE0"/>
    <w:rsid w:val="00EA311E"/>
    <w:rsid w:val="00EA3AF4"/>
    <w:rsid w:val="00EA522D"/>
    <w:rsid w:val="00EA7C1A"/>
    <w:rsid w:val="00EA7E4E"/>
    <w:rsid w:val="00EB0A21"/>
    <w:rsid w:val="00EC0795"/>
    <w:rsid w:val="00EC7E1F"/>
    <w:rsid w:val="00ED25B5"/>
    <w:rsid w:val="00ED4831"/>
    <w:rsid w:val="00EE30F3"/>
    <w:rsid w:val="00EE3BB1"/>
    <w:rsid w:val="00EE47D8"/>
    <w:rsid w:val="00EE4894"/>
    <w:rsid w:val="00EE5883"/>
    <w:rsid w:val="00EF0729"/>
    <w:rsid w:val="00EF1AB7"/>
    <w:rsid w:val="00EF57B2"/>
    <w:rsid w:val="00EF612C"/>
    <w:rsid w:val="00F065FA"/>
    <w:rsid w:val="00F07B2B"/>
    <w:rsid w:val="00F1525B"/>
    <w:rsid w:val="00F176C7"/>
    <w:rsid w:val="00F17CF5"/>
    <w:rsid w:val="00F22728"/>
    <w:rsid w:val="00F30A14"/>
    <w:rsid w:val="00F30EBD"/>
    <w:rsid w:val="00F31C28"/>
    <w:rsid w:val="00F31D05"/>
    <w:rsid w:val="00F33822"/>
    <w:rsid w:val="00F446F4"/>
    <w:rsid w:val="00F45732"/>
    <w:rsid w:val="00F45E71"/>
    <w:rsid w:val="00F50A77"/>
    <w:rsid w:val="00F52A9F"/>
    <w:rsid w:val="00F54974"/>
    <w:rsid w:val="00F579AB"/>
    <w:rsid w:val="00F6200D"/>
    <w:rsid w:val="00F62392"/>
    <w:rsid w:val="00F74806"/>
    <w:rsid w:val="00F7585A"/>
    <w:rsid w:val="00F77050"/>
    <w:rsid w:val="00F80DA8"/>
    <w:rsid w:val="00F817DB"/>
    <w:rsid w:val="00F82A05"/>
    <w:rsid w:val="00F850B8"/>
    <w:rsid w:val="00F927DC"/>
    <w:rsid w:val="00F9501C"/>
    <w:rsid w:val="00FA5435"/>
    <w:rsid w:val="00FA5FC5"/>
    <w:rsid w:val="00FB01B1"/>
    <w:rsid w:val="00FB4800"/>
    <w:rsid w:val="00FC2190"/>
    <w:rsid w:val="00FD004D"/>
    <w:rsid w:val="00FD0107"/>
    <w:rsid w:val="00FD36CF"/>
    <w:rsid w:val="00FD6DEB"/>
    <w:rsid w:val="00FE0FB8"/>
    <w:rsid w:val="00FE2BB3"/>
    <w:rsid w:val="00FE59D4"/>
    <w:rsid w:val="00FF06F6"/>
    <w:rsid w:val="00FF10BC"/>
    <w:rsid w:val="00FF5800"/>
    <w:rsid w:val="00FF5DB0"/>
    <w:rsid w:val="00FF62E0"/>
    <w:rsid w:val="4D06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D77DABE"/>
  <w15:chartTrackingRefBased/>
  <w15:docId w15:val="{7D9CD544-7B59-422A-BC53-5FCC3625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DF31DB"/>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ascii="Arial" w:hAnsi="Arial"/>
      <w:szCs w:val="20"/>
    </w:rPr>
  </w:style>
  <w:style w:type="paragraph" w:customStyle="1" w:styleId="FAMBodyTextStyle">
    <w:name w:val="FAM Body Text Style"/>
    <w:basedOn w:val="Normal"/>
    <w:pPr>
      <w:keepNext/>
      <w:keepLines/>
      <w:tabs>
        <w:tab w:val="left" w:pos="1080"/>
      </w:tabs>
      <w:spacing w:before="120" w:after="120"/>
      <w:ind w:left="288" w:right="288" w:firstLine="360"/>
      <w:jc w:val="both"/>
    </w:pPr>
    <w:rPr>
      <w:rFonts w:ascii="Helvetica" w:hAnsi="Helvetica"/>
      <w:color w:val="000000"/>
      <w:szCs w:val="20"/>
    </w:rPr>
  </w:style>
  <w:style w:type="paragraph" w:styleId="BodyText">
    <w:name w:val="Body Text"/>
    <w:basedOn w:val="Normal"/>
    <w:rPr>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2">
    <w:name w:val="Body Text 2"/>
    <w:basedOn w:val="Normal"/>
    <w:rPr>
      <w:rFonts w:ascii="Courier New" w:hAnsi="Courier New" w:cs="Courier New"/>
      <w:b/>
      <w:i/>
      <w:sz w:val="20"/>
    </w:rPr>
  </w:style>
  <w:style w:type="paragraph" w:styleId="Header">
    <w:name w:val="header"/>
    <w:basedOn w:val="Normal"/>
    <w:pPr>
      <w:tabs>
        <w:tab w:val="center" w:pos="4320"/>
        <w:tab w:val="right" w:pos="8640"/>
      </w:tabs>
    </w:pPr>
    <w:rPr>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customStyle="1" w:styleId="FAMBodyTextabc">
    <w:name w:val="FAM Body Text abc"/>
    <w:basedOn w:val="Normal"/>
    <w:rsid w:val="00E40778"/>
    <w:pPr>
      <w:widowControl w:val="0"/>
      <w:spacing w:before="120" w:after="120"/>
      <w:ind w:left="360" w:hanging="360"/>
    </w:pPr>
    <w:rPr>
      <w:rFonts w:ascii="Verdana" w:hAnsi="Verdana"/>
      <w:color w:val="000000"/>
      <w:szCs w:val="20"/>
    </w:rPr>
  </w:style>
  <w:style w:type="character" w:styleId="Hyperlink">
    <w:name w:val="Hyperlink"/>
    <w:rsid w:val="00E40778"/>
    <w:rPr>
      <w:color w:val="0000FF"/>
      <w:u w:val="single"/>
    </w:rPr>
  </w:style>
  <w:style w:type="character" w:styleId="FollowedHyperlink">
    <w:name w:val="FollowedHyperlink"/>
    <w:rsid w:val="00CA068B"/>
    <w:rPr>
      <w:color w:val="606420"/>
      <w:u w:val="single"/>
    </w:rPr>
  </w:style>
  <w:style w:type="character" w:customStyle="1" w:styleId="ptext-1">
    <w:name w:val="ptext-1"/>
    <w:rsid w:val="002F29A2"/>
    <w:rPr>
      <w:b w:val="0"/>
      <w:bCs w:val="0"/>
    </w:rPr>
  </w:style>
  <w:style w:type="character" w:customStyle="1" w:styleId="ptext-3">
    <w:name w:val="ptext-3"/>
    <w:rsid w:val="000B5C3F"/>
    <w:rPr>
      <w:b w:val="0"/>
      <w:bCs w:val="0"/>
    </w:rPr>
  </w:style>
  <w:style w:type="paragraph" w:styleId="BalloonText">
    <w:name w:val="Balloon Text"/>
    <w:basedOn w:val="Normal"/>
    <w:semiHidden/>
    <w:rsid w:val="001965B5"/>
    <w:rPr>
      <w:rFonts w:ascii="Tahoma" w:hAnsi="Tahoma" w:cs="Tahoma"/>
      <w:sz w:val="16"/>
      <w:szCs w:val="16"/>
    </w:rPr>
  </w:style>
  <w:style w:type="table" w:styleId="TableGrid">
    <w:name w:val="Table Grid"/>
    <w:basedOn w:val="TableNormal"/>
    <w:rsid w:val="0068062F"/>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D3329"/>
    <w:rPr>
      <w:sz w:val="16"/>
      <w:szCs w:val="16"/>
    </w:rPr>
  </w:style>
  <w:style w:type="paragraph" w:styleId="CommentText">
    <w:name w:val="annotation text"/>
    <w:basedOn w:val="Normal"/>
    <w:link w:val="CommentTextChar"/>
    <w:uiPriority w:val="99"/>
    <w:rsid w:val="003D3329"/>
    <w:rPr>
      <w:sz w:val="20"/>
      <w:szCs w:val="20"/>
    </w:rPr>
  </w:style>
  <w:style w:type="character" w:customStyle="1" w:styleId="CommentTextChar">
    <w:name w:val="Comment Text Char"/>
    <w:basedOn w:val="DefaultParagraphFont"/>
    <w:link w:val="CommentText"/>
    <w:uiPriority w:val="99"/>
    <w:rsid w:val="003D3329"/>
  </w:style>
  <w:style w:type="paragraph" w:styleId="CommentSubject">
    <w:name w:val="annotation subject"/>
    <w:basedOn w:val="CommentText"/>
    <w:next w:val="CommentText"/>
    <w:link w:val="CommentSubjectChar"/>
    <w:rsid w:val="003D3329"/>
    <w:rPr>
      <w:b/>
      <w:bCs/>
      <w:lang w:val="x-none" w:eastAsia="x-none"/>
    </w:rPr>
  </w:style>
  <w:style w:type="character" w:customStyle="1" w:styleId="CommentSubjectChar">
    <w:name w:val="Comment Subject Char"/>
    <w:link w:val="CommentSubject"/>
    <w:rsid w:val="003D3329"/>
    <w:rPr>
      <w:b/>
      <w:bCs/>
    </w:rPr>
  </w:style>
  <w:style w:type="character" w:customStyle="1" w:styleId="volume">
    <w:name w:val="volume"/>
    <w:rsid w:val="00A90652"/>
  </w:style>
  <w:style w:type="character" w:customStyle="1" w:styleId="page">
    <w:name w:val="page"/>
    <w:rsid w:val="00A90652"/>
  </w:style>
  <w:style w:type="paragraph" w:styleId="Revision">
    <w:name w:val="Revision"/>
    <w:hidden/>
    <w:uiPriority w:val="99"/>
    <w:semiHidden/>
    <w:rsid w:val="00967205"/>
    <w:rPr>
      <w:sz w:val="24"/>
      <w:szCs w:val="24"/>
    </w:rPr>
  </w:style>
  <w:style w:type="character" w:customStyle="1" w:styleId="HTMLPreformattedChar">
    <w:name w:val="HTML Preformatted Char"/>
    <w:link w:val="HTMLPreformatted"/>
    <w:uiPriority w:val="99"/>
    <w:rsid w:val="00D83C8A"/>
    <w:rPr>
      <w:rFonts w:ascii="Arial Unicode MS" w:eastAsia="Arial Unicode MS" w:hAnsi="Arial Unicode MS" w:cs="Arial Unicode MS"/>
    </w:rPr>
  </w:style>
  <w:style w:type="paragraph" w:customStyle="1" w:styleId="FRNoticeHeading2">
    <w:name w:val="FR Notice Heading 2"/>
    <w:basedOn w:val="Normal"/>
    <w:rsid w:val="00AE66BC"/>
    <w:pPr>
      <w:spacing w:line="360" w:lineRule="auto"/>
    </w:pPr>
    <w:rPr>
      <w:bCs/>
      <w:i/>
      <w:iCs/>
      <w:szCs w:val="20"/>
    </w:rPr>
  </w:style>
  <w:style w:type="paragraph" w:styleId="NoSpacing">
    <w:name w:val="No Spacing"/>
    <w:uiPriority w:val="1"/>
    <w:qFormat/>
    <w:rsid w:val="00AE66BC"/>
    <w:rPr>
      <w:sz w:val="24"/>
    </w:rPr>
  </w:style>
  <w:style w:type="character" w:customStyle="1" w:styleId="Heading1Char">
    <w:name w:val="Heading 1 Char"/>
    <w:link w:val="Heading1"/>
    <w:rsid w:val="00DF31DB"/>
    <w:rPr>
      <w:rFonts w:ascii="Cambria" w:eastAsia="Times New Roman" w:hAnsi="Cambria" w:cs="Times New Roman"/>
      <w:b/>
      <w:bCs/>
      <w:kern w:val="32"/>
      <w:sz w:val="32"/>
      <w:szCs w:val="32"/>
    </w:rPr>
  </w:style>
  <w:style w:type="character" w:styleId="FootnoteReference">
    <w:name w:val="footnote reference"/>
    <w:uiPriority w:val="99"/>
    <w:unhideWhenUsed/>
    <w:rsid w:val="00564CE2"/>
    <w:rPr>
      <w:vertAlign w:val="superscript"/>
    </w:rPr>
  </w:style>
  <w:style w:type="character" w:customStyle="1" w:styleId="FooterChar">
    <w:name w:val="Footer Char"/>
    <w:link w:val="Footer"/>
    <w:uiPriority w:val="99"/>
    <w:rsid w:val="002009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9523">
      <w:bodyDiv w:val="1"/>
      <w:marLeft w:val="0"/>
      <w:marRight w:val="0"/>
      <w:marTop w:val="0"/>
      <w:marBottom w:val="0"/>
      <w:divBdr>
        <w:top w:val="none" w:sz="0" w:space="0" w:color="auto"/>
        <w:left w:val="none" w:sz="0" w:space="0" w:color="auto"/>
        <w:bottom w:val="none" w:sz="0" w:space="0" w:color="auto"/>
        <w:right w:val="none" w:sz="0" w:space="0" w:color="auto"/>
      </w:divBdr>
      <w:divsChild>
        <w:div w:id="1555576986">
          <w:marLeft w:val="0"/>
          <w:marRight w:val="0"/>
          <w:marTop w:val="0"/>
          <w:marBottom w:val="0"/>
          <w:divBdr>
            <w:top w:val="none" w:sz="0" w:space="0" w:color="auto"/>
            <w:left w:val="none" w:sz="0" w:space="0" w:color="auto"/>
            <w:bottom w:val="none" w:sz="0" w:space="0" w:color="auto"/>
            <w:right w:val="none" w:sz="0" w:space="0" w:color="auto"/>
          </w:divBdr>
          <w:divsChild>
            <w:div w:id="176041442">
              <w:marLeft w:val="0"/>
              <w:marRight w:val="0"/>
              <w:marTop w:val="0"/>
              <w:marBottom w:val="0"/>
              <w:divBdr>
                <w:top w:val="none" w:sz="0" w:space="0" w:color="auto"/>
                <w:left w:val="none" w:sz="0" w:space="0" w:color="auto"/>
                <w:bottom w:val="none" w:sz="0" w:space="0" w:color="auto"/>
                <w:right w:val="none" w:sz="0" w:space="0" w:color="auto"/>
              </w:divBdr>
              <w:divsChild>
                <w:div w:id="1214928405">
                  <w:marLeft w:val="0"/>
                  <w:marRight w:val="0"/>
                  <w:marTop w:val="0"/>
                  <w:marBottom w:val="0"/>
                  <w:divBdr>
                    <w:top w:val="none" w:sz="0" w:space="0" w:color="auto"/>
                    <w:left w:val="none" w:sz="0" w:space="0" w:color="auto"/>
                    <w:bottom w:val="none" w:sz="0" w:space="0" w:color="auto"/>
                    <w:right w:val="none" w:sz="0" w:space="0" w:color="auto"/>
                  </w:divBdr>
                  <w:divsChild>
                    <w:div w:id="1143236580">
                      <w:marLeft w:val="0"/>
                      <w:marRight w:val="0"/>
                      <w:marTop w:val="0"/>
                      <w:marBottom w:val="0"/>
                      <w:divBdr>
                        <w:top w:val="none" w:sz="0" w:space="0" w:color="auto"/>
                        <w:left w:val="none" w:sz="0" w:space="0" w:color="auto"/>
                        <w:bottom w:val="none" w:sz="0" w:space="0" w:color="auto"/>
                        <w:right w:val="none" w:sz="0" w:space="0" w:color="auto"/>
                      </w:divBdr>
                      <w:divsChild>
                        <w:div w:id="508258606">
                          <w:marLeft w:val="0"/>
                          <w:marRight w:val="0"/>
                          <w:marTop w:val="0"/>
                          <w:marBottom w:val="0"/>
                          <w:divBdr>
                            <w:top w:val="none" w:sz="0" w:space="0" w:color="auto"/>
                            <w:left w:val="none" w:sz="0" w:space="0" w:color="auto"/>
                            <w:bottom w:val="none" w:sz="0" w:space="0" w:color="auto"/>
                            <w:right w:val="none" w:sz="0" w:space="0" w:color="auto"/>
                          </w:divBdr>
                          <w:divsChild>
                            <w:div w:id="865681153">
                              <w:marLeft w:val="1"/>
                              <w:marRight w:val="1"/>
                              <w:marTop w:val="120"/>
                              <w:marBottom w:val="120"/>
                              <w:divBdr>
                                <w:top w:val="none" w:sz="0" w:space="0" w:color="auto"/>
                                <w:left w:val="none" w:sz="0" w:space="0" w:color="auto"/>
                                <w:bottom w:val="none" w:sz="0" w:space="0" w:color="auto"/>
                                <w:right w:val="none" w:sz="0" w:space="0" w:color="auto"/>
                              </w:divBdr>
                              <w:divsChild>
                                <w:div w:id="940720344">
                                  <w:marLeft w:val="0"/>
                                  <w:marRight w:val="0"/>
                                  <w:marTop w:val="0"/>
                                  <w:marBottom w:val="0"/>
                                  <w:divBdr>
                                    <w:top w:val="none" w:sz="0" w:space="0" w:color="auto"/>
                                    <w:left w:val="none" w:sz="0" w:space="0" w:color="auto"/>
                                    <w:bottom w:val="none" w:sz="0" w:space="0" w:color="auto"/>
                                    <w:right w:val="none" w:sz="0" w:space="0" w:color="auto"/>
                                  </w:divBdr>
                                  <w:divsChild>
                                    <w:div w:id="20592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60523">
      <w:bodyDiv w:val="1"/>
      <w:marLeft w:val="0"/>
      <w:marRight w:val="0"/>
      <w:marTop w:val="0"/>
      <w:marBottom w:val="0"/>
      <w:divBdr>
        <w:top w:val="none" w:sz="0" w:space="0" w:color="auto"/>
        <w:left w:val="none" w:sz="0" w:space="0" w:color="auto"/>
        <w:bottom w:val="none" w:sz="0" w:space="0" w:color="auto"/>
        <w:right w:val="none" w:sz="0" w:space="0" w:color="auto"/>
      </w:divBdr>
      <w:divsChild>
        <w:div w:id="921331376">
          <w:marLeft w:val="0"/>
          <w:marRight w:val="0"/>
          <w:marTop w:val="0"/>
          <w:marBottom w:val="0"/>
          <w:divBdr>
            <w:top w:val="none" w:sz="0" w:space="0" w:color="auto"/>
            <w:left w:val="none" w:sz="0" w:space="0" w:color="auto"/>
            <w:bottom w:val="none" w:sz="0" w:space="0" w:color="auto"/>
            <w:right w:val="none" w:sz="0" w:space="0" w:color="auto"/>
          </w:divBdr>
          <w:divsChild>
            <w:div w:id="773330510">
              <w:marLeft w:val="0"/>
              <w:marRight w:val="0"/>
              <w:marTop w:val="0"/>
              <w:marBottom w:val="0"/>
              <w:divBdr>
                <w:top w:val="none" w:sz="0" w:space="0" w:color="auto"/>
                <w:left w:val="none" w:sz="0" w:space="0" w:color="auto"/>
                <w:bottom w:val="none" w:sz="0" w:space="0" w:color="auto"/>
                <w:right w:val="none" w:sz="0" w:space="0" w:color="auto"/>
              </w:divBdr>
              <w:divsChild>
                <w:div w:id="1941524547">
                  <w:marLeft w:val="0"/>
                  <w:marRight w:val="0"/>
                  <w:marTop w:val="0"/>
                  <w:marBottom w:val="0"/>
                  <w:divBdr>
                    <w:top w:val="none" w:sz="0" w:space="0" w:color="auto"/>
                    <w:left w:val="none" w:sz="0" w:space="0" w:color="auto"/>
                    <w:bottom w:val="none" w:sz="0" w:space="0" w:color="auto"/>
                    <w:right w:val="none" w:sz="0" w:space="0" w:color="auto"/>
                  </w:divBdr>
                  <w:divsChild>
                    <w:div w:id="786317716">
                      <w:marLeft w:val="0"/>
                      <w:marRight w:val="0"/>
                      <w:marTop w:val="0"/>
                      <w:marBottom w:val="0"/>
                      <w:divBdr>
                        <w:top w:val="none" w:sz="0" w:space="0" w:color="auto"/>
                        <w:left w:val="none" w:sz="0" w:space="0" w:color="auto"/>
                        <w:bottom w:val="none" w:sz="0" w:space="0" w:color="auto"/>
                        <w:right w:val="none" w:sz="0" w:space="0" w:color="auto"/>
                      </w:divBdr>
                      <w:divsChild>
                        <w:div w:id="1521892130">
                          <w:marLeft w:val="0"/>
                          <w:marRight w:val="0"/>
                          <w:marTop w:val="0"/>
                          <w:marBottom w:val="0"/>
                          <w:divBdr>
                            <w:top w:val="none" w:sz="0" w:space="0" w:color="auto"/>
                            <w:left w:val="none" w:sz="0" w:space="0" w:color="auto"/>
                            <w:bottom w:val="none" w:sz="0" w:space="0" w:color="auto"/>
                            <w:right w:val="none" w:sz="0" w:space="0" w:color="auto"/>
                          </w:divBdr>
                          <w:divsChild>
                            <w:div w:id="1992322205">
                              <w:marLeft w:val="1"/>
                              <w:marRight w:val="1"/>
                              <w:marTop w:val="120"/>
                              <w:marBottom w:val="120"/>
                              <w:divBdr>
                                <w:top w:val="none" w:sz="0" w:space="0" w:color="auto"/>
                                <w:left w:val="none" w:sz="0" w:space="0" w:color="auto"/>
                                <w:bottom w:val="none" w:sz="0" w:space="0" w:color="auto"/>
                                <w:right w:val="none" w:sz="0" w:space="0" w:color="auto"/>
                              </w:divBdr>
                              <w:divsChild>
                                <w:div w:id="1986035610">
                                  <w:marLeft w:val="0"/>
                                  <w:marRight w:val="0"/>
                                  <w:marTop w:val="0"/>
                                  <w:marBottom w:val="0"/>
                                  <w:divBdr>
                                    <w:top w:val="none" w:sz="0" w:space="0" w:color="auto"/>
                                    <w:left w:val="none" w:sz="0" w:space="0" w:color="auto"/>
                                    <w:bottom w:val="none" w:sz="0" w:space="0" w:color="auto"/>
                                    <w:right w:val="none" w:sz="0" w:space="0" w:color="auto"/>
                                  </w:divBdr>
                                  <w:divsChild>
                                    <w:div w:id="7053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28776">
      <w:bodyDiv w:val="1"/>
      <w:marLeft w:val="0"/>
      <w:marRight w:val="0"/>
      <w:marTop w:val="0"/>
      <w:marBottom w:val="0"/>
      <w:divBdr>
        <w:top w:val="none" w:sz="0" w:space="0" w:color="auto"/>
        <w:left w:val="none" w:sz="0" w:space="0" w:color="auto"/>
        <w:bottom w:val="none" w:sz="0" w:space="0" w:color="auto"/>
        <w:right w:val="none" w:sz="0" w:space="0" w:color="auto"/>
      </w:divBdr>
    </w:div>
    <w:div w:id="222714521">
      <w:bodyDiv w:val="1"/>
      <w:marLeft w:val="0"/>
      <w:marRight w:val="0"/>
      <w:marTop w:val="0"/>
      <w:marBottom w:val="0"/>
      <w:divBdr>
        <w:top w:val="none" w:sz="0" w:space="0" w:color="auto"/>
        <w:left w:val="none" w:sz="0" w:space="0" w:color="auto"/>
        <w:bottom w:val="none" w:sz="0" w:space="0" w:color="auto"/>
        <w:right w:val="none" w:sz="0" w:space="0" w:color="auto"/>
      </w:divBdr>
    </w:div>
    <w:div w:id="227112001">
      <w:bodyDiv w:val="1"/>
      <w:marLeft w:val="0"/>
      <w:marRight w:val="0"/>
      <w:marTop w:val="0"/>
      <w:marBottom w:val="0"/>
      <w:divBdr>
        <w:top w:val="none" w:sz="0" w:space="0" w:color="auto"/>
        <w:left w:val="none" w:sz="0" w:space="0" w:color="auto"/>
        <w:bottom w:val="none" w:sz="0" w:space="0" w:color="auto"/>
        <w:right w:val="none" w:sz="0" w:space="0" w:color="auto"/>
      </w:divBdr>
    </w:div>
    <w:div w:id="322196330">
      <w:bodyDiv w:val="1"/>
      <w:marLeft w:val="0"/>
      <w:marRight w:val="0"/>
      <w:marTop w:val="0"/>
      <w:marBottom w:val="0"/>
      <w:divBdr>
        <w:top w:val="none" w:sz="0" w:space="0" w:color="auto"/>
        <w:left w:val="none" w:sz="0" w:space="0" w:color="auto"/>
        <w:bottom w:val="none" w:sz="0" w:space="0" w:color="auto"/>
        <w:right w:val="none" w:sz="0" w:space="0" w:color="auto"/>
      </w:divBdr>
    </w:div>
    <w:div w:id="369382808">
      <w:bodyDiv w:val="1"/>
      <w:marLeft w:val="0"/>
      <w:marRight w:val="0"/>
      <w:marTop w:val="0"/>
      <w:marBottom w:val="0"/>
      <w:divBdr>
        <w:top w:val="none" w:sz="0" w:space="0" w:color="auto"/>
        <w:left w:val="none" w:sz="0" w:space="0" w:color="auto"/>
        <w:bottom w:val="none" w:sz="0" w:space="0" w:color="auto"/>
        <w:right w:val="none" w:sz="0" w:space="0" w:color="auto"/>
      </w:divBdr>
    </w:div>
    <w:div w:id="424739015">
      <w:bodyDiv w:val="1"/>
      <w:marLeft w:val="0"/>
      <w:marRight w:val="0"/>
      <w:marTop w:val="0"/>
      <w:marBottom w:val="0"/>
      <w:divBdr>
        <w:top w:val="none" w:sz="0" w:space="0" w:color="auto"/>
        <w:left w:val="none" w:sz="0" w:space="0" w:color="auto"/>
        <w:bottom w:val="none" w:sz="0" w:space="0" w:color="auto"/>
        <w:right w:val="none" w:sz="0" w:space="0" w:color="auto"/>
      </w:divBdr>
    </w:div>
    <w:div w:id="455294453">
      <w:bodyDiv w:val="1"/>
      <w:marLeft w:val="0"/>
      <w:marRight w:val="0"/>
      <w:marTop w:val="0"/>
      <w:marBottom w:val="0"/>
      <w:divBdr>
        <w:top w:val="none" w:sz="0" w:space="0" w:color="auto"/>
        <w:left w:val="none" w:sz="0" w:space="0" w:color="auto"/>
        <w:bottom w:val="none" w:sz="0" w:space="0" w:color="auto"/>
        <w:right w:val="none" w:sz="0" w:space="0" w:color="auto"/>
      </w:divBdr>
    </w:div>
    <w:div w:id="649286541">
      <w:bodyDiv w:val="1"/>
      <w:marLeft w:val="0"/>
      <w:marRight w:val="0"/>
      <w:marTop w:val="0"/>
      <w:marBottom w:val="0"/>
      <w:divBdr>
        <w:top w:val="none" w:sz="0" w:space="0" w:color="auto"/>
        <w:left w:val="none" w:sz="0" w:space="0" w:color="auto"/>
        <w:bottom w:val="none" w:sz="0" w:space="0" w:color="auto"/>
        <w:right w:val="none" w:sz="0" w:space="0" w:color="auto"/>
      </w:divBdr>
    </w:div>
    <w:div w:id="780683970">
      <w:bodyDiv w:val="1"/>
      <w:marLeft w:val="0"/>
      <w:marRight w:val="0"/>
      <w:marTop w:val="0"/>
      <w:marBottom w:val="0"/>
      <w:divBdr>
        <w:top w:val="none" w:sz="0" w:space="0" w:color="auto"/>
        <w:left w:val="none" w:sz="0" w:space="0" w:color="auto"/>
        <w:bottom w:val="none" w:sz="0" w:space="0" w:color="auto"/>
        <w:right w:val="none" w:sz="0" w:space="0" w:color="auto"/>
      </w:divBdr>
    </w:div>
    <w:div w:id="794563278">
      <w:bodyDiv w:val="1"/>
      <w:marLeft w:val="0"/>
      <w:marRight w:val="0"/>
      <w:marTop w:val="0"/>
      <w:marBottom w:val="0"/>
      <w:divBdr>
        <w:top w:val="none" w:sz="0" w:space="0" w:color="auto"/>
        <w:left w:val="none" w:sz="0" w:space="0" w:color="auto"/>
        <w:bottom w:val="none" w:sz="0" w:space="0" w:color="auto"/>
        <w:right w:val="none" w:sz="0" w:space="0" w:color="auto"/>
      </w:divBdr>
    </w:div>
    <w:div w:id="832448301">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sChild>
        <w:div w:id="623510209">
          <w:marLeft w:val="0"/>
          <w:marRight w:val="0"/>
          <w:marTop w:val="0"/>
          <w:marBottom w:val="0"/>
          <w:divBdr>
            <w:top w:val="none" w:sz="0" w:space="0" w:color="auto"/>
            <w:left w:val="none" w:sz="0" w:space="0" w:color="auto"/>
            <w:bottom w:val="none" w:sz="0" w:space="0" w:color="auto"/>
            <w:right w:val="none" w:sz="0" w:space="0" w:color="auto"/>
          </w:divBdr>
          <w:divsChild>
            <w:div w:id="1182931981">
              <w:marLeft w:val="0"/>
              <w:marRight w:val="0"/>
              <w:marTop w:val="0"/>
              <w:marBottom w:val="0"/>
              <w:divBdr>
                <w:top w:val="none" w:sz="0" w:space="0" w:color="auto"/>
                <w:left w:val="none" w:sz="0" w:space="0" w:color="auto"/>
                <w:bottom w:val="none" w:sz="0" w:space="0" w:color="auto"/>
                <w:right w:val="none" w:sz="0" w:space="0" w:color="auto"/>
              </w:divBdr>
              <w:divsChild>
                <w:div w:id="111171452">
                  <w:marLeft w:val="0"/>
                  <w:marRight w:val="0"/>
                  <w:marTop w:val="0"/>
                  <w:marBottom w:val="0"/>
                  <w:divBdr>
                    <w:top w:val="none" w:sz="0" w:space="0" w:color="auto"/>
                    <w:left w:val="none" w:sz="0" w:space="0" w:color="auto"/>
                    <w:bottom w:val="none" w:sz="0" w:space="0" w:color="auto"/>
                    <w:right w:val="none" w:sz="0" w:space="0" w:color="auto"/>
                  </w:divBdr>
                  <w:divsChild>
                    <w:div w:id="828642095">
                      <w:marLeft w:val="0"/>
                      <w:marRight w:val="0"/>
                      <w:marTop w:val="0"/>
                      <w:marBottom w:val="0"/>
                      <w:divBdr>
                        <w:top w:val="none" w:sz="0" w:space="0" w:color="auto"/>
                        <w:left w:val="none" w:sz="0" w:space="0" w:color="auto"/>
                        <w:bottom w:val="none" w:sz="0" w:space="0" w:color="auto"/>
                        <w:right w:val="none" w:sz="0" w:space="0" w:color="auto"/>
                      </w:divBdr>
                      <w:divsChild>
                        <w:div w:id="524631739">
                          <w:marLeft w:val="0"/>
                          <w:marRight w:val="0"/>
                          <w:marTop w:val="0"/>
                          <w:marBottom w:val="0"/>
                          <w:divBdr>
                            <w:top w:val="none" w:sz="0" w:space="0" w:color="auto"/>
                            <w:left w:val="none" w:sz="0" w:space="0" w:color="auto"/>
                            <w:bottom w:val="none" w:sz="0" w:space="0" w:color="auto"/>
                            <w:right w:val="none" w:sz="0" w:space="0" w:color="auto"/>
                          </w:divBdr>
                          <w:divsChild>
                            <w:div w:id="1322807505">
                              <w:marLeft w:val="1"/>
                              <w:marRight w:val="1"/>
                              <w:marTop w:val="120"/>
                              <w:marBottom w:val="120"/>
                              <w:divBdr>
                                <w:top w:val="none" w:sz="0" w:space="0" w:color="auto"/>
                                <w:left w:val="none" w:sz="0" w:space="0" w:color="auto"/>
                                <w:bottom w:val="none" w:sz="0" w:space="0" w:color="auto"/>
                                <w:right w:val="none" w:sz="0" w:space="0" w:color="auto"/>
                              </w:divBdr>
                              <w:divsChild>
                                <w:div w:id="1953512114">
                                  <w:marLeft w:val="0"/>
                                  <w:marRight w:val="0"/>
                                  <w:marTop w:val="0"/>
                                  <w:marBottom w:val="0"/>
                                  <w:divBdr>
                                    <w:top w:val="none" w:sz="0" w:space="0" w:color="auto"/>
                                    <w:left w:val="none" w:sz="0" w:space="0" w:color="auto"/>
                                    <w:bottom w:val="none" w:sz="0" w:space="0" w:color="auto"/>
                                    <w:right w:val="none" w:sz="0" w:space="0" w:color="auto"/>
                                  </w:divBdr>
                                  <w:divsChild>
                                    <w:div w:id="146099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66801">
      <w:bodyDiv w:val="1"/>
      <w:marLeft w:val="0"/>
      <w:marRight w:val="0"/>
      <w:marTop w:val="0"/>
      <w:marBottom w:val="0"/>
      <w:divBdr>
        <w:top w:val="none" w:sz="0" w:space="0" w:color="auto"/>
        <w:left w:val="none" w:sz="0" w:space="0" w:color="auto"/>
        <w:bottom w:val="none" w:sz="0" w:space="0" w:color="auto"/>
        <w:right w:val="none" w:sz="0" w:space="0" w:color="auto"/>
      </w:divBdr>
    </w:div>
    <w:div w:id="1097211769">
      <w:bodyDiv w:val="1"/>
      <w:marLeft w:val="0"/>
      <w:marRight w:val="0"/>
      <w:marTop w:val="0"/>
      <w:marBottom w:val="0"/>
      <w:divBdr>
        <w:top w:val="none" w:sz="0" w:space="0" w:color="auto"/>
        <w:left w:val="none" w:sz="0" w:space="0" w:color="auto"/>
        <w:bottom w:val="none" w:sz="0" w:space="0" w:color="auto"/>
        <w:right w:val="none" w:sz="0" w:space="0" w:color="auto"/>
      </w:divBdr>
    </w:div>
    <w:div w:id="1097481245">
      <w:bodyDiv w:val="1"/>
      <w:marLeft w:val="0"/>
      <w:marRight w:val="0"/>
      <w:marTop w:val="0"/>
      <w:marBottom w:val="0"/>
      <w:divBdr>
        <w:top w:val="none" w:sz="0" w:space="0" w:color="auto"/>
        <w:left w:val="none" w:sz="0" w:space="0" w:color="auto"/>
        <w:bottom w:val="none" w:sz="0" w:space="0" w:color="auto"/>
        <w:right w:val="none" w:sz="0" w:space="0" w:color="auto"/>
      </w:divBdr>
    </w:div>
    <w:div w:id="1134445336">
      <w:bodyDiv w:val="1"/>
      <w:marLeft w:val="0"/>
      <w:marRight w:val="0"/>
      <w:marTop w:val="0"/>
      <w:marBottom w:val="0"/>
      <w:divBdr>
        <w:top w:val="none" w:sz="0" w:space="0" w:color="auto"/>
        <w:left w:val="none" w:sz="0" w:space="0" w:color="auto"/>
        <w:bottom w:val="none" w:sz="0" w:space="0" w:color="auto"/>
        <w:right w:val="none" w:sz="0" w:space="0" w:color="auto"/>
      </w:divBdr>
    </w:div>
    <w:div w:id="1148090001">
      <w:bodyDiv w:val="1"/>
      <w:marLeft w:val="0"/>
      <w:marRight w:val="0"/>
      <w:marTop w:val="0"/>
      <w:marBottom w:val="0"/>
      <w:divBdr>
        <w:top w:val="none" w:sz="0" w:space="0" w:color="auto"/>
        <w:left w:val="none" w:sz="0" w:space="0" w:color="auto"/>
        <w:bottom w:val="none" w:sz="0" w:space="0" w:color="auto"/>
        <w:right w:val="none" w:sz="0" w:space="0" w:color="auto"/>
      </w:divBdr>
    </w:div>
    <w:div w:id="1277953413">
      <w:bodyDiv w:val="1"/>
      <w:marLeft w:val="0"/>
      <w:marRight w:val="0"/>
      <w:marTop w:val="0"/>
      <w:marBottom w:val="0"/>
      <w:divBdr>
        <w:top w:val="none" w:sz="0" w:space="0" w:color="auto"/>
        <w:left w:val="none" w:sz="0" w:space="0" w:color="auto"/>
        <w:bottom w:val="none" w:sz="0" w:space="0" w:color="auto"/>
        <w:right w:val="none" w:sz="0" w:space="0" w:color="auto"/>
      </w:divBdr>
    </w:div>
    <w:div w:id="1354839466">
      <w:bodyDiv w:val="1"/>
      <w:marLeft w:val="0"/>
      <w:marRight w:val="0"/>
      <w:marTop w:val="0"/>
      <w:marBottom w:val="0"/>
      <w:divBdr>
        <w:top w:val="none" w:sz="0" w:space="0" w:color="auto"/>
        <w:left w:val="none" w:sz="0" w:space="0" w:color="auto"/>
        <w:bottom w:val="none" w:sz="0" w:space="0" w:color="auto"/>
        <w:right w:val="none" w:sz="0" w:space="0" w:color="auto"/>
      </w:divBdr>
    </w:div>
    <w:div w:id="1543858839">
      <w:bodyDiv w:val="1"/>
      <w:marLeft w:val="0"/>
      <w:marRight w:val="0"/>
      <w:marTop w:val="0"/>
      <w:marBottom w:val="0"/>
      <w:divBdr>
        <w:top w:val="none" w:sz="0" w:space="0" w:color="auto"/>
        <w:left w:val="none" w:sz="0" w:space="0" w:color="auto"/>
        <w:bottom w:val="none" w:sz="0" w:space="0" w:color="auto"/>
        <w:right w:val="none" w:sz="0" w:space="0" w:color="auto"/>
      </w:divBdr>
    </w:div>
    <w:div w:id="1621300969">
      <w:bodyDiv w:val="1"/>
      <w:marLeft w:val="0"/>
      <w:marRight w:val="0"/>
      <w:marTop w:val="0"/>
      <w:marBottom w:val="0"/>
      <w:divBdr>
        <w:top w:val="none" w:sz="0" w:space="0" w:color="auto"/>
        <w:left w:val="none" w:sz="0" w:space="0" w:color="auto"/>
        <w:bottom w:val="none" w:sz="0" w:space="0" w:color="auto"/>
        <w:right w:val="none" w:sz="0" w:space="0" w:color="auto"/>
      </w:divBdr>
    </w:div>
    <w:div w:id="1639140895">
      <w:bodyDiv w:val="1"/>
      <w:marLeft w:val="0"/>
      <w:marRight w:val="0"/>
      <w:marTop w:val="0"/>
      <w:marBottom w:val="0"/>
      <w:divBdr>
        <w:top w:val="none" w:sz="0" w:space="0" w:color="auto"/>
        <w:left w:val="none" w:sz="0" w:space="0" w:color="auto"/>
        <w:bottom w:val="none" w:sz="0" w:space="0" w:color="auto"/>
        <w:right w:val="none" w:sz="0" w:space="0" w:color="auto"/>
      </w:divBdr>
    </w:div>
    <w:div w:id="1857847289">
      <w:bodyDiv w:val="1"/>
      <w:marLeft w:val="0"/>
      <w:marRight w:val="0"/>
      <w:marTop w:val="0"/>
      <w:marBottom w:val="0"/>
      <w:divBdr>
        <w:top w:val="none" w:sz="0" w:space="0" w:color="auto"/>
        <w:left w:val="none" w:sz="0" w:space="0" w:color="auto"/>
        <w:bottom w:val="none" w:sz="0" w:space="0" w:color="auto"/>
        <w:right w:val="none" w:sz="0" w:space="0" w:color="auto"/>
      </w:divBdr>
    </w:div>
    <w:div w:id="1940943262">
      <w:bodyDiv w:val="1"/>
      <w:marLeft w:val="0"/>
      <w:marRight w:val="0"/>
      <w:marTop w:val="0"/>
      <w:marBottom w:val="0"/>
      <w:divBdr>
        <w:top w:val="none" w:sz="0" w:space="0" w:color="auto"/>
        <w:left w:val="none" w:sz="0" w:space="0" w:color="auto"/>
        <w:bottom w:val="none" w:sz="0" w:space="0" w:color="auto"/>
        <w:right w:val="none" w:sz="0" w:space="0" w:color="auto"/>
      </w:divBdr>
      <w:divsChild>
        <w:div w:id="1587422300">
          <w:marLeft w:val="0"/>
          <w:marRight w:val="0"/>
          <w:marTop w:val="0"/>
          <w:marBottom w:val="0"/>
          <w:divBdr>
            <w:top w:val="none" w:sz="0" w:space="0" w:color="auto"/>
            <w:left w:val="none" w:sz="0" w:space="0" w:color="auto"/>
            <w:bottom w:val="none" w:sz="0" w:space="0" w:color="auto"/>
            <w:right w:val="none" w:sz="0" w:space="0" w:color="auto"/>
          </w:divBdr>
          <w:divsChild>
            <w:div w:id="1143933828">
              <w:marLeft w:val="0"/>
              <w:marRight w:val="0"/>
              <w:marTop w:val="0"/>
              <w:marBottom w:val="0"/>
              <w:divBdr>
                <w:top w:val="none" w:sz="0" w:space="0" w:color="auto"/>
                <w:left w:val="none" w:sz="0" w:space="0" w:color="auto"/>
                <w:bottom w:val="none" w:sz="0" w:space="0" w:color="auto"/>
                <w:right w:val="none" w:sz="0" w:space="0" w:color="auto"/>
              </w:divBdr>
              <w:divsChild>
                <w:div w:id="531766102">
                  <w:marLeft w:val="0"/>
                  <w:marRight w:val="0"/>
                  <w:marTop w:val="0"/>
                  <w:marBottom w:val="0"/>
                  <w:divBdr>
                    <w:top w:val="none" w:sz="0" w:space="0" w:color="auto"/>
                    <w:left w:val="none" w:sz="0" w:space="0" w:color="auto"/>
                    <w:bottom w:val="none" w:sz="0" w:space="0" w:color="auto"/>
                    <w:right w:val="none" w:sz="0" w:space="0" w:color="auto"/>
                  </w:divBdr>
                  <w:divsChild>
                    <w:div w:id="1408190977">
                      <w:marLeft w:val="0"/>
                      <w:marRight w:val="0"/>
                      <w:marTop w:val="0"/>
                      <w:marBottom w:val="0"/>
                      <w:divBdr>
                        <w:top w:val="none" w:sz="0" w:space="0" w:color="auto"/>
                        <w:left w:val="none" w:sz="0" w:space="0" w:color="auto"/>
                        <w:bottom w:val="none" w:sz="0" w:space="0" w:color="auto"/>
                        <w:right w:val="none" w:sz="0" w:space="0" w:color="auto"/>
                      </w:divBdr>
                      <w:divsChild>
                        <w:div w:id="1064259255">
                          <w:marLeft w:val="0"/>
                          <w:marRight w:val="0"/>
                          <w:marTop w:val="0"/>
                          <w:marBottom w:val="0"/>
                          <w:divBdr>
                            <w:top w:val="none" w:sz="0" w:space="0" w:color="auto"/>
                            <w:left w:val="none" w:sz="0" w:space="0" w:color="auto"/>
                            <w:bottom w:val="none" w:sz="0" w:space="0" w:color="auto"/>
                            <w:right w:val="none" w:sz="0" w:space="0" w:color="auto"/>
                          </w:divBdr>
                          <w:divsChild>
                            <w:div w:id="391849421">
                              <w:marLeft w:val="1"/>
                              <w:marRight w:val="1"/>
                              <w:marTop w:val="120"/>
                              <w:marBottom w:val="120"/>
                              <w:divBdr>
                                <w:top w:val="none" w:sz="0" w:space="0" w:color="auto"/>
                                <w:left w:val="none" w:sz="0" w:space="0" w:color="auto"/>
                                <w:bottom w:val="none" w:sz="0" w:space="0" w:color="auto"/>
                                <w:right w:val="none" w:sz="0" w:space="0" w:color="auto"/>
                              </w:divBdr>
                              <w:divsChild>
                                <w:div w:id="132724570">
                                  <w:marLeft w:val="0"/>
                                  <w:marRight w:val="0"/>
                                  <w:marTop w:val="0"/>
                                  <w:marBottom w:val="0"/>
                                  <w:divBdr>
                                    <w:top w:val="none" w:sz="0" w:space="0" w:color="auto"/>
                                    <w:left w:val="none" w:sz="0" w:space="0" w:color="auto"/>
                                    <w:bottom w:val="none" w:sz="0" w:space="0" w:color="auto"/>
                                    <w:right w:val="none" w:sz="0" w:space="0" w:color="auto"/>
                                  </w:divBdr>
                                  <w:divsChild>
                                    <w:div w:id="6277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22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aw.cornell.edu/uscode/8/1401.html" TargetMode="External"/><Relationship Id="rId18" Type="http://schemas.openxmlformats.org/officeDocument/2006/relationships/hyperlink" Target="http://intranet.ca.state.gov/@res/documents/rx/caselaw/AFROYIM%20v%20Rusk.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law.cornell.edu/uscode/8/1481.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aw.cornell.edu/uscode/8/1101.html" TargetMode="External"/><Relationship Id="rId20" Type="http://schemas.openxmlformats.org/officeDocument/2006/relationships/hyperlink" Target="https://www.fedex.com/en-us/shipping/international.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law.cornell.edu/uscode/8/1408.html"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intranet.ca.state.gov/@res/documents/rx/caselaw/Vance%20v.%20Terrazas.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aw.cornell.edu/uscode/8/1421.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50B0E4A47DDB3E48914821D9DEB84CC1" ma:contentTypeVersion="17" ma:contentTypeDescription="" ma:contentTypeScope="" ma:versionID="4ef32a80efc92044a885159d50568790">
  <xsd:schema xmlns:xsd="http://www.w3.org/2001/XMLSchema" xmlns:xs="http://www.w3.org/2001/XMLSchema" xmlns:p="http://schemas.microsoft.com/office/2006/metadata/properties" xmlns:ns2="c60a6009-aa1a-461d-a537-351556f0a008" xmlns:ns3="d803ee45-29b2-4c7e-8857-b12257890a35" xmlns:ns4="4122b023-50f0-4a27-ad7c-51b7c9325289" targetNamespace="http://schemas.microsoft.com/office/2006/metadata/properties" ma:root="true" ma:fieldsID="1a494362a838d75618126969235d59d2" ns2:_="" ns3:_="" ns4:_="">
    <xsd:import namespace="c60a6009-aa1a-461d-a537-351556f0a008"/>
    <xsd:import namespace="d803ee45-29b2-4c7e-8857-b12257890a35"/>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4:HideFromDelve"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d803ee45-29b2-4c7e-8857-b12257890a3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6" nillable="true" ma:displayName="HideFromDelve" ma:default="1" ma:description="Hides column from Delve." ma:internalName="HideFromDelv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skerTitle xmlns="c60a6009-aa1a-461d-a537-351556f0a008" xsi:nil="true"/>
    <TaskerStatus xmlns="c60a6009-aa1a-461d-a537-351556f0a008">Outstanding</TaskerStatus>
    <TaskerID xmlns="c60a6009-aa1a-461d-a537-351556f0a008">OCS1066-19</TaskerID>
    <HideFromDelve xmlns="4122b023-50f0-4a27-ad7c-51b7c9325289">true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1FF3A-F381-4A97-848E-E6F8A6359E69}">
  <ds:schemaRefs>
    <ds:schemaRef ds:uri="http://schemas.microsoft.com/sharepoint/events"/>
    <ds:schemaRef ds:uri=""/>
  </ds:schemaRefs>
</ds:datastoreItem>
</file>

<file path=customXml/itemProps2.xml><?xml version="1.0" encoding="utf-8"?>
<ds:datastoreItem xmlns:ds="http://schemas.openxmlformats.org/officeDocument/2006/customXml" ds:itemID="{7EEBA5B2-956B-46C7-856A-CD6BFF01E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d803ee45-29b2-4c7e-8857-b12257890a35"/>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C3CF0-4B1F-44D5-9120-E1B4E14548F3}">
  <ds:schemaRefs>
    <ds:schemaRef ds:uri="http://schemas.microsoft.com/office/2006/metadata/longProperties"/>
  </ds:schemaRefs>
</ds:datastoreItem>
</file>

<file path=customXml/itemProps4.xml><?xml version="1.0" encoding="utf-8"?>
<ds:datastoreItem xmlns:ds="http://schemas.openxmlformats.org/officeDocument/2006/customXml" ds:itemID="{541A0572-7602-4FA4-BD04-87D786176C18}">
  <ds:schemaRefs>
    <ds:schemaRef ds:uri="http://purl.org/dc/dcmitype/"/>
    <ds:schemaRef ds:uri="http://www.w3.org/XML/1998/namespace"/>
    <ds:schemaRef ds:uri="c60a6009-aa1a-461d-a537-351556f0a008"/>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4122b023-50f0-4a27-ad7c-51b7c9325289"/>
    <ds:schemaRef ds:uri="d803ee45-29b2-4c7e-8857-b12257890a35"/>
    <ds:schemaRef ds:uri="http://purl.org/dc/terms/"/>
  </ds:schemaRefs>
</ds:datastoreItem>
</file>

<file path=customXml/itemProps5.xml><?xml version="1.0" encoding="utf-8"?>
<ds:datastoreItem xmlns:ds="http://schemas.openxmlformats.org/officeDocument/2006/customXml" ds:itemID="{AA4B8E01-86C2-4ECD-B6DE-3BB6126E531B}">
  <ds:schemaRefs>
    <ds:schemaRef ds:uri="http://schemas.microsoft.com/sharepoint/v3/contenttype/forms"/>
  </ds:schemaRefs>
</ds:datastoreItem>
</file>

<file path=customXml/itemProps6.xml><?xml version="1.0" encoding="utf-8"?>
<ds:datastoreItem xmlns:ds="http://schemas.openxmlformats.org/officeDocument/2006/customXml" ds:itemID="{4464E4DD-22BF-4DB2-A932-8DF2CF2D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3132</Words>
  <Characters>17564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PRA Supp Statement</vt:lpstr>
    </vt:vector>
  </TitlesOfParts>
  <Company>Dept of State</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 Statement</dc:title>
  <dc:subject/>
  <dc:creator>Shaw, Kaye M</dc:creator>
  <cp:keywords/>
  <cp:lastModifiedBy>Watkins, Pamela K</cp:lastModifiedBy>
  <cp:revision>5</cp:revision>
  <cp:lastPrinted>2014-02-27T14:44:00Z</cp:lastPrinted>
  <dcterms:created xsi:type="dcterms:W3CDTF">2020-05-05T14:43:00Z</dcterms:created>
  <dcterms:modified xsi:type="dcterms:W3CDTF">2020-06-10T16:35:00Z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7SQV2MQ46D4J-708-1025</vt:lpwstr>
  </property>
  <property fmtid="{D5CDD505-2E9C-101B-9397-08002B2CF9AE}" pid="3" name="_dlc_DocIdItemGuid">
    <vt:lpwstr>32f55d10-2a4a-42e8-8492-f8012de3fe12</vt:lpwstr>
  </property>
  <property fmtid="{D5CDD505-2E9C-101B-9397-08002B2CF9AE}" pid="4" name="_dlc_DocIdUrl">
    <vt:lpwstr>http://ca.m.state.sbu/sites/OCS/P/_layouts/DocIdRedir.aspx?ID=7SQV2MQ46D4J-708-1025, 7SQV2MQ46D4J-708-1025</vt:lpwstr>
  </property>
  <property fmtid="{D5CDD505-2E9C-101B-9397-08002B2CF9AE}" pid="5" name="MSIP_Label_1665d9ee-429a-4d5f-97cc-cfb56e044a6e_Enabled">
    <vt:lpwstr>True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Owner">
    <vt:lpwstr>WatkinsPK@state.gov</vt:lpwstr>
  </property>
  <property fmtid="{D5CDD505-2E9C-101B-9397-08002B2CF9AE}" pid="8" name="MSIP_Label_1665d9ee-429a-4d5f-97cc-cfb56e044a6e_SetDate">
    <vt:lpwstr>2019-10-09T14:33:07.1200032Z</vt:lpwstr>
  </property>
  <property fmtid="{D5CDD505-2E9C-101B-9397-08002B2CF9AE}" pid="9" name="MSIP_Label_1665d9ee-429a-4d5f-97cc-cfb56e044a6e_Name">
    <vt:lpwstr>Unclassified</vt:lpwstr>
  </property>
  <property fmtid="{D5CDD505-2E9C-101B-9397-08002B2CF9AE}" pid="10" name="MSIP_Label_1665d9ee-429a-4d5f-97cc-cfb56e044a6e_Application">
    <vt:lpwstr>Microsoft Azure Information Protection</vt:lpwstr>
  </property>
  <property fmtid="{D5CDD505-2E9C-101B-9397-08002B2CF9AE}" pid="11" name="MSIP_Label_1665d9ee-429a-4d5f-97cc-cfb56e044a6e_ActionId">
    <vt:lpwstr>0a0581e2-ddcb-4a67-b6f4-3dc95628237e</vt:lpwstr>
  </property>
  <property fmtid="{D5CDD505-2E9C-101B-9397-08002B2CF9AE}" pid="12" name="MSIP_Label_1665d9ee-429a-4d5f-97cc-cfb56e044a6e_Extended_MSFT_Method">
    <vt:lpwstr>Manual</vt:lpwstr>
  </property>
  <property fmtid="{D5CDD505-2E9C-101B-9397-08002B2CF9AE}" pid="13" name="Sensitivity">
    <vt:lpwstr>Unclassified</vt:lpwstr>
  </property>
</Properties>
</file>