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27E" w:rsidRDefault="0042327E">
      <w:pPr>
        <w:tabs>
          <w:tab w:val="center" w:pos="4680"/>
        </w:tabs>
        <w:rPr>
          <w:rFonts w:ascii="Times New Roman" w:hAnsi="Times New Roman"/>
          <w:b/>
          <w:bCs/>
        </w:rPr>
      </w:pPr>
      <w:r w:rsidRPr="00F820CF">
        <w:rPr>
          <w:rFonts w:ascii="Times New Roman" w:hAnsi="Times New Roman"/>
          <w:b/>
          <w:bCs/>
        </w:rPr>
        <w:tab/>
        <w:t>SUPPORTING STATEMENT</w:t>
      </w:r>
    </w:p>
    <w:p w:rsidR="00AD0A90" w:rsidP="005D3633" w:rsidRDefault="00AD0A90">
      <w:pPr>
        <w:tabs>
          <w:tab w:val="center" w:pos="4680"/>
        </w:tabs>
        <w:jc w:val="center"/>
        <w:rPr>
          <w:rFonts w:ascii="Times New Roman" w:hAnsi="Times New Roman"/>
          <w:bCs/>
        </w:rPr>
      </w:pPr>
      <w:r w:rsidRPr="00AD0A90">
        <w:rPr>
          <w:rFonts w:ascii="Times New Roman" w:hAnsi="Times New Roman"/>
          <w:bCs/>
        </w:rPr>
        <w:t>Internal Revenue Service</w:t>
      </w:r>
    </w:p>
    <w:p w:rsidR="005D3633" w:rsidP="005D3633" w:rsidRDefault="005D3633">
      <w:pPr>
        <w:tabs>
          <w:tab w:val="center" w:pos="4680"/>
        </w:tabs>
        <w:jc w:val="center"/>
        <w:rPr>
          <w:rFonts w:ascii="Times New Roman" w:hAnsi="Times New Roman"/>
          <w:bCs/>
        </w:rPr>
      </w:pPr>
      <w:r w:rsidRPr="005D3633">
        <w:rPr>
          <w:rFonts w:ascii="Times New Roman" w:hAnsi="Times New Roman"/>
          <w:bCs/>
        </w:rPr>
        <w:t xml:space="preserve">Application for Extension of Time </w:t>
      </w:r>
      <w:r>
        <w:rPr>
          <w:rFonts w:ascii="Times New Roman" w:hAnsi="Times New Roman"/>
          <w:bCs/>
        </w:rPr>
        <w:t>t</w:t>
      </w:r>
      <w:r w:rsidRPr="005D3633">
        <w:rPr>
          <w:rFonts w:ascii="Times New Roman" w:hAnsi="Times New Roman"/>
          <w:bCs/>
        </w:rPr>
        <w:t>o File Information Returns</w:t>
      </w:r>
    </w:p>
    <w:p w:rsidRPr="00F820CF" w:rsidR="0042327E" w:rsidP="005D3633" w:rsidRDefault="0067075A">
      <w:pPr>
        <w:tabs>
          <w:tab w:val="center" w:pos="4680"/>
        </w:tabs>
        <w:jc w:val="center"/>
        <w:rPr>
          <w:rFonts w:ascii="Times New Roman" w:hAnsi="Times New Roman"/>
          <w:b/>
          <w:bCs/>
        </w:rPr>
      </w:pPr>
      <w:r w:rsidRPr="00BC6ED7">
        <w:rPr>
          <w:rFonts w:ascii="Times New Roman" w:hAnsi="Times New Roman"/>
          <w:bCs/>
        </w:rPr>
        <w:t>OMB #</w:t>
      </w:r>
      <w:r w:rsidRPr="00F820CF">
        <w:rPr>
          <w:rFonts w:ascii="Times New Roman" w:hAnsi="Times New Roman"/>
          <w:b/>
          <w:bCs/>
        </w:rPr>
        <w:t xml:space="preserve"> 1545-</w:t>
      </w:r>
      <w:r w:rsidR="005D3633">
        <w:rPr>
          <w:rFonts w:ascii="Times New Roman" w:hAnsi="Times New Roman"/>
          <w:b/>
          <w:bCs/>
        </w:rPr>
        <w:t>1081</w:t>
      </w:r>
      <w:bookmarkStart w:name="_GoBack" w:id="0"/>
      <w:bookmarkEnd w:id="0"/>
    </w:p>
    <w:p w:rsidRPr="00F820CF" w:rsidR="0042327E" w:rsidRDefault="0042327E">
      <w:pPr>
        <w:rPr>
          <w:rFonts w:ascii="Times New Roman" w:hAnsi="Times New Roman"/>
          <w:b/>
          <w:bCs/>
        </w:rPr>
      </w:pPr>
    </w:p>
    <w:p w:rsidRPr="00F820CF" w:rsidR="0042327E"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CIRCUMSTANCES NECESSITATING COLLECTION OF INFORMATION</w:t>
      </w:r>
    </w:p>
    <w:p w:rsidRPr="00F820CF" w:rsidR="0042327E" w:rsidRDefault="0042327E">
      <w:pPr>
        <w:rPr>
          <w:rFonts w:ascii="Times New Roman" w:hAnsi="Times New Roman"/>
        </w:rPr>
      </w:pPr>
    </w:p>
    <w:p w:rsidRPr="00F820CF" w:rsidR="0042327E" w:rsidRDefault="005D3633">
      <w:pPr>
        <w:ind w:left="720"/>
        <w:rPr>
          <w:rFonts w:ascii="Times New Roman" w:hAnsi="Times New Roman"/>
        </w:rPr>
      </w:pPr>
      <w:r w:rsidRPr="005D3633">
        <w:rPr>
          <w:rFonts w:ascii="Times New Roman" w:hAnsi="Times New Roman"/>
        </w:rPr>
        <w:t xml:space="preserve">Internal Revenue Code </w:t>
      </w:r>
      <w:r w:rsidR="00DB54FF">
        <w:rPr>
          <w:rFonts w:ascii="Times New Roman" w:hAnsi="Times New Roman"/>
        </w:rPr>
        <w:t>Section</w:t>
      </w:r>
      <w:r w:rsidRPr="005D3633">
        <w:rPr>
          <w:rFonts w:ascii="Times New Roman" w:hAnsi="Times New Roman"/>
        </w:rPr>
        <w:t xml:space="preserve"> 6081 allows filers to file an extension of time to file.  Treasury Regulation 1.6081-8 specifies that Forms W-2, W-2G, 1042-S, 1094-C, 1095, 1097, 1098, 1099, 3921, 3922, 5498, and 8027 can use Form 8809 to request the extension.  Certain required information must be provided before IRS can evaluate the request.  The form guarantees that complete information is submitted.  IRS will review the information contained on the form to determine whether an extension should be permitted</w:t>
      </w:r>
      <w:r w:rsidRPr="00F820CF" w:rsidR="0042327E">
        <w:rPr>
          <w:rFonts w:ascii="Times New Roman" w:hAnsi="Times New Roman"/>
        </w:rPr>
        <w:t>.</w:t>
      </w:r>
    </w:p>
    <w:p w:rsidRPr="00F820CF" w:rsidR="0042327E" w:rsidRDefault="0042327E">
      <w:pPr>
        <w:rPr>
          <w:rFonts w:ascii="Times New Roman" w:hAnsi="Times New Roman"/>
        </w:rPr>
      </w:pPr>
      <w:r w:rsidRPr="00F820CF">
        <w:rPr>
          <w:rFonts w:ascii="Times New Roman" w:hAnsi="Times New Roman"/>
        </w:rPr>
        <w:t xml:space="preserve">     </w:t>
      </w:r>
    </w:p>
    <w:p w:rsidRPr="00F820CF" w:rsidR="0042327E"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DATA</w:t>
      </w:r>
      <w:r w:rsidRPr="00F820CF">
        <w:rPr>
          <w:rFonts w:ascii="Times New Roman" w:hAnsi="Times New Roman"/>
        </w:rPr>
        <w:t xml:space="preserve">              </w:t>
      </w:r>
    </w:p>
    <w:p w:rsidRPr="00F820CF" w:rsidR="0042327E" w:rsidRDefault="0042327E">
      <w:pPr>
        <w:rPr>
          <w:rFonts w:ascii="Times New Roman" w:hAnsi="Times New Roman"/>
        </w:rPr>
      </w:pPr>
    </w:p>
    <w:p w:rsidRPr="00F820CF" w:rsidR="0042327E" w:rsidRDefault="005D3633">
      <w:pPr>
        <w:ind w:left="720"/>
        <w:rPr>
          <w:rFonts w:ascii="Times New Roman" w:hAnsi="Times New Roman"/>
        </w:rPr>
      </w:pPr>
      <w:r w:rsidRPr="005D3633">
        <w:rPr>
          <w:rFonts w:ascii="Times New Roman" w:hAnsi="Times New Roman"/>
        </w:rPr>
        <w:t>The requirements that Treasury Regulation 1.6081-8 place on the filers allows the IRS to examine the information submitted to determine whether the filer should be given the extension of time to file the information returns</w:t>
      </w:r>
      <w:r w:rsidRPr="00F820CF" w:rsidR="0042327E">
        <w:rPr>
          <w:rFonts w:ascii="Times New Roman" w:hAnsi="Times New Roman"/>
        </w:rPr>
        <w:t>.</w:t>
      </w:r>
    </w:p>
    <w:p w:rsidRPr="00F820CF" w:rsidR="0042327E" w:rsidRDefault="0042327E">
      <w:pPr>
        <w:rPr>
          <w:rFonts w:ascii="Times New Roman" w:hAnsi="Times New Roman"/>
        </w:rPr>
      </w:pPr>
      <w:r w:rsidRPr="00F820CF">
        <w:rPr>
          <w:rFonts w:ascii="Times New Roman" w:hAnsi="Times New Roman"/>
        </w:rPr>
        <w:t xml:space="preserve">               </w:t>
      </w:r>
    </w:p>
    <w:p w:rsidRPr="00F820CF" w:rsidR="0042327E"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USE OF IMPROVED INFORMATION TECHNOLOGY TO REDUCE BURDEN</w:t>
      </w:r>
    </w:p>
    <w:p w:rsidRPr="00F820CF" w:rsidR="0042327E" w:rsidRDefault="0042327E">
      <w:pPr>
        <w:rPr>
          <w:rFonts w:ascii="Times New Roman" w:hAnsi="Times New Roman"/>
        </w:rPr>
      </w:pPr>
    </w:p>
    <w:p w:rsidRPr="006D7970" w:rsidR="006D7970" w:rsidP="006D7970" w:rsidRDefault="006D7970">
      <w:pPr>
        <w:ind w:left="720"/>
        <w:rPr>
          <w:rFonts w:ascii="Times New Roman" w:hAnsi="Times New Roman"/>
        </w:rPr>
      </w:pPr>
      <w:r w:rsidRPr="006D7970">
        <w:rPr>
          <w:rFonts w:ascii="Times New Roman" w:hAnsi="Times New Roman"/>
        </w:rPr>
        <w:t>Extensions may be requested:</w:t>
      </w:r>
    </w:p>
    <w:p w:rsidRPr="006D7970" w:rsidR="006D7970" w:rsidP="006D7970" w:rsidRDefault="006D7970">
      <w:pPr>
        <w:ind w:left="720" w:firstLine="720"/>
        <w:rPr>
          <w:rFonts w:ascii="Times New Roman" w:hAnsi="Times New Roman"/>
        </w:rPr>
      </w:pPr>
      <w:r w:rsidRPr="006D7970">
        <w:rPr>
          <w:rFonts w:ascii="Times New Roman" w:hAnsi="Times New Roman"/>
        </w:rPr>
        <w:t xml:space="preserve">• Online by completing a fill-in Form 8809 through the FIRE System at </w:t>
      </w:r>
      <w:hyperlink w:history="1" r:id="rId7">
        <w:r w:rsidRPr="00D4202A">
          <w:rPr>
            <w:rStyle w:val="Hyperlink"/>
            <w:rFonts w:ascii="Times New Roman" w:hAnsi="Times New Roman"/>
          </w:rPr>
          <w:t>https://fire.irs.gov</w:t>
        </w:r>
      </w:hyperlink>
      <w:r>
        <w:rPr>
          <w:rFonts w:ascii="Times New Roman" w:hAnsi="Times New Roman"/>
        </w:rPr>
        <w:t xml:space="preserve"> </w:t>
      </w:r>
      <w:r w:rsidRPr="006D7970">
        <w:rPr>
          <w:rFonts w:ascii="Times New Roman" w:hAnsi="Times New Roman"/>
        </w:rPr>
        <w:t>for an automatic 30-day extension (not available for Form W-2, 1099-MISC reporting NEC, 1099-QA, 5498-QA, or additional 30-day extension requests for all form types listed in box 6). Acknowledgements are automatically displayed online if the request is</w:t>
      </w:r>
      <w:r>
        <w:rPr>
          <w:rFonts w:ascii="Times New Roman" w:hAnsi="Times New Roman"/>
        </w:rPr>
        <w:t xml:space="preserve"> </w:t>
      </w:r>
      <w:r w:rsidRPr="006D7970">
        <w:rPr>
          <w:rFonts w:ascii="Times New Roman" w:hAnsi="Times New Roman"/>
        </w:rPr>
        <w:t xml:space="preserve">made by the due date of the return. </w:t>
      </w:r>
      <w:r w:rsidRPr="006D7970">
        <w:rPr>
          <w:rFonts w:ascii="Times New Roman" w:hAnsi="Times New Roman"/>
          <w:b/>
        </w:rPr>
        <w:t>Note</w:t>
      </w:r>
      <w:r w:rsidRPr="006D7970">
        <w:rPr>
          <w:rFonts w:ascii="Times New Roman" w:hAnsi="Times New Roman"/>
        </w:rPr>
        <w:t>: A list that contains names and TINs cannot be attached to the fill-in Form 8809.</w:t>
      </w:r>
    </w:p>
    <w:p w:rsidRPr="006D7970" w:rsidR="006D7970" w:rsidP="006D7970" w:rsidRDefault="006D7970">
      <w:pPr>
        <w:ind w:left="720" w:firstLine="720"/>
        <w:rPr>
          <w:rFonts w:ascii="Times New Roman" w:hAnsi="Times New Roman"/>
        </w:rPr>
      </w:pPr>
      <w:r w:rsidRPr="006D7970">
        <w:rPr>
          <w:rFonts w:ascii="Times New Roman" w:hAnsi="Times New Roman"/>
        </w:rPr>
        <w:t>• Electronically through the FIRE System in a file formatted according to the specifications in Pub. 1220.</w:t>
      </w:r>
    </w:p>
    <w:p w:rsidRPr="006D7970" w:rsidR="006D7970" w:rsidP="006D7970" w:rsidRDefault="006D7970">
      <w:pPr>
        <w:ind w:left="720" w:firstLine="720"/>
        <w:rPr>
          <w:rFonts w:ascii="Times New Roman" w:hAnsi="Times New Roman"/>
        </w:rPr>
      </w:pPr>
      <w:r w:rsidRPr="006D7970">
        <w:rPr>
          <w:rFonts w:ascii="Times New Roman" w:hAnsi="Times New Roman"/>
        </w:rPr>
        <w:t xml:space="preserve">• On paper Form 8809. Mail the form to the address shown in Where to file, </w:t>
      </w:r>
      <w:r>
        <w:rPr>
          <w:rFonts w:ascii="Times New Roman" w:hAnsi="Times New Roman"/>
        </w:rPr>
        <w:t>in the instructions</w:t>
      </w:r>
      <w:r w:rsidRPr="006D7970">
        <w:rPr>
          <w:rFonts w:ascii="Times New Roman" w:hAnsi="Times New Roman"/>
        </w:rPr>
        <w:t xml:space="preserve">. </w:t>
      </w:r>
      <w:r>
        <w:rPr>
          <w:rFonts w:ascii="Times New Roman" w:hAnsi="Times New Roman"/>
        </w:rPr>
        <w:t xml:space="preserve">It is </w:t>
      </w:r>
      <w:r w:rsidRPr="006D7970">
        <w:rPr>
          <w:rFonts w:ascii="Times New Roman" w:hAnsi="Times New Roman"/>
        </w:rPr>
        <w:t xml:space="preserve">encouraged to submit </w:t>
      </w:r>
      <w:r>
        <w:rPr>
          <w:rFonts w:ascii="Times New Roman" w:hAnsi="Times New Roman"/>
        </w:rPr>
        <w:t>r</w:t>
      </w:r>
      <w:r w:rsidRPr="006D7970">
        <w:rPr>
          <w:rFonts w:ascii="Times New Roman" w:hAnsi="Times New Roman"/>
        </w:rPr>
        <w:t>equests electronically.</w:t>
      </w:r>
    </w:p>
    <w:p w:rsidRPr="00F820CF" w:rsidR="0042327E" w:rsidRDefault="0042327E">
      <w:pPr>
        <w:ind w:firstLine="720"/>
        <w:rPr>
          <w:rFonts w:ascii="Times New Roman" w:hAnsi="Times New Roman"/>
        </w:rPr>
      </w:pPr>
    </w:p>
    <w:p w:rsidRPr="00F820CF" w:rsidR="0042327E" w:rsidRDefault="0042327E">
      <w:pPr>
        <w:pStyle w:val="Level1"/>
        <w:numPr>
          <w:ilvl w:val="0"/>
          <w:numId w:val="1"/>
        </w:numPr>
        <w:tabs>
          <w:tab w:val="left" w:pos="-1440"/>
          <w:tab w:val="num" w:pos="720"/>
        </w:tabs>
        <w:rPr>
          <w:rFonts w:ascii="Times New Roman" w:hAnsi="Times New Roman"/>
        </w:rPr>
      </w:pPr>
      <w:r w:rsidRPr="00F820CF">
        <w:rPr>
          <w:rFonts w:ascii="Times New Roman" w:hAnsi="Times New Roman"/>
          <w:u w:val="single"/>
        </w:rPr>
        <w:t>EFFORTS TO IDENTIFY DUPLICATION</w:t>
      </w:r>
    </w:p>
    <w:p w:rsidRPr="00F820CF" w:rsidR="0042327E" w:rsidRDefault="0042327E">
      <w:pPr>
        <w:rPr>
          <w:rFonts w:ascii="Times New Roman" w:hAnsi="Times New Roman"/>
        </w:rPr>
      </w:pPr>
    </w:p>
    <w:p w:rsidRPr="00F820CF" w:rsidR="00CF6A91" w:rsidRDefault="0042327E">
      <w:pPr>
        <w:ind w:left="720"/>
        <w:rPr>
          <w:rFonts w:ascii="Times New Roman" w:hAnsi="Times New Roman"/>
        </w:rPr>
      </w:pPr>
      <w:r w:rsidRPr="00F820CF">
        <w:rPr>
          <w:rFonts w:ascii="Times New Roman" w:hAnsi="Times New Roman"/>
        </w:rPr>
        <w:t xml:space="preserve">We have attempted to eliminate duplication within the agency wherever possible.  </w:t>
      </w:r>
    </w:p>
    <w:p w:rsidRPr="00F820CF" w:rsidR="0042327E" w:rsidRDefault="0042327E">
      <w:pPr>
        <w:rPr>
          <w:rFonts w:ascii="Times New Roman" w:hAnsi="Times New Roman"/>
        </w:rPr>
      </w:pPr>
    </w:p>
    <w:p w:rsidRPr="00F820CF" w:rsidR="0042327E" w:rsidRDefault="0042327E">
      <w:pPr>
        <w:tabs>
          <w:tab w:val="left" w:pos="-1440"/>
        </w:tabs>
        <w:ind w:left="720" w:hanging="720"/>
        <w:rPr>
          <w:rFonts w:ascii="Times New Roman" w:hAnsi="Times New Roman"/>
        </w:rPr>
      </w:pPr>
      <w:r w:rsidRPr="00F820CF">
        <w:rPr>
          <w:rFonts w:ascii="Times New Roman" w:hAnsi="Times New Roman"/>
        </w:rPr>
        <w:t xml:space="preserve">5. </w:t>
      </w:r>
      <w:r w:rsidRPr="00F820CF">
        <w:rPr>
          <w:rFonts w:ascii="Times New Roman" w:hAnsi="Times New Roman"/>
        </w:rPr>
        <w:tab/>
      </w:r>
      <w:r w:rsidRPr="00F820CF">
        <w:rPr>
          <w:rFonts w:ascii="Times New Roman" w:hAnsi="Times New Roman"/>
          <w:u w:val="single"/>
        </w:rPr>
        <w:t>METHODS TO MINIMIZE BURDEN ON SMALL BUSINESSES OR OTHER</w:t>
      </w:r>
      <w:r w:rsidRPr="00F820CF">
        <w:rPr>
          <w:rFonts w:ascii="Times New Roman" w:hAnsi="Times New Roman"/>
        </w:rPr>
        <w:t xml:space="preserve">     </w:t>
      </w:r>
      <w:r w:rsidRPr="00F820CF">
        <w:rPr>
          <w:rFonts w:ascii="Times New Roman" w:hAnsi="Times New Roman"/>
          <w:u w:val="single"/>
        </w:rPr>
        <w:t>SMALL ENTITIES</w:t>
      </w:r>
    </w:p>
    <w:p w:rsidRPr="00F820CF" w:rsidR="0042327E" w:rsidRDefault="0042327E">
      <w:pPr>
        <w:rPr>
          <w:rFonts w:ascii="Times New Roman" w:hAnsi="Times New Roman"/>
        </w:rPr>
      </w:pPr>
    </w:p>
    <w:p w:rsidR="00425A19" w:rsidP="00635AB7" w:rsidRDefault="00425A19">
      <w:pPr>
        <w:ind w:left="720"/>
        <w:rPr>
          <w:rFonts w:ascii="Times New Roman" w:hAnsi="Times New Roman"/>
        </w:rPr>
      </w:pPr>
      <w:r w:rsidRPr="00425A19">
        <w:rPr>
          <w:rFonts w:ascii="Times New Roman" w:hAnsi="Times New Roman"/>
        </w:rPr>
        <w:t>These regulations are not subject to</w:t>
      </w:r>
      <w:r w:rsidR="00635AB7">
        <w:rPr>
          <w:rFonts w:ascii="Times New Roman" w:hAnsi="Times New Roman"/>
        </w:rPr>
        <w:t xml:space="preserve"> </w:t>
      </w:r>
      <w:r w:rsidRPr="00425A19">
        <w:rPr>
          <w:rFonts w:ascii="Times New Roman" w:hAnsi="Times New Roman"/>
        </w:rPr>
        <w:t>review under section 6(b) of Executive</w:t>
      </w:r>
      <w:r w:rsidR="00635AB7">
        <w:rPr>
          <w:rFonts w:ascii="Times New Roman" w:hAnsi="Times New Roman"/>
        </w:rPr>
        <w:t xml:space="preserve"> </w:t>
      </w:r>
      <w:r w:rsidRPr="00425A19">
        <w:rPr>
          <w:rFonts w:ascii="Times New Roman" w:hAnsi="Times New Roman"/>
        </w:rPr>
        <w:t>Order 12866 pursuant to the</w:t>
      </w:r>
      <w:r w:rsidR="00635AB7">
        <w:rPr>
          <w:rFonts w:ascii="Times New Roman" w:hAnsi="Times New Roman"/>
        </w:rPr>
        <w:t xml:space="preserve"> </w:t>
      </w:r>
      <w:r w:rsidRPr="00425A19">
        <w:rPr>
          <w:rFonts w:ascii="Times New Roman" w:hAnsi="Times New Roman"/>
        </w:rPr>
        <w:t>Memorandum of Agreement (April 11,</w:t>
      </w:r>
      <w:r w:rsidR="00635AB7">
        <w:rPr>
          <w:rFonts w:ascii="Times New Roman" w:hAnsi="Times New Roman"/>
        </w:rPr>
        <w:t xml:space="preserve"> </w:t>
      </w:r>
      <w:r w:rsidRPr="00425A19">
        <w:rPr>
          <w:rFonts w:ascii="Times New Roman" w:hAnsi="Times New Roman"/>
        </w:rPr>
        <w:t>2018) between the Treasury</w:t>
      </w:r>
      <w:r w:rsidR="00635AB7">
        <w:rPr>
          <w:rFonts w:ascii="Times New Roman" w:hAnsi="Times New Roman"/>
        </w:rPr>
        <w:t xml:space="preserve"> </w:t>
      </w:r>
      <w:r w:rsidRPr="00425A19">
        <w:rPr>
          <w:rFonts w:ascii="Times New Roman" w:hAnsi="Times New Roman"/>
        </w:rPr>
        <w:t>Department</w:t>
      </w:r>
      <w:r w:rsidR="00635AB7">
        <w:rPr>
          <w:rFonts w:ascii="Times New Roman" w:hAnsi="Times New Roman"/>
        </w:rPr>
        <w:t xml:space="preserve"> </w:t>
      </w:r>
      <w:r w:rsidRPr="00425A19">
        <w:rPr>
          <w:rFonts w:ascii="Times New Roman" w:hAnsi="Times New Roman"/>
        </w:rPr>
        <w:t>and the Office of Management and</w:t>
      </w:r>
      <w:r w:rsidR="00635AB7">
        <w:rPr>
          <w:rFonts w:ascii="Times New Roman" w:hAnsi="Times New Roman"/>
        </w:rPr>
        <w:t xml:space="preserve"> </w:t>
      </w:r>
      <w:r w:rsidRPr="00425A19">
        <w:rPr>
          <w:rFonts w:ascii="Times New Roman" w:hAnsi="Times New Roman"/>
        </w:rPr>
        <w:t>Budget regarding review of tax</w:t>
      </w:r>
      <w:r w:rsidR="00635AB7">
        <w:rPr>
          <w:rFonts w:ascii="Times New Roman" w:hAnsi="Times New Roman"/>
        </w:rPr>
        <w:t xml:space="preserve"> </w:t>
      </w:r>
      <w:r w:rsidRPr="00425A19">
        <w:rPr>
          <w:rFonts w:ascii="Times New Roman" w:hAnsi="Times New Roman"/>
        </w:rPr>
        <w:t>regulations.</w:t>
      </w:r>
    </w:p>
    <w:p w:rsidRPr="00425A19" w:rsidR="00425A19" w:rsidP="00635AB7" w:rsidRDefault="00425A19">
      <w:pPr>
        <w:ind w:left="720"/>
        <w:rPr>
          <w:rFonts w:ascii="Times New Roman" w:hAnsi="Times New Roman"/>
        </w:rPr>
      </w:pPr>
    </w:p>
    <w:p w:rsidRPr="00425A19" w:rsidR="00425A19" w:rsidP="00635AB7" w:rsidRDefault="00425A19">
      <w:pPr>
        <w:ind w:left="720"/>
        <w:rPr>
          <w:rFonts w:ascii="Times New Roman" w:hAnsi="Times New Roman"/>
        </w:rPr>
      </w:pPr>
      <w:r w:rsidRPr="00425A19">
        <w:rPr>
          <w:rFonts w:ascii="Times New Roman" w:hAnsi="Times New Roman"/>
        </w:rPr>
        <w:t>Pursuant to the Regulatory Flexibility</w:t>
      </w:r>
      <w:r w:rsidR="00635AB7">
        <w:rPr>
          <w:rFonts w:ascii="Times New Roman" w:hAnsi="Times New Roman"/>
        </w:rPr>
        <w:t xml:space="preserve"> </w:t>
      </w:r>
      <w:r w:rsidRPr="00425A19">
        <w:rPr>
          <w:rFonts w:ascii="Times New Roman" w:hAnsi="Times New Roman"/>
        </w:rPr>
        <w:t>Act (5 U.S.C. chapter 6), it is hereby</w:t>
      </w:r>
      <w:r w:rsidR="00635AB7">
        <w:rPr>
          <w:rFonts w:ascii="Times New Roman" w:hAnsi="Times New Roman"/>
        </w:rPr>
        <w:t xml:space="preserve"> </w:t>
      </w:r>
      <w:r w:rsidRPr="00425A19">
        <w:rPr>
          <w:rFonts w:ascii="Times New Roman" w:hAnsi="Times New Roman"/>
        </w:rPr>
        <w:t>certified that these regulations will not</w:t>
      </w:r>
      <w:r w:rsidR="00635AB7">
        <w:rPr>
          <w:rFonts w:ascii="Times New Roman" w:hAnsi="Times New Roman"/>
        </w:rPr>
        <w:t xml:space="preserve"> </w:t>
      </w:r>
      <w:r w:rsidRPr="00425A19">
        <w:rPr>
          <w:rFonts w:ascii="Times New Roman" w:hAnsi="Times New Roman"/>
        </w:rPr>
        <w:t>have a significant economic impact on</w:t>
      </w:r>
      <w:r w:rsidR="00635AB7">
        <w:rPr>
          <w:rFonts w:ascii="Times New Roman" w:hAnsi="Times New Roman"/>
        </w:rPr>
        <w:t xml:space="preserve"> </w:t>
      </w:r>
      <w:r w:rsidRPr="00425A19">
        <w:rPr>
          <w:rFonts w:ascii="Times New Roman" w:hAnsi="Times New Roman"/>
        </w:rPr>
        <w:t>a substantial number of small entities.</w:t>
      </w:r>
      <w:r w:rsidR="00635AB7">
        <w:rPr>
          <w:rFonts w:ascii="Times New Roman" w:hAnsi="Times New Roman"/>
        </w:rPr>
        <w:t xml:space="preserve">  </w:t>
      </w:r>
      <w:r w:rsidRPr="00425A19">
        <w:rPr>
          <w:rFonts w:ascii="Times New Roman" w:hAnsi="Times New Roman"/>
        </w:rPr>
        <w:t>Although the regulations may</w:t>
      </w:r>
      <w:r w:rsidR="00635AB7">
        <w:rPr>
          <w:rFonts w:ascii="Times New Roman" w:hAnsi="Times New Roman"/>
        </w:rPr>
        <w:t xml:space="preserve"> </w:t>
      </w:r>
      <w:r w:rsidRPr="00425A19">
        <w:rPr>
          <w:rFonts w:ascii="Times New Roman" w:hAnsi="Times New Roman"/>
        </w:rPr>
        <w:t>potentially affect a substantial number</w:t>
      </w:r>
      <w:r w:rsidR="00635AB7">
        <w:rPr>
          <w:rFonts w:ascii="Times New Roman" w:hAnsi="Times New Roman"/>
        </w:rPr>
        <w:t xml:space="preserve"> </w:t>
      </w:r>
      <w:r w:rsidRPr="00425A19">
        <w:rPr>
          <w:rFonts w:ascii="Times New Roman" w:hAnsi="Times New Roman"/>
        </w:rPr>
        <w:t>of small entities, the economic impact</w:t>
      </w:r>
      <w:r w:rsidR="00635AB7">
        <w:rPr>
          <w:rFonts w:ascii="Times New Roman" w:hAnsi="Times New Roman"/>
        </w:rPr>
        <w:t xml:space="preserve"> </w:t>
      </w:r>
      <w:r w:rsidRPr="00425A19">
        <w:rPr>
          <w:rFonts w:ascii="Times New Roman" w:hAnsi="Times New Roman"/>
        </w:rPr>
        <w:t>on these entities is not expected to be</w:t>
      </w:r>
      <w:r w:rsidR="00635AB7">
        <w:rPr>
          <w:rFonts w:ascii="Times New Roman" w:hAnsi="Times New Roman"/>
        </w:rPr>
        <w:t xml:space="preserve"> </w:t>
      </w:r>
      <w:r w:rsidRPr="00425A19">
        <w:rPr>
          <w:rFonts w:ascii="Times New Roman" w:hAnsi="Times New Roman"/>
        </w:rPr>
        <w:t>significant. If at least one of the criteria</w:t>
      </w:r>
      <w:r w:rsidR="00635AB7">
        <w:rPr>
          <w:rFonts w:ascii="Times New Roman" w:hAnsi="Times New Roman"/>
        </w:rPr>
        <w:t xml:space="preserve"> </w:t>
      </w:r>
      <w:r w:rsidRPr="00425A19">
        <w:rPr>
          <w:rFonts w:ascii="Times New Roman" w:hAnsi="Times New Roman"/>
        </w:rPr>
        <w:t>for granting an extension applies, a</w:t>
      </w:r>
      <w:r w:rsidR="00635AB7">
        <w:rPr>
          <w:rFonts w:ascii="Times New Roman" w:hAnsi="Times New Roman"/>
        </w:rPr>
        <w:t xml:space="preserve"> </w:t>
      </w:r>
      <w:r w:rsidRPr="00425A19">
        <w:rPr>
          <w:rFonts w:ascii="Times New Roman" w:hAnsi="Times New Roman"/>
        </w:rPr>
        <w:t>business may obtain a 30-day extension</w:t>
      </w:r>
      <w:r w:rsidR="00635AB7">
        <w:rPr>
          <w:rFonts w:ascii="Times New Roman" w:hAnsi="Times New Roman"/>
        </w:rPr>
        <w:t xml:space="preserve"> </w:t>
      </w:r>
      <w:r w:rsidRPr="00425A19">
        <w:rPr>
          <w:rFonts w:ascii="Times New Roman" w:hAnsi="Times New Roman"/>
        </w:rPr>
        <w:t>of time to file by properly completing</w:t>
      </w:r>
      <w:r w:rsidR="00635AB7">
        <w:rPr>
          <w:rFonts w:ascii="Times New Roman" w:hAnsi="Times New Roman"/>
        </w:rPr>
        <w:t xml:space="preserve"> </w:t>
      </w:r>
      <w:r w:rsidRPr="00425A19">
        <w:rPr>
          <w:rFonts w:ascii="Times New Roman" w:hAnsi="Times New Roman"/>
        </w:rPr>
        <w:t>Form 8809, so many businesses will still</w:t>
      </w:r>
    </w:p>
    <w:p w:rsidRPr="00425A19" w:rsidR="00425A19" w:rsidP="00635AB7" w:rsidRDefault="00425A19">
      <w:pPr>
        <w:ind w:left="720"/>
        <w:rPr>
          <w:rFonts w:ascii="Times New Roman" w:hAnsi="Times New Roman"/>
        </w:rPr>
      </w:pPr>
      <w:r w:rsidRPr="00425A19">
        <w:rPr>
          <w:rFonts w:ascii="Times New Roman" w:hAnsi="Times New Roman"/>
        </w:rPr>
        <w:t>obtain an extension of time to file. Prior</w:t>
      </w:r>
      <w:r w:rsidR="00635AB7">
        <w:rPr>
          <w:rFonts w:ascii="Times New Roman" w:hAnsi="Times New Roman"/>
        </w:rPr>
        <w:t xml:space="preserve"> </w:t>
      </w:r>
      <w:r w:rsidRPr="00425A19">
        <w:rPr>
          <w:rFonts w:ascii="Times New Roman" w:hAnsi="Times New Roman"/>
        </w:rPr>
        <w:t>versions of § 1.6081–8 also required</w:t>
      </w:r>
      <w:r w:rsidR="00635AB7">
        <w:rPr>
          <w:rFonts w:ascii="Times New Roman" w:hAnsi="Times New Roman"/>
        </w:rPr>
        <w:t xml:space="preserve"> </w:t>
      </w:r>
      <w:r w:rsidRPr="00425A19">
        <w:rPr>
          <w:rFonts w:ascii="Times New Roman" w:hAnsi="Times New Roman"/>
        </w:rPr>
        <w:t>businesses to file Form 8809 to obtain</w:t>
      </w:r>
      <w:r w:rsidR="00635AB7">
        <w:rPr>
          <w:rFonts w:ascii="Times New Roman" w:hAnsi="Times New Roman"/>
        </w:rPr>
        <w:t xml:space="preserve"> </w:t>
      </w:r>
      <w:r w:rsidRPr="00425A19">
        <w:rPr>
          <w:rFonts w:ascii="Times New Roman" w:hAnsi="Times New Roman"/>
        </w:rPr>
        <w:t>an extension, so no additional economic</w:t>
      </w:r>
      <w:r w:rsidR="00635AB7">
        <w:rPr>
          <w:rFonts w:ascii="Times New Roman" w:hAnsi="Times New Roman"/>
        </w:rPr>
        <w:t xml:space="preserve"> </w:t>
      </w:r>
      <w:r w:rsidRPr="00425A19">
        <w:rPr>
          <w:rFonts w:ascii="Times New Roman" w:hAnsi="Times New Roman"/>
        </w:rPr>
        <w:t>impact is associated with the</w:t>
      </w:r>
      <w:r w:rsidR="00635AB7">
        <w:rPr>
          <w:rFonts w:ascii="Times New Roman" w:hAnsi="Times New Roman"/>
        </w:rPr>
        <w:t xml:space="preserve"> </w:t>
      </w:r>
      <w:r w:rsidRPr="00425A19">
        <w:rPr>
          <w:rFonts w:ascii="Times New Roman" w:hAnsi="Times New Roman"/>
        </w:rPr>
        <w:t>requirement to file this form. For</w:t>
      </w:r>
      <w:r w:rsidR="00635AB7">
        <w:rPr>
          <w:rFonts w:ascii="Times New Roman" w:hAnsi="Times New Roman"/>
        </w:rPr>
        <w:t xml:space="preserve"> </w:t>
      </w:r>
      <w:r w:rsidRPr="00425A19">
        <w:rPr>
          <w:rFonts w:ascii="Times New Roman" w:hAnsi="Times New Roman"/>
        </w:rPr>
        <w:t>businesses that do not qualify for the</w:t>
      </w:r>
    </w:p>
    <w:p w:rsidR="00425A19" w:rsidP="00635AB7" w:rsidRDefault="00425A19">
      <w:pPr>
        <w:ind w:left="720"/>
        <w:rPr>
          <w:rFonts w:ascii="Times New Roman" w:hAnsi="Times New Roman"/>
        </w:rPr>
      </w:pPr>
      <w:r w:rsidRPr="00425A19">
        <w:rPr>
          <w:rFonts w:ascii="Times New Roman" w:hAnsi="Times New Roman"/>
        </w:rPr>
        <w:t>extension, the regulations do not impose</w:t>
      </w:r>
      <w:r w:rsidR="00635AB7">
        <w:rPr>
          <w:rFonts w:ascii="Times New Roman" w:hAnsi="Times New Roman"/>
        </w:rPr>
        <w:t xml:space="preserve"> </w:t>
      </w:r>
      <w:r w:rsidRPr="00425A19">
        <w:rPr>
          <w:rFonts w:ascii="Times New Roman" w:hAnsi="Times New Roman"/>
        </w:rPr>
        <w:t>new information reporting</w:t>
      </w:r>
      <w:r w:rsidR="00635AB7">
        <w:rPr>
          <w:rFonts w:ascii="Times New Roman" w:hAnsi="Times New Roman"/>
        </w:rPr>
        <w:t xml:space="preserve"> </w:t>
      </w:r>
      <w:r w:rsidRPr="00425A19">
        <w:rPr>
          <w:rFonts w:ascii="Times New Roman" w:hAnsi="Times New Roman"/>
        </w:rPr>
        <w:t>requirements, but they do affect whether</w:t>
      </w:r>
      <w:r w:rsidR="00635AB7">
        <w:rPr>
          <w:rFonts w:ascii="Times New Roman" w:hAnsi="Times New Roman"/>
        </w:rPr>
        <w:t xml:space="preserve"> </w:t>
      </w:r>
      <w:r w:rsidRPr="00425A19">
        <w:rPr>
          <w:rFonts w:ascii="Times New Roman" w:hAnsi="Times New Roman"/>
        </w:rPr>
        <w:t>the filing due date may be extended.</w:t>
      </w:r>
      <w:r w:rsidR="00635AB7">
        <w:rPr>
          <w:rFonts w:ascii="Times New Roman" w:hAnsi="Times New Roman"/>
        </w:rPr>
        <w:t xml:space="preserve">  </w:t>
      </w:r>
      <w:r w:rsidRPr="00425A19">
        <w:rPr>
          <w:rFonts w:ascii="Times New Roman" w:hAnsi="Times New Roman"/>
        </w:rPr>
        <w:t>Although there may be some additional</w:t>
      </w:r>
      <w:r w:rsidR="00635AB7">
        <w:rPr>
          <w:rFonts w:ascii="Times New Roman" w:hAnsi="Times New Roman"/>
        </w:rPr>
        <w:t xml:space="preserve"> </w:t>
      </w:r>
      <w:r w:rsidRPr="00425A19">
        <w:rPr>
          <w:rFonts w:ascii="Times New Roman" w:hAnsi="Times New Roman"/>
        </w:rPr>
        <w:t>costs associated with ensuring that</w:t>
      </w:r>
      <w:r w:rsidR="00635AB7">
        <w:rPr>
          <w:rFonts w:ascii="Times New Roman" w:hAnsi="Times New Roman"/>
        </w:rPr>
        <w:t xml:space="preserve"> </w:t>
      </w:r>
      <w:r w:rsidRPr="00425A19">
        <w:rPr>
          <w:rFonts w:ascii="Times New Roman" w:hAnsi="Times New Roman"/>
        </w:rPr>
        <w:t>information returns filed by their</w:t>
      </w:r>
      <w:r w:rsidR="00635AB7">
        <w:rPr>
          <w:rFonts w:ascii="Times New Roman" w:hAnsi="Times New Roman"/>
        </w:rPr>
        <w:t xml:space="preserve"> </w:t>
      </w:r>
      <w:r w:rsidRPr="00425A19">
        <w:rPr>
          <w:rFonts w:ascii="Times New Roman" w:hAnsi="Times New Roman"/>
        </w:rPr>
        <w:t>statutory due date, as opposed to the</w:t>
      </w:r>
      <w:r w:rsidR="00635AB7">
        <w:rPr>
          <w:rFonts w:ascii="Times New Roman" w:hAnsi="Times New Roman"/>
        </w:rPr>
        <w:t xml:space="preserve"> </w:t>
      </w:r>
      <w:r w:rsidRPr="00425A19">
        <w:rPr>
          <w:rFonts w:ascii="Times New Roman" w:hAnsi="Times New Roman"/>
        </w:rPr>
        <w:t>extended due date, are accurate, those</w:t>
      </w:r>
      <w:r w:rsidR="00635AB7">
        <w:rPr>
          <w:rFonts w:ascii="Times New Roman" w:hAnsi="Times New Roman"/>
        </w:rPr>
        <w:t xml:space="preserve"> </w:t>
      </w:r>
      <w:r w:rsidRPr="00425A19">
        <w:rPr>
          <w:rFonts w:ascii="Times New Roman" w:hAnsi="Times New Roman"/>
        </w:rPr>
        <w:t>costs will not impose a significant</w:t>
      </w:r>
      <w:r w:rsidR="00635AB7">
        <w:rPr>
          <w:rFonts w:ascii="Times New Roman" w:hAnsi="Times New Roman"/>
        </w:rPr>
        <w:t xml:space="preserve"> </w:t>
      </w:r>
      <w:r w:rsidRPr="00425A19">
        <w:rPr>
          <w:rFonts w:ascii="Times New Roman" w:hAnsi="Times New Roman"/>
        </w:rPr>
        <w:t>economic impact on a substantial</w:t>
      </w:r>
      <w:r w:rsidR="00635AB7">
        <w:rPr>
          <w:rFonts w:ascii="Times New Roman" w:hAnsi="Times New Roman"/>
        </w:rPr>
        <w:t xml:space="preserve"> </w:t>
      </w:r>
      <w:r w:rsidRPr="00425A19">
        <w:rPr>
          <w:rFonts w:ascii="Times New Roman" w:hAnsi="Times New Roman"/>
        </w:rPr>
        <w:t>number of small entities.</w:t>
      </w:r>
    </w:p>
    <w:p w:rsidRPr="00425A19" w:rsidR="00635AB7" w:rsidP="00635AB7" w:rsidRDefault="00635AB7">
      <w:pPr>
        <w:ind w:left="720"/>
        <w:rPr>
          <w:rFonts w:ascii="Times New Roman" w:hAnsi="Times New Roman"/>
        </w:rPr>
      </w:pPr>
    </w:p>
    <w:p w:rsidRPr="00425A19" w:rsidR="00425A19" w:rsidP="00635AB7" w:rsidRDefault="00425A19">
      <w:pPr>
        <w:ind w:left="720"/>
        <w:rPr>
          <w:rFonts w:ascii="Times New Roman" w:hAnsi="Times New Roman"/>
        </w:rPr>
      </w:pPr>
      <w:r w:rsidRPr="00425A19">
        <w:rPr>
          <w:rFonts w:ascii="Times New Roman" w:hAnsi="Times New Roman"/>
        </w:rPr>
        <w:t>In addition, statutory changes have</w:t>
      </w:r>
      <w:r w:rsidR="00635AB7">
        <w:rPr>
          <w:rFonts w:ascii="Times New Roman" w:hAnsi="Times New Roman"/>
        </w:rPr>
        <w:t xml:space="preserve"> </w:t>
      </w:r>
      <w:r w:rsidRPr="00425A19">
        <w:rPr>
          <w:rFonts w:ascii="Times New Roman" w:hAnsi="Times New Roman"/>
        </w:rPr>
        <w:t>minimized the benefit of the automatic</w:t>
      </w:r>
      <w:r w:rsidR="00635AB7">
        <w:rPr>
          <w:rFonts w:ascii="Times New Roman" w:hAnsi="Times New Roman"/>
        </w:rPr>
        <w:t xml:space="preserve"> </w:t>
      </w:r>
      <w:r w:rsidRPr="00425A19">
        <w:rPr>
          <w:rFonts w:ascii="Times New Roman" w:hAnsi="Times New Roman"/>
        </w:rPr>
        <w:t>extension of time to file. Prior to these</w:t>
      </w:r>
      <w:r w:rsidR="00635AB7">
        <w:rPr>
          <w:rFonts w:ascii="Times New Roman" w:hAnsi="Times New Roman"/>
        </w:rPr>
        <w:t xml:space="preserve"> </w:t>
      </w:r>
      <w:r w:rsidRPr="00425A19">
        <w:rPr>
          <w:rFonts w:ascii="Times New Roman" w:hAnsi="Times New Roman"/>
        </w:rPr>
        <w:t>changes, most filers had a due date</w:t>
      </w:r>
      <w:r w:rsidR="00635AB7">
        <w:rPr>
          <w:rFonts w:ascii="Times New Roman" w:hAnsi="Times New Roman"/>
        </w:rPr>
        <w:t xml:space="preserve"> </w:t>
      </w:r>
      <w:r w:rsidRPr="00425A19">
        <w:rPr>
          <w:rFonts w:ascii="Times New Roman" w:hAnsi="Times New Roman"/>
        </w:rPr>
        <w:t>(without regard to</w:t>
      </w:r>
      <w:r w:rsidR="00635AB7">
        <w:rPr>
          <w:rFonts w:ascii="Times New Roman" w:hAnsi="Times New Roman"/>
        </w:rPr>
        <w:t xml:space="preserve"> </w:t>
      </w:r>
      <w:r w:rsidRPr="00425A19">
        <w:rPr>
          <w:rFonts w:ascii="Times New Roman" w:hAnsi="Times New Roman"/>
        </w:rPr>
        <w:t>extensions) of March</w:t>
      </w:r>
      <w:r w:rsidR="00635AB7">
        <w:rPr>
          <w:rFonts w:ascii="Times New Roman" w:hAnsi="Times New Roman"/>
        </w:rPr>
        <w:t xml:space="preserve"> </w:t>
      </w:r>
      <w:r w:rsidRPr="00425A19">
        <w:rPr>
          <w:rFonts w:ascii="Times New Roman" w:hAnsi="Times New Roman"/>
        </w:rPr>
        <w:t>31 for the information returns currently</w:t>
      </w:r>
      <w:r w:rsidR="00635AB7">
        <w:rPr>
          <w:rFonts w:ascii="Times New Roman" w:hAnsi="Times New Roman"/>
        </w:rPr>
        <w:t xml:space="preserve"> </w:t>
      </w:r>
      <w:r w:rsidRPr="00425A19">
        <w:rPr>
          <w:rFonts w:ascii="Times New Roman" w:hAnsi="Times New Roman"/>
        </w:rPr>
        <w:t>subject to the rule eliminating the</w:t>
      </w:r>
      <w:r w:rsidR="00635AB7">
        <w:rPr>
          <w:rFonts w:ascii="Times New Roman" w:hAnsi="Times New Roman"/>
        </w:rPr>
        <w:t xml:space="preserve"> </w:t>
      </w:r>
      <w:r w:rsidRPr="00425A19">
        <w:rPr>
          <w:rFonts w:ascii="Times New Roman" w:hAnsi="Times New Roman"/>
        </w:rPr>
        <w:t>automatic extension of time to file—the</w:t>
      </w:r>
      <w:r w:rsidR="00635AB7">
        <w:rPr>
          <w:rFonts w:ascii="Times New Roman" w:hAnsi="Times New Roman"/>
        </w:rPr>
        <w:t xml:space="preserve"> </w:t>
      </w:r>
      <w:r w:rsidRPr="00425A19">
        <w:rPr>
          <w:rFonts w:ascii="Times New Roman" w:hAnsi="Times New Roman"/>
        </w:rPr>
        <w:t>Form W–2 series (except Form W–2G)</w:t>
      </w:r>
      <w:r w:rsidR="00635AB7">
        <w:rPr>
          <w:rFonts w:ascii="Times New Roman" w:hAnsi="Times New Roman"/>
        </w:rPr>
        <w:t xml:space="preserve"> </w:t>
      </w:r>
      <w:r w:rsidRPr="00425A19">
        <w:rPr>
          <w:rFonts w:ascii="Times New Roman" w:hAnsi="Times New Roman"/>
        </w:rPr>
        <w:t>and Form 1099–MISC reporting</w:t>
      </w:r>
      <w:r w:rsidR="00635AB7">
        <w:rPr>
          <w:rFonts w:ascii="Times New Roman" w:hAnsi="Times New Roman"/>
        </w:rPr>
        <w:t xml:space="preserve"> </w:t>
      </w:r>
      <w:r w:rsidRPr="00425A19">
        <w:rPr>
          <w:rFonts w:ascii="Times New Roman" w:hAnsi="Times New Roman"/>
        </w:rPr>
        <w:t>nonemployee compensation. With the</w:t>
      </w:r>
      <w:r w:rsidR="00635AB7">
        <w:rPr>
          <w:rFonts w:ascii="Times New Roman" w:hAnsi="Times New Roman"/>
        </w:rPr>
        <w:t xml:space="preserve"> </w:t>
      </w:r>
      <w:r w:rsidRPr="00425A19">
        <w:rPr>
          <w:rFonts w:ascii="Times New Roman" w:hAnsi="Times New Roman"/>
        </w:rPr>
        <w:t>automatic extension, these filers</w:t>
      </w:r>
      <w:r w:rsidR="00635AB7">
        <w:rPr>
          <w:rFonts w:ascii="Times New Roman" w:hAnsi="Times New Roman"/>
        </w:rPr>
        <w:t xml:space="preserve"> </w:t>
      </w:r>
      <w:r w:rsidRPr="00425A19">
        <w:rPr>
          <w:rFonts w:ascii="Times New Roman" w:hAnsi="Times New Roman"/>
        </w:rPr>
        <w:t>generally had until April 30 to file these</w:t>
      </w:r>
      <w:r w:rsidR="00635AB7">
        <w:rPr>
          <w:rFonts w:ascii="Times New Roman" w:hAnsi="Times New Roman"/>
        </w:rPr>
        <w:t xml:space="preserve"> </w:t>
      </w:r>
      <w:r w:rsidRPr="00425A19">
        <w:rPr>
          <w:rFonts w:ascii="Times New Roman" w:hAnsi="Times New Roman"/>
        </w:rPr>
        <w:t>information returns. The PATH Act and</w:t>
      </w:r>
      <w:r w:rsidR="00635AB7">
        <w:rPr>
          <w:rFonts w:ascii="Times New Roman" w:hAnsi="Times New Roman"/>
        </w:rPr>
        <w:t xml:space="preserve"> </w:t>
      </w:r>
      <w:r w:rsidRPr="00425A19">
        <w:rPr>
          <w:rFonts w:ascii="Times New Roman" w:hAnsi="Times New Roman"/>
        </w:rPr>
        <w:t>the accompanying regulations</w:t>
      </w:r>
      <w:r w:rsidR="00635AB7">
        <w:rPr>
          <w:rFonts w:ascii="Times New Roman" w:hAnsi="Times New Roman"/>
        </w:rPr>
        <w:t xml:space="preserve"> </w:t>
      </w:r>
      <w:r w:rsidRPr="00425A19">
        <w:rPr>
          <w:rFonts w:ascii="Times New Roman" w:hAnsi="Times New Roman"/>
        </w:rPr>
        <w:t>accelerated the due date for the Form</w:t>
      </w:r>
    </w:p>
    <w:p w:rsidR="0042327E" w:rsidP="00635AB7" w:rsidRDefault="00425A19">
      <w:pPr>
        <w:ind w:left="720"/>
        <w:rPr>
          <w:rFonts w:ascii="Times New Roman" w:hAnsi="Times New Roman"/>
        </w:rPr>
      </w:pPr>
      <w:r w:rsidRPr="00425A19">
        <w:rPr>
          <w:rFonts w:ascii="Times New Roman" w:hAnsi="Times New Roman"/>
        </w:rPr>
        <w:t>W–2 series (except Form W–2G) and</w:t>
      </w:r>
      <w:r w:rsidR="00635AB7">
        <w:rPr>
          <w:rFonts w:ascii="Times New Roman" w:hAnsi="Times New Roman"/>
        </w:rPr>
        <w:t xml:space="preserve"> </w:t>
      </w:r>
      <w:r w:rsidRPr="00425A19">
        <w:rPr>
          <w:rFonts w:ascii="Times New Roman" w:hAnsi="Times New Roman"/>
        </w:rPr>
        <w:t>Form 1099–MISC reporting</w:t>
      </w:r>
      <w:r w:rsidR="00635AB7">
        <w:rPr>
          <w:rFonts w:ascii="Times New Roman" w:hAnsi="Times New Roman"/>
        </w:rPr>
        <w:t xml:space="preserve"> </w:t>
      </w:r>
      <w:r w:rsidRPr="00425A19">
        <w:rPr>
          <w:rFonts w:ascii="Times New Roman" w:hAnsi="Times New Roman"/>
        </w:rPr>
        <w:t>nonemployee compensation from March</w:t>
      </w:r>
      <w:r w:rsidR="00635AB7">
        <w:rPr>
          <w:rFonts w:ascii="Times New Roman" w:hAnsi="Times New Roman"/>
        </w:rPr>
        <w:t xml:space="preserve"> </w:t>
      </w:r>
      <w:r w:rsidRPr="00425A19">
        <w:rPr>
          <w:rFonts w:ascii="Times New Roman" w:hAnsi="Times New Roman"/>
        </w:rPr>
        <w:t>31 to January 31. Therefore, even if the</w:t>
      </w:r>
      <w:r w:rsidR="00635AB7">
        <w:rPr>
          <w:rFonts w:ascii="Times New Roman" w:hAnsi="Times New Roman"/>
        </w:rPr>
        <w:t xml:space="preserve"> </w:t>
      </w:r>
      <w:r w:rsidRPr="00425A19">
        <w:rPr>
          <w:rFonts w:ascii="Times New Roman" w:hAnsi="Times New Roman"/>
        </w:rPr>
        <w:t>automatic extension was still available,</w:t>
      </w:r>
      <w:r w:rsidR="00635AB7">
        <w:rPr>
          <w:rFonts w:ascii="Times New Roman" w:hAnsi="Times New Roman"/>
        </w:rPr>
        <w:t xml:space="preserve"> </w:t>
      </w:r>
      <w:r w:rsidRPr="00425A19">
        <w:rPr>
          <w:rFonts w:ascii="Times New Roman" w:hAnsi="Times New Roman"/>
        </w:rPr>
        <w:t>the Form W–2 series (except Form W–2G) and Form 1099–MISC reporting</w:t>
      </w:r>
      <w:r w:rsidR="00635AB7">
        <w:rPr>
          <w:rFonts w:ascii="Times New Roman" w:hAnsi="Times New Roman"/>
        </w:rPr>
        <w:t xml:space="preserve"> </w:t>
      </w:r>
      <w:r w:rsidRPr="00425A19">
        <w:rPr>
          <w:rFonts w:ascii="Times New Roman" w:hAnsi="Times New Roman"/>
        </w:rPr>
        <w:t>nonemployee compensation would be</w:t>
      </w:r>
      <w:r w:rsidR="00635AB7">
        <w:rPr>
          <w:rFonts w:ascii="Times New Roman" w:hAnsi="Times New Roman"/>
        </w:rPr>
        <w:t xml:space="preserve"> </w:t>
      </w:r>
      <w:r w:rsidRPr="00425A19">
        <w:rPr>
          <w:rFonts w:ascii="Times New Roman" w:hAnsi="Times New Roman"/>
        </w:rPr>
        <w:t>due much earlier than under prior law,</w:t>
      </w:r>
      <w:r w:rsidR="00635AB7">
        <w:rPr>
          <w:rFonts w:ascii="Times New Roman" w:hAnsi="Times New Roman"/>
        </w:rPr>
        <w:t xml:space="preserve"> </w:t>
      </w:r>
      <w:r w:rsidRPr="00425A19">
        <w:rPr>
          <w:rFonts w:ascii="Times New Roman" w:hAnsi="Times New Roman"/>
        </w:rPr>
        <w:t>so the statutory change under the PATH</w:t>
      </w:r>
      <w:r w:rsidR="00635AB7">
        <w:rPr>
          <w:rFonts w:ascii="Times New Roman" w:hAnsi="Times New Roman"/>
        </w:rPr>
        <w:t xml:space="preserve"> </w:t>
      </w:r>
      <w:r w:rsidRPr="00425A19">
        <w:rPr>
          <w:rFonts w:ascii="Times New Roman" w:hAnsi="Times New Roman"/>
        </w:rPr>
        <w:t>Act is the primary cause of any</w:t>
      </w:r>
      <w:r w:rsidR="00635AB7">
        <w:rPr>
          <w:rFonts w:ascii="Times New Roman" w:hAnsi="Times New Roman"/>
        </w:rPr>
        <w:t xml:space="preserve"> </w:t>
      </w:r>
      <w:r w:rsidRPr="00425A19">
        <w:rPr>
          <w:rFonts w:ascii="Times New Roman" w:hAnsi="Times New Roman"/>
        </w:rPr>
        <w:t>additional cost associated with having</w:t>
      </w:r>
      <w:r w:rsidR="00635AB7">
        <w:rPr>
          <w:rFonts w:ascii="Times New Roman" w:hAnsi="Times New Roman"/>
        </w:rPr>
        <w:t xml:space="preserve"> </w:t>
      </w:r>
      <w:r w:rsidRPr="00425A19">
        <w:rPr>
          <w:rFonts w:ascii="Times New Roman" w:hAnsi="Times New Roman"/>
        </w:rPr>
        <w:t>to file these forms earlier in the filing</w:t>
      </w:r>
      <w:r w:rsidR="00635AB7">
        <w:rPr>
          <w:rFonts w:ascii="Times New Roman" w:hAnsi="Times New Roman"/>
        </w:rPr>
        <w:t xml:space="preserve"> </w:t>
      </w:r>
      <w:r w:rsidRPr="00425A19">
        <w:rPr>
          <w:rFonts w:ascii="Times New Roman" w:hAnsi="Times New Roman"/>
        </w:rPr>
        <w:t>season. Pursuant to section 7805(f) of</w:t>
      </w:r>
      <w:r w:rsidR="00635AB7">
        <w:rPr>
          <w:rFonts w:ascii="Times New Roman" w:hAnsi="Times New Roman"/>
        </w:rPr>
        <w:t xml:space="preserve"> </w:t>
      </w:r>
      <w:r w:rsidRPr="00425A19">
        <w:rPr>
          <w:rFonts w:ascii="Times New Roman" w:hAnsi="Times New Roman"/>
        </w:rPr>
        <w:t>the Code, the notice of proposed</w:t>
      </w:r>
      <w:r w:rsidR="00635AB7">
        <w:rPr>
          <w:rFonts w:ascii="Times New Roman" w:hAnsi="Times New Roman"/>
        </w:rPr>
        <w:t xml:space="preserve"> </w:t>
      </w:r>
      <w:r w:rsidRPr="00425A19">
        <w:rPr>
          <w:rFonts w:ascii="Times New Roman" w:hAnsi="Times New Roman"/>
        </w:rPr>
        <w:t>rulemaking preceding these regulations</w:t>
      </w:r>
      <w:r w:rsidR="00635AB7">
        <w:rPr>
          <w:rFonts w:ascii="Times New Roman" w:hAnsi="Times New Roman"/>
        </w:rPr>
        <w:t xml:space="preserve"> </w:t>
      </w:r>
      <w:r w:rsidRPr="00425A19">
        <w:rPr>
          <w:rFonts w:ascii="Times New Roman" w:hAnsi="Times New Roman"/>
        </w:rPr>
        <w:t>was submitted to the Chief Counsel for</w:t>
      </w:r>
      <w:r w:rsidR="00635AB7">
        <w:rPr>
          <w:rFonts w:ascii="Times New Roman" w:hAnsi="Times New Roman"/>
        </w:rPr>
        <w:t xml:space="preserve"> </w:t>
      </w:r>
      <w:r w:rsidRPr="00425A19">
        <w:rPr>
          <w:rFonts w:ascii="Times New Roman" w:hAnsi="Times New Roman"/>
        </w:rPr>
        <w:t>Advocacy of the Small Business</w:t>
      </w:r>
      <w:r w:rsidR="00635AB7">
        <w:rPr>
          <w:rFonts w:ascii="Times New Roman" w:hAnsi="Times New Roman"/>
        </w:rPr>
        <w:t xml:space="preserve"> </w:t>
      </w:r>
      <w:r w:rsidRPr="00425A19">
        <w:rPr>
          <w:rFonts w:ascii="Times New Roman" w:hAnsi="Times New Roman"/>
        </w:rPr>
        <w:t>Administration for comment on its</w:t>
      </w:r>
      <w:r w:rsidR="00635AB7">
        <w:rPr>
          <w:rFonts w:ascii="Times New Roman" w:hAnsi="Times New Roman"/>
        </w:rPr>
        <w:t xml:space="preserve"> </w:t>
      </w:r>
      <w:r w:rsidRPr="00425A19">
        <w:rPr>
          <w:rFonts w:ascii="Times New Roman" w:hAnsi="Times New Roman"/>
        </w:rPr>
        <w:t>impact on small business. No comments</w:t>
      </w:r>
      <w:r w:rsidR="00635AB7">
        <w:rPr>
          <w:rFonts w:ascii="Times New Roman" w:hAnsi="Times New Roman"/>
        </w:rPr>
        <w:t xml:space="preserve"> </w:t>
      </w:r>
      <w:r w:rsidRPr="00425A19">
        <w:rPr>
          <w:rFonts w:ascii="Times New Roman" w:hAnsi="Times New Roman"/>
        </w:rPr>
        <w:t>were received from the Small Business</w:t>
      </w:r>
      <w:r w:rsidR="00635AB7">
        <w:rPr>
          <w:rFonts w:ascii="Times New Roman" w:hAnsi="Times New Roman"/>
        </w:rPr>
        <w:t xml:space="preserve"> </w:t>
      </w:r>
      <w:r w:rsidRPr="00425A19">
        <w:rPr>
          <w:rFonts w:ascii="Times New Roman" w:hAnsi="Times New Roman"/>
        </w:rPr>
        <w:t>Administration.</w:t>
      </w:r>
    </w:p>
    <w:p w:rsidRPr="00F820CF" w:rsidR="00425A19" w:rsidP="00425A19" w:rsidRDefault="00425A19">
      <w:pPr>
        <w:rPr>
          <w:rFonts w:ascii="Times New Roman" w:hAnsi="Times New Roman"/>
        </w:rPr>
      </w:pPr>
    </w:p>
    <w:p w:rsidRPr="00F820CF" w:rsidR="0042327E" w:rsidRDefault="0042327E">
      <w:pPr>
        <w:rPr>
          <w:rFonts w:ascii="Times New Roman" w:hAnsi="Times New Roman"/>
        </w:rPr>
        <w:sectPr w:rsidRPr="00F820CF" w:rsidR="0042327E">
          <w:pgSz w:w="12240" w:h="15840"/>
          <w:pgMar w:top="1440" w:right="1440" w:bottom="1440" w:left="1440" w:header="1440" w:footer="1440" w:gutter="0"/>
          <w:cols w:space="720"/>
          <w:noEndnote/>
        </w:sect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CONSEQUENCES OF LESS FREQUENT COLLECTION ON FEDERAL PROGRAMS OR POLICY ACTIVITIES</w:t>
      </w:r>
    </w:p>
    <w:p w:rsidRPr="00F820CF" w:rsidR="0042327E" w:rsidRDefault="0042327E">
      <w:pPr>
        <w:rPr>
          <w:rFonts w:ascii="Times New Roman" w:hAnsi="Times New Roman"/>
        </w:rPr>
      </w:pPr>
    </w:p>
    <w:p w:rsidRPr="00F820CF" w:rsidR="0042327E" w:rsidP="005F3C3B" w:rsidRDefault="005D3633">
      <w:pPr>
        <w:ind w:left="720"/>
        <w:rPr>
          <w:rFonts w:ascii="Times New Roman" w:hAnsi="Times New Roman"/>
        </w:rPr>
      </w:pPr>
      <w:r w:rsidRPr="005D3633">
        <w:rPr>
          <w:rFonts w:ascii="Times New Roman" w:hAnsi="Times New Roman"/>
        </w:rPr>
        <w:t xml:space="preserve">A less frequent collection will not enable the IRS to determine if the filer should be granted an extension of time to file the information returns in accordance with Internal Revenue Code </w:t>
      </w:r>
      <w:r>
        <w:rPr>
          <w:rFonts w:ascii="Times New Roman" w:hAnsi="Times New Roman"/>
        </w:rPr>
        <w:t>section</w:t>
      </w:r>
      <w:r w:rsidRPr="005D3633">
        <w:rPr>
          <w:rFonts w:ascii="Times New Roman" w:hAnsi="Times New Roman"/>
        </w:rPr>
        <w:t xml:space="preserve"> 6081</w:t>
      </w:r>
      <w:r w:rsidRPr="00F820CF" w:rsidR="008F187B">
        <w:rPr>
          <w:rFonts w:ascii="Times New Roman" w:hAnsi="Times New Roman"/>
        </w:rPr>
        <w:t>.</w:t>
      </w:r>
    </w:p>
    <w:p w:rsidRPr="00F820CF" w:rsidR="008F187B" w:rsidP="005F3C3B" w:rsidRDefault="008F187B">
      <w:pPr>
        <w:ind w:left="720"/>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SPECIAL CIRCUMSTANCES REQUIRING DATA COLLECTION TO BE</w:t>
      </w:r>
      <w:r w:rsidRPr="00F820CF">
        <w:rPr>
          <w:rFonts w:ascii="Times New Roman" w:hAnsi="Times New Roman"/>
        </w:rPr>
        <w:t xml:space="preserve">     </w:t>
      </w:r>
      <w:r w:rsidRPr="00F820CF">
        <w:rPr>
          <w:rFonts w:ascii="Times New Roman" w:hAnsi="Times New Roman"/>
          <w:u w:val="single"/>
        </w:rPr>
        <w:t>INCONSISTENT WITH GUIDELINES IN 5 CFR 1320.5(d)(2)</w:t>
      </w:r>
    </w:p>
    <w:p w:rsidRPr="00F820CF" w:rsidR="0042327E" w:rsidRDefault="0042327E">
      <w:pPr>
        <w:rPr>
          <w:rFonts w:ascii="Times New Roman" w:hAnsi="Times New Roman"/>
        </w:rPr>
      </w:pPr>
    </w:p>
    <w:p w:rsidRPr="00F820CF" w:rsidR="0042327E" w:rsidRDefault="005F3C3B">
      <w:pPr>
        <w:ind w:left="720"/>
        <w:rPr>
          <w:rFonts w:ascii="Times New Roman" w:hAnsi="Times New Roman"/>
        </w:rPr>
      </w:pPr>
      <w:r w:rsidRPr="00F820CF">
        <w:rPr>
          <w:rFonts w:ascii="Times New Roman" w:hAnsi="Times New Roman"/>
        </w:rPr>
        <w:t>There are no special circumstances requiring data collection to be inconsistent with Guidelines in 5 CFR 1320.5(d)(2)</w:t>
      </w:r>
      <w:r w:rsidRPr="00F820CF" w:rsidR="0042327E">
        <w:rPr>
          <w:rFonts w:ascii="Times New Roman" w:hAnsi="Times New Roman"/>
        </w:rPr>
        <w:t>.</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CONSULTATION WITH INDIVIDUALS OUTSIDE OF THE AGENCY ON</w:t>
      </w:r>
      <w:r w:rsidRPr="00F820CF">
        <w:rPr>
          <w:rFonts w:ascii="Times New Roman" w:hAnsi="Times New Roman"/>
        </w:rPr>
        <w:t xml:space="preserve">     </w:t>
      </w:r>
      <w:r w:rsidRPr="00F820CF">
        <w:rPr>
          <w:rFonts w:ascii="Times New Roman" w:hAnsi="Times New Roman"/>
          <w:u w:val="single"/>
        </w:rPr>
        <w:t>AVAILABILITY OF DATA, FREQUENCY OF COLLECTION, CLARITY OF INSTRUCTIONS AND FORMS, AND DATA ELEMENTS</w:t>
      </w:r>
    </w:p>
    <w:p w:rsidRPr="00F820CF" w:rsidR="0042327E" w:rsidRDefault="0042327E">
      <w:pPr>
        <w:rPr>
          <w:rFonts w:ascii="Times New Roman" w:hAnsi="Times New Roman"/>
        </w:rPr>
      </w:pPr>
    </w:p>
    <w:p w:rsidRPr="00125AD0" w:rsidR="00125AD0" w:rsidP="00125AD0" w:rsidRDefault="00125AD0">
      <w:pPr>
        <w:ind w:left="720"/>
        <w:rPr>
          <w:rFonts w:ascii="Times New Roman" w:hAnsi="Times New Roman"/>
        </w:rPr>
      </w:pPr>
      <w:r w:rsidRPr="00125AD0">
        <w:rPr>
          <w:rFonts w:ascii="Times New Roman" w:hAnsi="Times New Roman"/>
        </w:rPr>
        <w:t>On August</w:t>
      </w:r>
      <w:r>
        <w:rPr>
          <w:rFonts w:ascii="Times New Roman" w:hAnsi="Times New Roman"/>
        </w:rPr>
        <w:t xml:space="preserve"> </w:t>
      </w:r>
      <w:r w:rsidRPr="00125AD0">
        <w:rPr>
          <w:rFonts w:ascii="Times New Roman" w:hAnsi="Times New Roman"/>
        </w:rPr>
        <w:t>13, 2015, the IRS published in the</w:t>
      </w:r>
      <w:r>
        <w:rPr>
          <w:rFonts w:ascii="Times New Roman" w:hAnsi="Times New Roman"/>
        </w:rPr>
        <w:t xml:space="preserve"> </w:t>
      </w:r>
      <w:r w:rsidRPr="00125AD0">
        <w:rPr>
          <w:rFonts w:ascii="Times New Roman" w:hAnsi="Times New Roman"/>
        </w:rPr>
        <w:t>Federal Register temporary regulations</w:t>
      </w:r>
      <w:r>
        <w:rPr>
          <w:rFonts w:ascii="Times New Roman" w:hAnsi="Times New Roman"/>
        </w:rPr>
        <w:t xml:space="preserve"> </w:t>
      </w:r>
      <w:r w:rsidRPr="00125AD0">
        <w:rPr>
          <w:rFonts w:ascii="Times New Roman" w:hAnsi="Times New Roman"/>
        </w:rPr>
        <w:t>(TD 9730 (80 FR 48433)) under</w:t>
      </w:r>
      <w:r>
        <w:rPr>
          <w:rFonts w:ascii="Times New Roman" w:hAnsi="Times New Roman"/>
        </w:rPr>
        <w:t xml:space="preserve"> </w:t>
      </w:r>
      <w:r w:rsidRPr="00125AD0">
        <w:rPr>
          <w:rFonts w:ascii="Times New Roman" w:hAnsi="Times New Roman"/>
        </w:rPr>
        <w:t>§ 1.6081–8T removing the automatic 30-day extension of time to file the Form</w:t>
      </w:r>
      <w:r>
        <w:rPr>
          <w:rFonts w:ascii="Times New Roman" w:hAnsi="Times New Roman"/>
        </w:rPr>
        <w:t xml:space="preserve"> </w:t>
      </w:r>
      <w:r w:rsidRPr="00125AD0">
        <w:rPr>
          <w:rFonts w:ascii="Times New Roman" w:hAnsi="Times New Roman"/>
        </w:rPr>
        <w:t>W–2 series (except Form W–2G,</w:t>
      </w:r>
      <w:r>
        <w:rPr>
          <w:rFonts w:ascii="Times New Roman" w:hAnsi="Times New Roman"/>
        </w:rPr>
        <w:t xml:space="preserve"> </w:t>
      </w:r>
      <w:r w:rsidRPr="00125AD0">
        <w:rPr>
          <w:rFonts w:ascii="Times New Roman" w:hAnsi="Times New Roman"/>
        </w:rPr>
        <w:t>‘‘Certain Gambling</w:t>
      </w:r>
      <w:r>
        <w:rPr>
          <w:rFonts w:ascii="Times New Roman" w:hAnsi="Times New Roman"/>
        </w:rPr>
        <w:t xml:space="preserve"> </w:t>
      </w:r>
      <w:r w:rsidRPr="00125AD0">
        <w:rPr>
          <w:rFonts w:ascii="Times New Roman" w:hAnsi="Times New Roman"/>
        </w:rPr>
        <w:t>Winnings’’) and</w:t>
      </w:r>
      <w:r>
        <w:rPr>
          <w:rFonts w:ascii="Times New Roman" w:hAnsi="Times New Roman"/>
        </w:rPr>
        <w:t xml:space="preserve"> </w:t>
      </w:r>
      <w:r w:rsidRPr="00125AD0">
        <w:rPr>
          <w:rFonts w:ascii="Times New Roman" w:hAnsi="Times New Roman"/>
        </w:rPr>
        <w:t>providing a single non-automatic 30-day</w:t>
      </w:r>
      <w:r>
        <w:rPr>
          <w:rFonts w:ascii="Times New Roman" w:hAnsi="Times New Roman"/>
        </w:rPr>
        <w:t xml:space="preserve"> </w:t>
      </w:r>
      <w:r w:rsidRPr="00125AD0">
        <w:rPr>
          <w:rFonts w:ascii="Times New Roman" w:hAnsi="Times New Roman"/>
        </w:rPr>
        <w:t>extension of time to file these forms.</w:t>
      </w:r>
      <w:r>
        <w:rPr>
          <w:rFonts w:ascii="Times New Roman" w:hAnsi="Times New Roman"/>
        </w:rPr>
        <w:t xml:space="preserve">  </w:t>
      </w:r>
      <w:r w:rsidRPr="00125AD0">
        <w:rPr>
          <w:rFonts w:ascii="Times New Roman" w:hAnsi="Times New Roman"/>
        </w:rPr>
        <w:t>The temporary regulations also updated</w:t>
      </w:r>
      <w:r>
        <w:rPr>
          <w:rFonts w:ascii="Times New Roman" w:hAnsi="Times New Roman"/>
        </w:rPr>
        <w:t xml:space="preserve"> </w:t>
      </w:r>
      <w:r w:rsidRPr="00125AD0">
        <w:rPr>
          <w:rFonts w:ascii="Times New Roman" w:hAnsi="Times New Roman"/>
        </w:rPr>
        <w:t>the list of information returns eligible</w:t>
      </w:r>
    </w:p>
    <w:p w:rsidR="0011637B" w:rsidP="00125AD0" w:rsidRDefault="00125AD0">
      <w:pPr>
        <w:ind w:left="720"/>
        <w:rPr>
          <w:rFonts w:ascii="Times New Roman" w:hAnsi="Times New Roman"/>
        </w:rPr>
      </w:pPr>
      <w:r w:rsidRPr="00125AD0">
        <w:rPr>
          <w:rFonts w:ascii="Times New Roman" w:hAnsi="Times New Roman"/>
        </w:rPr>
        <w:t>for an extension of time to file. The</w:t>
      </w:r>
      <w:r>
        <w:rPr>
          <w:rFonts w:ascii="Times New Roman" w:hAnsi="Times New Roman"/>
        </w:rPr>
        <w:t xml:space="preserve"> </w:t>
      </w:r>
      <w:r w:rsidRPr="00125AD0">
        <w:rPr>
          <w:rFonts w:ascii="Times New Roman" w:hAnsi="Times New Roman"/>
        </w:rPr>
        <w:t>temporary regulations were applicable</w:t>
      </w:r>
      <w:r>
        <w:rPr>
          <w:rFonts w:ascii="Times New Roman" w:hAnsi="Times New Roman"/>
        </w:rPr>
        <w:t xml:space="preserve"> </w:t>
      </w:r>
      <w:r w:rsidRPr="00125AD0">
        <w:rPr>
          <w:rFonts w:ascii="Times New Roman" w:hAnsi="Times New Roman"/>
        </w:rPr>
        <w:t>for requests for extension of time to file</w:t>
      </w:r>
      <w:r>
        <w:rPr>
          <w:rFonts w:ascii="Times New Roman" w:hAnsi="Times New Roman"/>
        </w:rPr>
        <w:t xml:space="preserve"> </w:t>
      </w:r>
      <w:r w:rsidRPr="00125AD0">
        <w:rPr>
          <w:rFonts w:ascii="Times New Roman" w:hAnsi="Times New Roman"/>
        </w:rPr>
        <w:t>information returns due after December</w:t>
      </w:r>
      <w:r>
        <w:rPr>
          <w:rFonts w:ascii="Times New Roman" w:hAnsi="Times New Roman"/>
        </w:rPr>
        <w:t xml:space="preserve"> </w:t>
      </w:r>
      <w:r w:rsidRPr="00125AD0">
        <w:rPr>
          <w:rFonts w:ascii="Times New Roman" w:hAnsi="Times New Roman"/>
        </w:rPr>
        <w:t>31, 2016. The temporary regulations</w:t>
      </w:r>
      <w:r>
        <w:rPr>
          <w:rFonts w:ascii="Times New Roman" w:hAnsi="Times New Roman"/>
        </w:rPr>
        <w:t xml:space="preserve"> </w:t>
      </w:r>
      <w:r w:rsidRPr="00125AD0">
        <w:rPr>
          <w:rFonts w:ascii="Times New Roman" w:hAnsi="Times New Roman"/>
        </w:rPr>
        <w:t>were set to expire August 10, 2018, but</w:t>
      </w:r>
      <w:r>
        <w:rPr>
          <w:rFonts w:ascii="Times New Roman" w:hAnsi="Times New Roman"/>
        </w:rPr>
        <w:t xml:space="preserve"> </w:t>
      </w:r>
      <w:r w:rsidRPr="00125AD0">
        <w:rPr>
          <w:rFonts w:ascii="Times New Roman" w:hAnsi="Times New Roman"/>
        </w:rPr>
        <w:t>they are removed by Treasury</w:t>
      </w:r>
      <w:r>
        <w:rPr>
          <w:rFonts w:ascii="Times New Roman" w:hAnsi="Times New Roman"/>
        </w:rPr>
        <w:t xml:space="preserve"> </w:t>
      </w:r>
      <w:r w:rsidRPr="00125AD0">
        <w:rPr>
          <w:rFonts w:ascii="Times New Roman" w:hAnsi="Times New Roman"/>
        </w:rPr>
        <w:t>Decision</w:t>
      </w:r>
      <w:r>
        <w:rPr>
          <w:rFonts w:ascii="Times New Roman" w:hAnsi="Times New Roman"/>
        </w:rPr>
        <w:t xml:space="preserve"> 9838 (83 F.R. 38023)</w:t>
      </w:r>
      <w:r w:rsidRPr="00125AD0">
        <w:rPr>
          <w:rFonts w:ascii="Times New Roman" w:hAnsi="Times New Roman"/>
        </w:rPr>
        <w:t>.</w:t>
      </w:r>
      <w:r>
        <w:rPr>
          <w:rFonts w:ascii="Times New Roman" w:hAnsi="Times New Roman"/>
        </w:rPr>
        <w:t xml:space="preserve"> </w:t>
      </w:r>
    </w:p>
    <w:p w:rsidR="00125AD0" w:rsidP="00125AD0" w:rsidRDefault="00125AD0">
      <w:pPr>
        <w:ind w:left="720"/>
        <w:rPr>
          <w:rFonts w:ascii="Times New Roman" w:hAnsi="Times New Roman"/>
        </w:rPr>
      </w:pPr>
    </w:p>
    <w:p w:rsidRPr="00125AD0" w:rsidR="00125AD0" w:rsidP="00125AD0" w:rsidRDefault="00125AD0">
      <w:pPr>
        <w:ind w:left="720"/>
        <w:rPr>
          <w:rFonts w:ascii="Times New Roman" w:hAnsi="Times New Roman"/>
        </w:rPr>
      </w:pPr>
      <w:r w:rsidRPr="00125AD0">
        <w:rPr>
          <w:rFonts w:ascii="Times New Roman" w:hAnsi="Times New Roman"/>
        </w:rPr>
        <w:t>A notice of proposed rulemaking</w:t>
      </w:r>
      <w:r>
        <w:rPr>
          <w:rFonts w:ascii="Times New Roman" w:hAnsi="Times New Roman"/>
        </w:rPr>
        <w:t xml:space="preserve"> </w:t>
      </w:r>
      <w:r w:rsidRPr="00125AD0">
        <w:rPr>
          <w:rFonts w:ascii="Times New Roman" w:hAnsi="Times New Roman"/>
        </w:rPr>
        <w:t>(REG–132075–14 (80 FR 48472)) cross</w:t>
      </w:r>
      <w:r>
        <w:rPr>
          <w:rFonts w:ascii="Times New Roman" w:hAnsi="Times New Roman"/>
        </w:rPr>
        <w:t>-</w:t>
      </w:r>
      <w:r w:rsidRPr="00125AD0">
        <w:rPr>
          <w:rFonts w:ascii="Times New Roman" w:hAnsi="Times New Roman"/>
        </w:rPr>
        <w:t>referencing</w:t>
      </w:r>
      <w:r>
        <w:rPr>
          <w:rFonts w:ascii="Times New Roman" w:hAnsi="Times New Roman"/>
        </w:rPr>
        <w:t xml:space="preserve"> </w:t>
      </w:r>
      <w:r w:rsidRPr="00125AD0">
        <w:rPr>
          <w:rFonts w:ascii="Times New Roman" w:hAnsi="Times New Roman"/>
        </w:rPr>
        <w:t>the temporary regulations</w:t>
      </w:r>
      <w:r>
        <w:rPr>
          <w:rFonts w:ascii="Times New Roman" w:hAnsi="Times New Roman"/>
        </w:rPr>
        <w:t xml:space="preserve"> </w:t>
      </w:r>
      <w:r w:rsidRPr="00125AD0">
        <w:rPr>
          <w:rFonts w:ascii="Times New Roman" w:hAnsi="Times New Roman"/>
        </w:rPr>
        <w:t>was published in the Federal Register</w:t>
      </w:r>
      <w:r>
        <w:rPr>
          <w:rFonts w:ascii="Times New Roman" w:hAnsi="Times New Roman"/>
        </w:rPr>
        <w:t xml:space="preserve"> </w:t>
      </w:r>
      <w:r w:rsidRPr="00125AD0">
        <w:rPr>
          <w:rFonts w:ascii="Times New Roman" w:hAnsi="Times New Roman"/>
        </w:rPr>
        <w:t>the same day the temporary regulations</w:t>
      </w:r>
      <w:r>
        <w:rPr>
          <w:rFonts w:ascii="Times New Roman" w:hAnsi="Times New Roman"/>
        </w:rPr>
        <w:t xml:space="preserve"> </w:t>
      </w:r>
      <w:r w:rsidRPr="00125AD0">
        <w:rPr>
          <w:rFonts w:ascii="Times New Roman" w:hAnsi="Times New Roman"/>
        </w:rPr>
        <w:t>were published. The notice of proposed</w:t>
      </w:r>
      <w:r>
        <w:rPr>
          <w:rFonts w:ascii="Times New Roman" w:hAnsi="Times New Roman"/>
        </w:rPr>
        <w:t xml:space="preserve"> </w:t>
      </w:r>
      <w:r w:rsidRPr="00125AD0">
        <w:rPr>
          <w:rFonts w:ascii="Times New Roman" w:hAnsi="Times New Roman"/>
        </w:rPr>
        <w:t>rulemaking contains proposed</w:t>
      </w:r>
      <w:r>
        <w:rPr>
          <w:rFonts w:ascii="Times New Roman" w:hAnsi="Times New Roman"/>
        </w:rPr>
        <w:t xml:space="preserve"> </w:t>
      </w:r>
      <w:r w:rsidRPr="00125AD0">
        <w:rPr>
          <w:rFonts w:ascii="Times New Roman" w:hAnsi="Times New Roman"/>
        </w:rPr>
        <w:t>regulations that would remove the</w:t>
      </w:r>
      <w:r>
        <w:rPr>
          <w:rFonts w:ascii="Times New Roman" w:hAnsi="Times New Roman"/>
        </w:rPr>
        <w:t xml:space="preserve"> </w:t>
      </w:r>
      <w:r w:rsidRPr="00125AD0">
        <w:rPr>
          <w:rFonts w:ascii="Times New Roman" w:hAnsi="Times New Roman"/>
        </w:rPr>
        <w:t>automatic 30-day extension of time to</w:t>
      </w:r>
      <w:r>
        <w:rPr>
          <w:rFonts w:ascii="Times New Roman" w:hAnsi="Times New Roman"/>
        </w:rPr>
        <w:t xml:space="preserve"> </w:t>
      </w:r>
      <w:r w:rsidRPr="00125AD0">
        <w:rPr>
          <w:rFonts w:ascii="Times New Roman" w:hAnsi="Times New Roman"/>
        </w:rPr>
        <w:t>file all information returns subject to the</w:t>
      </w:r>
      <w:r>
        <w:rPr>
          <w:rFonts w:ascii="Times New Roman" w:hAnsi="Times New Roman"/>
        </w:rPr>
        <w:t xml:space="preserve"> </w:t>
      </w:r>
      <w:r w:rsidRPr="00125AD0">
        <w:rPr>
          <w:rFonts w:ascii="Times New Roman" w:hAnsi="Times New Roman"/>
        </w:rPr>
        <w:t>rules formerly under § 1.6081–8 and</w:t>
      </w:r>
      <w:r>
        <w:rPr>
          <w:rFonts w:ascii="Times New Roman" w:hAnsi="Times New Roman"/>
        </w:rPr>
        <w:t xml:space="preserve"> </w:t>
      </w:r>
      <w:r w:rsidRPr="00125AD0">
        <w:rPr>
          <w:rFonts w:ascii="Times New Roman" w:hAnsi="Times New Roman"/>
        </w:rPr>
        <w:t>provide a single non-automatic 30-day</w:t>
      </w:r>
      <w:r>
        <w:rPr>
          <w:rFonts w:ascii="Times New Roman" w:hAnsi="Times New Roman"/>
        </w:rPr>
        <w:t xml:space="preserve"> </w:t>
      </w:r>
      <w:r w:rsidRPr="00125AD0">
        <w:rPr>
          <w:rFonts w:ascii="Times New Roman" w:hAnsi="Times New Roman"/>
        </w:rPr>
        <w:t>extension of time to file those</w:t>
      </w:r>
      <w:r>
        <w:rPr>
          <w:rFonts w:ascii="Times New Roman" w:hAnsi="Times New Roman"/>
        </w:rPr>
        <w:t xml:space="preserve"> </w:t>
      </w:r>
      <w:r w:rsidRPr="00125AD0">
        <w:rPr>
          <w:rFonts w:ascii="Times New Roman" w:hAnsi="Times New Roman"/>
        </w:rPr>
        <w:t>information returns. The IRS received</w:t>
      </w:r>
      <w:r>
        <w:rPr>
          <w:rFonts w:ascii="Times New Roman" w:hAnsi="Times New Roman"/>
        </w:rPr>
        <w:t xml:space="preserve"> </w:t>
      </w:r>
      <w:r w:rsidRPr="00125AD0">
        <w:rPr>
          <w:rFonts w:ascii="Times New Roman" w:hAnsi="Times New Roman"/>
        </w:rPr>
        <w:t>comments on the notice of proposed</w:t>
      </w:r>
      <w:r>
        <w:rPr>
          <w:rFonts w:ascii="Times New Roman" w:hAnsi="Times New Roman"/>
        </w:rPr>
        <w:t xml:space="preserve"> </w:t>
      </w:r>
      <w:r w:rsidRPr="00125AD0">
        <w:rPr>
          <w:rFonts w:ascii="Times New Roman" w:hAnsi="Times New Roman"/>
        </w:rPr>
        <w:t>rulemaking, but no public hearing was</w:t>
      </w:r>
    </w:p>
    <w:p w:rsidRPr="00125AD0" w:rsidR="00125AD0" w:rsidP="00125AD0" w:rsidRDefault="00125AD0">
      <w:pPr>
        <w:ind w:left="720"/>
        <w:rPr>
          <w:rFonts w:ascii="Times New Roman" w:hAnsi="Times New Roman"/>
        </w:rPr>
      </w:pPr>
      <w:r w:rsidRPr="00125AD0">
        <w:rPr>
          <w:rFonts w:ascii="Times New Roman" w:hAnsi="Times New Roman"/>
        </w:rPr>
        <w:t>requested or held. After consideration of</w:t>
      </w:r>
      <w:r>
        <w:rPr>
          <w:rFonts w:ascii="Times New Roman" w:hAnsi="Times New Roman"/>
        </w:rPr>
        <w:t xml:space="preserve"> </w:t>
      </w:r>
      <w:r w:rsidRPr="00125AD0">
        <w:rPr>
          <w:rFonts w:ascii="Times New Roman" w:hAnsi="Times New Roman"/>
        </w:rPr>
        <w:t>the comments, this Treasury Decision</w:t>
      </w:r>
    </w:p>
    <w:p w:rsidRPr="00125AD0" w:rsidR="00125AD0" w:rsidP="00125AD0" w:rsidRDefault="00125AD0">
      <w:pPr>
        <w:ind w:left="720"/>
        <w:rPr>
          <w:rFonts w:ascii="Times New Roman" w:hAnsi="Times New Roman"/>
        </w:rPr>
      </w:pPr>
      <w:r w:rsidRPr="00125AD0">
        <w:rPr>
          <w:rFonts w:ascii="Times New Roman" w:hAnsi="Times New Roman"/>
        </w:rPr>
        <w:t>adopts the proposed regulations only</w:t>
      </w:r>
      <w:r>
        <w:rPr>
          <w:rFonts w:ascii="Times New Roman" w:hAnsi="Times New Roman"/>
        </w:rPr>
        <w:t xml:space="preserve"> </w:t>
      </w:r>
      <w:r w:rsidRPr="00125AD0">
        <w:rPr>
          <w:rFonts w:ascii="Times New Roman" w:hAnsi="Times New Roman"/>
        </w:rPr>
        <w:t>with respect to the removal of the</w:t>
      </w:r>
      <w:r>
        <w:rPr>
          <w:rFonts w:ascii="Times New Roman" w:hAnsi="Times New Roman"/>
        </w:rPr>
        <w:t xml:space="preserve"> </w:t>
      </w:r>
      <w:r w:rsidRPr="00125AD0">
        <w:rPr>
          <w:rFonts w:ascii="Times New Roman" w:hAnsi="Times New Roman"/>
        </w:rPr>
        <w:t>automatic extension of time to file the</w:t>
      </w:r>
      <w:r>
        <w:rPr>
          <w:rFonts w:ascii="Times New Roman" w:hAnsi="Times New Roman"/>
        </w:rPr>
        <w:t xml:space="preserve"> </w:t>
      </w:r>
      <w:r w:rsidRPr="00125AD0">
        <w:rPr>
          <w:rFonts w:ascii="Times New Roman" w:hAnsi="Times New Roman"/>
        </w:rPr>
        <w:t>Form W–2 series (except Form W–2G)</w:t>
      </w:r>
      <w:r>
        <w:rPr>
          <w:rFonts w:ascii="Times New Roman" w:hAnsi="Times New Roman"/>
        </w:rPr>
        <w:t xml:space="preserve"> </w:t>
      </w:r>
      <w:r w:rsidRPr="00125AD0">
        <w:rPr>
          <w:rFonts w:ascii="Times New Roman" w:hAnsi="Times New Roman"/>
        </w:rPr>
        <w:t>and forms reporting nonemployee</w:t>
      </w:r>
      <w:r>
        <w:rPr>
          <w:rFonts w:ascii="Times New Roman" w:hAnsi="Times New Roman"/>
        </w:rPr>
        <w:t xml:space="preserve"> </w:t>
      </w:r>
      <w:r w:rsidRPr="00125AD0">
        <w:rPr>
          <w:rFonts w:ascii="Times New Roman" w:hAnsi="Times New Roman"/>
        </w:rPr>
        <w:t>compensation (currently Form 1099–MISC, ‘‘Miscellaneous Income,’’ with</w:t>
      </w:r>
      <w:r>
        <w:rPr>
          <w:rFonts w:ascii="Times New Roman" w:hAnsi="Times New Roman"/>
        </w:rPr>
        <w:t xml:space="preserve"> </w:t>
      </w:r>
      <w:r w:rsidRPr="00125AD0">
        <w:rPr>
          <w:rFonts w:ascii="Times New Roman" w:hAnsi="Times New Roman"/>
        </w:rPr>
        <w:t>information in box 7). The automatic</w:t>
      </w:r>
      <w:r>
        <w:rPr>
          <w:rFonts w:ascii="Times New Roman" w:hAnsi="Times New Roman"/>
        </w:rPr>
        <w:t xml:space="preserve"> </w:t>
      </w:r>
      <w:r w:rsidRPr="00125AD0">
        <w:rPr>
          <w:rFonts w:ascii="Times New Roman" w:hAnsi="Times New Roman"/>
        </w:rPr>
        <w:t>extension of time to file is retained for</w:t>
      </w:r>
    </w:p>
    <w:p w:rsidRPr="00125AD0" w:rsidR="00125AD0" w:rsidP="00125AD0" w:rsidRDefault="00125AD0">
      <w:pPr>
        <w:ind w:left="720"/>
        <w:rPr>
          <w:rFonts w:ascii="Times New Roman" w:hAnsi="Times New Roman"/>
        </w:rPr>
      </w:pPr>
      <w:r w:rsidRPr="00125AD0">
        <w:rPr>
          <w:rFonts w:ascii="Times New Roman" w:hAnsi="Times New Roman"/>
        </w:rPr>
        <w:t>Form W–2G, Form 1042–S, ‘‘Foreign</w:t>
      </w:r>
      <w:r>
        <w:rPr>
          <w:rFonts w:ascii="Times New Roman" w:hAnsi="Times New Roman"/>
        </w:rPr>
        <w:t xml:space="preserve"> </w:t>
      </w:r>
      <w:r w:rsidRPr="00125AD0">
        <w:rPr>
          <w:rFonts w:ascii="Times New Roman" w:hAnsi="Times New Roman"/>
        </w:rPr>
        <w:t>Person’s U.S. Source Income Subject to</w:t>
      </w:r>
    </w:p>
    <w:p w:rsidRPr="00125AD0" w:rsidR="00125AD0" w:rsidP="00125AD0" w:rsidRDefault="00125AD0">
      <w:pPr>
        <w:ind w:left="720"/>
        <w:rPr>
          <w:rFonts w:ascii="Times New Roman" w:hAnsi="Times New Roman"/>
        </w:rPr>
      </w:pPr>
      <w:r w:rsidRPr="00125AD0">
        <w:rPr>
          <w:rFonts w:ascii="Times New Roman" w:hAnsi="Times New Roman"/>
        </w:rPr>
        <w:t>Withholding,’’ Form 1094–C,</w:t>
      </w:r>
      <w:r>
        <w:rPr>
          <w:rFonts w:ascii="Times New Roman" w:hAnsi="Times New Roman"/>
        </w:rPr>
        <w:t xml:space="preserve"> </w:t>
      </w:r>
      <w:r w:rsidRPr="00125AD0">
        <w:rPr>
          <w:rFonts w:ascii="Times New Roman" w:hAnsi="Times New Roman"/>
        </w:rPr>
        <w:t>‘‘Transmittal of Employer-Provided</w:t>
      </w:r>
      <w:r>
        <w:rPr>
          <w:rFonts w:ascii="Times New Roman" w:hAnsi="Times New Roman"/>
        </w:rPr>
        <w:t xml:space="preserve"> </w:t>
      </w:r>
      <w:r w:rsidRPr="00125AD0">
        <w:rPr>
          <w:rFonts w:ascii="Times New Roman" w:hAnsi="Times New Roman"/>
        </w:rPr>
        <w:t>Health Insurance Offer and Coverage</w:t>
      </w:r>
      <w:r>
        <w:rPr>
          <w:rFonts w:ascii="Times New Roman" w:hAnsi="Times New Roman"/>
        </w:rPr>
        <w:t xml:space="preserve"> </w:t>
      </w:r>
      <w:r w:rsidRPr="00125AD0">
        <w:rPr>
          <w:rFonts w:ascii="Times New Roman" w:hAnsi="Times New Roman"/>
        </w:rPr>
        <w:t>Information Returns,’’ Form 1095–B,</w:t>
      </w:r>
      <w:r>
        <w:rPr>
          <w:rFonts w:ascii="Times New Roman" w:hAnsi="Times New Roman"/>
        </w:rPr>
        <w:t xml:space="preserve"> </w:t>
      </w:r>
      <w:r w:rsidRPr="00125AD0">
        <w:rPr>
          <w:rFonts w:ascii="Times New Roman" w:hAnsi="Times New Roman"/>
        </w:rPr>
        <w:t>‘‘Health Coverage,’’ Form 1095–C,</w:t>
      </w:r>
      <w:r>
        <w:rPr>
          <w:rFonts w:ascii="Times New Roman" w:hAnsi="Times New Roman"/>
        </w:rPr>
        <w:t xml:space="preserve"> </w:t>
      </w:r>
      <w:r w:rsidRPr="00125AD0">
        <w:rPr>
          <w:rFonts w:ascii="Times New Roman" w:hAnsi="Times New Roman"/>
        </w:rPr>
        <w:t>‘‘Employer-Provided Health Insurance</w:t>
      </w:r>
      <w:r>
        <w:rPr>
          <w:rFonts w:ascii="Times New Roman" w:hAnsi="Times New Roman"/>
        </w:rPr>
        <w:t xml:space="preserve"> </w:t>
      </w:r>
      <w:r w:rsidRPr="00125AD0">
        <w:rPr>
          <w:rFonts w:ascii="Times New Roman" w:hAnsi="Times New Roman"/>
        </w:rPr>
        <w:t>Offer and Coverage,’’ Form 3921,</w:t>
      </w:r>
    </w:p>
    <w:p w:rsidRPr="00125AD0" w:rsidR="00125AD0" w:rsidP="00125AD0" w:rsidRDefault="00125AD0">
      <w:pPr>
        <w:ind w:left="720"/>
        <w:rPr>
          <w:rFonts w:ascii="Times New Roman" w:hAnsi="Times New Roman"/>
        </w:rPr>
      </w:pPr>
      <w:r w:rsidRPr="00125AD0">
        <w:rPr>
          <w:rFonts w:ascii="Times New Roman" w:hAnsi="Times New Roman"/>
        </w:rPr>
        <w:t>‘‘Exercise of an Incentive Stock Option</w:t>
      </w:r>
      <w:r>
        <w:rPr>
          <w:rFonts w:ascii="Times New Roman" w:hAnsi="Times New Roman"/>
        </w:rPr>
        <w:t xml:space="preserve"> </w:t>
      </w:r>
      <w:r w:rsidRPr="00125AD0">
        <w:rPr>
          <w:rFonts w:ascii="Times New Roman" w:hAnsi="Times New Roman"/>
        </w:rPr>
        <w:t>Under Section 422(b),’’ Form 3922,</w:t>
      </w:r>
    </w:p>
    <w:p w:rsidRPr="00125AD0" w:rsidR="00125AD0" w:rsidP="00125AD0" w:rsidRDefault="00125AD0">
      <w:pPr>
        <w:ind w:left="720"/>
        <w:rPr>
          <w:rFonts w:ascii="Times New Roman" w:hAnsi="Times New Roman"/>
        </w:rPr>
      </w:pPr>
      <w:r w:rsidRPr="00125AD0">
        <w:rPr>
          <w:rFonts w:ascii="Times New Roman" w:hAnsi="Times New Roman"/>
        </w:rPr>
        <w:t>‘‘Transfer of Stock Acquired Through an</w:t>
      </w:r>
      <w:r>
        <w:rPr>
          <w:rFonts w:ascii="Times New Roman" w:hAnsi="Times New Roman"/>
        </w:rPr>
        <w:t xml:space="preserve"> </w:t>
      </w:r>
      <w:r w:rsidRPr="00125AD0">
        <w:rPr>
          <w:rFonts w:ascii="Times New Roman" w:hAnsi="Times New Roman"/>
        </w:rPr>
        <w:t>Employee Stock Purchase Plan Under</w:t>
      </w:r>
    </w:p>
    <w:p w:rsidR="00125AD0" w:rsidP="00125AD0" w:rsidRDefault="00125AD0">
      <w:pPr>
        <w:ind w:left="720"/>
        <w:rPr>
          <w:rFonts w:ascii="Times New Roman" w:hAnsi="Times New Roman"/>
        </w:rPr>
      </w:pPr>
      <w:r w:rsidRPr="00125AD0">
        <w:rPr>
          <w:rFonts w:ascii="Times New Roman" w:hAnsi="Times New Roman"/>
        </w:rPr>
        <w:t>Section 423(c),’’ and Form 8027,</w:t>
      </w:r>
      <w:r>
        <w:rPr>
          <w:rFonts w:ascii="Times New Roman" w:hAnsi="Times New Roman"/>
        </w:rPr>
        <w:t xml:space="preserve"> </w:t>
      </w:r>
      <w:r w:rsidRPr="00125AD0">
        <w:rPr>
          <w:rFonts w:ascii="Times New Roman" w:hAnsi="Times New Roman"/>
        </w:rPr>
        <w:t>‘‘Employer’s Annual Information Return</w:t>
      </w:r>
      <w:r>
        <w:rPr>
          <w:rFonts w:ascii="Times New Roman" w:hAnsi="Times New Roman"/>
        </w:rPr>
        <w:t xml:space="preserve"> </w:t>
      </w:r>
      <w:r w:rsidRPr="00125AD0">
        <w:rPr>
          <w:rFonts w:ascii="Times New Roman" w:hAnsi="Times New Roman"/>
        </w:rPr>
        <w:t>of Tip Income and Allocated Tips,’’ the</w:t>
      </w:r>
      <w:r>
        <w:rPr>
          <w:rFonts w:ascii="Times New Roman" w:hAnsi="Times New Roman"/>
        </w:rPr>
        <w:t xml:space="preserve"> </w:t>
      </w:r>
      <w:r w:rsidRPr="00125AD0">
        <w:rPr>
          <w:rFonts w:ascii="Times New Roman" w:hAnsi="Times New Roman"/>
        </w:rPr>
        <w:t>Form 1097 series, Form 1098 series,</w:t>
      </w:r>
      <w:r>
        <w:rPr>
          <w:rFonts w:ascii="Times New Roman" w:hAnsi="Times New Roman"/>
        </w:rPr>
        <w:t xml:space="preserve"> </w:t>
      </w:r>
      <w:r w:rsidRPr="00125AD0">
        <w:rPr>
          <w:rFonts w:ascii="Times New Roman" w:hAnsi="Times New Roman"/>
        </w:rPr>
        <w:t>Form 1099 series (except forms</w:t>
      </w:r>
      <w:r>
        <w:rPr>
          <w:rFonts w:ascii="Times New Roman" w:hAnsi="Times New Roman"/>
        </w:rPr>
        <w:t xml:space="preserve"> </w:t>
      </w:r>
      <w:r w:rsidRPr="00125AD0">
        <w:rPr>
          <w:rFonts w:ascii="Times New Roman" w:hAnsi="Times New Roman"/>
        </w:rPr>
        <w:t>reporting nonemployee compensation),</w:t>
      </w:r>
      <w:r>
        <w:rPr>
          <w:rFonts w:ascii="Times New Roman" w:hAnsi="Times New Roman"/>
        </w:rPr>
        <w:t xml:space="preserve"> </w:t>
      </w:r>
      <w:r w:rsidRPr="00125AD0">
        <w:rPr>
          <w:rFonts w:ascii="Times New Roman" w:hAnsi="Times New Roman"/>
        </w:rPr>
        <w:t>and Form 5498 series.</w:t>
      </w:r>
    </w:p>
    <w:p w:rsidRPr="00125AD0" w:rsidR="00125AD0" w:rsidP="00125AD0" w:rsidRDefault="00125AD0">
      <w:pPr>
        <w:ind w:left="720"/>
        <w:rPr>
          <w:rFonts w:ascii="Times New Roman" w:hAnsi="Times New Roman"/>
        </w:rPr>
      </w:pPr>
    </w:p>
    <w:p w:rsidR="00BC6ED7" w:rsidP="00BC6ED7" w:rsidRDefault="007A52E6">
      <w:pPr>
        <w:ind w:left="720"/>
        <w:rPr>
          <w:rFonts w:ascii="Times New Roman" w:hAnsi="Times New Roman"/>
        </w:rPr>
      </w:pPr>
      <w:r w:rsidRPr="007A52E6">
        <w:rPr>
          <w:rFonts w:ascii="Times New Roman" w:hAnsi="Times New Roman"/>
        </w:rPr>
        <w:t xml:space="preserve">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w:t>
      </w:r>
      <w:r w:rsidR="005D3633">
        <w:rPr>
          <w:rFonts w:ascii="Times New Roman" w:hAnsi="Times New Roman"/>
        </w:rPr>
        <w:t>8809</w:t>
      </w:r>
      <w:r w:rsidRPr="00BC6ED7" w:rsidR="00BC6ED7">
        <w:rPr>
          <w:rFonts w:ascii="Times New Roman" w:hAnsi="Times New Roman"/>
        </w:rPr>
        <w:t>.</w:t>
      </w:r>
    </w:p>
    <w:p w:rsidR="00BC6ED7" w:rsidRDefault="00BC6ED7">
      <w:pPr>
        <w:ind w:left="720"/>
        <w:rPr>
          <w:rFonts w:ascii="Times New Roman" w:hAnsi="Times New Roman"/>
        </w:rPr>
      </w:pPr>
    </w:p>
    <w:p w:rsidR="006F7C8C" w:rsidRDefault="006F7C8C">
      <w:pPr>
        <w:ind w:left="720"/>
        <w:rPr>
          <w:rFonts w:ascii="Times New Roman" w:hAnsi="Times New Roman"/>
        </w:rPr>
      </w:pPr>
    </w:p>
    <w:p w:rsidRPr="00F820CF" w:rsidR="0042327E" w:rsidRDefault="0042327E">
      <w:pPr>
        <w:ind w:left="720"/>
        <w:rPr>
          <w:rFonts w:ascii="Times New Roman" w:hAnsi="Times New Roman"/>
        </w:rPr>
      </w:pPr>
      <w:r w:rsidRPr="00F820CF">
        <w:rPr>
          <w:rFonts w:ascii="Times New Roman" w:hAnsi="Times New Roman"/>
        </w:rPr>
        <w:lastRenderedPageBreak/>
        <w:t>We received no comments during the comment period in response to the</w:t>
      </w:r>
      <w:r w:rsidRPr="00F820CF">
        <w:rPr>
          <w:rFonts w:ascii="Times New Roman" w:hAnsi="Times New Roman"/>
          <w:b/>
          <w:bCs/>
        </w:rPr>
        <w:t xml:space="preserve"> Federal Register</w:t>
      </w:r>
      <w:r w:rsidRPr="00F820CF">
        <w:rPr>
          <w:rFonts w:ascii="Times New Roman" w:hAnsi="Times New Roman"/>
        </w:rPr>
        <w:t xml:space="preserve"> notice</w:t>
      </w:r>
      <w:r w:rsidRPr="00F820CF" w:rsidR="00CF6A91">
        <w:rPr>
          <w:rFonts w:ascii="Times New Roman" w:hAnsi="Times New Roman"/>
        </w:rPr>
        <w:t xml:space="preserve"> (</w:t>
      </w:r>
      <w:r w:rsidRPr="00F820CF" w:rsidR="005F3C3B">
        <w:rPr>
          <w:rFonts w:ascii="Times New Roman" w:hAnsi="Times New Roman"/>
        </w:rPr>
        <w:t>8</w:t>
      </w:r>
      <w:r w:rsidR="00AE66E5">
        <w:rPr>
          <w:rFonts w:ascii="Times New Roman" w:hAnsi="Times New Roman"/>
        </w:rPr>
        <w:t>4</w:t>
      </w:r>
      <w:r w:rsidRPr="00F820CF" w:rsidR="00CF6A91">
        <w:rPr>
          <w:rFonts w:ascii="Times New Roman" w:hAnsi="Times New Roman"/>
        </w:rPr>
        <w:t xml:space="preserve"> FR </w:t>
      </w:r>
      <w:r w:rsidR="0048109C">
        <w:rPr>
          <w:rFonts w:ascii="Times New Roman" w:hAnsi="Times New Roman"/>
        </w:rPr>
        <w:t>66054</w:t>
      </w:r>
      <w:r w:rsidRPr="00F820CF" w:rsidR="00CF6A91">
        <w:rPr>
          <w:rFonts w:ascii="Times New Roman" w:hAnsi="Times New Roman"/>
        </w:rPr>
        <w:t xml:space="preserve">), </w:t>
      </w:r>
      <w:r w:rsidRPr="00F820CF">
        <w:rPr>
          <w:rFonts w:ascii="Times New Roman" w:hAnsi="Times New Roman"/>
        </w:rPr>
        <w:t xml:space="preserve">dated </w:t>
      </w:r>
      <w:r w:rsidR="00871A8E">
        <w:rPr>
          <w:rFonts w:ascii="Times New Roman" w:hAnsi="Times New Roman"/>
        </w:rPr>
        <w:t>December</w:t>
      </w:r>
      <w:r w:rsidRPr="00F820CF" w:rsidR="005F3C3B">
        <w:rPr>
          <w:rFonts w:ascii="Times New Roman" w:hAnsi="Times New Roman"/>
        </w:rPr>
        <w:t xml:space="preserve"> </w:t>
      </w:r>
      <w:r w:rsidR="0048109C">
        <w:rPr>
          <w:rFonts w:ascii="Times New Roman" w:hAnsi="Times New Roman"/>
        </w:rPr>
        <w:t>2</w:t>
      </w:r>
      <w:r w:rsidRPr="00F820CF" w:rsidR="00094223">
        <w:rPr>
          <w:rFonts w:ascii="Times New Roman" w:hAnsi="Times New Roman"/>
        </w:rPr>
        <w:t>, 201</w:t>
      </w:r>
      <w:r w:rsidR="00AE66E5">
        <w:rPr>
          <w:rFonts w:ascii="Times New Roman" w:hAnsi="Times New Roman"/>
        </w:rPr>
        <w:t>9</w:t>
      </w:r>
      <w:r w:rsidRPr="00F820CF">
        <w:rPr>
          <w:rFonts w:ascii="Times New Roman" w:hAnsi="Times New Roman"/>
        </w:rPr>
        <w:t xml:space="preserve">. </w:t>
      </w:r>
    </w:p>
    <w:p w:rsidRPr="00F820CF" w:rsidR="0042327E" w:rsidRDefault="0042327E">
      <w:pPr>
        <w:tabs>
          <w:tab w:val="center" w:pos="4680"/>
        </w:tabs>
        <w:rPr>
          <w:rFonts w:ascii="Times New Roman" w:hAnsi="Times New Roman"/>
        </w:rPr>
      </w:pPr>
      <w:r w:rsidRPr="00F820CF">
        <w:rPr>
          <w:rFonts w:ascii="Times New Roman" w:hAnsi="Times New Roman"/>
        </w:rPr>
        <w:tab/>
        <w:t xml:space="preserve"> </w:t>
      </w: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EXPLANATION OF DECISION TO PROVIDE ANY PAYMENT OR GIFT TO</w:t>
      </w:r>
      <w:r w:rsidRPr="00F820CF">
        <w:rPr>
          <w:rFonts w:ascii="Times New Roman" w:hAnsi="Times New Roman"/>
        </w:rPr>
        <w:t xml:space="preserve">   </w:t>
      </w:r>
      <w:r w:rsidRPr="00F820CF">
        <w:rPr>
          <w:rFonts w:ascii="Times New Roman" w:hAnsi="Times New Roman"/>
          <w:u w:val="single"/>
        </w:rPr>
        <w:t>RESPONDENTS</w:t>
      </w:r>
    </w:p>
    <w:p w:rsidRPr="00F820CF" w:rsidR="0042327E" w:rsidRDefault="0042327E">
      <w:pPr>
        <w:rPr>
          <w:rFonts w:ascii="Times New Roman" w:hAnsi="Times New Roman"/>
        </w:rPr>
      </w:pPr>
    </w:p>
    <w:p w:rsidRPr="00F820CF" w:rsidR="0042327E" w:rsidRDefault="008F187B">
      <w:pPr>
        <w:ind w:left="720"/>
        <w:rPr>
          <w:rFonts w:ascii="Times New Roman" w:hAnsi="Times New Roman"/>
        </w:rPr>
      </w:pPr>
      <w:r w:rsidRPr="00F820CF">
        <w:rPr>
          <w:rFonts w:ascii="Times New Roman" w:hAnsi="Times New Roman"/>
        </w:rPr>
        <w:t>No payment or gift has been provided to any respondents</w:t>
      </w:r>
      <w:r w:rsidRPr="00F820CF" w:rsidR="0042327E">
        <w:rPr>
          <w:rFonts w:ascii="Times New Roman" w:hAnsi="Times New Roman"/>
        </w:rPr>
        <w:t>.</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ASSURANCE OF CONFIDENTIALITY OF RESPONSES</w:t>
      </w:r>
    </w:p>
    <w:p w:rsidRPr="00F820CF" w:rsidR="0042327E" w:rsidRDefault="0042327E">
      <w:pPr>
        <w:rPr>
          <w:rFonts w:ascii="Times New Roman" w:hAnsi="Times New Roman"/>
        </w:rPr>
      </w:pPr>
    </w:p>
    <w:p w:rsidRPr="00F820CF" w:rsidR="0042327E" w:rsidRDefault="0042327E">
      <w:pPr>
        <w:ind w:left="720"/>
        <w:rPr>
          <w:rFonts w:ascii="Times New Roman" w:hAnsi="Times New Roman"/>
        </w:rPr>
      </w:pPr>
      <w:r w:rsidRPr="00F820CF">
        <w:rPr>
          <w:rFonts w:ascii="Times New Roman" w:hAnsi="Times New Roman"/>
        </w:rPr>
        <w:t>Generally, tax returns and tax return information are confidential as required by 26 USC 6103.</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u w:val="single"/>
        </w:rPr>
      </w:pPr>
      <w:r w:rsidRPr="00F820CF">
        <w:rPr>
          <w:rFonts w:ascii="Times New Roman" w:hAnsi="Times New Roman"/>
          <w:u w:val="single"/>
        </w:rPr>
        <w:t>JUSTIFICATION OF SENSITIVE QUESTIONS</w:t>
      </w:r>
    </w:p>
    <w:p w:rsidRPr="00F820CF" w:rsidR="0042327E" w:rsidRDefault="0042327E">
      <w:pPr>
        <w:rPr>
          <w:rFonts w:ascii="Times New Roman" w:hAnsi="Times New Roman"/>
          <w:u w:val="single"/>
        </w:rPr>
      </w:pPr>
    </w:p>
    <w:p w:rsidRPr="005D3633" w:rsidR="005D3633" w:rsidP="005D3633" w:rsidRDefault="005D3633">
      <w:pPr>
        <w:ind w:left="720"/>
        <w:rPr>
          <w:rFonts w:ascii="Times New Roman" w:hAnsi="Times New Roman"/>
        </w:rPr>
      </w:pPr>
      <w:r w:rsidRPr="005D3633">
        <w:rPr>
          <w:rFonts w:ascii="Times New Roman" w:hAnsi="Times New Roman"/>
        </w:rPr>
        <w:t xml:space="preserve">A privacy impact assessment (PIA) has been conducted for information collected under this request as part of the “Filing Information Returns Electronically (FIRE)” system and Privacy Act System of Records notices (SORN) have been issued for this system under IRS 22.026 – Form 1042–S Index by Name of Recipient; IRS 22.061 – Wage and Information Returns Processing; IRS 42.021 – Compliance Programs and Projects Files, and IRS 34.037–IRS Audit Trails and Security Records System. </w:t>
      </w:r>
    </w:p>
    <w:p w:rsidRPr="005D3633" w:rsidR="005D3633" w:rsidP="005D3633" w:rsidRDefault="005D3633">
      <w:pPr>
        <w:ind w:left="720"/>
        <w:rPr>
          <w:rFonts w:ascii="Times New Roman" w:hAnsi="Times New Roman"/>
        </w:rPr>
      </w:pPr>
    </w:p>
    <w:p w:rsidRPr="00F820CF" w:rsidR="0042327E" w:rsidP="005D3633" w:rsidRDefault="005D3633">
      <w:pPr>
        <w:ind w:left="720"/>
        <w:rPr>
          <w:rFonts w:ascii="Times New Roman" w:hAnsi="Times New Roman"/>
        </w:rPr>
      </w:pPr>
      <w:r w:rsidRPr="005D3633">
        <w:rPr>
          <w:rFonts w:ascii="Times New Roman" w:hAnsi="Times New Roman"/>
        </w:rPr>
        <w:t>The Department of Treasury PIAs can be found at https://www.irs.gov/uac/Privacy-Impact-Assessments-PIA. Title 26 USC 6109 requires inclusion of identifying numbers in returns, statements, or other documents for securing proper identification of persons required to make such returns, statements, or documents and is the authority for social security numbers (SSNs) in IRS systems</w:t>
      </w:r>
      <w:r w:rsidRPr="00F820CF" w:rsidR="0042327E">
        <w:rPr>
          <w:rFonts w:ascii="Times New Roman" w:hAnsi="Times New Roman"/>
        </w:rPr>
        <w:t>.</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u w:val="single"/>
        </w:rPr>
      </w:pPr>
      <w:r w:rsidRPr="00F820CF">
        <w:rPr>
          <w:rFonts w:ascii="Times New Roman" w:hAnsi="Times New Roman"/>
          <w:u w:val="single"/>
        </w:rPr>
        <w:t>ESTIMATED BURDEN OF INFORMATION COLLECTION</w:t>
      </w:r>
    </w:p>
    <w:p w:rsidRPr="00F820CF" w:rsidR="0042327E" w:rsidRDefault="0042327E">
      <w:pPr>
        <w:rPr>
          <w:rFonts w:ascii="Times New Roman" w:hAnsi="Times New Roman"/>
          <w:u w:val="single"/>
        </w:rPr>
      </w:pPr>
    </w:p>
    <w:p w:rsidRPr="00F820CF" w:rsidR="0042327E" w:rsidRDefault="0042327E">
      <w:pPr>
        <w:rPr>
          <w:rFonts w:ascii="Times New Roman" w:hAnsi="Times New Roman"/>
          <w:u w:val="single"/>
        </w:rPr>
        <w:sectPr w:rsidRPr="00F820CF" w:rsidR="0042327E">
          <w:headerReference w:type="default" r:id="rId8"/>
          <w:type w:val="continuous"/>
          <w:pgSz w:w="12240" w:h="15840"/>
          <w:pgMar w:top="1440" w:right="1440" w:bottom="1440" w:left="1440" w:header="1440" w:footer="1440" w:gutter="0"/>
          <w:cols w:space="720"/>
          <w:noEndnote/>
        </w:sectPr>
      </w:pPr>
    </w:p>
    <w:p w:rsidRPr="006D7970" w:rsidR="006847A9" w:rsidRDefault="006D7970">
      <w:pPr>
        <w:ind w:left="720"/>
        <w:rPr>
          <w:rFonts w:ascii="Times New Roman" w:hAnsi="Times New Roman"/>
        </w:rPr>
      </w:pPr>
      <w:r w:rsidRPr="006D7970">
        <w:rPr>
          <w:rFonts w:ascii="Times New Roman" w:hAnsi="Times New Roman"/>
        </w:rPr>
        <w:t xml:space="preserve">Use Form 8809 to request an initial or additional extension of time to file the </w:t>
      </w:r>
      <w:r>
        <w:rPr>
          <w:rFonts w:ascii="Times New Roman" w:hAnsi="Times New Roman"/>
        </w:rPr>
        <w:t xml:space="preserve">specific </w:t>
      </w:r>
      <w:r w:rsidRPr="006D7970">
        <w:rPr>
          <w:rFonts w:ascii="Times New Roman" w:hAnsi="Times New Roman"/>
        </w:rPr>
        <w:t>forms shown on line 6 for the current tax year.</w:t>
      </w:r>
      <w:r>
        <w:rPr>
          <w:rFonts w:ascii="Times New Roman" w:hAnsi="Times New Roman"/>
        </w:rPr>
        <w:t xml:space="preserve">  </w:t>
      </w:r>
      <w:r w:rsidRPr="006D7970">
        <w:rPr>
          <w:rFonts w:ascii="Times New Roman" w:hAnsi="Times New Roman"/>
        </w:rPr>
        <w:t>Payers/filers who need more time to file information returns with the IRS should file this form before the filing due date.</w:t>
      </w:r>
    </w:p>
    <w:p w:rsidRPr="005D3633" w:rsidR="00274F60" w:rsidP="006D7970" w:rsidRDefault="00274F60">
      <w:pPr>
        <w:ind w:left="720"/>
        <w:rPr>
          <w:rFonts w:ascii="Times New Roman" w:hAnsi="Times New Roman"/>
          <w:strike/>
        </w:rPr>
      </w:pPr>
    </w:p>
    <w:p w:rsidRPr="00F820CF" w:rsidR="0042327E" w:rsidRDefault="0042327E">
      <w:pPr>
        <w:ind w:left="720"/>
        <w:rPr>
          <w:rFonts w:ascii="Times New Roman" w:hAnsi="Times New Roman"/>
        </w:rPr>
      </w:pPr>
      <w:r w:rsidRPr="007F62D2">
        <w:rPr>
          <w:rFonts w:ascii="Times New Roman" w:hAnsi="Times New Roman"/>
        </w:rPr>
        <w:t xml:space="preserve">  The total burden for these requirements is estimated to be </w:t>
      </w:r>
      <w:r w:rsidRPr="00635AB7" w:rsidR="00635AB7">
        <w:rPr>
          <w:rFonts w:ascii="Times New Roman" w:hAnsi="Times New Roman"/>
        </w:rPr>
        <w:t>237,000</w:t>
      </w:r>
      <w:r w:rsidRPr="007F62D2">
        <w:rPr>
          <w:rFonts w:ascii="Times New Roman" w:hAnsi="Times New Roman"/>
        </w:rPr>
        <w:t xml:space="preserve"> hours</w:t>
      </w:r>
      <w:r w:rsidRPr="00F820CF">
        <w:rPr>
          <w:rFonts w:ascii="Times New Roman" w:hAnsi="Times New Roman"/>
        </w:rPr>
        <w:t>.</w:t>
      </w:r>
    </w:p>
    <w:p w:rsidRPr="00F820CF" w:rsidR="0042327E" w:rsidRDefault="0042327E">
      <w:pPr>
        <w:rPr>
          <w:rFonts w:ascii="Times New Roman" w:hAnsi="Times New Roman"/>
        </w:rPr>
      </w:pPr>
    </w:p>
    <w:tbl>
      <w:tblPr>
        <w:tblW w:w="8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930637" w:rsidR="005D3633" w:rsidTr="00423ACB">
        <w:tc>
          <w:tcPr>
            <w:tcW w:w="1258" w:type="dxa"/>
            <w:shd w:val="clear" w:color="auto" w:fill="auto"/>
            <w:vAlign w:val="bottom"/>
          </w:tcPr>
          <w:p w:rsidRPr="00930637" w:rsidR="005D3633" w:rsidP="00423ACB" w:rsidRDefault="005D3633">
            <w:pPr>
              <w:numPr>
                <w:ilvl w:val="12"/>
                <w:numId w:val="0"/>
              </w:numPr>
              <w:jc w:val="center"/>
              <w:rPr>
                <w:rFonts w:ascii="Arial Narrow" w:hAnsi="Arial Narrow"/>
                <w:b/>
                <w:sz w:val="18"/>
                <w:szCs w:val="18"/>
              </w:rPr>
            </w:pPr>
            <w:r>
              <w:rPr>
                <w:rFonts w:ascii="Arial Narrow" w:hAnsi="Arial Narrow"/>
                <w:b/>
                <w:sz w:val="18"/>
                <w:szCs w:val="18"/>
              </w:rPr>
              <w:t>Authority</w:t>
            </w:r>
          </w:p>
        </w:tc>
        <w:tc>
          <w:tcPr>
            <w:tcW w:w="1916" w:type="dxa"/>
            <w:vAlign w:val="bottom"/>
          </w:tcPr>
          <w:p w:rsidRPr="00930637" w:rsidR="005D3633" w:rsidP="00423ACB" w:rsidRDefault="005D3633">
            <w:pPr>
              <w:numPr>
                <w:ilvl w:val="12"/>
                <w:numId w:val="0"/>
              </w:numPr>
              <w:jc w:val="center"/>
              <w:rPr>
                <w:rFonts w:ascii="Arial Narrow" w:hAnsi="Arial Narrow"/>
                <w:b/>
                <w:sz w:val="18"/>
                <w:szCs w:val="18"/>
              </w:rPr>
            </w:pPr>
            <w:r w:rsidRPr="00930637">
              <w:rPr>
                <w:rFonts w:ascii="Arial Narrow" w:hAnsi="Arial Narrow"/>
                <w:b/>
                <w:sz w:val="18"/>
                <w:szCs w:val="18"/>
              </w:rPr>
              <w:t>Description</w:t>
            </w:r>
          </w:p>
        </w:tc>
        <w:tc>
          <w:tcPr>
            <w:tcW w:w="1170" w:type="dxa"/>
            <w:vAlign w:val="bottom"/>
          </w:tcPr>
          <w:p w:rsidRPr="00930637" w:rsidR="005D3633" w:rsidP="00423ACB" w:rsidRDefault="005D3633">
            <w:pPr>
              <w:numPr>
                <w:ilvl w:val="12"/>
                <w:numId w:val="0"/>
              </w:numPr>
              <w:jc w:val="center"/>
              <w:rPr>
                <w:rFonts w:ascii="Arial Narrow" w:hAnsi="Arial Narrow"/>
                <w:b/>
                <w:sz w:val="18"/>
                <w:szCs w:val="18"/>
              </w:rPr>
            </w:pPr>
            <w:r>
              <w:rPr>
                <w:rFonts w:ascii="Arial Narrow" w:hAnsi="Arial Narrow"/>
                <w:b/>
                <w:sz w:val="18"/>
                <w:szCs w:val="18"/>
              </w:rPr>
              <w:t># of Respondents</w:t>
            </w:r>
          </w:p>
        </w:tc>
        <w:tc>
          <w:tcPr>
            <w:tcW w:w="1170" w:type="dxa"/>
            <w:vAlign w:val="bottom"/>
          </w:tcPr>
          <w:p w:rsidRPr="00930637" w:rsidR="005D3633" w:rsidP="00423ACB" w:rsidRDefault="005D3633">
            <w:pPr>
              <w:numPr>
                <w:ilvl w:val="12"/>
                <w:numId w:val="0"/>
              </w:numPr>
              <w:jc w:val="center"/>
              <w:rPr>
                <w:rFonts w:ascii="Arial Narrow" w:hAnsi="Arial Narrow"/>
                <w:b/>
                <w:sz w:val="18"/>
                <w:szCs w:val="18"/>
              </w:rPr>
            </w:pPr>
            <w:r>
              <w:rPr>
                <w:rFonts w:ascii="Arial Narrow" w:hAnsi="Arial Narrow"/>
                <w:b/>
                <w:sz w:val="18"/>
                <w:szCs w:val="18"/>
              </w:rPr>
              <w:t># Responses per Respondent</w:t>
            </w:r>
          </w:p>
        </w:tc>
        <w:tc>
          <w:tcPr>
            <w:tcW w:w="1080" w:type="dxa"/>
            <w:shd w:val="clear" w:color="auto" w:fill="auto"/>
            <w:vAlign w:val="bottom"/>
          </w:tcPr>
          <w:p w:rsidRPr="00930637" w:rsidR="005D3633" w:rsidP="00423ACB" w:rsidRDefault="005D3633">
            <w:pPr>
              <w:numPr>
                <w:ilvl w:val="12"/>
                <w:numId w:val="0"/>
              </w:numPr>
              <w:jc w:val="center"/>
              <w:rPr>
                <w:rFonts w:ascii="Arial Narrow" w:hAnsi="Arial Narrow"/>
                <w:b/>
                <w:sz w:val="18"/>
                <w:szCs w:val="18"/>
              </w:rPr>
            </w:pPr>
            <w:r>
              <w:rPr>
                <w:rFonts w:ascii="Arial Narrow" w:hAnsi="Arial Narrow"/>
                <w:b/>
                <w:sz w:val="18"/>
                <w:szCs w:val="18"/>
              </w:rPr>
              <w:t xml:space="preserve">Annual </w:t>
            </w:r>
            <w:r w:rsidRPr="00930637">
              <w:rPr>
                <w:rFonts w:ascii="Arial Narrow" w:hAnsi="Arial Narrow"/>
                <w:b/>
                <w:sz w:val="18"/>
                <w:szCs w:val="18"/>
              </w:rPr>
              <w:t>Responses</w:t>
            </w:r>
          </w:p>
        </w:tc>
        <w:tc>
          <w:tcPr>
            <w:tcW w:w="1170" w:type="dxa"/>
            <w:vAlign w:val="bottom"/>
          </w:tcPr>
          <w:p w:rsidRPr="00930637" w:rsidR="005D3633" w:rsidP="00423ACB" w:rsidRDefault="005D3633">
            <w:pPr>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170" w:type="dxa"/>
            <w:shd w:val="clear" w:color="auto" w:fill="auto"/>
            <w:vAlign w:val="bottom"/>
          </w:tcPr>
          <w:p w:rsidRPr="00930637" w:rsidR="005D3633" w:rsidP="00423ACB" w:rsidRDefault="005D3633">
            <w:pPr>
              <w:numPr>
                <w:ilvl w:val="12"/>
                <w:numId w:val="0"/>
              </w:numPr>
              <w:jc w:val="center"/>
              <w:rPr>
                <w:rFonts w:ascii="Arial Narrow" w:hAnsi="Arial Narrow"/>
                <w:b/>
                <w:sz w:val="18"/>
                <w:szCs w:val="18"/>
              </w:rPr>
            </w:pPr>
            <w:r w:rsidRPr="00930637">
              <w:rPr>
                <w:rFonts w:ascii="Arial Narrow" w:hAnsi="Arial Narrow"/>
                <w:b/>
                <w:sz w:val="18"/>
                <w:szCs w:val="18"/>
              </w:rPr>
              <w:t>Total Burden</w:t>
            </w:r>
          </w:p>
        </w:tc>
      </w:tr>
      <w:tr w:rsidRPr="00930637" w:rsidR="005D3633" w:rsidTr="00423ACB">
        <w:tc>
          <w:tcPr>
            <w:tcW w:w="1258" w:type="dxa"/>
            <w:shd w:val="clear" w:color="auto" w:fill="auto"/>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IRC § 6801</w:t>
            </w:r>
          </w:p>
        </w:tc>
        <w:tc>
          <w:tcPr>
            <w:tcW w:w="1916" w:type="dxa"/>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Form 8809</w:t>
            </w: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4.74</w:t>
            </w:r>
          </w:p>
        </w:tc>
        <w:tc>
          <w:tcPr>
            <w:tcW w:w="1170" w:type="dxa"/>
            <w:shd w:val="clear" w:color="auto" w:fill="auto"/>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237,000</w:t>
            </w:r>
          </w:p>
        </w:tc>
      </w:tr>
      <w:tr w:rsidRPr="00930637" w:rsidR="005D3633" w:rsidTr="00423ACB">
        <w:tc>
          <w:tcPr>
            <w:tcW w:w="1258" w:type="dxa"/>
            <w:shd w:val="clear" w:color="auto" w:fill="auto"/>
            <w:vAlign w:val="bottom"/>
          </w:tcPr>
          <w:p w:rsidRPr="00930637" w:rsidR="005D3633" w:rsidP="00423ACB" w:rsidRDefault="005D3633">
            <w:pPr>
              <w:numPr>
                <w:ilvl w:val="12"/>
                <w:numId w:val="0"/>
              </w:numPr>
              <w:jc w:val="center"/>
              <w:rPr>
                <w:rFonts w:ascii="Arial Narrow" w:hAnsi="Arial Narrow"/>
                <w:sz w:val="18"/>
                <w:szCs w:val="18"/>
              </w:rPr>
            </w:pPr>
            <w:r w:rsidRPr="00930637">
              <w:rPr>
                <w:rFonts w:ascii="Arial Narrow" w:hAnsi="Arial Narrow"/>
                <w:sz w:val="18"/>
                <w:szCs w:val="18"/>
              </w:rPr>
              <w:t>Totals</w:t>
            </w:r>
          </w:p>
        </w:tc>
        <w:tc>
          <w:tcPr>
            <w:tcW w:w="1916" w:type="dxa"/>
            <w:vAlign w:val="bottom"/>
          </w:tcPr>
          <w:p w:rsidRPr="00930637" w:rsidR="005D3633" w:rsidP="00423ACB" w:rsidRDefault="005D3633">
            <w:pPr>
              <w:numPr>
                <w:ilvl w:val="12"/>
                <w:numId w:val="0"/>
              </w:numPr>
              <w:jc w:val="center"/>
              <w:rPr>
                <w:rFonts w:ascii="Arial Narrow" w:hAnsi="Arial Narrow"/>
                <w:sz w:val="18"/>
                <w:szCs w:val="18"/>
              </w:rPr>
            </w:pP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p>
        </w:tc>
        <w:tc>
          <w:tcPr>
            <w:tcW w:w="1080" w:type="dxa"/>
            <w:shd w:val="clear" w:color="auto" w:fill="auto"/>
            <w:vAlign w:val="bottom"/>
          </w:tcPr>
          <w:p w:rsidRPr="00930637" w:rsidR="005D3633" w:rsidP="00423ACB" w:rsidRDefault="005D3633">
            <w:pPr>
              <w:numPr>
                <w:ilvl w:val="12"/>
                <w:numId w:val="0"/>
              </w:numPr>
              <w:jc w:val="center"/>
              <w:rPr>
                <w:rFonts w:ascii="Arial Narrow" w:hAnsi="Arial Narrow"/>
                <w:sz w:val="18"/>
                <w:szCs w:val="18"/>
              </w:rPr>
            </w:pPr>
            <w:r>
              <w:rPr>
                <w:rFonts w:ascii="Arial Narrow" w:hAnsi="Arial Narrow"/>
                <w:sz w:val="18"/>
                <w:szCs w:val="18"/>
              </w:rPr>
              <w:t>50,000</w:t>
            </w:r>
          </w:p>
        </w:tc>
        <w:tc>
          <w:tcPr>
            <w:tcW w:w="1170" w:type="dxa"/>
            <w:vAlign w:val="bottom"/>
          </w:tcPr>
          <w:p w:rsidRPr="00930637" w:rsidR="005D3633" w:rsidP="00423ACB" w:rsidRDefault="005D3633">
            <w:pPr>
              <w:numPr>
                <w:ilvl w:val="12"/>
                <w:numId w:val="0"/>
              </w:numPr>
              <w:jc w:val="center"/>
              <w:rPr>
                <w:rFonts w:ascii="Arial Narrow" w:hAnsi="Arial Narrow"/>
                <w:sz w:val="18"/>
                <w:szCs w:val="18"/>
              </w:rPr>
            </w:pPr>
          </w:p>
        </w:tc>
        <w:tc>
          <w:tcPr>
            <w:tcW w:w="1170" w:type="dxa"/>
            <w:shd w:val="clear" w:color="auto" w:fill="auto"/>
            <w:vAlign w:val="bottom"/>
          </w:tcPr>
          <w:p w:rsidRPr="000F3D31" w:rsidR="005D3633" w:rsidP="00423ACB" w:rsidRDefault="005D3633">
            <w:pPr>
              <w:numPr>
                <w:ilvl w:val="12"/>
                <w:numId w:val="0"/>
              </w:numPr>
              <w:jc w:val="center"/>
              <w:rPr>
                <w:rFonts w:ascii="Arial Narrow" w:hAnsi="Arial Narrow"/>
                <w:b/>
                <w:sz w:val="18"/>
                <w:szCs w:val="18"/>
              </w:rPr>
            </w:pPr>
            <w:r>
              <w:rPr>
                <w:rFonts w:ascii="Arial Narrow" w:hAnsi="Arial Narrow"/>
                <w:sz w:val="18"/>
                <w:szCs w:val="18"/>
              </w:rPr>
              <w:t>237,000</w:t>
            </w:r>
          </w:p>
        </w:tc>
      </w:tr>
    </w:tbl>
    <w:p w:rsidR="0042327E" w:rsidRDefault="0042327E">
      <w:pPr>
        <w:rPr>
          <w:rFonts w:ascii="Times New Roman" w:hAnsi="Times New Roman"/>
        </w:rPr>
      </w:pPr>
      <w:r w:rsidRPr="00F820CF">
        <w:rPr>
          <w:rFonts w:ascii="Times New Roman" w:hAnsi="Times New Roman"/>
        </w:rPr>
        <w:t xml:space="preserve">     </w:t>
      </w:r>
    </w:p>
    <w:p w:rsidRPr="00635AB7" w:rsidR="00895219" w:rsidP="00895219" w:rsidRDefault="00895219">
      <w:pPr>
        <w:ind w:left="720"/>
        <w:rPr>
          <w:rFonts w:ascii="Times New Roman" w:hAnsi="Times New Roman"/>
        </w:rPr>
      </w:pPr>
      <w:r w:rsidRPr="00635AB7">
        <w:rPr>
          <w:rFonts w:ascii="Times New Roman" w:hAnsi="Times New Roman"/>
        </w:rPr>
        <w:t>The following regulation imposes no additional burden. Please continue to assign            OMB number 1545-</w:t>
      </w:r>
      <w:r w:rsidR="00635AB7">
        <w:rPr>
          <w:rFonts w:ascii="Times New Roman" w:hAnsi="Times New Roman"/>
        </w:rPr>
        <w:t>1081</w:t>
      </w:r>
      <w:r w:rsidRPr="00635AB7">
        <w:rPr>
          <w:rFonts w:ascii="Times New Roman" w:hAnsi="Times New Roman"/>
        </w:rPr>
        <w:t xml:space="preserve"> to this regulation.</w:t>
      </w:r>
    </w:p>
    <w:p w:rsidR="00895219" w:rsidP="007A52E6" w:rsidRDefault="00895219">
      <w:pPr>
        <w:ind w:left="720" w:firstLine="720"/>
        <w:rPr>
          <w:rFonts w:ascii="Times New Roman" w:hAnsi="Times New Roman"/>
        </w:rPr>
      </w:pPr>
    </w:p>
    <w:p w:rsidR="008F3E03" w:rsidP="007A52E6" w:rsidRDefault="008F3E03">
      <w:pPr>
        <w:ind w:left="720" w:firstLine="720"/>
        <w:rPr>
          <w:rFonts w:ascii="Times New Roman" w:hAnsi="Times New Roman"/>
        </w:rPr>
      </w:pPr>
      <w:r>
        <w:rPr>
          <w:rFonts w:ascii="Times New Roman" w:hAnsi="Times New Roman"/>
        </w:rPr>
        <w:lastRenderedPageBreak/>
        <w:t>1.6081-8</w:t>
      </w:r>
    </w:p>
    <w:p w:rsidRPr="00FE5C44" w:rsidR="00FE5C44" w:rsidP="00FE5C44" w:rsidRDefault="00FE5C44">
      <w:pPr>
        <w:pStyle w:val="Level1"/>
        <w:numPr>
          <w:ilvl w:val="0"/>
          <w:numId w:val="0"/>
        </w:numPr>
        <w:tabs>
          <w:tab w:val="left" w:pos="-1440"/>
        </w:tabs>
        <w:ind w:left="720" w:hanging="720"/>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ESTIMATED TOTAL ANNUAL COST BURDEN TO RESPONDENTS</w:t>
      </w:r>
    </w:p>
    <w:p w:rsidRPr="00F820CF" w:rsidR="0042327E" w:rsidRDefault="0042327E">
      <w:pPr>
        <w:rPr>
          <w:rFonts w:ascii="Times New Roman" w:hAnsi="Times New Roman"/>
        </w:rPr>
      </w:pPr>
    </w:p>
    <w:p w:rsidRPr="00895219" w:rsidR="00895219" w:rsidP="00895219" w:rsidRDefault="00895219">
      <w:pPr>
        <w:ind w:left="720"/>
        <w:rPr>
          <w:rFonts w:ascii="Times New Roman" w:hAnsi="Times New Roman"/>
        </w:rPr>
      </w:pPr>
      <w:r w:rsidRPr="00895219">
        <w:rPr>
          <w:rFonts w:ascii="Times New Roman" w:hAnsi="Times New Roman"/>
        </w:rPr>
        <w:t xml:space="preserve">As suggested by OMB, our Federal Register notice dated </w:t>
      </w:r>
      <w:r w:rsidR="008F3E03">
        <w:rPr>
          <w:rFonts w:ascii="Times New Roman" w:hAnsi="Times New Roman"/>
        </w:rPr>
        <w:t>December</w:t>
      </w:r>
      <w:r w:rsidRPr="00895219">
        <w:rPr>
          <w:rFonts w:ascii="Times New Roman" w:hAnsi="Times New Roman"/>
        </w:rPr>
        <w:t xml:space="preserve"> </w:t>
      </w:r>
      <w:r w:rsidR="0048109C">
        <w:rPr>
          <w:rFonts w:ascii="Times New Roman" w:hAnsi="Times New Roman"/>
        </w:rPr>
        <w:t>2</w:t>
      </w:r>
      <w:r w:rsidRPr="00895219">
        <w:rPr>
          <w:rFonts w:ascii="Times New Roman" w:hAnsi="Times New Roman"/>
        </w:rPr>
        <w:t xml:space="preserve">, 2019,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taxpayers on this subject.  As a result, estimates of these cost burdens are not available currently.  </w:t>
      </w:r>
    </w:p>
    <w:p w:rsidRPr="00895219" w:rsidR="00895219" w:rsidP="00895219" w:rsidRDefault="00895219">
      <w:pPr>
        <w:ind w:left="720"/>
        <w:rPr>
          <w:rFonts w:ascii="Times New Roman" w:hAnsi="Times New Roman"/>
        </w:rPr>
      </w:pPr>
    </w:p>
    <w:p w:rsidRPr="00F820CF" w:rsidR="0042327E" w:rsidP="00895219" w:rsidRDefault="00895219">
      <w:pPr>
        <w:ind w:left="720"/>
        <w:rPr>
          <w:rFonts w:ascii="Times New Roman" w:hAnsi="Times New Roman"/>
        </w:rPr>
      </w:pPr>
      <w:r w:rsidRPr="00895219">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ESTIMATED ANNUALIZED COST TO THE FEDERAL GOVERNMENT</w:t>
      </w:r>
    </w:p>
    <w:p w:rsidRPr="00F820CF" w:rsidR="0042327E" w:rsidRDefault="0042327E">
      <w:pPr>
        <w:rPr>
          <w:rFonts w:ascii="Times New Roman" w:hAnsi="Times New Roman"/>
        </w:rPr>
      </w:pPr>
    </w:p>
    <w:p w:rsidRPr="0009308E" w:rsidR="0009308E" w:rsidP="0009308E" w:rsidRDefault="0009308E">
      <w:pPr>
        <w:ind w:left="720"/>
        <w:rPr>
          <w:rFonts w:ascii="Times New Roman" w:hAnsi="Times New Roman"/>
        </w:rPr>
      </w:pPr>
      <w:bookmarkStart w:name="_Hlk523834409" w:id="1"/>
      <w:r w:rsidRPr="0009308E">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09308E" w:rsidR="0009308E" w:rsidP="0009308E" w:rsidRDefault="0009308E">
      <w:pPr>
        <w:ind w:left="720"/>
        <w:rPr>
          <w:rFonts w:ascii="Times New Roman" w:hAnsi="Times New Roman"/>
        </w:rPr>
      </w:pPr>
    </w:p>
    <w:p w:rsidRPr="0009308E" w:rsidR="0009308E" w:rsidP="0009308E" w:rsidRDefault="0009308E">
      <w:pPr>
        <w:ind w:left="720"/>
        <w:rPr>
          <w:rFonts w:ascii="Times New Roman" w:hAnsi="Times New Roman"/>
        </w:rPr>
      </w:pPr>
      <w:r w:rsidRPr="0009308E">
        <w:rPr>
          <w:rFonts w:ascii="Times New Roman" w:hAnsi="Times New Roman"/>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Pr="0009308E" w:rsidR="0009308E" w:rsidP="0009308E" w:rsidRDefault="0009308E">
      <w:pPr>
        <w:ind w:left="720"/>
        <w:rPr>
          <w:rFonts w:ascii="Times New Roman" w:hAnsi="Times New Roman"/>
        </w:rPr>
      </w:pPr>
    </w:p>
    <w:p w:rsidRPr="0009308E" w:rsidR="0009308E" w:rsidP="0009308E" w:rsidRDefault="0009308E">
      <w:pPr>
        <w:ind w:left="720"/>
        <w:rPr>
          <w:rFonts w:ascii="Times New Roman" w:hAnsi="Times New Roman"/>
        </w:rPr>
      </w:pPr>
      <w:r w:rsidRPr="0009308E">
        <w:rPr>
          <w:rFonts w:ascii="Times New Roman" w:hAnsi="Times New Roman"/>
        </w:rPr>
        <w:t>The government cost estimate for this collection is summarized in the table below.</w:t>
      </w:r>
    </w:p>
    <w:p w:rsidRPr="0009308E" w:rsidR="0009308E" w:rsidP="0009308E" w:rsidRDefault="0009308E">
      <w:pPr>
        <w:ind w:left="720"/>
        <w:rPr>
          <w:rFonts w:ascii="Times New Roman" w:hAnsi="Times New Roman"/>
        </w:rPr>
      </w:pPr>
    </w:p>
    <w:tbl>
      <w:tblPr>
        <w:tblW w:w="8355"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7"/>
        <w:gridCol w:w="1941"/>
        <w:gridCol w:w="293"/>
        <w:gridCol w:w="1763"/>
        <w:gridCol w:w="367"/>
        <w:gridCol w:w="1804"/>
      </w:tblGrid>
      <w:tr w:rsidRPr="0009308E" w:rsidR="0009308E" w:rsidTr="00DF6644">
        <w:tc>
          <w:tcPr>
            <w:tcW w:w="2187" w:type="dxa"/>
            <w:tcBorders>
              <w:top w:val="single" w:color="auto" w:sz="4" w:space="0"/>
              <w:left w:val="single" w:color="auto" w:sz="4" w:space="0"/>
              <w:bottom w:val="single" w:color="auto" w:sz="4" w:space="0"/>
              <w:right w:val="single" w:color="auto" w:sz="4" w:space="0"/>
            </w:tcBorders>
            <w:vAlign w:val="bottom"/>
            <w:hideMark/>
          </w:tcPr>
          <w:p w:rsidRPr="0009308E" w:rsidR="0009308E" w:rsidP="0009308E" w:rsidRDefault="0009308E">
            <w:pPr>
              <w:rPr>
                <w:rFonts w:ascii="Arial Narrow" w:hAnsi="Arial Narrow"/>
                <w:b/>
                <w:sz w:val="18"/>
                <w:szCs w:val="18"/>
                <w:u w:val="single"/>
              </w:rPr>
            </w:pPr>
            <w:r w:rsidRPr="0009308E">
              <w:rPr>
                <w:rFonts w:ascii="Arial Narrow" w:hAnsi="Arial Narrow"/>
                <w:b/>
                <w:sz w:val="18"/>
                <w:szCs w:val="18"/>
                <w:u w:val="single"/>
              </w:rPr>
              <w:t>Product</w:t>
            </w:r>
          </w:p>
        </w:tc>
        <w:tc>
          <w:tcPr>
            <w:tcW w:w="1941" w:type="dxa"/>
            <w:tcBorders>
              <w:top w:val="single" w:color="auto" w:sz="4" w:space="0"/>
              <w:left w:val="single" w:color="auto" w:sz="4" w:space="0"/>
              <w:bottom w:val="single" w:color="auto" w:sz="4" w:space="0"/>
              <w:right w:val="single" w:color="auto" w:sz="4" w:space="0"/>
            </w:tcBorders>
            <w:vAlign w:val="bottom"/>
            <w:hideMark/>
          </w:tcPr>
          <w:p w:rsidRPr="0009308E" w:rsidR="0009308E" w:rsidP="0009308E" w:rsidRDefault="0009308E">
            <w:pPr>
              <w:rPr>
                <w:rFonts w:ascii="Arial Narrow" w:hAnsi="Arial Narrow"/>
                <w:b/>
                <w:sz w:val="18"/>
                <w:szCs w:val="18"/>
                <w:u w:val="single"/>
              </w:rPr>
            </w:pPr>
            <w:r w:rsidRPr="0009308E">
              <w:rPr>
                <w:rFonts w:ascii="Arial Narrow" w:hAnsi="Arial Narrow"/>
                <w:b/>
                <w:sz w:val="18"/>
                <w:szCs w:val="18"/>
                <w:u w:val="single"/>
              </w:rPr>
              <w:t>Aggregate Cost per Product (factor applied)</w:t>
            </w:r>
          </w:p>
        </w:tc>
        <w:tc>
          <w:tcPr>
            <w:tcW w:w="293"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b/>
                <w:sz w:val="18"/>
                <w:szCs w:val="18"/>
                <w:u w:val="single"/>
              </w:rPr>
            </w:pPr>
          </w:p>
        </w:tc>
        <w:tc>
          <w:tcPr>
            <w:tcW w:w="1763" w:type="dxa"/>
            <w:tcBorders>
              <w:top w:val="single" w:color="auto" w:sz="4" w:space="0"/>
              <w:left w:val="single" w:color="auto" w:sz="4" w:space="0"/>
              <w:bottom w:val="single" w:color="auto" w:sz="4" w:space="0"/>
              <w:right w:val="single" w:color="auto" w:sz="4" w:space="0"/>
            </w:tcBorders>
            <w:vAlign w:val="bottom"/>
            <w:hideMark/>
          </w:tcPr>
          <w:p w:rsidRPr="0009308E" w:rsidR="0009308E" w:rsidP="0009308E" w:rsidRDefault="0009308E">
            <w:pPr>
              <w:ind w:left="-6"/>
              <w:rPr>
                <w:rFonts w:ascii="Arial Narrow" w:hAnsi="Arial Narrow"/>
                <w:b/>
                <w:sz w:val="18"/>
                <w:szCs w:val="18"/>
                <w:u w:val="single"/>
              </w:rPr>
            </w:pPr>
            <w:r w:rsidRPr="0009308E">
              <w:rPr>
                <w:rFonts w:ascii="Arial Narrow" w:hAnsi="Arial Narrow"/>
                <w:b/>
                <w:sz w:val="18"/>
                <w:szCs w:val="18"/>
                <w:u w:val="single"/>
              </w:rPr>
              <w:t>Printing and Distribution</w:t>
            </w:r>
          </w:p>
        </w:tc>
        <w:tc>
          <w:tcPr>
            <w:tcW w:w="367"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b/>
                <w:sz w:val="18"/>
                <w:szCs w:val="18"/>
                <w:u w:val="single"/>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Pr="0009308E" w:rsidR="0009308E" w:rsidP="0009308E" w:rsidRDefault="0009308E">
            <w:pPr>
              <w:rPr>
                <w:rFonts w:ascii="Arial Narrow" w:hAnsi="Arial Narrow"/>
                <w:b/>
                <w:sz w:val="18"/>
                <w:szCs w:val="18"/>
                <w:u w:val="single"/>
              </w:rPr>
            </w:pPr>
            <w:r w:rsidRPr="0009308E">
              <w:rPr>
                <w:rFonts w:ascii="Arial Narrow" w:hAnsi="Arial Narrow"/>
                <w:b/>
                <w:sz w:val="18"/>
                <w:szCs w:val="18"/>
                <w:u w:val="single"/>
              </w:rPr>
              <w:t>Government Cost Estimate per Product</w:t>
            </w:r>
          </w:p>
        </w:tc>
      </w:tr>
      <w:tr w:rsidRPr="0009308E" w:rsidR="0009308E" w:rsidTr="005D3633">
        <w:tc>
          <w:tcPr>
            <w:tcW w:w="2187"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09308E">
            <w:pPr>
              <w:rPr>
                <w:rFonts w:ascii="Arial Narrow" w:hAnsi="Arial Narrow"/>
                <w:sz w:val="18"/>
                <w:szCs w:val="18"/>
              </w:rPr>
            </w:pPr>
          </w:p>
        </w:tc>
        <w:tc>
          <w:tcPr>
            <w:tcW w:w="1941"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09308E">
            <w:pPr>
              <w:jc w:val="center"/>
              <w:rPr>
                <w:rFonts w:ascii="Arial Narrow" w:hAnsi="Arial Narrow"/>
                <w:sz w:val="18"/>
                <w:szCs w:val="18"/>
              </w:rPr>
            </w:pPr>
          </w:p>
        </w:tc>
        <w:tc>
          <w:tcPr>
            <w:tcW w:w="293"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sz w:val="18"/>
                <w:szCs w:val="18"/>
              </w:rPr>
            </w:pPr>
          </w:p>
        </w:tc>
        <w:tc>
          <w:tcPr>
            <w:tcW w:w="1763"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6"/>
              <w:jc w:val="center"/>
              <w:rPr>
                <w:rFonts w:ascii="Arial Narrow" w:hAnsi="Arial Narrow"/>
                <w:sz w:val="18"/>
                <w:szCs w:val="18"/>
              </w:rPr>
            </w:pPr>
          </w:p>
        </w:tc>
        <w:tc>
          <w:tcPr>
            <w:tcW w:w="367"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sz w:val="18"/>
                <w:szCs w:val="18"/>
              </w:rPr>
            </w:pPr>
          </w:p>
        </w:tc>
        <w:tc>
          <w:tcPr>
            <w:tcW w:w="1804"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09308E">
            <w:pPr>
              <w:rPr>
                <w:rFonts w:ascii="Arial Narrow" w:hAnsi="Arial Narrow"/>
                <w:sz w:val="18"/>
                <w:szCs w:val="18"/>
              </w:rPr>
            </w:pPr>
          </w:p>
        </w:tc>
      </w:tr>
      <w:tr w:rsidRPr="0009308E" w:rsidR="0009308E" w:rsidTr="00DF6644">
        <w:tc>
          <w:tcPr>
            <w:tcW w:w="2187"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3E0B6E">
            <w:pPr>
              <w:rPr>
                <w:rFonts w:ascii="Arial Narrow" w:hAnsi="Arial Narrow"/>
                <w:sz w:val="18"/>
                <w:szCs w:val="18"/>
              </w:rPr>
            </w:pPr>
            <w:r>
              <w:rPr>
                <w:rFonts w:ascii="Arial Narrow" w:hAnsi="Arial Narrow"/>
                <w:sz w:val="18"/>
                <w:szCs w:val="18"/>
              </w:rPr>
              <w:t>8809</w:t>
            </w:r>
          </w:p>
        </w:tc>
        <w:tc>
          <w:tcPr>
            <w:tcW w:w="1941"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09308E">
            <w:pPr>
              <w:jc w:val="center"/>
              <w:rPr>
                <w:rFonts w:ascii="Arial Narrow" w:hAnsi="Arial Narrow"/>
                <w:sz w:val="18"/>
                <w:szCs w:val="18"/>
              </w:rPr>
            </w:pPr>
            <w:r w:rsidRPr="0009308E">
              <w:rPr>
                <w:rFonts w:ascii="Arial Narrow" w:hAnsi="Arial Narrow"/>
                <w:sz w:val="18"/>
                <w:szCs w:val="18"/>
              </w:rPr>
              <w:t xml:space="preserve">$      </w:t>
            </w:r>
            <w:r w:rsidR="003E0B6E">
              <w:rPr>
                <w:rFonts w:ascii="Arial Narrow" w:hAnsi="Arial Narrow"/>
                <w:sz w:val="18"/>
                <w:szCs w:val="18"/>
              </w:rPr>
              <w:t>14,216</w:t>
            </w:r>
          </w:p>
        </w:tc>
        <w:tc>
          <w:tcPr>
            <w:tcW w:w="293"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sz w:val="18"/>
                <w:szCs w:val="18"/>
              </w:rPr>
            </w:pPr>
          </w:p>
        </w:tc>
        <w:tc>
          <w:tcPr>
            <w:tcW w:w="1763"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6"/>
              <w:jc w:val="center"/>
              <w:rPr>
                <w:rFonts w:ascii="Arial Narrow" w:hAnsi="Arial Narrow"/>
                <w:sz w:val="18"/>
                <w:szCs w:val="18"/>
              </w:rPr>
            </w:pPr>
            <w:r w:rsidRPr="0009308E">
              <w:rPr>
                <w:rFonts w:ascii="Arial Narrow" w:hAnsi="Arial Narrow"/>
                <w:sz w:val="18"/>
                <w:szCs w:val="18"/>
              </w:rPr>
              <w:t xml:space="preserve">$ </w:t>
            </w:r>
            <w:r w:rsidR="003E0B6E">
              <w:rPr>
                <w:rFonts w:ascii="Arial Narrow" w:hAnsi="Arial Narrow"/>
                <w:sz w:val="18"/>
                <w:szCs w:val="18"/>
              </w:rPr>
              <w:t>0</w:t>
            </w:r>
          </w:p>
        </w:tc>
        <w:tc>
          <w:tcPr>
            <w:tcW w:w="367" w:type="dxa"/>
            <w:tcBorders>
              <w:top w:val="single" w:color="auto" w:sz="4" w:space="0"/>
              <w:left w:val="single" w:color="auto" w:sz="4" w:space="0"/>
              <w:bottom w:val="single" w:color="auto" w:sz="4" w:space="0"/>
              <w:right w:val="single" w:color="auto" w:sz="4" w:space="0"/>
            </w:tcBorders>
          </w:tcPr>
          <w:p w:rsidRPr="0009308E" w:rsidR="0009308E" w:rsidP="0009308E" w:rsidRDefault="0009308E">
            <w:pPr>
              <w:ind w:left="720"/>
              <w:rPr>
                <w:rFonts w:ascii="Arial Narrow" w:hAnsi="Arial Narrow"/>
                <w:sz w:val="18"/>
                <w:szCs w:val="18"/>
              </w:rPr>
            </w:pPr>
          </w:p>
        </w:tc>
        <w:tc>
          <w:tcPr>
            <w:tcW w:w="1804" w:type="dxa"/>
            <w:tcBorders>
              <w:top w:val="single" w:color="auto" w:sz="4" w:space="0"/>
              <w:left w:val="single" w:color="auto" w:sz="4" w:space="0"/>
              <w:bottom w:val="single" w:color="auto" w:sz="4" w:space="0"/>
              <w:right w:val="single" w:color="auto" w:sz="4" w:space="0"/>
            </w:tcBorders>
            <w:vAlign w:val="bottom"/>
          </w:tcPr>
          <w:p w:rsidRPr="0009308E" w:rsidR="0009308E" w:rsidP="0009308E" w:rsidRDefault="0009308E">
            <w:pPr>
              <w:rPr>
                <w:rFonts w:ascii="Arial Narrow" w:hAnsi="Arial Narrow"/>
                <w:sz w:val="18"/>
                <w:szCs w:val="18"/>
              </w:rPr>
            </w:pPr>
            <w:r w:rsidRPr="0009308E">
              <w:rPr>
                <w:rFonts w:ascii="Arial Narrow" w:hAnsi="Arial Narrow"/>
                <w:sz w:val="18"/>
                <w:szCs w:val="18"/>
              </w:rPr>
              <w:t xml:space="preserve">$       </w:t>
            </w:r>
            <w:r w:rsidR="003E0B6E">
              <w:rPr>
                <w:rFonts w:ascii="Arial Narrow" w:hAnsi="Arial Narrow"/>
                <w:sz w:val="18"/>
                <w:szCs w:val="18"/>
              </w:rPr>
              <w:t>14,216</w:t>
            </w:r>
          </w:p>
        </w:tc>
      </w:tr>
      <w:tr w:rsidRPr="0009308E" w:rsidR="000774A6" w:rsidTr="00DF6644">
        <w:tc>
          <w:tcPr>
            <w:tcW w:w="2187" w:type="dxa"/>
            <w:tcBorders>
              <w:top w:val="single" w:color="auto" w:sz="4" w:space="0"/>
              <w:left w:val="single" w:color="auto" w:sz="4" w:space="0"/>
              <w:bottom w:val="single" w:color="auto" w:sz="4" w:space="0"/>
              <w:right w:val="single" w:color="auto" w:sz="4" w:space="0"/>
            </w:tcBorders>
            <w:hideMark/>
          </w:tcPr>
          <w:p w:rsidRPr="0009308E" w:rsidR="000774A6" w:rsidP="000774A6" w:rsidRDefault="000774A6">
            <w:pPr>
              <w:rPr>
                <w:rFonts w:ascii="Arial Narrow" w:hAnsi="Arial Narrow"/>
                <w:b/>
                <w:sz w:val="18"/>
                <w:szCs w:val="18"/>
              </w:rPr>
            </w:pPr>
            <w:bookmarkStart w:name="_Hlk25056766" w:id="2"/>
            <w:bookmarkEnd w:id="1"/>
            <w:r w:rsidRPr="0009308E">
              <w:rPr>
                <w:rFonts w:ascii="Arial Narrow" w:hAnsi="Arial Narrow"/>
                <w:b/>
                <w:sz w:val="18"/>
                <w:szCs w:val="18"/>
              </w:rPr>
              <w:t>Grand Total</w:t>
            </w:r>
          </w:p>
        </w:tc>
        <w:tc>
          <w:tcPr>
            <w:tcW w:w="1941" w:type="dxa"/>
            <w:tcBorders>
              <w:top w:val="single" w:color="auto" w:sz="4" w:space="0"/>
              <w:left w:val="single" w:color="auto" w:sz="4" w:space="0"/>
              <w:bottom w:val="single" w:color="auto" w:sz="4" w:space="0"/>
              <w:right w:val="single" w:color="auto" w:sz="4" w:space="0"/>
            </w:tcBorders>
            <w:hideMark/>
          </w:tcPr>
          <w:p w:rsidRPr="0009308E" w:rsidR="000774A6" w:rsidP="000774A6" w:rsidRDefault="000774A6">
            <w:pPr>
              <w:ind w:left="-24"/>
              <w:jc w:val="center"/>
              <w:rPr>
                <w:rFonts w:ascii="Arial Narrow" w:hAnsi="Arial Narrow"/>
                <w:b/>
                <w:sz w:val="18"/>
                <w:szCs w:val="18"/>
              </w:rPr>
            </w:pP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 xml:space="preserve">$      </w:t>
            </w:r>
            <w:r w:rsidRPr="0009308E">
              <w:rPr>
                <w:rFonts w:ascii="Arial Narrow" w:hAnsi="Arial Narrow"/>
              </w:rPr>
              <w:fldChar w:fldCharType="end"/>
            </w:r>
            <w:r w:rsidR="003E0B6E">
              <w:rPr>
                <w:rFonts w:ascii="Arial Narrow" w:hAnsi="Arial Narrow"/>
                <w:b/>
                <w:sz w:val="18"/>
                <w:szCs w:val="18"/>
              </w:rPr>
              <w:t>14,216</w:t>
            </w:r>
          </w:p>
        </w:tc>
        <w:tc>
          <w:tcPr>
            <w:tcW w:w="293" w:type="dxa"/>
            <w:tcBorders>
              <w:top w:val="single" w:color="auto" w:sz="4" w:space="0"/>
              <w:left w:val="single" w:color="auto" w:sz="4" w:space="0"/>
              <w:bottom w:val="single" w:color="auto" w:sz="4" w:space="0"/>
              <w:right w:val="single" w:color="auto" w:sz="4" w:space="0"/>
            </w:tcBorders>
          </w:tcPr>
          <w:p w:rsidRPr="0009308E" w:rsidR="000774A6" w:rsidP="000774A6" w:rsidRDefault="000774A6">
            <w:pPr>
              <w:ind w:left="720"/>
              <w:rPr>
                <w:rFonts w:ascii="Arial Narrow" w:hAnsi="Arial Narrow"/>
                <w:b/>
                <w:sz w:val="18"/>
                <w:szCs w:val="18"/>
              </w:rPr>
            </w:pPr>
          </w:p>
        </w:tc>
        <w:tc>
          <w:tcPr>
            <w:tcW w:w="1763" w:type="dxa"/>
            <w:tcBorders>
              <w:top w:val="single" w:color="auto" w:sz="4" w:space="0"/>
              <w:left w:val="single" w:color="auto" w:sz="4" w:space="0"/>
              <w:bottom w:val="single" w:color="auto" w:sz="4" w:space="0"/>
              <w:right w:val="single" w:color="auto" w:sz="4" w:space="0"/>
            </w:tcBorders>
          </w:tcPr>
          <w:p w:rsidRPr="0009308E" w:rsidR="000774A6" w:rsidP="000774A6" w:rsidRDefault="000774A6">
            <w:pPr>
              <w:ind w:left="-24"/>
              <w:jc w:val="center"/>
              <w:rPr>
                <w:rFonts w:ascii="Arial Narrow" w:hAnsi="Arial Narrow"/>
                <w:b/>
                <w:sz w:val="18"/>
                <w:szCs w:val="18"/>
              </w:rPr>
            </w:pP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w:t>
            </w:r>
            <w:r w:rsidRPr="0009308E">
              <w:rPr>
                <w:rFonts w:ascii="Arial Narrow" w:hAnsi="Arial Narrow"/>
              </w:rPr>
              <w:fldChar w:fldCharType="end"/>
            </w:r>
            <w:r>
              <w:rPr>
                <w:rFonts w:ascii="Arial Narrow" w:hAnsi="Arial Narrow"/>
              </w:rPr>
              <w:t xml:space="preserve"> </w:t>
            </w:r>
            <w:r w:rsidR="003E0B6E">
              <w:rPr>
                <w:rFonts w:ascii="Arial Narrow" w:hAnsi="Arial Narrow"/>
                <w:b/>
                <w:sz w:val="18"/>
                <w:szCs w:val="18"/>
              </w:rPr>
              <w:t>0</w:t>
            </w:r>
          </w:p>
        </w:tc>
        <w:tc>
          <w:tcPr>
            <w:tcW w:w="367" w:type="dxa"/>
            <w:tcBorders>
              <w:top w:val="single" w:color="auto" w:sz="4" w:space="0"/>
              <w:left w:val="single" w:color="auto" w:sz="4" w:space="0"/>
              <w:bottom w:val="single" w:color="auto" w:sz="4" w:space="0"/>
              <w:right w:val="single" w:color="auto" w:sz="4" w:space="0"/>
            </w:tcBorders>
          </w:tcPr>
          <w:p w:rsidRPr="0009308E" w:rsidR="000774A6" w:rsidP="000774A6" w:rsidRDefault="000774A6">
            <w:pPr>
              <w:ind w:left="720"/>
              <w:rPr>
                <w:rFonts w:ascii="Arial Narrow" w:hAnsi="Arial Narrow"/>
                <w:b/>
                <w:sz w:val="18"/>
                <w:szCs w:val="18"/>
              </w:rPr>
            </w:pPr>
          </w:p>
        </w:tc>
        <w:tc>
          <w:tcPr>
            <w:tcW w:w="1804" w:type="dxa"/>
            <w:tcBorders>
              <w:top w:val="single" w:color="auto" w:sz="4" w:space="0"/>
              <w:left w:val="single" w:color="auto" w:sz="4" w:space="0"/>
              <w:bottom w:val="single" w:color="auto" w:sz="4" w:space="0"/>
              <w:right w:val="single" w:color="auto" w:sz="4" w:space="0"/>
            </w:tcBorders>
            <w:hideMark/>
          </w:tcPr>
          <w:p w:rsidRPr="0009308E" w:rsidR="000774A6" w:rsidP="000774A6" w:rsidRDefault="000774A6">
            <w:pPr>
              <w:ind w:left="-24"/>
              <w:rPr>
                <w:rFonts w:ascii="Arial Narrow" w:hAnsi="Arial Narrow"/>
                <w:b/>
                <w:sz w:val="18"/>
                <w:szCs w:val="18"/>
              </w:rPr>
            </w:pPr>
            <w:r w:rsidRPr="0009308E">
              <w:rPr>
                <w:rFonts w:ascii="Arial Narrow" w:hAnsi="Arial Narrow"/>
              </w:rPr>
              <w:t xml:space="preserve"> </w:t>
            </w:r>
            <w:r w:rsidRPr="0009308E">
              <w:rPr>
                <w:rFonts w:ascii="Arial Narrow" w:hAnsi="Arial Narrow"/>
              </w:rPr>
              <w:fldChar w:fldCharType="begin"/>
            </w:r>
            <w:r w:rsidRPr="0009308E">
              <w:rPr>
                <w:rFonts w:ascii="Arial Narrow" w:hAnsi="Arial Narrow"/>
                <w:b/>
                <w:sz w:val="18"/>
                <w:szCs w:val="18"/>
              </w:rPr>
              <w:instrText xml:space="preserve"> =SUM(ABOVE) </w:instrText>
            </w:r>
            <w:r w:rsidRPr="0009308E">
              <w:rPr>
                <w:rFonts w:ascii="Arial Narrow" w:hAnsi="Arial Narrow"/>
              </w:rPr>
              <w:fldChar w:fldCharType="separate"/>
            </w:r>
            <w:r w:rsidRPr="0009308E">
              <w:rPr>
                <w:rFonts w:ascii="Arial Narrow" w:hAnsi="Arial Narrow"/>
                <w:b/>
                <w:noProof/>
                <w:sz w:val="18"/>
                <w:szCs w:val="18"/>
              </w:rPr>
              <w:t xml:space="preserve">$      </w:t>
            </w:r>
            <w:r w:rsidRPr="0009308E">
              <w:rPr>
                <w:rFonts w:ascii="Arial Narrow" w:hAnsi="Arial Narrow"/>
              </w:rPr>
              <w:fldChar w:fldCharType="end"/>
            </w:r>
            <w:r w:rsidR="003E0B6E">
              <w:rPr>
                <w:rFonts w:ascii="Arial Narrow" w:hAnsi="Arial Narrow"/>
                <w:b/>
                <w:sz w:val="18"/>
                <w:szCs w:val="18"/>
              </w:rPr>
              <w:t>14,216</w:t>
            </w:r>
          </w:p>
        </w:tc>
      </w:tr>
      <w:bookmarkEnd w:id="2"/>
      <w:tr w:rsidRPr="0009308E" w:rsidR="000774A6" w:rsidTr="00DF6644">
        <w:tc>
          <w:tcPr>
            <w:tcW w:w="8355" w:type="dxa"/>
            <w:gridSpan w:val="6"/>
            <w:tcBorders>
              <w:top w:val="single" w:color="auto" w:sz="4" w:space="0"/>
              <w:left w:val="single" w:color="auto" w:sz="4" w:space="0"/>
              <w:bottom w:val="single" w:color="auto" w:sz="4" w:space="0"/>
              <w:right w:val="single" w:color="auto" w:sz="4" w:space="0"/>
            </w:tcBorders>
            <w:hideMark/>
          </w:tcPr>
          <w:p w:rsidRPr="0009308E" w:rsidR="000774A6" w:rsidP="000774A6" w:rsidRDefault="000774A6">
            <w:pPr>
              <w:ind w:left="720"/>
              <w:rPr>
                <w:rFonts w:ascii="Arial Narrow" w:hAnsi="Arial Narrow"/>
                <w:sz w:val="18"/>
                <w:szCs w:val="18"/>
              </w:rPr>
            </w:pPr>
            <w:r w:rsidRPr="0009308E">
              <w:rPr>
                <w:rFonts w:ascii="Arial Narrow" w:hAnsi="Arial Narrow"/>
                <w:sz w:val="18"/>
                <w:szCs w:val="18"/>
              </w:rPr>
              <w:t>Table costs are based on 2018 actuals obtained from IRS Chief Financial Officer and Media and Publications</w:t>
            </w:r>
          </w:p>
        </w:tc>
      </w:tr>
      <w:tr w:rsidRPr="0009308E" w:rsidR="000774A6" w:rsidTr="00DF6644">
        <w:tc>
          <w:tcPr>
            <w:tcW w:w="8355" w:type="dxa"/>
            <w:gridSpan w:val="6"/>
            <w:tcBorders>
              <w:top w:val="single" w:color="auto" w:sz="4" w:space="0"/>
              <w:left w:val="single" w:color="auto" w:sz="4" w:space="0"/>
              <w:bottom w:val="single" w:color="auto" w:sz="4" w:space="0"/>
              <w:right w:val="single" w:color="auto" w:sz="4" w:space="0"/>
            </w:tcBorders>
            <w:hideMark/>
          </w:tcPr>
          <w:p w:rsidRPr="0009308E" w:rsidR="000774A6" w:rsidP="000774A6" w:rsidRDefault="000774A6">
            <w:pPr>
              <w:ind w:left="720"/>
              <w:rPr>
                <w:rFonts w:ascii="Arial Narrow" w:hAnsi="Arial Narrow"/>
                <w:sz w:val="18"/>
                <w:szCs w:val="18"/>
              </w:rPr>
            </w:pPr>
            <w:r w:rsidRPr="0009308E">
              <w:rPr>
                <w:rFonts w:ascii="Arial Narrow" w:hAnsi="Arial Narrow"/>
                <w:sz w:val="18"/>
                <w:szCs w:val="18"/>
              </w:rPr>
              <w:t xml:space="preserve">* New product costs will be included in the next collection update. </w:t>
            </w:r>
          </w:p>
        </w:tc>
      </w:tr>
    </w:tbl>
    <w:p w:rsidR="00274F60" w:rsidRDefault="00274F60">
      <w:pPr>
        <w:rPr>
          <w:rFonts w:ascii="Times New Roman" w:hAnsi="Times New Roman"/>
        </w:rPr>
      </w:pPr>
    </w:p>
    <w:p w:rsidRPr="00F820CF" w:rsidR="006F7C8C" w:rsidRDefault="006F7C8C">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lastRenderedPageBreak/>
        <w:t>REASONS FOR CHANGE IN BURDEN</w:t>
      </w:r>
    </w:p>
    <w:p w:rsidRPr="00F820CF" w:rsidR="0042327E" w:rsidRDefault="0042327E">
      <w:pPr>
        <w:rPr>
          <w:rFonts w:ascii="Times New Roman" w:hAnsi="Times New Roman"/>
        </w:rPr>
      </w:pPr>
    </w:p>
    <w:p w:rsidRPr="00F820CF" w:rsidR="00A66703" w:rsidP="006F7C8C" w:rsidRDefault="0042327E">
      <w:pPr>
        <w:ind w:left="720"/>
        <w:rPr>
          <w:rFonts w:ascii="Times New Roman" w:hAnsi="Times New Roman"/>
        </w:rPr>
      </w:pPr>
      <w:r w:rsidRPr="00F820CF">
        <w:rPr>
          <w:rFonts w:ascii="Times New Roman" w:hAnsi="Times New Roman"/>
        </w:rPr>
        <w:t xml:space="preserve">There is no change in the paperwork burden previously approved by OMB.  We are making this submission to renew the OMB approval.  </w:t>
      </w:r>
    </w:p>
    <w:p w:rsidRPr="00F820CF" w:rsidR="00A66703" w:rsidRDefault="00A66703">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PLANS FOR TABULATION, STATISTICAL ANALYSIS AND PUBLICATION</w:t>
      </w:r>
    </w:p>
    <w:p w:rsidRPr="00F820CF" w:rsidR="0042327E" w:rsidRDefault="0042327E">
      <w:pPr>
        <w:rPr>
          <w:rFonts w:ascii="Times New Roman" w:hAnsi="Times New Roman"/>
        </w:rPr>
      </w:pPr>
    </w:p>
    <w:p w:rsidRPr="00F820CF" w:rsidR="0042327E" w:rsidRDefault="007C0117">
      <w:pPr>
        <w:ind w:left="720"/>
        <w:rPr>
          <w:rFonts w:ascii="Times New Roman" w:hAnsi="Times New Roman"/>
        </w:rPr>
      </w:pPr>
      <w:r w:rsidRPr="00F820CF">
        <w:rPr>
          <w:rFonts w:ascii="Times New Roman" w:hAnsi="Times New Roman"/>
        </w:rPr>
        <w:t>There are no plans for tabulation, statistical analysis and publication.</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REASONS WHY DISPLAYING THE OMB EXPIRATION DATE IS</w:t>
      </w:r>
      <w:r w:rsidRPr="00F820CF">
        <w:rPr>
          <w:rFonts w:ascii="Times New Roman" w:hAnsi="Times New Roman"/>
        </w:rPr>
        <w:t xml:space="preserve">      </w:t>
      </w:r>
      <w:r w:rsidRPr="00F820CF">
        <w:rPr>
          <w:rFonts w:ascii="Times New Roman" w:hAnsi="Times New Roman"/>
          <w:u w:val="single"/>
        </w:rPr>
        <w:t>INAPPROPRIATE</w:t>
      </w:r>
    </w:p>
    <w:p w:rsidRPr="00F820CF" w:rsidR="0042327E" w:rsidRDefault="0042327E">
      <w:pPr>
        <w:rPr>
          <w:rFonts w:ascii="Times New Roman" w:hAnsi="Times New Roman"/>
        </w:rPr>
      </w:pPr>
    </w:p>
    <w:p w:rsidRPr="00F820CF" w:rsidR="0042327E" w:rsidRDefault="0042327E">
      <w:pPr>
        <w:rPr>
          <w:rFonts w:ascii="Times New Roman" w:hAnsi="Times New Roman"/>
        </w:rPr>
        <w:sectPr w:rsidRPr="00F820CF" w:rsidR="0042327E">
          <w:type w:val="continuous"/>
          <w:pgSz w:w="12240" w:h="15840"/>
          <w:pgMar w:top="1440" w:right="1440" w:bottom="1440" w:left="1440" w:header="1440" w:footer="1440" w:gutter="0"/>
          <w:cols w:space="720"/>
          <w:noEndnote/>
        </w:sectPr>
      </w:pPr>
    </w:p>
    <w:p w:rsidRPr="00F820CF" w:rsidR="0042327E" w:rsidRDefault="0042327E">
      <w:pPr>
        <w:ind w:left="720"/>
        <w:rPr>
          <w:rFonts w:ascii="Times New Roman" w:hAnsi="Times New Roman"/>
        </w:rPr>
      </w:pPr>
      <w:r w:rsidRPr="00F820CF">
        <w:rPr>
          <w:rFonts w:ascii="Times New Roman" w:hAnsi="Times New Roman"/>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F820CF" w:rsidR="0042327E" w:rsidRDefault="0042327E">
      <w:pPr>
        <w:rPr>
          <w:rFonts w:ascii="Times New Roman" w:hAnsi="Times New Roman"/>
        </w:rPr>
      </w:pPr>
    </w:p>
    <w:p w:rsidRPr="00F820CF" w:rsidR="0042327E" w:rsidRDefault="0042327E">
      <w:pPr>
        <w:pStyle w:val="Level1"/>
        <w:tabs>
          <w:tab w:val="left" w:pos="-1440"/>
          <w:tab w:val="num" w:pos="720"/>
        </w:tabs>
        <w:rPr>
          <w:rFonts w:ascii="Times New Roman" w:hAnsi="Times New Roman"/>
        </w:rPr>
      </w:pPr>
      <w:r w:rsidRPr="00F820CF">
        <w:rPr>
          <w:rFonts w:ascii="Times New Roman" w:hAnsi="Times New Roman"/>
          <w:u w:val="single"/>
        </w:rPr>
        <w:t xml:space="preserve">EXCEPTIONS TO THE CERTIFICATION STATEMENT </w:t>
      </w:r>
    </w:p>
    <w:p w:rsidRPr="00F820CF" w:rsidR="0042327E" w:rsidRDefault="0042327E">
      <w:pPr>
        <w:rPr>
          <w:rFonts w:ascii="Times New Roman" w:hAnsi="Times New Roman"/>
        </w:rPr>
      </w:pPr>
    </w:p>
    <w:p w:rsidRPr="00F820CF" w:rsidR="0042327E" w:rsidRDefault="007C0117">
      <w:pPr>
        <w:ind w:left="720"/>
        <w:rPr>
          <w:rFonts w:ascii="Times New Roman" w:hAnsi="Times New Roman"/>
        </w:rPr>
      </w:pPr>
      <w:r w:rsidRPr="00F820CF">
        <w:rPr>
          <w:rFonts w:ascii="Times New Roman" w:hAnsi="Times New Roman"/>
        </w:rPr>
        <w:t>There are no exceptions to the certification statement</w:t>
      </w:r>
      <w:r w:rsidRPr="00F820CF" w:rsidR="0042327E">
        <w:rPr>
          <w:rFonts w:ascii="Times New Roman" w:hAnsi="Times New Roman"/>
        </w:rPr>
        <w:t>.</w:t>
      </w:r>
    </w:p>
    <w:p w:rsidRPr="00F820CF" w:rsidR="0042327E" w:rsidRDefault="0042327E">
      <w:pPr>
        <w:rPr>
          <w:rFonts w:ascii="Times New Roman" w:hAnsi="Times New Roman"/>
        </w:rPr>
      </w:pPr>
    </w:p>
    <w:p w:rsidRPr="00F820CF" w:rsidR="0042327E" w:rsidRDefault="0042327E">
      <w:pPr>
        <w:rPr>
          <w:rFonts w:ascii="Times New Roman" w:hAnsi="Times New Roman"/>
        </w:rPr>
      </w:pPr>
      <w:r w:rsidRPr="00F820CF">
        <w:rPr>
          <w:rFonts w:ascii="Times New Roman" w:hAnsi="Times New Roman"/>
          <w:u w:val="single"/>
        </w:rPr>
        <w:t>Note:</w:t>
      </w:r>
      <w:r w:rsidRPr="00F820CF">
        <w:rPr>
          <w:rFonts w:ascii="Times New Roman" w:hAnsi="Times New Roman"/>
        </w:rPr>
        <w:t xml:space="preserve">   The following paragraph applies to </w:t>
      </w:r>
      <w:proofErr w:type="gramStart"/>
      <w:r w:rsidRPr="00F820CF">
        <w:rPr>
          <w:rFonts w:ascii="Times New Roman" w:hAnsi="Times New Roman"/>
        </w:rPr>
        <w:t>all of</w:t>
      </w:r>
      <w:proofErr w:type="gramEnd"/>
      <w:r w:rsidRPr="00F820CF">
        <w:rPr>
          <w:rFonts w:ascii="Times New Roman" w:hAnsi="Times New Roman"/>
        </w:rPr>
        <w:t xml:space="preserve"> the collections of information in this submission:</w:t>
      </w:r>
    </w:p>
    <w:p w:rsidRPr="00F820CF" w:rsidR="0042327E" w:rsidRDefault="0042327E">
      <w:pPr>
        <w:rPr>
          <w:rFonts w:ascii="Times New Roman" w:hAnsi="Times New Roman"/>
        </w:rPr>
      </w:pPr>
    </w:p>
    <w:p w:rsidRPr="00F820CF" w:rsidR="0042327E" w:rsidRDefault="0042327E">
      <w:pPr>
        <w:ind w:firstLine="720"/>
        <w:rPr>
          <w:rFonts w:ascii="Times New Roman" w:hAnsi="Times New Roman"/>
        </w:rPr>
      </w:pPr>
      <w:r w:rsidRPr="00F820CF">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F820CF">
        <w:rPr>
          <w:rFonts w:ascii="Times New Roman" w:hAnsi="Times New Roman"/>
        </w:rPr>
        <w:t>as long as</w:t>
      </w:r>
      <w:proofErr w:type="gramEnd"/>
      <w:r w:rsidRPr="00F820CF">
        <w:rPr>
          <w:rFonts w:ascii="Times New Roman" w:hAnsi="Times New Roman"/>
        </w:rPr>
        <w:t xml:space="preserve"> their contents may become material in the administration of any internal revenue law.  Generally, tax returns and tax return information are confidential, as required by 26 U.S.C. 6103.</w:t>
      </w:r>
    </w:p>
    <w:p w:rsidRPr="00F820CF" w:rsidR="0042327E" w:rsidRDefault="0042327E">
      <w:pPr>
        <w:rPr>
          <w:rFonts w:ascii="Times New Roman" w:hAnsi="Times New Roman"/>
        </w:rPr>
      </w:pPr>
    </w:p>
    <w:p w:rsidRPr="00F820CF" w:rsidR="0042327E" w:rsidRDefault="0042327E">
      <w:pPr>
        <w:rPr>
          <w:rFonts w:ascii="Times New Roman" w:hAnsi="Times New Roman"/>
        </w:rPr>
      </w:pPr>
    </w:p>
    <w:sectPr w:rsidRPr="00F820CF" w:rsidR="0042327E" w:rsidSect="004232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4E7" w:rsidRDefault="008C54E7">
      <w:r>
        <w:separator/>
      </w:r>
    </w:p>
  </w:endnote>
  <w:endnote w:type="continuationSeparator" w:id="0">
    <w:p w:rsidR="008C54E7" w:rsidRDefault="008C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4E7" w:rsidRDefault="008C54E7">
      <w:r>
        <w:separator/>
      </w:r>
    </w:p>
  </w:footnote>
  <w:footnote w:type="continuationSeparator" w:id="0">
    <w:p w:rsidR="008C54E7" w:rsidRDefault="008C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27E" w:rsidRDefault="0042327E">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FA5532">
      <w:rPr>
        <w:rFonts w:cs="Courier"/>
        <w:b/>
        <w:bCs/>
        <w:noProof/>
      </w:rPr>
      <w:t>3</w:t>
    </w:r>
    <w:r>
      <w:rPr>
        <w:rFonts w:cs="Courier"/>
        <w:b/>
        <w:bCs/>
      </w:rPr>
      <w:fldChar w:fldCharType="end"/>
    </w:r>
  </w:p>
  <w:p w:rsidR="0042327E" w:rsidRDefault="0042327E"/>
  <w:p w:rsidR="0042327E" w:rsidRDefault="0042327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E3C9A8"/>
    <w:multiLevelType w:val="hybridMultilevel"/>
    <w:tmpl w:val="EA215C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7E"/>
    <w:rsid w:val="000264DC"/>
    <w:rsid w:val="000774A6"/>
    <w:rsid w:val="0009308E"/>
    <w:rsid w:val="00094223"/>
    <w:rsid w:val="000C57B2"/>
    <w:rsid w:val="0011637B"/>
    <w:rsid w:val="00125AD0"/>
    <w:rsid w:val="00196604"/>
    <w:rsid w:val="00200A9E"/>
    <w:rsid w:val="00205B23"/>
    <w:rsid w:val="00230365"/>
    <w:rsid w:val="00274F60"/>
    <w:rsid w:val="003B1A7A"/>
    <w:rsid w:val="003E0B6E"/>
    <w:rsid w:val="00413590"/>
    <w:rsid w:val="0042327E"/>
    <w:rsid w:val="00425A19"/>
    <w:rsid w:val="0048109C"/>
    <w:rsid w:val="00526997"/>
    <w:rsid w:val="005A0AEF"/>
    <w:rsid w:val="005D3633"/>
    <w:rsid w:val="005F3C3B"/>
    <w:rsid w:val="00635AB7"/>
    <w:rsid w:val="0067075A"/>
    <w:rsid w:val="006847A9"/>
    <w:rsid w:val="006D7970"/>
    <w:rsid w:val="006F7C8C"/>
    <w:rsid w:val="007039F8"/>
    <w:rsid w:val="00760E1D"/>
    <w:rsid w:val="007A52E6"/>
    <w:rsid w:val="007C0117"/>
    <w:rsid w:val="007E2A48"/>
    <w:rsid w:val="007F62D2"/>
    <w:rsid w:val="00871A8E"/>
    <w:rsid w:val="00895219"/>
    <w:rsid w:val="008C54E7"/>
    <w:rsid w:val="008F187B"/>
    <w:rsid w:val="008F3E03"/>
    <w:rsid w:val="00A66703"/>
    <w:rsid w:val="00AD0A90"/>
    <w:rsid w:val="00AE66E5"/>
    <w:rsid w:val="00B11DB0"/>
    <w:rsid w:val="00BC6ED7"/>
    <w:rsid w:val="00CF6A91"/>
    <w:rsid w:val="00D20B84"/>
    <w:rsid w:val="00DB54FF"/>
    <w:rsid w:val="00DF48FC"/>
    <w:rsid w:val="00DF6644"/>
    <w:rsid w:val="00E320E8"/>
    <w:rsid w:val="00EC289E"/>
    <w:rsid w:val="00F820CF"/>
    <w:rsid w:val="00FA5532"/>
    <w:rsid w:val="00FE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A7AA"/>
  <w15:docId w15:val="{1BAFA3FB-94B1-4D5F-A72D-0CA691D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2"/>
      </w:numPr>
      <w:ind w:left="720" w:hanging="720"/>
      <w:outlineLvl w:val="0"/>
    </w:pPr>
  </w:style>
  <w:style w:type="character" w:styleId="Hyperlink">
    <w:name w:val="Hyperlink"/>
    <w:basedOn w:val="DefaultParagraphFont"/>
    <w:unhideWhenUsed/>
    <w:rsid w:val="006D7970"/>
    <w:rPr>
      <w:color w:val="0000FF" w:themeColor="hyperlink"/>
      <w:u w:val="single"/>
    </w:rPr>
  </w:style>
  <w:style w:type="character" w:styleId="UnresolvedMention">
    <w:name w:val="Unresolved Mention"/>
    <w:basedOn w:val="DefaultParagraphFont"/>
    <w:uiPriority w:val="99"/>
    <w:semiHidden/>
    <w:unhideWhenUsed/>
    <w:rsid w:val="006D7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re.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2186</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Treasury</dc:creator>
  <cp:lastModifiedBy>Durbala R Joseph</cp:lastModifiedBy>
  <cp:revision>7</cp:revision>
  <dcterms:created xsi:type="dcterms:W3CDTF">2019-11-25T15:43:00Z</dcterms:created>
  <dcterms:modified xsi:type="dcterms:W3CDTF">2020-01-27T16:59:00Z</dcterms:modified>
</cp:coreProperties>
</file>