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47C" w:rsidRDefault="00C21B17" w14:paraId="01ABB002" w14:textId="77777777">
      <w:pPr>
        <w:jc w:val="center"/>
        <w:rPr>
          <w:b/>
          <w:bCs/>
        </w:rPr>
      </w:pPr>
      <w:r>
        <w:rPr>
          <w:b/>
          <w:bCs/>
        </w:rPr>
        <w:t>Supporting Statement</w:t>
      </w:r>
    </w:p>
    <w:p w:rsidR="0091147C" w:rsidRDefault="0091147C" w14:paraId="328BF7D9" w14:textId="77777777">
      <w:pPr>
        <w:jc w:val="center"/>
        <w:rPr>
          <w:b/>
          <w:bCs/>
        </w:rPr>
      </w:pPr>
      <w:r>
        <w:rPr>
          <w:b/>
          <w:bCs/>
        </w:rPr>
        <w:t>Financial Management Policies – Interest Rate Risk</w:t>
      </w:r>
    </w:p>
    <w:p w:rsidR="0091147C" w:rsidRDefault="00546F7D" w14:paraId="3EAFFF60" w14:textId="77777777">
      <w:pPr>
        <w:jc w:val="center"/>
        <w:rPr>
          <w:b/>
          <w:bCs/>
        </w:rPr>
      </w:pPr>
      <w:r>
        <w:rPr>
          <w:b/>
          <w:bCs/>
        </w:rPr>
        <w:t>OMB Control No. 1557-0299</w:t>
      </w:r>
    </w:p>
    <w:p w:rsidR="0091147C" w:rsidRDefault="0091147C" w14:paraId="00E4D18F" w14:textId="77777777">
      <w:pPr>
        <w:jc w:val="center"/>
        <w:rPr>
          <w:b/>
          <w:bCs/>
        </w:rPr>
      </w:pPr>
    </w:p>
    <w:p w:rsidR="0091147C" w:rsidRDefault="0091147C" w14:paraId="6547F998" w14:textId="77777777">
      <w:pPr>
        <w:jc w:val="center"/>
        <w:rPr>
          <w:b/>
          <w:bCs/>
        </w:rPr>
      </w:pPr>
    </w:p>
    <w:p w:rsidRPr="00817E57" w:rsidR="0091147C" w:rsidRDefault="00DA692A" w14:paraId="153F213A" w14:textId="77777777">
      <w:pPr>
        <w:rPr>
          <w:b/>
        </w:rPr>
      </w:pPr>
      <w:r w:rsidRPr="00817E57">
        <w:rPr>
          <w:b/>
        </w:rPr>
        <w:t>A.  Justification</w:t>
      </w:r>
      <w:r w:rsidR="00817E57">
        <w:rPr>
          <w:b/>
        </w:rPr>
        <w:t>.</w:t>
      </w:r>
    </w:p>
    <w:p w:rsidR="00C22AE1" w:rsidP="00C22AE1" w:rsidRDefault="00C22AE1" w14:paraId="31EA6751" w14:textId="77777777"/>
    <w:p w:rsidRPr="00817E57" w:rsidR="00C22AE1" w:rsidP="00C22AE1" w:rsidRDefault="00C22AE1" w14:paraId="088A5F94" w14:textId="77777777">
      <w:pPr>
        <w:rPr>
          <w:b/>
          <w:i/>
        </w:rPr>
      </w:pPr>
      <w:r w:rsidRPr="00817E57">
        <w:rPr>
          <w:b/>
          <w:i/>
        </w:rPr>
        <w:t>1.  Circumstances that make the collection necessary:</w:t>
      </w:r>
    </w:p>
    <w:p w:rsidRPr="00DA692A" w:rsidR="0091147C" w:rsidRDefault="0091147C" w14:paraId="3F815961" w14:textId="77777777"/>
    <w:p w:rsidRPr="00DA692A" w:rsidR="0091147C" w:rsidRDefault="002154BE" w14:paraId="604EA2F2" w14:textId="77777777">
      <w:r>
        <w:tab/>
      </w:r>
      <w:bookmarkStart w:name="_Hlk23240153" w:id="0"/>
      <w:r w:rsidRPr="00DA692A" w:rsidR="0091147C">
        <w:t xml:space="preserve">This information collection covers the recordkeeping burden for maintaining data in accordance with </w:t>
      </w:r>
      <w:r w:rsidRPr="00DA692A" w:rsidR="00546F7D">
        <w:t>the OCC</w:t>
      </w:r>
      <w:r w:rsidRPr="00DA692A" w:rsidR="0091147C">
        <w:t>'s regulation on interest rate risk procedures</w:t>
      </w:r>
      <w:r w:rsidR="00005543">
        <w:t xml:space="preserve"> for Federal savings associations</w:t>
      </w:r>
      <w:r w:rsidRPr="00DA692A" w:rsidR="0091147C">
        <w:t xml:space="preserve">, 12 CFR </w:t>
      </w:r>
      <w:r w:rsidR="00005543">
        <w:t>1</w:t>
      </w:r>
      <w:r w:rsidRPr="00DA692A" w:rsidR="00005543">
        <w:t>63</w:t>
      </w:r>
      <w:r w:rsidRPr="00DA692A" w:rsidR="0091147C">
        <w:t xml:space="preserve">.176.  </w:t>
      </w:r>
      <w:bookmarkEnd w:id="0"/>
    </w:p>
    <w:p w:rsidRPr="00817E57" w:rsidR="00C22AE1" w:rsidRDefault="00C22AE1" w14:paraId="43CE0D68" w14:textId="77777777">
      <w:pPr>
        <w:spacing w:before="240"/>
        <w:rPr>
          <w:b/>
          <w:i/>
        </w:rPr>
      </w:pPr>
      <w:r w:rsidRPr="00817E57">
        <w:rPr>
          <w:b/>
          <w:i/>
        </w:rPr>
        <w:t>2.  Use of the information:</w:t>
      </w:r>
    </w:p>
    <w:p w:rsidRPr="00DA692A" w:rsidR="00546F7D" w:rsidRDefault="002154BE" w14:paraId="52E53369" w14:textId="239F1EE1">
      <w:pPr>
        <w:spacing w:before="240"/>
      </w:pPr>
      <w:r>
        <w:tab/>
      </w:r>
      <w:r w:rsidRPr="00DA692A" w:rsidR="00546F7D">
        <w:t xml:space="preserve">The purpose of the collection is to ensure that Federal savings associations </w:t>
      </w:r>
      <w:r w:rsidR="00BF519C">
        <w:t xml:space="preserve">appropriately </w:t>
      </w:r>
      <w:r w:rsidRPr="00DA692A" w:rsidR="00546F7D">
        <w:t>manag</w:t>
      </w:r>
      <w:r w:rsidR="00BF519C">
        <w:t>e</w:t>
      </w:r>
      <w:r w:rsidRPr="00DA692A" w:rsidR="00546F7D">
        <w:t xml:space="preserve"> their exposure to interest rate risk. </w:t>
      </w:r>
      <w:r w:rsidR="006D5954">
        <w:t xml:space="preserve"> </w:t>
      </w:r>
      <w:r w:rsidRPr="00DA692A" w:rsidR="00546F7D">
        <w:t xml:space="preserve">To comply with this recordkeeping requirement, institutions need to maintain records </w:t>
      </w:r>
      <w:proofErr w:type="gramStart"/>
      <w:r w:rsidR="00F72C9C">
        <w:t>sufficient</w:t>
      </w:r>
      <w:proofErr w:type="gramEnd"/>
      <w:r w:rsidR="00F72C9C">
        <w:t xml:space="preserve"> </w:t>
      </w:r>
      <w:r w:rsidRPr="00DA692A" w:rsidR="00546F7D">
        <w:t>for determining how the</w:t>
      </w:r>
      <w:r w:rsidR="00F72C9C">
        <w:t xml:space="preserve">y monitor and manage </w:t>
      </w:r>
      <w:r w:rsidRPr="00DA692A" w:rsidR="00546F7D">
        <w:t>interest rate risk exposure internally.</w:t>
      </w:r>
    </w:p>
    <w:p w:rsidRPr="00DA692A" w:rsidR="0091147C" w:rsidRDefault="0091147C" w14:paraId="3DF21AD0" w14:textId="77777777">
      <w:pPr>
        <w:tabs>
          <w:tab w:val="left" w:pos="720"/>
        </w:tabs>
        <w:rPr>
          <w:bCs/>
        </w:rPr>
      </w:pPr>
    </w:p>
    <w:p w:rsidRPr="00817E57" w:rsidR="00C22AE1" w:rsidP="00C22AE1" w:rsidRDefault="00C22AE1" w14:paraId="0BFB64F9" w14:textId="77777777">
      <w:pPr>
        <w:rPr>
          <w:b/>
          <w:i/>
        </w:rPr>
      </w:pPr>
      <w:r w:rsidRPr="00817E57">
        <w:rPr>
          <w:b/>
          <w:i/>
        </w:rPr>
        <w:t>3.  Consideration of the use of improved information technology:</w:t>
      </w:r>
    </w:p>
    <w:p w:rsidRPr="002154BE" w:rsidR="0091147C" w:rsidP="002154BE" w:rsidRDefault="002154BE" w14:paraId="465D5BE7" w14:textId="77777777">
      <w:pPr>
        <w:spacing w:before="240"/>
      </w:pPr>
      <w:r>
        <w:tab/>
      </w:r>
      <w:r w:rsidRPr="00DA692A" w:rsidR="00546F7D">
        <w:t>The OCC</w:t>
      </w:r>
      <w:r w:rsidRPr="00DA692A" w:rsidR="0091147C">
        <w:t xml:space="preserve"> encourages </w:t>
      </w:r>
      <w:r w:rsidR="00F72C9C">
        <w:t xml:space="preserve">Federal </w:t>
      </w:r>
      <w:r w:rsidRPr="00DA692A" w:rsidR="0091147C">
        <w:t xml:space="preserve">savings associations to use any advanced technology </w:t>
      </w:r>
      <w:r w:rsidRPr="00DA692A" w:rsidR="00546F7D">
        <w:t>available to them</w:t>
      </w:r>
      <w:r w:rsidRPr="00DA692A" w:rsidR="0091147C">
        <w:t>.</w:t>
      </w:r>
    </w:p>
    <w:p w:rsidRPr="00817E57" w:rsidR="002154BE" w:rsidRDefault="002154BE" w14:paraId="069B96A5" w14:textId="77777777">
      <w:pPr>
        <w:spacing w:before="240"/>
        <w:rPr>
          <w:b/>
          <w:i/>
        </w:rPr>
      </w:pPr>
      <w:r w:rsidRPr="00817E57">
        <w:rPr>
          <w:b/>
          <w:i/>
        </w:rPr>
        <w:t>4.  Efforts to identify duplication:</w:t>
      </w:r>
    </w:p>
    <w:p w:rsidRPr="00DA692A" w:rsidR="0091147C" w:rsidRDefault="002154BE" w14:paraId="19EEF6BC" w14:textId="77777777">
      <w:pPr>
        <w:spacing w:before="240"/>
      </w:pPr>
      <w:r>
        <w:tab/>
      </w:r>
      <w:r w:rsidRPr="00DA692A" w:rsidR="0091147C">
        <w:t>This information collection does not duplicate any other information collection.</w:t>
      </w:r>
    </w:p>
    <w:p w:rsidRPr="00DA692A" w:rsidR="0091147C" w:rsidRDefault="0091147C" w14:paraId="7F7C4603" w14:textId="77777777">
      <w:pPr>
        <w:tabs>
          <w:tab w:val="left" w:pos="720"/>
        </w:tabs>
        <w:rPr>
          <w:bCs/>
        </w:rPr>
      </w:pPr>
    </w:p>
    <w:p w:rsidRPr="00EF633F" w:rsidR="00DA692A" w:rsidP="00EF633F" w:rsidRDefault="00A45FDB" w14:paraId="5D96D860" w14:textId="77777777">
      <w:pPr>
        <w:pStyle w:val="BodyText"/>
        <w:widowControl w:val="0"/>
        <w:ind w:left="100" w:right="861"/>
        <w:rPr>
          <w:b/>
          <w:i/>
        </w:rPr>
      </w:pPr>
      <w:r>
        <w:rPr>
          <w:b/>
          <w:bCs/>
          <w:i/>
          <w:iCs/>
        </w:rPr>
        <w:t>5.</w:t>
      </w:r>
      <w:r>
        <w:rPr>
          <w:b/>
          <w:bCs/>
          <w:i/>
          <w:iCs/>
        </w:rPr>
        <w:tab/>
      </w:r>
      <w:r>
        <w:rPr>
          <w:b/>
          <w:i/>
          <w:spacing w:val="-2"/>
        </w:rPr>
        <w:t>If</w:t>
      </w:r>
      <w:r>
        <w:rPr>
          <w:b/>
          <w:i/>
          <w:spacing w:val="-8"/>
        </w:rPr>
        <w:t xml:space="preserve"> </w:t>
      </w:r>
      <w:r>
        <w:rPr>
          <w:b/>
          <w:i/>
        </w:rPr>
        <w:t>the</w:t>
      </w:r>
      <w:r>
        <w:rPr>
          <w:b/>
          <w:i/>
          <w:spacing w:val="-7"/>
        </w:rPr>
        <w:t xml:space="preserve"> </w:t>
      </w:r>
      <w:r>
        <w:rPr>
          <w:b/>
          <w:i/>
          <w:spacing w:val="-1"/>
        </w:rPr>
        <w:t>collection</w:t>
      </w:r>
      <w:r>
        <w:rPr>
          <w:b/>
          <w:i/>
          <w:spacing w:val="-7"/>
        </w:rPr>
        <w:t xml:space="preserve"> </w:t>
      </w:r>
      <w:r>
        <w:rPr>
          <w:b/>
          <w:i/>
        </w:rPr>
        <w:t>of</w:t>
      </w:r>
      <w:r>
        <w:rPr>
          <w:b/>
          <w:i/>
          <w:spacing w:val="-8"/>
        </w:rPr>
        <w:t xml:space="preserve"> </w:t>
      </w:r>
      <w:r>
        <w:rPr>
          <w:b/>
          <w:i/>
          <w:spacing w:val="-1"/>
        </w:rPr>
        <w:t>information</w:t>
      </w:r>
      <w:r>
        <w:rPr>
          <w:b/>
          <w:i/>
          <w:spacing w:val="-7"/>
        </w:rPr>
        <w:t xml:space="preserve"> </w:t>
      </w:r>
      <w:r>
        <w:rPr>
          <w:b/>
          <w:i/>
          <w:spacing w:val="-1"/>
        </w:rPr>
        <w:t>impacts</w:t>
      </w:r>
      <w:r>
        <w:rPr>
          <w:b/>
          <w:i/>
          <w:spacing w:val="-6"/>
        </w:rPr>
        <w:t xml:space="preserve"> </w:t>
      </w:r>
      <w:r>
        <w:rPr>
          <w:b/>
          <w:i/>
          <w:spacing w:val="-1"/>
        </w:rPr>
        <w:t>small</w:t>
      </w:r>
      <w:r>
        <w:rPr>
          <w:b/>
          <w:i/>
          <w:spacing w:val="-7"/>
        </w:rPr>
        <w:t xml:space="preserve"> </w:t>
      </w:r>
      <w:r>
        <w:rPr>
          <w:b/>
          <w:i/>
          <w:spacing w:val="-1"/>
        </w:rPr>
        <w:t>businesses</w:t>
      </w:r>
      <w:r>
        <w:rPr>
          <w:b/>
          <w:i/>
          <w:spacing w:val="-6"/>
        </w:rPr>
        <w:t xml:space="preserve"> </w:t>
      </w:r>
      <w:r>
        <w:rPr>
          <w:b/>
          <w:i/>
        </w:rPr>
        <w:t>or</w:t>
      </w:r>
      <w:r>
        <w:rPr>
          <w:b/>
          <w:i/>
          <w:spacing w:val="-8"/>
        </w:rPr>
        <w:t xml:space="preserve"> </w:t>
      </w:r>
      <w:r>
        <w:rPr>
          <w:b/>
          <w:i/>
          <w:spacing w:val="1"/>
        </w:rPr>
        <w:t>other</w:t>
      </w:r>
      <w:r>
        <w:rPr>
          <w:b/>
          <w:i/>
          <w:spacing w:val="-7"/>
        </w:rPr>
        <w:t xml:space="preserve"> </w:t>
      </w:r>
      <w:r>
        <w:rPr>
          <w:b/>
          <w:i/>
          <w:spacing w:val="-1"/>
        </w:rPr>
        <w:t>small</w:t>
      </w:r>
      <w:r>
        <w:rPr>
          <w:b/>
          <w:i/>
          <w:spacing w:val="-6"/>
        </w:rPr>
        <w:t xml:space="preserve"> </w:t>
      </w:r>
      <w:r>
        <w:rPr>
          <w:b/>
          <w:i/>
        </w:rPr>
        <w:t>entities, describe</w:t>
      </w:r>
      <w:r>
        <w:rPr>
          <w:b/>
          <w:i/>
          <w:spacing w:val="-7"/>
        </w:rPr>
        <w:t xml:space="preserve"> </w:t>
      </w:r>
      <w:r>
        <w:rPr>
          <w:b/>
          <w:i/>
          <w:spacing w:val="1"/>
        </w:rPr>
        <w:t>any</w:t>
      </w:r>
      <w:r>
        <w:rPr>
          <w:b/>
          <w:i/>
          <w:spacing w:val="-11"/>
        </w:rPr>
        <w:t xml:space="preserve"> </w:t>
      </w:r>
      <w:r>
        <w:rPr>
          <w:b/>
          <w:i/>
          <w:spacing w:val="-1"/>
        </w:rPr>
        <w:t>methods</w:t>
      </w:r>
      <w:r>
        <w:rPr>
          <w:b/>
          <w:i/>
          <w:spacing w:val="-8"/>
        </w:rPr>
        <w:t xml:space="preserve"> </w:t>
      </w:r>
      <w:r>
        <w:rPr>
          <w:b/>
          <w:i/>
          <w:spacing w:val="-1"/>
        </w:rPr>
        <w:t>used</w:t>
      </w:r>
      <w:r>
        <w:rPr>
          <w:b/>
          <w:i/>
          <w:spacing w:val="-8"/>
        </w:rPr>
        <w:t xml:space="preserve"> </w:t>
      </w:r>
      <w:r>
        <w:rPr>
          <w:b/>
          <w:i/>
        </w:rPr>
        <w:t>to</w:t>
      </w:r>
      <w:r>
        <w:rPr>
          <w:b/>
          <w:i/>
          <w:spacing w:val="-8"/>
        </w:rPr>
        <w:t xml:space="preserve"> </w:t>
      </w:r>
      <w:r>
        <w:rPr>
          <w:b/>
          <w:i/>
        </w:rPr>
        <w:t>minimize</w:t>
      </w:r>
      <w:r>
        <w:rPr>
          <w:b/>
          <w:i/>
          <w:spacing w:val="-8"/>
        </w:rPr>
        <w:t xml:space="preserve"> </w:t>
      </w:r>
      <w:r>
        <w:rPr>
          <w:b/>
          <w:i/>
          <w:spacing w:val="-1"/>
        </w:rPr>
        <w:t>burden.</w:t>
      </w:r>
    </w:p>
    <w:p w:rsidRPr="002154BE" w:rsidR="0091147C" w:rsidP="002154BE" w:rsidRDefault="002154BE" w14:paraId="7EF7BB4E" w14:textId="77777777">
      <w:pPr>
        <w:rPr>
          <w:szCs w:val="20"/>
        </w:rPr>
      </w:pPr>
      <w:r>
        <w:rPr>
          <w:szCs w:val="20"/>
        </w:rPr>
        <w:tab/>
      </w:r>
      <w:r w:rsidRPr="00DA692A" w:rsidR="00DA692A">
        <w:rPr>
          <w:szCs w:val="20"/>
        </w:rPr>
        <w:t>This information collection impact</w:t>
      </w:r>
      <w:r w:rsidR="00005543">
        <w:rPr>
          <w:szCs w:val="20"/>
        </w:rPr>
        <w:t>s</w:t>
      </w:r>
      <w:r w:rsidRPr="00DA692A" w:rsidR="00DA692A">
        <w:rPr>
          <w:szCs w:val="20"/>
        </w:rPr>
        <w:t xml:space="preserve"> </w:t>
      </w:r>
      <w:r w:rsidR="00005543">
        <w:rPr>
          <w:szCs w:val="20"/>
        </w:rPr>
        <w:t>all</w:t>
      </w:r>
      <w:r w:rsidRPr="00DA692A" w:rsidR="00005543">
        <w:rPr>
          <w:szCs w:val="20"/>
        </w:rPr>
        <w:t xml:space="preserve"> </w:t>
      </w:r>
      <w:r w:rsidR="00005543">
        <w:rPr>
          <w:szCs w:val="20"/>
        </w:rPr>
        <w:t>Federal savings associations</w:t>
      </w:r>
      <w:r w:rsidRPr="00DA692A" w:rsidR="00DA692A">
        <w:rPr>
          <w:szCs w:val="20"/>
        </w:rPr>
        <w:t xml:space="preserve">, including small </w:t>
      </w:r>
      <w:r w:rsidR="00005543">
        <w:rPr>
          <w:szCs w:val="20"/>
        </w:rPr>
        <w:t>Federal savings associations</w:t>
      </w:r>
      <w:r w:rsidRPr="00DA692A" w:rsidR="00DA692A">
        <w:rPr>
          <w:szCs w:val="20"/>
        </w:rPr>
        <w:t xml:space="preserve">.  </w:t>
      </w:r>
      <w:r w:rsidR="007C32F8">
        <w:rPr>
          <w:szCs w:val="20"/>
        </w:rPr>
        <w:t>Federal savings associations can minimize burden by scaling their policies and procedures to the size of the institution and level of interest rate risk present.</w:t>
      </w:r>
    </w:p>
    <w:p w:rsidRPr="00817E57" w:rsidR="002154BE" w:rsidRDefault="002154BE" w14:paraId="00D996C7" w14:textId="77777777">
      <w:pPr>
        <w:spacing w:before="240"/>
        <w:rPr>
          <w:b/>
          <w:i/>
        </w:rPr>
      </w:pPr>
      <w:r w:rsidRPr="00817E57">
        <w:rPr>
          <w:b/>
          <w:i/>
        </w:rPr>
        <w:t>6.  Consequences to the Federal program if the collection was conducted less frequently:</w:t>
      </w:r>
    </w:p>
    <w:p w:rsidRPr="00DA692A" w:rsidR="0091147C" w:rsidRDefault="002154BE" w14:paraId="3679F216" w14:textId="77777777">
      <w:pPr>
        <w:spacing w:before="240"/>
      </w:pPr>
      <w:r>
        <w:tab/>
      </w:r>
      <w:r w:rsidRPr="00DA692A" w:rsidR="00546F7D">
        <w:t>The OCC</w:t>
      </w:r>
      <w:r w:rsidRPr="00DA692A" w:rsidR="0091147C">
        <w:t xml:space="preserve"> will be unable to determine whether an institution is managing its interest rate risk in a safe and sound manner absent this data.</w:t>
      </w:r>
    </w:p>
    <w:p w:rsidRPr="00DA692A" w:rsidR="0091147C" w:rsidRDefault="0091147C" w14:paraId="7F490CC2" w14:textId="77777777">
      <w:pPr>
        <w:tabs>
          <w:tab w:val="left" w:pos="720"/>
        </w:tabs>
        <w:rPr>
          <w:bCs/>
        </w:rPr>
      </w:pPr>
    </w:p>
    <w:p w:rsidRPr="00817E57" w:rsidR="0091147C" w:rsidP="002154BE" w:rsidRDefault="002154BE" w14:paraId="307B60D2" w14:textId="77777777">
      <w:pPr>
        <w:rPr>
          <w:b/>
          <w:i/>
        </w:rPr>
      </w:pPr>
      <w:r w:rsidRPr="00817E57">
        <w:rPr>
          <w:b/>
          <w:i/>
        </w:rPr>
        <w:t xml:space="preserve">7.  </w:t>
      </w:r>
      <w:bookmarkStart w:name="OLE_LINK3" w:id="1"/>
      <w:bookmarkStart w:name="OLE_LINK4" w:id="2"/>
      <w:r w:rsidRPr="00817E57">
        <w:rPr>
          <w:b/>
          <w:i/>
        </w:rPr>
        <w:t xml:space="preserve">Special circumstances necessitating the collection to be conducted in a manner inconsistent with 5 CFR </w:t>
      </w:r>
      <w:r w:rsidR="00AF1C40">
        <w:rPr>
          <w:b/>
          <w:i/>
        </w:rPr>
        <w:t>p</w:t>
      </w:r>
      <w:r w:rsidRPr="00817E57">
        <w:rPr>
          <w:b/>
          <w:i/>
        </w:rPr>
        <w:t>art 1320:</w:t>
      </w:r>
      <w:bookmarkEnd w:id="1"/>
      <w:bookmarkEnd w:id="2"/>
    </w:p>
    <w:p w:rsidRPr="00DA692A" w:rsidR="0091147C" w:rsidRDefault="002154BE" w14:paraId="083E12F6" w14:textId="77777777">
      <w:pPr>
        <w:spacing w:before="240"/>
      </w:pPr>
      <w:r>
        <w:tab/>
      </w:r>
      <w:r w:rsidRPr="00DA692A" w:rsidR="0091147C">
        <w:t xml:space="preserve">The information collection is conducted in accordance </w:t>
      </w:r>
      <w:r w:rsidR="00AF1C40">
        <w:t>with OMB’s guidelines in 5 CFR p</w:t>
      </w:r>
      <w:r w:rsidRPr="00DA692A" w:rsidR="0091147C">
        <w:t>art 1320.</w:t>
      </w:r>
    </w:p>
    <w:p w:rsidRPr="00DA692A" w:rsidR="0091147C" w:rsidRDefault="0091147C" w14:paraId="506A2376" w14:textId="77777777">
      <w:pPr>
        <w:tabs>
          <w:tab w:val="left" w:pos="720"/>
        </w:tabs>
        <w:rPr>
          <w:bCs/>
        </w:rPr>
      </w:pPr>
    </w:p>
    <w:p w:rsidR="00EF633F" w:rsidP="00C22AE1" w:rsidRDefault="00EF633F" w14:paraId="12DF3345" w14:textId="77777777">
      <w:pPr>
        <w:rPr>
          <w:b/>
          <w:i/>
        </w:rPr>
      </w:pPr>
    </w:p>
    <w:p w:rsidR="00EF633F" w:rsidP="00C22AE1" w:rsidRDefault="00EF633F" w14:paraId="17BEA9E6" w14:textId="77777777">
      <w:pPr>
        <w:rPr>
          <w:b/>
          <w:i/>
        </w:rPr>
      </w:pPr>
    </w:p>
    <w:p w:rsidR="00EF633F" w:rsidP="00C22AE1" w:rsidRDefault="00EF633F" w14:paraId="08888924" w14:textId="77777777">
      <w:pPr>
        <w:rPr>
          <w:b/>
          <w:i/>
        </w:rPr>
      </w:pPr>
    </w:p>
    <w:p w:rsidRPr="00817E57" w:rsidR="00C22AE1" w:rsidP="00C22AE1" w:rsidRDefault="00C22AE1" w14:paraId="7901E079" w14:textId="77777777">
      <w:pPr>
        <w:rPr>
          <w:b/>
          <w:i/>
        </w:rPr>
      </w:pPr>
      <w:r w:rsidRPr="00817E57">
        <w:rPr>
          <w:b/>
          <w:i/>
        </w:rPr>
        <w:t>8.  Efforts to consult with persons outside the agency:</w:t>
      </w:r>
    </w:p>
    <w:p w:rsidRPr="00DA692A" w:rsidR="0091147C" w:rsidRDefault="0091147C" w14:paraId="580D7D37" w14:textId="77777777"/>
    <w:p w:rsidR="00CD4E87" w:rsidP="00C84F35" w:rsidRDefault="002154BE" w14:paraId="1889792E" w14:textId="474E621D">
      <w:pPr>
        <w:autoSpaceDE w:val="0"/>
        <w:autoSpaceDN w:val="0"/>
        <w:adjustRightInd w:val="0"/>
        <w:rPr>
          <w:color w:val="000000"/>
        </w:rPr>
      </w:pPr>
      <w:r>
        <w:tab/>
      </w:r>
      <w:r w:rsidR="00C84F35">
        <w:t xml:space="preserve">On </w:t>
      </w:r>
      <w:r w:rsidR="002D285D">
        <w:t>December 12,</w:t>
      </w:r>
      <w:r w:rsidR="00C84F35">
        <w:t xml:space="preserve"> 2019, the OCC issued a notice for 60 days of comment concerning this collection, 84 FR </w:t>
      </w:r>
      <w:r w:rsidR="002D285D">
        <w:t>68011</w:t>
      </w:r>
      <w:r w:rsidR="00C84F35">
        <w:t xml:space="preserve">.  </w:t>
      </w:r>
      <w:r w:rsidR="002D285D">
        <w:t>No</w:t>
      </w:r>
      <w:bookmarkStart w:name="_GoBack" w:id="3"/>
      <w:bookmarkEnd w:id="3"/>
      <w:r w:rsidR="00C84F35">
        <w:t xml:space="preserve"> comments were received.</w:t>
      </w:r>
    </w:p>
    <w:p w:rsidR="00242484" w:rsidP="00242484" w:rsidRDefault="00242484" w14:paraId="6CFA9726" w14:textId="77777777">
      <w:pPr>
        <w:autoSpaceDE w:val="0"/>
        <w:autoSpaceDN w:val="0"/>
        <w:adjustRightInd w:val="0"/>
        <w:ind w:firstLine="720"/>
      </w:pPr>
    </w:p>
    <w:p w:rsidRPr="00817E57" w:rsidR="00C22AE1" w:rsidP="00242484" w:rsidRDefault="00C22AE1" w14:paraId="64858AE8" w14:textId="77777777">
      <w:pPr>
        <w:autoSpaceDE w:val="0"/>
        <w:autoSpaceDN w:val="0"/>
        <w:adjustRightInd w:val="0"/>
        <w:rPr>
          <w:b/>
          <w:i/>
        </w:rPr>
      </w:pPr>
      <w:r w:rsidRPr="00817E57">
        <w:rPr>
          <w:b/>
          <w:i/>
        </w:rPr>
        <w:t>9.  Payment to respondents:</w:t>
      </w:r>
    </w:p>
    <w:p w:rsidR="00C22AE1" w:rsidP="00C22AE1" w:rsidRDefault="00C22AE1" w14:paraId="722EDB17" w14:textId="77777777"/>
    <w:p w:rsidR="00C22AE1" w:rsidP="00C22AE1" w:rsidRDefault="00C22AE1" w14:paraId="0A980861" w14:textId="77777777">
      <w:pPr>
        <w:ind w:firstLine="720"/>
      </w:pPr>
      <w:r>
        <w:t>None.</w:t>
      </w:r>
    </w:p>
    <w:p w:rsidR="00C22AE1" w:rsidP="00C22AE1" w:rsidRDefault="00C22AE1" w14:paraId="05863102" w14:textId="77777777"/>
    <w:p w:rsidRPr="00817E57" w:rsidR="00C22AE1" w:rsidP="00C22AE1" w:rsidRDefault="00C22AE1" w14:paraId="0812BCF2" w14:textId="77777777">
      <w:pPr>
        <w:rPr>
          <w:b/>
          <w:i/>
        </w:rPr>
      </w:pPr>
      <w:r w:rsidRPr="00817E57">
        <w:rPr>
          <w:b/>
          <w:i/>
        </w:rPr>
        <w:t>10.  Any assurance of confidentiality:</w:t>
      </w:r>
    </w:p>
    <w:p w:rsidR="00C22AE1" w:rsidP="00C22AE1" w:rsidRDefault="00C22AE1" w14:paraId="51E751A0" w14:textId="77777777"/>
    <w:p w:rsidR="00C22AE1" w:rsidP="00C22AE1" w:rsidRDefault="00C22AE1" w14:paraId="32334C6E" w14:textId="77777777">
      <w:pPr>
        <w:ind w:firstLine="720"/>
      </w:pPr>
      <w:r>
        <w:t>Responses will be kept confidential to the extent permitted by law.</w:t>
      </w:r>
    </w:p>
    <w:p w:rsidR="00C22AE1" w:rsidP="00C22AE1" w:rsidRDefault="00C22AE1" w14:paraId="7507E19D" w14:textId="77777777"/>
    <w:p w:rsidR="00242484" w:rsidP="00C22AE1" w:rsidRDefault="00242484" w14:paraId="4A673314" w14:textId="77777777">
      <w:pPr>
        <w:rPr>
          <w:b/>
          <w:i/>
        </w:rPr>
      </w:pPr>
    </w:p>
    <w:p w:rsidRPr="00817E57" w:rsidR="00C22AE1" w:rsidP="00C22AE1" w:rsidRDefault="00C22AE1" w14:paraId="741F6798" w14:textId="77777777">
      <w:pPr>
        <w:rPr>
          <w:b/>
          <w:i/>
        </w:rPr>
      </w:pPr>
      <w:r w:rsidRPr="00817E57">
        <w:rPr>
          <w:b/>
          <w:i/>
        </w:rPr>
        <w:t>11.  Justification for questions of a sensitive nature:</w:t>
      </w:r>
    </w:p>
    <w:p w:rsidR="00C22AE1" w:rsidP="00C22AE1" w:rsidRDefault="00C22AE1" w14:paraId="73D6308C" w14:textId="77777777"/>
    <w:p w:rsidR="00C22AE1" w:rsidP="00C22AE1" w:rsidRDefault="00C22AE1" w14:paraId="7B114E49" w14:textId="77777777">
      <w:pPr>
        <w:ind w:firstLine="720"/>
      </w:pPr>
      <w:r>
        <w:t xml:space="preserve">Not Applicable. </w:t>
      </w:r>
      <w:r w:rsidR="005F3786">
        <w:t xml:space="preserve"> </w:t>
      </w:r>
      <w:r>
        <w:t>No personally identifiable information is collected.</w:t>
      </w:r>
    </w:p>
    <w:p w:rsidR="00C22AE1" w:rsidP="00C22AE1" w:rsidRDefault="00C22AE1" w14:paraId="61F54838" w14:textId="77777777"/>
    <w:p w:rsidRPr="00817E57" w:rsidR="00C22AE1" w:rsidP="00C22AE1" w:rsidRDefault="00C22AE1" w14:paraId="19E0765F" w14:textId="77777777">
      <w:pPr>
        <w:rPr>
          <w:b/>
          <w:i/>
        </w:rPr>
      </w:pPr>
      <w:r w:rsidRPr="00817E57">
        <w:rPr>
          <w:b/>
          <w:i/>
        </w:rPr>
        <w:t>12.  Burden estimate:</w:t>
      </w:r>
    </w:p>
    <w:p w:rsidRPr="00C22AE1" w:rsidR="00C22AE1" w:rsidP="00C22AE1" w:rsidRDefault="00C22AE1" w14:paraId="5329CED0" w14:textId="77777777">
      <w:pPr>
        <w:tabs>
          <w:tab w:val="left" w:pos="720"/>
        </w:tabs>
        <w:rPr>
          <w:bCs/>
        </w:rPr>
      </w:pPr>
    </w:p>
    <w:p w:rsidR="00D40920" w:rsidP="00D40920" w:rsidRDefault="002154BE" w14:paraId="05EFD3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2154BE">
        <w:tab/>
      </w:r>
      <w:r w:rsidRPr="00D40920" w:rsidR="00D40920">
        <w:rPr>
          <w:u w:val="single"/>
        </w:rPr>
        <w:t>Estimated Number of Respondents</w:t>
      </w:r>
      <w:r w:rsidRPr="00347489" w:rsidR="00D40920">
        <w:t>:</w:t>
      </w:r>
      <w:r w:rsidR="00FE56AC">
        <w:t xml:space="preserve">  </w:t>
      </w:r>
      <w:r w:rsidR="00CD4087">
        <w:t>304</w:t>
      </w:r>
      <w:r w:rsidRPr="00D40920" w:rsidR="00D40920">
        <w:t>.</w:t>
      </w:r>
    </w:p>
    <w:p w:rsidRPr="00D40920" w:rsidR="00180F24" w:rsidP="00D40920" w:rsidRDefault="00180F24" w14:paraId="5C849E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u w:val="single"/>
        </w:rPr>
      </w:pPr>
      <w:r>
        <w:tab/>
      </w:r>
      <w:r w:rsidRPr="00180F24">
        <w:rPr>
          <w:u w:val="single"/>
        </w:rPr>
        <w:t xml:space="preserve">Estimated </w:t>
      </w:r>
      <w:r>
        <w:rPr>
          <w:u w:val="single"/>
        </w:rPr>
        <w:t xml:space="preserve">Annual </w:t>
      </w:r>
      <w:r w:rsidRPr="00180F24">
        <w:rPr>
          <w:u w:val="single"/>
        </w:rPr>
        <w:t>Burden per Respondent</w:t>
      </w:r>
      <w:r w:rsidRPr="00347489">
        <w:t>:</w:t>
      </w:r>
      <w:r>
        <w:t xml:space="preserve"> 40 hours.</w:t>
      </w:r>
    </w:p>
    <w:p w:rsidRPr="001328A2" w:rsidR="00A45FDB" w:rsidP="001328A2" w:rsidRDefault="002154BE" w14:paraId="66BA5B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u w:val="single"/>
        </w:rPr>
      </w:pPr>
      <w:r w:rsidRPr="002154BE">
        <w:tab/>
      </w:r>
      <w:r w:rsidRPr="00D40920" w:rsidR="00D40920">
        <w:rPr>
          <w:u w:val="single"/>
        </w:rPr>
        <w:t>Estimated Total Burden</w:t>
      </w:r>
      <w:r w:rsidRPr="00347489" w:rsidR="00D40920">
        <w:t>:</w:t>
      </w:r>
      <w:r w:rsidR="00FE56AC">
        <w:t xml:space="preserve">  </w:t>
      </w:r>
      <w:r w:rsidR="00CD4087">
        <w:t>12,160</w:t>
      </w:r>
      <w:r w:rsidR="00142FF7">
        <w:t xml:space="preserve"> hours</w:t>
      </w:r>
      <w:r w:rsidRPr="00D40920" w:rsidR="00D40920">
        <w:t>.</w:t>
      </w:r>
    </w:p>
    <w:p w:rsidRPr="00A45FDB" w:rsidR="00A45FDB" w:rsidP="00A45FDB" w:rsidRDefault="00A45FDB" w14:paraId="165F864F" w14:textId="77777777">
      <w:pPr>
        <w:rPr>
          <w:b/>
        </w:rPr>
      </w:pPr>
      <w:r w:rsidRPr="00A45FDB">
        <w:rPr>
          <w:b/>
        </w:rPr>
        <w:t>Cost of Hour Burden:</w:t>
      </w:r>
    </w:p>
    <w:p w:rsidRPr="00A45FDB" w:rsidR="00A45FDB" w:rsidP="00A45FDB" w:rsidRDefault="00CD4087" w14:paraId="69B05432" w14:textId="77777777">
      <w:pPr>
        <w:rPr>
          <w:b/>
        </w:rPr>
      </w:pPr>
      <w:r>
        <w:rPr>
          <w:b/>
        </w:rPr>
        <w:t>12,160</w:t>
      </w:r>
      <w:r w:rsidR="00294E02">
        <w:rPr>
          <w:b/>
        </w:rPr>
        <w:t xml:space="preserve"> x $114</w:t>
      </w:r>
      <w:r w:rsidR="00424C5E">
        <w:rPr>
          <w:b/>
        </w:rPr>
        <w:t xml:space="preserve"> = $</w:t>
      </w:r>
      <w:r>
        <w:rPr>
          <w:b/>
        </w:rPr>
        <w:t>1,386,240</w:t>
      </w:r>
      <w:r w:rsidR="00294E02">
        <w:rPr>
          <w:b/>
        </w:rPr>
        <w:t>.</w:t>
      </w:r>
    </w:p>
    <w:p w:rsidR="00A45FDB" w:rsidP="00A45FDB" w:rsidRDefault="00A45FDB" w14:paraId="2C9AF7A7" w14:textId="77777777"/>
    <w:p w:rsidRPr="0064167F" w:rsidR="00294E02" w:rsidP="00294E02" w:rsidRDefault="00294E02" w14:paraId="501B9450" w14:textId="71AD38C9">
      <w:r w:rsidRPr="0064167F">
        <w:t>To estimate wages</w:t>
      </w:r>
      <w:r w:rsidR="00BF519C">
        <w:t>,</w:t>
      </w:r>
      <w:r w:rsidRPr="0064167F">
        <w:t xml:space="preserve"> </w:t>
      </w:r>
      <w:r w:rsidR="00BF519C">
        <w:t>the OCC</w:t>
      </w:r>
      <w:r w:rsidRPr="0064167F">
        <w:t xml:space="preserve"> reviewed May 2018 data for wages (by industry and occupation) from the U.S. Bureau of Labor Statistics (BLS) for credit intermediation and related activities excluding </w:t>
      </w:r>
      <w:proofErr w:type="spellStart"/>
      <w:r w:rsidRPr="0064167F">
        <w:t>nondepository</w:t>
      </w:r>
      <w:proofErr w:type="spellEnd"/>
      <w:r w:rsidRPr="0064167F">
        <w:t xml:space="preserve"> credit intermediaries (NAICS 5220A1). </w:t>
      </w:r>
      <w:r>
        <w:t xml:space="preserve"> </w:t>
      </w:r>
      <w:r w:rsidRPr="0064167F">
        <w:t xml:space="preserve">To estimate compensation costs associated with the rule, </w:t>
      </w:r>
      <w:r w:rsidR="00BF519C">
        <w:t>the OCC</w:t>
      </w:r>
      <w:r w:rsidRPr="0064167F">
        <w:t xml:space="preserve"> </w:t>
      </w:r>
      <w:r w:rsidRPr="002A1E23">
        <w:t>use</w:t>
      </w:r>
      <w:r w:rsidR="00BF519C">
        <w:t>s</w:t>
      </w:r>
      <w:r w:rsidRPr="002A1E23">
        <w:t xml:space="preserve"> </w:t>
      </w:r>
      <w:r w:rsidRPr="002A1E23">
        <w:rPr>
          <w:bCs/>
        </w:rPr>
        <w:t>$114</w:t>
      </w:r>
      <w:r w:rsidRPr="0064167F">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Pr="00DA692A" w:rsidR="0091147C" w:rsidRDefault="0091147C" w14:paraId="4D15A850" w14:textId="77777777">
      <w:pPr>
        <w:tabs>
          <w:tab w:val="left" w:pos="720"/>
        </w:tabs>
        <w:rPr>
          <w:bCs/>
        </w:rPr>
      </w:pPr>
    </w:p>
    <w:p w:rsidRPr="00817E57" w:rsidR="00C22AE1" w:rsidP="00C22AE1" w:rsidRDefault="00C22AE1" w14:paraId="52E6EA71" w14:textId="77777777">
      <w:pPr>
        <w:pStyle w:val="BodyText"/>
        <w:rPr>
          <w:b/>
          <w:i/>
        </w:rPr>
      </w:pPr>
      <w:r w:rsidRPr="00817E57">
        <w:rPr>
          <w:b/>
          <w:i/>
        </w:rPr>
        <w:t>13.  Estimate of the total annualized cost to respondents:</w:t>
      </w:r>
    </w:p>
    <w:p w:rsidRPr="00DA692A" w:rsidR="0091147C" w:rsidRDefault="002154BE" w14:paraId="7FBCC1AC" w14:textId="77777777">
      <w:pPr>
        <w:spacing w:before="240"/>
      </w:pPr>
      <w:r>
        <w:tab/>
      </w:r>
      <w:r w:rsidR="00C22AE1">
        <w:t>Not applicable.</w:t>
      </w:r>
    </w:p>
    <w:p w:rsidR="00C22AE1" w:rsidP="00C22AE1" w:rsidRDefault="00C22AE1" w14:paraId="075ECE69" w14:textId="77777777"/>
    <w:p w:rsidRPr="00817E57" w:rsidR="00C22AE1" w:rsidP="00C22AE1" w:rsidRDefault="00C22AE1" w14:paraId="5B214D69" w14:textId="77777777">
      <w:pPr>
        <w:rPr>
          <w:b/>
          <w:i/>
        </w:rPr>
      </w:pPr>
      <w:r w:rsidRPr="00817E57">
        <w:rPr>
          <w:b/>
          <w:i/>
        </w:rPr>
        <w:t>14.  Estimate of annualized cost to the Federal government:</w:t>
      </w:r>
    </w:p>
    <w:p w:rsidR="00C22AE1" w:rsidP="00C22AE1" w:rsidRDefault="00C22AE1" w14:paraId="27A3A8FC" w14:textId="77777777"/>
    <w:p w:rsidR="00C22AE1" w:rsidP="00C22AE1" w:rsidRDefault="002154BE" w14:paraId="4C969E58" w14:textId="77777777">
      <w:r>
        <w:tab/>
      </w:r>
      <w:r w:rsidR="00C22AE1">
        <w:t>Not applicable.</w:t>
      </w:r>
    </w:p>
    <w:p w:rsidR="00C22AE1" w:rsidP="00C22AE1" w:rsidRDefault="00C22AE1" w14:paraId="494564CB" w14:textId="77777777"/>
    <w:p w:rsidRPr="00C22AE1" w:rsidR="006D5954" w:rsidP="00C22AE1" w:rsidRDefault="006D5954" w14:paraId="06389CE3" w14:textId="77777777"/>
    <w:p w:rsidRPr="00817E57" w:rsidR="00C22AE1" w:rsidP="00C22AE1" w:rsidRDefault="00C22AE1" w14:paraId="44E75B79" w14:textId="77777777">
      <w:pPr>
        <w:rPr>
          <w:b/>
          <w:i/>
        </w:rPr>
      </w:pPr>
      <w:r w:rsidRPr="00817E57">
        <w:rPr>
          <w:b/>
          <w:i/>
        </w:rPr>
        <w:t xml:space="preserve">15.  Changes in burden: </w:t>
      </w:r>
    </w:p>
    <w:p w:rsidRPr="00DA692A" w:rsidR="0091147C" w:rsidRDefault="0091147C" w14:paraId="7AAD14D5" w14:textId="77777777"/>
    <w:p w:rsidRPr="00DA692A" w:rsidR="00D40920" w:rsidP="002154BE" w:rsidRDefault="00D40920" w14:paraId="5D053473" w14:textId="77777777">
      <w:pPr>
        <w:ind w:firstLine="720"/>
      </w:pPr>
      <w:r w:rsidRPr="00DA692A">
        <w:t>Prior Burden:</w:t>
      </w:r>
      <w:r w:rsidRPr="00DA692A" w:rsidR="00DA692A">
        <w:t xml:space="preserve">  </w:t>
      </w:r>
      <w:r w:rsidR="00294E02">
        <w:t>372 respondents; 14,880 hours.</w:t>
      </w:r>
    </w:p>
    <w:p w:rsidRPr="00DA692A" w:rsidR="00D40920" w:rsidP="002154BE" w:rsidRDefault="00D40920" w14:paraId="2BBA1065" w14:textId="77777777">
      <w:pPr>
        <w:ind w:firstLine="720"/>
      </w:pPr>
      <w:r w:rsidRPr="00DA692A">
        <w:t xml:space="preserve">Current Burden:  </w:t>
      </w:r>
      <w:r w:rsidR="00CD4087">
        <w:t>304 respondents; 12,160 hours</w:t>
      </w:r>
    </w:p>
    <w:p w:rsidRPr="00DA692A" w:rsidR="00DA692A" w:rsidP="002154BE" w:rsidRDefault="00DA692A" w14:paraId="1C13CCC2" w14:textId="1D6863AB">
      <w:pPr>
        <w:ind w:firstLine="720"/>
      </w:pPr>
      <w:r w:rsidRPr="00DA692A">
        <w:t xml:space="preserve">Difference: </w:t>
      </w:r>
      <w:r w:rsidR="00CD4087">
        <w:t xml:space="preserve">-2,720 hours, due to a lower number of </w:t>
      </w:r>
      <w:r w:rsidR="00BF519C">
        <w:t>F</w:t>
      </w:r>
      <w:r w:rsidR="00CD4087">
        <w:t>ederal savings associations.</w:t>
      </w:r>
      <w:r w:rsidR="00CF039F">
        <w:t xml:space="preserve"> </w:t>
      </w:r>
    </w:p>
    <w:p w:rsidRPr="00DA692A" w:rsidR="00233D52" w:rsidRDefault="00233D52" w14:paraId="3EA2EEB1" w14:textId="77777777"/>
    <w:p w:rsidRPr="00CE1FEF" w:rsidR="00C22AE1" w:rsidP="00C22AE1" w:rsidRDefault="00C22AE1" w14:paraId="0BABC955" w14:textId="77777777">
      <w:pPr>
        <w:rPr>
          <w:b/>
          <w:i/>
        </w:rPr>
      </w:pPr>
      <w:r w:rsidRPr="00CE1FEF">
        <w:rPr>
          <w:b/>
          <w:i/>
        </w:rPr>
        <w:t>16.  Information regarding collections whose results are planned to be published for statistical use:</w:t>
      </w:r>
    </w:p>
    <w:p w:rsidRPr="00DA692A" w:rsidR="0091147C" w:rsidRDefault="002154BE" w14:paraId="58576ADD" w14:textId="77777777">
      <w:pPr>
        <w:spacing w:before="240"/>
      </w:pPr>
      <w:r>
        <w:tab/>
      </w:r>
      <w:r w:rsidR="00AF1C40">
        <w:t>Not applicable.</w:t>
      </w:r>
    </w:p>
    <w:p w:rsidRPr="00DA692A" w:rsidR="0091147C" w:rsidRDefault="0091147C" w14:paraId="2CAB87D6" w14:textId="77777777">
      <w:pPr>
        <w:tabs>
          <w:tab w:val="left" w:pos="720"/>
        </w:tabs>
        <w:rPr>
          <w:bCs/>
        </w:rPr>
      </w:pPr>
    </w:p>
    <w:p w:rsidRPr="00CE1FEF" w:rsidR="00C22AE1" w:rsidP="00C22AE1" w:rsidRDefault="00C22AE1" w14:paraId="4B86F7A1" w14:textId="77777777">
      <w:pPr>
        <w:rPr>
          <w:b/>
          <w:i/>
        </w:rPr>
      </w:pPr>
      <w:r w:rsidRPr="00CE1FEF">
        <w:rPr>
          <w:b/>
          <w:i/>
        </w:rPr>
        <w:t>17.  Display of expiration date:</w:t>
      </w:r>
    </w:p>
    <w:p w:rsidRPr="00DA692A" w:rsidR="0091147C" w:rsidRDefault="002154BE" w14:paraId="13D6C1FE" w14:textId="77777777">
      <w:pPr>
        <w:spacing w:before="240"/>
      </w:pPr>
      <w:r>
        <w:tab/>
      </w:r>
      <w:r w:rsidRPr="00DA692A" w:rsidR="00D40920">
        <w:t>Not applicable.</w:t>
      </w:r>
    </w:p>
    <w:p w:rsidR="00C22AE1" w:rsidP="00C22AE1" w:rsidRDefault="00C22AE1" w14:paraId="30DCF355" w14:textId="77777777"/>
    <w:p w:rsidRPr="00CE1FEF" w:rsidR="00C22AE1" w:rsidP="00C22AE1" w:rsidRDefault="00C22AE1" w14:paraId="276FD75A" w14:textId="77777777">
      <w:pPr>
        <w:rPr>
          <w:b/>
          <w:i/>
        </w:rPr>
      </w:pPr>
      <w:r w:rsidRPr="00CE1FEF">
        <w:rPr>
          <w:b/>
          <w:i/>
        </w:rPr>
        <w:t>18.  Exceptions to certification statement:</w:t>
      </w:r>
    </w:p>
    <w:p w:rsidR="00A1336D" w:rsidRDefault="002154BE" w14:paraId="08A55883" w14:textId="77777777">
      <w:pPr>
        <w:spacing w:before="240"/>
      </w:pPr>
      <w:r>
        <w:tab/>
      </w:r>
      <w:r w:rsidRPr="00DA692A" w:rsidR="00D40920">
        <w:t>Not applicable.</w:t>
      </w:r>
    </w:p>
    <w:p w:rsidRPr="00DA692A" w:rsidR="005F3786" w:rsidRDefault="005F3786" w14:paraId="4A4151A3" w14:textId="77777777">
      <w:pPr>
        <w:spacing w:before="240"/>
      </w:pPr>
    </w:p>
    <w:p w:rsidRPr="00F43E05" w:rsidR="00DA692A" w:rsidP="00DA692A" w:rsidRDefault="00DA692A" w14:paraId="46E5AEF5" w14:textId="77777777">
      <w:pPr>
        <w:rPr>
          <w:b/>
        </w:rPr>
      </w:pPr>
      <w:r w:rsidRPr="00F43E05">
        <w:rPr>
          <w:b/>
        </w:rPr>
        <w:t xml:space="preserve">B.  </w:t>
      </w:r>
      <w:r w:rsidRPr="00F43E05" w:rsidR="00CE1FEF">
        <w:rPr>
          <w:b/>
        </w:rPr>
        <w:t>Collections of I</w:t>
      </w:r>
      <w:r w:rsidRPr="00F43E05">
        <w:rPr>
          <w:b/>
        </w:rPr>
        <w:t>nf</w:t>
      </w:r>
      <w:r w:rsidRPr="00F43E05" w:rsidR="00CE1FEF">
        <w:rPr>
          <w:b/>
        </w:rPr>
        <w:t>ormation Employing Statistical M</w:t>
      </w:r>
      <w:r w:rsidRPr="00F43E05">
        <w:rPr>
          <w:b/>
        </w:rPr>
        <w:t>ethods</w:t>
      </w:r>
      <w:r w:rsidRPr="00F43E05" w:rsidR="00CE1FEF">
        <w:rPr>
          <w:b/>
        </w:rPr>
        <w:t>.</w:t>
      </w:r>
    </w:p>
    <w:p w:rsidR="0091147C" w:rsidRDefault="0091147C" w14:paraId="7475D78D" w14:textId="77777777">
      <w:pPr>
        <w:tabs>
          <w:tab w:val="left" w:pos="720"/>
        </w:tabs>
      </w:pPr>
    </w:p>
    <w:p w:rsidR="0091147C" w:rsidP="002154BE" w:rsidRDefault="002154BE" w14:paraId="67DB214C" w14:textId="77777777">
      <w:pPr>
        <w:tabs>
          <w:tab w:val="left" w:pos="720"/>
        </w:tabs>
      </w:pPr>
      <w:r>
        <w:tab/>
      </w:r>
      <w:r w:rsidR="0091147C">
        <w:t>Not applicable.</w:t>
      </w:r>
    </w:p>
    <w:sectPr w:rsidR="0091147C">
      <w:footerReference w:type="first" r:id="rId7"/>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F3B08" w14:textId="77777777" w:rsidR="001B1768" w:rsidRDefault="001B1768">
      <w:r>
        <w:separator/>
      </w:r>
    </w:p>
  </w:endnote>
  <w:endnote w:type="continuationSeparator" w:id="0">
    <w:p w14:paraId="6BDB1EE9" w14:textId="77777777" w:rsidR="001B1768" w:rsidRDefault="001B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419046"/>
      <w:docPartObj>
        <w:docPartGallery w:val="Page Numbers (Bottom of Page)"/>
        <w:docPartUnique/>
      </w:docPartObj>
    </w:sdtPr>
    <w:sdtEndPr>
      <w:rPr>
        <w:noProof/>
      </w:rPr>
    </w:sdtEndPr>
    <w:sdtContent>
      <w:p w14:paraId="6C9D507E" w14:textId="77777777" w:rsidR="00036708" w:rsidRDefault="00036708">
        <w:pPr>
          <w:pStyle w:val="Footer"/>
          <w:jc w:val="center"/>
        </w:pPr>
        <w:r>
          <w:fldChar w:fldCharType="begin"/>
        </w:r>
        <w:r>
          <w:instrText xml:space="preserve"> PAGE   \* MERGEFORMAT </w:instrText>
        </w:r>
        <w:r>
          <w:fldChar w:fldCharType="separate"/>
        </w:r>
        <w:r w:rsidR="00C84F35">
          <w:rPr>
            <w:noProof/>
          </w:rPr>
          <w:t>1</w:t>
        </w:r>
        <w:r>
          <w:rPr>
            <w:noProof/>
          </w:rPr>
          <w:fldChar w:fldCharType="end"/>
        </w:r>
      </w:p>
    </w:sdtContent>
  </w:sdt>
  <w:p w14:paraId="6A25D3A1" w14:textId="77777777" w:rsidR="005F42D1" w:rsidRDefault="005F4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4AE0A" w14:textId="77777777" w:rsidR="001B1768" w:rsidRDefault="001B1768">
      <w:r>
        <w:separator/>
      </w:r>
    </w:p>
  </w:footnote>
  <w:footnote w:type="continuationSeparator" w:id="0">
    <w:p w14:paraId="0E614908" w14:textId="77777777" w:rsidR="001B1768" w:rsidRDefault="001B1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C65FF"/>
    <w:multiLevelType w:val="multilevel"/>
    <w:tmpl w:val="D9507CCE"/>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EC94545"/>
    <w:multiLevelType w:val="hybridMultilevel"/>
    <w:tmpl w:val="BE569206"/>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F4D0AB9"/>
    <w:multiLevelType w:val="multilevel"/>
    <w:tmpl w:val="61F2F2B6"/>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AAA6EBC"/>
    <w:multiLevelType w:val="hybridMultilevel"/>
    <w:tmpl w:val="BE5692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AC44C28"/>
    <w:multiLevelType w:val="multilevel"/>
    <w:tmpl w:val="C76C02B6"/>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4D0123"/>
    <w:multiLevelType w:val="multilevel"/>
    <w:tmpl w:val="59F690B0"/>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CAF1545"/>
    <w:multiLevelType w:val="multilevel"/>
    <w:tmpl w:val="AFF85BC0"/>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D99016D"/>
    <w:multiLevelType w:val="multilevel"/>
    <w:tmpl w:val="DF94B158"/>
    <w:lvl w:ilvl="0">
      <w:start w:val="1"/>
      <w:numFmt w:val="upperLetter"/>
      <w:pStyle w:val="Heading1"/>
      <w:lvlText w:val="%1."/>
      <w:lvlJc w:val="left"/>
      <w:pPr>
        <w:tabs>
          <w:tab w:val="num" w:pos="360"/>
        </w:tabs>
        <w:ind w:left="0" w:firstLine="0"/>
      </w:pPr>
      <w:rPr>
        <w:rFonts w:hint="default"/>
      </w:rPr>
    </w:lvl>
    <w:lvl w:ilvl="1">
      <w:start w:val="1"/>
      <w:numFmt w:val="decimal"/>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6"/>
  </w:num>
  <w:num w:numId="2">
    <w:abstractNumId w:val="6"/>
  </w:num>
  <w:num w:numId="3">
    <w:abstractNumId w:val="6"/>
  </w:num>
  <w:num w:numId="4">
    <w:abstractNumId w:val="3"/>
  </w:num>
  <w:num w:numId="5">
    <w:abstractNumId w:val="4"/>
  </w:num>
  <w:num w:numId="6">
    <w:abstractNumId w:val="0"/>
  </w:num>
  <w:num w:numId="7">
    <w:abstractNumId w:val="2"/>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33"/>
    <w:rsid w:val="00005543"/>
    <w:rsid w:val="00036708"/>
    <w:rsid w:val="00056233"/>
    <w:rsid w:val="000C54D7"/>
    <w:rsid w:val="000D5186"/>
    <w:rsid w:val="000E2419"/>
    <w:rsid w:val="001328A2"/>
    <w:rsid w:val="00142FF7"/>
    <w:rsid w:val="00153301"/>
    <w:rsid w:val="00180F24"/>
    <w:rsid w:val="001B1768"/>
    <w:rsid w:val="002154BE"/>
    <w:rsid w:val="00233D52"/>
    <w:rsid w:val="00242484"/>
    <w:rsid w:val="00294E02"/>
    <w:rsid w:val="002D285D"/>
    <w:rsid w:val="0034012C"/>
    <w:rsid w:val="00347489"/>
    <w:rsid w:val="003748CF"/>
    <w:rsid w:val="00374B70"/>
    <w:rsid w:val="00387058"/>
    <w:rsid w:val="003C5922"/>
    <w:rsid w:val="003C6656"/>
    <w:rsid w:val="003E7E83"/>
    <w:rsid w:val="00424C5E"/>
    <w:rsid w:val="00444C7D"/>
    <w:rsid w:val="004879DE"/>
    <w:rsid w:val="004A3D93"/>
    <w:rsid w:val="004C29B5"/>
    <w:rsid w:val="005169A6"/>
    <w:rsid w:val="00546F7D"/>
    <w:rsid w:val="005515C3"/>
    <w:rsid w:val="00593D3F"/>
    <w:rsid w:val="005F3786"/>
    <w:rsid w:val="005F42D1"/>
    <w:rsid w:val="006323F2"/>
    <w:rsid w:val="00664C1D"/>
    <w:rsid w:val="00681898"/>
    <w:rsid w:val="006D5954"/>
    <w:rsid w:val="007C32F8"/>
    <w:rsid w:val="0080081D"/>
    <w:rsid w:val="00817E57"/>
    <w:rsid w:val="00861AAF"/>
    <w:rsid w:val="0091147C"/>
    <w:rsid w:val="00947341"/>
    <w:rsid w:val="0097614F"/>
    <w:rsid w:val="009C70FB"/>
    <w:rsid w:val="00A1336D"/>
    <w:rsid w:val="00A42AE8"/>
    <w:rsid w:val="00A45FDB"/>
    <w:rsid w:val="00A8147C"/>
    <w:rsid w:val="00AA5261"/>
    <w:rsid w:val="00AE229D"/>
    <w:rsid w:val="00AF1C40"/>
    <w:rsid w:val="00B656DA"/>
    <w:rsid w:val="00B7729F"/>
    <w:rsid w:val="00B8309F"/>
    <w:rsid w:val="00B92ED0"/>
    <w:rsid w:val="00BF519C"/>
    <w:rsid w:val="00C21B17"/>
    <w:rsid w:val="00C22AE1"/>
    <w:rsid w:val="00C62E55"/>
    <w:rsid w:val="00C66B26"/>
    <w:rsid w:val="00C83AC6"/>
    <w:rsid w:val="00C84F35"/>
    <w:rsid w:val="00CB6708"/>
    <w:rsid w:val="00CD4087"/>
    <w:rsid w:val="00CD4E87"/>
    <w:rsid w:val="00CE1FEF"/>
    <w:rsid w:val="00CF039F"/>
    <w:rsid w:val="00D135EA"/>
    <w:rsid w:val="00D40920"/>
    <w:rsid w:val="00D514A4"/>
    <w:rsid w:val="00DA3C6B"/>
    <w:rsid w:val="00DA5CA6"/>
    <w:rsid w:val="00DA692A"/>
    <w:rsid w:val="00E02F9B"/>
    <w:rsid w:val="00E543DC"/>
    <w:rsid w:val="00E81528"/>
    <w:rsid w:val="00EA7356"/>
    <w:rsid w:val="00EF633F"/>
    <w:rsid w:val="00F20661"/>
    <w:rsid w:val="00F430C3"/>
    <w:rsid w:val="00F43E05"/>
    <w:rsid w:val="00F72C9C"/>
    <w:rsid w:val="00F94796"/>
    <w:rsid w:val="00FE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0E59C3"/>
  <w15:chartTrackingRefBased/>
  <w15:docId w15:val="{D01B6D6E-C142-43DD-A8B6-75B80A1D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9"/>
      </w:numPr>
      <w:spacing w:before="240" w:after="60"/>
      <w:outlineLvl w:val="0"/>
    </w:pPr>
    <w:rPr>
      <w:b/>
      <w:bCs/>
      <w:kern w:val="32"/>
      <w:szCs w:val="32"/>
    </w:rPr>
  </w:style>
  <w:style w:type="paragraph" w:styleId="Heading2">
    <w:name w:val="heading 2"/>
    <w:basedOn w:val="Normal"/>
    <w:next w:val="Normal"/>
    <w:qFormat/>
    <w:pPr>
      <w:keepNext/>
      <w:numPr>
        <w:ilvl w:val="1"/>
        <w:numId w:val="9"/>
      </w:numPr>
      <w:spacing w:before="240" w:after="60"/>
      <w:outlineLvl w:val="1"/>
    </w:pPr>
    <w:rPr>
      <w:szCs w:val="28"/>
    </w:rPr>
  </w:style>
  <w:style w:type="paragraph" w:styleId="Heading3">
    <w:name w:val="heading 3"/>
    <w:basedOn w:val="Normal"/>
    <w:next w:val="Normal"/>
    <w:qFormat/>
    <w:pPr>
      <w:keepNext/>
      <w:numPr>
        <w:ilvl w:val="2"/>
        <w:numId w:val="9"/>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9"/>
      </w:numPr>
      <w:spacing w:before="240" w:after="60"/>
      <w:outlineLvl w:val="3"/>
    </w:pPr>
    <w:rPr>
      <w:b/>
      <w:bCs/>
      <w:sz w:val="28"/>
      <w:szCs w:val="28"/>
    </w:rPr>
  </w:style>
  <w:style w:type="paragraph" w:styleId="Heading5">
    <w:name w:val="heading 5"/>
    <w:basedOn w:val="Normal"/>
    <w:next w:val="Normal"/>
    <w:qFormat/>
    <w:pPr>
      <w:numPr>
        <w:ilvl w:val="4"/>
        <w:numId w:val="9"/>
      </w:numPr>
      <w:spacing w:before="240" w:after="60"/>
      <w:outlineLvl w:val="4"/>
    </w:pPr>
    <w:rPr>
      <w:b/>
      <w:bCs/>
      <w:i/>
      <w:iCs/>
      <w:sz w:val="26"/>
      <w:szCs w:val="26"/>
    </w:rPr>
  </w:style>
  <w:style w:type="paragraph" w:styleId="Heading6">
    <w:name w:val="heading 6"/>
    <w:basedOn w:val="Normal"/>
    <w:next w:val="Normal"/>
    <w:qFormat/>
    <w:pPr>
      <w:numPr>
        <w:ilvl w:val="5"/>
        <w:numId w:val="9"/>
      </w:numPr>
      <w:spacing w:before="240" w:after="60"/>
      <w:outlineLvl w:val="5"/>
    </w:pPr>
    <w:rPr>
      <w:b/>
      <w:bCs/>
      <w:sz w:val="22"/>
      <w:szCs w:val="22"/>
    </w:rPr>
  </w:style>
  <w:style w:type="paragraph" w:styleId="Heading7">
    <w:name w:val="heading 7"/>
    <w:basedOn w:val="Normal"/>
    <w:next w:val="Normal"/>
    <w:qFormat/>
    <w:pPr>
      <w:numPr>
        <w:ilvl w:val="6"/>
        <w:numId w:val="9"/>
      </w:numPr>
      <w:spacing w:before="240" w:after="60"/>
      <w:outlineLvl w:val="6"/>
    </w:pPr>
  </w:style>
  <w:style w:type="paragraph" w:styleId="Heading8">
    <w:name w:val="heading 8"/>
    <w:basedOn w:val="Normal"/>
    <w:next w:val="Normal"/>
    <w:qFormat/>
    <w:pPr>
      <w:numPr>
        <w:ilvl w:val="7"/>
        <w:numId w:val="9"/>
      </w:numPr>
      <w:spacing w:before="240" w:after="60"/>
      <w:outlineLvl w:val="7"/>
    </w:pPr>
    <w:rPr>
      <w:i/>
      <w:iCs/>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10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A692A"/>
    <w:pPr>
      <w:spacing w:after="120"/>
    </w:pPr>
  </w:style>
  <w:style w:type="character" w:customStyle="1" w:styleId="BodyTextChar">
    <w:name w:val="Body Text Char"/>
    <w:link w:val="BodyText"/>
    <w:rsid w:val="00DA692A"/>
    <w:rPr>
      <w:sz w:val="24"/>
      <w:szCs w:val="24"/>
    </w:rPr>
  </w:style>
  <w:style w:type="paragraph" w:styleId="HTMLPreformatted">
    <w:name w:val="HTML Preformatted"/>
    <w:basedOn w:val="Normal"/>
    <w:link w:val="HTMLPreformattedChar"/>
    <w:uiPriority w:val="99"/>
    <w:rsid w:val="00DA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A692A"/>
    <w:rPr>
      <w:rFonts w:ascii="Courier New" w:hAnsi="Courier New" w:cs="Courier New"/>
    </w:rPr>
  </w:style>
  <w:style w:type="character" w:styleId="CommentReference">
    <w:name w:val="annotation reference"/>
    <w:rsid w:val="00F72C9C"/>
    <w:rPr>
      <w:sz w:val="16"/>
      <w:szCs w:val="16"/>
    </w:rPr>
  </w:style>
  <w:style w:type="paragraph" w:styleId="CommentText">
    <w:name w:val="annotation text"/>
    <w:basedOn w:val="Normal"/>
    <w:link w:val="CommentTextChar"/>
    <w:rsid w:val="00F72C9C"/>
    <w:rPr>
      <w:sz w:val="20"/>
      <w:szCs w:val="20"/>
    </w:rPr>
  </w:style>
  <w:style w:type="character" w:customStyle="1" w:styleId="CommentTextChar">
    <w:name w:val="Comment Text Char"/>
    <w:basedOn w:val="DefaultParagraphFont"/>
    <w:link w:val="CommentText"/>
    <w:rsid w:val="00F72C9C"/>
  </w:style>
  <w:style w:type="paragraph" w:styleId="CommentSubject">
    <w:name w:val="annotation subject"/>
    <w:basedOn w:val="CommentText"/>
    <w:next w:val="CommentText"/>
    <w:link w:val="CommentSubjectChar"/>
    <w:rsid w:val="00F72C9C"/>
    <w:rPr>
      <w:b/>
      <w:bCs/>
    </w:rPr>
  </w:style>
  <w:style w:type="character" w:customStyle="1" w:styleId="CommentSubjectChar">
    <w:name w:val="Comment Subject Char"/>
    <w:link w:val="CommentSubject"/>
    <w:rsid w:val="00F72C9C"/>
    <w:rPr>
      <w:b/>
      <w:bCs/>
    </w:rPr>
  </w:style>
  <w:style w:type="paragraph" w:styleId="BalloonText">
    <w:name w:val="Balloon Text"/>
    <w:basedOn w:val="Normal"/>
    <w:link w:val="BalloonTextChar"/>
    <w:rsid w:val="00F72C9C"/>
    <w:rPr>
      <w:rFonts w:ascii="Tahoma" w:hAnsi="Tahoma" w:cs="Tahoma"/>
      <w:sz w:val="16"/>
      <w:szCs w:val="16"/>
    </w:rPr>
  </w:style>
  <w:style w:type="character" w:customStyle="1" w:styleId="BalloonTextChar">
    <w:name w:val="Balloon Text Char"/>
    <w:link w:val="BalloonText"/>
    <w:rsid w:val="00F72C9C"/>
    <w:rPr>
      <w:rFonts w:ascii="Tahoma" w:hAnsi="Tahoma" w:cs="Tahoma"/>
      <w:sz w:val="16"/>
      <w:szCs w:val="16"/>
    </w:rPr>
  </w:style>
  <w:style w:type="character" w:customStyle="1" w:styleId="FooterChar">
    <w:name w:val="Footer Char"/>
    <w:basedOn w:val="DefaultParagraphFont"/>
    <w:link w:val="Footer"/>
    <w:uiPriority w:val="99"/>
    <w:rsid w:val="00036708"/>
    <w:rPr>
      <w:sz w:val="24"/>
      <w:szCs w:val="24"/>
    </w:rPr>
  </w:style>
  <w:style w:type="paragraph" w:styleId="FootnoteText">
    <w:name w:val="footnote text"/>
    <w:basedOn w:val="Normal"/>
    <w:link w:val="FootnoteTextChar"/>
    <w:unhideWhenUsed/>
    <w:rsid w:val="00AA5261"/>
    <w:rPr>
      <w:sz w:val="20"/>
      <w:szCs w:val="20"/>
    </w:rPr>
  </w:style>
  <w:style w:type="character" w:customStyle="1" w:styleId="FootnoteTextChar">
    <w:name w:val="Footnote Text Char"/>
    <w:basedOn w:val="DefaultParagraphFont"/>
    <w:link w:val="FootnoteText"/>
    <w:rsid w:val="00AA5261"/>
  </w:style>
  <w:style w:type="character" w:styleId="FootnoteReference">
    <w:name w:val="footnote reference"/>
    <w:basedOn w:val="DefaultParagraphFont"/>
    <w:unhideWhenUsed/>
    <w:rsid w:val="00AA5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84003">
      <w:bodyDiv w:val="1"/>
      <w:marLeft w:val="0"/>
      <w:marRight w:val="0"/>
      <w:marTop w:val="0"/>
      <w:marBottom w:val="0"/>
      <w:divBdr>
        <w:top w:val="none" w:sz="0" w:space="0" w:color="auto"/>
        <w:left w:val="none" w:sz="0" w:space="0" w:color="auto"/>
        <w:bottom w:val="none" w:sz="0" w:space="0" w:color="auto"/>
        <w:right w:val="none" w:sz="0" w:space="0" w:color="auto"/>
      </w:divBdr>
    </w:div>
    <w:div w:id="1277181730">
      <w:bodyDiv w:val="1"/>
      <w:marLeft w:val="0"/>
      <w:marRight w:val="0"/>
      <w:marTop w:val="0"/>
      <w:marBottom w:val="0"/>
      <w:divBdr>
        <w:top w:val="none" w:sz="0" w:space="0" w:color="auto"/>
        <w:left w:val="none" w:sz="0" w:space="0" w:color="auto"/>
        <w:bottom w:val="none" w:sz="0" w:space="0" w:color="auto"/>
        <w:right w:val="none" w:sz="0" w:space="0" w:color="auto"/>
      </w:divBdr>
    </w:div>
    <w:div w:id="131421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557</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Mary</dc:creator>
  <cp:keywords/>
  <cp:lastModifiedBy>Gottlieb, Mary</cp:lastModifiedBy>
  <cp:revision>4</cp:revision>
  <dcterms:created xsi:type="dcterms:W3CDTF">2019-10-29T19:02:00Z</dcterms:created>
  <dcterms:modified xsi:type="dcterms:W3CDTF">2020-02-11T19:44:00Z</dcterms:modified>
</cp:coreProperties>
</file>