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95B" w:rsidRDefault="00CF1BD4">
      <w:pPr>
        <w:jc w:val="center"/>
      </w:pPr>
      <w:r>
        <w:t xml:space="preserve">Supporting Statement for </w:t>
      </w:r>
      <w:r w:rsidR="005E795B">
        <w:t xml:space="preserve">Paperwork Reduction Act Submissions </w:t>
      </w:r>
    </w:p>
    <w:p w:rsidR="005E795B" w:rsidP="005E795B" w:rsidRDefault="005E795B">
      <w:pPr>
        <w:jc w:val="center"/>
      </w:pPr>
      <w:r>
        <w:t>Community Development Financial Institutions Fund (CDFI Fund)</w:t>
      </w:r>
    </w:p>
    <w:p w:rsidR="00CF1BD4" w:rsidRDefault="00D27F73">
      <w:pPr>
        <w:jc w:val="center"/>
      </w:pPr>
      <w:r w:rsidRPr="00844CD3">
        <w:rPr>
          <w:bCs/>
          <w:color w:val="000000"/>
        </w:rPr>
        <w:t xml:space="preserve">New Markets Tax Credit Program </w:t>
      </w:r>
      <w:r w:rsidRPr="009E1235">
        <w:t xml:space="preserve">Allocation </w:t>
      </w:r>
      <w:r>
        <w:t xml:space="preserve">and Qualified Equity </w:t>
      </w:r>
      <w:r w:rsidRPr="009E1235">
        <w:t>Tracking</w:t>
      </w:r>
      <w:r>
        <w:t xml:space="preserve"> (AQEI)</w:t>
      </w:r>
      <w:r w:rsidRPr="009E1235">
        <w:t xml:space="preserve"> System</w:t>
      </w:r>
      <w:r w:rsidR="0008650B">
        <w:t>, 1559-0024</w:t>
      </w:r>
    </w:p>
    <w:p w:rsidR="00CF1BD4" w:rsidRDefault="00CF1BD4"/>
    <w:p w:rsidR="00CF1BD4" w:rsidRDefault="00CF1BD4">
      <w:pPr>
        <w:pStyle w:val="Heading1"/>
      </w:pPr>
      <w:r>
        <w:t>A.  Justification</w:t>
      </w:r>
    </w:p>
    <w:p w:rsidR="00CF1BD4" w:rsidRDefault="00CF1BD4">
      <w:r>
        <w:rPr>
          <w:u w:val="single"/>
        </w:rPr>
        <w:t>1.  Circumstances necessitating collection of information</w:t>
      </w:r>
    </w:p>
    <w:p w:rsidR="00CF1BD4" w:rsidRDefault="00CF1BD4">
      <w:r>
        <w:t>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w:t>
      </w:r>
      <w:r w:rsidR="00FC2C26">
        <w:t xml:space="preserve"> (NMTC)</w:t>
      </w:r>
      <w:r>
        <w:t xml:space="preserve">.  Pursuant to IRC section 45D, the Community Development Financial Institutions (CDFI) Fund implements the NMTC Program, which is expected to stimulate investment in private capital that, in turn, will facilitate economic and community development in low-income communities.  </w:t>
      </w:r>
      <w:r w:rsidR="0069065B">
        <w:t xml:space="preserve">In order to qualify for an allocation of tax credits under the NMTC Program, an entity must be certified as a Community Development Entity (CDE) and submit an allocation application to the </w:t>
      </w:r>
      <w:r w:rsidR="00FC2C26">
        <w:t xml:space="preserve">CDFI </w:t>
      </w:r>
      <w:r w:rsidR="0069065B">
        <w:t xml:space="preserve">Fund. </w:t>
      </w:r>
      <w:r>
        <w:t>Via a competitive process, the CDFI Fund awards NMTC allocation awards to select</w:t>
      </w:r>
      <w:r w:rsidR="0069065B">
        <w:t xml:space="preserve"> CDEs</w:t>
      </w:r>
      <w:r>
        <w:t xml:space="preserve">, based upon information submitted in their NMTC Allocation Application. </w:t>
      </w:r>
      <w:r w:rsidR="00670A21">
        <w:t>Entities receiving a</w:t>
      </w:r>
      <w:r w:rsidR="00782181">
        <w:t>n</w:t>
      </w:r>
      <w:r w:rsidR="00670A21">
        <w:t xml:space="preserve"> NMTC allocation must enter into an allocation </w:t>
      </w:r>
      <w:r w:rsidR="0071312C">
        <w:t>agreement with the</w:t>
      </w:r>
      <w:r w:rsidR="004A1442">
        <w:t xml:space="preserve"> CDFI</w:t>
      </w:r>
      <w:r w:rsidR="0071312C">
        <w:t xml:space="preserve"> Fund. The allocation agreement contains the terms and conditions, including all reporting requirements, associated with the receipt of a NMTC allocation. The </w:t>
      </w:r>
      <w:r w:rsidR="004A1442">
        <w:t xml:space="preserve">CDFI </w:t>
      </w:r>
      <w:r w:rsidR="0071312C">
        <w:t xml:space="preserve">Fund </w:t>
      </w:r>
      <w:r w:rsidR="00A05F94">
        <w:t xml:space="preserve">required </w:t>
      </w:r>
      <w:r w:rsidR="0071312C">
        <w:t xml:space="preserve">each </w:t>
      </w:r>
      <w:proofErr w:type="spellStart"/>
      <w:r w:rsidR="00CB5C0E">
        <w:t>Allocatee</w:t>
      </w:r>
      <w:proofErr w:type="spellEnd"/>
      <w:r w:rsidR="00CB5C0E">
        <w:t xml:space="preserve"> </w:t>
      </w:r>
      <w:r w:rsidR="0071312C">
        <w:t xml:space="preserve">to use an electronic data collection </w:t>
      </w:r>
      <w:r w:rsidR="00387744">
        <w:t>a</w:t>
      </w:r>
      <w:r w:rsidR="0071312C">
        <w:t xml:space="preserve">nd submission system, known as the </w:t>
      </w:r>
      <w:r w:rsidR="00FC2C26">
        <w:t>A</w:t>
      </w:r>
      <w:r w:rsidR="0071312C">
        <w:t xml:space="preserve">llocation </w:t>
      </w:r>
      <w:r w:rsidR="00FC2C26">
        <w:t>T</w:t>
      </w:r>
      <w:r w:rsidR="0071312C">
        <w:t xml:space="preserve">racking </w:t>
      </w:r>
      <w:r w:rsidR="00FC2C26">
        <w:t>S</w:t>
      </w:r>
      <w:r w:rsidR="0071312C">
        <w:t>ystem (ATS), to report on the information related to its receipt of a Qualified Equity Investment (QEI).</w:t>
      </w:r>
      <w:r w:rsidR="00A05F94">
        <w:t xml:space="preserve"> As of May 2018, the ATS function was renamed as the NMTC </w:t>
      </w:r>
      <w:r w:rsidRPr="009E1235" w:rsidR="00A05F94">
        <w:t xml:space="preserve">Allocation </w:t>
      </w:r>
      <w:r w:rsidR="00A05F94">
        <w:t xml:space="preserve">and Qualified Equity Investment </w:t>
      </w:r>
      <w:r w:rsidRPr="009E1235" w:rsidR="00A05F94">
        <w:t>Tracking</w:t>
      </w:r>
      <w:r w:rsidR="00A05F94">
        <w:t xml:space="preserve"> </w:t>
      </w:r>
      <w:r w:rsidRPr="009E1235" w:rsidR="00A05F94">
        <w:t>System</w:t>
      </w:r>
      <w:r w:rsidR="00A05F94">
        <w:t xml:space="preserve"> (AQEI) and moved to the CDFI Fund’s </w:t>
      </w:r>
      <w:r w:rsidRPr="0059317A" w:rsidR="00A05F94">
        <w:t>Awards Management Information System (AMIS)</w:t>
      </w:r>
      <w:r w:rsidR="00A05F94">
        <w:t xml:space="preserve">, a business system that supports all CDFI Fund programs through each phase of </w:t>
      </w:r>
      <w:r w:rsidRPr="0059317A" w:rsidR="00A05F94">
        <w:t>the programs’ life cycle</w:t>
      </w:r>
      <w:r w:rsidR="00A05F94">
        <w:t>.</w:t>
      </w:r>
    </w:p>
    <w:p w:rsidR="00CF1BD4" w:rsidRDefault="00CF1BD4"/>
    <w:p w:rsidR="00CF1BD4" w:rsidRDefault="00A05F94">
      <w:r>
        <w:t>AQEI</w:t>
      </w:r>
      <w:r w:rsidR="00CF1BD4">
        <w:t xml:space="preserve"> </w:t>
      </w:r>
      <w:r w:rsidR="00782181">
        <w:t>enables</w:t>
      </w:r>
      <w:r w:rsidR="00CF1BD4">
        <w:t xml:space="preserve"> </w:t>
      </w:r>
      <w:proofErr w:type="spellStart"/>
      <w:r w:rsidR="00CF1BD4">
        <w:t>Allocatees</w:t>
      </w:r>
      <w:proofErr w:type="spellEnd"/>
      <w:r w:rsidR="00CF1BD4">
        <w:t xml:space="preserve"> to report information to the </w:t>
      </w:r>
      <w:r w:rsidR="00FC2C26">
        <w:t xml:space="preserve">CDFI </w:t>
      </w:r>
      <w:r w:rsidR="00CF1BD4">
        <w:t xml:space="preserve">Fund in a timely fashion.  This information </w:t>
      </w:r>
      <w:r w:rsidR="00782181">
        <w:t xml:space="preserve">is </w:t>
      </w:r>
      <w:r w:rsidR="00CF1BD4">
        <w:t xml:space="preserve">also used by the Treasury Department (including both the CDFI Fund and the Internal Revenue Service (IRS)) to: (1) monitor the issuance of QEIs to ensure that no </w:t>
      </w:r>
      <w:proofErr w:type="spellStart"/>
      <w:r w:rsidR="00CF1BD4">
        <w:t>Allocatee</w:t>
      </w:r>
      <w:proofErr w:type="spellEnd"/>
      <w:r w:rsidR="00CF1BD4">
        <w:t xml:space="preserve"> exceeds its allocation authority; (2) ensure that QEIs are issued within the timeframes required by the NMTC Program regulations and the legal agreements signed between the CDFI Fund and the </w:t>
      </w:r>
      <w:proofErr w:type="spellStart"/>
      <w:r w:rsidR="00CF1BD4">
        <w:t>Allocatee</w:t>
      </w:r>
      <w:proofErr w:type="spellEnd"/>
      <w:r w:rsidR="00CF1BD4">
        <w:t>; and (3) assist with NMTC Program evaluation efforts.</w:t>
      </w:r>
      <w:r w:rsidR="00852A8D">
        <w:t xml:space="preserve"> </w:t>
      </w:r>
      <w:r w:rsidR="00FA3399">
        <w:t xml:space="preserve"> </w:t>
      </w:r>
    </w:p>
    <w:p w:rsidR="00CF1BD4" w:rsidRDefault="00CF1BD4"/>
    <w:p w:rsidR="00CF1BD4" w:rsidRDefault="00CF1BD4">
      <w:pPr>
        <w:rPr>
          <w:u w:val="single"/>
        </w:rPr>
      </w:pPr>
      <w:r>
        <w:rPr>
          <w:u w:val="single"/>
        </w:rPr>
        <w:t>2.  Method of collection and use of data</w:t>
      </w:r>
    </w:p>
    <w:p w:rsidR="00CF1BD4" w:rsidRDefault="00A05F94">
      <w:r>
        <w:t>AQEI</w:t>
      </w:r>
      <w:r w:rsidR="005E795B">
        <w:t xml:space="preserve"> data </w:t>
      </w:r>
      <w:r w:rsidR="0024794A">
        <w:t>is</w:t>
      </w:r>
      <w:r w:rsidR="00CF1BD4">
        <w:t xml:space="preserve"> collected electronically </w:t>
      </w:r>
      <w:r>
        <w:t xml:space="preserve">in the CDFI Fund’s </w:t>
      </w:r>
      <w:r w:rsidRPr="0059317A">
        <w:t>Awards Management Information System (AMIS)</w:t>
      </w:r>
      <w:r>
        <w:t xml:space="preserve">, </w:t>
      </w:r>
      <w:r w:rsidR="005E795B">
        <w:t xml:space="preserve">and is </w:t>
      </w:r>
      <w:r w:rsidR="00CF1BD4">
        <w:t>mandatory from entities that receive a</w:t>
      </w:r>
      <w:r w:rsidR="0024794A">
        <w:t>n</w:t>
      </w:r>
      <w:r w:rsidR="00CF1BD4">
        <w:t xml:space="preserve"> NMTC allocation award.  The </w:t>
      </w:r>
      <w:r w:rsidR="005E795B">
        <w:t xml:space="preserve">data </w:t>
      </w:r>
      <w:r w:rsidR="00CF1BD4">
        <w:t xml:space="preserve">collected </w:t>
      </w:r>
      <w:r w:rsidR="005E795B">
        <w:t>is</w:t>
      </w:r>
      <w:r w:rsidR="00CF1BD4">
        <w:t xml:space="preserve"> used by the CDFI Fund </w:t>
      </w:r>
      <w:r w:rsidR="005E795B">
        <w:t xml:space="preserve">to monitor the issuance of QEIs to ensure that no </w:t>
      </w:r>
      <w:proofErr w:type="spellStart"/>
      <w:r w:rsidR="005E795B">
        <w:t>Allocatee</w:t>
      </w:r>
      <w:proofErr w:type="spellEnd"/>
      <w:r w:rsidR="005E795B">
        <w:t xml:space="preserve"> exceeds its allocation authority</w:t>
      </w:r>
      <w:r w:rsidR="00CF1BD4">
        <w:t>.</w:t>
      </w:r>
    </w:p>
    <w:p w:rsidR="00CF1BD4" w:rsidRDefault="00CF1BD4">
      <w:pPr>
        <w:jc w:val="both"/>
      </w:pPr>
    </w:p>
    <w:p w:rsidR="00CF1BD4" w:rsidRDefault="00CF1BD4">
      <w:pPr>
        <w:jc w:val="both"/>
        <w:rPr>
          <w:u w:val="single"/>
        </w:rPr>
      </w:pPr>
      <w:r>
        <w:rPr>
          <w:u w:val="single"/>
        </w:rPr>
        <w:t>3. Use of Information Technology</w:t>
      </w:r>
    </w:p>
    <w:p w:rsidR="00CF1BD4" w:rsidP="00A05F94" w:rsidRDefault="0069730D">
      <w:pPr>
        <w:pStyle w:val="Header"/>
        <w:tabs>
          <w:tab w:val="clear" w:pos="4320"/>
          <w:tab w:val="clear" w:pos="8640"/>
        </w:tabs>
      </w:pPr>
      <w:r w:rsidRPr="00887B91">
        <w:t>The CDFI Fund collect</w:t>
      </w:r>
      <w:r>
        <w:t>s</w:t>
      </w:r>
      <w:r w:rsidRPr="00887B91">
        <w:t xml:space="preserve"> </w:t>
      </w:r>
      <w:r w:rsidR="00A05F94">
        <w:t>AQEI</w:t>
      </w:r>
      <w:r>
        <w:t xml:space="preserve"> information </w:t>
      </w:r>
      <w:r w:rsidRPr="00887B91">
        <w:t>electronically</w:t>
      </w:r>
      <w:r>
        <w:t xml:space="preserve"> via</w:t>
      </w:r>
      <w:r w:rsidR="00A05F94">
        <w:t xml:space="preserve"> the</w:t>
      </w:r>
      <w:r w:rsidRPr="00A05F94" w:rsidR="00A05F94">
        <w:t xml:space="preserve"> </w:t>
      </w:r>
      <w:r w:rsidRPr="0059317A" w:rsidR="00A05F94">
        <w:t>Awards Management Information System (AMIS)</w:t>
      </w:r>
      <w:r w:rsidR="00A05F94">
        <w:t xml:space="preserve">, a business system that supports all CDFI Fund programs through each phase of </w:t>
      </w:r>
      <w:r w:rsidRPr="0059317A" w:rsidR="00A05F94">
        <w:t>the programs’ life cycle</w:t>
      </w:r>
      <w:r w:rsidR="00A05F94">
        <w:t xml:space="preserve">. This includes </w:t>
      </w:r>
      <w:r w:rsidRPr="0059317A" w:rsidR="00A05F94">
        <w:t xml:space="preserve">requirements and processes related </w:t>
      </w:r>
      <w:r w:rsidR="00A05F94">
        <w:t>to: c</w:t>
      </w:r>
      <w:r w:rsidRPr="0059317A" w:rsidR="00A05F94">
        <w:t>ertification, program awards and allocations</w:t>
      </w:r>
      <w:r w:rsidR="00A05F94">
        <w:t xml:space="preserve">, </w:t>
      </w:r>
      <w:r w:rsidRPr="0059317A" w:rsidR="00A05F94">
        <w:t>compliance</w:t>
      </w:r>
      <w:r w:rsidR="00A05F94">
        <w:t>, d</w:t>
      </w:r>
      <w:r w:rsidRPr="0059317A" w:rsidR="00A05F94">
        <w:t>ata analysis and report</w:t>
      </w:r>
      <w:r w:rsidR="00A05F94">
        <w:t>ing.</w:t>
      </w:r>
    </w:p>
    <w:p w:rsidR="00BD201F" w:rsidP="00A05F94" w:rsidRDefault="00BD201F">
      <w:pPr>
        <w:pStyle w:val="Header"/>
        <w:tabs>
          <w:tab w:val="clear" w:pos="4320"/>
          <w:tab w:val="clear" w:pos="8640"/>
        </w:tabs>
      </w:pPr>
    </w:p>
    <w:p w:rsidR="00CF1BD4" w:rsidRDefault="00CF1BD4">
      <w:pPr>
        <w:jc w:val="both"/>
        <w:rPr>
          <w:u w:val="single"/>
        </w:rPr>
      </w:pPr>
      <w:r>
        <w:rPr>
          <w:u w:val="single"/>
        </w:rPr>
        <w:t>4.  Efforts to identify duplication</w:t>
      </w:r>
    </w:p>
    <w:p w:rsidR="00CF1BD4" w:rsidRDefault="004D7C8F">
      <w:r>
        <w:lastRenderedPageBreak/>
        <w:t xml:space="preserve">Similar information is not available from other sources.  </w:t>
      </w:r>
      <w:r w:rsidR="00A05F94">
        <w:t>AQEI</w:t>
      </w:r>
      <w:r w:rsidR="00CF1BD4">
        <w:t xml:space="preserve"> does not duplicate any other CDFI Fund or Federal program information gathering tool.</w:t>
      </w:r>
    </w:p>
    <w:p w:rsidR="0071312C" w:rsidRDefault="0071312C">
      <w:pPr>
        <w:rPr>
          <w:u w:val="single"/>
        </w:rPr>
      </w:pPr>
    </w:p>
    <w:p w:rsidR="00CF1BD4" w:rsidRDefault="00CF1BD4">
      <w:pPr>
        <w:rPr>
          <w:u w:val="single"/>
        </w:rPr>
      </w:pPr>
      <w:r>
        <w:rPr>
          <w:u w:val="single"/>
        </w:rPr>
        <w:t>5.  Impact on small entities</w:t>
      </w:r>
    </w:p>
    <w:p w:rsidR="00CF1BD4" w:rsidRDefault="00CF1BD4">
      <w:r>
        <w:t>This collection of information does not have a significant impact on small entities.</w:t>
      </w:r>
    </w:p>
    <w:p w:rsidR="00CF1BD4" w:rsidRDefault="00CF1BD4">
      <w:pPr>
        <w:rPr>
          <w:u w:val="single"/>
        </w:rPr>
      </w:pPr>
    </w:p>
    <w:p w:rsidR="00387744" w:rsidRDefault="00387744">
      <w:pPr>
        <w:rPr>
          <w:u w:val="single"/>
        </w:rPr>
      </w:pPr>
    </w:p>
    <w:p w:rsidR="00CF1BD4" w:rsidRDefault="00CF1BD4">
      <w:pPr>
        <w:rPr>
          <w:u w:val="single"/>
        </w:rPr>
      </w:pPr>
      <w:r>
        <w:rPr>
          <w:u w:val="single"/>
        </w:rPr>
        <w:t>6.  Consequences of less frequent collection and obstacles to burden reduction</w:t>
      </w:r>
    </w:p>
    <w:p w:rsidR="00CF1BD4" w:rsidRDefault="00CF1BD4">
      <w:r>
        <w:t xml:space="preserve">The CDFI Fund cannot administer the NMTC Program, monitor timely usage of tax credit allocation awards, and fulfill its statutory obligations without the collection of data through </w:t>
      </w:r>
      <w:r w:rsidR="00A05F94">
        <w:t>AQEI</w:t>
      </w:r>
      <w:r>
        <w:t xml:space="preserve">. </w:t>
      </w:r>
    </w:p>
    <w:p w:rsidR="00CF1BD4" w:rsidRDefault="00CF1BD4"/>
    <w:p w:rsidR="00CF1BD4" w:rsidRDefault="00CF1BD4">
      <w:pPr>
        <w:rPr>
          <w:u w:val="single"/>
        </w:rPr>
      </w:pPr>
      <w:r>
        <w:rPr>
          <w:u w:val="single"/>
        </w:rPr>
        <w:t>7.  Circumstances requiring special information collection</w:t>
      </w:r>
    </w:p>
    <w:p w:rsidR="00CF1BD4" w:rsidRDefault="00CF1BD4">
      <w:pPr>
        <w:spacing w:before="120"/>
      </w:pPr>
      <w:r>
        <w:rPr>
          <w:i/>
          <w:iCs/>
        </w:rPr>
        <w:t xml:space="preserve">Information collection may occur more often than quarterly.  </w:t>
      </w:r>
      <w:r>
        <w:t xml:space="preserve">An </w:t>
      </w:r>
      <w:proofErr w:type="spellStart"/>
      <w:r>
        <w:t>Allocatee</w:t>
      </w:r>
      <w:proofErr w:type="spellEnd"/>
      <w:r>
        <w:t xml:space="preserve"> </w:t>
      </w:r>
      <w:r w:rsidR="00647563">
        <w:t xml:space="preserve">must </w:t>
      </w:r>
      <w:r>
        <w:t>report</w:t>
      </w:r>
      <w:r w:rsidR="00F52B2D">
        <w:t xml:space="preserve"> </w:t>
      </w:r>
      <w:r>
        <w:t xml:space="preserve">information in </w:t>
      </w:r>
      <w:r w:rsidR="00A05F94">
        <w:t xml:space="preserve">AMIS </w:t>
      </w:r>
      <w:r>
        <w:t xml:space="preserve">on a per event basis.  An event occurs when an investor </w:t>
      </w:r>
      <w:r w:rsidR="001E7F1B">
        <w:t xml:space="preserve">makes </w:t>
      </w:r>
      <w:r>
        <w:t>a QEI in</w:t>
      </w:r>
      <w:r w:rsidR="001E7F1B">
        <w:t xml:space="preserve"> an </w:t>
      </w:r>
      <w:proofErr w:type="spellStart"/>
      <w:r>
        <w:t>Allocatee</w:t>
      </w:r>
      <w:proofErr w:type="spellEnd"/>
      <w:r w:rsidR="001E7F1B">
        <w:t xml:space="preserve"> CDE</w:t>
      </w:r>
      <w:r>
        <w:t xml:space="preserve">.  Because an </w:t>
      </w:r>
      <w:proofErr w:type="spellStart"/>
      <w:r>
        <w:t>Allocatee</w:t>
      </w:r>
      <w:proofErr w:type="spellEnd"/>
      <w:r>
        <w:t xml:space="preserve"> can issue a QEI at any point in time during a calendar year, it is possible that certain </w:t>
      </w:r>
      <w:proofErr w:type="spellStart"/>
      <w:r>
        <w:t>Allocatees</w:t>
      </w:r>
      <w:proofErr w:type="spellEnd"/>
      <w:r>
        <w:t xml:space="preserve"> may provide information to the CDFI Fund more frequently than quarterly.  </w:t>
      </w:r>
    </w:p>
    <w:p w:rsidR="00CF1BD4" w:rsidRDefault="00CF1BD4">
      <w:pPr>
        <w:spacing w:before="120"/>
      </w:pPr>
      <w:r>
        <w:rPr>
          <w:i/>
          <w:iCs/>
        </w:rPr>
        <w:t xml:space="preserve">Respondents will have to retain records for longer than 3-years.  </w:t>
      </w:r>
      <w:proofErr w:type="spellStart"/>
      <w:r>
        <w:t>Allocatees</w:t>
      </w:r>
      <w:proofErr w:type="spellEnd"/>
      <w:r>
        <w:t xml:space="preserve"> are required to retain documentation to verify any information submitted to the CDFI Fund via </w:t>
      </w:r>
      <w:r w:rsidR="00B83507">
        <w:t xml:space="preserve">AMIS </w:t>
      </w:r>
      <w:r>
        <w:t xml:space="preserve">for the length of their compliance period, pursuant to their NMTC allocation </w:t>
      </w:r>
      <w:r w:rsidR="004A1442">
        <w:t>agreement</w:t>
      </w:r>
      <w:r>
        <w:t>.  By statute, a QEI must stay invested in a CDE for at least 7</w:t>
      </w:r>
      <w:r w:rsidR="00FC2C26">
        <w:t xml:space="preserve"> </w:t>
      </w:r>
      <w:r>
        <w:t xml:space="preserve">years.  Therefore, the record retention associated with </w:t>
      </w:r>
      <w:r w:rsidR="00B83507">
        <w:t xml:space="preserve">AMIS </w:t>
      </w:r>
      <w:r>
        <w:t>data submission extend</w:t>
      </w:r>
      <w:r w:rsidR="00524C94">
        <w:t>s</w:t>
      </w:r>
      <w:r>
        <w:t xml:space="preserve"> beyond 3 years.</w:t>
      </w:r>
    </w:p>
    <w:p w:rsidR="00CF1BD4" w:rsidRDefault="00CF1BD4"/>
    <w:p w:rsidR="00CF1BD4" w:rsidRDefault="00CF1BD4">
      <w:pPr>
        <w:rPr>
          <w:u w:val="single"/>
        </w:rPr>
      </w:pPr>
      <w:r>
        <w:rPr>
          <w:u w:val="single"/>
        </w:rPr>
        <w:t>8.  Solicitation of comments on information collection</w:t>
      </w:r>
    </w:p>
    <w:p w:rsidRPr="003434B7" w:rsidR="00CF1BD4" w:rsidRDefault="00B21C06">
      <w:r w:rsidRPr="003434B7">
        <w:t xml:space="preserve">Comments on the </w:t>
      </w:r>
      <w:r w:rsidRPr="003434B7" w:rsidR="00B83507">
        <w:t xml:space="preserve">AQEI </w:t>
      </w:r>
      <w:r w:rsidRPr="003434B7">
        <w:t xml:space="preserve">were solicited via notice in the Federal Register on </w:t>
      </w:r>
      <w:r w:rsidRPr="003434B7" w:rsidR="00BD201F">
        <w:t>December 26, 2019</w:t>
      </w:r>
      <w:r w:rsidRPr="003434B7">
        <w:t xml:space="preserve"> (</w:t>
      </w:r>
      <w:r w:rsidRPr="003434B7" w:rsidR="00BD201F">
        <w:t>84 FR 71078</w:t>
      </w:r>
      <w:r w:rsidR="001D155C">
        <w:t xml:space="preserve">). The CDFI Fund received one letter in response to this request. The letter contained one comment stating that </w:t>
      </w:r>
      <w:r w:rsidR="001D155C">
        <w:rPr>
          <w:color w:val="000000"/>
          <w:szCs w:val="24"/>
        </w:rPr>
        <w:t>the l</w:t>
      </w:r>
      <w:r w:rsidRPr="003434B7" w:rsidR="001D155C">
        <w:rPr>
          <w:color w:val="000000"/>
          <w:szCs w:val="24"/>
        </w:rPr>
        <w:t>ogistical guidance for AMIS</w:t>
      </w:r>
      <w:r w:rsidR="001D155C">
        <w:rPr>
          <w:color w:val="000000"/>
          <w:szCs w:val="24"/>
        </w:rPr>
        <w:t xml:space="preserve"> system entry is well explained, and </w:t>
      </w:r>
      <w:r w:rsidR="001D155C">
        <w:t xml:space="preserve">that no clarification is necessary. The remaining comments about the </w:t>
      </w:r>
      <w:r w:rsidRPr="003434B7" w:rsidR="001D155C">
        <w:rPr>
          <w:color w:val="000000"/>
          <w:szCs w:val="24"/>
        </w:rPr>
        <w:t>AQEI Tracking Manual are out of scope</w:t>
      </w:r>
      <w:r w:rsidR="001D155C">
        <w:rPr>
          <w:color w:val="000000"/>
          <w:szCs w:val="24"/>
        </w:rPr>
        <w:t xml:space="preserve">. </w:t>
      </w:r>
      <w:r w:rsidR="001D155C">
        <w:t>Please see Appendix A for the specific comments, and the CCME Team response.</w:t>
      </w:r>
    </w:p>
    <w:p w:rsidR="00F84D57" w:rsidRDefault="00F84D57">
      <w:pPr>
        <w:rPr>
          <w:u w:val="single"/>
        </w:rPr>
      </w:pPr>
    </w:p>
    <w:p w:rsidR="00CF1BD4" w:rsidRDefault="00CF1BD4">
      <w:pPr>
        <w:rPr>
          <w:u w:val="single"/>
        </w:rPr>
      </w:pPr>
      <w:r>
        <w:rPr>
          <w:u w:val="single"/>
        </w:rPr>
        <w:t>9.  Provision of payment to respondents</w:t>
      </w:r>
    </w:p>
    <w:p w:rsidR="00CF1BD4" w:rsidRDefault="00CF1BD4">
      <w:r>
        <w:t>No payments or gifts will be made to respondents.</w:t>
      </w:r>
    </w:p>
    <w:p w:rsidR="00CF1BD4" w:rsidRDefault="00CF1BD4">
      <w:pPr>
        <w:pStyle w:val="Header"/>
        <w:tabs>
          <w:tab w:val="clear" w:pos="4320"/>
          <w:tab w:val="clear" w:pos="8640"/>
        </w:tabs>
      </w:pPr>
    </w:p>
    <w:p w:rsidR="00CF1BD4" w:rsidRDefault="00BF02A3">
      <w:pPr>
        <w:rPr>
          <w:u w:val="single"/>
        </w:rPr>
      </w:pPr>
      <w:r>
        <w:rPr>
          <w:u w:val="single"/>
        </w:rPr>
        <w:t xml:space="preserve">10.  </w:t>
      </w:r>
      <w:r w:rsidR="00CF1BD4">
        <w:rPr>
          <w:u w:val="single"/>
        </w:rPr>
        <w:t>Assurance of confidentiality</w:t>
      </w:r>
    </w:p>
    <w:p w:rsidR="00215874" w:rsidP="00215874" w:rsidRDefault="00215874">
      <w:r>
        <w:t>The CDFI Fund is subject to all Federal regulations with respect to confidentiality of the information provided in this collection of information.  The CDFI Fund has provided no other assurances of confidentiality to respondents.</w:t>
      </w:r>
    </w:p>
    <w:p w:rsidR="00CF1BD4" w:rsidRDefault="00CF1BD4">
      <w:pPr>
        <w:rPr>
          <w:u w:val="single"/>
        </w:rPr>
      </w:pPr>
    </w:p>
    <w:p w:rsidR="00CF1BD4" w:rsidRDefault="00CF1BD4">
      <w:pPr>
        <w:rPr>
          <w:u w:val="single"/>
        </w:rPr>
      </w:pPr>
      <w:r>
        <w:rPr>
          <w:u w:val="single"/>
        </w:rPr>
        <w:t>11.  Justification of sensitive questions.</w:t>
      </w:r>
    </w:p>
    <w:p w:rsidR="00215874" w:rsidP="00215874" w:rsidRDefault="00215874">
      <w:r>
        <w:t xml:space="preserve">No questions of a sensitive nature are asked in this information collection.  </w:t>
      </w:r>
      <w:r w:rsidRPr="00B86C5C">
        <w:t>No personally identifiable information (PII) is collected.</w:t>
      </w:r>
    </w:p>
    <w:p w:rsidR="00CF1BD4" w:rsidRDefault="00CF1BD4">
      <w:pPr>
        <w:rPr>
          <w:u w:val="single"/>
        </w:rPr>
      </w:pPr>
    </w:p>
    <w:p w:rsidRPr="008319AC" w:rsidR="00CF1BD4" w:rsidRDefault="00CF1BD4">
      <w:pPr>
        <w:rPr>
          <w:u w:val="single"/>
        </w:rPr>
      </w:pPr>
      <w:r w:rsidRPr="008319AC">
        <w:rPr>
          <w:u w:val="single"/>
        </w:rPr>
        <w:t>12.  Estimate of the hour burden of information collection.</w:t>
      </w:r>
    </w:p>
    <w:p w:rsidR="00FD2882" w:rsidRDefault="00CF1BD4">
      <w:pPr>
        <w:pStyle w:val="BodyText2"/>
        <w:jc w:val="left"/>
      </w:pPr>
      <w:r w:rsidRPr="008319AC">
        <w:t xml:space="preserve">The </w:t>
      </w:r>
      <w:r w:rsidR="006E7382">
        <w:t xml:space="preserve">estimated </w:t>
      </w:r>
      <w:r w:rsidRPr="008319AC">
        <w:t xml:space="preserve">total hour burden of this information </w:t>
      </w:r>
      <w:r w:rsidRPr="008319AC" w:rsidR="00FD2882">
        <w:t>collection</w:t>
      </w:r>
      <w:r w:rsidR="00FD2882">
        <w:t xml:space="preserve"> is</w:t>
      </w:r>
      <w:r w:rsidRPr="008319AC" w:rsidR="00FD2882">
        <w:t>:</w:t>
      </w:r>
      <w:r w:rsidR="00FD2882">
        <w:t xml:space="preserve"> 156 respondents x </w:t>
      </w:r>
      <w:r w:rsidRPr="00BF6F9D" w:rsidR="00FD2882">
        <w:t>1</w:t>
      </w:r>
      <w:r w:rsidR="00FD2882">
        <w:t>2</w:t>
      </w:r>
      <w:r w:rsidRPr="00BF6F9D" w:rsidR="00FD2882">
        <w:t xml:space="preserve"> response</w:t>
      </w:r>
      <w:r w:rsidR="00FD2882">
        <w:t>s</w:t>
      </w:r>
      <w:r w:rsidRPr="00BF6F9D" w:rsidR="00FD2882">
        <w:t xml:space="preserve"> </w:t>
      </w:r>
      <w:r w:rsidR="00FD2882">
        <w:t>x 1.5 hours per response = 2,808 hours.</w:t>
      </w:r>
    </w:p>
    <w:p w:rsidR="00C40628" w:rsidRDefault="00C40628">
      <w:pPr>
        <w:pStyle w:val="BodyText2"/>
        <w:jc w:val="left"/>
      </w:pPr>
    </w:p>
    <w:tbl>
      <w:tblPr>
        <w:tblW w:w="76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6"/>
      </w:tblGrid>
      <w:tr w:rsidRPr="007F0646" w:rsidR="00FD2882" w:rsidTr="00E140F3">
        <w:tc>
          <w:tcPr>
            <w:tcW w:w="1915" w:type="dxa"/>
            <w:shd w:val="clear" w:color="auto" w:fill="auto"/>
            <w:vAlign w:val="center"/>
          </w:tcPr>
          <w:p w:rsidRPr="007F0646" w:rsidR="00FD2882" w:rsidP="00E140F3" w:rsidRDefault="00FD2882">
            <w:pPr>
              <w:jc w:val="center"/>
              <w:rPr>
                <w:b/>
                <w:sz w:val="20"/>
              </w:rPr>
            </w:pPr>
            <w:r w:rsidRPr="007F0646">
              <w:rPr>
                <w:b/>
                <w:sz w:val="20"/>
              </w:rPr>
              <w:t># Respondents</w:t>
            </w:r>
          </w:p>
        </w:tc>
        <w:tc>
          <w:tcPr>
            <w:tcW w:w="1915" w:type="dxa"/>
            <w:shd w:val="clear" w:color="auto" w:fill="auto"/>
            <w:vAlign w:val="center"/>
          </w:tcPr>
          <w:p w:rsidRPr="007F0646" w:rsidR="00FD2882" w:rsidP="00E140F3" w:rsidRDefault="00FD2882">
            <w:pPr>
              <w:jc w:val="center"/>
              <w:rPr>
                <w:b/>
                <w:sz w:val="20"/>
              </w:rPr>
            </w:pPr>
            <w:r>
              <w:rPr>
                <w:b/>
                <w:sz w:val="20"/>
              </w:rPr>
              <w:t xml:space="preserve">Annual Frequency per Response </w:t>
            </w:r>
          </w:p>
        </w:tc>
        <w:tc>
          <w:tcPr>
            <w:tcW w:w="1915" w:type="dxa"/>
            <w:shd w:val="clear" w:color="auto" w:fill="auto"/>
            <w:vAlign w:val="center"/>
          </w:tcPr>
          <w:p w:rsidRPr="007F0646" w:rsidR="00FD2882" w:rsidP="00E140F3" w:rsidRDefault="00FD2882">
            <w:pPr>
              <w:jc w:val="center"/>
              <w:rPr>
                <w:b/>
                <w:sz w:val="20"/>
              </w:rPr>
            </w:pPr>
            <w:r w:rsidRPr="007F0646">
              <w:rPr>
                <w:b/>
                <w:sz w:val="20"/>
              </w:rPr>
              <w:t>Hours Per Response</w:t>
            </w:r>
          </w:p>
        </w:tc>
        <w:tc>
          <w:tcPr>
            <w:tcW w:w="1916" w:type="dxa"/>
            <w:shd w:val="clear" w:color="auto" w:fill="auto"/>
            <w:vAlign w:val="center"/>
          </w:tcPr>
          <w:p w:rsidRPr="007F0646" w:rsidR="00FD2882" w:rsidP="00E140F3" w:rsidRDefault="00FD2882">
            <w:pPr>
              <w:jc w:val="center"/>
              <w:rPr>
                <w:b/>
                <w:sz w:val="20"/>
              </w:rPr>
            </w:pPr>
            <w:r w:rsidRPr="007F0646">
              <w:rPr>
                <w:b/>
                <w:sz w:val="20"/>
              </w:rPr>
              <w:t xml:space="preserve">Total </w:t>
            </w:r>
            <w:r>
              <w:rPr>
                <w:b/>
                <w:sz w:val="20"/>
              </w:rPr>
              <w:t>Hours</w:t>
            </w:r>
          </w:p>
        </w:tc>
      </w:tr>
      <w:tr w:rsidRPr="0068478E" w:rsidR="00FD2882" w:rsidTr="00E140F3">
        <w:trPr>
          <w:trHeight w:val="467"/>
        </w:trPr>
        <w:tc>
          <w:tcPr>
            <w:tcW w:w="1915" w:type="dxa"/>
            <w:shd w:val="clear" w:color="auto" w:fill="auto"/>
            <w:vAlign w:val="center"/>
          </w:tcPr>
          <w:p w:rsidRPr="0068478E" w:rsidR="00FD2882" w:rsidP="00E140F3" w:rsidRDefault="00FD2882">
            <w:pPr>
              <w:jc w:val="center"/>
              <w:rPr>
                <w:sz w:val="20"/>
              </w:rPr>
            </w:pPr>
            <w:r>
              <w:rPr>
                <w:sz w:val="20"/>
              </w:rPr>
              <w:t>156</w:t>
            </w:r>
          </w:p>
        </w:tc>
        <w:tc>
          <w:tcPr>
            <w:tcW w:w="1915" w:type="dxa"/>
            <w:shd w:val="clear" w:color="auto" w:fill="auto"/>
            <w:vAlign w:val="center"/>
          </w:tcPr>
          <w:p w:rsidRPr="0068478E" w:rsidR="00FD2882" w:rsidP="00E140F3" w:rsidRDefault="00FD2882">
            <w:pPr>
              <w:jc w:val="center"/>
              <w:rPr>
                <w:sz w:val="20"/>
              </w:rPr>
            </w:pPr>
            <w:r w:rsidRPr="0068478E">
              <w:rPr>
                <w:sz w:val="20"/>
              </w:rPr>
              <w:t>1</w:t>
            </w:r>
            <w:r>
              <w:rPr>
                <w:sz w:val="20"/>
              </w:rPr>
              <w:t>2</w:t>
            </w:r>
          </w:p>
        </w:tc>
        <w:tc>
          <w:tcPr>
            <w:tcW w:w="1915" w:type="dxa"/>
            <w:shd w:val="clear" w:color="auto" w:fill="auto"/>
            <w:vAlign w:val="center"/>
          </w:tcPr>
          <w:p w:rsidRPr="0068478E" w:rsidR="00FD2882" w:rsidP="00E140F3" w:rsidRDefault="00FD2882">
            <w:pPr>
              <w:jc w:val="center"/>
              <w:rPr>
                <w:sz w:val="20"/>
              </w:rPr>
            </w:pPr>
            <w:r>
              <w:rPr>
                <w:sz w:val="20"/>
              </w:rPr>
              <w:t>1.5</w:t>
            </w:r>
          </w:p>
        </w:tc>
        <w:tc>
          <w:tcPr>
            <w:tcW w:w="1916" w:type="dxa"/>
            <w:shd w:val="clear" w:color="auto" w:fill="auto"/>
            <w:vAlign w:val="center"/>
          </w:tcPr>
          <w:p w:rsidRPr="0068478E" w:rsidR="00FD2882" w:rsidP="00E140F3" w:rsidRDefault="00FD2882">
            <w:pPr>
              <w:jc w:val="center"/>
              <w:rPr>
                <w:sz w:val="20"/>
              </w:rPr>
            </w:pPr>
            <w:r>
              <w:rPr>
                <w:sz w:val="20"/>
              </w:rPr>
              <w:t>2,808</w:t>
            </w:r>
          </w:p>
        </w:tc>
      </w:tr>
    </w:tbl>
    <w:p w:rsidR="00CF1BD4" w:rsidRDefault="00CF1BD4">
      <w:pPr>
        <w:pStyle w:val="BodyText2"/>
        <w:jc w:val="left"/>
      </w:pPr>
    </w:p>
    <w:p w:rsidRPr="008319AC" w:rsidR="00CF1BD4" w:rsidRDefault="00CF1BD4">
      <w:pPr>
        <w:rPr>
          <w:u w:val="single"/>
        </w:rPr>
      </w:pPr>
      <w:r w:rsidRPr="008319AC">
        <w:rPr>
          <w:u w:val="single"/>
        </w:rPr>
        <w:t>13.  Estimate of total annual cost burden to respondents</w:t>
      </w:r>
    </w:p>
    <w:p w:rsidR="00FD2882" w:rsidP="00FD2882" w:rsidRDefault="003D2E93">
      <w:pPr>
        <w:pStyle w:val="BodyText2"/>
        <w:jc w:val="left"/>
      </w:pPr>
      <w:r w:rsidRPr="00F9665A">
        <w:t xml:space="preserve">It is not expected that this information collection will have a cost burden to respondents other than the hour burden described in item number 12.  </w:t>
      </w:r>
      <w:r w:rsidR="006B07C2">
        <w:t>No purchases of equipment or services are necessary for this information collection.</w:t>
      </w:r>
      <w:r w:rsidR="00FD2882">
        <w:t xml:space="preserve"> </w:t>
      </w:r>
      <w:r w:rsidRPr="008319AC" w:rsidR="00FD2882">
        <w:t xml:space="preserve">The </w:t>
      </w:r>
      <w:r w:rsidR="00FD2882">
        <w:t xml:space="preserve">estimated </w:t>
      </w:r>
      <w:r w:rsidRPr="008319AC" w:rsidR="00FD2882">
        <w:t xml:space="preserve">total hour burden of this information collection is </w:t>
      </w:r>
      <w:r w:rsidR="00FD2882">
        <w:t xml:space="preserve">2,808 hours, and estimate of the annualized cost to respondents is a total of </w:t>
      </w:r>
      <w:r w:rsidRPr="003D2E93" w:rsidR="00FD2882">
        <w:t>$134,</w:t>
      </w:r>
      <w:r w:rsidR="00FF4E44">
        <w:t>700</w:t>
      </w:r>
      <w:r w:rsidR="00FD2882">
        <w:t xml:space="preserve">. </w:t>
      </w:r>
      <w:r w:rsidRPr="00A46493" w:rsidR="00FD2882">
        <w:t>The hour burden estimate is based on the following: (</w:t>
      </w:r>
      <w:proofErr w:type="spellStart"/>
      <w:r w:rsidRPr="00A46493" w:rsidR="00FD2882">
        <w:t>i</w:t>
      </w:r>
      <w:proofErr w:type="spellEnd"/>
      <w:r w:rsidRPr="00A46493" w:rsidR="00FD2882">
        <w:t xml:space="preserve">) the number of </w:t>
      </w:r>
      <w:r w:rsidR="00FD2882">
        <w:t>State, Local, and Tribal Governments or Private Sector entities reporting information related to receipt of QEIs</w:t>
      </w:r>
      <w:r w:rsidRPr="00A46493" w:rsidR="00FD2882">
        <w:t>; (ii</w:t>
      </w:r>
      <w:r w:rsidR="00FD2882">
        <w:t>)</w:t>
      </w:r>
      <w:r w:rsidRPr="00B4598B" w:rsidR="00FD2882">
        <w:t xml:space="preserve"> </w:t>
      </w:r>
      <w:r w:rsidRPr="00A46493" w:rsidR="00FD2882">
        <w:t xml:space="preserve">estimate of </w:t>
      </w:r>
      <w:r w:rsidR="00FD2882">
        <w:t xml:space="preserve">hours per response in AMIS; and (iii) </w:t>
      </w:r>
      <w:r w:rsidRPr="00A46493" w:rsidR="00FD2882">
        <w:t>estimate of cost per hour to respondents based on Bureau of Labor Statistics data for financial activities at total compensation of $47.</w:t>
      </w:r>
      <w:r w:rsidR="00FD2882">
        <w:t>97</w:t>
      </w:r>
      <w:r w:rsidRPr="00A46493" w:rsidR="00FD2882">
        <w:t xml:space="preserve"> an hour for </w:t>
      </w:r>
      <w:r w:rsidR="00FD2882">
        <w:t xml:space="preserve">September </w:t>
      </w:r>
      <w:r w:rsidRPr="00A46493" w:rsidR="00FD2882">
        <w:t>2019.</w:t>
      </w:r>
      <w:r w:rsidR="00FD2882">
        <w:t xml:space="preserve"> </w:t>
      </w:r>
    </w:p>
    <w:p w:rsidR="006B07C2" w:rsidP="006B07C2" w:rsidRDefault="006B07C2"/>
    <w:p w:rsidR="00CF1BD4" w:rsidRDefault="00CF1BD4"/>
    <w:tbl>
      <w:tblPr>
        <w:tblW w:w="10478" w:type="dxa"/>
        <w:tblInd w:w="-853" w:type="dxa"/>
        <w:tblLayout w:type="fixed"/>
        <w:tblLook w:val="04A0" w:firstRow="1" w:lastRow="0" w:firstColumn="1" w:lastColumn="0" w:noHBand="0" w:noVBand="1"/>
      </w:tblPr>
      <w:tblGrid>
        <w:gridCol w:w="1388"/>
        <w:gridCol w:w="1350"/>
        <w:gridCol w:w="1350"/>
        <w:gridCol w:w="1125"/>
        <w:gridCol w:w="1233"/>
        <w:gridCol w:w="1151"/>
        <w:gridCol w:w="1398"/>
        <w:gridCol w:w="1483"/>
      </w:tblGrid>
      <w:tr w:rsidRPr="00D06087" w:rsidR="00FD2882" w:rsidTr="00E140F3">
        <w:trPr>
          <w:trHeight w:val="731"/>
        </w:trPr>
        <w:tc>
          <w:tcPr>
            <w:tcW w:w="1388" w:type="dxa"/>
            <w:tcBorders>
              <w:top w:val="single" w:color="auto" w:sz="4" w:space="0"/>
              <w:left w:val="single" w:color="auto" w:sz="4" w:space="0"/>
              <w:bottom w:val="single" w:color="auto" w:sz="4" w:space="0"/>
              <w:right w:val="nil"/>
            </w:tcBorders>
            <w:shd w:val="clear" w:color="auto" w:fill="auto"/>
            <w:noWrap/>
            <w:vAlign w:val="bottom"/>
            <w:hideMark/>
          </w:tcPr>
          <w:p w:rsidRPr="0027536F" w:rsidR="00FD2882" w:rsidP="00E140F3" w:rsidRDefault="00FD2882">
            <w:pPr>
              <w:jc w:val="center"/>
              <w:rPr>
                <w:b/>
                <w:color w:val="000000"/>
                <w:sz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 of Respondents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r w:rsidRPr="00A46493">
              <w:rPr>
                <w:b/>
                <w:color w:val="000000"/>
                <w:sz w:val="20"/>
              </w:rPr>
              <w:t># Responses Per Respondent</w:t>
            </w:r>
          </w:p>
        </w:tc>
        <w:tc>
          <w:tcPr>
            <w:tcW w:w="1125" w:type="dxa"/>
            <w:tcBorders>
              <w:top w:val="single" w:color="auto" w:sz="4" w:space="0"/>
              <w:left w:val="nil"/>
              <w:bottom w:val="sing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Annual Responses</w:t>
            </w:r>
          </w:p>
        </w:tc>
        <w:tc>
          <w:tcPr>
            <w:tcW w:w="1233" w:type="dxa"/>
            <w:tcBorders>
              <w:top w:val="single" w:color="auto" w:sz="4" w:space="0"/>
              <w:left w:val="nil"/>
              <w:bottom w:val="sing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Hours Per Response</w:t>
            </w:r>
          </w:p>
        </w:tc>
        <w:tc>
          <w:tcPr>
            <w:tcW w:w="1151" w:type="dxa"/>
            <w:tcBorders>
              <w:top w:val="single" w:color="auto" w:sz="4" w:space="0"/>
              <w:left w:val="nil"/>
              <w:bottom w:val="single" w:color="auto" w:sz="4" w:space="0"/>
              <w:right w:val="single" w:color="auto" w:sz="4" w:space="0"/>
            </w:tcBorders>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Cost per Hour (Time Value)</w:t>
            </w:r>
            <w:r w:rsidRPr="00A46493">
              <w:rPr>
                <w:rStyle w:val="FootnoteReference"/>
                <w:b/>
                <w:color w:val="000000"/>
                <w:sz w:val="20"/>
              </w:rPr>
              <w:footnoteReference w:id="1"/>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Annual Burden Hours</w:t>
            </w:r>
          </w:p>
        </w:tc>
        <w:tc>
          <w:tcPr>
            <w:tcW w:w="1483" w:type="dxa"/>
            <w:tcBorders>
              <w:top w:val="single" w:color="auto" w:sz="4" w:space="0"/>
              <w:left w:val="single" w:color="auto" w:sz="4" w:space="0"/>
              <w:bottom w:val="single" w:color="auto" w:sz="4" w:space="0"/>
              <w:right w:val="single" w:color="auto" w:sz="4" w:space="0"/>
            </w:tcBorders>
          </w:tcPr>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p>
          <w:p w:rsidRPr="00A46493" w:rsidR="00FD2882" w:rsidP="00E140F3" w:rsidRDefault="00FD2882">
            <w:pPr>
              <w:jc w:val="center"/>
              <w:rPr>
                <w:b/>
                <w:color w:val="000000"/>
                <w:sz w:val="20"/>
              </w:rPr>
            </w:pPr>
            <w:r w:rsidRPr="00A46493">
              <w:rPr>
                <w:b/>
                <w:color w:val="000000"/>
                <w:sz w:val="20"/>
              </w:rPr>
              <w:t xml:space="preserve">Total Cost </w:t>
            </w:r>
            <w:r>
              <w:rPr>
                <w:b/>
                <w:color w:val="000000"/>
                <w:sz w:val="20"/>
              </w:rPr>
              <w:t>for Responses</w:t>
            </w:r>
          </w:p>
        </w:tc>
      </w:tr>
      <w:tr w:rsidRPr="00D06087" w:rsidR="00FD2882" w:rsidTr="00E140F3">
        <w:trPr>
          <w:trHeight w:val="436"/>
        </w:trPr>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rsidRPr="00A46493" w:rsidR="00FD2882" w:rsidP="00E140F3" w:rsidRDefault="00FD2882">
            <w:pPr>
              <w:rPr>
                <w:b/>
                <w:color w:val="000000"/>
                <w:sz w:val="20"/>
              </w:rPr>
            </w:pPr>
            <w:r w:rsidRPr="00A46493">
              <w:rPr>
                <w:b/>
                <w:color w:val="000000"/>
                <w:sz w:val="20"/>
              </w:rPr>
              <w:t>State, Local, &amp; Tribal Governments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5</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w:t>
            </w:r>
          </w:p>
        </w:tc>
        <w:tc>
          <w:tcPr>
            <w:tcW w:w="1125" w:type="dxa"/>
            <w:tcBorders>
              <w:top w:val="sing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12</w:t>
            </w:r>
          </w:p>
        </w:tc>
        <w:tc>
          <w:tcPr>
            <w:tcW w:w="1233" w:type="dxa"/>
            <w:tcBorders>
              <w:top w:val="sing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1.5</w:t>
            </w:r>
          </w:p>
        </w:tc>
        <w:tc>
          <w:tcPr>
            <w:tcW w:w="1151" w:type="dxa"/>
            <w:tcBorders>
              <w:top w:val="single" w:color="auto" w:sz="4" w:space="0"/>
              <w:left w:val="nil"/>
              <w:bottom w:val="single" w:color="auto" w:sz="4" w:space="0"/>
              <w:right w:val="single" w:color="auto" w:sz="4" w:space="0"/>
            </w:tcBorders>
            <w:vAlign w:val="center"/>
          </w:tcPr>
          <w:p w:rsidRPr="00F10B96" w:rsidR="00FD2882" w:rsidP="00E140F3" w:rsidRDefault="00FD2882">
            <w:pPr>
              <w:jc w:val="center"/>
              <w:rPr>
                <w:color w:val="000000"/>
                <w:sz w:val="20"/>
              </w:rPr>
            </w:pPr>
            <w:r w:rsidRPr="00F10B96">
              <w:rPr>
                <w:sz w:val="20"/>
              </w:rPr>
              <w:t>$47.97 </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10B96" w:rsidR="00FD2882" w:rsidP="00E140F3" w:rsidRDefault="00FD2882">
            <w:pPr>
              <w:jc w:val="center"/>
              <w:rPr>
                <w:color w:val="000000"/>
                <w:sz w:val="20"/>
              </w:rPr>
            </w:pPr>
            <w:r w:rsidRPr="00F10B96">
              <w:rPr>
                <w:color w:val="000000"/>
                <w:sz w:val="20"/>
              </w:rPr>
              <w:t>90</w:t>
            </w:r>
          </w:p>
        </w:tc>
        <w:tc>
          <w:tcPr>
            <w:tcW w:w="1483" w:type="dxa"/>
            <w:tcBorders>
              <w:top w:val="single" w:color="auto" w:sz="4" w:space="0"/>
              <w:left w:val="single" w:color="auto" w:sz="4" w:space="0"/>
              <w:bottom w:val="single" w:color="auto" w:sz="4" w:space="0"/>
              <w:right w:val="single" w:color="auto" w:sz="4" w:space="0"/>
            </w:tcBorders>
            <w:vAlign w:val="center"/>
          </w:tcPr>
          <w:p w:rsidRPr="00F10B96" w:rsidR="00FD2882" w:rsidP="00E140F3" w:rsidRDefault="00FD2882">
            <w:pPr>
              <w:jc w:val="center"/>
              <w:rPr>
                <w:color w:val="000000"/>
                <w:sz w:val="20"/>
              </w:rPr>
            </w:pPr>
            <w:r>
              <w:rPr>
                <w:color w:val="000000"/>
                <w:sz w:val="20"/>
              </w:rPr>
              <w:t>$</w:t>
            </w:r>
            <w:r w:rsidRPr="00F10B96">
              <w:rPr>
                <w:color w:val="000000"/>
                <w:sz w:val="20"/>
              </w:rPr>
              <w:t>4</w:t>
            </w:r>
            <w:r>
              <w:rPr>
                <w:color w:val="000000"/>
                <w:sz w:val="20"/>
              </w:rPr>
              <w:t>,</w:t>
            </w:r>
            <w:r w:rsidRPr="00F10B96">
              <w:rPr>
                <w:color w:val="000000"/>
                <w:sz w:val="20"/>
              </w:rPr>
              <w:t>317.30</w:t>
            </w:r>
          </w:p>
        </w:tc>
      </w:tr>
      <w:tr w:rsidRPr="00D06087" w:rsidR="00FD2882" w:rsidTr="00E140F3">
        <w:trPr>
          <w:trHeight w:val="436"/>
        </w:trPr>
        <w:tc>
          <w:tcPr>
            <w:tcW w:w="1388" w:type="dxa"/>
            <w:tcBorders>
              <w:top w:val="single" w:color="auto" w:sz="4" w:space="0"/>
              <w:left w:val="single" w:color="auto" w:sz="4" w:space="0"/>
              <w:bottom w:val="double" w:color="auto" w:sz="4" w:space="0"/>
              <w:right w:val="single" w:color="auto" w:sz="4" w:space="0"/>
            </w:tcBorders>
            <w:shd w:val="clear" w:color="auto" w:fill="auto"/>
            <w:vAlign w:val="center"/>
            <w:hideMark/>
          </w:tcPr>
          <w:p w:rsidRPr="00A46493" w:rsidR="00FD2882" w:rsidP="00E140F3" w:rsidRDefault="00FD2882">
            <w:pPr>
              <w:jc w:val="center"/>
              <w:rPr>
                <w:b/>
                <w:color w:val="000000"/>
                <w:sz w:val="20"/>
              </w:rPr>
            </w:pPr>
            <w:r w:rsidRPr="00A46493">
              <w:rPr>
                <w:b/>
                <w:color w:val="000000"/>
                <w:sz w:val="20"/>
              </w:rPr>
              <w:t>Private Sector: Businesses and Other For-Profits; Not-for-profit Institutions</w:t>
            </w:r>
          </w:p>
        </w:tc>
        <w:tc>
          <w:tcPr>
            <w:tcW w:w="1350" w:type="dxa"/>
            <w:tcBorders>
              <w:top w:val="single" w:color="auto" w:sz="4" w:space="0"/>
              <w:left w:val="nil"/>
              <w:bottom w:val="doub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151</w:t>
            </w:r>
          </w:p>
        </w:tc>
        <w:tc>
          <w:tcPr>
            <w:tcW w:w="1350" w:type="dxa"/>
            <w:tcBorders>
              <w:top w:val="single" w:color="auto" w:sz="4" w:space="0"/>
              <w:left w:val="nil"/>
              <w:bottom w:val="doub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w:t>
            </w:r>
          </w:p>
        </w:tc>
        <w:tc>
          <w:tcPr>
            <w:tcW w:w="1125" w:type="dxa"/>
            <w:tcBorders>
              <w:top w:val="single" w:color="auto" w:sz="4" w:space="0"/>
              <w:left w:val="nil"/>
              <w:bottom w:val="doub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12</w:t>
            </w:r>
          </w:p>
        </w:tc>
        <w:tc>
          <w:tcPr>
            <w:tcW w:w="1233" w:type="dxa"/>
            <w:tcBorders>
              <w:top w:val="single" w:color="auto" w:sz="4" w:space="0"/>
              <w:left w:val="nil"/>
              <w:bottom w:val="doub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1.5</w:t>
            </w:r>
          </w:p>
        </w:tc>
        <w:tc>
          <w:tcPr>
            <w:tcW w:w="1151" w:type="dxa"/>
            <w:tcBorders>
              <w:top w:val="single" w:color="auto" w:sz="4" w:space="0"/>
              <w:left w:val="nil"/>
              <w:bottom w:val="double" w:color="auto" w:sz="4" w:space="0"/>
              <w:right w:val="single" w:color="auto" w:sz="4" w:space="0"/>
            </w:tcBorders>
            <w:vAlign w:val="center"/>
          </w:tcPr>
          <w:p w:rsidRPr="00F10B96" w:rsidR="00FD2882" w:rsidP="00E140F3" w:rsidRDefault="00FD2882">
            <w:pPr>
              <w:jc w:val="center"/>
              <w:rPr>
                <w:color w:val="000000"/>
                <w:sz w:val="20"/>
              </w:rPr>
            </w:pPr>
            <w:r w:rsidRPr="00F10B96">
              <w:rPr>
                <w:sz w:val="20"/>
              </w:rPr>
              <w:t>$47.97 </w:t>
            </w:r>
          </w:p>
        </w:tc>
        <w:tc>
          <w:tcPr>
            <w:tcW w:w="1398"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F10B96" w:rsidR="00FD2882" w:rsidP="00E140F3" w:rsidRDefault="00FD2882">
            <w:pPr>
              <w:jc w:val="center"/>
              <w:rPr>
                <w:color w:val="000000"/>
                <w:sz w:val="20"/>
              </w:rPr>
            </w:pPr>
            <w:r w:rsidRPr="00F10B96">
              <w:rPr>
                <w:color w:val="000000"/>
                <w:sz w:val="20"/>
              </w:rPr>
              <w:t>2718</w:t>
            </w:r>
          </w:p>
        </w:tc>
        <w:tc>
          <w:tcPr>
            <w:tcW w:w="1483" w:type="dxa"/>
            <w:tcBorders>
              <w:top w:val="single" w:color="auto" w:sz="4" w:space="0"/>
              <w:left w:val="single" w:color="auto" w:sz="4" w:space="0"/>
              <w:bottom w:val="double" w:color="auto" w:sz="4" w:space="0"/>
              <w:right w:val="single" w:color="auto" w:sz="4" w:space="0"/>
            </w:tcBorders>
            <w:vAlign w:val="center"/>
          </w:tcPr>
          <w:p w:rsidRPr="00F10B96" w:rsidR="00FD2882" w:rsidP="00E140F3" w:rsidRDefault="00FD2882">
            <w:pPr>
              <w:jc w:val="center"/>
              <w:rPr>
                <w:color w:val="000000"/>
                <w:sz w:val="20"/>
              </w:rPr>
            </w:pPr>
            <w:r>
              <w:rPr>
                <w:color w:val="000000"/>
                <w:sz w:val="20"/>
              </w:rPr>
              <w:t>$130,382.46</w:t>
            </w:r>
          </w:p>
        </w:tc>
      </w:tr>
      <w:tr w:rsidRPr="00D06087" w:rsidR="00FD2882" w:rsidTr="00E140F3">
        <w:trPr>
          <w:trHeight w:val="500"/>
        </w:trPr>
        <w:tc>
          <w:tcPr>
            <w:tcW w:w="1388" w:type="dxa"/>
            <w:tcBorders>
              <w:top w:val="double" w:color="auto" w:sz="4" w:space="0"/>
              <w:left w:val="single" w:color="auto" w:sz="4" w:space="0"/>
              <w:bottom w:val="single" w:color="auto" w:sz="4" w:space="0"/>
              <w:right w:val="single" w:color="auto" w:sz="4" w:space="0"/>
            </w:tcBorders>
            <w:shd w:val="clear" w:color="auto" w:fill="auto"/>
            <w:vAlign w:val="center"/>
            <w:hideMark/>
          </w:tcPr>
          <w:p w:rsidRPr="00A46493" w:rsidR="00FD2882" w:rsidP="00E140F3" w:rsidRDefault="00FD2882">
            <w:pPr>
              <w:rPr>
                <w:b/>
                <w:color w:val="000000"/>
                <w:sz w:val="20"/>
              </w:rPr>
            </w:pPr>
            <w:r w:rsidRPr="00A46493">
              <w:rPr>
                <w:b/>
                <w:color w:val="000000"/>
                <w:sz w:val="20"/>
              </w:rPr>
              <w:t>TOTAL</w:t>
            </w:r>
          </w:p>
        </w:tc>
        <w:tc>
          <w:tcPr>
            <w:tcW w:w="1350" w:type="dxa"/>
            <w:tcBorders>
              <w:top w:val="doub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156</w:t>
            </w:r>
          </w:p>
        </w:tc>
        <w:tc>
          <w:tcPr>
            <w:tcW w:w="1350" w:type="dxa"/>
            <w:tcBorders>
              <w:top w:val="doub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p>
        </w:tc>
        <w:tc>
          <w:tcPr>
            <w:tcW w:w="1125" w:type="dxa"/>
            <w:tcBorders>
              <w:top w:val="doub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p>
        </w:tc>
        <w:tc>
          <w:tcPr>
            <w:tcW w:w="1233" w:type="dxa"/>
            <w:tcBorders>
              <w:top w:val="double" w:color="auto" w:sz="4" w:space="0"/>
              <w:left w:val="nil"/>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p>
        </w:tc>
        <w:tc>
          <w:tcPr>
            <w:tcW w:w="1151" w:type="dxa"/>
            <w:tcBorders>
              <w:top w:val="double" w:color="auto" w:sz="4" w:space="0"/>
              <w:left w:val="nil"/>
              <w:bottom w:val="single" w:color="auto" w:sz="4" w:space="0"/>
              <w:right w:val="single" w:color="auto" w:sz="4" w:space="0"/>
            </w:tcBorders>
            <w:vAlign w:val="center"/>
          </w:tcPr>
          <w:p w:rsidRPr="0027536F" w:rsidR="00FD2882" w:rsidP="00E140F3" w:rsidRDefault="00FD2882">
            <w:pPr>
              <w:jc w:val="center"/>
              <w:rPr>
                <w:color w:val="000000"/>
                <w:sz w:val="20"/>
              </w:rPr>
            </w:pPr>
          </w:p>
        </w:tc>
        <w:tc>
          <w:tcPr>
            <w:tcW w:w="1398"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27536F" w:rsidR="00FD2882" w:rsidP="00E140F3" w:rsidRDefault="00FD2882">
            <w:pPr>
              <w:jc w:val="center"/>
              <w:rPr>
                <w:color w:val="000000"/>
                <w:sz w:val="20"/>
              </w:rPr>
            </w:pPr>
            <w:r w:rsidRPr="0027536F">
              <w:rPr>
                <w:color w:val="000000"/>
                <w:sz w:val="20"/>
              </w:rPr>
              <w:t>2,808</w:t>
            </w:r>
          </w:p>
        </w:tc>
        <w:tc>
          <w:tcPr>
            <w:tcW w:w="1483" w:type="dxa"/>
            <w:tcBorders>
              <w:top w:val="double" w:color="auto" w:sz="4" w:space="0"/>
              <w:left w:val="single" w:color="auto" w:sz="4" w:space="0"/>
              <w:bottom w:val="single" w:color="auto" w:sz="4" w:space="0"/>
              <w:right w:val="single" w:color="auto" w:sz="4" w:space="0"/>
            </w:tcBorders>
            <w:vAlign w:val="center"/>
          </w:tcPr>
          <w:p w:rsidRPr="0027536F" w:rsidR="00FD2882" w:rsidP="00E140F3" w:rsidRDefault="00FD2882">
            <w:pPr>
              <w:jc w:val="center"/>
              <w:rPr>
                <w:color w:val="000000"/>
                <w:sz w:val="20"/>
              </w:rPr>
            </w:pPr>
            <w:r>
              <w:rPr>
                <w:color w:val="000000"/>
                <w:sz w:val="20"/>
              </w:rPr>
              <w:t>$134,699.76</w:t>
            </w:r>
          </w:p>
        </w:tc>
      </w:tr>
    </w:tbl>
    <w:p w:rsidR="00FD2882" w:rsidRDefault="00FD2882"/>
    <w:p w:rsidRPr="008319AC" w:rsidR="00FD2882" w:rsidRDefault="00FD2882"/>
    <w:p w:rsidRPr="008319AC" w:rsidR="00CF1BD4" w:rsidRDefault="00CF1BD4">
      <w:pPr>
        <w:rPr>
          <w:u w:val="single"/>
        </w:rPr>
      </w:pPr>
      <w:r w:rsidRPr="008319AC">
        <w:rPr>
          <w:u w:val="single"/>
        </w:rPr>
        <w:t>14.  Estimate of annualized cost to the Government</w:t>
      </w:r>
    </w:p>
    <w:p w:rsidR="00CF1BD4" w:rsidRDefault="00CF1BD4">
      <w:r w:rsidRPr="008319AC">
        <w:t xml:space="preserve">The cost to the </w:t>
      </w:r>
      <w:r w:rsidRPr="008319AC" w:rsidR="008E56F6">
        <w:t xml:space="preserve">Federal </w:t>
      </w:r>
      <w:r w:rsidRPr="008319AC">
        <w:t>Government is the CDFI Fund staff and contractor time required to maintain the electronic system, review the data submitted for compliance and evaluation purposes, and collect follow-up information</w:t>
      </w:r>
      <w:r w:rsidR="006B07C2">
        <w:t xml:space="preserve"> as needed</w:t>
      </w:r>
      <w:r w:rsidRPr="008319AC">
        <w:t>.</w:t>
      </w:r>
    </w:p>
    <w:p w:rsidR="00FD2882" w:rsidRDefault="00FD2882"/>
    <w:p w:rsidRPr="0068478E" w:rsidR="00FD2882" w:rsidP="00FD2882" w:rsidRDefault="00FD2882">
      <w:r w:rsidRPr="0068478E">
        <w:t>The estimates of annualized cost to the Federal government</w:t>
      </w:r>
      <w:r>
        <w:t xml:space="preserve"> is</w:t>
      </w:r>
      <w:r w:rsidRPr="0068478E">
        <w:t xml:space="preserve"> based</w:t>
      </w:r>
      <w:r>
        <w:t xml:space="preserve"> on a methodology that estimates</w:t>
      </w:r>
      <w:r w:rsidRPr="0068478E">
        <w:t xml:space="preserve"> the time and loaded labor rate for the CDFI Fund staff by GS level for the lifecycle of the collection</w:t>
      </w:r>
      <w:r w:rsidR="005872E4">
        <w:t>. The estimated total cost is $6,000</w:t>
      </w:r>
      <w:r w:rsidR="00396E0D">
        <w:t>.</w:t>
      </w:r>
      <w:r w:rsidRPr="0068478E">
        <w:t xml:space="preserve"> </w:t>
      </w:r>
    </w:p>
    <w:p w:rsidRPr="0068478E" w:rsidR="00FD2882" w:rsidP="00FD2882" w:rsidRDefault="00FD2882"/>
    <w:tbl>
      <w:tblPr>
        <w:tblStyle w:val="TableGrid"/>
        <w:tblW w:w="0" w:type="auto"/>
        <w:tblInd w:w="2065" w:type="dxa"/>
        <w:shd w:val="clear" w:color="auto" w:fill="000000" w:themeFill="text1"/>
        <w:tblLook w:val="04A0" w:firstRow="1" w:lastRow="0" w:firstColumn="1" w:lastColumn="0" w:noHBand="0" w:noVBand="1"/>
      </w:tblPr>
      <w:tblGrid>
        <w:gridCol w:w="2610"/>
        <w:gridCol w:w="2160"/>
      </w:tblGrid>
      <w:tr w:rsidRPr="0068478E" w:rsidR="00FD2882" w:rsidTr="00E140F3">
        <w:tc>
          <w:tcPr>
            <w:tcW w:w="2610" w:type="dxa"/>
            <w:shd w:val="clear" w:color="auto" w:fill="000000" w:themeFill="text1"/>
          </w:tcPr>
          <w:p w:rsidRPr="0068478E" w:rsidR="00FD2882" w:rsidP="00E140F3" w:rsidRDefault="00FD2882">
            <w:pPr>
              <w:jc w:val="center"/>
              <w:rPr>
                <w:b/>
                <w:bCs/>
                <w:sz w:val="22"/>
                <w:szCs w:val="22"/>
              </w:rPr>
            </w:pPr>
            <w:r w:rsidRPr="0068478E">
              <w:rPr>
                <w:b/>
                <w:bCs/>
                <w:sz w:val="22"/>
                <w:szCs w:val="22"/>
              </w:rPr>
              <w:t>Expense Category</w:t>
            </w:r>
          </w:p>
        </w:tc>
        <w:tc>
          <w:tcPr>
            <w:tcW w:w="2160" w:type="dxa"/>
            <w:shd w:val="clear" w:color="auto" w:fill="000000" w:themeFill="text1"/>
          </w:tcPr>
          <w:p w:rsidRPr="0068478E" w:rsidR="00FD2882" w:rsidP="00E140F3" w:rsidRDefault="00FD2882">
            <w:pPr>
              <w:jc w:val="center"/>
              <w:rPr>
                <w:b/>
                <w:bCs/>
                <w:sz w:val="22"/>
                <w:szCs w:val="22"/>
              </w:rPr>
            </w:pPr>
            <w:r w:rsidRPr="0068478E">
              <w:rPr>
                <w:b/>
                <w:bCs/>
                <w:sz w:val="22"/>
                <w:szCs w:val="22"/>
              </w:rPr>
              <w:t>Cost</w:t>
            </w:r>
          </w:p>
        </w:tc>
      </w:tr>
      <w:tr w:rsidRPr="0068478E" w:rsidR="00FD2882" w:rsidTr="00FF4E44">
        <w:trPr>
          <w:trHeight w:val="368"/>
        </w:trPr>
        <w:tc>
          <w:tcPr>
            <w:tcW w:w="2610" w:type="dxa"/>
            <w:shd w:val="clear" w:color="auto" w:fill="auto"/>
            <w:vAlign w:val="center"/>
          </w:tcPr>
          <w:p w:rsidRPr="0068478E" w:rsidR="00FD2882" w:rsidP="00FF4E44" w:rsidRDefault="00FD2882">
            <w:pPr>
              <w:jc w:val="center"/>
              <w:rPr>
                <w:b/>
                <w:bCs/>
                <w:sz w:val="22"/>
                <w:szCs w:val="22"/>
              </w:rPr>
            </w:pPr>
            <w:r w:rsidRPr="0068478E">
              <w:rPr>
                <w:b/>
                <w:bCs/>
                <w:sz w:val="22"/>
                <w:szCs w:val="22"/>
              </w:rPr>
              <w:t>CDFI Fund Staff</w:t>
            </w:r>
          </w:p>
        </w:tc>
        <w:tc>
          <w:tcPr>
            <w:tcW w:w="2160" w:type="dxa"/>
            <w:shd w:val="clear" w:color="auto" w:fill="auto"/>
            <w:vAlign w:val="center"/>
          </w:tcPr>
          <w:p w:rsidRPr="0068478E" w:rsidR="00FD2882" w:rsidP="00FF4E44" w:rsidRDefault="00FD2882">
            <w:pPr>
              <w:jc w:val="center"/>
              <w:rPr>
                <w:b/>
                <w:bCs/>
                <w:sz w:val="22"/>
                <w:szCs w:val="22"/>
              </w:rPr>
            </w:pPr>
            <w:r w:rsidRPr="0068478E">
              <w:rPr>
                <w:b/>
                <w:bCs/>
                <w:sz w:val="22"/>
                <w:szCs w:val="22"/>
              </w:rPr>
              <w:t>$</w:t>
            </w:r>
            <w:r w:rsidR="005872E4">
              <w:rPr>
                <w:b/>
                <w:bCs/>
                <w:sz w:val="22"/>
                <w:szCs w:val="22"/>
              </w:rPr>
              <w:t>6,000</w:t>
            </w:r>
          </w:p>
        </w:tc>
      </w:tr>
    </w:tbl>
    <w:p w:rsidRPr="0068478E" w:rsidR="00FD2882" w:rsidP="00FD2882" w:rsidRDefault="00FD2882">
      <w:pPr>
        <w:rPr>
          <w:u w:val="single"/>
        </w:rPr>
      </w:pPr>
    </w:p>
    <w:p w:rsidRPr="0068478E" w:rsidR="00FD2882" w:rsidP="00FD2882" w:rsidRDefault="00FD2882">
      <w:r w:rsidRPr="0068478E">
        <w:t>Specifically, the CDFI Fund estimated the hours by grade level. The staff wage rate was based on Step 5 of the respective GS level and then multiplied by 1.63% to capture the value of non-wage compensation. The average fully loaded cost per hour was based on a standard 2,000 full time equivalent (FTE) hours per year.</w:t>
      </w:r>
    </w:p>
    <w:p w:rsidRPr="0068478E" w:rsidR="00FD2882" w:rsidP="00FD2882" w:rsidRDefault="00FD2882">
      <w:pPr>
        <w:rPr>
          <w:u w:val="single"/>
        </w:rPr>
      </w:pPr>
    </w:p>
    <w:tbl>
      <w:tblPr>
        <w:tblW w:w="9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35"/>
        <w:gridCol w:w="990"/>
        <w:gridCol w:w="1174"/>
        <w:gridCol w:w="1256"/>
        <w:gridCol w:w="908"/>
        <w:gridCol w:w="1083"/>
      </w:tblGrid>
      <w:tr w:rsidRPr="0068478E" w:rsidR="00FD2882" w:rsidTr="005872E4">
        <w:trPr>
          <w:trHeight w:val="300"/>
        </w:trPr>
        <w:tc>
          <w:tcPr>
            <w:tcW w:w="9546" w:type="dxa"/>
            <w:gridSpan w:val="6"/>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CDFI Fund Staff Cost Calculation</w:t>
            </w:r>
          </w:p>
        </w:tc>
      </w:tr>
      <w:tr w:rsidRPr="0068478E" w:rsidR="00FD2882" w:rsidTr="007D4BA7">
        <w:trPr>
          <w:trHeight w:val="300"/>
        </w:trPr>
        <w:tc>
          <w:tcPr>
            <w:tcW w:w="4135" w:type="dxa"/>
            <w:shd w:val="clear" w:color="auto" w:fill="C4BC96" w:themeFill="background2" w:themeFillShade="BF"/>
            <w:noWrap/>
            <w:vAlign w:val="bottom"/>
            <w:hideMark/>
          </w:tcPr>
          <w:p w:rsidRPr="0068478E" w:rsidR="00FD2882" w:rsidP="00E140F3" w:rsidRDefault="00FD2882">
            <w:pPr>
              <w:jc w:val="center"/>
            </w:pPr>
            <w:r w:rsidRPr="0068478E">
              <w:rPr>
                <w:b/>
                <w:bCs/>
                <w:sz w:val="22"/>
                <w:szCs w:val="22"/>
              </w:rPr>
              <w:t>Grade Level</w:t>
            </w:r>
          </w:p>
        </w:tc>
        <w:tc>
          <w:tcPr>
            <w:tcW w:w="990" w:type="dxa"/>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GS-12</w:t>
            </w:r>
          </w:p>
        </w:tc>
        <w:tc>
          <w:tcPr>
            <w:tcW w:w="1174" w:type="dxa"/>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GS-13</w:t>
            </w:r>
          </w:p>
        </w:tc>
        <w:tc>
          <w:tcPr>
            <w:tcW w:w="1256" w:type="dxa"/>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GS-14</w:t>
            </w:r>
          </w:p>
        </w:tc>
        <w:tc>
          <w:tcPr>
            <w:tcW w:w="908" w:type="dxa"/>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GS-15</w:t>
            </w:r>
          </w:p>
        </w:tc>
        <w:tc>
          <w:tcPr>
            <w:tcW w:w="1083" w:type="dxa"/>
            <w:shd w:val="clear" w:color="auto" w:fill="C4BC96" w:themeFill="background2" w:themeFillShade="BF"/>
            <w:noWrap/>
            <w:vAlign w:val="bottom"/>
            <w:hideMark/>
          </w:tcPr>
          <w:p w:rsidRPr="0068478E" w:rsidR="00FD2882" w:rsidP="00E140F3" w:rsidRDefault="00FD2882">
            <w:pPr>
              <w:jc w:val="center"/>
              <w:rPr>
                <w:b/>
                <w:bCs/>
                <w:sz w:val="22"/>
                <w:szCs w:val="22"/>
              </w:rPr>
            </w:pPr>
            <w:r w:rsidRPr="0068478E">
              <w:rPr>
                <w:b/>
                <w:bCs/>
                <w:sz w:val="22"/>
                <w:szCs w:val="22"/>
              </w:rPr>
              <w:t>Total</w:t>
            </w:r>
          </w:p>
        </w:tc>
      </w:tr>
      <w:tr w:rsidRPr="0068478E" w:rsidR="005872E4" w:rsidTr="007D4BA7">
        <w:trPr>
          <w:trHeight w:val="300"/>
        </w:trPr>
        <w:tc>
          <w:tcPr>
            <w:tcW w:w="4135" w:type="dxa"/>
            <w:shd w:val="clear" w:color="auto" w:fill="auto"/>
            <w:noWrap/>
            <w:vAlign w:val="center"/>
            <w:hideMark/>
          </w:tcPr>
          <w:p w:rsidRPr="0068478E" w:rsidR="005872E4" w:rsidP="005872E4" w:rsidRDefault="005872E4">
            <w:r w:rsidRPr="0068478E">
              <w:t>Total Hours by Grade</w:t>
            </w:r>
          </w:p>
        </w:tc>
        <w:tc>
          <w:tcPr>
            <w:tcW w:w="990" w:type="dxa"/>
            <w:shd w:val="clear" w:color="auto" w:fill="auto"/>
            <w:noWrap/>
            <w:vAlign w:val="center"/>
          </w:tcPr>
          <w:p w:rsidRPr="0068478E" w:rsidR="005872E4" w:rsidP="005872E4" w:rsidRDefault="005872E4">
            <w:pPr>
              <w:jc w:val="center"/>
            </w:pPr>
            <w:r w:rsidRPr="0068478E">
              <w:t>0</w:t>
            </w:r>
          </w:p>
        </w:tc>
        <w:tc>
          <w:tcPr>
            <w:tcW w:w="1174" w:type="dxa"/>
            <w:shd w:val="clear" w:color="auto" w:fill="auto"/>
            <w:noWrap/>
            <w:vAlign w:val="center"/>
          </w:tcPr>
          <w:p w:rsidRPr="0068478E" w:rsidR="005872E4" w:rsidP="005872E4" w:rsidRDefault="005872E4">
            <w:pPr>
              <w:jc w:val="center"/>
            </w:pPr>
            <w:r>
              <w:rPr>
                <w:color w:val="000000"/>
              </w:rPr>
              <w:t>30</w:t>
            </w:r>
          </w:p>
        </w:tc>
        <w:tc>
          <w:tcPr>
            <w:tcW w:w="1256" w:type="dxa"/>
            <w:shd w:val="clear" w:color="auto" w:fill="auto"/>
            <w:noWrap/>
            <w:vAlign w:val="center"/>
          </w:tcPr>
          <w:p w:rsidRPr="0068478E" w:rsidR="005872E4" w:rsidP="005872E4" w:rsidRDefault="005872E4">
            <w:pPr>
              <w:jc w:val="center"/>
            </w:pPr>
            <w:r>
              <w:rPr>
                <w:color w:val="000000"/>
              </w:rPr>
              <w:t>30</w:t>
            </w:r>
          </w:p>
        </w:tc>
        <w:tc>
          <w:tcPr>
            <w:tcW w:w="908" w:type="dxa"/>
            <w:shd w:val="clear" w:color="auto" w:fill="auto"/>
            <w:noWrap/>
            <w:vAlign w:val="center"/>
          </w:tcPr>
          <w:p w:rsidRPr="0068478E" w:rsidR="005872E4" w:rsidP="005872E4" w:rsidRDefault="005872E4">
            <w:pPr>
              <w:jc w:val="center"/>
            </w:pPr>
            <w:r w:rsidRPr="0068478E">
              <w:t>0</w:t>
            </w:r>
          </w:p>
        </w:tc>
        <w:tc>
          <w:tcPr>
            <w:tcW w:w="1083" w:type="dxa"/>
            <w:shd w:val="clear" w:color="auto" w:fill="auto"/>
            <w:noWrap/>
            <w:vAlign w:val="center"/>
          </w:tcPr>
          <w:p w:rsidRPr="0068478E" w:rsidR="005872E4" w:rsidP="005872E4" w:rsidRDefault="005872E4">
            <w:pPr>
              <w:jc w:val="center"/>
            </w:pPr>
            <w:r>
              <w:rPr>
                <w:color w:val="000000"/>
              </w:rPr>
              <w:t>60</w:t>
            </w:r>
          </w:p>
        </w:tc>
      </w:tr>
      <w:tr w:rsidRPr="0068478E" w:rsidR="005872E4" w:rsidTr="007D4BA7">
        <w:trPr>
          <w:trHeight w:val="300"/>
        </w:trPr>
        <w:tc>
          <w:tcPr>
            <w:tcW w:w="4135" w:type="dxa"/>
            <w:shd w:val="clear" w:color="auto" w:fill="auto"/>
            <w:noWrap/>
            <w:vAlign w:val="center"/>
            <w:hideMark/>
          </w:tcPr>
          <w:p w:rsidR="00947374" w:rsidP="005872E4" w:rsidRDefault="005872E4">
            <w:r w:rsidRPr="0068478E">
              <w:t xml:space="preserve">Avg. FTE Fully Loaded Cost/Hour </w:t>
            </w:r>
          </w:p>
          <w:p w:rsidRPr="0068478E" w:rsidR="005872E4" w:rsidP="005872E4" w:rsidRDefault="005872E4">
            <w:r w:rsidRPr="0068478E">
              <w:t xml:space="preserve">(See calculation below) </w:t>
            </w:r>
          </w:p>
        </w:tc>
        <w:tc>
          <w:tcPr>
            <w:tcW w:w="990" w:type="dxa"/>
            <w:shd w:val="clear" w:color="auto" w:fill="auto"/>
            <w:noWrap/>
            <w:vAlign w:val="center"/>
          </w:tcPr>
          <w:p w:rsidRPr="0068478E" w:rsidR="005872E4" w:rsidP="005872E4" w:rsidRDefault="005872E4">
            <w:pPr>
              <w:jc w:val="center"/>
            </w:pPr>
            <w:r w:rsidRPr="0068478E">
              <w:t>0</w:t>
            </w:r>
          </w:p>
        </w:tc>
        <w:tc>
          <w:tcPr>
            <w:tcW w:w="1174" w:type="dxa"/>
            <w:shd w:val="clear" w:color="auto" w:fill="auto"/>
            <w:noWrap/>
            <w:vAlign w:val="center"/>
          </w:tcPr>
          <w:p w:rsidRPr="0068478E" w:rsidR="005872E4" w:rsidP="005872E4" w:rsidRDefault="005872E4">
            <w:pPr>
              <w:jc w:val="center"/>
            </w:pPr>
            <w:r>
              <w:rPr>
                <w:color w:val="000000"/>
              </w:rPr>
              <w:t xml:space="preserve">$92 </w:t>
            </w:r>
          </w:p>
        </w:tc>
        <w:tc>
          <w:tcPr>
            <w:tcW w:w="1256" w:type="dxa"/>
            <w:shd w:val="clear" w:color="auto" w:fill="auto"/>
            <w:noWrap/>
            <w:vAlign w:val="center"/>
          </w:tcPr>
          <w:p w:rsidRPr="0068478E" w:rsidR="005872E4" w:rsidP="005872E4" w:rsidRDefault="005872E4">
            <w:pPr>
              <w:jc w:val="center"/>
            </w:pPr>
            <w:r>
              <w:rPr>
                <w:color w:val="000000"/>
              </w:rPr>
              <w:t xml:space="preserve">$108 </w:t>
            </w:r>
          </w:p>
        </w:tc>
        <w:tc>
          <w:tcPr>
            <w:tcW w:w="908" w:type="dxa"/>
            <w:shd w:val="clear" w:color="auto" w:fill="auto"/>
            <w:noWrap/>
            <w:vAlign w:val="center"/>
          </w:tcPr>
          <w:p w:rsidRPr="0068478E" w:rsidR="005872E4" w:rsidP="005872E4" w:rsidRDefault="005872E4">
            <w:pPr>
              <w:jc w:val="center"/>
            </w:pPr>
            <w:r w:rsidRPr="0068478E">
              <w:t>0</w:t>
            </w:r>
          </w:p>
        </w:tc>
        <w:tc>
          <w:tcPr>
            <w:tcW w:w="1083" w:type="dxa"/>
            <w:shd w:val="clear" w:color="auto" w:fill="auto"/>
            <w:noWrap/>
            <w:vAlign w:val="center"/>
          </w:tcPr>
          <w:p w:rsidRPr="0068478E" w:rsidR="005872E4" w:rsidP="005872E4" w:rsidRDefault="005872E4">
            <w:pPr>
              <w:jc w:val="center"/>
            </w:pPr>
            <w:r>
              <w:rPr>
                <w:color w:val="000000"/>
              </w:rPr>
              <w:t>200</w:t>
            </w:r>
          </w:p>
        </w:tc>
      </w:tr>
      <w:tr w:rsidRPr="0068478E" w:rsidR="005872E4" w:rsidTr="007D4BA7">
        <w:trPr>
          <w:trHeight w:val="300"/>
        </w:trPr>
        <w:tc>
          <w:tcPr>
            <w:tcW w:w="4135" w:type="dxa"/>
            <w:shd w:val="clear" w:color="auto" w:fill="EEECE1" w:themeFill="background2"/>
            <w:noWrap/>
            <w:vAlign w:val="center"/>
            <w:hideMark/>
          </w:tcPr>
          <w:p w:rsidRPr="0068478E" w:rsidR="005872E4" w:rsidP="005872E4" w:rsidRDefault="005872E4">
            <w:r w:rsidRPr="0068478E">
              <w:t xml:space="preserve">Total Cost by Grade </w:t>
            </w:r>
          </w:p>
          <w:p w:rsidRPr="0068478E" w:rsidR="005872E4" w:rsidP="005872E4" w:rsidRDefault="005872E4">
            <w:r w:rsidRPr="0068478E">
              <w:t>(Total Hours * Fully Loaded Cost/Hour)</w:t>
            </w:r>
          </w:p>
        </w:tc>
        <w:tc>
          <w:tcPr>
            <w:tcW w:w="990" w:type="dxa"/>
            <w:shd w:val="clear" w:color="auto" w:fill="EEECE1" w:themeFill="background2"/>
            <w:noWrap/>
            <w:vAlign w:val="center"/>
          </w:tcPr>
          <w:p w:rsidRPr="0068478E" w:rsidR="005872E4" w:rsidP="005872E4" w:rsidRDefault="005872E4">
            <w:pPr>
              <w:jc w:val="center"/>
            </w:pPr>
            <w:r w:rsidRPr="0068478E">
              <w:t>0</w:t>
            </w:r>
          </w:p>
        </w:tc>
        <w:tc>
          <w:tcPr>
            <w:tcW w:w="1174" w:type="dxa"/>
            <w:shd w:val="clear" w:color="auto" w:fill="EEECE1" w:themeFill="background2"/>
            <w:noWrap/>
            <w:vAlign w:val="center"/>
          </w:tcPr>
          <w:p w:rsidRPr="0068478E" w:rsidR="005872E4" w:rsidP="005872E4" w:rsidRDefault="005872E4">
            <w:pPr>
              <w:jc w:val="center"/>
            </w:pPr>
            <w:r>
              <w:rPr>
                <w:color w:val="000000"/>
              </w:rPr>
              <w:t xml:space="preserve">$2,760 </w:t>
            </w:r>
          </w:p>
        </w:tc>
        <w:tc>
          <w:tcPr>
            <w:tcW w:w="1256" w:type="dxa"/>
            <w:shd w:val="clear" w:color="auto" w:fill="EEECE1" w:themeFill="background2"/>
            <w:noWrap/>
            <w:vAlign w:val="center"/>
          </w:tcPr>
          <w:p w:rsidRPr="0068478E" w:rsidR="005872E4" w:rsidP="005872E4" w:rsidRDefault="005872E4">
            <w:pPr>
              <w:jc w:val="center"/>
            </w:pPr>
            <w:r>
              <w:rPr>
                <w:color w:val="000000"/>
              </w:rPr>
              <w:t xml:space="preserve">$3,240 </w:t>
            </w:r>
          </w:p>
        </w:tc>
        <w:tc>
          <w:tcPr>
            <w:tcW w:w="908" w:type="dxa"/>
            <w:shd w:val="clear" w:color="auto" w:fill="EEECE1" w:themeFill="background2"/>
            <w:noWrap/>
            <w:vAlign w:val="center"/>
          </w:tcPr>
          <w:p w:rsidRPr="0068478E" w:rsidR="005872E4" w:rsidP="005872E4" w:rsidRDefault="005872E4">
            <w:pPr>
              <w:jc w:val="center"/>
            </w:pPr>
            <w:r w:rsidRPr="0068478E">
              <w:t>0</w:t>
            </w:r>
          </w:p>
        </w:tc>
        <w:tc>
          <w:tcPr>
            <w:tcW w:w="1083" w:type="dxa"/>
            <w:shd w:val="clear" w:color="auto" w:fill="EEECE1" w:themeFill="background2"/>
            <w:noWrap/>
            <w:vAlign w:val="center"/>
          </w:tcPr>
          <w:p w:rsidRPr="0068478E" w:rsidR="005872E4" w:rsidP="005872E4" w:rsidRDefault="005872E4">
            <w:pPr>
              <w:jc w:val="center"/>
            </w:pPr>
            <w:r>
              <w:rPr>
                <w:color w:val="000000"/>
              </w:rPr>
              <w:t xml:space="preserve">$6,000 </w:t>
            </w:r>
          </w:p>
        </w:tc>
      </w:tr>
      <w:tr w:rsidRPr="0068478E" w:rsidR="00FD2882" w:rsidTr="005872E4">
        <w:trPr>
          <w:trHeight w:val="300"/>
        </w:trPr>
        <w:tc>
          <w:tcPr>
            <w:tcW w:w="9546" w:type="dxa"/>
            <w:gridSpan w:val="6"/>
            <w:shd w:val="clear" w:color="auto" w:fill="C4BC96" w:themeFill="background2" w:themeFillShade="BF"/>
            <w:noWrap/>
            <w:vAlign w:val="center"/>
          </w:tcPr>
          <w:p w:rsidRPr="00AC0FA4" w:rsidR="00FD2882" w:rsidP="005872E4" w:rsidRDefault="00FD2882">
            <w:pPr>
              <w:jc w:val="center"/>
              <w:rPr>
                <w:b/>
              </w:rPr>
            </w:pPr>
            <w:r w:rsidRPr="00AC0FA4">
              <w:rPr>
                <w:b/>
              </w:rPr>
              <w:t>Calculation of FTE Fully Loaded Cost/Hour</w:t>
            </w:r>
          </w:p>
        </w:tc>
      </w:tr>
      <w:tr w:rsidRPr="0068478E" w:rsidR="005872E4" w:rsidTr="007D4BA7">
        <w:trPr>
          <w:trHeight w:val="300"/>
        </w:trPr>
        <w:tc>
          <w:tcPr>
            <w:tcW w:w="4135" w:type="dxa"/>
            <w:shd w:val="clear" w:color="auto" w:fill="auto"/>
            <w:noWrap/>
            <w:vAlign w:val="center"/>
          </w:tcPr>
          <w:p w:rsidRPr="0068478E" w:rsidR="005872E4" w:rsidP="005872E4" w:rsidRDefault="005872E4">
            <w:r w:rsidRPr="0068478E">
              <w:t>Avg. FTE Annual Salary Step 5</w:t>
            </w:r>
          </w:p>
        </w:tc>
        <w:tc>
          <w:tcPr>
            <w:tcW w:w="990" w:type="dxa"/>
            <w:shd w:val="clear" w:color="auto" w:fill="auto"/>
            <w:noWrap/>
            <w:vAlign w:val="center"/>
          </w:tcPr>
          <w:p w:rsidRPr="0068478E" w:rsidR="005872E4" w:rsidP="005872E4" w:rsidRDefault="005872E4">
            <w:pPr>
              <w:jc w:val="center"/>
            </w:pPr>
            <w:r w:rsidRPr="0068478E">
              <w:t>0</w:t>
            </w:r>
          </w:p>
        </w:tc>
        <w:tc>
          <w:tcPr>
            <w:tcW w:w="1174" w:type="dxa"/>
            <w:shd w:val="clear" w:color="auto" w:fill="auto"/>
            <w:noWrap/>
            <w:vAlign w:val="center"/>
          </w:tcPr>
          <w:p w:rsidRPr="0068478E" w:rsidR="005872E4" w:rsidP="007D4BA7" w:rsidRDefault="005872E4">
            <w:pPr>
              <w:jc w:val="center"/>
            </w:pPr>
            <w:r>
              <w:rPr>
                <w:color w:val="000000"/>
              </w:rPr>
              <w:t>$112,393</w:t>
            </w:r>
          </w:p>
        </w:tc>
        <w:tc>
          <w:tcPr>
            <w:tcW w:w="1256" w:type="dxa"/>
            <w:shd w:val="clear" w:color="auto" w:fill="auto"/>
            <w:noWrap/>
            <w:vAlign w:val="center"/>
          </w:tcPr>
          <w:p w:rsidRPr="0068478E" w:rsidR="005872E4" w:rsidP="007D4BA7" w:rsidRDefault="005872E4">
            <w:pPr>
              <w:jc w:val="center"/>
            </w:pPr>
            <w:r>
              <w:rPr>
                <w:color w:val="000000"/>
              </w:rPr>
              <w:t>$132,818</w:t>
            </w:r>
          </w:p>
        </w:tc>
        <w:tc>
          <w:tcPr>
            <w:tcW w:w="908" w:type="dxa"/>
            <w:shd w:val="clear" w:color="auto" w:fill="auto"/>
            <w:noWrap/>
            <w:vAlign w:val="center"/>
          </w:tcPr>
          <w:p w:rsidRPr="0068478E" w:rsidR="005872E4" w:rsidP="005872E4" w:rsidRDefault="005872E4">
            <w:pPr>
              <w:jc w:val="center"/>
            </w:pPr>
            <w:r w:rsidRPr="0068478E">
              <w:t>0</w:t>
            </w:r>
          </w:p>
        </w:tc>
        <w:tc>
          <w:tcPr>
            <w:tcW w:w="1083" w:type="dxa"/>
            <w:shd w:val="clear" w:color="auto" w:fill="C4BC96" w:themeFill="background2" w:themeFillShade="BF"/>
            <w:noWrap/>
            <w:vAlign w:val="bottom"/>
          </w:tcPr>
          <w:p w:rsidRPr="0068478E" w:rsidR="005872E4" w:rsidP="005872E4" w:rsidRDefault="005872E4">
            <w:pPr>
              <w:jc w:val="right"/>
            </w:pPr>
          </w:p>
        </w:tc>
      </w:tr>
      <w:tr w:rsidRPr="0068478E" w:rsidR="005872E4" w:rsidTr="007D4BA7">
        <w:trPr>
          <w:trHeight w:val="300"/>
        </w:trPr>
        <w:tc>
          <w:tcPr>
            <w:tcW w:w="4135" w:type="dxa"/>
            <w:shd w:val="clear" w:color="auto" w:fill="auto"/>
            <w:noWrap/>
            <w:vAlign w:val="center"/>
          </w:tcPr>
          <w:p w:rsidRPr="0068478E" w:rsidR="005872E4" w:rsidP="005872E4" w:rsidRDefault="005872E4">
            <w:r w:rsidRPr="0068478E">
              <w:t>Avg. FTE Fully Loaded Cost/Year using 1.63x multiplier</w:t>
            </w:r>
          </w:p>
        </w:tc>
        <w:tc>
          <w:tcPr>
            <w:tcW w:w="990" w:type="dxa"/>
            <w:shd w:val="clear" w:color="auto" w:fill="auto"/>
            <w:noWrap/>
            <w:vAlign w:val="center"/>
          </w:tcPr>
          <w:p w:rsidRPr="0068478E" w:rsidR="005872E4" w:rsidP="005872E4" w:rsidRDefault="005872E4">
            <w:pPr>
              <w:jc w:val="center"/>
            </w:pPr>
            <w:r w:rsidRPr="0068478E">
              <w:t>0</w:t>
            </w:r>
          </w:p>
        </w:tc>
        <w:tc>
          <w:tcPr>
            <w:tcW w:w="1174" w:type="dxa"/>
            <w:shd w:val="clear" w:color="auto" w:fill="auto"/>
            <w:noWrap/>
            <w:vAlign w:val="center"/>
          </w:tcPr>
          <w:p w:rsidRPr="0068478E" w:rsidR="005872E4" w:rsidP="007D4BA7" w:rsidRDefault="005872E4">
            <w:pPr>
              <w:jc w:val="center"/>
            </w:pPr>
            <w:r>
              <w:rPr>
                <w:color w:val="000000"/>
              </w:rPr>
              <w:t>$183,201</w:t>
            </w:r>
          </w:p>
        </w:tc>
        <w:tc>
          <w:tcPr>
            <w:tcW w:w="1256" w:type="dxa"/>
            <w:shd w:val="clear" w:color="auto" w:fill="auto"/>
            <w:noWrap/>
            <w:vAlign w:val="center"/>
          </w:tcPr>
          <w:p w:rsidRPr="0068478E" w:rsidR="005872E4" w:rsidP="007D4BA7" w:rsidRDefault="005872E4">
            <w:pPr>
              <w:jc w:val="center"/>
            </w:pPr>
            <w:r>
              <w:rPr>
                <w:color w:val="000000"/>
              </w:rPr>
              <w:t>$216,493</w:t>
            </w:r>
          </w:p>
        </w:tc>
        <w:tc>
          <w:tcPr>
            <w:tcW w:w="908" w:type="dxa"/>
            <w:shd w:val="clear" w:color="auto" w:fill="auto"/>
            <w:noWrap/>
            <w:vAlign w:val="center"/>
          </w:tcPr>
          <w:p w:rsidRPr="0068478E" w:rsidR="005872E4" w:rsidP="005872E4" w:rsidRDefault="005872E4">
            <w:pPr>
              <w:jc w:val="center"/>
            </w:pPr>
            <w:r w:rsidRPr="0068478E">
              <w:t>0</w:t>
            </w:r>
          </w:p>
        </w:tc>
        <w:tc>
          <w:tcPr>
            <w:tcW w:w="1083" w:type="dxa"/>
            <w:shd w:val="clear" w:color="auto" w:fill="C4BC96" w:themeFill="background2" w:themeFillShade="BF"/>
            <w:noWrap/>
            <w:vAlign w:val="bottom"/>
          </w:tcPr>
          <w:p w:rsidRPr="0068478E" w:rsidR="005872E4" w:rsidP="005872E4" w:rsidRDefault="005872E4">
            <w:pPr>
              <w:jc w:val="right"/>
            </w:pPr>
          </w:p>
        </w:tc>
      </w:tr>
      <w:tr w:rsidRPr="0068478E" w:rsidR="005872E4" w:rsidTr="007D4BA7">
        <w:trPr>
          <w:trHeight w:val="300"/>
        </w:trPr>
        <w:tc>
          <w:tcPr>
            <w:tcW w:w="4135" w:type="dxa"/>
            <w:shd w:val="clear" w:color="auto" w:fill="auto"/>
            <w:noWrap/>
            <w:vAlign w:val="center"/>
          </w:tcPr>
          <w:p w:rsidRPr="0068478E" w:rsidR="005872E4" w:rsidP="005872E4" w:rsidRDefault="005872E4">
            <w:r w:rsidRPr="0068478E">
              <w:t>Standard FTE Hours per year</w:t>
            </w:r>
          </w:p>
        </w:tc>
        <w:tc>
          <w:tcPr>
            <w:tcW w:w="990" w:type="dxa"/>
            <w:shd w:val="clear" w:color="auto" w:fill="auto"/>
            <w:noWrap/>
            <w:vAlign w:val="center"/>
          </w:tcPr>
          <w:p w:rsidRPr="0068478E" w:rsidR="005872E4" w:rsidP="005872E4" w:rsidRDefault="005872E4">
            <w:pPr>
              <w:jc w:val="center"/>
            </w:pPr>
            <w:r w:rsidRPr="0068478E">
              <w:t>0</w:t>
            </w:r>
          </w:p>
        </w:tc>
        <w:tc>
          <w:tcPr>
            <w:tcW w:w="1174" w:type="dxa"/>
            <w:shd w:val="clear" w:color="auto" w:fill="auto"/>
            <w:noWrap/>
            <w:vAlign w:val="center"/>
          </w:tcPr>
          <w:p w:rsidRPr="0068478E" w:rsidR="005872E4" w:rsidP="007D4BA7" w:rsidRDefault="005872E4">
            <w:pPr>
              <w:jc w:val="center"/>
            </w:pPr>
            <w:r>
              <w:rPr>
                <w:color w:val="000000"/>
              </w:rPr>
              <w:t>2000</w:t>
            </w:r>
          </w:p>
        </w:tc>
        <w:tc>
          <w:tcPr>
            <w:tcW w:w="1256" w:type="dxa"/>
            <w:shd w:val="clear" w:color="auto" w:fill="auto"/>
            <w:noWrap/>
            <w:vAlign w:val="center"/>
          </w:tcPr>
          <w:p w:rsidRPr="0068478E" w:rsidR="005872E4" w:rsidP="007D4BA7" w:rsidRDefault="005872E4">
            <w:pPr>
              <w:jc w:val="center"/>
            </w:pPr>
            <w:r>
              <w:rPr>
                <w:color w:val="000000"/>
              </w:rPr>
              <w:t>2000</w:t>
            </w:r>
          </w:p>
        </w:tc>
        <w:tc>
          <w:tcPr>
            <w:tcW w:w="908" w:type="dxa"/>
            <w:shd w:val="clear" w:color="auto" w:fill="auto"/>
            <w:noWrap/>
            <w:vAlign w:val="center"/>
          </w:tcPr>
          <w:p w:rsidRPr="0068478E" w:rsidR="005872E4" w:rsidP="005872E4" w:rsidRDefault="005872E4">
            <w:pPr>
              <w:jc w:val="center"/>
            </w:pPr>
            <w:r w:rsidRPr="0068478E">
              <w:t>0</w:t>
            </w:r>
          </w:p>
        </w:tc>
        <w:tc>
          <w:tcPr>
            <w:tcW w:w="1083" w:type="dxa"/>
            <w:shd w:val="clear" w:color="auto" w:fill="C4BC96" w:themeFill="background2" w:themeFillShade="BF"/>
            <w:noWrap/>
            <w:vAlign w:val="bottom"/>
          </w:tcPr>
          <w:p w:rsidRPr="0068478E" w:rsidR="005872E4" w:rsidP="005872E4" w:rsidRDefault="005872E4">
            <w:pPr>
              <w:jc w:val="right"/>
            </w:pPr>
          </w:p>
        </w:tc>
      </w:tr>
      <w:tr w:rsidRPr="00647511" w:rsidR="005872E4" w:rsidTr="007D4BA7">
        <w:trPr>
          <w:trHeight w:val="300"/>
        </w:trPr>
        <w:tc>
          <w:tcPr>
            <w:tcW w:w="4135" w:type="dxa"/>
            <w:shd w:val="clear" w:color="auto" w:fill="auto"/>
            <w:noWrap/>
            <w:vAlign w:val="center"/>
          </w:tcPr>
          <w:p w:rsidR="005872E4" w:rsidP="005872E4" w:rsidRDefault="005872E4">
            <w:pPr>
              <w:rPr>
                <w:color w:val="000000"/>
              </w:rPr>
            </w:pPr>
            <w:r>
              <w:rPr>
                <w:color w:val="000000"/>
              </w:rPr>
              <w:t>A</w:t>
            </w:r>
            <w:r w:rsidRPr="00446F01">
              <w:rPr>
                <w:color w:val="000000"/>
              </w:rPr>
              <w:t xml:space="preserve">vg. FTE Fully Loaded </w:t>
            </w:r>
            <w:r>
              <w:rPr>
                <w:color w:val="000000"/>
              </w:rPr>
              <w:t>C</w:t>
            </w:r>
            <w:r w:rsidRPr="00446F01">
              <w:rPr>
                <w:color w:val="000000"/>
              </w:rPr>
              <w:t>ost/Hour</w:t>
            </w:r>
          </w:p>
        </w:tc>
        <w:tc>
          <w:tcPr>
            <w:tcW w:w="990" w:type="dxa"/>
            <w:shd w:val="clear" w:color="auto" w:fill="auto"/>
            <w:noWrap/>
            <w:vAlign w:val="center"/>
          </w:tcPr>
          <w:p w:rsidR="005872E4" w:rsidP="005872E4" w:rsidRDefault="005872E4">
            <w:pPr>
              <w:jc w:val="center"/>
              <w:rPr>
                <w:color w:val="000000"/>
              </w:rPr>
            </w:pPr>
            <w:r>
              <w:rPr>
                <w:color w:val="000000"/>
              </w:rPr>
              <w:t>0</w:t>
            </w:r>
          </w:p>
        </w:tc>
        <w:tc>
          <w:tcPr>
            <w:tcW w:w="1174" w:type="dxa"/>
            <w:shd w:val="clear" w:color="auto" w:fill="auto"/>
            <w:noWrap/>
            <w:vAlign w:val="center"/>
          </w:tcPr>
          <w:p w:rsidR="005872E4" w:rsidP="007D4BA7" w:rsidRDefault="005872E4">
            <w:pPr>
              <w:jc w:val="center"/>
              <w:rPr>
                <w:color w:val="000000"/>
              </w:rPr>
            </w:pPr>
            <w:r>
              <w:rPr>
                <w:color w:val="000000"/>
              </w:rPr>
              <w:t>$92</w:t>
            </w:r>
          </w:p>
        </w:tc>
        <w:tc>
          <w:tcPr>
            <w:tcW w:w="1256" w:type="dxa"/>
            <w:shd w:val="clear" w:color="auto" w:fill="auto"/>
            <w:noWrap/>
            <w:vAlign w:val="center"/>
          </w:tcPr>
          <w:p w:rsidR="005872E4" w:rsidP="007D4BA7" w:rsidRDefault="005872E4">
            <w:pPr>
              <w:jc w:val="center"/>
              <w:rPr>
                <w:color w:val="000000"/>
              </w:rPr>
            </w:pPr>
            <w:r>
              <w:rPr>
                <w:color w:val="000000"/>
              </w:rPr>
              <w:t>$108</w:t>
            </w:r>
          </w:p>
        </w:tc>
        <w:tc>
          <w:tcPr>
            <w:tcW w:w="908" w:type="dxa"/>
            <w:shd w:val="clear" w:color="auto" w:fill="auto"/>
            <w:noWrap/>
            <w:vAlign w:val="center"/>
          </w:tcPr>
          <w:p w:rsidR="005872E4" w:rsidP="005872E4" w:rsidRDefault="005872E4">
            <w:pPr>
              <w:jc w:val="center"/>
              <w:rPr>
                <w:color w:val="000000"/>
              </w:rPr>
            </w:pPr>
            <w:r>
              <w:rPr>
                <w:color w:val="000000"/>
              </w:rPr>
              <w:t>0</w:t>
            </w:r>
          </w:p>
        </w:tc>
        <w:tc>
          <w:tcPr>
            <w:tcW w:w="1083" w:type="dxa"/>
            <w:shd w:val="clear" w:color="auto" w:fill="C4BC96" w:themeFill="background2" w:themeFillShade="BF"/>
            <w:noWrap/>
            <w:vAlign w:val="bottom"/>
          </w:tcPr>
          <w:p w:rsidR="005872E4" w:rsidP="005872E4" w:rsidRDefault="005872E4">
            <w:pPr>
              <w:jc w:val="right"/>
              <w:rPr>
                <w:color w:val="000000"/>
              </w:rPr>
            </w:pPr>
          </w:p>
        </w:tc>
      </w:tr>
    </w:tbl>
    <w:p w:rsidRPr="008319AC" w:rsidR="00FD2882" w:rsidRDefault="00FD2882"/>
    <w:p w:rsidRPr="008319AC" w:rsidR="00CF1BD4" w:rsidRDefault="00CF1BD4">
      <w:pPr>
        <w:rPr>
          <w:u w:val="single"/>
        </w:rPr>
      </w:pPr>
      <w:r w:rsidRPr="008319AC">
        <w:rPr>
          <w:u w:val="single"/>
        </w:rPr>
        <w:t>15.  Any program changes or adjustments</w:t>
      </w:r>
    </w:p>
    <w:p w:rsidR="001752FA" w:rsidP="00D06087" w:rsidRDefault="001752FA">
      <w:pPr>
        <w:autoSpaceDE w:val="0"/>
        <w:autoSpaceDN w:val="0"/>
        <w:adjustRightInd w:val="0"/>
        <w:rPr>
          <w:szCs w:val="24"/>
        </w:rPr>
      </w:pPr>
    </w:p>
    <w:p w:rsidR="001752FA" w:rsidP="001752FA" w:rsidRDefault="006B07C2">
      <w:pPr>
        <w:autoSpaceDE w:val="0"/>
        <w:autoSpaceDN w:val="0"/>
        <w:adjustRightInd w:val="0"/>
        <w:rPr>
          <w:szCs w:val="24"/>
        </w:rPr>
      </w:pPr>
      <w:r>
        <w:rPr>
          <w:szCs w:val="24"/>
        </w:rPr>
        <w:t>The CDFI Fund has</w:t>
      </w:r>
      <w:r w:rsidR="00102590">
        <w:rPr>
          <w:szCs w:val="24"/>
        </w:rPr>
        <w:t xml:space="preserve"> removed unused d</w:t>
      </w:r>
      <w:r w:rsidR="001752FA">
        <w:rPr>
          <w:szCs w:val="24"/>
        </w:rPr>
        <w:t xml:space="preserve">ata points from this </w:t>
      </w:r>
      <w:r w:rsidR="007C076B">
        <w:rPr>
          <w:szCs w:val="24"/>
        </w:rPr>
        <w:t>collection;</w:t>
      </w:r>
      <w:r w:rsidR="001752FA">
        <w:rPr>
          <w:szCs w:val="24"/>
        </w:rPr>
        <w:t xml:space="preserve"> </w:t>
      </w:r>
      <w:r w:rsidR="007C076B">
        <w:rPr>
          <w:szCs w:val="24"/>
        </w:rPr>
        <w:t>however,</w:t>
      </w:r>
      <w:r w:rsidR="001752FA">
        <w:rPr>
          <w:szCs w:val="24"/>
        </w:rPr>
        <w:t xml:space="preserve"> the overall burden per response is being increased by 30 minutes due to an adjustment in agency estimates. </w:t>
      </w:r>
      <w:r w:rsidR="007C076B">
        <w:rPr>
          <w:szCs w:val="24"/>
        </w:rPr>
        <w:t xml:space="preserve">The Fund </w:t>
      </w:r>
      <w:r w:rsidR="001752FA">
        <w:rPr>
          <w:szCs w:val="24"/>
        </w:rPr>
        <w:t xml:space="preserve">believes that 1.5 hours is a more accurate estimate of the time required per response. The total number of respondents and responses is being reduced based on updated data on the current number of </w:t>
      </w:r>
      <w:proofErr w:type="spellStart"/>
      <w:r w:rsidR="001752FA">
        <w:rPr>
          <w:szCs w:val="24"/>
        </w:rPr>
        <w:t>Allocatees</w:t>
      </w:r>
      <w:proofErr w:type="spellEnd"/>
      <w:r w:rsidR="001752FA">
        <w:rPr>
          <w:szCs w:val="24"/>
        </w:rPr>
        <w:t xml:space="preserve"> reporting in the system.</w:t>
      </w:r>
    </w:p>
    <w:p w:rsidRPr="00D06087" w:rsidR="001752FA" w:rsidP="00D06087" w:rsidRDefault="001752FA">
      <w:pPr>
        <w:autoSpaceDE w:val="0"/>
        <w:autoSpaceDN w:val="0"/>
        <w:adjustRightInd w:val="0"/>
        <w:rPr>
          <w:szCs w:val="24"/>
        </w:rPr>
      </w:pPr>
    </w:p>
    <w:p w:rsidRPr="008319AC" w:rsidR="004A42D0" w:rsidRDefault="004A42D0"/>
    <w:p w:rsidRPr="008319AC" w:rsidR="00CF1BD4" w:rsidRDefault="00CF1BD4">
      <w:pPr>
        <w:rPr>
          <w:u w:val="single"/>
        </w:rPr>
      </w:pPr>
      <w:r w:rsidRPr="008319AC">
        <w:rPr>
          <w:u w:val="single"/>
        </w:rPr>
        <w:t>16.  Plans for information tabulation and publication</w:t>
      </w:r>
    </w:p>
    <w:p w:rsidR="006B07C2" w:rsidP="006B07C2" w:rsidRDefault="006B07C2">
      <w:r>
        <w:t>Confidential or proprietary information collected through this information collection will not be published.</w:t>
      </w:r>
    </w:p>
    <w:p w:rsidRPr="008319AC" w:rsidR="00CF1BD4" w:rsidRDefault="00CF1BD4"/>
    <w:p w:rsidRPr="008319AC" w:rsidR="00CF1BD4" w:rsidRDefault="00CF1BD4">
      <w:r w:rsidRPr="008319AC">
        <w:rPr>
          <w:u w:val="single"/>
        </w:rPr>
        <w:t>17.  Reasons for not displaying expiration date of OMB approval</w:t>
      </w:r>
    </w:p>
    <w:p w:rsidR="00061089" w:rsidP="00061089" w:rsidRDefault="006B07C2">
      <w:r>
        <w:t>Display of the expiration date may lead to confusion among respondents who may have identical forms with a different expiration dates in their possession or lead them believe that this date represents a due date or sunset date.  We request a non-display of the OMB expiration date.</w:t>
      </w:r>
    </w:p>
    <w:p w:rsidR="00CF1BD4" w:rsidRDefault="00CF1BD4">
      <w:pPr>
        <w:rPr>
          <w:u w:val="single"/>
        </w:rPr>
      </w:pPr>
    </w:p>
    <w:p w:rsidR="00CF1BD4" w:rsidRDefault="00CF1BD4">
      <w:pPr>
        <w:rPr>
          <w:u w:val="single"/>
        </w:rPr>
      </w:pPr>
      <w:r>
        <w:rPr>
          <w:u w:val="single"/>
        </w:rPr>
        <w:t>18.  Explanation of exceptions to certification statement</w:t>
      </w:r>
    </w:p>
    <w:p w:rsidR="00CF1BD4" w:rsidRDefault="00CF1BD4">
      <w:r>
        <w:t>Not applicable.</w:t>
      </w:r>
    </w:p>
    <w:p w:rsidR="00CF1BD4" w:rsidRDefault="00CF1BD4"/>
    <w:p w:rsidR="00CF1BD4" w:rsidRDefault="00CF1BD4">
      <w:pPr>
        <w:pStyle w:val="Heading1"/>
      </w:pPr>
      <w:r>
        <w:t>B.  Collections of Information Employing Statistical Methods</w:t>
      </w:r>
    </w:p>
    <w:p w:rsidR="00CF1BD4" w:rsidRDefault="006B07C2">
      <w:r>
        <w:t>N</w:t>
      </w:r>
      <w:r w:rsidR="00CF1BD4">
        <w:t>ot applicable.</w:t>
      </w:r>
    </w:p>
    <w:p w:rsidR="003434B7" w:rsidRDefault="003434B7"/>
    <w:p w:rsidR="003434B7" w:rsidRDefault="003434B7">
      <w:pPr>
        <w:sectPr w:rsidR="003434B7">
          <w:headerReference w:type="default" r:id="rId12"/>
          <w:footerReference w:type="default" r:id="rId13"/>
          <w:pgSz w:w="12240" w:h="15840"/>
          <w:pgMar w:top="1296" w:right="1440" w:bottom="1152" w:left="1440" w:header="720" w:footer="720" w:gutter="0"/>
          <w:cols w:space="720"/>
        </w:sectPr>
      </w:pPr>
    </w:p>
    <w:p w:rsidRPr="00CB434D" w:rsidR="003434B7" w:rsidP="003434B7" w:rsidRDefault="003434B7">
      <w:pPr>
        <w:ind w:firstLine="720"/>
        <w:jc w:val="center"/>
        <w:rPr>
          <w:b/>
        </w:rPr>
      </w:pPr>
      <w:r w:rsidRPr="00CB434D">
        <w:rPr>
          <w:b/>
        </w:rPr>
        <w:lastRenderedPageBreak/>
        <w:t xml:space="preserve">Appendix A. </w:t>
      </w:r>
      <w:proofErr w:type="gramStart"/>
      <w:r w:rsidRPr="00CB434D">
        <w:rPr>
          <w:b/>
        </w:rPr>
        <w:t>AQEI  PRA</w:t>
      </w:r>
      <w:proofErr w:type="gramEnd"/>
      <w:r w:rsidRPr="00CB434D">
        <w:rPr>
          <w:b/>
        </w:rPr>
        <w:t xml:space="preserve"> - Summary of Public Comments and CDFI Fund Responses</w:t>
      </w:r>
    </w:p>
    <w:p w:rsidR="003434B7" w:rsidP="003434B7" w:rsidRDefault="003434B7">
      <w:pPr>
        <w:jc w:val="center"/>
      </w:pPr>
    </w:p>
    <w:tbl>
      <w:tblPr>
        <w:tblW w:w="18320" w:type="dxa"/>
        <w:tblLook w:val="04A0" w:firstRow="1" w:lastRow="0" w:firstColumn="1" w:lastColumn="0" w:noHBand="0" w:noVBand="1"/>
      </w:tblPr>
      <w:tblGrid>
        <w:gridCol w:w="530"/>
        <w:gridCol w:w="1350"/>
        <w:gridCol w:w="1576"/>
        <w:gridCol w:w="1754"/>
        <w:gridCol w:w="2070"/>
        <w:gridCol w:w="1530"/>
        <w:gridCol w:w="4320"/>
        <w:gridCol w:w="5190"/>
      </w:tblGrid>
      <w:tr w:rsidRPr="003434B7" w:rsidR="003434B7" w:rsidTr="003434B7">
        <w:trPr>
          <w:trHeight w:val="315"/>
        </w:trPr>
        <w:tc>
          <w:tcPr>
            <w:tcW w:w="530" w:type="dxa"/>
            <w:tcBorders>
              <w:top w:val="single" w:color="auto" w:sz="8" w:space="0"/>
              <w:left w:val="single" w:color="auto" w:sz="8" w:space="0"/>
              <w:bottom w:val="single" w:color="auto" w:sz="4" w:space="0"/>
              <w:right w:val="single" w:color="auto" w:sz="4" w:space="0"/>
            </w:tcBorders>
            <w:shd w:val="clear" w:color="000000" w:fill="D9D9D9"/>
            <w:noWrap/>
            <w:hideMark/>
          </w:tcPr>
          <w:p w:rsidRPr="003434B7" w:rsidR="003434B7" w:rsidP="003434B7" w:rsidRDefault="003434B7">
            <w:pPr>
              <w:rPr>
                <w:b/>
                <w:bCs/>
                <w:color w:val="000000"/>
                <w:szCs w:val="24"/>
              </w:rPr>
            </w:pPr>
            <w:r w:rsidRPr="003434B7">
              <w:rPr>
                <w:b/>
                <w:bCs/>
                <w:color w:val="000000"/>
                <w:szCs w:val="24"/>
              </w:rPr>
              <w:t>#</w:t>
            </w:r>
          </w:p>
        </w:tc>
        <w:tc>
          <w:tcPr>
            <w:tcW w:w="1350" w:type="dxa"/>
            <w:tcBorders>
              <w:top w:val="single" w:color="auto" w:sz="8" w:space="0"/>
              <w:left w:val="nil"/>
              <w:bottom w:val="single" w:color="auto" w:sz="4" w:space="0"/>
              <w:right w:val="single" w:color="auto" w:sz="4" w:space="0"/>
            </w:tcBorders>
            <w:shd w:val="clear" w:color="000000" w:fill="D9D9D9"/>
            <w:noWrap/>
            <w:vAlign w:val="center"/>
            <w:hideMark/>
          </w:tcPr>
          <w:p w:rsidRPr="003434B7" w:rsidR="003434B7" w:rsidP="003434B7" w:rsidRDefault="003434B7">
            <w:pPr>
              <w:rPr>
                <w:b/>
                <w:bCs/>
                <w:color w:val="000000"/>
                <w:szCs w:val="24"/>
              </w:rPr>
            </w:pPr>
            <w:r w:rsidRPr="003434B7">
              <w:rPr>
                <w:b/>
                <w:bCs/>
                <w:color w:val="000000"/>
                <w:szCs w:val="24"/>
              </w:rPr>
              <w:t>Date of Comment</w:t>
            </w:r>
          </w:p>
        </w:tc>
        <w:tc>
          <w:tcPr>
            <w:tcW w:w="1576" w:type="dxa"/>
            <w:tcBorders>
              <w:top w:val="single" w:color="auto" w:sz="8" w:space="0"/>
              <w:left w:val="nil"/>
              <w:bottom w:val="single" w:color="auto" w:sz="4" w:space="0"/>
              <w:right w:val="single" w:color="auto" w:sz="4" w:space="0"/>
            </w:tcBorders>
            <w:shd w:val="clear" w:color="000000" w:fill="D9D9D9"/>
            <w:vAlign w:val="center"/>
            <w:hideMark/>
          </w:tcPr>
          <w:p w:rsidRPr="003434B7" w:rsidR="003434B7" w:rsidP="003434B7" w:rsidRDefault="003434B7">
            <w:pPr>
              <w:rPr>
                <w:b/>
                <w:bCs/>
                <w:color w:val="000000"/>
                <w:szCs w:val="24"/>
              </w:rPr>
            </w:pPr>
            <w:r w:rsidRPr="003434B7">
              <w:rPr>
                <w:b/>
                <w:bCs/>
                <w:color w:val="000000"/>
                <w:szCs w:val="24"/>
              </w:rPr>
              <w:t>Organization</w:t>
            </w:r>
          </w:p>
        </w:tc>
        <w:tc>
          <w:tcPr>
            <w:tcW w:w="1754" w:type="dxa"/>
            <w:tcBorders>
              <w:top w:val="single" w:color="auto" w:sz="8" w:space="0"/>
              <w:left w:val="nil"/>
              <w:bottom w:val="single" w:color="auto" w:sz="4" w:space="0"/>
              <w:right w:val="single" w:color="auto" w:sz="4" w:space="0"/>
            </w:tcBorders>
            <w:shd w:val="clear" w:color="000000" w:fill="D9D9D9"/>
            <w:noWrap/>
            <w:vAlign w:val="center"/>
            <w:hideMark/>
          </w:tcPr>
          <w:p w:rsidRPr="003434B7" w:rsidR="003434B7" w:rsidP="003434B7" w:rsidRDefault="003434B7">
            <w:pPr>
              <w:rPr>
                <w:b/>
                <w:bCs/>
                <w:color w:val="000000"/>
                <w:szCs w:val="24"/>
              </w:rPr>
            </w:pPr>
            <w:r w:rsidRPr="003434B7">
              <w:rPr>
                <w:b/>
                <w:bCs/>
                <w:color w:val="000000"/>
                <w:szCs w:val="24"/>
              </w:rPr>
              <w:t>Author Name</w:t>
            </w:r>
          </w:p>
        </w:tc>
        <w:tc>
          <w:tcPr>
            <w:tcW w:w="2070" w:type="dxa"/>
            <w:tcBorders>
              <w:top w:val="single" w:color="auto" w:sz="8" w:space="0"/>
              <w:left w:val="nil"/>
              <w:bottom w:val="single" w:color="auto" w:sz="4" w:space="0"/>
              <w:right w:val="single" w:color="auto" w:sz="4" w:space="0"/>
            </w:tcBorders>
            <w:shd w:val="clear" w:color="000000" w:fill="D9D9D9"/>
            <w:vAlign w:val="center"/>
            <w:hideMark/>
          </w:tcPr>
          <w:p w:rsidRPr="003434B7" w:rsidR="003434B7" w:rsidP="003434B7" w:rsidRDefault="003434B7">
            <w:pPr>
              <w:rPr>
                <w:b/>
                <w:bCs/>
                <w:color w:val="000000"/>
                <w:szCs w:val="24"/>
              </w:rPr>
            </w:pPr>
            <w:r w:rsidRPr="003434B7">
              <w:rPr>
                <w:b/>
                <w:bCs/>
                <w:color w:val="000000"/>
                <w:szCs w:val="24"/>
              </w:rPr>
              <w:t>Author Position</w:t>
            </w:r>
          </w:p>
        </w:tc>
        <w:tc>
          <w:tcPr>
            <w:tcW w:w="1530" w:type="dxa"/>
            <w:tcBorders>
              <w:top w:val="single" w:color="auto" w:sz="8" w:space="0"/>
              <w:left w:val="nil"/>
              <w:bottom w:val="single" w:color="auto" w:sz="4" w:space="0"/>
              <w:right w:val="single" w:color="auto" w:sz="4" w:space="0"/>
            </w:tcBorders>
            <w:shd w:val="clear" w:color="000000" w:fill="D9D9D9"/>
            <w:vAlign w:val="center"/>
            <w:hideMark/>
          </w:tcPr>
          <w:p w:rsidRPr="003434B7" w:rsidR="003434B7" w:rsidP="003434B7" w:rsidRDefault="003434B7">
            <w:pPr>
              <w:jc w:val="center"/>
              <w:rPr>
                <w:b/>
                <w:bCs/>
                <w:color w:val="000000"/>
                <w:szCs w:val="24"/>
              </w:rPr>
            </w:pPr>
            <w:r w:rsidRPr="003434B7">
              <w:rPr>
                <w:b/>
                <w:bCs/>
                <w:color w:val="000000"/>
                <w:szCs w:val="24"/>
              </w:rPr>
              <w:t>Category</w:t>
            </w:r>
          </w:p>
        </w:tc>
        <w:tc>
          <w:tcPr>
            <w:tcW w:w="4320" w:type="dxa"/>
            <w:tcBorders>
              <w:top w:val="single" w:color="auto" w:sz="8" w:space="0"/>
              <w:left w:val="nil"/>
              <w:bottom w:val="single" w:color="auto" w:sz="4" w:space="0"/>
              <w:right w:val="single" w:color="auto" w:sz="4" w:space="0"/>
            </w:tcBorders>
            <w:shd w:val="clear" w:color="000000" w:fill="D9D9D9"/>
            <w:vAlign w:val="center"/>
            <w:hideMark/>
          </w:tcPr>
          <w:p w:rsidRPr="003434B7" w:rsidR="003434B7" w:rsidP="003434B7" w:rsidRDefault="003434B7">
            <w:pPr>
              <w:rPr>
                <w:b/>
                <w:bCs/>
                <w:color w:val="000000"/>
                <w:szCs w:val="24"/>
              </w:rPr>
            </w:pPr>
            <w:r w:rsidRPr="003434B7">
              <w:rPr>
                <w:b/>
                <w:bCs/>
                <w:color w:val="000000"/>
                <w:szCs w:val="24"/>
              </w:rPr>
              <w:t>Comment</w:t>
            </w:r>
          </w:p>
        </w:tc>
        <w:tc>
          <w:tcPr>
            <w:tcW w:w="5190" w:type="dxa"/>
            <w:tcBorders>
              <w:top w:val="single" w:color="auto" w:sz="8" w:space="0"/>
              <w:left w:val="nil"/>
              <w:bottom w:val="single" w:color="auto" w:sz="4" w:space="0"/>
              <w:right w:val="single" w:color="auto" w:sz="8" w:space="0"/>
            </w:tcBorders>
            <w:shd w:val="clear" w:color="000000" w:fill="D9D9D9"/>
            <w:vAlign w:val="center"/>
            <w:hideMark/>
          </w:tcPr>
          <w:p w:rsidRPr="003434B7" w:rsidR="003434B7" w:rsidP="003434B7" w:rsidRDefault="003434B7">
            <w:pPr>
              <w:rPr>
                <w:b/>
                <w:bCs/>
                <w:color w:val="000000"/>
                <w:szCs w:val="24"/>
              </w:rPr>
            </w:pPr>
            <w:r w:rsidRPr="003434B7">
              <w:rPr>
                <w:b/>
                <w:bCs/>
                <w:color w:val="000000"/>
                <w:szCs w:val="24"/>
              </w:rPr>
              <w:t>CCME Team Response</w:t>
            </w:r>
          </w:p>
        </w:tc>
      </w:tr>
      <w:tr w:rsidRPr="003434B7" w:rsidR="003434B7" w:rsidTr="003434B7">
        <w:trPr>
          <w:trHeight w:val="945"/>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1</w:t>
            </w:r>
          </w:p>
        </w:tc>
        <w:tc>
          <w:tcPr>
            <w:tcW w:w="1350"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2/24/2020</w:t>
            </w:r>
          </w:p>
        </w:tc>
        <w:tc>
          <w:tcPr>
            <w:tcW w:w="1576"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General</w:t>
            </w:r>
          </w:p>
        </w:tc>
        <w:tc>
          <w:tcPr>
            <w:tcW w:w="432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Logistical guidance for AMIS system entry is well explained. There is no need for additional clarity.</w:t>
            </w:r>
          </w:p>
        </w:tc>
        <w:tc>
          <w:tcPr>
            <w:tcW w:w="5190" w:type="dxa"/>
            <w:tcBorders>
              <w:top w:val="nil"/>
              <w:left w:val="nil"/>
              <w:bottom w:val="single" w:color="auto" w:sz="4" w:space="0"/>
              <w:right w:val="single" w:color="auto" w:sz="8" w:space="0"/>
            </w:tcBorders>
            <w:shd w:val="clear" w:color="auto" w:fill="auto"/>
            <w:hideMark/>
          </w:tcPr>
          <w:p w:rsidRPr="003434B7" w:rsidR="003434B7" w:rsidP="003434B7" w:rsidRDefault="003434B7">
            <w:pPr>
              <w:rPr>
                <w:color w:val="000000"/>
                <w:szCs w:val="24"/>
              </w:rPr>
            </w:pPr>
            <w:r w:rsidRPr="003434B7">
              <w:rPr>
                <w:color w:val="000000"/>
                <w:szCs w:val="24"/>
              </w:rPr>
              <w:t>We concur.</w:t>
            </w:r>
          </w:p>
        </w:tc>
      </w:tr>
      <w:tr w:rsidRPr="003434B7" w:rsidR="003434B7" w:rsidTr="003434B7">
        <w:trPr>
          <w:trHeight w:val="1241"/>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w:t>
            </w:r>
          </w:p>
        </w:tc>
        <w:tc>
          <w:tcPr>
            <w:tcW w:w="1350"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2/25/2020</w:t>
            </w:r>
          </w:p>
        </w:tc>
        <w:tc>
          <w:tcPr>
            <w:tcW w:w="1576"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Guidance Materials</w:t>
            </w:r>
          </w:p>
        </w:tc>
        <w:tc>
          <w:tcPr>
            <w:tcW w:w="432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Should the amount entered for “Leverage Amount” (in Figure 18 and Figure 19) take into account the same considerations as the entry for “Total Debt” in Figure 15?</w:t>
            </w:r>
          </w:p>
        </w:tc>
        <w:tc>
          <w:tcPr>
            <w:tcW w:w="5190" w:type="dxa"/>
            <w:tcBorders>
              <w:top w:val="nil"/>
              <w:left w:val="nil"/>
              <w:bottom w:val="single" w:color="auto" w:sz="4" w:space="0"/>
              <w:right w:val="single" w:color="auto" w:sz="8" w:space="0"/>
            </w:tcBorders>
            <w:shd w:val="clear" w:color="auto" w:fill="auto"/>
            <w:hideMark/>
          </w:tcPr>
          <w:p w:rsidRPr="00165A93" w:rsidR="003434B7" w:rsidP="003434B7" w:rsidRDefault="00165A93">
            <w:pPr>
              <w:rPr>
                <w:iCs/>
                <w:szCs w:val="24"/>
              </w:rPr>
            </w:pPr>
            <w:r>
              <w:rPr>
                <w:iCs/>
                <w:szCs w:val="24"/>
              </w:rPr>
              <w:t>The CDFI Fund plans to update guidance materials in FY2020 and will clarify how to record “Total Debt”.</w:t>
            </w:r>
          </w:p>
        </w:tc>
      </w:tr>
      <w:tr w:rsidRPr="003434B7" w:rsidR="003434B7" w:rsidTr="003434B7">
        <w:trPr>
          <w:trHeight w:val="1169"/>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3</w:t>
            </w:r>
          </w:p>
        </w:tc>
        <w:tc>
          <w:tcPr>
            <w:tcW w:w="1350"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2/26/2020</w:t>
            </w:r>
          </w:p>
        </w:tc>
        <w:tc>
          <w:tcPr>
            <w:tcW w:w="1576"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Guidance Materials</w:t>
            </w:r>
          </w:p>
        </w:tc>
        <w:tc>
          <w:tcPr>
            <w:tcW w:w="432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It would be helpful if the guidance provided a definition of Public Subsidy.</w:t>
            </w:r>
          </w:p>
        </w:tc>
        <w:tc>
          <w:tcPr>
            <w:tcW w:w="5190" w:type="dxa"/>
            <w:tcBorders>
              <w:top w:val="nil"/>
              <w:left w:val="nil"/>
              <w:bottom w:val="single" w:color="auto" w:sz="4" w:space="0"/>
              <w:right w:val="single" w:color="auto" w:sz="8" w:space="0"/>
            </w:tcBorders>
            <w:shd w:val="clear" w:color="auto" w:fill="auto"/>
            <w:hideMark/>
          </w:tcPr>
          <w:p w:rsidRPr="00165A93" w:rsidR="003434B7" w:rsidP="003434B7" w:rsidRDefault="00165A93">
            <w:pPr>
              <w:rPr>
                <w:iCs/>
                <w:szCs w:val="24"/>
              </w:rPr>
            </w:pPr>
            <w:r>
              <w:rPr>
                <w:iCs/>
                <w:szCs w:val="24"/>
              </w:rPr>
              <w:t>The CDFI Fund plans to update guidance materials in FY2020 and will provide a definition of “Public Subsidy”.</w:t>
            </w:r>
          </w:p>
        </w:tc>
      </w:tr>
      <w:tr w:rsidRPr="003434B7" w:rsidR="003434B7" w:rsidTr="003434B7">
        <w:trPr>
          <w:trHeight w:val="1322"/>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4</w:t>
            </w:r>
          </w:p>
        </w:tc>
        <w:tc>
          <w:tcPr>
            <w:tcW w:w="1350"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2/28/2020</w:t>
            </w:r>
          </w:p>
        </w:tc>
        <w:tc>
          <w:tcPr>
            <w:tcW w:w="1576"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Guidance Materials</w:t>
            </w:r>
          </w:p>
        </w:tc>
        <w:tc>
          <w:tcPr>
            <w:tcW w:w="432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Clarity about source of Leverage when there are multiple Leverage Loan sources.</w:t>
            </w:r>
          </w:p>
        </w:tc>
        <w:tc>
          <w:tcPr>
            <w:tcW w:w="5190" w:type="dxa"/>
            <w:tcBorders>
              <w:top w:val="nil"/>
              <w:left w:val="nil"/>
              <w:bottom w:val="single" w:color="auto" w:sz="4" w:space="0"/>
              <w:right w:val="single" w:color="auto" w:sz="8" w:space="0"/>
            </w:tcBorders>
            <w:shd w:val="clear" w:color="auto" w:fill="auto"/>
            <w:hideMark/>
          </w:tcPr>
          <w:p w:rsidR="00165A93" w:rsidP="00165A93" w:rsidRDefault="00165A93">
            <w:pPr>
              <w:rPr>
                <w:iCs/>
                <w:szCs w:val="24"/>
              </w:rPr>
            </w:pPr>
            <w:r>
              <w:rPr>
                <w:iCs/>
                <w:szCs w:val="24"/>
              </w:rPr>
              <w:t>The CDFI Fund plans to update guidance materials in FY2020 and will provide guidance on how to account for multiple sources of “Leverage Loan”.</w:t>
            </w:r>
          </w:p>
          <w:p w:rsidRPr="003434B7" w:rsidR="003434B7" w:rsidP="003434B7" w:rsidRDefault="003434B7">
            <w:pPr>
              <w:rPr>
                <w:color w:val="000000"/>
                <w:szCs w:val="24"/>
              </w:rPr>
            </w:pPr>
          </w:p>
        </w:tc>
      </w:tr>
      <w:tr w:rsidRPr="003434B7" w:rsidR="003434B7" w:rsidTr="003434B7">
        <w:trPr>
          <w:trHeight w:val="2429"/>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5</w:t>
            </w:r>
          </w:p>
        </w:tc>
        <w:tc>
          <w:tcPr>
            <w:tcW w:w="1350"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2/29/2020</w:t>
            </w:r>
          </w:p>
        </w:tc>
        <w:tc>
          <w:tcPr>
            <w:tcW w:w="1576"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3434B7" w:rsidP="003434B7" w:rsidRDefault="003434B7">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Guidance Materials</w:t>
            </w:r>
          </w:p>
        </w:tc>
        <w:tc>
          <w:tcPr>
            <w:tcW w:w="4320" w:type="dxa"/>
            <w:tcBorders>
              <w:top w:val="nil"/>
              <w:left w:val="nil"/>
              <w:bottom w:val="single" w:color="auto" w:sz="4" w:space="0"/>
              <w:right w:val="single" w:color="auto" w:sz="4" w:space="0"/>
            </w:tcBorders>
            <w:shd w:val="clear" w:color="auto" w:fill="auto"/>
            <w:hideMark/>
          </w:tcPr>
          <w:p w:rsidRPr="003434B7" w:rsidR="003434B7" w:rsidP="003434B7" w:rsidRDefault="003434B7">
            <w:pPr>
              <w:rPr>
                <w:color w:val="000000"/>
                <w:szCs w:val="24"/>
              </w:rPr>
            </w:pPr>
            <w:r w:rsidRPr="003434B7">
              <w:rPr>
                <w:color w:val="000000"/>
                <w:szCs w:val="24"/>
              </w:rPr>
              <w:t>Options 2, 3, and 5 reference sources running to the QALICB. Given these are Leverage</w:t>
            </w:r>
            <w:r>
              <w:rPr>
                <w:color w:val="000000"/>
                <w:szCs w:val="24"/>
              </w:rPr>
              <w:t xml:space="preserve"> </w:t>
            </w:r>
            <w:r w:rsidRPr="003434B7">
              <w:rPr>
                <w:color w:val="000000"/>
                <w:szCs w:val="24"/>
              </w:rPr>
              <w:t>Loan sources, does the guidance intend to say “QALICB or QALICB-affiliate” since</w:t>
            </w:r>
            <w:r>
              <w:rPr>
                <w:color w:val="000000"/>
                <w:szCs w:val="24"/>
              </w:rPr>
              <w:t xml:space="preserve"> </w:t>
            </w:r>
            <w:r w:rsidRPr="003434B7">
              <w:rPr>
                <w:color w:val="000000"/>
                <w:szCs w:val="24"/>
              </w:rPr>
              <w:t>sponsors are often the Leverage Lenders on transactions where the QALICB is an SPE</w:t>
            </w:r>
            <w:r>
              <w:rPr>
                <w:color w:val="000000"/>
                <w:szCs w:val="24"/>
              </w:rPr>
              <w:t xml:space="preserve"> </w:t>
            </w:r>
            <w:r w:rsidRPr="003434B7">
              <w:rPr>
                <w:color w:val="000000"/>
                <w:szCs w:val="24"/>
              </w:rPr>
              <w:t>formed by the sponsor?</w:t>
            </w:r>
          </w:p>
        </w:tc>
        <w:tc>
          <w:tcPr>
            <w:tcW w:w="5190" w:type="dxa"/>
            <w:tcBorders>
              <w:top w:val="nil"/>
              <w:left w:val="nil"/>
              <w:bottom w:val="single" w:color="auto" w:sz="4" w:space="0"/>
              <w:right w:val="single" w:color="auto" w:sz="8" w:space="0"/>
            </w:tcBorders>
            <w:shd w:val="clear" w:color="auto" w:fill="auto"/>
            <w:hideMark/>
          </w:tcPr>
          <w:p w:rsidR="00165A93" w:rsidP="00165A93" w:rsidRDefault="00165A93">
            <w:pPr>
              <w:rPr>
                <w:iCs/>
                <w:szCs w:val="24"/>
              </w:rPr>
            </w:pPr>
            <w:r>
              <w:rPr>
                <w:iCs/>
                <w:szCs w:val="24"/>
              </w:rPr>
              <w:t>The CDFI Fund plans to update guidance materials in FY2020 and will clarify if the definition of Leverage Loan sources should include “QALICB” or “QALICB-affiliate”.</w:t>
            </w:r>
          </w:p>
          <w:p w:rsidRPr="003434B7" w:rsidR="003434B7" w:rsidP="003434B7" w:rsidRDefault="003434B7">
            <w:pPr>
              <w:rPr>
                <w:color w:val="000000"/>
                <w:szCs w:val="24"/>
              </w:rPr>
            </w:pPr>
          </w:p>
        </w:tc>
      </w:tr>
    </w:tbl>
    <w:p w:rsidR="003434B7" w:rsidRDefault="003434B7"/>
    <w:p w:rsidR="003434B7" w:rsidRDefault="003434B7"/>
    <w:p w:rsidR="00CB434D" w:rsidRDefault="00CB434D"/>
    <w:p w:rsidRPr="00CB434D" w:rsidR="003434B7" w:rsidP="00CB434D" w:rsidRDefault="00CB434D">
      <w:pPr>
        <w:jc w:val="center"/>
        <w:rPr>
          <w:i/>
        </w:rPr>
      </w:pPr>
      <w:r w:rsidRPr="00CB434D">
        <w:rPr>
          <w:i/>
        </w:rPr>
        <w:lastRenderedPageBreak/>
        <w:t xml:space="preserve">Appendix A. </w:t>
      </w:r>
      <w:proofErr w:type="gramStart"/>
      <w:r w:rsidRPr="00CB434D">
        <w:rPr>
          <w:i/>
        </w:rPr>
        <w:t>AQEI  PRA</w:t>
      </w:r>
      <w:proofErr w:type="gramEnd"/>
      <w:r w:rsidRPr="00CB434D">
        <w:rPr>
          <w:i/>
        </w:rPr>
        <w:t xml:space="preserve"> - Summary of Public Comments and CDFI Fund Responses</w:t>
      </w:r>
    </w:p>
    <w:p w:rsidR="00CB434D" w:rsidP="00CB434D" w:rsidRDefault="00CB434D">
      <w:pPr>
        <w:jc w:val="center"/>
      </w:pPr>
    </w:p>
    <w:tbl>
      <w:tblPr>
        <w:tblW w:w="18320" w:type="dxa"/>
        <w:tblLook w:val="04A0" w:firstRow="1" w:lastRow="0" w:firstColumn="1" w:lastColumn="0" w:noHBand="0" w:noVBand="1"/>
      </w:tblPr>
      <w:tblGrid>
        <w:gridCol w:w="530"/>
        <w:gridCol w:w="1350"/>
        <w:gridCol w:w="1576"/>
        <w:gridCol w:w="1754"/>
        <w:gridCol w:w="2070"/>
        <w:gridCol w:w="1530"/>
        <w:gridCol w:w="4320"/>
        <w:gridCol w:w="5190"/>
      </w:tblGrid>
      <w:tr w:rsidRPr="003434B7" w:rsidR="00CB434D" w:rsidTr="008F4328">
        <w:trPr>
          <w:trHeight w:val="315"/>
        </w:trPr>
        <w:tc>
          <w:tcPr>
            <w:tcW w:w="530" w:type="dxa"/>
            <w:tcBorders>
              <w:top w:val="single" w:color="auto" w:sz="8" w:space="0"/>
              <w:left w:val="single" w:color="auto" w:sz="8" w:space="0"/>
              <w:bottom w:val="single" w:color="auto" w:sz="4" w:space="0"/>
              <w:right w:val="single" w:color="auto" w:sz="4" w:space="0"/>
            </w:tcBorders>
            <w:shd w:val="clear" w:color="000000" w:fill="D9D9D9"/>
            <w:noWrap/>
            <w:hideMark/>
          </w:tcPr>
          <w:p w:rsidRPr="003434B7" w:rsidR="00CB434D" w:rsidP="008F4328" w:rsidRDefault="00CB434D">
            <w:pPr>
              <w:rPr>
                <w:b/>
                <w:bCs/>
                <w:color w:val="000000"/>
                <w:szCs w:val="24"/>
              </w:rPr>
            </w:pPr>
            <w:r w:rsidRPr="003434B7">
              <w:rPr>
                <w:b/>
                <w:bCs/>
                <w:color w:val="000000"/>
                <w:szCs w:val="24"/>
              </w:rPr>
              <w:t>#</w:t>
            </w:r>
          </w:p>
        </w:tc>
        <w:tc>
          <w:tcPr>
            <w:tcW w:w="1350" w:type="dxa"/>
            <w:tcBorders>
              <w:top w:val="single" w:color="auto" w:sz="8" w:space="0"/>
              <w:left w:val="nil"/>
              <w:bottom w:val="single" w:color="auto" w:sz="4" w:space="0"/>
              <w:right w:val="single" w:color="auto" w:sz="4" w:space="0"/>
            </w:tcBorders>
            <w:shd w:val="clear" w:color="000000" w:fill="D9D9D9"/>
            <w:noWrap/>
            <w:vAlign w:val="center"/>
            <w:hideMark/>
          </w:tcPr>
          <w:p w:rsidRPr="003434B7" w:rsidR="00CB434D" w:rsidP="008F4328" w:rsidRDefault="00CB434D">
            <w:pPr>
              <w:rPr>
                <w:b/>
                <w:bCs/>
                <w:color w:val="000000"/>
                <w:szCs w:val="24"/>
              </w:rPr>
            </w:pPr>
            <w:r w:rsidRPr="003434B7">
              <w:rPr>
                <w:b/>
                <w:bCs/>
                <w:color w:val="000000"/>
                <w:szCs w:val="24"/>
              </w:rPr>
              <w:t>Date of Comment</w:t>
            </w:r>
          </w:p>
        </w:tc>
        <w:tc>
          <w:tcPr>
            <w:tcW w:w="1576" w:type="dxa"/>
            <w:tcBorders>
              <w:top w:val="single" w:color="auto" w:sz="8" w:space="0"/>
              <w:left w:val="nil"/>
              <w:bottom w:val="single" w:color="auto" w:sz="4" w:space="0"/>
              <w:right w:val="single" w:color="auto" w:sz="4" w:space="0"/>
            </w:tcBorders>
            <w:shd w:val="clear" w:color="000000" w:fill="D9D9D9"/>
            <w:vAlign w:val="center"/>
            <w:hideMark/>
          </w:tcPr>
          <w:p w:rsidRPr="003434B7" w:rsidR="00CB434D" w:rsidP="008F4328" w:rsidRDefault="00CB434D">
            <w:pPr>
              <w:rPr>
                <w:b/>
                <w:bCs/>
                <w:color w:val="000000"/>
                <w:szCs w:val="24"/>
              </w:rPr>
            </w:pPr>
            <w:r w:rsidRPr="003434B7">
              <w:rPr>
                <w:b/>
                <w:bCs/>
                <w:color w:val="000000"/>
                <w:szCs w:val="24"/>
              </w:rPr>
              <w:t>Organization</w:t>
            </w:r>
          </w:p>
        </w:tc>
        <w:tc>
          <w:tcPr>
            <w:tcW w:w="1754" w:type="dxa"/>
            <w:tcBorders>
              <w:top w:val="single" w:color="auto" w:sz="8" w:space="0"/>
              <w:left w:val="nil"/>
              <w:bottom w:val="single" w:color="auto" w:sz="4" w:space="0"/>
              <w:right w:val="single" w:color="auto" w:sz="4" w:space="0"/>
            </w:tcBorders>
            <w:shd w:val="clear" w:color="000000" w:fill="D9D9D9"/>
            <w:noWrap/>
            <w:vAlign w:val="center"/>
            <w:hideMark/>
          </w:tcPr>
          <w:p w:rsidRPr="003434B7" w:rsidR="00CB434D" w:rsidP="008F4328" w:rsidRDefault="00CB434D">
            <w:pPr>
              <w:rPr>
                <w:b/>
                <w:bCs/>
                <w:color w:val="000000"/>
                <w:szCs w:val="24"/>
              </w:rPr>
            </w:pPr>
            <w:r w:rsidRPr="003434B7">
              <w:rPr>
                <w:b/>
                <w:bCs/>
                <w:color w:val="000000"/>
                <w:szCs w:val="24"/>
              </w:rPr>
              <w:t>Author Name</w:t>
            </w:r>
          </w:p>
        </w:tc>
        <w:tc>
          <w:tcPr>
            <w:tcW w:w="2070" w:type="dxa"/>
            <w:tcBorders>
              <w:top w:val="single" w:color="auto" w:sz="8" w:space="0"/>
              <w:left w:val="nil"/>
              <w:bottom w:val="single" w:color="auto" w:sz="4" w:space="0"/>
              <w:right w:val="single" w:color="auto" w:sz="4" w:space="0"/>
            </w:tcBorders>
            <w:shd w:val="clear" w:color="000000" w:fill="D9D9D9"/>
            <w:vAlign w:val="center"/>
            <w:hideMark/>
          </w:tcPr>
          <w:p w:rsidRPr="003434B7" w:rsidR="00CB434D" w:rsidP="008F4328" w:rsidRDefault="00CB434D">
            <w:pPr>
              <w:rPr>
                <w:b/>
                <w:bCs/>
                <w:color w:val="000000"/>
                <w:szCs w:val="24"/>
              </w:rPr>
            </w:pPr>
            <w:r w:rsidRPr="003434B7">
              <w:rPr>
                <w:b/>
                <w:bCs/>
                <w:color w:val="000000"/>
                <w:szCs w:val="24"/>
              </w:rPr>
              <w:t>Author Position</w:t>
            </w:r>
          </w:p>
        </w:tc>
        <w:tc>
          <w:tcPr>
            <w:tcW w:w="1530" w:type="dxa"/>
            <w:tcBorders>
              <w:top w:val="single" w:color="auto" w:sz="8" w:space="0"/>
              <w:left w:val="nil"/>
              <w:bottom w:val="single" w:color="auto" w:sz="4" w:space="0"/>
              <w:right w:val="single" w:color="auto" w:sz="4" w:space="0"/>
            </w:tcBorders>
            <w:shd w:val="clear" w:color="000000" w:fill="D9D9D9"/>
            <w:vAlign w:val="center"/>
            <w:hideMark/>
          </w:tcPr>
          <w:p w:rsidRPr="003434B7" w:rsidR="00CB434D" w:rsidP="008F4328" w:rsidRDefault="00CB434D">
            <w:pPr>
              <w:jc w:val="center"/>
              <w:rPr>
                <w:b/>
                <w:bCs/>
                <w:color w:val="000000"/>
                <w:szCs w:val="24"/>
              </w:rPr>
            </w:pPr>
            <w:r w:rsidRPr="003434B7">
              <w:rPr>
                <w:b/>
                <w:bCs/>
                <w:color w:val="000000"/>
                <w:szCs w:val="24"/>
              </w:rPr>
              <w:t>Category</w:t>
            </w:r>
          </w:p>
        </w:tc>
        <w:tc>
          <w:tcPr>
            <w:tcW w:w="4320" w:type="dxa"/>
            <w:tcBorders>
              <w:top w:val="single" w:color="auto" w:sz="8" w:space="0"/>
              <w:left w:val="nil"/>
              <w:bottom w:val="single" w:color="auto" w:sz="4" w:space="0"/>
              <w:right w:val="single" w:color="auto" w:sz="4" w:space="0"/>
            </w:tcBorders>
            <w:shd w:val="clear" w:color="000000" w:fill="D9D9D9"/>
            <w:vAlign w:val="center"/>
            <w:hideMark/>
          </w:tcPr>
          <w:p w:rsidRPr="003434B7" w:rsidR="00CB434D" w:rsidP="008F4328" w:rsidRDefault="00CB434D">
            <w:pPr>
              <w:rPr>
                <w:b/>
                <w:bCs/>
                <w:color w:val="000000"/>
                <w:szCs w:val="24"/>
              </w:rPr>
            </w:pPr>
            <w:r w:rsidRPr="003434B7">
              <w:rPr>
                <w:b/>
                <w:bCs/>
                <w:color w:val="000000"/>
                <w:szCs w:val="24"/>
              </w:rPr>
              <w:t>Comment</w:t>
            </w:r>
          </w:p>
        </w:tc>
        <w:tc>
          <w:tcPr>
            <w:tcW w:w="5190" w:type="dxa"/>
            <w:tcBorders>
              <w:top w:val="single" w:color="auto" w:sz="8" w:space="0"/>
              <w:left w:val="nil"/>
              <w:bottom w:val="single" w:color="auto" w:sz="4" w:space="0"/>
              <w:right w:val="single" w:color="auto" w:sz="8" w:space="0"/>
            </w:tcBorders>
            <w:shd w:val="clear" w:color="000000" w:fill="D9D9D9"/>
            <w:vAlign w:val="center"/>
            <w:hideMark/>
          </w:tcPr>
          <w:p w:rsidRPr="003434B7" w:rsidR="00CB434D" w:rsidP="008F4328" w:rsidRDefault="00CB434D">
            <w:pPr>
              <w:rPr>
                <w:b/>
                <w:bCs/>
                <w:color w:val="000000"/>
                <w:szCs w:val="24"/>
              </w:rPr>
            </w:pPr>
            <w:r w:rsidRPr="003434B7">
              <w:rPr>
                <w:b/>
                <w:bCs/>
                <w:color w:val="000000"/>
                <w:szCs w:val="24"/>
              </w:rPr>
              <w:t>CCME Team Response</w:t>
            </w:r>
          </w:p>
        </w:tc>
      </w:tr>
      <w:tr w:rsidRPr="003434B7" w:rsidR="00CB434D" w:rsidTr="008F4328">
        <w:trPr>
          <w:trHeight w:val="945"/>
        </w:trPr>
        <w:tc>
          <w:tcPr>
            <w:tcW w:w="530" w:type="dxa"/>
            <w:tcBorders>
              <w:top w:val="nil"/>
              <w:left w:val="single" w:color="auto" w:sz="8" w:space="0"/>
              <w:bottom w:val="single" w:color="auto" w:sz="4" w:space="0"/>
              <w:right w:val="single" w:color="auto" w:sz="4" w:space="0"/>
            </w:tcBorders>
            <w:shd w:val="clear" w:color="auto" w:fill="auto"/>
            <w:noWrap/>
            <w:hideMark/>
          </w:tcPr>
          <w:p w:rsidRPr="003434B7" w:rsidR="00CB434D" w:rsidP="00CB434D" w:rsidRDefault="00CB434D">
            <w:pPr>
              <w:rPr>
                <w:color w:val="000000"/>
                <w:szCs w:val="24"/>
              </w:rPr>
            </w:pPr>
            <w:r w:rsidRPr="003434B7">
              <w:rPr>
                <w:color w:val="000000"/>
                <w:szCs w:val="24"/>
              </w:rPr>
              <w:t>6</w:t>
            </w:r>
          </w:p>
        </w:tc>
        <w:tc>
          <w:tcPr>
            <w:tcW w:w="1350" w:type="dxa"/>
            <w:tcBorders>
              <w:top w:val="nil"/>
              <w:left w:val="nil"/>
              <w:bottom w:val="single" w:color="auto" w:sz="4" w:space="0"/>
              <w:right w:val="single" w:color="auto" w:sz="4" w:space="0"/>
            </w:tcBorders>
            <w:shd w:val="clear" w:color="auto" w:fill="auto"/>
            <w:noWrap/>
            <w:hideMark/>
          </w:tcPr>
          <w:p w:rsidRPr="003434B7" w:rsidR="00CB434D" w:rsidP="00CB434D" w:rsidRDefault="00CB434D">
            <w:pPr>
              <w:rPr>
                <w:color w:val="000000"/>
                <w:szCs w:val="24"/>
              </w:rPr>
            </w:pPr>
            <w:r w:rsidRPr="003434B7">
              <w:rPr>
                <w:color w:val="000000"/>
                <w:szCs w:val="24"/>
              </w:rPr>
              <w:t>3/1/2020</w:t>
            </w:r>
          </w:p>
        </w:tc>
        <w:tc>
          <w:tcPr>
            <w:tcW w:w="1576" w:type="dxa"/>
            <w:tcBorders>
              <w:top w:val="nil"/>
              <w:left w:val="nil"/>
              <w:bottom w:val="single" w:color="auto" w:sz="4" w:space="0"/>
              <w:right w:val="single" w:color="auto" w:sz="4" w:space="0"/>
            </w:tcBorders>
            <w:shd w:val="clear" w:color="auto" w:fill="auto"/>
            <w:hideMark/>
          </w:tcPr>
          <w:p w:rsidRPr="003434B7" w:rsidR="00CB434D" w:rsidP="00CB434D" w:rsidRDefault="00CB434D">
            <w:pPr>
              <w:rPr>
                <w:color w:val="000000"/>
                <w:szCs w:val="24"/>
              </w:rPr>
            </w:pPr>
            <w:r w:rsidRPr="003434B7">
              <w:rPr>
                <w:color w:val="000000"/>
                <w:szCs w:val="24"/>
              </w:rPr>
              <w:t>LIIF</w:t>
            </w:r>
          </w:p>
        </w:tc>
        <w:tc>
          <w:tcPr>
            <w:tcW w:w="1754" w:type="dxa"/>
            <w:tcBorders>
              <w:top w:val="nil"/>
              <w:left w:val="nil"/>
              <w:bottom w:val="single" w:color="auto" w:sz="4" w:space="0"/>
              <w:right w:val="single" w:color="auto" w:sz="4" w:space="0"/>
            </w:tcBorders>
            <w:shd w:val="clear" w:color="auto" w:fill="auto"/>
            <w:noWrap/>
            <w:hideMark/>
          </w:tcPr>
          <w:p w:rsidRPr="003434B7" w:rsidR="00CB434D" w:rsidP="00CB434D" w:rsidRDefault="00CB434D">
            <w:pPr>
              <w:rPr>
                <w:color w:val="000000"/>
                <w:szCs w:val="24"/>
              </w:rPr>
            </w:pPr>
            <w:r w:rsidRPr="003434B7">
              <w:rPr>
                <w:color w:val="000000"/>
                <w:szCs w:val="24"/>
              </w:rPr>
              <w:t>Amy Laughlin</w:t>
            </w:r>
          </w:p>
        </w:tc>
        <w:tc>
          <w:tcPr>
            <w:tcW w:w="2070" w:type="dxa"/>
            <w:tcBorders>
              <w:top w:val="nil"/>
              <w:left w:val="nil"/>
              <w:bottom w:val="single" w:color="auto" w:sz="4" w:space="0"/>
              <w:right w:val="single" w:color="auto" w:sz="4" w:space="0"/>
            </w:tcBorders>
            <w:shd w:val="clear" w:color="auto" w:fill="auto"/>
            <w:hideMark/>
          </w:tcPr>
          <w:p w:rsidRPr="003434B7" w:rsidR="00CB434D" w:rsidP="00CB434D" w:rsidRDefault="00CB434D">
            <w:pPr>
              <w:rPr>
                <w:color w:val="000000"/>
                <w:szCs w:val="24"/>
              </w:rPr>
            </w:pPr>
            <w:r w:rsidRPr="003434B7">
              <w:rPr>
                <w:color w:val="000000"/>
                <w:szCs w:val="24"/>
              </w:rPr>
              <w:t>VP, Structured Products and Capital Markets</w:t>
            </w:r>
          </w:p>
        </w:tc>
        <w:tc>
          <w:tcPr>
            <w:tcW w:w="1530" w:type="dxa"/>
            <w:tcBorders>
              <w:top w:val="nil"/>
              <w:left w:val="nil"/>
              <w:bottom w:val="single" w:color="auto" w:sz="4" w:space="0"/>
              <w:right w:val="single" w:color="auto" w:sz="4" w:space="0"/>
            </w:tcBorders>
            <w:shd w:val="clear" w:color="auto" w:fill="auto"/>
            <w:hideMark/>
          </w:tcPr>
          <w:p w:rsidRPr="003434B7" w:rsidR="00CB434D" w:rsidP="00CB434D" w:rsidRDefault="00CB434D">
            <w:pPr>
              <w:rPr>
                <w:color w:val="000000"/>
                <w:szCs w:val="24"/>
              </w:rPr>
            </w:pPr>
            <w:r w:rsidRPr="003434B7">
              <w:rPr>
                <w:color w:val="000000"/>
                <w:szCs w:val="24"/>
              </w:rPr>
              <w:t>Guidance Materials</w:t>
            </w:r>
          </w:p>
        </w:tc>
        <w:tc>
          <w:tcPr>
            <w:tcW w:w="4320" w:type="dxa"/>
            <w:tcBorders>
              <w:top w:val="nil"/>
              <w:left w:val="nil"/>
              <w:bottom w:val="single" w:color="auto" w:sz="4" w:space="0"/>
              <w:right w:val="single" w:color="auto" w:sz="4" w:space="0"/>
            </w:tcBorders>
            <w:shd w:val="clear" w:color="auto" w:fill="auto"/>
            <w:hideMark/>
          </w:tcPr>
          <w:p w:rsidRPr="003434B7" w:rsidR="00CB434D" w:rsidP="006359B2" w:rsidRDefault="00CB434D">
            <w:pPr>
              <w:rPr>
                <w:color w:val="000000"/>
                <w:szCs w:val="24"/>
              </w:rPr>
            </w:pPr>
            <w:r w:rsidRPr="003434B7">
              <w:rPr>
                <w:color w:val="000000"/>
                <w:szCs w:val="24"/>
              </w:rPr>
              <w:t>References in Paragraph 4.1 to pass-through entities and the implications on Tier 2+ Investor reporting: In those circumstance when the Leverage Lender is not a “partner and/or member” of a Tier 1 Investor with a pass-through structure, the guidance seems to indicate that the Leverage Lender would not be a Tier 2 Investor (per the definition of “Tier 2+ Investors”). However, all other indications are that Leverage Lender information is required even when this particular Tier 2 Investor is not a “partner and/or member” of the Tier 1 Investor. Further clarity in the guidance on this issue would be helpful.</w:t>
            </w:r>
          </w:p>
        </w:tc>
        <w:tc>
          <w:tcPr>
            <w:tcW w:w="5190" w:type="dxa"/>
            <w:tcBorders>
              <w:top w:val="nil"/>
              <w:left w:val="nil"/>
              <w:bottom w:val="single" w:color="auto" w:sz="4" w:space="0"/>
              <w:right w:val="single" w:color="auto" w:sz="8" w:space="0"/>
            </w:tcBorders>
            <w:shd w:val="clear" w:color="auto" w:fill="auto"/>
            <w:hideMark/>
          </w:tcPr>
          <w:p w:rsidR="00165A93" w:rsidP="00165A93" w:rsidRDefault="00165A93">
            <w:pPr>
              <w:rPr>
                <w:iCs/>
                <w:szCs w:val="24"/>
              </w:rPr>
            </w:pPr>
            <w:r>
              <w:rPr>
                <w:iCs/>
                <w:szCs w:val="24"/>
              </w:rPr>
              <w:t>The CDFI Fund plans to update guidanc</w:t>
            </w:r>
            <w:r>
              <w:rPr>
                <w:iCs/>
                <w:szCs w:val="24"/>
              </w:rPr>
              <w:t>e materials in FY2020 and will</w:t>
            </w:r>
            <w:r>
              <w:rPr>
                <w:color w:val="000000"/>
                <w:szCs w:val="24"/>
              </w:rPr>
              <w:t xml:space="preserve"> clarify the </w:t>
            </w:r>
            <w:r w:rsidRPr="003434B7">
              <w:rPr>
                <w:color w:val="000000"/>
                <w:szCs w:val="24"/>
              </w:rPr>
              <w:t xml:space="preserve">implications </w:t>
            </w:r>
            <w:r>
              <w:rPr>
                <w:color w:val="000000"/>
                <w:szCs w:val="24"/>
              </w:rPr>
              <w:t>of</w:t>
            </w:r>
            <w:r w:rsidRPr="003434B7">
              <w:rPr>
                <w:color w:val="000000"/>
                <w:szCs w:val="24"/>
              </w:rPr>
              <w:t xml:space="preserve"> </w:t>
            </w:r>
            <w:r>
              <w:rPr>
                <w:color w:val="000000"/>
                <w:szCs w:val="24"/>
              </w:rPr>
              <w:t>“</w:t>
            </w:r>
            <w:r w:rsidRPr="003434B7">
              <w:rPr>
                <w:color w:val="000000"/>
                <w:szCs w:val="24"/>
              </w:rPr>
              <w:t>Tier 2+ Investor</w:t>
            </w:r>
            <w:r>
              <w:rPr>
                <w:color w:val="000000"/>
                <w:szCs w:val="24"/>
              </w:rPr>
              <w:t>”</w:t>
            </w:r>
            <w:r w:rsidRPr="003434B7">
              <w:rPr>
                <w:color w:val="000000"/>
                <w:szCs w:val="24"/>
              </w:rPr>
              <w:t xml:space="preserve"> reporting</w:t>
            </w:r>
            <w:r>
              <w:rPr>
                <w:color w:val="000000"/>
                <w:szCs w:val="24"/>
              </w:rPr>
              <w:t xml:space="preserve"> on </w:t>
            </w:r>
            <w:r w:rsidRPr="003434B7">
              <w:rPr>
                <w:color w:val="000000"/>
                <w:szCs w:val="24"/>
              </w:rPr>
              <w:t>Leverage Lender information</w:t>
            </w:r>
            <w:r>
              <w:rPr>
                <w:color w:val="000000"/>
                <w:szCs w:val="24"/>
              </w:rPr>
              <w:t>.</w:t>
            </w:r>
          </w:p>
          <w:p w:rsidRPr="003434B7" w:rsidR="00CB434D" w:rsidP="00CB434D" w:rsidRDefault="00CB434D">
            <w:pPr>
              <w:rPr>
                <w:color w:val="000000"/>
                <w:szCs w:val="24"/>
              </w:rPr>
            </w:pPr>
            <w:bookmarkStart w:name="_GoBack" w:id="0"/>
            <w:bookmarkEnd w:id="0"/>
          </w:p>
        </w:tc>
      </w:tr>
    </w:tbl>
    <w:p w:rsidR="003434B7" w:rsidRDefault="003434B7"/>
    <w:p w:rsidR="003434B7" w:rsidRDefault="003434B7"/>
    <w:sectPr w:rsidR="003434B7" w:rsidSect="003434B7">
      <w:pgSz w:w="20160" w:h="12240" w:orient="landscape" w:code="5"/>
      <w:pgMar w:top="1440" w:right="1296"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8B" w:rsidRDefault="00BE398B">
      <w:r>
        <w:separator/>
      </w:r>
    </w:p>
  </w:endnote>
  <w:endnote w:type="continuationSeparator" w:id="0">
    <w:p w:rsidR="00BE398B" w:rsidRDefault="00BE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4A42D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A93">
      <w:rPr>
        <w:rStyle w:val="PageNumber"/>
        <w:noProof/>
      </w:rPr>
      <w:t>5</w:t>
    </w:r>
    <w:r>
      <w:rPr>
        <w:rStyle w:val="PageNumber"/>
      </w:rPr>
      <w:fldChar w:fldCharType="end"/>
    </w:r>
  </w:p>
  <w:p w:rsidR="004A42D0" w:rsidRPr="003B52E2" w:rsidRDefault="003B52E2">
    <w:pPr>
      <w:pStyle w:val="Footer"/>
      <w:rPr>
        <w:rFonts w:ascii="Arial Narrow" w:hAnsi="Arial Narrow" w:cs="Arial"/>
        <w:sz w:val="18"/>
        <w:szCs w:val="18"/>
      </w:rPr>
    </w:pPr>
    <w:r w:rsidRPr="003B52E2">
      <w:rPr>
        <w:rFonts w:ascii="Arial Narrow" w:hAnsi="Arial Narrow" w:cs="Arial"/>
        <w:sz w:val="18"/>
        <w:szCs w:val="18"/>
      </w:rPr>
      <w:t>#1559-0024 – REV</w:t>
    </w:r>
    <w:r w:rsidR="009F546F">
      <w:rPr>
        <w:rFonts w:ascii="Arial Narrow" w:hAnsi="Arial Narrow" w:cs="Arial"/>
        <w:sz w:val="18"/>
        <w:szCs w:val="18"/>
      </w:rPr>
      <w:t xml:space="preserve"> 02/20</w:t>
    </w:r>
    <w:r w:rsidRPr="003B52E2">
      <w:rPr>
        <w:rFonts w:ascii="Arial Narrow" w:hAnsi="Arial Narrow" w:cs="Arial"/>
        <w:sz w:val="18"/>
        <w:szCs w:val="18"/>
      </w:rPr>
      <w:t>/20</w:t>
    </w:r>
    <w:r w:rsidR="009F546F">
      <w:rPr>
        <w:rFonts w:ascii="Arial Narrow" w:hAnsi="Arial Narrow" w:cs="Arial"/>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8B" w:rsidRDefault="00BE398B">
      <w:r>
        <w:separator/>
      </w:r>
    </w:p>
  </w:footnote>
  <w:footnote w:type="continuationSeparator" w:id="0">
    <w:p w:rsidR="00BE398B" w:rsidRDefault="00BE398B">
      <w:r>
        <w:continuationSeparator/>
      </w:r>
    </w:p>
  </w:footnote>
  <w:footnote w:id="1">
    <w:p w:rsidR="00FD2882" w:rsidRDefault="00FD2882" w:rsidP="00FD2882">
      <w:pPr>
        <w:pStyle w:val="FootnoteText"/>
      </w:pPr>
      <w:r>
        <w:rPr>
          <w:rStyle w:val="FootnoteReference"/>
        </w:rPr>
        <w:footnoteRef/>
      </w:r>
      <w:r>
        <w:t xml:space="preserve"> </w:t>
      </w:r>
      <w:r w:rsidRPr="00E74D4A">
        <w:t>https://www.bls.gov/news.release/ecec.t04.htm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4A42D0">
    <w:pPr>
      <w:pStyle w:val="Header"/>
      <w:jc w:val="center"/>
    </w:pPr>
    <w:r>
      <w:t>Community Development Financial Institutions Fund, Department of the Treasury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61D1"/>
    <w:multiLevelType w:val="hybridMultilevel"/>
    <w:tmpl w:val="E746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2" w15:restartNumberingAfterBreak="0">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3A8162B"/>
    <w:multiLevelType w:val="hybridMultilevel"/>
    <w:tmpl w:val="3184E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354D8"/>
    <w:multiLevelType w:val="hybridMultilevel"/>
    <w:tmpl w:val="72209934"/>
    <w:lvl w:ilvl="0" w:tplc="85801E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452651"/>
    <w:multiLevelType w:val="hybridMultilevel"/>
    <w:tmpl w:val="CBE8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0"/>
    <w:rsid w:val="000269E5"/>
    <w:rsid w:val="000603F0"/>
    <w:rsid w:val="00061089"/>
    <w:rsid w:val="00077642"/>
    <w:rsid w:val="0008650B"/>
    <w:rsid w:val="000903F6"/>
    <w:rsid w:val="000E3064"/>
    <w:rsid w:val="00102590"/>
    <w:rsid w:val="00165A93"/>
    <w:rsid w:val="001752FA"/>
    <w:rsid w:val="001D155C"/>
    <w:rsid w:val="001E0B13"/>
    <w:rsid w:val="001E7F1B"/>
    <w:rsid w:val="00200C8A"/>
    <w:rsid w:val="002071FB"/>
    <w:rsid w:val="00214937"/>
    <w:rsid w:val="00215874"/>
    <w:rsid w:val="0024794A"/>
    <w:rsid w:val="00262F5D"/>
    <w:rsid w:val="00264A1C"/>
    <w:rsid w:val="0027536F"/>
    <w:rsid w:val="002858AA"/>
    <w:rsid w:val="0030731E"/>
    <w:rsid w:val="003246D1"/>
    <w:rsid w:val="003401A4"/>
    <w:rsid w:val="003434B7"/>
    <w:rsid w:val="00345A6C"/>
    <w:rsid w:val="0035716F"/>
    <w:rsid w:val="00362D2C"/>
    <w:rsid w:val="003802E6"/>
    <w:rsid w:val="00387744"/>
    <w:rsid w:val="00392338"/>
    <w:rsid w:val="00396E0D"/>
    <w:rsid w:val="003B52E2"/>
    <w:rsid w:val="003C79C5"/>
    <w:rsid w:val="003D2E93"/>
    <w:rsid w:val="004A1442"/>
    <w:rsid w:val="004A42D0"/>
    <w:rsid w:val="004C58B5"/>
    <w:rsid w:val="004D15E7"/>
    <w:rsid w:val="004D7C8F"/>
    <w:rsid w:val="004F13E5"/>
    <w:rsid w:val="00524C94"/>
    <w:rsid w:val="00532AF2"/>
    <w:rsid w:val="00540004"/>
    <w:rsid w:val="00555E83"/>
    <w:rsid w:val="00562788"/>
    <w:rsid w:val="005872E4"/>
    <w:rsid w:val="005A5090"/>
    <w:rsid w:val="005D2320"/>
    <w:rsid w:val="005D4DC6"/>
    <w:rsid w:val="005E093E"/>
    <w:rsid w:val="005E795B"/>
    <w:rsid w:val="00620A20"/>
    <w:rsid w:val="006359B2"/>
    <w:rsid w:val="00647563"/>
    <w:rsid w:val="0066237E"/>
    <w:rsid w:val="00670A21"/>
    <w:rsid w:val="0069065B"/>
    <w:rsid w:val="00696DFF"/>
    <w:rsid w:val="0069730D"/>
    <w:rsid w:val="006B07C2"/>
    <w:rsid w:val="006E2FF5"/>
    <w:rsid w:val="006E7382"/>
    <w:rsid w:val="006F0FD9"/>
    <w:rsid w:val="006F54AA"/>
    <w:rsid w:val="00701E14"/>
    <w:rsid w:val="0071312C"/>
    <w:rsid w:val="00716CA6"/>
    <w:rsid w:val="00753903"/>
    <w:rsid w:val="00756135"/>
    <w:rsid w:val="00765735"/>
    <w:rsid w:val="00771431"/>
    <w:rsid w:val="00782181"/>
    <w:rsid w:val="00785953"/>
    <w:rsid w:val="00787DF8"/>
    <w:rsid w:val="00793BE0"/>
    <w:rsid w:val="007C076B"/>
    <w:rsid w:val="007D4BA7"/>
    <w:rsid w:val="008001C8"/>
    <w:rsid w:val="00802241"/>
    <w:rsid w:val="008173F0"/>
    <w:rsid w:val="008319AC"/>
    <w:rsid w:val="00852A8D"/>
    <w:rsid w:val="008759A1"/>
    <w:rsid w:val="00882983"/>
    <w:rsid w:val="008A32E7"/>
    <w:rsid w:val="008B0263"/>
    <w:rsid w:val="008B0D50"/>
    <w:rsid w:val="008C0F65"/>
    <w:rsid w:val="008E56F6"/>
    <w:rsid w:val="008F18A7"/>
    <w:rsid w:val="008F477F"/>
    <w:rsid w:val="00904513"/>
    <w:rsid w:val="00947374"/>
    <w:rsid w:val="00957235"/>
    <w:rsid w:val="0096511F"/>
    <w:rsid w:val="00970D4C"/>
    <w:rsid w:val="00981F63"/>
    <w:rsid w:val="009827EC"/>
    <w:rsid w:val="009A1401"/>
    <w:rsid w:val="009C522A"/>
    <w:rsid w:val="009D4B81"/>
    <w:rsid w:val="009F3434"/>
    <w:rsid w:val="009F546F"/>
    <w:rsid w:val="00A05B17"/>
    <w:rsid w:val="00A05F94"/>
    <w:rsid w:val="00A2412E"/>
    <w:rsid w:val="00A46493"/>
    <w:rsid w:val="00A57B69"/>
    <w:rsid w:val="00AC2FAD"/>
    <w:rsid w:val="00AD51B7"/>
    <w:rsid w:val="00B21C06"/>
    <w:rsid w:val="00B30098"/>
    <w:rsid w:val="00B31E1F"/>
    <w:rsid w:val="00B320BD"/>
    <w:rsid w:val="00B37686"/>
    <w:rsid w:val="00B4598B"/>
    <w:rsid w:val="00B83507"/>
    <w:rsid w:val="00B83A5B"/>
    <w:rsid w:val="00B8511A"/>
    <w:rsid w:val="00BA3EA4"/>
    <w:rsid w:val="00BB0547"/>
    <w:rsid w:val="00BC5497"/>
    <w:rsid w:val="00BD201F"/>
    <w:rsid w:val="00BE398B"/>
    <w:rsid w:val="00BF02A3"/>
    <w:rsid w:val="00C10D2E"/>
    <w:rsid w:val="00C327C4"/>
    <w:rsid w:val="00C40628"/>
    <w:rsid w:val="00C4574F"/>
    <w:rsid w:val="00C550A5"/>
    <w:rsid w:val="00C70E71"/>
    <w:rsid w:val="00CB434D"/>
    <w:rsid w:val="00CB5C0E"/>
    <w:rsid w:val="00CC1B51"/>
    <w:rsid w:val="00CD5E06"/>
    <w:rsid w:val="00CE05A9"/>
    <w:rsid w:val="00CF1BD4"/>
    <w:rsid w:val="00D02918"/>
    <w:rsid w:val="00D06087"/>
    <w:rsid w:val="00D139A2"/>
    <w:rsid w:val="00D27F73"/>
    <w:rsid w:val="00D4381A"/>
    <w:rsid w:val="00DA5546"/>
    <w:rsid w:val="00DB3EE1"/>
    <w:rsid w:val="00E13120"/>
    <w:rsid w:val="00E32D15"/>
    <w:rsid w:val="00E44702"/>
    <w:rsid w:val="00E7191F"/>
    <w:rsid w:val="00F10B96"/>
    <w:rsid w:val="00F2782A"/>
    <w:rsid w:val="00F52B2D"/>
    <w:rsid w:val="00F55E4D"/>
    <w:rsid w:val="00F66E1F"/>
    <w:rsid w:val="00F83419"/>
    <w:rsid w:val="00F84D57"/>
    <w:rsid w:val="00FA3399"/>
    <w:rsid w:val="00FC2C26"/>
    <w:rsid w:val="00FD2882"/>
    <w:rsid w:val="00FD3044"/>
    <w:rsid w:val="00FF3EE1"/>
    <w:rsid w:val="00FF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1E0E9"/>
  <w15:docId w15:val="{E643D7AF-91A6-473A-94FC-43B442B9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4D"/>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60" w:after="6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customStyle="1" w:styleId="Default">
    <w:name w:val="Default"/>
    <w:pPr>
      <w:autoSpaceDE w:val="0"/>
      <w:autoSpaceDN w:val="0"/>
      <w:adjustRightInd w:val="0"/>
    </w:pPr>
    <w:rPr>
      <w:rFonts w:ascii="Arial" w:hAnsi="Arial" w:cs="Arial"/>
    </w:rPr>
  </w:style>
  <w:style w:type="character" w:styleId="CommentReference">
    <w:name w:val="annotation reference"/>
    <w:basedOn w:val="DefaultParagraphFont"/>
    <w:semiHidden/>
    <w:rsid w:val="00B8511A"/>
    <w:rPr>
      <w:sz w:val="16"/>
      <w:szCs w:val="16"/>
    </w:rPr>
  </w:style>
  <w:style w:type="paragraph" w:styleId="CommentText">
    <w:name w:val="annotation text"/>
    <w:basedOn w:val="Normal"/>
    <w:semiHidden/>
    <w:rsid w:val="00B8511A"/>
    <w:rPr>
      <w:sz w:val="20"/>
    </w:rPr>
  </w:style>
  <w:style w:type="paragraph" w:styleId="CommentSubject">
    <w:name w:val="annotation subject"/>
    <w:basedOn w:val="CommentText"/>
    <w:next w:val="CommentText"/>
    <w:semiHidden/>
    <w:rsid w:val="00B8511A"/>
    <w:rPr>
      <w:b/>
      <w:bCs/>
    </w:rPr>
  </w:style>
  <w:style w:type="paragraph" w:styleId="BalloonText">
    <w:name w:val="Balloon Text"/>
    <w:basedOn w:val="Normal"/>
    <w:semiHidden/>
    <w:rsid w:val="00B8511A"/>
    <w:rPr>
      <w:rFonts w:ascii="Tahoma" w:hAnsi="Tahoma" w:cs="Tahoma"/>
      <w:sz w:val="16"/>
      <w:szCs w:val="16"/>
    </w:rPr>
  </w:style>
  <w:style w:type="table" w:styleId="TableGrid">
    <w:name w:val="Table Grid"/>
    <w:basedOn w:val="TableNormal"/>
    <w:uiPriority w:val="39"/>
    <w:rsid w:val="00E4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1F"/>
    <w:pPr>
      <w:ind w:left="720"/>
      <w:contextualSpacing/>
    </w:pPr>
  </w:style>
  <w:style w:type="paragraph" w:styleId="Revision">
    <w:name w:val="Revision"/>
    <w:hidden/>
    <w:uiPriority w:val="99"/>
    <w:semiHidden/>
    <w:rsid w:val="00756135"/>
    <w:rPr>
      <w:sz w:val="24"/>
    </w:rPr>
  </w:style>
  <w:style w:type="paragraph" w:styleId="FootnoteText">
    <w:name w:val="footnote text"/>
    <w:basedOn w:val="Normal"/>
    <w:link w:val="FootnoteTextChar"/>
    <w:semiHidden/>
    <w:unhideWhenUsed/>
    <w:rsid w:val="003D2E93"/>
    <w:rPr>
      <w:sz w:val="20"/>
    </w:rPr>
  </w:style>
  <w:style w:type="character" w:customStyle="1" w:styleId="FootnoteTextChar">
    <w:name w:val="Footnote Text Char"/>
    <w:basedOn w:val="DefaultParagraphFont"/>
    <w:link w:val="FootnoteText"/>
    <w:semiHidden/>
    <w:rsid w:val="003D2E93"/>
  </w:style>
  <w:style w:type="character" w:styleId="FootnoteReference">
    <w:name w:val="footnote reference"/>
    <w:basedOn w:val="DefaultParagraphFont"/>
    <w:semiHidden/>
    <w:unhideWhenUsed/>
    <w:rsid w:val="003D2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46511">
      <w:bodyDiv w:val="1"/>
      <w:marLeft w:val="0"/>
      <w:marRight w:val="0"/>
      <w:marTop w:val="0"/>
      <w:marBottom w:val="0"/>
      <w:divBdr>
        <w:top w:val="none" w:sz="0" w:space="0" w:color="auto"/>
        <w:left w:val="none" w:sz="0" w:space="0" w:color="auto"/>
        <w:bottom w:val="none" w:sz="0" w:space="0" w:color="auto"/>
        <w:right w:val="none" w:sz="0" w:space="0" w:color="auto"/>
      </w:divBdr>
    </w:div>
    <w:div w:id="945890767">
      <w:bodyDiv w:val="1"/>
      <w:marLeft w:val="0"/>
      <w:marRight w:val="0"/>
      <w:marTop w:val="0"/>
      <w:marBottom w:val="0"/>
      <w:divBdr>
        <w:top w:val="none" w:sz="0" w:space="0" w:color="auto"/>
        <w:left w:val="none" w:sz="0" w:space="0" w:color="auto"/>
        <w:bottom w:val="none" w:sz="0" w:space="0" w:color="auto"/>
        <w:right w:val="none" w:sz="0" w:space="0" w:color="auto"/>
      </w:divBdr>
    </w:div>
    <w:div w:id="1246572408">
      <w:bodyDiv w:val="1"/>
      <w:marLeft w:val="0"/>
      <w:marRight w:val="0"/>
      <w:marTop w:val="0"/>
      <w:marBottom w:val="0"/>
      <w:divBdr>
        <w:top w:val="none" w:sz="0" w:space="0" w:color="auto"/>
        <w:left w:val="none" w:sz="0" w:space="0" w:color="auto"/>
        <w:bottom w:val="none" w:sz="0" w:space="0" w:color="auto"/>
        <w:right w:val="none" w:sz="0" w:space="0" w:color="auto"/>
      </w:divBdr>
    </w:div>
    <w:div w:id="1372338738">
      <w:bodyDiv w:val="1"/>
      <w:marLeft w:val="0"/>
      <w:marRight w:val="0"/>
      <w:marTop w:val="0"/>
      <w:marBottom w:val="0"/>
      <w:divBdr>
        <w:top w:val="none" w:sz="0" w:space="0" w:color="auto"/>
        <w:left w:val="none" w:sz="0" w:space="0" w:color="auto"/>
        <w:bottom w:val="none" w:sz="0" w:space="0" w:color="auto"/>
        <w:right w:val="none" w:sz="0" w:space="0" w:color="auto"/>
      </w:divBdr>
    </w:div>
    <w:div w:id="1494107134">
      <w:bodyDiv w:val="1"/>
      <w:marLeft w:val="0"/>
      <w:marRight w:val="0"/>
      <w:marTop w:val="0"/>
      <w:marBottom w:val="0"/>
      <w:divBdr>
        <w:top w:val="none" w:sz="0" w:space="0" w:color="auto"/>
        <w:left w:val="none" w:sz="0" w:space="0" w:color="auto"/>
        <w:bottom w:val="none" w:sz="0" w:space="0" w:color="auto"/>
        <w:right w:val="none" w:sz="0" w:space="0" w:color="auto"/>
      </w:divBdr>
    </w:div>
    <w:div w:id="1507548843">
      <w:bodyDiv w:val="1"/>
      <w:marLeft w:val="0"/>
      <w:marRight w:val="0"/>
      <w:marTop w:val="0"/>
      <w:marBottom w:val="0"/>
      <w:divBdr>
        <w:top w:val="none" w:sz="0" w:space="0" w:color="auto"/>
        <w:left w:val="none" w:sz="0" w:space="0" w:color="auto"/>
        <w:bottom w:val="none" w:sz="0" w:space="0" w:color="auto"/>
        <w:right w:val="none" w:sz="0" w:space="0" w:color="auto"/>
      </w:divBdr>
    </w:div>
    <w:div w:id="1536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CCME</Business_x0020_Unit>
    <Expiration_x0020_Date0 xmlns="9919965a-8b78-4802-aa58-bdb535b7c0eb">2020-02-29T05:00:00+00:00</Expiration_x0020_Date0>
    <OMB_x0020_Control_x0020_Number xmlns="9919965a-8b78-4802-aa58-bdb535b7c0eb">1559-0024 - NMTC ATS</OMB_x0020_Control_x0020_Number>
    <Status xmlns="9919965a-8b78-4802-aa58-bdb535b7c0eb" xsi:nil="true"/>
    <Form_x0020_Name xmlns="9919965a-8b78-4802-aa58-bdb535b7c0eb" xsi:nil="true"/>
    <Document_x0020_Owner xmlns="9919965a-8b78-4802-aa58-bdb535b7c0eb">David Meyer</Document_x0020_Owner>
    <_dlc_DocId xmlns="52222ef0-b167-44f5-92f7-438fda0857cd">DOCDFI-523-287</_dlc_DocId>
    <_dlc_DocIdUrl xmlns="52222ef0-b167-44f5-92f7-438fda0857cd">
      <Url>https://my.treas.gov/collab/CDFI/OMBandPRA/_layouts/DocIdRedir.aspx?ID=DOCDFI-523-287</Url>
      <Description>DOCDFI-523-287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ef22411c518200dbc62840eb01d6aa3b">
  <xsd:schema xmlns:xsd="http://www.w3.org/2001/XMLSchema" xmlns:xs="http://www.w3.org/2001/XMLSchema" xmlns:p="http://schemas.microsoft.com/office/2006/metadata/properties" xmlns:ns2="9919965a-8b78-4802-aa58-bdb535b7c0eb" xmlns:ns3="52222ef0-b167-44f5-92f7-438fda0857cd" targetNamespace="http://schemas.microsoft.com/office/2006/metadata/properties" ma:root="true" ma:fieldsID="ee85f77cc85ad138055dd5ed555a67a4" ns2:_="" ns3:_="">
    <xsd:import namespace="9919965a-8b78-4802-aa58-bdb535b7c0eb"/>
    <xsd:import namespace="52222ef0-b167-44f5-92f7-438fda0857cd"/>
    <xsd:element name="properties">
      <xsd:complexType>
        <xsd:sequence>
          <xsd:element name="documentManagement">
            <xsd:complexType>
              <xsd:all>
                <xsd:element ref="ns2:OMB_x0020_Control_x0020_Number"/>
                <xsd:element ref="ns2:Form_x0020_Name" minOccurs="0"/>
                <xsd:element ref="ns2:Expiration_x0020_Date0" minOccurs="0"/>
                <xsd:element ref="ns2:Business_x0020_Unit"/>
                <xsd:element ref="ns2:Document_x0020_Owner" minOccurs="0"/>
                <xsd:element ref="ns2: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2" ma:displayName="OMB Control Number" ma:internalName="OMB_x0020_Control_x0020_Number">
      <xsd:simpleType>
        <xsd:restriction base="dms:Text">
          <xsd:maxLength value="255"/>
        </xsd:restriction>
      </xsd:simpleType>
    </xsd:element>
    <xsd:element name="Form_x0020_Name" ma:index="3" nillable="true" ma:displayName="Form Name" ma:internalName="Form_x0020_Name">
      <xsd:simpleType>
        <xsd:restriction base="dms:Text">
          <xsd:maxLength value="255"/>
        </xsd:restriction>
      </xsd:simpleType>
    </xsd:element>
    <xsd:element name="Expiration_x0020_Date0" ma:index="4" nillable="true" ma:displayName="Expiration Date" ma:format="DateOnly" ma:internalName="Expiration_x0020_Date0">
      <xsd:simpleType>
        <xsd:restriction base="dms:DateTime"/>
      </xsd:simpleType>
    </xsd:element>
    <xsd:element name="Business_x0020_Unit" ma:index="5" ma:displayName="Business Unit" ma:internalName="Business_x0020_Unit">
      <xsd:simpleType>
        <xsd:restriction base="dms:Text">
          <xsd:maxLength value="255"/>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Status" ma:index="7" nillable="true" ma:displayName="Status"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30BB-09BC-4325-A1DB-5D71107272D4}">
  <ds:schemaRefs>
    <ds:schemaRef ds:uri="http://schemas.microsoft.com/office/2006/metadata/properties"/>
    <ds:schemaRef ds:uri="http://schemas.microsoft.com/office/infopath/2007/PartnerControls"/>
    <ds:schemaRef ds:uri="9919965a-8b78-4802-aa58-bdb535b7c0eb"/>
    <ds:schemaRef ds:uri="52222ef0-b167-44f5-92f7-438fda0857cd"/>
  </ds:schemaRefs>
</ds:datastoreItem>
</file>

<file path=customXml/itemProps2.xml><?xml version="1.0" encoding="utf-8"?>
<ds:datastoreItem xmlns:ds="http://schemas.openxmlformats.org/officeDocument/2006/customXml" ds:itemID="{A73CF8C9-4F58-4BA6-B682-7AEA4B1B0FC9}">
  <ds:schemaRefs>
    <ds:schemaRef ds:uri="http://schemas.microsoft.com/sharepoint/events"/>
  </ds:schemaRefs>
</ds:datastoreItem>
</file>

<file path=customXml/itemProps3.xml><?xml version="1.0" encoding="utf-8"?>
<ds:datastoreItem xmlns:ds="http://schemas.openxmlformats.org/officeDocument/2006/customXml" ds:itemID="{41DE2BB1-30BE-45E2-B582-5F68CE383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965a-8b78-4802-aa58-bdb535b7c0eb"/>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51784-2E55-4F51-ABFF-86F62792C751}">
  <ds:schemaRefs>
    <ds:schemaRef ds:uri="http://schemas.microsoft.com/sharepoint/v3/contenttype/forms"/>
  </ds:schemaRefs>
</ds:datastoreItem>
</file>

<file path=customXml/itemProps5.xml><?xml version="1.0" encoding="utf-8"?>
<ds:datastoreItem xmlns:ds="http://schemas.openxmlformats.org/officeDocument/2006/customXml" ds:itemID="{E92D4A56-2F90-40BF-AF65-B040E338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1991</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Hart, Chantal</cp:lastModifiedBy>
  <cp:revision>5</cp:revision>
  <cp:lastPrinted>2010-04-22T15:38:00Z</cp:lastPrinted>
  <dcterms:created xsi:type="dcterms:W3CDTF">2020-02-27T21:12:00Z</dcterms:created>
  <dcterms:modified xsi:type="dcterms:W3CDTF">2020-04-08T20:52:00Z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ecfbe4c1-bc5a-4f0c-ba6f-1a53ef8b9e42</vt:lpwstr>
  </property>
</Properties>
</file>