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6A" w:rsidRDefault="004E3A6A">
      <w:pPr>
        <w:jc w:val="center"/>
      </w:pPr>
      <w:r>
        <w:t>Supporting Statement for Paperwork Reduction Act Submissions</w:t>
      </w:r>
    </w:p>
    <w:p w:rsidR="004E3A6A" w:rsidRDefault="004E3A6A">
      <w:pPr>
        <w:jc w:val="center"/>
      </w:pPr>
      <w:r>
        <w:t>Community Developmen</w:t>
      </w:r>
      <w:r w:rsidR="005419FC">
        <w:t xml:space="preserve">t Financial Institutions </w:t>
      </w:r>
      <w:r>
        <w:t>Fund</w:t>
      </w:r>
      <w:r w:rsidR="005419FC">
        <w:t xml:space="preserve"> (CDFI Fund)</w:t>
      </w:r>
    </w:p>
    <w:p w:rsidR="002B10A3" w:rsidRDefault="005C0C97">
      <w:pPr>
        <w:jc w:val="center"/>
      </w:pPr>
      <w:r>
        <w:t>Community Development Entity (</w:t>
      </w:r>
      <w:r w:rsidR="004E3A6A">
        <w:t>CD</w:t>
      </w:r>
      <w:r w:rsidR="006E56E5">
        <w:t>E</w:t>
      </w:r>
      <w:r>
        <w:t>)</w:t>
      </w:r>
      <w:r w:rsidR="004E3A6A">
        <w:t xml:space="preserve"> Certification Application</w:t>
      </w:r>
    </w:p>
    <w:p w:rsidR="00030366" w:rsidRDefault="008836BF">
      <w:pPr>
        <w:jc w:val="center"/>
      </w:pPr>
      <w:r>
        <w:t>OMB</w:t>
      </w:r>
      <w:r w:rsidR="005C0C97">
        <w:t xml:space="preserve"> </w:t>
      </w:r>
      <w:r w:rsidR="002B10A3">
        <w:t xml:space="preserve">Control Number </w:t>
      </w:r>
      <w:r w:rsidR="005C0C97">
        <w:t>1559-0014</w:t>
      </w:r>
      <w:r w:rsidR="004E3A6A">
        <w:t xml:space="preserve"> </w:t>
      </w:r>
    </w:p>
    <w:p w:rsidR="004E3A6A" w:rsidRDefault="004E3A6A"/>
    <w:p w:rsidR="004E3A6A" w:rsidRDefault="004E3A6A">
      <w:pPr>
        <w:pStyle w:val="Heading1"/>
        <w:numPr>
          <w:ilvl w:val="0"/>
          <w:numId w:val="2"/>
        </w:numPr>
      </w:pPr>
      <w:r>
        <w:t>Justification</w:t>
      </w:r>
    </w:p>
    <w:p w:rsidR="004E3A6A" w:rsidRDefault="004E3A6A">
      <w:r>
        <w:rPr>
          <w:u w:val="single"/>
        </w:rPr>
        <w:t>1.  Circumstances necessitating collection of information</w:t>
      </w:r>
    </w:p>
    <w:p w:rsidR="004E3A6A" w:rsidRDefault="004E3A6A">
      <w:r w:rsidRPr="005C0C97">
        <w:t xml:space="preserve">Pursuant to 12 U.S.C </w:t>
      </w:r>
      <w:proofErr w:type="gramStart"/>
      <w:r w:rsidRPr="005C0C97">
        <w:t>4701</w:t>
      </w:r>
      <w:proofErr w:type="gramEnd"/>
      <w:r w:rsidRPr="005C0C97">
        <w:t xml:space="preserve"> et seq.</w:t>
      </w:r>
      <w:r>
        <w:t xml:space="preserve"> the Community Development Financial Institutions Fund (the</w:t>
      </w:r>
      <w:r w:rsidR="008D2796">
        <w:t xml:space="preserve"> CDFI</w:t>
      </w:r>
      <w:r>
        <w:t xml:space="preserve"> Fund) </w:t>
      </w:r>
      <w:r w:rsidR="00FA690D">
        <w:t>admin</w:t>
      </w:r>
      <w:r w:rsidR="00316FEC">
        <w:t>i</w:t>
      </w:r>
      <w:r w:rsidR="00FA690D">
        <w:t>sters</w:t>
      </w:r>
      <w:r>
        <w:t xml:space="preserve"> the </w:t>
      </w:r>
      <w:r w:rsidR="006E56E5">
        <w:t>New Markets Tax Credit Program (NMTC Program)</w:t>
      </w:r>
      <w:r>
        <w:t xml:space="preserve">.  The </w:t>
      </w:r>
      <w:r w:rsidR="008D2796">
        <w:t xml:space="preserve">CDFI </w:t>
      </w:r>
      <w:r>
        <w:t xml:space="preserve">Fund’s mission </w:t>
      </w:r>
      <w:r w:rsidRPr="00194EE5" w:rsidR="00194EE5">
        <w:t>is to increase economic opportunity and promote community development investments for underserved populations and in distressed communities in the United States</w:t>
      </w:r>
      <w:r w:rsidR="0038574C">
        <w:t xml:space="preserve">. </w:t>
      </w:r>
      <w:r>
        <w:t xml:space="preserve">In order to qualify for a </w:t>
      </w:r>
      <w:r w:rsidR="006E56E5">
        <w:t>NMTC Program allocation</w:t>
      </w:r>
      <w:r>
        <w:t xml:space="preserve"> award from the </w:t>
      </w:r>
      <w:r w:rsidR="008D2796">
        <w:t xml:space="preserve">CDFI </w:t>
      </w:r>
      <w:r>
        <w:t>Fund</w:t>
      </w:r>
      <w:r w:rsidR="00FA690D">
        <w:t>,</w:t>
      </w:r>
      <w:r>
        <w:t xml:space="preserve"> </w:t>
      </w:r>
      <w:proofErr w:type="gramStart"/>
      <w:r>
        <w:t xml:space="preserve">an applicant must be certified by the </w:t>
      </w:r>
      <w:r w:rsidR="008D2796">
        <w:t xml:space="preserve">CDFI </w:t>
      </w:r>
      <w:r>
        <w:t xml:space="preserve">Fund as a </w:t>
      </w:r>
      <w:r w:rsidR="005C0C97">
        <w:t>Community Development Entity (</w:t>
      </w:r>
      <w:r>
        <w:t>CD</w:t>
      </w:r>
      <w:r w:rsidR="006E56E5">
        <w:t>E</w:t>
      </w:r>
      <w:r w:rsidR="005C0C97">
        <w:t>)</w:t>
      </w:r>
      <w:proofErr w:type="gramEnd"/>
      <w:r w:rsidR="0038574C">
        <w:t xml:space="preserve">. </w:t>
      </w:r>
      <w:r w:rsidR="00F058B4">
        <w:t>The</w:t>
      </w:r>
      <w:r>
        <w:t xml:space="preserve"> </w:t>
      </w:r>
      <w:r w:rsidR="00FA690D">
        <w:t>CDE C</w:t>
      </w:r>
      <w:r>
        <w:t xml:space="preserve">ertification </w:t>
      </w:r>
      <w:r w:rsidR="00FA690D">
        <w:t>A</w:t>
      </w:r>
      <w:r>
        <w:t xml:space="preserve">pplication </w:t>
      </w:r>
      <w:proofErr w:type="gramStart"/>
      <w:r>
        <w:t>is used</w:t>
      </w:r>
      <w:proofErr w:type="gramEnd"/>
      <w:r>
        <w:t xml:space="preserve"> to determine whether an entity seeking CD</w:t>
      </w:r>
      <w:r w:rsidR="006E56E5">
        <w:t xml:space="preserve">E </w:t>
      </w:r>
      <w:r>
        <w:t xml:space="preserve">certification meets the </w:t>
      </w:r>
      <w:r w:rsidR="008D2796">
        <w:t xml:space="preserve">CDFI </w:t>
      </w:r>
      <w:r>
        <w:t>Fund’s requirements for such certification.</w:t>
      </w:r>
    </w:p>
    <w:p w:rsidR="004E3A6A" w:rsidRDefault="004E3A6A"/>
    <w:p w:rsidR="004E3A6A" w:rsidRDefault="004E3A6A">
      <w:pPr>
        <w:rPr>
          <w:u w:val="single"/>
        </w:rPr>
      </w:pPr>
      <w:r>
        <w:rPr>
          <w:u w:val="single"/>
        </w:rPr>
        <w:t>2.  Method of collection and use of data</w:t>
      </w:r>
    </w:p>
    <w:p w:rsidR="004E3A6A" w:rsidRDefault="004E3A6A">
      <w:r>
        <w:t xml:space="preserve">The </w:t>
      </w:r>
      <w:r w:rsidR="00FA690D">
        <w:t>CDE C</w:t>
      </w:r>
      <w:r>
        <w:t xml:space="preserve">ertification </w:t>
      </w:r>
      <w:r w:rsidR="00FA690D">
        <w:t>A</w:t>
      </w:r>
      <w:r>
        <w:t xml:space="preserve">pplication </w:t>
      </w:r>
      <w:r w:rsidR="006F5272">
        <w:t>is</w:t>
      </w:r>
      <w:r>
        <w:t xml:space="preserve"> collected </w:t>
      </w:r>
      <w:r w:rsidR="006E56E5">
        <w:t>from</w:t>
      </w:r>
      <w:r>
        <w:t xml:space="preserve"> entities seeking CD</w:t>
      </w:r>
      <w:r w:rsidR="006E56E5">
        <w:t>E certification</w:t>
      </w:r>
      <w:r w:rsidR="0038574C">
        <w:t xml:space="preserve">. </w:t>
      </w:r>
      <w:r>
        <w:t xml:space="preserve">The data collected via the </w:t>
      </w:r>
      <w:r w:rsidR="00FA690D">
        <w:t>CDE C</w:t>
      </w:r>
      <w:r>
        <w:t xml:space="preserve">ertification </w:t>
      </w:r>
      <w:r w:rsidR="00FA690D">
        <w:t>A</w:t>
      </w:r>
      <w:r>
        <w:t xml:space="preserve">pplication </w:t>
      </w:r>
      <w:proofErr w:type="gramStart"/>
      <w:r>
        <w:t>will be used</w:t>
      </w:r>
      <w:proofErr w:type="gramEnd"/>
      <w:r>
        <w:t xml:space="preserve"> by the </w:t>
      </w:r>
      <w:r w:rsidR="008D2796">
        <w:t xml:space="preserve">CDFI </w:t>
      </w:r>
      <w:r>
        <w:t>Fund to evaluate whether an entity may be certified as a CD</w:t>
      </w:r>
      <w:r w:rsidR="006E56E5">
        <w:t>E</w:t>
      </w:r>
      <w:r>
        <w:t xml:space="preserve">. </w:t>
      </w:r>
    </w:p>
    <w:p w:rsidR="004E3A6A" w:rsidRDefault="004E3A6A">
      <w:pPr>
        <w:jc w:val="both"/>
        <w:rPr>
          <w:u w:val="single"/>
        </w:rPr>
      </w:pPr>
    </w:p>
    <w:p w:rsidR="004E3A6A" w:rsidRDefault="004E3A6A">
      <w:pPr>
        <w:jc w:val="both"/>
        <w:rPr>
          <w:u w:val="single"/>
        </w:rPr>
      </w:pPr>
      <w:r>
        <w:rPr>
          <w:u w:val="single"/>
        </w:rPr>
        <w:t>3. Use of Information Technology</w:t>
      </w:r>
    </w:p>
    <w:p w:rsidR="008836BF" w:rsidP="008836BF" w:rsidRDefault="00887B91">
      <w:pPr>
        <w:pStyle w:val="Header"/>
        <w:tabs>
          <w:tab w:val="clear" w:pos="4320"/>
          <w:tab w:val="clear" w:pos="8640"/>
        </w:tabs>
      </w:pPr>
      <w:r w:rsidRPr="00887B91">
        <w:t>The CDFI Fund collect</w:t>
      </w:r>
      <w:r w:rsidR="008836BF">
        <w:t>s</w:t>
      </w:r>
      <w:r w:rsidRPr="00887B91">
        <w:t xml:space="preserve"> the CD</w:t>
      </w:r>
      <w:r>
        <w:t>E</w:t>
      </w:r>
      <w:r w:rsidRPr="00887B91">
        <w:t xml:space="preserve"> </w:t>
      </w:r>
      <w:r w:rsidR="00FA690D">
        <w:t>C</w:t>
      </w:r>
      <w:r w:rsidRPr="00887B91">
        <w:t xml:space="preserve">ertification </w:t>
      </w:r>
      <w:r w:rsidR="00FA690D">
        <w:t>A</w:t>
      </w:r>
      <w:r w:rsidRPr="00887B91">
        <w:t>pplication electronically</w:t>
      </w:r>
      <w:r w:rsidR="00902AE7">
        <w:t xml:space="preserve"> in the </w:t>
      </w:r>
      <w:r w:rsidRPr="0059317A" w:rsidR="00902AE7">
        <w:t>Awards Management Information System (AMIS)</w:t>
      </w:r>
      <w:r w:rsidR="00902AE7">
        <w:t xml:space="preserve">, a business system that supports all CDFI Fund programs through each phase of </w:t>
      </w:r>
      <w:r w:rsidRPr="0059317A" w:rsidR="00902AE7">
        <w:t>the programs’ life cycle</w:t>
      </w:r>
      <w:r w:rsidR="0038574C">
        <w:t xml:space="preserve">. </w:t>
      </w:r>
      <w:r w:rsidR="00902AE7">
        <w:t xml:space="preserve">This includes </w:t>
      </w:r>
      <w:r w:rsidRPr="0059317A" w:rsidR="00902AE7">
        <w:t xml:space="preserve">requirements and processes related </w:t>
      </w:r>
      <w:r w:rsidR="00902AE7">
        <w:t>to: c</w:t>
      </w:r>
      <w:r w:rsidRPr="0059317A" w:rsidR="00902AE7">
        <w:t>ertification, program awards and allocations</w:t>
      </w:r>
      <w:r w:rsidR="00902AE7">
        <w:t xml:space="preserve">, </w:t>
      </w:r>
      <w:r w:rsidRPr="0059317A" w:rsidR="00902AE7">
        <w:t>compliance</w:t>
      </w:r>
      <w:r w:rsidR="00902AE7">
        <w:t>, d</w:t>
      </w:r>
      <w:r w:rsidRPr="0059317A" w:rsidR="00902AE7">
        <w:t>ata analysis and report</w:t>
      </w:r>
      <w:r w:rsidR="00902AE7">
        <w:t>ing.</w:t>
      </w:r>
    </w:p>
    <w:p w:rsidR="00902AE7" w:rsidP="008836BF" w:rsidRDefault="00902AE7">
      <w:pPr>
        <w:pStyle w:val="Header"/>
        <w:tabs>
          <w:tab w:val="clear" w:pos="4320"/>
          <w:tab w:val="clear" w:pos="8640"/>
        </w:tabs>
      </w:pPr>
    </w:p>
    <w:p w:rsidR="004E3A6A" w:rsidRDefault="004E3A6A">
      <w:pPr>
        <w:jc w:val="both"/>
        <w:rPr>
          <w:u w:val="single"/>
        </w:rPr>
      </w:pPr>
      <w:r>
        <w:rPr>
          <w:u w:val="single"/>
        </w:rPr>
        <w:t>4.  Efforts to identify duplication</w:t>
      </w:r>
    </w:p>
    <w:p w:rsidR="004E3A6A" w:rsidRDefault="004E3A6A">
      <w:r>
        <w:t>Similar information is not available from other sources</w:t>
      </w:r>
      <w:r w:rsidR="00FA690D">
        <w:t>. The CDE Certification Application</w:t>
      </w:r>
      <w:r>
        <w:t xml:space="preserve"> does </w:t>
      </w:r>
      <w:proofErr w:type="gramStart"/>
      <w:r>
        <w:t>not</w:t>
      </w:r>
      <w:proofErr w:type="gramEnd"/>
      <w:r>
        <w:t xml:space="preserve"> duplicate any other </w:t>
      </w:r>
      <w:r w:rsidR="008D2796">
        <w:t xml:space="preserve">CDFI </w:t>
      </w:r>
      <w:r>
        <w:t xml:space="preserve">Fund or Federal program information-gathering tool.  </w:t>
      </w:r>
    </w:p>
    <w:p w:rsidR="004E3A6A" w:rsidRDefault="004E3A6A">
      <w:pPr>
        <w:jc w:val="both"/>
      </w:pPr>
    </w:p>
    <w:p w:rsidR="004E3A6A" w:rsidRDefault="004E3A6A">
      <w:pPr>
        <w:rPr>
          <w:u w:val="single"/>
        </w:rPr>
      </w:pPr>
      <w:proofErr w:type="gramStart"/>
      <w:r>
        <w:rPr>
          <w:u w:val="single"/>
        </w:rPr>
        <w:t>5.  Impact on</w:t>
      </w:r>
      <w:proofErr w:type="gramEnd"/>
      <w:r>
        <w:rPr>
          <w:u w:val="single"/>
        </w:rPr>
        <w:t xml:space="preserve"> small entities</w:t>
      </w:r>
    </w:p>
    <w:p w:rsidR="004E3A6A" w:rsidRDefault="004E3A6A">
      <w:r>
        <w:t xml:space="preserve">This collection of information </w:t>
      </w:r>
      <w:proofErr w:type="gramStart"/>
      <w:r>
        <w:t>is not expected</w:t>
      </w:r>
      <w:proofErr w:type="gramEnd"/>
      <w:r>
        <w:t xml:space="preserve"> to have significant impact on small entities.  </w:t>
      </w:r>
    </w:p>
    <w:p w:rsidR="004E3A6A" w:rsidRDefault="004E3A6A">
      <w:pPr>
        <w:rPr>
          <w:u w:val="single"/>
        </w:rPr>
      </w:pPr>
    </w:p>
    <w:p w:rsidR="004E3A6A" w:rsidRDefault="004E3A6A">
      <w:pPr>
        <w:rPr>
          <w:u w:val="single"/>
        </w:rPr>
      </w:pPr>
      <w:r>
        <w:rPr>
          <w:u w:val="single"/>
        </w:rPr>
        <w:t>6.  Consequences of less frequent collection and obstacles to burden reduction</w:t>
      </w:r>
    </w:p>
    <w:p w:rsidR="004E3A6A" w:rsidRDefault="00535DD3">
      <w:r>
        <w:t>Since CDE</w:t>
      </w:r>
      <w:r w:rsidR="004E3A6A">
        <w:t xml:space="preserve"> certification is a prerequisite for receiving </w:t>
      </w:r>
      <w:r>
        <w:t>NMTC Program allocation awards</w:t>
      </w:r>
      <w:r w:rsidR="004E3A6A">
        <w:t xml:space="preserve"> from the </w:t>
      </w:r>
      <w:r w:rsidR="008D2796">
        <w:t xml:space="preserve">CDFI </w:t>
      </w:r>
      <w:r w:rsidR="004E3A6A">
        <w:t xml:space="preserve">Fund, the </w:t>
      </w:r>
      <w:r w:rsidR="00FA690D">
        <w:t>CDE C</w:t>
      </w:r>
      <w:r w:rsidR="004E3A6A">
        <w:t xml:space="preserve">ertification </w:t>
      </w:r>
      <w:r w:rsidR="00FA690D">
        <w:t>A</w:t>
      </w:r>
      <w:r w:rsidR="004E3A6A">
        <w:t xml:space="preserve">pplication is a critical part of the </w:t>
      </w:r>
      <w:r>
        <w:t>NMTC</w:t>
      </w:r>
      <w:r w:rsidR="004E3A6A">
        <w:t xml:space="preserve"> Program. Moreover, once certified, an entity’s certification lasts </w:t>
      </w:r>
      <w:r>
        <w:t>indefinitely or until it ceases to meet the requirements for CDE certification</w:t>
      </w:r>
      <w:r w:rsidRPr="00A0275C" w:rsidR="00D63318">
        <w:t>.</w:t>
      </w:r>
    </w:p>
    <w:p w:rsidR="004E3A6A" w:rsidRDefault="004E3A6A"/>
    <w:p w:rsidR="004E3A6A" w:rsidRDefault="00151403">
      <w:pPr>
        <w:rPr>
          <w:u w:val="single"/>
        </w:rPr>
      </w:pPr>
      <w:r>
        <w:rPr>
          <w:u w:val="single"/>
        </w:rPr>
        <w:br w:type="page"/>
      </w:r>
      <w:r w:rsidR="004E3A6A">
        <w:rPr>
          <w:u w:val="single"/>
        </w:rPr>
        <w:lastRenderedPageBreak/>
        <w:t>7.  Circumstances requiring special information collection</w:t>
      </w:r>
    </w:p>
    <w:p w:rsidR="004E3A6A" w:rsidRDefault="004E3A6A">
      <w:r>
        <w:t xml:space="preserve">Any confidential business information submitted by applicants </w:t>
      </w:r>
      <w:proofErr w:type="gramStart"/>
      <w:r>
        <w:t>is safeguarded</w:t>
      </w:r>
      <w:proofErr w:type="gramEnd"/>
      <w:r>
        <w:t xml:space="preserve"> through the </w:t>
      </w:r>
      <w:r w:rsidR="008D2796">
        <w:t xml:space="preserve">CDFI </w:t>
      </w:r>
      <w:r>
        <w:t xml:space="preserve">Fund’s records management procedures and information technology security protocols. </w:t>
      </w:r>
    </w:p>
    <w:p w:rsidR="004E3A6A" w:rsidRDefault="004E3A6A"/>
    <w:p w:rsidR="004E3A6A" w:rsidRDefault="004E3A6A">
      <w:pPr>
        <w:rPr>
          <w:u w:val="single"/>
        </w:rPr>
      </w:pPr>
      <w:r>
        <w:rPr>
          <w:u w:val="single"/>
        </w:rPr>
        <w:t>8.  Solicitation of comments on information collection</w:t>
      </w:r>
    </w:p>
    <w:p w:rsidRPr="00B20384" w:rsidR="004E3A6A" w:rsidRDefault="004E3A6A">
      <w:r>
        <w:t xml:space="preserve">Comments on the </w:t>
      </w:r>
      <w:r w:rsidR="00FA690D">
        <w:t>CDE C</w:t>
      </w:r>
      <w:r>
        <w:t xml:space="preserve">ertification </w:t>
      </w:r>
      <w:r w:rsidR="00FA690D">
        <w:t>A</w:t>
      </w:r>
      <w:r>
        <w:t xml:space="preserve">pplication </w:t>
      </w:r>
      <w:proofErr w:type="gramStart"/>
      <w:r>
        <w:t>were solicited</w:t>
      </w:r>
      <w:proofErr w:type="gramEnd"/>
      <w:r>
        <w:t xml:space="preserve"> via notice in the </w:t>
      </w:r>
      <w:r w:rsidRPr="005E7992">
        <w:rPr>
          <w:i/>
        </w:rPr>
        <w:t>Federal Register</w:t>
      </w:r>
      <w:r w:rsidRPr="00A90466">
        <w:t xml:space="preserve"> </w:t>
      </w:r>
      <w:r>
        <w:t xml:space="preserve">on </w:t>
      </w:r>
      <w:r w:rsidR="003B7D68">
        <w:t xml:space="preserve">December 26, 2019 </w:t>
      </w:r>
      <w:r w:rsidRPr="00324AA4">
        <w:t>(</w:t>
      </w:r>
      <w:r w:rsidRPr="00902AE7" w:rsidR="00902AE7">
        <w:t>84 FR 71077</w:t>
      </w:r>
      <w:r w:rsidRPr="00324AA4">
        <w:t>).</w:t>
      </w:r>
      <w:r w:rsidR="00B20384">
        <w:t xml:space="preserve"> The CDFI Fund received one letter in response to this request. The letter stated that the g</w:t>
      </w:r>
      <w:r w:rsidRPr="00B20384" w:rsidR="00B20384">
        <w:t>uidance documents and data requested for CDE Certification</w:t>
      </w:r>
      <w:r w:rsidR="00B20384">
        <w:t xml:space="preserve"> application are clearly stated, and that no clarifications or changes are necessary. Please see Appendix A for the specific comment, and the CCME Team response.</w:t>
      </w:r>
    </w:p>
    <w:p w:rsidR="004E3A6A" w:rsidRDefault="004E3A6A">
      <w:pPr>
        <w:rPr>
          <w:u w:val="single"/>
        </w:rPr>
      </w:pPr>
    </w:p>
    <w:p w:rsidR="004E3A6A" w:rsidRDefault="004E3A6A">
      <w:pPr>
        <w:rPr>
          <w:u w:val="single"/>
        </w:rPr>
      </w:pPr>
      <w:r>
        <w:rPr>
          <w:u w:val="single"/>
        </w:rPr>
        <w:t>9.  Provision of payment to respondents</w:t>
      </w:r>
    </w:p>
    <w:p w:rsidR="004E3A6A" w:rsidRDefault="004E3A6A">
      <w:r>
        <w:t xml:space="preserve">No payments or gifts </w:t>
      </w:r>
      <w:proofErr w:type="gramStart"/>
      <w:r>
        <w:t>will be made</w:t>
      </w:r>
      <w:proofErr w:type="gramEnd"/>
      <w:r>
        <w:t xml:space="preserve"> to respondents.</w:t>
      </w:r>
    </w:p>
    <w:p w:rsidR="004E3A6A" w:rsidRDefault="004E3A6A"/>
    <w:p w:rsidR="004E3A6A" w:rsidRDefault="004E3A6A">
      <w:pPr>
        <w:rPr>
          <w:u w:val="single"/>
        </w:rPr>
      </w:pPr>
      <w:r>
        <w:rPr>
          <w:u w:val="single"/>
        </w:rPr>
        <w:t>10.   Assurance of confidentiality</w:t>
      </w:r>
    </w:p>
    <w:p w:rsidR="004E3A6A" w:rsidRDefault="004E3A6A">
      <w:r>
        <w:t xml:space="preserve">The </w:t>
      </w:r>
      <w:r w:rsidR="008D2796">
        <w:t xml:space="preserve">CDFI </w:t>
      </w:r>
      <w:r>
        <w:t>Fund is subject to all Federal regulations with respect to confidentiality of the information provided in t</w:t>
      </w:r>
      <w:r w:rsidR="0038574C">
        <w:t xml:space="preserve">his collection of information. </w:t>
      </w:r>
      <w:r>
        <w:t xml:space="preserve">The </w:t>
      </w:r>
      <w:r w:rsidR="008D2796">
        <w:t xml:space="preserve">CDFI </w:t>
      </w:r>
      <w:r>
        <w:t>Fund has provided no other assurances of confidentiality to respondents.</w:t>
      </w:r>
    </w:p>
    <w:p w:rsidR="004E3A6A" w:rsidRDefault="004E3A6A">
      <w:pPr>
        <w:rPr>
          <w:u w:val="single"/>
        </w:rPr>
      </w:pPr>
    </w:p>
    <w:p w:rsidR="004E3A6A" w:rsidRDefault="004E3A6A">
      <w:pPr>
        <w:rPr>
          <w:u w:val="single"/>
        </w:rPr>
      </w:pPr>
      <w:r>
        <w:rPr>
          <w:u w:val="single"/>
        </w:rPr>
        <w:t>11.  Justification of sensitive questions.</w:t>
      </w:r>
    </w:p>
    <w:p w:rsidR="004E3A6A" w:rsidRDefault="00380068">
      <w:r w:rsidRPr="00B86C5C">
        <w:t>No personally identifiable information (PII) is collected.</w:t>
      </w:r>
    </w:p>
    <w:p w:rsidR="004E3A6A" w:rsidRDefault="004E3A6A">
      <w:pPr>
        <w:rPr>
          <w:u w:val="single"/>
        </w:rPr>
      </w:pPr>
    </w:p>
    <w:p w:rsidR="004E3A6A" w:rsidRDefault="004E3A6A">
      <w:pPr>
        <w:rPr>
          <w:u w:val="single"/>
        </w:rPr>
      </w:pPr>
      <w:r>
        <w:rPr>
          <w:u w:val="single"/>
        </w:rPr>
        <w:t>12.  Estimate of the hour burden of information collection.</w:t>
      </w:r>
    </w:p>
    <w:p w:rsidR="004E3A6A" w:rsidRDefault="004E3A6A">
      <w:r>
        <w:t xml:space="preserve">The total hour burden of this information collection </w:t>
      </w:r>
      <w:proofErr w:type="gramStart"/>
      <w:r>
        <w:t>is:</w:t>
      </w:r>
      <w:proofErr w:type="gramEnd"/>
      <w:r>
        <w:t xml:space="preserve"> 3</w:t>
      </w:r>
      <w:r w:rsidR="008A3B0A">
        <w:t>00</w:t>
      </w:r>
      <w:r>
        <w:t xml:space="preserve"> respondents x </w:t>
      </w:r>
      <w:r w:rsidRPr="00BF6F9D">
        <w:t xml:space="preserve">1 response </w:t>
      </w:r>
      <w:r>
        <w:t xml:space="preserve">x </w:t>
      </w:r>
      <w:r w:rsidR="00C87306">
        <w:t>4</w:t>
      </w:r>
      <w:r>
        <w:t xml:space="preserve"> hours per respondent = </w:t>
      </w:r>
      <w:r w:rsidR="00535DD3">
        <w:t>1,</w:t>
      </w:r>
      <w:r w:rsidR="000575C2">
        <w:t>2</w:t>
      </w:r>
      <w:r w:rsidR="00C87306">
        <w:t>00</w:t>
      </w:r>
      <w:r w:rsidR="0038574C">
        <w:t xml:space="preserve"> hours. </w:t>
      </w:r>
      <w:r w:rsidR="003857D9">
        <w:t>O</w:t>
      </w:r>
      <w:r>
        <w:t>nce certified as a CD</w:t>
      </w:r>
      <w:r w:rsidR="00535DD3">
        <w:t>E</w:t>
      </w:r>
      <w:r w:rsidR="00C87306">
        <w:t>,</w:t>
      </w:r>
      <w:r>
        <w:t xml:space="preserve"> an entity’s certification lasts </w:t>
      </w:r>
      <w:r w:rsidR="00535DD3">
        <w:t>indefinitely</w:t>
      </w:r>
      <w:r w:rsidRPr="00A0275C" w:rsidR="00D63318">
        <w:t xml:space="preserve"> provided the entity </w:t>
      </w:r>
      <w:proofErr w:type="gramStart"/>
      <w:r w:rsidRPr="00A0275C" w:rsidR="00D63318">
        <w:t>continues</w:t>
      </w:r>
      <w:proofErr w:type="gramEnd"/>
      <w:r w:rsidRPr="00A0275C" w:rsidR="00D63318">
        <w:t xml:space="preserve"> to meet the certification requirements.</w:t>
      </w:r>
    </w:p>
    <w:p w:rsidR="000575C2" w:rsidRDefault="000575C2"/>
    <w:tbl>
      <w:tblPr>
        <w:tblW w:w="76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6"/>
      </w:tblGrid>
      <w:tr w:rsidRPr="007F0646" w:rsidR="007F0646" w:rsidTr="007F0646">
        <w:tc>
          <w:tcPr>
            <w:tcW w:w="1915" w:type="dxa"/>
            <w:shd w:val="clear" w:color="auto" w:fill="auto"/>
            <w:vAlign w:val="center"/>
          </w:tcPr>
          <w:p w:rsidRPr="007F0646" w:rsidR="007F0646" w:rsidP="005E7463" w:rsidRDefault="007F0646">
            <w:pPr>
              <w:jc w:val="center"/>
              <w:rPr>
                <w:b/>
                <w:sz w:val="20"/>
              </w:rPr>
            </w:pPr>
            <w:r w:rsidRPr="007F0646">
              <w:rPr>
                <w:b/>
                <w:sz w:val="20"/>
              </w:rPr>
              <w:t># Respondents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Pr="007F0646" w:rsidR="007F0646" w:rsidP="007F0646" w:rsidRDefault="007F06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Annual Frequency per Response 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Pr="007F0646" w:rsidR="007F0646" w:rsidP="005E7463" w:rsidRDefault="007F0646">
            <w:pPr>
              <w:jc w:val="center"/>
              <w:rPr>
                <w:b/>
                <w:sz w:val="20"/>
              </w:rPr>
            </w:pPr>
            <w:r w:rsidRPr="007F0646">
              <w:rPr>
                <w:b/>
                <w:sz w:val="20"/>
              </w:rPr>
              <w:t>Hours Per Response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Pr="007F0646" w:rsidR="007F0646" w:rsidP="007F0646" w:rsidRDefault="007F0646">
            <w:pPr>
              <w:jc w:val="center"/>
              <w:rPr>
                <w:b/>
                <w:sz w:val="20"/>
              </w:rPr>
            </w:pPr>
            <w:r w:rsidRPr="007F0646">
              <w:rPr>
                <w:b/>
                <w:sz w:val="20"/>
              </w:rPr>
              <w:t xml:space="preserve">Total </w:t>
            </w:r>
            <w:r>
              <w:rPr>
                <w:b/>
                <w:sz w:val="20"/>
              </w:rPr>
              <w:t>Hours</w:t>
            </w:r>
          </w:p>
        </w:tc>
      </w:tr>
      <w:tr w:rsidRPr="0068478E" w:rsidR="007F0646" w:rsidTr="007F0646">
        <w:trPr>
          <w:trHeight w:val="467"/>
        </w:trPr>
        <w:tc>
          <w:tcPr>
            <w:tcW w:w="1915" w:type="dxa"/>
            <w:shd w:val="clear" w:color="auto" w:fill="auto"/>
            <w:vAlign w:val="center"/>
          </w:tcPr>
          <w:p w:rsidRPr="0068478E" w:rsidR="007F0646" w:rsidP="005E7463" w:rsidRDefault="007F064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300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Pr="0068478E" w:rsidR="007F0646" w:rsidP="005E7463" w:rsidRDefault="007F064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Pr="0068478E" w:rsidR="007F0646" w:rsidP="005E7463" w:rsidRDefault="007F064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4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Pr="0068478E" w:rsidR="007F0646" w:rsidP="005E7463" w:rsidRDefault="007F064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1,200</w:t>
            </w:r>
          </w:p>
        </w:tc>
      </w:tr>
    </w:tbl>
    <w:p w:rsidRPr="0068478E" w:rsidR="004E3A6A" w:rsidRDefault="004E3A6A">
      <w:pPr>
        <w:rPr>
          <w:u w:val="single"/>
        </w:rPr>
      </w:pPr>
    </w:p>
    <w:p w:rsidRPr="0068478E" w:rsidR="004E3A6A" w:rsidRDefault="004E3A6A">
      <w:pPr>
        <w:rPr>
          <w:u w:val="single"/>
        </w:rPr>
      </w:pPr>
      <w:r w:rsidRPr="0068478E">
        <w:rPr>
          <w:u w:val="single"/>
        </w:rPr>
        <w:t>13.  Estimate of total annual cost burden to respondents</w:t>
      </w:r>
    </w:p>
    <w:p w:rsidR="003B7D68" w:rsidP="003B7D68" w:rsidRDefault="003B7D68">
      <w:r w:rsidRPr="0068478E">
        <w:t xml:space="preserve">It </w:t>
      </w:r>
      <w:proofErr w:type="gramStart"/>
      <w:r w:rsidRPr="0068478E">
        <w:t>is not expected</w:t>
      </w:r>
      <w:proofErr w:type="gramEnd"/>
      <w:r w:rsidRPr="0068478E">
        <w:t xml:space="preserve"> that this information collection will have a cost burden to respondents other than the hour burd</w:t>
      </w:r>
      <w:r w:rsidR="0038574C">
        <w:t>en described in item number 12.</w:t>
      </w:r>
      <w:r w:rsidRPr="0068478E">
        <w:t xml:space="preserve"> No purchases of equipment or services are necessary for this information collection.</w:t>
      </w:r>
    </w:p>
    <w:p w:rsidRPr="0068478E" w:rsidR="002C02EB" w:rsidP="003B7D68" w:rsidRDefault="002C02EB"/>
    <w:tbl>
      <w:tblPr>
        <w:tblW w:w="94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19"/>
        <w:gridCol w:w="1426"/>
        <w:gridCol w:w="1585"/>
        <w:gridCol w:w="1094"/>
        <w:gridCol w:w="1017"/>
        <w:gridCol w:w="903"/>
        <w:gridCol w:w="909"/>
        <w:gridCol w:w="1215"/>
      </w:tblGrid>
      <w:tr w:rsidRPr="0068478E" w:rsidR="0068478E" w:rsidTr="00D75D3C">
        <w:tc>
          <w:tcPr>
            <w:tcW w:w="1322" w:type="dxa"/>
            <w:shd w:val="clear" w:color="auto" w:fill="auto"/>
            <w:vAlign w:val="center"/>
          </w:tcPr>
          <w:p w:rsidRPr="0068478E" w:rsidR="007F0646" w:rsidP="007F0646" w:rsidRDefault="007F064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8478E">
              <w:rPr>
                <w:b/>
                <w:bCs/>
                <w:color w:val="auto"/>
                <w:sz w:val="20"/>
                <w:szCs w:val="20"/>
              </w:rPr>
              <w:t xml:space="preserve">Affected Public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68478E" w:rsidR="007F0646" w:rsidP="007F0646" w:rsidRDefault="007F0646">
            <w:pPr>
              <w:jc w:val="center"/>
              <w:rPr>
                <w:b/>
                <w:sz w:val="20"/>
              </w:rPr>
            </w:pPr>
            <w:r w:rsidRPr="0068478E">
              <w:rPr>
                <w:b/>
                <w:sz w:val="20"/>
              </w:rPr>
              <w:t xml:space="preserve">Number of Respondents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Pr="0068478E" w:rsidR="007F0646" w:rsidP="007F0646" w:rsidRDefault="007F0646">
            <w:pPr>
              <w:jc w:val="center"/>
              <w:rPr>
                <w:b/>
                <w:sz w:val="20"/>
              </w:rPr>
            </w:pPr>
            <w:r w:rsidRPr="0068478E">
              <w:rPr>
                <w:b/>
                <w:sz w:val="20"/>
              </w:rPr>
              <w:t>Number of Responses  Per Respondent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Pr="0068478E" w:rsidR="007F0646" w:rsidP="007F0646" w:rsidRDefault="007F0646">
            <w:pPr>
              <w:jc w:val="center"/>
              <w:rPr>
                <w:b/>
                <w:sz w:val="20"/>
              </w:rPr>
            </w:pPr>
            <w:r w:rsidRPr="0068478E">
              <w:rPr>
                <w:b/>
                <w:sz w:val="20"/>
              </w:rPr>
              <w:t>Total Annual Responses</w:t>
            </w:r>
          </w:p>
        </w:tc>
        <w:tc>
          <w:tcPr>
            <w:tcW w:w="921" w:type="dxa"/>
            <w:vAlign w:val="center"/>
          </w:tcPr>
          <w:p w:rsidRPr="0068478E" w:rsidR="007F0646" w:rsidP="007F0646" w:rsidRDefault="007F0646">
            <w:pPr>
              <w:jc w:val="center"/>
              <w:rPr>
                <w:b/>
                <w:sz w:val="20"/>
              </w:rPr>
            </w:pPr>
            <w:r w:rsidRPr="0068478E">
              <w:rPr>
                <w:b/>
                <w:sz w:val="20"/>
              </w:rPr>
              <w:t>Hours Per Response</w:t>
            </w:r>
          </w:p>
        </w:tc>
        <w:tc>
          <w:tcPr>
            <w:tcW w:w="921" w:type="dxa"/>
          </w:tcPr>
          <w:p w:rsidRPr="0068478E" w:rsidR="007F0646" w:rsidP="007F0646" w:rsidRDefault="007F0646">
            <w:pPr>
              <w:jc w:val="center"/>
              <w:rPr>
                <w:b/>
                <w:sz w:val="20"/>
              </w:rPr>
            </w:pPr>
            <w:r w:rsidRPr="0068478E">
              <w:rPr>
                <w:b/>
                <w:sz w:val="20"/>
              </w:rPr>
              <w:t>Total Hours</w:t>
            </w:r>
          </w:p>
        </w:tc>
        <w:tc>
          <w:tcPr>
            <w:tcW w:w="921" w:type="dxa"/>
          </w:tcPr>
          <w:p w:rsidRPr="0068478E" w:rsidR="007F0646" w:rsidP="007F0646" w:rsidRDefault="007F0646">
            <w:pPr>
              <w:jc w:val="center"/>
              <w:rPr>
                <w:b/>
                <w:sz w:val="20"/>
              </w:rPr>
            </w:pPr>
            <w:r w:rsidRPr="0068478E">
              <w:rPr>
                <w:b/>
                <w:sz w:val="20"/>
              </w:rPr>
              <w:t>Time Value (per Hour)</w:t>
            </w:r>
            <w:r w:rsidR="002C02EB">
              <w:rPr>
                <w:rStyle w:val="FootnoteReference"/>
                <w:b/>
                <w:sz w:val="20"/>
              </w:rPr>
              <w:footnoteReference w:id="1"/>
            </w:r>
          </w:p>
        </w:tc>
        <w:tc>
          <w:tcPr>
            <w:tcW w:w="1226" w:type="dxa"/>
            <w:shd w:val="clear" w:color="auto" w:fill="auto"/>
            <w:vAlign w:val="center"/>
          </w:tcPr>
          <w:p w:rsidRPr="0068478E" w:rsidR="007F0646" w:rsidP="007F0646" w:rsidRDefault="007F0646">
            <w:pPr>
              <w:jc w:val="center"/>
              <w:rPr>
                <w:b/>
                <w:sz w:val="20"/>
              </w:rPr>
            </w:pPr>
            <w:r w:rsidRPr="0068478E">
              <w:rPr>
                <w:b/>
                <w:sz w:val="20"/>
              </w:rPr>
              <w:t>Monetized Burden Hours</w:t>
            </w:r>
          </w:p>
        </w:tc>
      </w:tr>
      <w:tr w:rsidRPr="0068478E" w:rsidR="0068478E" w:rsidTr="0068478E">
        <w:trPr>
          <w:trHeight w:val="467"/>
        </w:trPr>
        <w:tc>
          <w:tcPr>
            <w:tcW w:w="1322" w:type="dxa"/>
            <w:shd w:val="clear" w:color="auto" w:fill="auto"/>
            <w:vAlign w:val="center"/>
          </w:tcPr>
          <w:p w:rsidRPr="0068478E" w:rsidR="007F0646" w:rsidP="007F0646" w:rsidRDefault="007F064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Private Sector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68478E" w:rsidR="007F0646" w:rsidP="007F0646" w:rsidRDefault="00014C80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290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Pr="0068478E" w:rsidR="007F0646" w:rsidP="007F0646" w:rsidRDefault="00014C80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Pr="0068478E" w:rsidR="007F0646" w:rsidP="007F0646" w:rsidRDefault="00FB44E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290</w:t>
            </w:r>
          </w:p>
        </w:tc>
        <w:tc>
          <w:tcPr>
            <w:tcW w:w="921" w:type="dxa"/>
            <w:vAlign w:val="center"/>
          </w:tcPr>
          <w:p w:rsidRPr="0068478E" w:rsidR="007F0646" w:rsidP="007F0646" w:rsidRDefault="00FB44E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4</w:t>
            </w:r>
          </w:p>
        </w:tc>
        <w:tc>
          <w:tcPr>
            <w:tcW w:w="921" w:type="dxa"/>
            <w:vAlign w:val="center"/>
          </w:tcPr>
          <w:p w:rsidRPr="0068478E" w:rsidR="007F0646" w:rsidP="007F0646" w:rsidRDefault="00FB44E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1,160</w:t>
            </w:r>
          </w:p>
        </w:tc>
        <w:tc>
          <w:tcPr>
            <w:tcW w:w="921" w:type="dxa"/>
            <w:vAlign w:val="center"/>
          </w:tcPr>
          <w:p w:rsidRPr="0068478E" w:rsidR="007F0646" w:rsidP="007F0646" w:rsidRDefault="00FB44E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$47.97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Pr="0068478E" w:rsidR="007F0646" w:rsidP="007F0646" w:rsidRDefault="00FB44E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$55,645</w:t>
            </w:r>
          </w:p>
        </w:tc>
      </w:tr>
      <w:tr w:rsidRPr="0068478E" w:rsidR="0068478E" w:rsidTr="0068478E">
        <w:trPr>
          <w:trHeight w:val="467"/>
        </w:trPr>
        <w:tc>
          <w:tcPr>
            <w:tcW w:w="1322" w:type="dxa"/>
            <w:shd w:val="clear" w:color="auto" w:fill="auto"/>
            <w:vAlign w:val="center"/>
          </w:tcPr>
          <w:p w:rsidRPr="0068478E" w:rsidR="007F0646" w:rsidP="007F0646" w:rsidRDefault="007F064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State, Local and Tribal Governments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68478E" w:rsidR="007F0646" w:rsidP="007F0646" w:rsidRDefault="00014C80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10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Pr="0068478E" w:rsidR="007F0646" w:rsidP="007F0646" w:rsidRDefault="00FB44E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Pr="0068478E" w:rsidR="007F0646" w:rsidP="007F0646" w:rsidRDefault="00FB44E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10</w:t>
            </w:r>
          </w:p>
        </w:tc>
        <w:tc>
          <w:tcPr>
            <w:tcW w:w="921" w:type="dxa"/>
            <w:vAlign w:val="center"/>
          </w:tcPr>
          <w:p w:rsidRPr="0068478E" w:rsidR="007F0646" w:rsidP="007F0646" w:rsidRDefault="00FB44E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4</w:t>
            </w:r>
          </w:p>
        </w:tc>
        <w:tc>
          <w:tcPr>
            <w:tcW w:w="921" w:type="dxa"/>
            <w:vAlign w:val="center"/>
          </w:tcPr>
          <w:p w:rsidRPr="0068478E" w:rsidR="007F0646" w:rsidP="007F0646" w:rsidRDefault="00FB44E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40</w:t>
            </w:r>
          </w:p>
        </w:tc>
        <w:tc>
          <w:tcPr>
            <w:tcW w:w="921" w:type="dxa"/>
            <w:vAlign w:val="center"/>
          </w:tcPr>
          <w:p w:rsidRPr="0068478E" w:rsidR="007F0646" w:rsidP="007F0646" w:rsidRDefault="00FB44E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$47.97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Pr="0068478E" w:rsidR="007F0646" w:rsidP="007F0646" w:rsidRDefault="00FB44E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$1,919</w:t>
            </w:r>
          </w:p>
        </w:tc>
      </w:tr>
      <w:tr w:rsidRPr="0068478E" w:rsidR="0068478E" w:rsidTr="0068478E">
        <w:trPr>
          <w:trHeight w:val="467"/>
        </w:trPr>
        <w:tc>
          <w:tcPr>
            <w:tcW w:w="1322" w:type="dxa"/>
            <w:shd w:val="clear" w:color="auto" w:fill="auto"/>
            <w:vAlign w:val="center"/>
          </w:tcPr>
          <w:p w:rsidRPr="0068478E" w:rsidR="007F0646" w:rsidP="007F0646" w:rsidRDefault="007F0646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68478E" w:rsidR="007F0646" w:rsidP="007F0646" w:rsidRDefault="00534FA3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300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Pr="0068478E" w:rsidR="007F0646" w:rsidP="007F0646" w:rsidRDefault="00534FA3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Pr="0068478E" w:rsidR="007F0646" w:rsidP="007F0646" w:rsidRDefault="00534FA3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300</w:t>
            </w:r>
          </w:p>
        </w:tc>
        <w:tc>
          <w:tcPr>
            <w:tcW w:w="921" w:type="dxa"/>
            <w:vAlign w:val="center"/>
          </w:tcPr>
          <w:p w:rsidRPr="0068478E" w:rsidR="007F0646" w:rsidP="007F0646" w:rsidRDefault="00534FA3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8</w:t>
            </w:r>
          </w:p>
        </w:tc>
        <w:tc>
          <w:tcPr>
            <w:tcW w:w="921" w:type="dxa"/>
            <w:vAlign w:val="center"/>
          </w:tcPr>
          <w:p w:rsidRPr="0068478E" w:rsidR="007F0646" w:rsidP="007F0646" w:rsidRDefault="00534FA3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1,200</w:t>
            </w:r>
          </w:p>
        </w:tc>
        <w:tc>
          <w:tcPr>
            <w:tcW w:w="921" w:type="dxa"/>
            <w:vAlign w:val="center"/>
          </w:tcPr>
          <w:p w:rsidRPr="0068478E" w:rsidR="007F0646" w:rsidP="007F0646" w:rsidRDefault="00534FA3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$95.94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Pr="0068478E" w:rsidR="007F0646" w:rsidP="007F0646" w:rsidRDefault="00534FA3">
            <w:pPr>
              <w:jc w:val="center"/>
              <w:rPr>
                <w:sz w:val="20"/>
              </w:rPr>
            </w:pPr>
            <w:r w:rsidRPr="0068478E">
              <w:rPr>
                <w:sz w:val="20"/>
              </w:rPr>
              <w:t>$57,564</w:t>
            </w:r>
          </w:p>
        </w:tc>
      </w:tr>
    </w:tbl>
    <w:p w:rsidRPr="0068478E" w:rsidR="007F0646" w:rsidP="003B7D68" w:rsidRDefault="007F0646"/>
    <w:p w:rsidRPr="0068478E" w:rsidR="004E3A6A" w:rsidRDefault="004E3A6A">
      <w:pPr>
        <w:rPr>
          <w:u w:val="single"/>
        </w:rPr>
      </w:pPr>
    </w:p>
    <w:p w:rsidRPr="0068478E" w:rsidR="004E3A6A" w:rsidRDefault="004E3A6A">
      <w:pPr>
        <w:rPr>
          <w:u w:val="single"/>
        </w:rPr>
      </w:pPr>
      <w:r w:rsidRPr="0068478E">
        <w:rPr>
          <w:u w:val="single"/>
        </w:rPr>
        <w:t>14.  Estimate of annualized cost to the Government</w:t>
      </w:r>
    </w:p>
    <w:p w:rsidRPr="0068478E" w:rsidR="004C2B2A" w:rsidP="004C2B2A" w:rsidRDefault="004E3A6A">
      <w:r w:rsidRPr="0068478E">
        <w:t xml:space="preserve">The cost to the </w:t>
      </w:r>
      <w:r w:rsidRPr="0068478E" w:rsidR="00FA690D">
        <w:t>Federal g</w:t>
      </w:r>
      <w:r w:rsidRPr="0068478E">
        <w:t xml:space="preserve">overnment is the </w:t>
      </w:r>
      <w:r w:rsidRPr="0068478E" w:rsidR="008D2796">
        <w:t xml:space="preserve">CDFI </w:t>
      </w:r>
      <w:r w:rsidRPr="0068478E">
        <w:t>Fund staff time required to review certification applications</w:t>
      </w:r>
      <w:r w:rsidRPr="0068478E" w:rsidR="00FA690D">
        <w:t xml:space="preserve"> that </w:t>
      </w:r>
      <w:proofErr w:type="gramStart"/>
      <w:r w:rsidRPr="0068478E" w:rsidR="00FA690D">
        <w:t>are submitted</w:t>
      </w:r>
      <w:proofErr w:type="gramEnd"/>
      <w:r w:rsidRPr="0068478E" w:rsidR="00FA690D">
        <w:t xml:space="preserve"> by CDEs</w:t>
      </w:r>
      <w:r w:rsidRPr="0068478E">
        <w:t xml:space="preserve">. </w:t>
      </w:r>
      <w:r w:rsidRPr="0068478E" w:rsidR="004C2B2A">
        <w:t>The estimates of annualized cost to the Federal government</w:t>
      </w:r>
      <w:r w:rsidR="002C02EB">
        <w:t xml:space="preserve"> is</w:t>
      </w:r>
      <w:r w:rsidRPr="0068478E" w:rsidR="004C2B2A">
        <w:t xml:space="preserve"> based</w:t>
      </w:r>
      <w:r w:rsidR="00CF688E">
        <w:t xml:space="preserve"> on a methodology that estimates</w:t>
      </w:r>
      <w:r w:rsidRPr="0068478E" w:rsidR="004C2B2A">
        <w:t xml:space="preserve"> the time and loaded labor rate for the CDFI Fund staff by GS level for t</w:t>
      </w:r>
      <w:r w:rsidR="005E7992">
        <w:t>he lifecycle of the collection.</w:t>
      </w:r>
    </w:p>
    <w:p w:rsidRPr="0068478E" w:rsidR="004C2B2A" w:rsidRDefault="004C2B2A"/>
    <w:p w:rsidRPr="0068478E" w:rsidR="00270B53" w:rsidRDefault="00270B53"/>
    <w:tbl>
      <w:tblPr>
        <w:tblStyle w:val="TableGrid"/>
        <w:tblW w:w="0" w:type="auto"/>
        <w:tblInd w:w="206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2610"/>
        <w:gridCol w:w="2160"/>
      </w:tblGrid>
      <w:tr w:rsidRPr="0068478E" w:rsidR="0068478E" w:rsidTr="000B40D7">
        <w:tc>
          <w:tcPr>
            <w:tcW w:w="2610" w:type="dxa"/>
            <w:shd w:val="clear" w:color="auto" w:fill="000000" w:themeFill="text1"/>
          </w:tcPr>
          <w:p w:rsidRPr="0068478E" w:rsidR="00270B53" w:rsidP="00270B53" w:rsidRDefault="00270B53">
            <w:pPr>
              <w:jc w:val="center"/>
              <w:rPr>
                <w:b/>
                <w:bCs/>
                <w:sz w:val="22"/>
                <w:szCs w:val="22"/>
              </w:rPr>
            </w:pPr>
            <w:r w:rsidRPr="0068478E">
              <w:rPr>
                <w:b/>
                <w:bCs/>
                <w:sz w:val="22"/>
                <w:szCs w:val="22"/>
              </w:rPr>
              <w:t>Expense Category</w:t>
            </w:r>
          </w:p>
        </w:tc>
        <w:tc>
          <w:tcPr>
            <w:tcW w:w="2160" w:type="dxa"/>
            <w:shd w:val="clear" w:color="auto" w:fill="000000" w:themeFill="text1"/>
          </w:tcPr>
          <w:p w:rsidRPr="0068478E" w:rsidR="00270B53" w:rsidP="00270B53" w:rsidRDefault="00270B53">
            <w:pPr>
              <w:jc w:val="center"/>
              <w:rPr>
                <w:b/>
                <w:bCs/>
                <w:sz w:val="22"/>
                <w:szCs w:val="22"/>
              </w:rPr>
            </w:pPr>
            <w:r w:rsidRPr="0068478E">
              <w:rPr>
                <w:b/>
                <w:bCs/>
                <w:sz w:val="22"/>
                <w:szCs w:val="22"/>
              </w:rPr>
              <w:t>Cost</w:t>
            </w:r>
          </w:p>
        </w:tc>
      </w:tr>
      <w:tr w:rsidRPr="0068478E" w:rsidR="0068478E" w:rsidTr="000B40D7">
        <w:tc>
          <w:tcPr>
            <w:tcW w:w="2610" w:type="dxa"/>
            <w:shd w:val="clear" w:color="auto" w:fill="auto"/>
          </w:tcPr>
          <w:p w:rsidRPr="0068478E" w:rsidR="00270B53" w:rsidP="00270B53" w:rsidRDefault="00270B53">
            <w:pPr>
              <w:jc w:val="center"/>
              <w:rPr>
                <w:b/>
                <w:bCs/>
                <w:sz w:val="22"/>
                <w:szCs w:val="22"/>
              </w:rPr>
            </w:pPr>
            <w:r w:rsidRPr="0068478E">
              <w:rPr>
                <w:b/>
                <w:bCs/>
                <w:sz w:val="22"/>
                <w:szCs w:val="22"/>
              </w:rPr>
              <w:t>CDFI Fund Staff</w:t>
            </w:r>
          </w:p>
        </w:tc>
        <w:tc>
          <w:tcPr>
            <w:tcW w:w="2160" w:type="dxa"/>
            <w:shd w:val="clear" w:color="auto" w:fill="auto"/>
          </w:tcPr>
          <w:p w:rsidRPr="0068478E" w:rsidR="00270B53" w:rsidP="00270B53" w:rsidRDefault="00A37CFE">
            <w:pPr>
              <w:jc w:val="center"/>
              <w:rPr>
                <w:b/>
                <w:bCs/>
                <w:sz w:val="22"/>
                <w:szCs w:val="22"/>
              </w:rPr>
            </w:pPr>
            <w:r w:rsidRPr="00497625">
              <w:rPr>
                <w:b/>
                <w:color w:val="000000"/>
              </w:rPr>
              <w:t>$175,200</w:t>
            </w:r>
          </w:p>
        </w:tc>
      </w:tr>
      <w:tr w:rsidRPr="0068478E" w:rsidR="004C2B2A" w:rsidTr="000B40D7">
        <w:tc>
          <w:tcPr>
            <w:tcW w:w="2610" w:type="dxa"/>
            <w:shd w:val="clear" w:color="auto" w:fill="auto"/>
          </w:tcPr>
          <w:p w:rsidRPr="0068478E" w:rsidR="004C2B2A" w:rsidP="00270B53" w:rsidRDefault="004C2B2A">
            <w:pPr>
              <w:jc w:val="center"/>
              <w:rPr>
                <w:b/>
                <w:bCs/>
                <w:sz w:val="22"/>
                <w:szCs w:val="22"/>
              </w:rPr>
            </w:pPr>
            <w:r w:rsidRPr="0068478E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160" w:type="dxa"/>
            <w:shd w:val="clear" w:color="auto" w:fill="auto"/>
          </w:tcPr>
          <w:p w:rsidRPr="0068478E" w:rsidR="004C2B2A" w:rsidP="00270B53" w:rsidRDefault="00A37CFE">
            <w:pPr>
              <w:jc w:val="center"/>
              <w:rPr>
                <w:b/>
                <w:bCs/>
                <w:sz w:val="22"/>
                <w:szCs w:val="22"/>
              </w:rPr>
            </w:pPr>
            <w:r w:rsidRPr="00497625">
              <w:rPr>
                <w:b/>
                <w:color w:val="000000"/>
              </w:rPr>
              <w:t>$175,200</w:t>
            </w:r>
          </w:p>
        </w:tc>
      </w:tr>
    </w:tbl>
    <w:p w:rsidRPr="0068478E" w:rsidR="004E3A6A" w:rsidRDefault="004E3A6A">
      <w:pPr>
        <w:rPr>
          <w:u w:val="single"/>
        </w:rPr>
      </w:pPr>
    </w:p>
    <w:p w:rsidRPr="0068478E" w:rsidR="00AA41A3" w:rsidP="00AA41A3" w:rsidRDefault="00AA41A3">
      <w:r w:rsidRPr="0068478E">
        <w:t xml:space="preserve">Specifically, the CDFI Fund estimated the hours by grade level for each step of the application life cycle from pre-application preparation, application collection, and application review. The staff wage rate </w:t>
      </w:r>
      <w:proofErr w:type="gramStart"/>
      <w:r w:rsidRPr="0068478E">
        <w:t>was based on Step 5 of the respective GS level and then multiplied by 1.63% to capture the value of non-wage compensation</w:t>
      </w:r>
      <w:proofErr w:type="gramEnd"/>
      <w:r w:rsidRPr="0068478E">
        <w:t xml:space="preserve">. The average fully loaded cost per hour </w:t>
      </w:r>
      <w:proofErr w:type="gramStart"/>
      <w:r w:rsidRPr="0068478E">
        <w:t>was based</w:t>
      </w:r>
      <w:proofErr w:type="gramEnd"/>
      <w:r w:rsidRPr="0068478E">
        <w:t xml:space="preserve"> on a standard 2,000 full time equivalent (FTE) hours per year.</w:t>
      </w:r>
    </w:p>
    <w:p w:rsidRPr="0068478E" w:rsidR="00270B53" w:rsidRDefault="00270B53">
      <w:pPr>
        <w:rPr>
          <w:u w:val="single"/>
        </w:rPr>
      </w:pPr>
    </w:p>
    <w:tbl>
      <w:tblPr>
        <w:tblW w:w="9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75"/>
        <w:gridCol w:w="1116"/>
        <w:gridCol w:w="1156"/>
        <w:gridCol w:w="1159"/>
        <w:gridCol w:w="1170"/>
        <w:gridCol w:w="1170"/>
      </w:tblGrid>
      <w:tr w:rsidRPr="00446F01" w:rsidR="00A37CFE" w:rsidTr="00CC1FA2">
        <w:trPr>
          <w:trHeight w:val="300"/>
        </w:trPr>
        <w:tc>
          <w:tcPr>
            <w:tcW w:w="9546" w:type="dxa"/>
            <w:gridSpan w:val="6"/>
            <w:shd w:val="clear" w:color="auto" w:fill="404040" w:themeFill="text1" w:themeFillTint="BF"/>
            <w:noWrap/>
            <w:vAlign w:val="bottom"/>
            <w:hideMark/>
          </w:tcPr>
          <w:p w:rsidRPr="00446F01" w:rsidR="00A37CFE" w:rsidP="00CC1FA2" w:rsidRDefault="00A37CF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46F01">
              <w:rPr>
                <w:b/>
                <w:bCs/>
                <w:color w:val="FFFFFF"/>
                <w:sz w:val="22"/>
                <w:szCs w:val="22"/>
              </w:rPr>
              <w:t>CDFI Fund Staff Cost Calculation</w:t>
            </w:r>
          </w:p>
        </w:tc>
      </w:tr>
      <w:tr w:rsidRPr="00647511" w:rsidR="00A37CFE" w:rsidTr="00CC1FA2">
        <w:trPr>
          <w:trHeight w:val="300"/>
        </w:trPr>
        <w:tc>
          <w:tcPr>
            <w:tcW w:w="3775" w:type="dxa"/>
            <w:shd w:val="clear" w:color="auto" w:fill="404040" w:themeFill="text1" w:themeFillTint="BF"/>
            <w:noWrap/>
            <w:vAlign w:val="bottom"/>
            <w:hideMark/>
          </w:tcPr>
          <w:p w:rsidRPr="00446F01" w:rsidR="00A37CFE" w:rsidP="00CC1FA2" w:rsidRDefault="00A37CFE">
            <w:pPr>
              <w:jc w:val="center"/>
              <w:rPr>
                <w:color w:val="000000"/>
              </w:rPr>
            </w:pPr>
            <w:r w:rsidRPr="00446F01">
              <w:rPr>
                <w:b/>
                <w:bCs/>
                <w:color w:val="FFFFFF"/>
                <w:sz w:val="22"/>
                <w:szCs w:val="22"/>
              </w:rPr>
              <w:t>Grade Level</w:t>
            </w:r>
          </w:p>
        </w:tc>
        <w:tc>
          <w:tcPr>
            <w:tcW w:w="1116" w:type="dxa"/>
            <w:shd w:val="clear" w:color="auto" w:fill="404040" w:themeFill="text1" w:themeFillTint="BF"/>
            <w:noWrap/>
            <w:vAlign w:val="bottom"/>
            <w:hideMark/>
          </w:tcPr>
          <w:p w:rsidRPr="00446F01" w:rsidR="00A37CFE" w:rsidP="00CC1FA2" w:rsidRDefault="00A37CF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46F01">
              <w:rPr>
                <w:b/>
                <w:bCs/>
                <w:color w:val="FFFFFF"/>
                <w:sz w:val="22"/>
                <w:szCs w:val="22"/>
              </w:rPr>
              <w:t>GS-12</w:t>
            </w:r>
          </w:p>
        </w:tc>
        <w:tc>
          <w:tcPr>
            <w:tcW w:w="1156" w:type="dxa"/>
            <w:shd w:val="clear" w:color="auto" w:fill="404040" w:themeFill="text1" w:themeFillTint="BF"/>
            <w:noWrap/>
            <w:vAlign w:val="bottom"/>
            <w:hideMark/>
          </w:tcPr>
          <w:p w:rsidRPr="00446F01" w:rsidR="00A37CFE" w:rsidP="00CC1FA2" w:rsidRDefault="00A37CF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46F01">
              <w:rPr>
                <w:b/>
                <w:bCs/>
                <w:color w:val="FFFFFF"/>
                <w:sz w:val="22"/>
                <w:szCs w:val="22"/>
              </w:rPr>
              <w:t>GS-13</w:t>
            </w:r>
          </w:p>
        </w:tc>
        <w:tc>
          <w:tcPr>
            <w:tcW w:w="1159" w:type="dxa"/>
            <w:shd w:val="clear" w:color="auto" w:fill="404040" w:themeFill="text1" w:themeFillTint="BF"/>
            <w:noWrap/>
            <w:vAlign w:val="bottom"/>
            <w:hideMark/>
          </w:tcPr>
          <w:p w:rsidRPr="00446F01" w:rsidR="00A37CFE" w:rsidP="00CC1FA2" w:rsidRDefault="00A37CF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46F01">
              <w:rPr>
                <w:b/>
                <w:bCs/>
                <w:color w:val="FFFFFF"/>
                <w:sz w:val="22"/>
                <w:szCs w:val="22"/>
              </w:rPr>
              <w:t>GS-14</w:t>
            </w:r>
          </w:p>
        </w:tc>
        <w:tc>
          <w:tcPr>
            <w:tcW w:w="1170" w:type="dxa"/>
            <w:shd w:val="clear" w:color="auto" w:fill="404040" w:themeFill="text1" w:themeFillTint="BF"/>
            <w:noWrap/>
            <w:vAlign w:val="bottom"/>
            <w:hideMark/>
          </w:tcPr>
          <w:p w:rsidRPr="00446F01" w:rsidR="00A37CFE" w:rsidP="00CC1FA2" w:rsidRDefault="00A37CF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46F01">
              <w:rPr>
                <w:b/>
                <w:bCs/>
                <w:color w:val="FFFFFF"/>
                <w:sz w:val="22"/>
                <w:szCs w:val="22"/>
              </w:rPr>
              <w:t>GS-15</w:t>
            </w:r>
          </w:p>
        </w:tc>
        <w:tc>
          <w:tcPr>
            <w:tcW w:w="1170" w:type="dxa"/>
            <w:shd w:val="clear" w:color="auto" w:fill="404040" w:themeFill="text1" w:themeFillTint="BF"/>
            <w:noWrap/>
            <w:vAlign w:val="bottom"/>
            <w:hideMark/>
          </w:tcPr>
          <w:p w:rsidRPr="00446F01" w:rsidR="00A37CFE" w:rsidP="00CC1FA2" w:rsidRDefault="00A37CF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46F01">
              <w:rPr>
                <w:b/>
                <w:bCs/>
                <w:color w:val="FFFFFF"/>
                <w:sz w:val="22"/>
                <w:szCs w:val="22"/>
              </w:rPr>
              <w:t>Total</w:t>
            </w:r>
          </w:p>
        </w:tc>
      </w:tr>
      <w:tr w:rsidRPr="00647511" w:rsidR="00A37CFE" w:rsidTr="00CC1FA2">
        <w:trPr>
          <w:trHeight w:val="300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Pr="00446F01" w:rsidR="00A37CFE" w:rsidP="00CC1FA2" w:rsidRDefault="00A37CFE">
            <w:pPr>
              <w:rPr>
                <w:color w:val="000000"/>
              </w:rPr>
            </w:pPr>
            <w:r w:rsidRPr="00446F01">
              <w:rPr>
                <w:color w:val="000000"/>
              </w:rPr>
              <w:t>Total Hours by Grade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 w:rsidRPr="00446F01">
              <w:rPr>
                <w:color w:val="000000"/>
              </w:rPr>
              <w:t xml:space="preserve">                </w:t>
            </w:r>
            <w:r>
              <w:rPr>
                <w:color w:val="000000"/>
              </w:rPr>
              <w:t>1200</w:t>
            </w:r>
            <w:r w:rsidRPr="00446F01">
              <w:rPr>
                <w:color w:val="000000"/>
              </w:rPr>
              <w:t xml:space="preserve"> 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 w:rsidRPr="00446F01">
              <w:rPr>
                <w:color w:val="000000"/>
              </w:rPr>
              <w:t xml:space="preserve">                </w:t>
            </w:r>
            <w:r>
              <w:rPr>
                <w:color w:val="000000"/>
              </w:rPr>
              <w:t>600</w:t>
            </w:r>
            <w:r w:rsidRPr="00446F01">
              <w:rPr>
                <w:color w:val="00000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1,800</w:t>
            </w:r>
            <w:r w:rsidRPr="00446F01">
              <w:rPr>
                <w:color w:val="000000"/>
              </w:rPr>
              <w:t xml:space="preserve">                </w:t>
            </w:r>
          </w:p>
        </w:tc>
      </w:tr>
      <w:tr w:rsidRPr="00647511" w:rsidR="00A37CFE" w:rsidTr="00CC1FA2">
        <w:trPr>
          <w:trHeight w:val="300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Pr="00446F01" w:rsidR="00A37CFE" w:rsidP="00CC1FA2" w:rsidRDefault="00A37CFE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446F01">
              <w:rPr>
                <w:color w:val="000000"/>
              </w:rPr>
              <w:t xml:space="preserve">vg. FTE Fully Loaded </w:t>
            </w:r>
            <w:r>
              <w:rPr>
                <w:color w:val="000000"/>
              </w:rPr>
              <w:t>C</w:t>
            </w:r>
            <w:r w:rsidRPr="00446F01">
              <w:rPr>
                <w:color w:val="000000"/>
              </w:rPr>
              <w:t>ost/Hour</w:t>
            </w:r>
            <w:r>
              <w:rPr>
                <w:color w:val="000000"/>
              </w:rPr>
              <w:t xml:space="preserve"> (See calculation below) 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 w:rsidRPr="00647511">
              <w:rPr>
                <w:color w:val="000000"/>
              </w:rPr>
              <w:t xml:space="preserve"> $</w:t>
            </w:r>
            <w:r w:rsidRPr="00446F01">
              <w:rPr>
                <w:color w:val="000000"/>
              </w:rPr>
              <w:t xml:space="preserve"> 92 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 w:rsidRPr="00647511">
              <w:rPr>
                <w:color w:val="000000"/>
              </w:rPr>
              <w:t xml:space="preserve"> $ </w:t>
            </w:r>
            <w:r w:rsidRPr="00446F01">
              <w:rPr>
                <w:color w:val="000000"/>
              </w:rPr>
              <w:t xml:space="preserve">108 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Pr="00647511" w:rsidR="00A37CFE" w:rsidTr="00CC1FA2">
        <w:trPr>
          <w:trHeight w:val="300"/>
        </w:trPr>
        <w:tc>
          <w:tcPr>
            <w:tcW w:w="3775" w:type="dxa"/>
            <w:shd w:val="clear" w:color="auto" w:fill="E7E6E6" w:themeFill="background2"/>
            <w:noWrap/>
            <w:vAlign w:val="bottom"/>
            <w:hideMark/>
          </w:tcPr>
          <w:p w:rsidRPr="00647511" w:rsidR="00A37CFE" w:rsidP="00CC1FA2" w:rsidRDefault="00A37CFE">
            <w:pPr>
              <w:rPr>
                <w:color w:val="000000"/>
              </w:rPr>
            </w:pPr>
            <w:r w:rsidRPr="00446F01">
              <w:rPr>
                <w:color w:val="000000"/>
              </w:rPr>
              <w:t xml:space="preserve">Total Cost by Grade </w:t>
            </w:r>
          </w:p>
          <w:p w:rsidRPr="00446F01" w:rsidR="00A37CFE" w:rsidP="00CC1FA2" w:rsidRDefault="00A37CFE">
            <w:pPr>
              <w:rPr>
                <w:color w:val="000000"/>
              </w:rPr>
            </w:pPr>
            <w:r w:rsidRPr="00446F01">
              <w:rPr>
                <w:color w:val="000000"/>
              </w:rPr>
              <w:t>(Total Hours * Fully Loaded Cost/Hour)</w:t>
            </w:r>
          </w:p>
        </w:tc>
        <w:tc>
          <w:tcPr>
            <w:tcW w:w="1116" w:type="dxa"/>
            <w:shd w:val="clear" w:color="auto" w:fill="E7E6E6" w:themeFill="background2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6" w:type="dxa"/>
            <w:shd w:val="clear" w:color="auto" w:fill="E7E6E6" w:themeFill="background2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$110,400</w:t>
            </w:r>
            <w:r w:rsidRPr="00446F01">
              <w:rPr>
                <w:color w:val="000000"/>
              </w:rPr>
              <w:t xml:space="preserve"> </w:t>
            </w:r>
          </w:p>
        </w:tc>
        <w:tc>
          <w:tcPr>
            <w:tcW w:w="1159" w:type="dxa"/>
            <w:shd w:val="clear" w:color="auto" w:fill="E7E6E6" w:themeFill="background2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 w:rsidRPr="00647511">
              <w:rPr>
                <w:color w:val="000000"/>
              </w:rPr>
              <w:t xml:space="preserve"> $</w:t>
            </w:r>
            <w:r>
              <w:rPr>
                <w:color w:val="000000"/>
              </w:rPr>
              <w:t>64,800</w:t>
            </w:r>
            <w:r w:rsidRPr="00446F01">
              <w:rPr>
                <w:color w:val="000000"/>
              </w:rPr>
              <w:t xml:space="preserve"> </w:t>
            </w:r>
          </w:p>
        </w:tc>
        <w:tc>
          <w:tcPr>
            <w:tcW w:w="1170" w:type="dxa"/>
            <w:shd w:val="clear" w:color="auto" w:fill="E7E6E6" w:themeFill="background2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shd w:val="clear" w:color="auto" w:fill="E7E6E6" w:themeFill="background2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$175,200</w:t>
            </w:r>
            <w:r w:rsidRPr="00446F01">
              <w:rPr>
                <w:color w:val="000000"/>
              </w:rPr>
              <w:t xml:space="preserve"> </w:t>
            </w:r>
          </w:p>
        </w:tc>
      </w:tr>
      <w:tr w:rsidRPr="00647511" w:rsidR="00A37CFE" w:rsidTr="00CC1FA2">
        <w:trPr>
          <w:trHeight w:val="300"/>
        </w:trPr>
        <w:tc>
          <w:tcPr>
            <w:tcW w:w="9546" w:type="dxa"/>
            <w:gridSpan w:val="6"/>
            <w:shd w:val="clear" w:color="auto" w:fill="404040" w:themeFill="text1" w:themeFillTint="BF"/>
            <w:noWrap/>
            <w:vAlign w:val="bottom"/>
          </w:tcPr>
          <w:p w:rsidR="00A37CFE" w:rsidP="00CC1FA2" w:rsidRDefault="00A37CFE">
            <w:pPr>
              <w:jc w:val="center"/>
              <w:rPr>
                <w:color w:val="000000"/>
              </w:rPr>
            </w:pPr>
          </w:p>
          <w:p w:rsidR="00A37CFE" w:rsidP="00CC1FA2" w:rsidRDefault="00A37CFE">
            <w:pPr>
              <w:jc w:val="center"/>
              <w:rPr>
                <w:color w:val="000000"/>
              </w:rPr>
            </w:pPr>
            <w:r w:rsidRPr="00074EFD">
              <w:rPr>
                <w:b/>
                <w:bCs/>
                <w:color w:val="FFFFFF"/>
                <w:sz w:val="22"/>
                <w:szCs w:val="22"/>
                <w:shd w:val="clear" w:color="auto" w:fill="404040" w:themeFill="text1" w:themeFillTint="BF"/>
              </w:rPr>
              <w:t>Calculation of FTE Fully Loaded Cost/Hour</w:t>
            </w:r>
          </w:p>
        </w:tc>
      </w:tr>
      <w:tr w:rsidRPr="00647511" w:rsidR="00A37CFE" w:rsidTr="00CC1FA2">
        <w:trPr>
          <w:trHeight w:val="300"/>
        </w:trPr>
        <w:tc>
          <w:tcPr>
            <w:tcW w:w="3775" w:type="dxa"/>
            <w:shd w:val="clear" w:color="auto" w:fill="auto"/>
            <w:noWrap/>
            <w:vAlign w:val="bottom"/>
          </w:tcPr>
          <w:p w:rsidRPr="00446F01" w:rsidR="00A37CFE" w:rsidP="00CC1FA2" w:rsidRDefault="00A37CFE">
            <w:pPr>
              <w:rPr>
                <w:color w:val="000000"/>
              </w:rPr>
            </w:pPr>
            <w:r w:rsidRPr="00446F01">
              <w:rPr>
                <w:color w:val="000000"/>
              </w:rPr>
              <w:t>Avg. FTE Annual Salary Step 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A37CFE" w:rsidP="00CC1FA2" w:rsidRDefault="00A37CFE">
            <w:pPr>
              <w:jc w:val="right"/>
              <w:rPr>
                <w:color w:val="000000"/>
              </w:rPr>
            </w:pPr>
            <w:r w:rsidRPr="00647511">
              <w:rPr>
                <w:color w:val="000000"/>
              </w:rPr>
              <w:t xml:space="preserve"> $</w:t>
            </w:r>
            <w:r w:rsidRPr="00446F01">
              <w:rPr>
                <w:color w:val="000000"/>
              </w:rPr>
              <w:t xml:space="preserve">112,393 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Pr="00647511" w:rsidR="00A37CFE" w:rsidP="00CC1FA2" w:rsidRDefault="00A37CFE">
            <w:pPr>
              <w:jc w:val="right"/>
              <w:rPr>
                <w:color w:val="000000"/>
              </w:rPr>
            </w:pPr>
            <w:r w:rsidRPr="006475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446F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$1</w:t>
            </w:r>
            <w:r w:rsidRPr="00446F01">
              <w:rPr>
                <w:color w:val="000000"/>
              </w:rPr>
              <w:t xml:space="preserve">32,818 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Pr="0064751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shd w:val="clear" w:color="auto" w:fill="404040" w:themeFill="text1" w:themeFillTint="BF"/>
            <w:noWrap/>
            <w:vAlign w:val="bottom"/>
          </w:tcPr>
          <w:p w:rsidR="00A37CFE" w:rsidP="00CC1FA2" w:rsidRDefault="00A37CFE">
            <w:pPr>
              <w:jc w:val="right"/>
              <w:rPr>
                <w:color w:val="000000"/>
              </w:rPr>
            </w:pPr>
          </w:p>
        </w:tc>
      </w:tr>
      <w:tr w:rsidRPr="00647511" w:rsidR="00A37CFE" w:rsidTr="00CC1FA2">
        <w:trPr>
          <w:trHeight w:val="300"/>
        </w:trPr>
        <w:tc>
          <w:tcPr>
            <w:tcW w:w="3775" w:type="dxa"/>
            <w:shd w:val="clear" w:color="auto" w:fill="auto"/>
            <w:noWrap/>
            <w:vAlign w:val="bottom"/>
          </w:tcPr>
          <w:p w:rsidRPr="00446F01" w:rsidR="00A37CFE" w:rsidP="00CC1FA2" w:rsidRDefault="00A37CFE">
            <w:pPr>
              <w:rPr>
                <w:color w:val="000000"/>
              </w:rPr>
            </w:pPr>
            <w:r w:rsidRPr="00446F01">
              <w:rPr>
                <w:color w:val="000000"/>
              </w:rPr>
              <w:t>Avg. FTE Fully Loaded C</w:t>
            </w:r>
            <w:r>
              <w:rPr>
                <w:color w:val="000000"/>
              </w:rPr>
              <w:t>ost/Year using 1.63x multiplier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A37CFE" w:rsidP="00CC1FA2" w:rsidRDefault="00A37CFE">
            <w:pPr>
              <w:jc w:val="right"/>
              <w:rPr>
                <w:color w:val="000000"/>
              </w:rPr>
            </w:pPr>
            <w:r w:rsidRPr="00647511">
              <w:rPr>
                <w:color w:val="000000"/>
              </w:rPr>
              <w:t xml:space="preserve"> $</w:t>
            </w:r>
            <w:r>
              <w:rPr>
                <w:color w:val="000000"/>
              </w:rPr>
              <w:t>123,200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Pr="00647511" w:rsidR="00A37CFE" w:rsidP="00CC1FA2" w:rsidRDefault="00A37CFE">
            <w:pPr>
              <w:jc w:val="right"/>
              <w:rPr>
                <w:color w:val="000000"/>
              </w:rPr>
            </w:pPr>
            <w:r w:rsidRPr="00647511">
              <w:rPr>
                <w:color w:val="000000"/>
              </w:rPr>
              <w:t xml:space="preserve"> </w:t>
            </w:r>
            <w:r w:rsidRPr="00446F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$216,493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Pr="0064751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shd w:val="clear" w:color="auto" w:fill="404040" w:themeFill="text1" w:themeFillTint="BF"/>
            <w:noWrap/>
            <w:vAlign w:val="bottom"/>
          </w:tcPr>
          <w:p w:rsidR="00A37CFE" w:rsidP="00CC1FA2" w:rsidRDefault="00A37CFE">
            <w:pPr>
              <w:jc w:val="right"/>
              <w:rPr>
                <w:color w:val="000000"/>
              </w:rPr>
            </w:pPr>
          </w:p>
        </w:tc>
      </w:tr>
      <w:tr w:rsidRPr="00647511" w:rsidR="00A37CFE" w:rsidTr="00CC1FA2">
        <w:trPr>
          <w:trHeight w:val="300"/>
        </w:trPr>
        <w:tc>
          <w:tcPr>
            <w:tcW w:w="3775" w:type="dxa"/>
            <w:shd w:val="clear" w:color="auto" w:fill="auto"/>
            <w:noWrap/>
            <w:vAlign w:val="bottom"/>
          </w:tcPr>
          <w:p w:rsidRPr="00446F01" w:rsidR="00A37CFE" w:rsidP="00CC1FA2" w:rsidRDefault="00A37CFE">
            <w:pPr>
              <w:rPr>
                <w:color w:val="000000"/>
              </w:rPr>
            </w:pPr>
            <w:r>
              <w:rPr>
                <w:color w:val="000000"/>
              </w:rPr>
              <w:t>Standard FTE Hours per year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Pr="00446F0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Pr="0064751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Pr="0064751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Pr="00647511"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shd w:val="clear" w:color="auto" w:fill="404040" w:themeFill="text1" w:themeFillTint="BF"/>
            <w:noWrap/>
            <w:vAlign w:val="bottom"/>
          </w:tcPr>
          <w:p w:rsidR="00A37CFE" w:rsidP="00CC1FA2" w:rsidRDefault="00A37CFE">
            <w:pPr>
              <w:jc w:val="right"/>
              <w:rPr>
                <w:color w:val="000000"/>
              </w:rPr>
            </w:pPr>
          </w:p>
        </w:tc>
      </w:tr>
      <w:tr w:rsidRPr="00647511" w:rsidR="00A37CFE" w:rsidTr="00CC1FA2">
        <w:trPr>
          <w:trHeight w:val="300"/>
        </w:trPr>
        <w:tc>
          <w:tcPr>
            <w:tcW w:w="3775" w:type="dxa"/>
            <w:shd w:val="clear" w:color="auto" w:fill="auto"/>
            <w:noWrap/>
            <w:vAlign w:val="bottom"/>
          </w:tcPr>
          <w:p w:rsidR="00A37CFE" w:rsidP="00CC1FA2" w:rsidRDefault="00A37CFE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446F01">
              <w:rPr>
                <w:color w:val="000000"/>
              </w:rPr>
              <w:t xml:space="preserve">vg. FTE Fully Loaded </w:t>
            </w:r>
            <w:r>
              <w:rPr>
                <w:color w:val="000000"/>
              </w:rPr>
              <w:t>C</w:t>
            </w:r>
            <w:r w:rsidRPr="00446F01">
              <w:rPr>
                <w:color w:val="000000"/>
              </w:rPr>
              <w:t>ost/Hour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A37CFE" w:rsidP="00CC1FA2" w:rsidRDefault="00A37CFE">
            <w:pPr>
              <w:jc w:val="right"/>
              <w:rPr>
                <w:color w:val="000000"/>
              </w:rPr>
            </w:pPr>
            <w:r w:rsidRPr="00647511">
              <w:rPr>
                <w:color w:val="000000"/>
              </w:rPr>
              <w:t xml:space="preserve"> $</w:t>
            </w:r>
            <w:r w:rsidRPr="00446F01">
              <w:rPr>
                <w:color w:val="000000"/>
              </w:rPr>
              <w:t xml:space="preserve"> 92 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A37CFE" w:rsidP="00CC1FA2" w:rsidRDefault="00A37CFE">
            <w:pPr>
              <w:jc w:val="right"/>
              <w:rPr>
                <w:color w:val="000000"/>
              </w:rPr>
            </w:pPr>
            <w:r w:rsidRPr="00647511">
              <w:rPr>
                <w:color w:val="000000"/>
              </w:rPr>
              <w:t xml:space="preserve"> $ </w:t>
            </w:r>
            <w:r w:rsidRPr="00446F01">
              <w:rPr>
                <w:color w:val="000000"/>
              </w:rPr>
              <w:t xml:space="preserve">108 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37CFE" w:rsidP="00CC1FA2" w:rsidRDefault="00A37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0" w:type="dxa"/>
            <w:shd w:val="clear" w:color="auto" w:fill="404040" w:themeFill="text1" w:themeFillTint="BF"/>
            <w:noWrap/>
            <w:vAlign w:val="bottom"/>
          </w:tcPr>
          <w:p w:rsidR="00A37CFE" w:rsidP="00CC1FA2" w:rsidRDefault="00A37CFE">
            <w:pPr>
              <w:jc w:val="right"/>
              <w:rPr>
                <w:color w:val="000000"/>
              </w:rPr>
            </w:pPr>
          </w:p>
        </w:tc>
      </w:tr>
    </w:tbl>
    <w:p w:rsidR="00AA41A3" w:rsidRDefault="00AA41A3">
      <w:pPr>
        <w:rPr>
          <w:u w:val="single"/>
        </w:rPr>
      </w:pPr>
    </w:p>
    <w:p w:rsidR="00A37CFE" w:rsidRDefault="00A37CFE">
      <w:pPr>
        <w:rPr>
          <w:u w:val="single"/>
        </w:rPr>
      </w:pPr>
    </w:p>
    <w:p w:rsidR="004E3A6A" w:rsidRDefault="004E3A6A">
      <w:pPr>
        <w:rPr>
          <w:u w:val="single"/>
        </w:rPr>
      </w:pPr>
      <w:r>
        <w:rPr>
          <w:u w:val="single"/>
        </w:rPr>
        <w:t>15.  Any program changes or adjustments</w:t>
      </w:r>
    </w:p>
    <w:p w:rsidR="004E57F3" w:rsidP="004E57F3" w:rsidRDefault="004E57F3">
      <w:pPr>
        <w:autoSpaceDE w:val="0"/>
        <w:autoSpaceDN w:val="0"/>
        <w:adjustRightInd w:val="0"/>
        <w:rPr>
          <w:szCs w:val="24"/>
        </w:rPr>
      </w:pPr>
    </w:p>
    <w:p w:rsidR="004E57F3" w:rsidP="004E57F3" w:rsidRDefault="004E57F3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The CDFI Fund has removed unused data points from this </w:t>
      </w:r>
      <w:r>
        <w:rPr>
          <w:szCs w:val="24"/>
        </w:rPr>
        <w:t>collection;</w:t>
      </w:r>
      <w:r>
        <w:rPr>
          <w:szCs w:val="24"/>
        </w:rPr>
        <w:t xml:space="preserve"> </w:t>
      </w:r>
      <w:r>
        <w:rPr>
          <w:szCs w:val="24"/>
        </w:rPr>
        <w:t>however,</w:t>
      </w:r>
      <w:r>
        <w:rPr>
          <w:szCs w:val="24"/>
        </w:rPr>
        <w:t xml:space="preserve"> the overall burden per response is being increased by </w:t>
      </w:r>
      <w:r>
        <w:rPr>
          <w:szCs w:val="24"/>
        </w:rPr>
        <w:t>15</w:t>
      </w:r>
      <w:r>
        <w:rPr>
          <w:szCs w:val="24"/>
        </w:rPr>
        <w:t xml:space="preserve"> minutes due to an adjustment in agency estimates. </w:t>
      </w:r>
      <w:r>
        <w:rPr>
          <w:szCs w:val="24"/>
        </w:rPr>
        <w:t>The Fund</w:t>
      </w:r>
      <w:r>
        <w:rPr>
          <w:szCs w:val="24"/>
        </w:rPr>
        <w:t xml:space="preserve"> believes that </w:t>
      </w:r>
      <w:r>
        <w:rPr>
          <w:szCs w:val="24"/>
        </w:rPr>
        <w:t>4</w:t>
      </w:r>
      <w:r>
        <w:rPr>
          <w:szCs w:val="24"/>
        </w:rPr>
        <w:t xml:space="preserve"> hours is a more accurate estimate of the time required per response. </w:t>
      </w:r>
    </w:p>
    <w:p w:rsidR="004E3A6A" w:rsidRDefault="004E3A6A">
      <w:pPr>
        <w:rPr>
          <w:u w:val="single"/>
        </w:rPr>
      </w:pPr>
    </w:p>
    <w:p w:rsidR="004E3A6A" w:rsidRDefault="004E3A6A">
      <w:pPr>
        <w:rPr>
          <w:u w:val="single"/>
        </w:rPr>
      </w:pPr>
      <w:r>
        <w:rPr>
          <w:u w:val="single"/>
        </w:rPr>
        <w:t>16.  Plans for information tabulation and publication</w:t>
      </w:r>
      <w:bookmarkStart w:name="_GoBack" w:id="0"/>
      <w:bookmarkEnd w:id="0"/>
    </w:p>
    <w:p w:rsidR="003B7D68" w:rsidRDefault="004E3A6A">
      <w:r>
        <w:t xml:space="preserve">Confidential or proprietary information collected through this information collection </w:t>
      </w:r>
      <w:proofErr w:type="gramStart"/>
      <w:r>
        <w:t>will not be published</w:t>
      </w:r>
      <w:proofErr w:type="gramEnd"/>
      <w:r>
        <w:t>.</w:t>
      </w:r>
      <w:r w:rsidR="003B7D68">
        <w:t xml:space="preserve"> </w:t>
      </w:r>
    </w:p>
    <w:p w:rsidR="003B7D68" w:rsidRDefault="003B7D68"/>
    <w:p w:rsidR="004E3A6A" w:rsidRDefault="004E3A6A">
      <w:r>
        <w:rPr>
          <w:u w:val="single"/>
        </w:rPr>
        <w:t>17.  Reasons for not displaying expiration date of OMB approval</w:t>
      </w:r>
    </w:p>
    <w:p w:rsidR="004E3A6A" w:rsidRDefault="00CA278A">
      <w:r>
        <w:t>Display of the expiration date may lead to confusion among respondents</w:t>
      </w:r>
      <w:r w:rsidR="00F468FA">
        <w:t xml:space="preserve"> who may have identical forms with a different expiration dates in their possession or lead them believe that this date represe</w:t>
      </w:r>
      <w:r w:rsidR="0038574C">
        <w:t xml:space="preserve">nts a due date or sunset date. </w:t>
      </w:r>
      <w:r w:rsidR="00F468FA">
        <w:t xml:space="preserve">We request a non-display of the OMB expiration date.  </w:t>
      </w:r>
    </w:p>
    <w:p w:rsidR="004E3A6A" w:rsidRDefault="004E3A6A">
      <w:pPr>
        <w:rPr>
          <w:u w:val="single"/>
        </w:rPr>
      </w:pPr>
    </w:p>
    <w:p w:rsidR="004E3A6A" w:rsidRDefault="004E3A6A">
      <w:pPr>
        <w:rPr>
          <w:u w:val="single"/>
        </w:rPr>
      </w:pPr>
      <w:r>
        <w:rPr>
          <w:u w:val="single"/>
        </w:rPr>
        <w:t>18.  Explanation of exceptions to certification statement</w:t>
      </w:r>
    </w:p>
    <w:p w:rsidR="003B7D68" w:rsidP="003B7D68" w:rsidRDefault="004E3A6A">
      <w:r>
        <w:t>Not applicable.</w:t>
      </w:r>
    </w:p>
    <w:p w:rsidR="003B7D68" w:rsidP="003B7D68" w:rsidRDefault="003B7D68"/>
    <w:p w:rsidRPr="003C7884" w:rsidR="007F0646" w:rsidP="003C7884" w:rsidRDefault="007F0646">
      <w:pPr>
        <w:ind w:firstLine="720"/>
        <w:rPr>
          <w:b/>
        </w:rPr>
      </w:pPr>
      <w:r w:rsidRPr="003C7884">
        <w:rPr>
          <w:b/>
        </w:rPr>
        <w:t>B. Collections of Information Employing Statistical Methods</w:t>
      </w:r>
    </w:p>
    <w:p w:rsidR="004E3A6A" w:rsidP="003C7884" w:rsidRDefault="004E3A6A">
      <w:pPr>
        <w:ind w:firstLine="720"/>
      </w:pPr>
      <w:r w:rsidRPr="003C7884">
        <w:t>Not applicable.</w:t>
      </w:r>
    </w:p>
    <w:p w:rsidR="00D13941" w:rsidP="003C7884" w:rsidRDefault="00D13941">
      <w:pPr>
        <w:ind w:firstLine="720"/>
      </w:pPr>
    </w:p>
    <w:p w:rsidR="00D13941" w:rsidP="003C7884" w:rsidRDefault="00D13941">
      <w:pPr>
        <w:ind w:firstLine="720"/>
      </w:pPr>
    </w:p>
    <w:p w:rsidR="00D13941" w:rsidRDefault="00D13941">
      <w:r>
        <w:br w:type="page"/>
      </w:r>
    </w:p>
    <w:p w:rsidR="00D13941" w:rsidP="003C7884" w:rsidRDefault="00D13941">
      <w:pPr>
        <w:ind w:firstLine="720"/>
        <w:sectPr w:rsidR="00D13941" w:rsidSect="00FE1999">
          <w:headerReference w:type="default" r:id="rId13"/>
          <w:footerReference w:type="even" r:id="rId14"/>
          <w:footerReference w:type="default" r:id="rId15"/>
          <w:pgSz w:w="12240" w:h="15840"/>
          <w:pgMar w:top="1296" w:right="1440" w:bottom="1152" w:left="1440" w:header="720" w:footer="720" w:gutter="0"/>
          <w:cols w:space="720"/>
          <w:docGrid w:linePitch="326"/>
        </w:sectPr>
      </w:pPr>
    </w:p>
    <w:p w:rsidR="00D13941" w:rsidP="006001F0" w:rsidRDefault="006001F0">
      <w:pPr>
        <w:ind w:firstLine="720"/>
        <w:jc w:val="center"/>
      </w:pPr>
      <w:r w:rsidRPr="006001F0">
        <w:lastRenderedPageBreak/>
        <w:t xml:space="preserve">Appendix A. </w:t>
      </w:r>
      <w:r>
        <w:t xml:space="preserve">CDE Certification Application </w:t>
      </w:r>
      <w:r w:rsidRPr="006001F0">
        <w:t>PRA - Summary of Public Comments and CDFI Fund Responses</w:t>
      </w:r>
    </w:p>
    <w:p w:rsidR="006001F0" w:rsidP="003C7884" w:rsidRDefault="006001F0">
      <w:pPr>
        <w:ind w:firstLine="720"/>
      </w:pPr>
    </w:p>
    <w:p w:rsidR="006001F0" w:rsidP="003C7884" w:rsidRDefault="006001F0">
      <w:pPr>
        <w:ind w:firstLine="720"/>
      </w:pPr>
    </w:p>
    <w:tbl>
      <w:tblPr>
        <w:tblW w:w="13850" w:type="dxa"/>
        <w:tblLook w:val="04A0" w:firstRow="1" w:lastRow="0" w:firstColumn="1" w:lastColumn="0" w:noHBand="0" w:noVBand="1"/>
      </w:tblPr>
      <w:tblGrid>
        <w:gridCol w:w="479"/>
        <w:gridCol w:w="1230"/>
        <w:gridCol w:w="1576"/>
        <w:gridCol w:w="1638"/>
        <w:gridCol w:w="1948"/>
        <w:gridCol w:w="1272"/>
        <w:gridCol w:w="3457"/>
        <w:gridCol w:w="2250"/>
      </w:tblGrid>
      <w:tr w:rsidRPr="006001F0" w:rsidR="006001F0" w:rsidTr="006001F0">
        <w:trPr>
          <w:trHeight w:val="299"/>
        </w:trPr>
        <w:tc>
          <w:tcPr>
            <w:tcW w:w="4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7E6E6"/>
          </w:tcPr>
          <w:p w:rsidRPr="006001F0" w:rsidR="006001F0" w:rsidP="006001F0" w:rsidRDefault="006001F0">
            <w:pPr>
              <w:rPr>
                <w:b/>
                <w:bCs/>
                <w:color w:val="000000"/>
                <w:szCs w:val="24"/>
              </w:rPr>
            </w:pPr>
            <w:r w:rsidRPr="006001F0">
              <w:rPr>
                <w:b/>
                <w:bCs/>
                <w:color w:val="000000"/>
                <w:szCs w:val="24"/>
              </w:rPr>
              <w:t>#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  <w:hideMark/>
          </w:tcPr>
          <w:p w:rsidRPr="006001F0" w:rsidR="006001F0" w:rsidP="006001F0" w:rsidRDefault="006001F0">
            <w:pPr>
              <w:rPr>
                <w:b/>
                <w:bCs/>
                <w:color w:val="000000"/>
                <w:szCs w:val="24"/>
              </w:rPr>
            </w:pPr>
            <w:r w:rsidRPr="006001F0">
              <w:rPr>
                <w:b/>
                <w:bCs/>
                <w:color w:val="000000"/>
                <w:szCs w:val="24"/>
              </w:rPr>
              <w:t>Date of Comment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6001F0" w:rsidR="006001F0" w:rsidP="006001F0" w:rsidRDefault="006001F0">
            <w:pPr>
              <w:rPr>
                <w:b/>
                <w:bCs/>
                <w:color w:val="000000"/>
                <w:szCs w:val="24"/>
              </w:rPr>
            </w:pPr>
            <w:r w:rsidRPr="006001F0">
              <w:rPr>
                <w:b/>
                <w:bCs/>
                <w:color w:val="000000"/>
                <w:szCs w:val="24"/>
              </w:rPr>
              <w:t>Organization</w:t>
            </w:r>
          </w:p>
        </w:tc>
        <w:tc>
          <w:tcPr>
            <w:tcW w:w="16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  <w:hideMark/>
          </w:tcPr>
          <w:p w:rsidRPr="006001F0" w:rsidR="006001F0" w:rsidP="006001F0" w:rsidRDefault="006001F0">
            <w:pPr>
              <w:rPr>
                <w:b/>
                <w:bCs/>
                <w:color w:val="000000"/>
                <w:szCs w:val="24"/>
              </w:rPr>
            </w:pPr>
            <w:r w:rsidRPr="006001F0">
              <w:rPr>
                <w:b/>
                <w:bCs/>
                <w:color w:val="000000"/>
                <w:szCs w:val="24"/>
              </w:rPr>
              <w:t>Author Name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6001F0" w:rsidR="006001F0" w:rsidP="006001F0" w:rsidRDefault="006001F0">
            <w:pPr>
              <w:rPr>
                <w:b/>
                <w:bCs/>
                <w:color w:val="000000"/>
                <w:szCs w:val="24"/>
              </w:rPr>
            </w:pPr>
            <w:r w:rsidRPr="006001F0">
              <w:rPr>
                <w:b/>
                <w:bCs/>
                <w:color w:val="000000"/>
                <w:szCs w:val="24"/>
              </w:rPr>
              <w:t>Author Position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6001F0" w:rsidR="006001F0" w:rsidP="006001F0" w:rsidRDefault="006001F0">
            <w:pPr>
              <w:rPr>
                <w:b/>
                <w:bCs/>
                <w:color w:val="000000"/>
                <w:szCs w:val="24"/>
              </w:rPr>
            </w:pPr>
            <w:r w:rsidRPr="006001F0">
              <w:rPr>
                <w:b/>
                <w:bCs/>
                <w:color w:val="000000"/>
                <w:szCs w:val="24"/>
              </w:rPr>
              <w:t>Category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6001F0" w:rsidR="006001F0" w:rsidP="006001F0" w:rsidRDefault="006001F0">
            <w:pPr>
              <w:rPr>
                <w:b/>
                <w:bCs/>
                <w:color w:val="000000"/>
                <w:szCs w:val="24"/>
              </w:rPr>
            </w:pPr>
            <w:r w:rsidRPr="006001F0">
              <w:rPr>
                <w:b/>
                <w:bCs/>
                <w:color w:val="000000"/>
                <w:szCs w:val="24"/>
              </w:rPr>
              <w:t>Comment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E7E6E6"/>
            <w:vAlign w:val="center"/>
            <w:hideMark/>
          </w:tcPr>
          <w:p w:rsidRPr="006001F0" w:rsidR="006001F0" w:rsidP="006001F0" w:rsidRDefault="006001F0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CCME </w:t>
            </w:r>
            <w:r w:rsidRPr="006001F0">
              <w:rPr>
                <w:b/>
                <w:bCs/>
                <w:color w:val="000000"/>
                <w:szCs w:val="24"/>
              </w:rPr>
              <w:t>Response</w:t>
            </w:r>
          </w:p>
        </w:tc>
      </w:tr>
      <w:tr w:rsidRPr="006001F0" w:rsidR="006001F0" w:rsidTr="006001F0">
        <w:trPr>
          <w:trHeight w:val="1813"/>
        </w:trPr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:rsidRPr="006001F0" w:rsidR="006001F0" w:rsidP="006001F0" w:rsidRDefault="00600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001F0" w:rsidR="006001F0" w:rsidP="006001F0" w:rsidRDefault="006001F0">
            <w:pPr>
              <w:rPr>
                <w:color w:val="000000"/>
                <w:szCs w:val="24"/>
              </w:rPr>
            </w:pPr>
            <w:r w:rsidRPr="006001F0">
              <w:rPr>
                <w:color w:val="000000"/>
                <w:szCs w:val="24"/>
              </w:rPr>
              <w:t>2/24/2020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6001F0" w:rsidR="006001F0" w:rsidP="006001F0" w:rsidRDefault="006001F0">
            <w:pPr>
              <w:rPr>
                <w:color w:val="000000"/>
                <w:szCs w:val="24"/>
              </w:rPr>
            </w:pPr>
            <w:r w:rsidRPr="006001F0">
              <w:rPr>
                <w:color w:val="000000"/>
                <w:szCs w:val="24"/>
              </w:rPr>
              <w:t>L</w:t>
            </w:r>
            <w:r>
              <w:rPr>
                <w:color w:val="000000"/>
                <w:szCs w:val="24"/>
              </w:rPr>
              <w:t xml:space="preserve">ow Income Investment Fund 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001F0" w:rsidR="006001F0" w:rsidP="006001F0" w:rsidRDefault="006001F0">
            <w:pPr>
              <w:rPr>
                <w:color w:val="000000"/>
                <w:szCs w:val="24"/>
              </w:rPr>
            </w:pPr>
            <w:r w:rsidRPr="006001F0">
              <w:rPr>
                <w:color w:val="000000"/>
                <w:szCs w:val="24"/>
              </w:rPr>
              <w:t>Amy Laughlin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6001F0" w:rsidR="006001F0" w:rsidP="006001F0" w:rsidRDefault="006001F0">
            <w:pPr>
              <w:rPr>
                <w:color w:val="000000"/>
                <w:szCs w:val="24"/>
              </w:rPr>
            </w:pPr>
            <w:r w:rsidRPr="006001F0">
              <w:rPr>
                <w:color w:val="000000"/>
                <w:szCs w:val="24"/>
              </w:rPr>
              <w:t>VP, Structured Products and Capital Markets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6001F0" w:rsidR="006001F0" w:rsidP="006001F0" w:rsidRDefault="006001F0">
            <w:pPr>
              <w:rPr>
                <w:color w:val="000000"/>
                <w:szCs w:val="24"/>
              </w:rPr>
            </w:pPr>
            <w:r w:rsidRPr="006001F0">
              <w:rPr>
                <w:color w:val="000000"/>
                <w:szCs w:val="24"/>
              </w:rPr>
              <w:t>General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hideMark/>
          </w:tcPr>
          <w:p w:rsidRPr="006001F0" w:rsidR="006001F0" w:rsidP="006001F0" w:rsidRDefault="006001F0">
            <w:pPr>
              <w:rPr>
                <w:color w:val="000000"/>
                <w:szCs w:val="24"/>
              </w:rPr>
            </w:pPr>
            <w:r w:rsidRPr="006001F0">
              <w:rPr>
                <w:color w:val="000000"/>
                <w:szCs w:val="24"/>
              </w:rPr>
              <w:t>Guidance documents and data requested for CDE Certification application are clearly stated. We do not request clarifications or changes.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001F0" w:rsidR="006001F0" w:rsidP="006001F0" w:rsidRDefault="006001F0">
            <w:pPr>
              <w:rPr>
                <w:color w:val="000000"/>
                <w:szCs w:val="24"/>
              </w:rPr>
            </w:pPr>
            <w:r w:rsidRPr="006001F0">
              <w:rPr>
                <w:color w:val="000000"/>
                <w:szCs w:val="24"/>
              </w:rPr>
              <w:t>We concur.</w:t>
            </w:r>
          </w:p>
        </w:tc>
      </w:tr>
    </w:tbl>
    <w:p w:rsidRPr="003C7884" w:rsidR="006001F0" w:rsidP="003C7884" w:rsidRDefault="006001F0">
      <w:pPr>
        <w:ind w:firstLine="720"/>
      </w:pPr>
    </w:p>
    <w:sectPr w:rsidRPr="003C7884" w:rsidR="006001F0" w:rsidSect="00D13941">
      <w:pgSz w:w="15840" w:h="12240" w:orient="landscape"/>
      <w:pgMar w:top="1440" w:right="1296" w:bottom="144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3C" w:rsidRDefault="00D75D3C">
      <w:r>
        <w:separator/>
      </w:r>
    </w:p>
  </w:endnote>
  <w:endnote w:type="continuationSeparator" w:id="0">
    <w:p w:rsidR="00D75D3C" w:rsidRDefault="00D7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99" w:rsidRDefault="00FE19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999" w:rsidRDefault="00FE1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99" w:rsidRDefault="00FE19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57F3">
      <w:rPr>
        <w:rStyle w:val="PageNumber"/>
        <w:noProof/>
      </w:rPr>
      <w:t>5</w:t>
    </w:r>
    <w:r>
      <w:rPr>
        <w:rStyle w:val="PageNumber"/>
      </w:rPr>
      <w:fldChar w:fldCharType="end"/>
    </w:r>
  </w:p>
  <w:p w:rsidR="00FE1999" w:rsidRPr="000575C2" w:rsidRDefault="00FE1999">
    <w:pPr>
      <w:pStyle w:val="Footer"/>
      <w:rPr>
        <w:rFonts w:ascii="Arial Narrow" w:hAnsi="Arial Narrow"/>
        <w:sz w:val="18"/>
        <w:szCs w:val="18"/>
      </w:rPr>
    </w:pPr>
    <w:r w:rsidRPr="000575C2">
      <w:rPr>
        <w:rFonts w:ascii="Arial Narrow" w:hAnsi="Arial Narrow"/>
        <w:sz w:val="18"/>
        <w:szCs w:val="18"/>
      </w:rPr>
      <w:t xml:space="preserve">#1559-0014 – REV </w:t>
    </w:r>
    <w:r w:rsidR="0068478E">
      <w:rPr>
        <w:rFonts w:ascii="Arial Narrow" w:hAnsi="Arial Narrow"/>
        <w:sz w:val="18"/>
        <w:szCs w:val="18"/>
      </w:rPr>
      <w:t>2/20</w:t>
    </w:r>
    <w:r w:rsidR="00902AE7">
      <w:rPr>
        <w:rFonts w:ascii="Arial Narrow" w:hAnsi="Arial Narrow"/>
        <w:sz w:val="18"/>
        <w:szCs w:val="18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3C" w:rsidRDefault="00D75D3C">
      <w:r>
        <w:separator/>
      </w:r>
    </w:p>
  </w:footnote>
  <w:footnote w:type="continuationSeparator" w:id="0">
    <w:p w:rsidR="00D75D3C" w:rsidRDefault="00D75D3C">
      <w:r>
        <w:continuationSeparator/>
      </w:r>
    </w:p>
  </w:footnote>
  <w:footnote w:id="1">
    <w:p w:rsidR="002C02EB" w:rsidRDefault="002C02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74D4A">
        <w:t>https://www.bls.gov/news.release/ecec.t04.htm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99" w:rsidRDefault="00FE1999">
    <w:pPr>
      <w:pStyle w:val="Header"/>
      <w:jc w:val="center"/>
    </w:pPr>
    <w:r>
      <w:t>Community Development Financial Institutions Fund, Department of the Treasury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D3F"/>
    <w:multiLevelType w:val="hybridMultilevel"/>
    <w:tmpl w:val="DEE45F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E58BF"/>
    <w:multiLevelType w:val="singleLevel"/>
    <w:tmpl w:val="A9E6693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u w:val="singl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B0"/>
    <w:rsid w:val="00012443"/>
    <w:rsid w:val="000137CB"/>
    <w:rsid w:val="00014C80"/>
    <w:rsid w:val="00017A42"/>
    <w:rsid w:val="0003033F"/>
    <w:rsid w:val="00030366"/>
    <w:rsid w:val="000575C2"/>
    <w:rsid w:val="00081191"/>
    <w:rsid w:val="000B0A14"/>
    <w:rsid w:val="000B40D7"/>
    <w:rsid w:val="000D26DF"/>
    <w:rsid w:val="000D668A"/>
    <w:rsid w:val="000F0FF8"/>
    <w:rsid w:val="00151403"/>
    <w:rsid w:val="00154ABA"/>
    <w:rsid w:val="00194EE5"/>
    <w:rsid w:val="00270B53"/>
    <w:rsid w:val="0027523E"/>
    <w:rsid w:val="0027678C"/>
    <w:rsid w:val="00297FFE"/>
    <w:rsid w:val="002B10A3"/>
    <w:rsid w:val="002C02EB"/>
    <w:rsid w:val="003005DD"/>
    <w:rsid w:val="00316FEC"/>
    <w:rsid w:val="00324AA4"/>
    <w:rsid w:val="0035459E"/>
    <w:rsid w:val="00380068"/>
    <w:rsid w:val="00384077"/>
    <w:rsid w:val="0038574C"/>
    <w:rsid w:val="003857D9"/>
    <w:rsid w:val="00396E6D"/>
    <w:rsid w:val="003B7D68"/>
    <w:rsid w:val="003C7884"/>
    <w:rsid w:val="003E049C"/>
    <w:rsid w:val="004135C0"/>
    <w:rsid w:val="0042581A"/>
    <w:rsid w:val="00434CA7"/>
    <w:rsid w:val="004455A0"/>
    <w:rsid w:val="00474AC6"/>
    <w:rsid w:val="004C2B2A"/>
    <w:rsid w:val="004C5E2D"/>
    <w:rsid w:val="004E3A6A"/>
    <w:rsid w:val="004E57F3"/>
    <w:rsid w:val="005057E1"/>
    <w:rsid w:val="00534FA3"/>
    <w:rsid w:val="00535DD3"/>
    <w:rsid w:val="005419FC"/>
    <w:rsid w:val="00551259"/>
    <w:rsid w:val="005A1ACE"/>
    <w:rsid w:val="005A21BB"/>
    <w:rsid w:val="005C0C97"/>
    <w:rsid w:val="005E7463"/>
    <w:rsid w:val="005E7992"/>
    <w:rsid w:val="006001F0"/>
    <w:rsid w:val="00606A87"/>
    <w:rsid w:val="0061152F"/>
    <w:rsid w:val="00640E82"/>
    <w:rsid w:val="0068478E"/>
    <w:rsid w:val="006A785B"/>
    <w:rsid w:val="006C3F4C"/>
    <w:rsid w:val="006D2035"/>
    <w:rsid w:val="006E56E5"/>
    <w:rsid w:val="006F5272"/>
    <w:rsid w:val="0070096A"/>
    <w:rsid w:val="00753662"/>
    <w:rsid w:val="0076556B"/>
    <w:rsid w:val="007A7BE2"/>
    <w:rsid w:val="007C26BE"/>
    <w:rsid w:val="007F0314"/>
    <w:rsid w:val="007F0646"/>
    <w:rsid w:val="00800E4B"/>
    <w:rsid w:val="00802D5F"/>
    <w:rsid w:val="00841045"/>
    <w:rsid w:val="00843963"/>
    <w:rsid w:val="00876D1E"/>
    <w:rsid w:val="008836BF"/>
    <w:rsid w:val="00886AD0"/>
    <w:rsid w:val="00887B91"/>
    <w:rsid w:val="008A3B0A"/>
    <w:rsid w:val="008B0C21"/>
    <w:rsid w:val="008D2796"/>
    <w:rsid w:val="008E3962"/>
    <w:rsid w:val="008F5232"/>
    <w:rsid w:val="009014F2"/>
    <w:rsid w:val="00902AE7"/>
    <w:rsid w:val="009335B8"/>
    <w:rsid w:val="00935D1F"/>
    <w:rsid w:val="009377D0"/>
    <w:rsid w:val="00950426"/>
    <w:rsid w:val="009825DE"/>
    <w:rsid w:val="009B3A9C"/>
    <w:rsid w:val="00A0275C"/>
    <w:rsid w:val="00A37CFE"/>
    <w:rsid w:val="00A50A65"/>
    <w:rsid w:val="00A7229E"/>
    <w:rsid w:val="00A74EB3"/>
    <w:rsid w:val="00A90466"/>
    <w:rsid w:val="00A9318F"/>
    <w:rsid w:val="00AA41A3"/>
    <w:rsid w:val="00AC0FA4"/>
    <w:rsid w:val="00AD4AA8"/>
    <w:rsid w:val="00B113BC"/>
    <w:rsid w:val="00B20384"/>
    <w:rsid w:val="00B47129"/>
    <w:rsid w:val="00B54B9F"/>
    <w:rsid w:val="00BC08C8"/>
    <w:rsid w:val="00BF6F9D"/>
    <w:rsid w:val="00C563C4"/>
    <w:rsid w:val="00C829CC"/>
    <w:rsid w:val="00C87306"/>
    <w:rsid w:val="00C91448"/>
    <w:rsid w:val="00C97251"/>
    <w:rsid w:val="00C97391"/>
    <w:rsid w:val="00CA278A"/>
    <w:rsid w:val="00CA381C"/>
    <w:rsid w:val="00CB241D"/>
    <w:rsid w:val="00CF1BB0"/>
    <w:rsid w:val="00CF688E"/>
    <w:rsid w:val="00D069C0"/>
    <w:rsid w:val="00D13941"/>
    <w:rsid w:val="00D13CB2"/>
    <w:rsid w:val="00D25979"/>
    <w:rsid w:val="00D41762"/>
    <w:rsid w:val="00D45B54"/>
    <w:rsid w:val="00D51C08"/>
    <w:rsid w:val="00D5209F"/>
    <w:rsid w:val="00D63318"/>
    <w:rsid w:val="00D75D3C"/>
    <w:rsid w:val="00DC4B0D"/>
    <w:rsid w:val="00DF3EEB"/>
    <w:rsid w:val="00E42FB7"/>
    <w:rsid w:val="00E65AB0"/>
    <w:rsid w:val="00EB4C2A"/>
    <w:rsid w:val="00F058B4"/>
    <w:rsid w:val="00F179A4"/>
    <w:rsid w:val="00F26C97"/>
    <w:rsid w:val="00F468FA"/>
    <w:rsid w:val="00F846CE"/>
    <w:rsid w:val="00FA4E3A"/>
    <w:rsid w:val="00FA690D"/>
    <w:rsid w:val="00FB03F4"/>
    <w:rsid w:val="00FB44E6"/>
    <w:rsid w:val="00FE1999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BE0D8"/>
  <w15:chartTrackingRefBased/>
  <w15:docId w15:val="{1712B756-739D-42C9-B5B8-85298054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both"/>
    </w:pPr>
  </w:style>
  <w:style w:type="paragraph" w:styleId="BalloonText">
    <w:name w:val="Balloon Text"/>
    <w:basedOn w:val="Normal"/>
    <w:semiHidden/>
    <w:rsid w:val="00E65A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5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D68"/>
    <w:pPr>
      <w:ind w:left="720"/>
      <w:contextualSpacing/>
    </w:pPr>
    <w:rPr>
      <w:szCs w:val="24"/>
    </w:rPr>
  </w:style>
  <w:style w:type="paragraph" w:customStyle="1" w:styleId="Default">
    <w:name w:val="Default"/>
    <w:rsid w:val="007F06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7F0646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2C02E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C02EB"/>
  </w:style>
  <w:style w:type="character" w:styleId="FootnoteReference">
    <w:name w:val="footnote reference"/>
    <w:basedOn w:val="DefaultParagraphFont"/>
    <w:rsid w:val="002C02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_x0020_Unit xmlns="9919965a-8b78-4802-aa58-bdb535b7c0eb">CCME</Business_x0020_Unit>
    <Expiration_x0020_Date0 xmlns="9919965a-8b78-4802-aa58-bdb535b7c0eb" xsi:nil="true"/>
    <OMB_x0020_Control_x0020_Number xmlns="9919965a-8b78-4802-aa58-bdb535b7c0eb">1559-0014 - CDE Certification </OMB_x0020_Control_x0020_Number>
    <Status xmlns="9919965a-8b78-4802-aa58-bdb535b7c0eb" xsi:nil="true"/>
    <Form_x0020_Name xmlns="9919965a-8b78-4802-aa58-bdb535b7c0eb" xsi:nil="true"/>
    <Document_x0020_Owner xmlns="9919965a-8b78-4802-aa58-bdb535b7c0eb">David Meyer</Document_x0020_Own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038DC2250BE40AD81129ADB79D029" ma:contentTypeVersion="7" ma:contentTypeDescription="Create a new document." ma:contentTypeScope="" ma:versionID="ef22411c518200dbc62840eb01d6aa3b">
  <xsd:schema xmlns:xsd="http://www.w3.org/2001/XMLSchema" xmlns:xs="http://www.w3.org/2001/XMLSchema" xmlns:p="http://schemas.microsoft.com/office/2006/metadata/properties" xmlns:ns2="9919965a-8b78-4802-aa58-bdb535b7c0eb" xmlns:ns3="52222ef0-b167-44f5-92f7-438fda0857cd" targetNamespace="http://schemas.microsoft.com/office/2006/metadata/properties" ma:root="true" ma:fieldsID="ee85f77cc85ad138055dd5ed555a67a4" ns2:_="" ns3:_="">
    <xsd:import namespace="9919965a-8b78-4802-aa58-bdb535b7c0eb"/>
    <xsd:import namespace="52222ef0-b167-44f5-92f7-438fda0857cd"/>
    <xsd:element name="properties">
      <xsd:complexType>
        <xsd:sequence>
          <xsd:element name="documentManagement">
            <xsd:complexType>
              <xsd:all>
                <xsd:element ref="ns2:OMB_x0020_Control_x0020_Number"/>
                <xsd:element ref="ns2:Form_x0020_Name" minOccurs="0"/>
                <xsd:element ref="ns2:Expiration_x0020_Date0" minOccurs="0"/>
                <xsd:element ref="ns2:Business_x0020_Unit"/>
                <xsd:element ref="ns2:Document_x0020_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9965a-8b78-4802-aa58-bdb535b7c0eb" elementFormDefault="qualified">
    <xsd:import namespace="http://schemas.microsoft.com/office/2006/documentManagement/types"/>
    <xsd:import namespace="http://schemas.microsoft.com/office/infopath/2007/PartnerControls"/>
    <xsd:element name="OMB_x0020_Control_x0020_Number" ma:index="2" ma:displayName="OMB Control Number" ma:internalName="OMB_x0020_Control_x0020_Number">
      <xsd:simpleType>
        <xsd:restriction base="dms:Text">
          <xsd:maxLength value="255"/>
        </xsd:restriction>
      </xsd:simpleType>
    </xsd:element>
    <xsd:element name="Form_x0020_Name" ma:index="3" nillable="true" ma:displayName="Form Name" ma:internalName="Form_x0020_Name">
      <xsd:simpleType>
        <xsd:restriction base="dms:Text">
          <xsd:maxLength value="255"/>
        </xsd:restriction>
      </xsd:simpleType>
    </xsd:element>
    <xsd:element name="Expiration_x0020_Date0" ma:index="4" nillable="true" ma:displayName="Expiration Date" ma:format="DateOnly" ma:internalName="Expiration_x0020_Date0">
      <xsd:simpleType>
        <xsd:restriction base="dms:DateTime"/>
      </xsd:simpleType>
    </xsd:element>
    <xsd:element name="Business_x0020_Unit" ma:index="5" ma:displayName="Business Unit" ma:internalName="Business_x0020_Unit">
      <xsd:simpleType>
        <xsd:restriction base="dms:Text">
          <xsd:maxLength value="255"/>
        </xsd:restriction>
      </xsd:simpleType>
    </xsd:element>
    <xsd:element name="Document_x0020_Owner" ma:index="6" nillable="true" ma:displayName="Document Owner" ma:internalName="Document_x0020_Owner">
      <xsd:simpleType>
        <xsd:restriction base="dms:Text">
          <xsd:maxLength value="255"/>
        </xsd:restriction>
      </xsd:simpleType>
    </xsd:element>
    <xsd:element name="Status" ma:index="7" nillable="true" ma:displayName="Status" ma:internalName="Statu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2ef0-b167-44f5-92f7-438fda0857c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B5CA5-27EB-4796-91B3-A9174D37426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2222ef0-b167-44f5-92f7-438fda0857cd"/>
    <ds:schemaRef ds:uri="9919965a-8b78-4802-aa58-bdb535b7c0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D3EF6B-3A12-414A-861A-D8D1FBB786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E67173-0E56-479F-B8F2-BC238B606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A7C0A-627C-4303-8029-FCC747A297E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DE272E-A08F-493F-BA32-710A4C177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9965a-8b78-4802-aa58-bdb535b7c0eb"/>
    <ds:schemaRef ds:uri="52222ef0-b167-44f5-92f7-438fda085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73C344D-94B3-431D-A2CC-ECDBF09F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1131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treasury</Company>
  <LinksUpToDate>false</LinksUpToDate>
  <CharactersWithSpaces>7579</CharactersWithSpaces>
  <SharedDoc>false</SharedDoc>
  <HLinks>
    <vt:vector size="6" baseType="variant">
      <vt:variant>
        <vt:i4>4849728</vt:i4>
      </vt:variant>
      <vt:variant>
        <vt:i4>0</vt:i4>
      </vt:variant>
      <vt:variant>
        <vt:i4>0</vt:i4>
      </vt:variant>
      <vt:variant>
        <vt:i4>5</vt:i4>
      </vt:variant>
      <vt:variant>
        <vt:lpwstr>https://www.bls.gov/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Clark, Spencer</cp:lastModifiedBy>
  <cp:revision>5</cp:revision>
  <cp:lastPrinted>2020-01-15T20:18:00Z</cp:lastPrinted>
  <dcterms:created xsi:type="dcterms:W3CDTF">2020-02-27T20:52:00Z</dcterms:created>
  <dcterms:modified xsi:type="dcterms:W3CDTF">2020-02-27T21:46:00Z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DOCDFI-523-51</vt:lpwstr>
  </property>
  <property fmtid="{D5CDD505-2E9C-101B-9397-08002B2CF9AE}" pid="3" name="_dlc_DocIdItemGuid">
    <vt:lpwstr>a7fcf26b-6b42-41ae-920e-c323f6dc497d</vt:lpwstr>
  </property>
  <property fmtid="{D5CDD505-2E9C-101B-9397-08002B2CF9AE}" pid="4" name="_dlc_DocIdUrl">
    <vt:lpwstr>https://my.treas.gov/collab/CDFI/OMBandPRA/_layouts/DocIdRedir.aspx?ID=DOCDFI-523-51, DOCDFI-523-51</vt:lpwstr>
  </property>
</Properties>
</file>