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416B" w:rsidR="009C526C" w:rsidRDefault="009C526C">
      <w:pPr>
        <w:pStyle w:val="c1"/>
        <w:tabs>
          <w:tab w:val="left" w:pos="780"/>
        </w:tabs>
        <w:spacing w:line="240" w:lineRule="auto"/>
        <w:rPr>
          <w:rFonts w:ascii="Arial" w:hAnsi="Arial" w:cs="Arial"/>
          <w:b/>
          <w:szCs w:val="24"/>
        </w:rPr>
      </w:pPr>
      <w:bookmarkStart w:name="_GoBack" w:id="0"/>
      <w:bookmarkEnd w:id="0"/>
      <w:r w:rsidRPr="00EF416B">
        <w:rPr>
          <w:rFonts w:ascii="Arial" w:hAnsi="Arial" w:cs="Arial"/>
          <w:b/>
          <w:szCs w:val="24"/>
        </w:rPr>
        <w:t>Supporting Statement</w:t>
      </w:r>
    </w:p>
    <w:p w:rsidRPr="00EF416B" w:rsidR="009C526C" w:rsidRDefault="009C526C">
      <w:pPr>
        <w:pStyle w:val="c1"/>
        <w:tabs>
          <w:tab w:val="left" w:pos="780"/>
        </w:tabs>
        <w:spacing w:line="240" w:lineRule="auto"/>
        <w:rPr>
          <w:rFonts w:ascii="Arial" w:hAnsi="Arial" w:cs="Arial"/>
          <w:b/>
          <w:szCs w:val="24"/>
        </w:rPr>
      </w:pPr>
      <w:r w:rsidRPr="00EF416B">
        <w:rPr>
          <w:rFonts w:ascii="Arial" w:hAnsi="Arial" w:cs="Arial"/>
          <w:b/>
          <w:szCs w:val="24"/>
        </w:rPr>
        <w:t>for</w:t>
      </w:r>
    </w:p>
    <w:p w:rsidRPr="00EF416B" w:rsidR="009C526C" w:rsidRDefault="004C3793">
      <w:pPr>
        <w:pStyle w:val="c1"/>
        <w:tabs>
          <w:tab w:val="left" w:pos="780"/>
        </w:tabs>
        <w:spacing w:line="240" w:lineRule="auto"/>
        <w:rPr>
          <w:rFonts w:ascii="Arial" w:hAnsi="Arial" w:cs="Arial"/>
          <w:szCs w:val="24"/>
        </w:rPr>
      </w:pPr>
      <w:r w:rsidRPr="00EF416B">
        <w:rPr>
          <w:rFonts w:ascii="Arial" w:hAnsi="Arial" w:cs="Arial"/>
          <w:b/>
          <w:szCs w:val="24"/>
        </w:rPr>
        <w:t xml:space="preserve">Vessel and Facility </w:t>
      </w:r>
      <w:r w:rsidRPr="00EF416B" w:rsidR="009C526C">
        <w:rPr>
          <w:rFonts w:ascii="Arial" w:hAnsi="Arial" w:cs="Arial"/>
          <w:b/>
          <w:szCs w:val="24"/>
        </w:rPr>
        <w:t>Response Plans</w:t>
      </w:r>
      <w:r w:rsidRPr="00EF416B" w:rsidR="00EC02D4">
        <w:rPr>
          <w:rFonts w:ascii="Arial" w:hAnsi="Arial" w:cs="Arial"/>
          <w:b/>
          <w:szCs w:val="24"/>
        </w:rPr>
        <w:t xml:space="preserve"> (Domestic and Int’l)</w:t>
      </w:r>
      <w:r w:rsidRPr="00EF416B" w:rsidR="009C526C">
        <w:rPr>
          <w:rFonts w:ascii="Arial" w:hAnsi="Arial" w:cs="Arial"/>
          <w:b/>
          <w:szCs w:val="24"/>
        </w:rPr>
        <w:t>,</w:t>
      </w:r>
      <w:r w:rsidRPr="00EF416B" w:rsidR="00EC02D4">
        <w:rPr>
          <w:rFonts w:ascii="Arial" w:hAnsi="Arial" w:cs="Arial"/>
          <w:b/>
          <w:szCs w:val="24"/>
        </w:rPr>
        <w:t xml:space="preserve"> and</w:t>
      </w:r>
      <w:r w:rsidRPr="00EF416B" w:rsidR="009C526C">
        <w:rPr>
          <w:rFonts w:ascii="Arial" w:hAnsi="Arial" w:cs="Arial"/>
          <w:b/>
          <w:szCs w:val="24"/>
        </w:rPr>
        <w:br/>
        <w:t>Additional Response Requirements for Prince William Sound, Alaska</w:t>
      </w:r>
      <w:r w:rsidRPr="00EF416B" w:rsidR="009C526C">
        <w:rPr>
          <w:rFonts w:ascii="Arial" w:hAnsi="Arial" w:cs="Arial"/>
          <w:szCs w:val="24"/>
        </w:rPr>
        <w:t xml:space="preserve"> </w:t>
      </w:r>
    </w:p>
    <w:p w:rsidRPr="00317583" w:rsidR="0042400F" w:rsidRDefault="0042400F">
      <w:pPr>
        <w:pStyle w:val="c1"/>
        <w:tabs>
          <w:tab w:val="left" w:pos="780"/>
        </w:tabs>
        <w:spacing w:line="240" w:lineRule="auto"/>
        <w:rPr>
          <w:rFonts w:ascii="Arial" w:hAnsi="Arial" w:cs="Arial"/>
          <w:b/>
          <w:sz w:val="16"/>
          <w:szCs w:val="16"/>
        </w:rPr>
      </w:pPr>
    </w:p>
    <w:p w:rsidRPr="00317583" w:rsidR="007629EC" w:rsidP="007629EC" w:rsidRDefault="007629EC">
      <w:pPr>
        <w:tabs>
          <w:tab w:val="left" w:pos="685"/>
        </w:tabs>
        <w:jc w:val="center"/>
        <w:rPr>
          <w:rFonts w:ascii="Arial" w:hAnsi="Arial" w:cs="Arial"/>
          <w:sz w:val="20"/>
        </w:rPr>
      </w:pPr>
      <w:r w:rsidRPr="00317583">
        <w:rPr>
          <w:rFonts w:ascii="Arial" w:hAnsi="Arial" w:cs="Arial"/>
          <w:sz w:val="20"/>
        </w:rPr>
        <w:t xml:space="preserve">OMB No.: </w:t>
      </w:r>
      <w:r w:rsidRPr="00317583" w:rsidR="00252D3B">
        <w:rPr>
          <w:rFonts w:ascii="Arial" w:hAnsi="Arial" w:cs="Arial"/>
          <w:sz w:val="20"/>
        </w:rPr>
        <w:t xml:space="preserve"> </w:t>
      </w:r>
      <w:r w:rsidRPr="00317583">
        <w:rPr>
          <w:rFonts w:ascii="Arial" w:hAnsi="Arial" w:cs="Arial"/>
          <w:sz w:val="20"/>
        </w:rPr>
        <w:t>1625-0066</w:t>
      </w:r>
    </w:p>
    <w:p w:rsidRPr="00EF416B" w:rsidR="007629EC" w:rsidP="007629EC" w:rsidRDefault="007629EC">
      <w:pPr>
        <w:tabs>
          <w:tab w:val="left" w:pos="685"/>
        </w:tabs>
        <w:jc w:val="center"/>
        <w:rPr>
          <w:rFonts w:ascii="Arial" w:hAnsi="Arial" w:cs="Arial"/>
          <w:szCs w:val="24"/>
        </w:rPr>
      </w:pPr>
      <w:r w:rsidRPr="00317583">
        <w:rPr>
          <w:rFonts w:ascii="Arial" w:hAnsi="Arial" w:cs="Arial"/>
          <w:sz w:val="20"/>
        </w:rPr>
        <w:t xml:space="preserve">COLLECTION INSTRUMENT: </w:t>
      </w:r>
      <w:r w:rsidRPr="00317583" w:rsidR="0066599D">
        <w:rPr>
          <w:rFonts w:ascii="Arial" w:hAnsi="Arial" w:cs="Arial"/>
          <w:sz w:val="20"/>
        </w:rPr>
        <w:t xml:space="preserve"> VRP Express Search Tool</w:t>
      </w:r>
      <w:r w:rsidRPr="00317583" w:rsidR="00CB0D53">
        <w:rPr>
          <w:rFonts w:ascii="Arial" w:hAnsi="Arial" w:cs="Arial"/>
          <w:sz w:val="20"/>
        </w:rPr>
        <w:t>, Instruction</w:t>
      </w:r>
    </w:p>
    <w:p w:rsidRPr="00317583" w:rsidR="007629EC" w:rsidP="007629EC" w:rsidRDefault="007629EC">
      <w:pPr>
        <w:tabs>
          <w:tab w:val="left" w:pos="685"/>
        </w:tabs>
        <w:jc w:val="center"/>
        <w:rPr>
          <w:rFonts w:ascii="Arial" w:hAnsi="Arial" w:cs="Arial"/>
          <w:sz w:val="16"/>
          <w:szCs w:val="16"/>
        </w:rPr>
      </w:pPr>
    </w:p>
    <w:p w:rsidRPr="00EF416B" w:rsidR="009C526C" w:rsidRDefault="009C526C">
      <w:pPr>
        <w:rPr>
          <w:rFonts w:ascii="Arial" w:hAnsi="Arial" w:cs="Arial"/>
          <w:b/>
          <w:bCs/>
          <w:sz w:val="20"/>
        </w:rPr>
      </w:pPr>
      <w:r w:rsidRPr="00EF416B">
        <w:rPr>
          <w:rFonts w:ascii="Arial" w:hAnsi="Arial" w:cs="Arial"/>
          <w:b/>
          <w:bCs/>
          <w:sz w:val="20"/>
        </w:rPr>
        <w:t>A.  Justification</w:t>
      </w:r>
      <w:r w:rsidR="00A440F3">
        <w:rPr>
          <w:rFonts w:ascii="Arial" w:hAnsi="Arial" w:cs="Arial"/>
          <w:b/>
          <w:bCs/>
          <w:sz w:val="20"/>
        </w:rPr>
        <w:t xml:space="preserve">  </w:t>
      </w:r>
    </w:p>
    <w:p w:rsidRPr="00EF416B" w:rsidR="009C526C" w:rsidRDefault="009C526C">
      <w:pPr>
        <w:pStyle w:val="c1"/>
        <w:tabs>
          <w:tab w:val="left" w:pos="780"/>
        </w:tabs>
        <w:spacing w:line="240" w:lineRule="auto"/>
        <w:rPr>
          <w:rFonts w:ascii="Arial" w:hAnsi="Arial" w:cs="Arial"/>
          <w:sz w:val="20"/>
        </w:rPr>
      </w:pPr>
    </w:p>
    <w:p w:rsidRPr="00EF416B" w:rsidR="009C526C" w:rsidRDefault="009C526C">
      <w:pPr>
        <w:pStyle w:val="p2"/>
        <w:spacing w:line="240" w:lineRule="auto"/>
        <w:rPr>
          <w:rFonts w:ascii="Arial" w:hAnsi="Arial" w:cs="Arial"/>
          <w:sz w:val="20"/>
        </w:rPr>
      </w:pPr>
      <w:r w:rsidRPr="00EF416B">
        <w:rPr>
          <w:rFonts w:ascii="Arial" w:hAnsi="Arial" w:cs="Arial"/>
          <w:sz w:val="20"/>
        </w:rPr>
        <w:t>1.</w:t>
      </w:r>
      <w:r w:rsidRPr="00EF416B" w:rsidR="004E79C7">
        <w:rPr>
          <w:rFonts w:ascii="Arial" w:hAnsi="Arial" w:cs="Arial"/>
          <w:sz w:val="20"/>
        </w:rPr>
        <w:t xml:space="preserve">  </w:t>
      </w:r>
      <w:r w:rsidRPr="00EF416B">
        <w:rPr>
          <w:rFonts w:ascii="Arial" w:hAnsi="Arial" w:cs="Arial"/>
          <w:sz w:val="20"/>
          <w:u w:val="single"/>
        </w:rPr>
        <w:t>Circumstances that make the collection of information necessary</w:t>
      </w:r>
      <w:r w:rsidRPr="00EF416B">
        <w:rPr>
          <w:rFonts w:ascii="Arial" w:hAnsi="Arial" w:cs="Arial"/>
          <w:sz w:val="20"/>
        </w:rPr>
        <w:t>.</w:t>
      </w:r>
      <w:r w:rsidRPr="00EF416B" w:rsidR="00EF416B">
        <w:rPr>
          <w:rFonts w:ascii="Arial" w:hAnsi="Arial" w:cs="Arial"/>
          <w:sz w:val="20"/>
        </w:rPr>
        <w:t xml:space="preserve">  </w:t>
      </w:r>
    </w:p>
    <w:p w:rsidRPr="00EF416B" w:rsidR="009C526C" w:rsidRDefault="009C526C">
      <w:pPr>
        <w:pStyle w:val="p2"/>
        <w:spacing w:line="240" w:lineRule="auto"/>
        <w:rPr>
          <w:rFonts w:ascii="Arial" w:hAnsi="Arial" w:cs="Arial"/>
          <w:sz w:val="20"/>
        </w:rPr>
      </w:pPr>
    </w:p>
    <w:p w:rsidRPr="00EF416B" w:rsidR="009C526C" w:rsidRDefault="009C526C">
      <w:pPr>
        <w:pStyle w:val="p3"/>
        <w:spacing w:line="240" w:lineRule="auto"/>
        <w:rPr>
          <w:rFonts w:ascii="Arial" w:hAnsi="Arial" w:cs="Arial"/>
          <w:sz w:val="20"/>
        </w:rPr>
      </w:pPr>
      <w:r w:rsidRPr="00EF416B">
        <w:rPr>
          <w:rFonts w:ascii="Arial" w:hAnsi="Arial" w:cs="Arial"/>
          <w:b/>
          <w:sz w:val="20"/>
          <w:u w:val="single"/>
        </w:rPr>
        <w:t>Facility Response Plan (FRP)</w:t>
      </w:r>
      <w:r w:rsidRPr="00317583">
        <w:rPr>
          <w:rFonts w:ascii="Arial" w:hAnsi="Arial" w:cs="Arial"/>
          <w:b/>
          <w:sz w:val="20"/>
        </w:rPr>
        <w:t>:</w:t>
      </w:r>
      <w:r w:rsidRPr="00EF416B">
        <w:rPr>
          <w:rFonts w:ascii="Arial" w:hAnsi="Arial" w:cs="Arial"/>
          <w:sz w:val="20"/>
        </w:rPr>
        <w:t xml:space="preserve">  Section 4202(a)(6) of the Oil Pollution Act of 1990 (OPA 90) amended section 311(j) of the Federal Water Pollution Control Act (FWCPA)</w:t>
      </w:r>
      <w:r w:rsidRPr="00EF416B" w:rsidR="003477D8">
        <w:rPr>
          <w:rFonts w:ascii="Arial" w:hAnsi="Arial" w:cs="Arial"/>
          <w:sz w:val="20"/>
        </w:rPr>
        <w:t xml:space="preserve">(33 U.S.C. 1321 </w:t>
      </w:r>
      <w:r w:rsidRPr="00EF416B" w:rsidR="003477D8">
        <w:rPr>
          <w:rFonts w:ascii="Arial" w:hAnsi="Arial" w:cs="Arial"/>
          <w:i/>
          <w:sz w:val="20"/>
        </w:rPr>
        <w:t>et</w:t>
      </w:r>
      <w:r w:rsidRPr="00EF416B" w:rsidR="004E543B">
        <w:rPr>
          <w:rFonts w:ascii="Arial" w:hAnsi="Arial" w:cs="Arial"/>
          <w:i/>
          <w:sz w:val="20"/>
        </w:rPr>
        <w:t>.</w:t>
      </w:r>
      <w:r w:rsidRPr="00EF416B" w:rsidR="003477D8">
        <w:rPr>
          <w:rFonts w:ascii="Arial" w:hAnsi="Arial" w:cs="Arial"/>
          <w:i/>
          <w:sz w:val="20"/>
        </w:rPr>
        <w:t xml:space="preserve"> seq</w:t>
      </w:r>
      <w:r w:rsidRPr="00EF416B" w:rsidR="003477D8">
        <w:rPr>
          <w:rFonts w:ascii="Arial" w:hAnsi="Arial" w:cs="Arial"/>
          <w:sz w:val="20"/>
        </w:rPr>
        <w:t>.)</w:t>
      </w:r>
      <w:r w:rsidRPr="00EF416B">
        <w:rPr>
          <w:rFonts w:ascii="Arial" w:hAnsi="Arial" w:cs="Arial"/>
          <w:sz w:val="20"/>
        </w:rPr>
        <w:t>.  It requires the owner or operator of a facility to prepare and submit “a plan for responding, to the maximum extent practicable, to a worst case discharge,</w:t>
      </w:r>
      <w:r w:rsidRPr="00EF416B">
        <w:rPr>
          <w:rFonts w:ascii="Arial" w:hAnsi="Arial" w:cs="Arial"/>
          <w:position w:val="-6"/>
          <w:sz w:val="20"/>
        </w:rPr>
        <w:t xml:space="preserve"> </w:t>
      </w:r>
      <w:r w:rsidRPr="00EF416B">
        <w:rPr>
          <w:rFonts w:ascii="Arial" w:hAnsi="Arial" w:cs="Arial"/>
          <w:sz w:val="20"/>
        </w:rPr>
        <w:t>and to a substantial threat of such a discharge of oil or hazardous substances.”  This requirement applies to any offshore facility and to an onshore facility that "because of its</w:t>
      </w:r>
      <w:r w:rsidRPr="00EF416B">
        <w:rPr>
          <w:rFonts w:ascii="Arial" w:hAnsi="Arial" w:cs="Arial"/>
          <w:position w:val="-6"/>
          <w:sz w:val="20"/>
        </w:rPr>
        <w:t xml:space="preserve"> </w:t>
      </w:r>
      <w:r w:rsidRPr="00EF416B">
        <w:rPr>
          <w:rFonts w:ascii="Arial" w:hAnsi="Arial" w:cs="Arial"/>
          <w:sz w:val="20"/>
        </w:rPr>
        <w:t xml:space="preserve">location, could reasonably be expected to cause substantial harm to the environment by discharging into or on the navigable waters, adjoining shorelines, or the exclusive economic zone."  </w:t>
      </w:r>
      <w:r w:rsidRPr="00EF416B" w:rsidR="00C648F9">
        <w:rPr>
          <w:rFonts w:ascii="Arial" w:hAnsi="Arial" w:cs="Arial"/>
          <w:sz w:val="20"/>
        </w:rPr>
        <w:t xml:space="preserve">FRP requirements are found in </w:t>
      </w:r>
      <w:r w:rsidRPr="00EF416B">
        <w:rPr>
          <w:rFonts w:ascii="Arial" w:hAnsi="Arial" w:cs="Arial"/>
          <w:sz w:val="20"/>
        </w:rPr>
        <w:t xml:space="preserve">Title 33 CFR </w:t>
      </w:r>
      <w:r w:rsidRPr="00EF416B" w:rsidR="0042400F">
        <w:rPr>
          <w:rFonts w:ascii="Arial" w:hAnsi="Arial" w:cs="Arial"/>
          <w:sz w:val="20"/>
        </w:rPr>
        <w:t xml:space="preserve">154 </w:t>
      </w:r>
      <w:r w:rsidRPr="00EF416B">
        <w:rPr>
          <w:rFonts w:ascii="Arial" w:hAnsi="Arial" w:cs="Arial"/>
          <w:sz w:val="20"/>
        </w:rPr>
        <w:t>subpart</w:t>
      </w:r>
      <w:r w:rsidRPr="00EF416B" w:rsidR="00C648F9">
        <w:rPr>
          <w:rFonts w:ascii="Arial" w:hAnsi="Arial" w:cs="Arial"/>
          <w:sz w:val="20"/>
        </w:rPr>
        <w:t>s F,</w:t>
      </w:r>
      <w:r w:rsidRPr="00EF416B">
        <w:rPr>
          <w:rFonts w:ascii="Arial" w:hAnsi="Arial" w:cs="Arial"/>
          <w:sz w:val="20"/>
        </w:rPr>
        <w:t xml:space="preserve"> H</w:t>
      </w:r>
      <w:r w:rsidRPr="00EF416B" w:rsidR="00C648F9">
        <w:rPr>
          <w:rFonts w:ascii="Arial" w:hAnsi="Arial" w:cs="Arial"/>
          <w:sz w:val="20"/>
        </w:rPr>
        <w:t xml:space="preserve"> and I.  </w:t>
      </w:r>
    </w:p>
    <w:p w:rsidRPr="00EF416B" w:rsidR="009C526C" w:rsidP="00824627" w:rsidRDefault="009C526C">
      <w:pPr>
        <w:pStyle w:val="p7"/>
        <w:spacing w:line="240" w:lineRule="auto"/>
        <w:ind w:left="0"/>
        <w:rPr>
          <w:rFonts w:ascii="Arial" w:hAnsi="Arial" w:cs="Arial"/>
          <w:sz w:val="20"/>
        </w:rPr>
      </w:pPr>
    </w:p>
    <w:p w:rsidRPr="00EF416B" w:rsidR="009C526C" w:rsidRDefault="009C526C">
      <w:pPr>
        <w:pStyle w:val="p9"/>
        <w:spacing w:line="240" w:lineRule="auto"/>
        <w:rPr>
          <w:rFonts w:ascii="Arial" w:hAnsi="Arial" w:cs="Arial"/>
          <w:sz w:val="20"/>
        </w:rPr>
      </w:pPr>
      <w:r w:rsidRPr="00EF416B">
        <w:rPr>
          <w:rFonts w:ascii="Arial" w:hAnsi="Arial" w:cs="Arial"/>
          <w:b/>
          <w:sz w:val="20"/>
          <w:u w:val="single"/>
        </w:rPr>
        <w:t>Vessel Response Plan (VRP)</w:t>
      </w:r>
      <w:r w:rsidRPr="00317583">
        <w:rPr>
          <w:rFonts w:ascii="Arial" w:hAnsi="Arial" w:cs="Arial"/>
          <w:b/>
          <w:sz w:val="20"/>
        </w:rPr>
        <w:t>:</w:t>
      </w:r>
      <w:r w:rsidRPr="00EF416B">
        <w:rPr>
          <w:rFonts w:ascii="Arial" w:hAnsi="Arial" w:cs="Arial"/>
          <w:sz w:val="20"/>
        </w:rPr>
        <w:t xml:space="preserve">  Section 4202(a)(6) of the OPA 90 amended section 311(j) of the FWPCA.  </w:t>
      </w:r>
      <w:r w:rsidRPr="00EF416B" w:rsidR="004E79C7">
        <w:rPr>
          <w:rFonts w:ascii="Arial" w:hAnsi="Arial" w:cs="Arial"/>
          <w:sz w:val="20"/>
        </w:rPr>
        <w:t>It</w:t>
      </w:r>
      <w:r w:rsidRPr="00EF416B">
        <w:rPr>
          <w:rFonts w:ascii="Arial" w:hAnsi="Arial" w:cs="Arial"/>
          <w:sz w:val="20"/>
        </w:rPr>
        <w:t xml:space="preserve"> requires</w:t>
      </w:r>
      <w:r w:rsidRPr="00EF416B">
        <w:rPr>
          <w:rFonts w:ascii="Arial" w:hAnsi="Arial" w:cs="Arial"/>
          <w:position w:val="-6"/>
          <w:sz w:val="20"/>
        </w:rPr>
        <w:t xml:space="preserve"> </w:t>
      </w:r>
      <w:r w:rsidRPr="00EF416B">
        <w:rPr>
          <w:rFonts w:ascii="Arial" w:hAnsi="Arial" w:cs="Arial"/>
          <w:sz w:val="20"/>
        </w:rPr>
        <w:t>that vessels carrying oil in bulk as cargo and operating in waters subject to U.S. jurisdiction</w:t>
      </w:r>
      <w:r w:rsidRPr="00EF416B">
        <w:rPr>
          <w:rFonts w:ascii="Arial" w:hAnsi="Arial" w:cs="Arial"/>
          <w:position w:val="-6"/>
          <w:sz w:val="20"/>
        </w:rPr>
        <w:t xml:space="preserve"> </w:t>
      </w:r>
      <w:r w:rsidRPr="00EF416B">
        <w:rPr>
          <w:rFonts w:ascii="Arial" w:hAnsi="Arial" w:cs="Arial"/>
          <w:sz w:val="20"/>
        </w:rPr>
        <w:t>prepare and submit a written response plan for a worst case discharge</w:t>
      </w:r>
      <w:r w:rsidRPr="00EF416B">
        <w:rPr>
          <w:rFonts w:ascii="Arial" w:hAnsi="Arial" w:cs="Arial"/>
          <w:position w:val="-6"/>
          <w:sz w:val="20"/>
        </w:rPr>
        <w:t xml:space="preserve"> </w:t>
      </w:r>
      <w:r w:rsidRPr="00EF416B">
        <w:rPr>
          <w:rFonts w:ascii="Arial" w:hAnsi="Arial" w:cs="Arial"/>
          <w:sz w:val="20"/>
        </w:rPr>
        <w:t>of oil or hazardous substances.</w:t>
      </w:r>
      <w:r w:rsidRPr="00EF416B" w:rsidR="00C648F9">
        <w:rPr>
          <w:rFonts w:ascii="Arial" w:hAnsi="Arial" w:cs="Arial"/>
          <w:sz w:val="20"/>
        </w:rPr>
        <w:t xml:space="preserve">  VRP requirements are found in 33 CFR 155 subparts D, F, G and</w:t>
      </w:r>
      <w:r w:rsidRPr="00EF416B" w:rsidR="004E79C7">
        <w:rPr>
          <w:rFonts w:ascii="Arial" w:hAnsi="Arial" w:cs="Arial"/>
          <w:sz w:val="20"/>
        </w:rPr>
        <w:t> </w:t>
      </w:r>
      <w:r w:rsidRPr="00EF416B" w:rsidR="00C648F9">
        <w:rPr>
          <w:rFonts w:ascii="Arial" w:hAnsi="Arial" w:cs="Arial"/>
          <w:sz w:val="20"/>
        </w:rPr>
        <w:t xml:space="preserve">I.  </w:t>
      </w:r>
    </w:p>
    <w:p w:rsidRPr="00EF416B" w:rsidR="00143425" w:rsidRDefault="00143425">
      <w:pPr>
        <w:pStyle w:val="p9"/>
        <w:spacing w:line="240" w:lineRule="auto"/>
        <w:rPr>
          <w:rFonts w:ascii="Arial" w:hAnsi="Arial" w:cs="Arial"/>
          <w:sz w:val="20"/>
        </w:rPr>
      </w:pPr>
    </w:p>
    <w:p w:rsidRPr="00EF416B" w:rsidR="00E5737C" w:rsidP="00E5737C" w:rsidRDefault="00143425">
      <w:pPr>
        <w:pStyle w:val="p9"/>
        <w:spacing w:line="240" w:lineRule="auto"/>
        <w:rPr>
          <w:rFonts w:ascii="Arial" w:hAnsi="Arial" w:cs="Arial"/>
          <w:sz w:val="20"/>
        </w:rPr>
      </w:pPr>
      <w:r w:rsidRPr="00EF416B">
        <w:rPr>
          <w:rFonts w:ascii="Arial" w:hAnsi="Arial" w:cs="Arial"/>
          <w:b/>
          <w:sz w:val="20"/>
          <w:u w:val="single"/>
        </w:rPr>
        <w:t>Non</w:t>
      </w:r>
      <w:r w:rsidRPr="00EF416B" w:rsidR="0042400F">
        <w:rPr>
          <w:rFonts w:ascii="Arial" w:hAnsi="Arial" w:cs="Arial"/>
          <w:b/>
          <w:sz w:val="20"/>
          <w:u w:val="single"/>
        </w:rPr>
        <w:t>t</w:t>
      </w:r>
      <w:r w:rsidRPr="00EF416B">
        <w:rPr>
          <w:rFonts w:ascii="Arial" w:hAnsi="Arial" w:cs="Arial"/>
          <w:b/>
          <w:sz w:val="20"/>
          <w:u w:val="single"/>
        </w:rPr>
        <w:t>ank Vessel Response Plan (NTVRP</w:t>
      </w:r>
      <w:r w:rsidRPr="00EF416B" w:rsidR="00244572">
        <w:rPr>
          <w:rFonts w:ascii="Arial" w:hAnsi="Arial" w:cs="Arial"/>
          <w:b/>
          <w:sz w:val="20"/>
          <w:u w:val="single"/>
        </w:rPr>
        <w:t>)</w:t>
      </w:r>
      <w:r w:rsidRPr="00317583">
        <w:rPr>
          <w:rFonts w:ascii="Arial" w:hAnsi="Arial" w:cs="Arial"/>
          <w:b/>
          <w:sz w:val="20"/>
        </w:rPr>
        <w:t>:</w:t>
      </w:r>
      <w:r w:rsidRPr="00EF416B" w:rsidR="00226AF5">
        <w:rPr>
          <w:rFonts w:ascii="Arial" w:hAnsi="Arial" w:cs="Arial"/>
          <w:sz w:val="20"/>
        </w:rPr>
        <w:t xml:space="preserve"> </w:t>
      </w:r>
      <w:r w:rsidRPr="00EF416B" w:rsidR="00CD5CF4">
        <w:rPr>
          <w:rFonts w:ascii="Arial" w:hAnsi="Arial" w:cs="Arial"/>
          <w:sz w:val="20"/>
        </w:rPr>
        <w:t xml:space="preserve"> </w:t>
      </w:r>
      <w:r w:rsidRPr="00EF416B" w:rsidR="00226AF5">
        <w:rPr>
          <w:rFonts w:ascii="Arial" w:hAnsi="Arial" w:cs="Arial"/>
          <w:sz w:val="20"/>
        </w:rPr>
        <w:t>Section 701 of the Coast Guard and Maritime Transportation Act of 2004 (Pub</w:t>
      </w:r>
      <w:r w:rsidRPr="00EF416B" w:rsidR="00C648F9">
        <w:rPr>
          <w:rFonts w:ascii="Arial" w:hAnsi="Arial" w:cs="Arial"/>
          <w:sz w:val="20"/>
        </w:rPr>
        <w:t>.</w:t>
      </w:r>
      <w:r w:rsidRPr="00EF416B" w:rsidR="00226AF5">
        <w:rPr>
          <w:rFonts w:ascii="Arial" w:hAnsi="Arial" w:cs="Arial"/>
          <w:sz w:val="20"/>
        </w:rPr>
        <w:t xml:space="preserve"> L</w:t>
      </w:r>
      <w:r w:rsidRPr="00EF416B" w:rsidR="00C648F9">
        <w:rPr>
          <w:rFonts w:ascii="Arial" w:hAnsi="Arial" w:cs="Arial"/>
          <w:sz w:val="20"/>
        </w:rPr>
        <w:t>.</w:t>
      </w:r>
      <w:r w:rsidRPr="00EF416B" w:rsidR="00226AF5">
        <w:rPr>
          <w:rFonts w:ascii="Arial" w:hAnsi="Arial" w:cs="Arial"/>
          <w:sz w:val="20"/>
        </w:rPr>
        <w:t xml:space="preserve"> 108-293)</w:t>
      </w:r>
      <w:r w:rsidRPr="00EF416B" w:rsidR="00C648F9">
        <w:rPr>
          <w:rFonts w:ascii="Arial" w:hAnsi="Arial" w:cs="Arial"/>
          <w:sz w:val="20"/>
        </w:rPr>
        <w:t xml:space="preserve">, as amended by </w:t>
      </w:r>
      <w:r w:rsidRPr="00EF416B" w:rsidR="004E79C7">
        <w:rPr>
          <w:rFonts w:ascii="Arial" w:hAnsi="Arial" w:cs="Arial"/>
          <w:sz w:val="20"/>
        </w:rPr>
        <w:t xml:space="preserve">section 608 of </w:t>
      </w:r>
      <w:r w:rsidRPr="00EF416B" w:rsidR="00C648F9">
        <w:rPr>
          <w:rFonts w:ascii="Arial" w:hAnsi="Arial" w:cs="Arial"/>
          <w:sz w:val="20"/>
        </w:rPr>
        <w:t>the Coast Guard and Maritime Transportation Act of 2006 (Pub. L. 10</w:t>
      </w:r>
      <w:r w:rsidRPr="00EF416B" w:rsidR="004E79C7">
        <w:rPr>
          <w:rFonts w:ascii="Arial" w:hAnsi="Arial" w:cs="Arial"/>
          <w:sz w:val="20"/>
        </w:rPr>
        <w:t>9-241</w:t>
      </w:r>
      <w:r w:rsidRPr="00EF416B" w:rsidR="00C648F9">
        <w:rPr>
          <w:rFonts w:ascii="Arial" w:hAnsi="Arial" w:cs="Arial"/>
          <w:sz w:val="20"/>
        </w:rPr>
        <w:t>) (CG&amp;MTA 2004</w:t>
      </w:r>
      <w:r w:rsidRPr="00EF416B" w:rsidR="004E79C7">
        <w:rPr>
          <w:rFonts w:ascii="Arial" w:hAnsi="Arial" w:cs="Arial"/>
          <w:sz w:val="20"/>
        </w:rPr>
        <w:t>/2006</w:t>
      </w:r>
      <w:r w:rsidRPr="00EF416B" w:rsidR="00C648F9">
        <w:rPr>
          <w:rFonts w:ascii="Arial" w:hAnsi="Arial" w:cs="Arial"/>
          <w:sz w:val="20"/>
        </w:rPr>
        <w:t>)</w:t>
      </w:r>
      <w:r w:rsidRPr="00EF416B" w:rsidR="004E79C7">
        <w:rPr>
          <w:rFonts w:ascii="Arial" w:hAnsi="Arial" w:cs="Arial"/>
          <w:sz w:val="20"/>
        </w:rPr>
        <w:t>,</w:t>
      </w:r>
      <w:r w:rsidRPr="00EF416B" w:rsidR="00C648F9">
        <w:rPr>
          <w:rFonts w:ascii="Arial" w:hAnsi="Arial" w:cs="Arial"/>
          <w:sz w:val="20"/>
        </w:rPr>
        <w:t xml:space="preserve"> </w:t>
      </w:r>
      <w:r w:rsidRPr="00EF416B" w:rsidR="00226AF5">
        <w:rPr>
          <w:rFonts w:ascii="Arial" w:hAnsi="Arial" w:cs="Arial"/>
          <w:sz w:val="20"/>
        </w:rPr>
        <w:t xml:space="preserve">amended section 311(a) and (j) of the FWPCA. </w:t>
      </w:r>
      <w:r w:rsidRPr="00EF416B" w:rsidR="00E5737C">
        <w:rPr>
          <w:rFonts w:ascii="Arial" w:hAnsi="Arial" w:cs="Arial"/>
          <w:sz w:val="20"/>
        </w:rPr>
        <w:t xml:space="preserve"> </w:t>
      </w:r>
      <w:r w:rsidRPr="00EF416B" w:rsidR="004E79C7">
        <w:rPr>
          <w:rFonts w:ascii="Arial" w:hAnsi="Arial" w:cs="Arial"/>
          <w:sz w:val="20"/>
        </w:rPr>
        <w:t>It</w:t>
      </w:r>
      <w:r w:rsidRPr="00EF416B" w:rsidR="00E5737C">
        <w:rPr>
          <w:rFonts w:ascii="Arial" w:hAnsi="Arial" w:cs="Arial"/>
          <w:sz w:val="20"/>
        </w:rPr>
        <w:t xml:space="preserve"> requires that nontank vessels of 400 gross tons and above which carry oil as fuel for propulsion and operating in </w:t>
      </w:r>
      <w:r w:rsidRPr="00EF416B" w:rsidR="00367E37">
        <w:rPr>
          <w:rFonts w:ascii="Arial" w:hAnsi="Arial" w:cs="Arial"/>
          <w:sz w:val="20"/>
        </w:rPr>
        <w:t xml:space="preserve">navigable </w:t>
      </w:r>
      <w:r w:rsidRPr="00EF416B" w:rsidR="00E5737C">
        <w:rPr>
          <w:rFonts w:ascii="Arial" w:hAnsi="Arial" w:cs="Arial"/>
          <w:sz w:val="20"/>
        </w:rPr>
        <w:t xml:space="preserve">waters </w:t>
      </w:r>
      <w:r w:rsidRPr="00EF416B" w:rsidR="00367E37">
        <w:rPr>
          <w:rFonts w:ascii="Arial" w:hAnsi="Arial" w:cs="Arial"/>
          <w:sz w:val="20"/>
        </w:rPr>
        <w:t>of the</w:t>
      </w:r>
      <w:r w:rsidRPr="00EF416B" w:rsidR="00E5737C">
        <w:rPr>
          <w:rFonts w:ascii="Arial" w:hAnsi="Arial" w:cs="Arial"/>
          <w:sz w:val="20"/>
        </w:rPr>
        <w:t xml:space="preserve"> U.S. prepare and submit a written </w:t>
      </w:r>
      <w:r w:rsidRPr="00EF416B" w:rsidR="004E79C7">
        <w:rPr>
          <w:rFonts w:ascii="Arial" w:hAnsi="Arial" w:cs="Arial"/>
          <w:sz w:val="20"/>
        </w:rPr>
        <w:t>NTVRP</w:t>
      </w:r>
      <w:r w:rsidRPr="00EF416B" w:rsidR="00E5737C">
        <w:rPr>
          <w:rFonts w:ascii="Arial" w:hAnsi="Arial" w:cs="Arial"/>
          <w:sz w:val="20"/>
        </w:rPr>
        <w:t xml:space="preserve"> for a worst case discharge</w:t>
      </w:r>
      <w:r w:rsidRPr="00EF416B" w:rsidR="00EC02D4">
        <w:rPr>
          <w:rFonts w:ascii="Arial" w:hAnsi="Arial" w:cs="Arial"/>
          <w:sz w:val="20"/>
        </w:rPr>
        <w:t>.</w:t>
      </w:r>
      <w:r w:rsidRPr="00EF416B" w:rsidR="004E79C7">
        <w:rPr>
          <w:rFonts w:ascii="Arial" w:hAnsi="Arial" w:cs="Arial"/>
          <w:sz w:val="20"/>
        </w:rPr>
        <w:t xml:space="preserve">  NTVRP requirements are found in </w:t>
      </w:r>
      <w:r w:rsidRPr="00EF416B" w:rsidR="00EF416B">
        <w:rPr>
          <w:rFonts w:ascii="Arial" w:hAnsi="Arial" w:cs="Arial"/>
          <w:sz w:val="20"/>
        </w:rPr>
        <w:t>33 CFR 155 su</w:t>
      </w:r>
      <w:r w:rsidR="00EF416B">
        <w:rPr>
          <w:rFonts w:ascii="Arial" w:hAnsi="Arial" w:cs="Arial"/>
          <w:sz w:val="20"/>
        </w:rPr>
        <w:t>b</w:t>
      </w:r>
      <w:r w:rsidRPr="00EF416B" w:rsidR="00EF416B">
        <w:rPr>
          <w:rFonts w:ascii="Arial" w:hAnsi="Arial" w:cs="Arial"/>
          <w:sz w:val="20"/>
        </w:rPr>
        <w:t>part J</w:t>
      </w:r>
      <w:r w:rsidRPr="00EF416B" w:rsidR="004E79C7">
        <w:rPr>
          <w:rFonts w:ascii="Arial" w:hAnsi="Arial" w:cs="Arial"/>
          <w:sz w:val="20"/>
        </w:rPr>
        <w:t xml:space="preserve">. </w:t>
      </w:r>
      <w:r w:rsidR="00655A6C">
        <w:rPr>
          <w:rFonts w:ascii="Arial" w:hAnsi="Arial" w:cs="Arial"/>
          <w:sz w:val="20"/>
        </w:rPr>
        <w:t xml:space="preserve"> </w:t>
      </w:r>
    </w:p>
    <w:p w:rsidRPr="00EF416B" w:rsidR="00226AF5" w:rsidRDefault="00226AF5">
      <w:pPr>
        <w:pStyle w:val="p9"/>
        <w:spacing w:line="240" w:lineRule="auto"/>
        <w:rPr>
          <w:rFonts w:ascii="Arial" w:hAnsi="Arial" w:cs="Arial"/>
          <w:sz w:val="20"/>
        </w:rPr>
      </w:pPr>
    </w:p>
    <w:p w:rsidRPr="00EF416B" w:rsidR="009C526C" w:rsidRDefault="009C526C">
      <w:pPr>
        <w:pStyle w:val="p9"/>
        <w:spacing w:line="240" w:lineRule="auto"/>
        <w:rPr>
          <w:rFonts w:ascii="Arial" w:hAnsi="Arial" w:cs="Arial"/>
          <w:sz w:val="20"/>
        </w:rPr>
      </w:pPr>
      <w:r w:rsidRPr="00EF416B">
        <w:rPr>
          <w:rFonts w:ascii="Arial" w:hAnsi="Arial" w:cs="Arial"/>
          <w:b/>
          <w:sz w:val="20"/>
          <w:u w:val="single"/>
        </w:rPr>
        <w:t>Prince William Sound (PWS)</w:t>
      </w:r>
      <w:r w:rsidRPr="00317583">
        <w:rPr>
          <w:rFonts w:ascii="Arial" w:hAnsi="Arial" w:cs="Arial"/>
          <w:b/>
          <w:sz w:val="20"/>
        </w:rPr>
        <w:t>:</w:t>
      </w:r>
      <w:r w:rsidRPr="00EF416B">
        <w:rPr>
          <w:rFonts w:ascii="Arial" w:hAnsi="Arial" w:cs="Arial"/>
          <w:sz w:val="20"/>
        </w:rPr>
        <w:t xml:space="preserve">  Section 5005 of the OPA 90 establishes requirements for a tanker operating in PWS and loading cargo at the Trans Alaska Pipeline System (TAPS), in addition to those required by section 4202(a)(</w:t>
      </w:r>
      <w:r w:rsidRPr="00EF416B" w:rsidR="004E79C7">
        <w:rPr>
          <w:rFonts w:ascii="Arial" w:hAnsi="Arial" w:cs="Arial"/>
          <w:sz w:val="20"/>
        </w:rPr>
        <w:t>6</w:t>
      </w:r>
      <w:r w:rsidRPr="00EF416B">
        <w:rPr>
          <w:rFonts w:ascii="Arial" w:hAnsi="Arial" w:cs="Arial"/>
          <w:sz w:val="20"/>
        </w:rPr>
        <w:t>) of OPA 90.  This rule ensures that response plans provide for pre-positioned oil spill containment and removal equipment, an oil spill removal organization, training of local residents in oil spill removal and containment techniques, practice exercises, and periodic testing and certification of equipment.</w:t>
      </w:r>
      <w:r w:rsidRPr="00EF416B" w:rsidR="004E79C7">
        <w:rPr>
          <w:rFonts w:ascii="Arial" w:hAnsi="Arial" w:cs="Arial"/>
          <w:sz w:val="20"/>
        </w:rPr>
        <w:t xml:space="preserve">  PWS requirements are found in 33 CFR 154 subpart G and 33 CFR 155 subpart E. </w:t>
      </w:r>
      <w:r w:rsidR="00655A6C">
        <w:rPr>
          <w:rFonts w:ascii="Arial" w:hAnsi="Arial" w:cs="Arial"/>
          <w:sz w:val="20"/>
        </w:rPr>
        <w:t xml:space="preserve"> </w:t>
      </w:r>
    </w:p>
    <w:p w:rsidRPr="00EF416B" w:rsidR="009C526C" w:rsidRDefault="009C526C">
      <w:pPr>
        <w:pStyle w:val="p9"/>
        <w:spacing w:line="240" w:lineRule="auto"/>
        <w:rPr>
          <w:rFonts w:ascii="Arial" w:hAnsi="Arial" w:cs="Arial"/>
          <w:sz w:val="20"/>
        </w:rPr>
      </w:pPr>
    </w:p>
    <w:p w:rsidRPr="00EF416B" w:rsidR="009C526C" w:rsidRDefault="009C526C">
      <w:pPr>
        <w:pStyle w:val="p9"/>
        <w:spacing w:line="240" w:lineRule="auto"/>
        <w:rPr>
          <w:rFonts w:ascii="Arial" w:hAnsi="Arial" w:cs="Arial"/>
          <w:sz w:val="20"/>
        </w:rPr>
      </w:pPr>
      <w:r w:rsidRPr="00EF416B">
        <w:rPr>
          <w:rFonts w:ascii="Arial" w:hAnsi="Arial" w:cs="Arial"/>
          <w:b/>
          <w:sz w:val="20"/>
          <w:u w:val="single"/>
        </w:rPr>
        <w:t>Shipboard Oil Pollution Emergency Plan</w:t>
      </w:r>
      <w:r w:rsidRPr="00EF416B" w:rsidR="000B0C46">
        <w:rPr>
          <w:rFonts w:ascii="Arial" w:hAnsi="Arial" w:cs="Arial"/>
          <w:b/>
          <w:sz w:val="20"/>
          <w:u w:val="single"/>
        </w:rPr>
        <w:t>/Shipboard Marine</w:t>
      </w:r>
      <w:r w:rsidRPr="00EF416B">
        <w:rPr>
          <w:rFonts w:ascii="Arial" w:hAnsi="Arial" w:cs="Arial"/>
          <w:b/>
          <w:sz w:val="20"/>
          <w:u w:val="single"/>
        </w:rPr>
        <w:t xml:space="preserve"> </w:t>
      </w:r>
      <w:r w:rsidRPr="00EF416B" w:rsidR="000B0C46">
        <w:rPr>
          <w:rFonts w:ascii="Arial" w:hAnsi="Arial" w:cs="Arial"/>
          <w:b/>
          <w:sz w:val="20"/>
          <w:u w:val="single"/>
        </w:rPr>
        <w:t xml:space="preserve">Pollution Emergency Plan </w:t>
      </w:r>
      <w:r w:rsidRPr="00EF416B">
        <w:rPr>
          <w:rFonts w:ascii="Arial" w:hAnsi="Arial" w:cs="Arial"/>
          <w:b/>
          <w:sz w:val="20"/>
          <w:u w:val="single"/>
        </w:rPr>
        <w:t>(SOPEP</w:t>
      </w:r>
      <w:r w:rsidRPr="00EF416B" w:rsidR="000B0C46">
        <w:rPr>
          <w:rFonts w:ascii="Arial" w:hAnsi="Arial" w:cs="Arial"/>
          <w:b/>
          <w:sz w:val="20"/>
          <w:u w:val="single"/>
        </w:rPr>
        <w:t>/SMPEP)</w:t>
      </w:r>
      <w:r w:rsidRPr="00317583">
        <w:rPr>
          <w:rFonts w:ascii="Arial" w:hAnsi="Arial" w:cs="Arial"/>
          <w:b/>
          <w:sz w:val="20"/>
        </w:rPr>
        <w:t>:</w:t>
      </w:r>
      <w:r w:rsidRPr="00EF416B">
        <w:rPr>
          <w:rFonts w:ascii="Arial" w:hAnsi="Arial" w:cs="Arial"/>
          <w:sz w:val="20"/>
        </w:rPr>
        <w:t xml:space="preserve"> </w:t>
      </w:r>
      <w:r w:rsidRPr="00EF416B" w:rsidR="00CD5CF4">
        <w:rPr>
          <w:rFonts w:ascii="Arial" w:hAnsi="Arial" w:cs="Arial"/>
          <w:sz w:val="20"/>
        </w:rPr>
        <w:t xml:space="preserve"> </w:t>
      </w:r>
      <w:r w:rsidRPr="00EF416B">
        <w:rPr>
          <w:rFonts w:ascii="Arial" w:hAnsi="Arial" w:cs="Arial"/>
          <w:sz w:val="20"/>
        </w:rPr>
        <w:t>The information collection requirements</w:t>
      </w:r>
      <w:r w:rsidRPr="00EF416B" w:rsidR="00302B73">
        <w:rPr>
          <w:rFonts w:ascii="Arial" w:hAnsi="Arial" w:cs="Arial"/>
          <w:sz w:val="20"/>
        </w:rPr>
        <w:t xml:space="preserve"> </w:t>
      </w:r>
      <w:r w:rsidRPr="00EF416B">
        <w:rPr>
          <w:rFonts w:ascii="Arial" w:hAnsi="Arial" w:cs="Arial"/>
          <w:sz w:val="20"/>
        </w:rPr>
        <w:t xml:space="preserve">described below are necessary to comply with </w:t>
      </w:r>
      <w:r w:rsidRPr="00EF416B" w:rsidR="004E543B">
        <w:rPr>
          <w:rFonts w:ascii="Arial" w:hAnsi="Arial" w:cs="Arial"/>
          <w:sz w:val="20"/>
        </w:rPr>
        <w:t>the Act to Prevent Pollution from Ships (APPS)</w:t>
      </w:r>
      <w:r w:rsidRPr="00EF416B" w:rsidDel="004E543B" w:rsidR="004E543B">
        <w:rPr>
          <w:rFonts w:ascii="Arial" w:hAnsi="Arial" w:cs="Arial"/>
          <w:sz w:val="20"/>
        </w:rPr>
        <w:t xml:space="preserve"> </w:t>
      </w:r>
      <w:r w:rsidRPr="00EF416B">
        <w:rPr>
          <w:rFonts w:ascii="Arial" w:hAnsi="Arial" w:cs="Arial"/>
          <w:sz w:val="20"/>
        </w:rPr>
        <w:t>(33 U</w:t>
      </w:r>
      <w:r w:rsidRPr="00EF416B" w:rsidR="00824627">
        <w:rPr>
          <w:rFonts w:ascii="Arial" w:hAnsi="Arial" w:cs="Arial"/>
          <w:sz w:val="20"/>
        </w:rPr>
        <w:t>.</w:t>
      </w:r>
      <w:r w:rsidRPr="00EF416B">
        <w:rPr>
          <w:rFonts w:ascii="Arial" w:hAnsi="Arial" w:cs="Arial"/>
          <w:sz w:val="20"/>
        </w:rPr>
        <w:t>S</w:t>
      </w:r>
      <w:r w:rsidRPr="00EF416B" w:rsidR="00824627">
        <w:rPr>
          <w:rFonts w:ascii="Arial" w:hAnsi="Arial" w:cs="Arial"/>
          <w:sz w:val="20"/>
        </w:rPr>
        <w:t>.</w:t>
      </w:r>
      <w:r w:rsidRPr="00EF416B">
        <w:rPr>
          <w:rFonts w:ascii="Arial" w:hAnsi="Arial" w:cs="Arial"/>
          <w:sz w:val="20"/>
        </w:rPr>
        <w:t>C</w:t>
      </w:r>
      <w:r w:rsidRPr="00EF416B" w:rsidR="00824627">
        <w:rPr>
          <w:rFonts w:ascii="Arial" w:hAnsi="Arial" w:cs="Arial"/>
          <w:sz w:val="20"/>
        </w:rPr>
        <w:t>.</w:t>
      </w:r>
      <w:r w:rsidRPr="00EF416B">
        <w:rPr>
          <w:rFonts w:ascii="Arial" w:hAnsi="Arial" w:cs="Arial"/>
          <w:sz w:val="20"/>
        </w:rPr>
        <w:t xml:space="preserve"> 1901 </w:t>
      </w:r>
      <w:r w:rsidRPr="00EF416B">
        <w:rPr>
          <w:rFonts w:ascii="Arial" w:hAnsi="Arial" w:cs="Arial"/>
          <w:i/>
          <w:sz w:val="20"/>
        </w:rPr>
        <w:t>et</w:t>
      </w:r>
      <w:r w:rsidRPr="00EF416B">
        <w:rPr>
          <w:rFonts w:ascii="Arial" w:hAnsi="Arial" w:cs="Arial"/>
          <w:sz w:val="20"/>
        </w:rPr>
        <w:t>.</w:t>
      </w:r>
      <w:r w:rsidRPr="00EF416B">
        <w:rPr>
          <w:rFonts w:ascii="Arial" w:hAnsi="Arial" w:cs="Arial"/>
          <w:i/>
          <w:sz w:val="20"/>
        </w:rPr>
        <w:t xml:space="preserve"> seq</w:t>
      </w:r>
      <w:r w:rsidRPr="00EF416B">
        <w:rPr>
          <w:rFonts w:ascii="Arial" w:hAnsi="Arial" w:cs="Arial"/>
          <w:sz w:val="20"/>
        </w:rPr>
        <w:t>.)</w:t>
      </w:r>
      <w:r w:rsidRPr="00EF416B" w:rsidR="00302B73">
        <w:rPr>
          <w:rFonts w:ascii="Arial" w:hAnsi="Arial" w:cs="Arial"/>
          <w:sz w:val="20"/>
        </w:rPr>
        <w:t>.</w:t>
      </w:r>
      <w:r w:rsidRPr="00EF416B">
        <w:rPr>
          <w:rFonts w:ascii="Arial" w:hAnsi="Arial" w:cs="Arial"/>
          <w:sz w:val="20"/>
        </w:rPr>
        <w:t xml:space="preserve">  This section implements </w:t>
      </w:r>
      <w:r w:rsidRPr="00EF416B" w:rsidR="00CA0105">
        <w:rPr>
          <w:rFonts w:ascii="Arial" w:hAnsi="Arial" w:cs="Arial"/>
          <w:sz w:val="20"/>
        </w:rPr>
        <w:t>Regulation 37</w:t>
      </w:r>
      <w:r w:rsidRPr="00EF416B">
        <w:rPr>
          <w:rFonts w:ascii="Arial" w:hAnsi="Arial" w:cs="Arial"/>
          <w:sz w:val="20"/>
        </w:rPr>
        <w:t xml:space="preserve"> of Annex I of MARPOL 73/78 for United States flag ships.  It requires</w:t>
      </w:r>
      <w:r w:rsidR="00655A6C">
        <w:rPr>
          <w:rFonts w:ascii="Arial" w:hAnsi="Arial" w:cs="Arial"/>
          <w:sz w:val="20"/>
        </w:rPr>
        <w:t xml:space="preserve"> </w:t>
      </w:r>
      <w:r w:rsidRPr="00EF416B">
        <w:rPr>
          <w:rFonts w:ascii="Arial" w:hAnsi="Arial" w:cs="Arial"/>
          <w:sz w:val="20"/>
        </w:rPr>
        <w:t>every oil tanker of 150 gross tons and above and every ship other than an oil tanker of 400 gross tons and above to carry on board an approved SOPEP.</w:t>
      </w:r>
      <w:r w:rsidRPr="00EF416B" w:rsidR="0026126D">
        <w:rPr>
          <w:rFonts w:ascii="Arial" w:hAnsi="Arial" w:cs="Arial"/>
          <w:sz w:val="20"/>
        </w:rPr>
        <w:t xml:space="preserve">  </w:t>
      </w:r>
      <w:r w:rsidRPr="00EF416B" w:rsidR="00302B73">
        <w:rPr>
          <w:rFonts w:ascii="Arial" w:hAnsi="Arial" w:cs="Arial"/>
          <w:sz w:val="20"/>
        </w:rPr>
        <w:t xml:space="preserve">The SOPEP requirements are found in 33 CFR 151.26-28.  </w:t>
      </w:r>
      <w:r w:rsidRPr="00EF416B" w:rsidR="000B0C46">
        <w:rPr>
          <w:rFonts w:ascii="Arial" w:hAnsi="Arial" w:cs="Arial"/>
          <w:sz w:val="20"/>
        </w:rPr>
        <w:t xml:space="preserve">Additionally, this section implements Regulation 17 of Annex </w:t>
      </w:r>
      <w:r w:rsidRPr="00EF416B" w:rsidR="00302B73">
        <w:rPr>
          <w:rFonts w:ascii="Arial" w:hAnsi="Arial" w:cs="Arial"/>
          <w:sz w:val="20"/>
        </w:rPr>
        <w:t>II</w:t>
      </w:r>
      <w:r w:rsidRPr="00EF416B" w:rsidR="000B0C46">
        <w:rPr>
          <w:rFonts w:ascii="Arial" w:hAnsi="Arial" w:cs="Arial"/>
          <w:sz w:val="20"/>
        </w:rPr>
        <w:t xml:space="preserve"> of MARPOL 73/78</w:t>
      </w:r>
      <w:r w:rsidRPr="00EF416B" w:rsidR="00302B73">
        <w:rPr>
          <w:rFonts w:ascii="Arial" w:hAnsi="Arial" w:cs="Arial"/>
          <w:sz w:val="20"/>
        </w:rPr>
        <w:t xml:space="preserve"> for United States flag ships</w:t>
      </w:r>
      <w:r w:rsidRPr="00EF416B" w:rsidR="000B0C46">
        <w:rPr>
          <w:rFonts w:ascii="Arial" w:hAnsi="Arial" w:cs="Arial"/>
          <w:sz w:val="20"/>
        </w:rPr>
        <w:t xml:space="preserve">.  </w:t>
      </w:r>
      <w:r w:rsidRPr="00EF416B" w:rsidR="00302B73">
        <w:rPr>
          <w:rFonts w:ascii="Arial" w:hAnsi="Arial" w:cs="Arial"/>
          <w:sz w:val="20"/>
        </w:rPr>
        <w:t>It requires every ship of 150 gross tons and above that carries noxious liquid substances (NLS) in bulk to carry on board an approved SMPEP.</w:t>
      </w:r>
      <w:r w:rsidR="00655A6C">
        <w:rPr>
          <w:rFonts w:ascii="Arial" w:hAnsi="Arial" w:cs="Arial"/>
          <w:sz w:val="20"/>
        </w:rPr>
        <w:t xml:space="preserve"> </w:t>
      </w:r>
      <w:r w:rsidRPr="00EF416B" w:rsidR="00302B73">
        <w:rPr>
          <w:rFonts w:ascii="Arial" w:hAnsi="Arial" w:cs="Arial"/>
          <w:sz w:val="20"/>
        </w:rPr>
        <w:t xml:space="preserve"> </w:t>
      </w:r>
      <w:r w:rsidRPr="00EF416B" w:rsidR="000B0C46">
        <w:rPr>
          <w:rFonts w:ascii="Arial" w:hAnsi="Arial" w:cs="Arial"/>
          <w:sz w:val="20"/>
        </w:rPr>
        <w:t xml:space="preserve">The SMPEP requirements are found in </w:t>
      </w:r>
      <w:r w:rsidRPr="00EF416B" w:rsidR="00302B73">
        <w:rPr>
          <w:rFonts w:ascii="Arial" w:hAnsi="Arial" w:cs="Arial"/>
          <w:sz w:val="20"/>
        </w:rPr>
        <w:t>Navigation</w:t>
      </w:r>
      <w:r w:rsidRPr="00EF416B" w:rsidR="000B0C46">
        <w:rPr>
          <w:rFonts w:ascii="Arial" w:hAnsi="Arial" w:cs="Arial"/>
          <w:sz w:val="20"/>
        </w:rPr>
        <w:t xml:space="preserve"> and Vessel Inspection </w:t>
      </w:r>
      <w:r w:rsidRPr="00EF416B" w:rsidR="00302B73">
        <w:rPr>
          <w:rFonts w:ascii="Arial" w:hAnsi="Arial" w:cs="Arial"/>
          <w:sz w:val="20"/>
        </w:rPr>
        <w:t xml:space="preserve">Circular (NVIC) 03-04.  </w:t>
      </w:r>
    </w:p>
    <w:p w:rsidRPr="00EF416B" w:rsidR="009C526C" w:rsidRDefault="009C526C">
      <w:pPr>
        <w:pStyle w:val="p9"/>
        <w:spacing w:line="240" w:lineRule="auto"/>
        <w:rPr>
          <w:rFonts w:ascii="Arial" w:hAnsi="Arial" w:cs="Arial"/>
          <w:sz w:val="20"/>
        </w:rPr>
      </w:pPr>
    </w:p>
    <w:p w:rsidRPr="00EF416B" w:rsidR="009C526C" w:rsidRDefault="009C526C">
      <w:pPr>
        <w:pStyle w:val="p2"/>
        <w:spacing w:line="240" w:lineRule="auto"/>
        <w:rPr>
          <w:rFonts w:ascii="Arial" w:hAnsi="Arial" w:cs="Arial"/>
          <w:sz w:val="20"/>
        </w:rPr>
      </w:pPr>
      <w:r w:rsidRPr="00EF416B">
        <w:rPr>
          <w:rFonts w:ascii="Arial" w:hAnsi="Arial" w:cs="Arial"/>
          <w:sz w:val="20"/>
        </w:rPr>
        <w:t>2.</w:t>
      </w:r>
      <w:r w:rsidRPr="00EF416B" w:rsidR="00824627">
        <w:rPr>
          <w:rFonts w:ascii="Arial" w:hAnsi="Arial" w:cs="Arial"/>
          <w:sz w:val="20"/>
        </w:rPr>
        <w:t xml:space="preserve">  </w:t>
      </w:r>
      <w:r w:rsidRPr="00EF416B" w:rsidR="00EF416B">
        <w:rPr>
          <w:rFonts w:ascii="Arial" w:hAnsi="Arial" w:cs="Arial"/>
          <w:sz w:val="20"/>
          <w:u w:val="single"/>
        </w:rPr>
        <w:t>Purpose of the information collection</w:t>
      </w:r>
      <w:r w:rsidRPr="00EF416B">
        <w:rPr>
          <w:rFonts w:ascii="Arial" w:hAnsi="Arial" w:cs="Arial"/>
          <w:sz w:val="20"/>
        </w:rPr>
        <w:t>.</w:t>
      </w:r>
      <w:r w:rsidR="00EF416B">
        <w:rPr>
          <w:rFonts w:ascii="Arial" w:hAnsi="Arial" w:cs="Arial"/>
          <w:sz w:val="20"/>
        </w:rPr>
        <w:t xml:space="preserve">  </w:t>
      </w:r>
    </w:p>
    <w:p w:rsidRPr="00EF416B" w:rsidR="009C526C" w:rsidRDefault="009C526C">
      <w:pPr>
        <w:pStyle w:val="p2"/>
        <w:spacing w:line="240" w:lineRule="auto"/>
        <w:rPr>
          <w:rFonts w:ascii="Arial" w:hAnsi="Arial" w:cs="Arial"/>
          <w:sz w:val="20"/>
        </w:rPr>
      </w:pPr>
    </w:p>
    <w:p w:rsidRPr="00EF416B" w:rsidR="009C526C" w:rsidRDefault="009C526C">
      <w:pPr>
        <w:pStyle w:val="p12"/>
        <w:spacing w:line="240" w:lineRule="auto"/>
        <w:rPr>
          <w:rFonts w:ascii="Arial" w:hAnsi="Arial" w:cs="Arial"/>
          <w:sz w:val="20"/>
        </w:rPr>
      </w:pPr>
      <w:r w:rsidRPr="00EF416B">
        <w:rPr>
          <w:rFonts w:ascii="Arial" w:hAnsi="Arial" w:cs="Arial"/>
          <w:b/>
          <w:sz w:val="20"/>
          <w:u w:val="single"/>
        </w:rPr>
        <w:t>FRP</w:t>
      </w:r>
      <w:r w:rsidRPr="00EF416B" w:rsidR="00143425">
        <w:rPr>
          <w:rFonts w:ascii="Arial" w:hAnsi="Arial" w:cs="Arial"/>
          <w:b/>
          <w:sz w:val="20"/>
          <w:u w:val="single"/>
        </w:rPr>
        <w:t>, VRP and NTVRP</w:t>
      </w:r>
      <w:r w:rsidRPr="00317583">
        <w:rPr>
          <w:rFonts w:ascii="Arial" w:hAnsi="Arial" w:cs="Arial"/>
          <w:b/>
          <w:sz w:val="20"/>
        </w:rPr>
        <w:t>:</w:t>
      </w:r>
      <w:r w:rsidRPr="00EF416B">
        <w:rPr>
          <w:rFonts w:ascii="Arial" w:hAnsi="Arial" w:cs="Arial"/>
          <w:sz w:val="20"/>
        </w:rPr>
        <w:t xml:space="preserve">  The purpose of OPA 90 is to reduce the number of oil and hazardous substance </w:t>
      </w:r>
      <w:r w:rsidRPr="00EF416B">
        <w:rPr>
          <w:rFonts w:ascii="Arial" w:hAnsi="Arial" w:cs="Arial"/>
          <w:sz w:val="20"/>
        </w:rPr>
        <w:lastRenderedPageBreak/>
        <w:t xml:space="preserve">spills and to minimize the impact of the oil and hazardous substance spills when they do occur in U.S. waters.  The requirements for preparation, submission, and approval of </w:t>
      </w:r>
      <w:r w:rsidRPr="00EF416B" w:rsidR="004E543B">
        <w:rPr>
          <w:rFonts w:ascii="Arial" w:hAnsi="Arial" w:cs="Arial"/>
          <w:sz w:val="20"/>
        </w:rPr>
        <w:t>F</w:t>
      </w:r>
      <w:r w:rsidRPr="00EF416B">
        <w:rPr>
          <w:rFonts w:ascii="Arial" w:hAnsi="Arial" w:cs="Arial"/>
          <w:sz w:val="20"/>
        </w:rPr>
        <w:t>RPs</w:t>
      </w:r>
      <w:r w:rsidRPr="00EF416B" w:rsidR="00E5737C">
        <w:rPr>
          <w:rFonts w:ascii="Arial" w:hAnsi="Arial" w:cs="Arial"/>
          <w:sz w:val="20"/>
        </w:rPr>
        <w:t xml:space="preserve">, </w:t>
      </w:r>
      <w:r w:rsidRPr="00EF416B" w:rsidR="004E543B">
        <w:rPr>
          <w:rFonts w:ascii="Arial" w:hAnsi="Arial" w:cs="Arial"/>
          <w:sz w:val="20"/>
        </w:rPr>
        <w:t>V</w:t>
      </w:r>
      <w:r w:rsidRPr="00EF416B">
        <w:rPr>
          <w:rFonts w:ascii="Arial" w:hAnsi="Arial" w:cs="Arial"/>
          <w:sz w:val="20"/>
        </w:rPr>
        <w:t>RPs</w:t>
      </w:r>
      <w:r w:rsidRPr="00EF416B" w:rsidR="00E5737C">
        <w:rPr>
          <w:rFonts w:ascii="Arial" w:hAnsi="Arial" w:cs="Arial"/>
          <w:sz w:val="20"/>
        </w:rPr>
        <w:t xml:space="preserve"> and NTVRPs</w:t>
      </w:r>
      <w:r w:rsidRPr="00EF416B">
        <w:rPr>
          <w:rFonts w:ascii="Arial" w:hAnsi="Arial" w:cs="Arial"/>
          <w:sz w:val="20"/>
        </w:rPr>
        <w:t xml:space="preserve"> are central to the contingency planning elements of</w:t>
      </w:r>
      <w:r w:rsidRPr="00EF416B" w:rsidR="00E5737C">
        <w:rPr>
          <w:rFonts w:ascii="Arial" w:hAnsi="Arial" w:cs="Arial"/>
          <w:sz w:val="20"/>
        </w:rPr>
        <w:t xml:space="preserve"> the FWPCA. </w:t>
      </w:r>
      <w:r w:rsidRPr="00EF416B">
        <w:rPr>
          <w:rFonts w:ascii="Arial" w:hAnsi="Arial" w:cs="Arial"/>
          <w:sz w:val="20"/>
        </w:rPr>
        <w:t xml:space="preserve"> The </w:t>
      </w:r>
      <w:r w:rsidRPr="00EF416B" w:rsidR="004E543B">
        <w:rPr>
          <w:rFonts w:ascii="Arial" w:hAnsi="Arial" w:cs="Arial"/>
          <w:sz w:val="20"/>
        </w:rPr>
        <w:t>FRP</w:t>
      </w:r>
      <w:r w:rsidRPr="00EF416B" w:rsidR="00E5737C">
        <w:rPr>
          <w:rFonts w:ascii="Arial" w:hAnsi="Arial" w:cs="Arial"/>
          <w:sz w:val="20"/>
        </w:rPr>
        <w:t xml:space="preserve">, </w:t>
      </w:r>
      <w:r w:rsidRPr="00EF416B" w:rsidR="004E543B">
        <w:rPr>
          <w:rFonts w:ascii="Arial" w:hAnsi="Arial" w:cs="Arial"/>
          <w:sz w:val="20"/>
        </w:rPr>
        <w:t xml:space="preserve">VRP </w:t>
      </w:r>
      <w:r w:rsidRPr="00EF416B" w:rsidR="00E5737C">
        <w:rPr>
          <w:rFonts w:ascii="Arial" w:hAnsi="Arial" w:cs="Arial"/>
          <w:sz w:val="20"/>
        </w:rPr>
        <w:t>&amp; NTVRP</w:t>
      </w:r>
      <w:r w:rsidRPr="00EF416B">
        <w:rPr>
          <w:rFonts w:ascii="Arial" w:hAnsi="Arial" w:cs="Arial"/>
          <w:sz w:val="20"/>
        </w:rPr>
        <w:t xml:space="preserve"> requirements are necessary to ensure that vessels entering U.S. waters and certain facilities are </w:t>
      </w:r>
      <w:r w:rsidRPr="00EF416B" w:rsidR="00E5737C">
        <w:rPr>
          <w:rFonts w:ascii="Arial" w:hAnsi="Arial" w:cs="Arial"/>
          <w:sz w:val="20"/>
        </w:rPr>
        <w:t xml:space="preserve">adequately </w:t>
      </w:r>
      <w:r w:rsidRPr="00EF416B">
        <w:rPr>
          <w:rFonts w:ascii="Arial" w:hAnsi="Arial" w:cs="Arial"/>
          <w:sz w:val="20"/>
        </w:rPr>
        <w:t xml:space="preserve">prepared to respond in the event of an incident involving the spill of oil or a hazardous substance.  Without the requirements some operators may not maintain the necessary internal resources (effective planning, training, drilling, etc.) or external resources (adequate response capability) to meet </w:t>
      </w:r>
      <w:r w:rsidRPr="00EF416B" w:rsidR="00A14475">
        <w:rPr>
          <w:rFonts w:ascii="Arial" w:hAnsi="Arial" w:cs="Arial"/>
          <w:sz w:val="20"/>
        </w:rPr>
        <w:t xml:space="preserve">a </w:t>
      </w:r>
      <w:r w:rsidRPr="00EF416B">
        <w:rPr>
          <w:rFonts w:ascii="Arial" w:hAnsi="Arial" w:cs="Arial"/>
          <w:sz w:val="20"/>
        </w:rPr>
        <w:t xml:space="preserve">major intent of </w:t>
      </w:r>
      <w:r w:rsidRPr="00EF416B" w:rsidR="00E5737C">
        <w:rPr>
          <w:rFonts w:ascii="Arial" w:hAnsi="Arial" w:cs="Arial"/>
          <w:sz w:val="20"/>
        </w:rPr>
        <w:t>FWPCA</w:t>
      </w:r>
      <w:r w:rsidRPr="00EF416B" w:rsidR="00A14475">
        <w:rPr>
          <w:rFonts w:ascii="Arial" w:hAnsi="Arial" w:cs="Arial"/>
          <w:sz w:val="20"/>
        </w:rPr>
        <w:t xml:space="preserve">—to </w:t>
      </w:r>
      <w:r w:rsidRPr="00EF416B">
        <w:rPr>
          <w:rFonts w:ascii="Arial" w:hAnsi="Arial" w:cs="Arial"/>
          <w:sz w:val="20"/>
        </w:rPr>
        <w:t>reduce the consequences of an oil or hazardous substance spill when it occurs.</w:t>
      </w:r>
      <w:r w:rsidR="00655A6C">
        <w:rPr>
          <w:rFonts w:ascii="Arial" w:hAnsi="Arial" w:cs="Arial"/>
          <w:sz w:val="20"/>
        </w:rPr>
        <w:t xml:space="preserve">  </w:t>
      </w:r>
    </w:p>
    <w:p w:rsidRPr="00EF416B" w:rsidR="009C526C" w:rsidRDefault="009C526C">
      <w:pPr>
        <w:pStyle w:val="p12"/>
        <w:spacing w:line="240" w:lineRule="auto"/>
        <w:rPr>
          <w:rFonts w:ascii="Arial" w:hAnsi="Arial" w:cs="Arial"/>
          <w:sz w:val="20"/>
        </w:rPr>
      </w:pPr>
    </w:p>
    <w:p w:rsidRPr="00EF416B" w:rsidR="009C526C" w:rsidRDefault="009C526C">
      <w:pPr>
        <w:pStyle w:val="p12"/>
        <w:spacing w:line="240" w:lineRule="auto"/>
        <w:rPr>
          <w:rFonts w:ascii="Arial" w:hAnsi="Arial" w:cs="Arial"/>
          <w:sz w:val="20"/>
        </w:rPr>
      </w:pPr>
      <w:r w:rsidRPr="00EF416B">
        <w:rPr>
          <w:rFonts w:ascii="Arial" w:hAnsi="Arial" w:cs="Arial"/>
          <w:sz w:val="20"/>
        </w:rPr>
        <w:t xml:space="preserve">Submission of </w:t>
      </w:r>
      <w:r w:rsidRPr="00EF416B" w:rsidR="00824627">
        <w:rPr>
          <w:rFonts w:ascii="Arial" w:hAnsi="Arial" w:cs="Arial"/>
          <w:sz w:val="20"/>
        </w:rPr>
        <w:t xml:space="preserve">response plans </w:t>
      </w:r>
      <w:r w:rsidRPr="00EF416B">
        <w:rPr>
          <w:rFonts w:ascii="Arial" w:hAnsi="Arial" w:cs="Arial"/>
          <w:sz w:val="20"/>
        </w:rPr>
        <w:t xml:space="preserve">to the Coast Guard </w:t>
      </w:r>
      <w:r w:rsidRPr="00EF416B" w:rsidR="00A14475">
        <w:rPr>
          <w:rFonts w:ascii="Arial" w:hAnsi="Arial" w:cs="Arial"/>
          <w:sz w:val="20"/>
        </w:rPr>
        <w:t xml:space="preserve">(CG) </w:t>
      </w:r>
      <w:r w:rsidRPr="00EF416B">
        <w:rPr>
          <w:rFonts w:ascii="Arial" w:hAnsi="Arial" w:cs="Arial"/>
          <w:sz w:val="20"/>
        </w:rPr>
        <w:t>for approval is considered the most efficient way to ensure compliance and necessary for the CG to meet its obligations under OPA 90</w:t>
      </w:r>
      <w:r w:rsidRPr="00EF416B" w:rsidR="00E5737C">
        <w:rPr>
          <w:rFonts w:ascii="Arial" w:hAnsi="Arial" w:cs="Arial"/>
          <w:sz w:val="20"/>
        </w:rPr>
        <w:t>/FWPCA</w:t>
      </w:r>
      <w:r w:rsidRPr="00EF416B">
        <w:rPr>
          <w:rFonts w:ascii="Arial" w:hAnsi="Arial" w:cs="Arial"/>
          <w:sz w:val="20"/>
        </w:rPr>
        <w:t xml:space="preserve">. </w:t>
      </w:r>
      <w:r w:rsidR="00655A6C">
        <w:rPr>
          <w:rFonts w:ascii="Arial" w:hAnsi="Arial" w:cs="Arial"/>
          <w:sz w:val="20"/>
        </w:rPr>
        <w:t xml:space="preserve"> </w:t>
      </w:r>
    </w:p>
    <w:p w:rsidRPr="00EF416B" w:rsidR="009C526C" w:rsidRDefault="009C526C">
      <w:pPr>
        <w:pStyle w:val="p12"/>
        <w:spacing w:line="240" w:lineRule="auto"/>
        <w:rPr>
          <w:rFonts w:ascii="Arial" w:hAnsi="Arial" w:cs="Arial"/>
          <w:sz w:val="20"/>
        </w:rPr>
      </w:pPr>
    </w:p>
    <w:p w:rsidRPr="00EF416B" w:rsidR="009C526C" w:rsidRDefault="009C526C">
      <w:pPr>
        <w:pStyle w:val="p12"/>
        <w:spacing w:line="240" w:lineRule="auto"/>
        <w:rPr>
          <w:rFonts w:ascii="Arial" w:hAnsi="Arial" w:cs="Arial"/>
          <w:sz w:val="20"/>
        </w:rPr>
      </w:pPr>
      <w:r w:rsidRPr="00EF416B">
        <w:rPr>
          <w:rFonts w:ascii="Arial" w:hAnsi="Arial" w:cs="Arial"/>
          <w:b/>
          <w:sz w:val="20"/>
          <w:u w:val="single"/>
        </w:rPr>
        <w:t>PWS</w:t>
      </w:r>
      <w:r w:rsidRPr="00317583">
        <w:rPr>
          <w:rFonts w:ascii="Arial" w:hAnsi="Arial" w:cs="Arial"/>
          <w:b/>
          <w:sz w:val="20"/>
        </w:rPr>
        <w:t>:</w:t>
      </w:r>
      <w:r w:rsidRPr="00EF416B">
        <w:rPr>
          <w:rFonts w:ascii="Arial" w:hAnsi="Arial" w:cs="Arial"/>
          <w:sz w:val="20"/>
        </w:rPr>
        <w:t xml:space="preserve">  The additional requirements in section 5005 of OPA 90, for trained personnel and pre-positioned response equipment, reflect the particular environmental sensitivity of PWS.  Without these requirements for tankers operating in PWS and loading cargo at TAPS, it is believed that sufficient response resources would not be available or be properly maintained to clean up a future oil spill. </w:t>
      </w:r>
      <w:r w:rsidRPr="00EF416B" w:rsidR="00CD5CF4">
        <w:rPr>
          <w:rFonts w:ascii="Arial" w:hAnsi="Arial" w:cs="Arial"/>
          <w:sz w:val="20"/>
        </w:rPr>
        <w:t xml:space="preserve"> </w:t>
      </w:r>
      <w:r w:rsidRPr="00EF416B">
        <w:rPr>
          <w:rFonts w:ascii="Arial" w:hAnsi="Arial" w:cs="Arial"/>
          <w:sz w:val="20"/>
        </w:rPr>
        <w:t>Certification and testing of response equipment help</w:t>
      </w:r>
      <w:r w:rsidRPr="00EF416B" w:rsidR="0026126D">
        <w:rPr>
          <w:rFonts w:ascii="Arial" w:hAnsi="Arial" w:cs="Arial"/>
          <w:sz w:val="20"/>
        </w:rPr>
        <w:t>s</w:t>
      </w:r>
      <w:r w:rsidRPr="00EF416B">
        <w:rPr>
          <w:rFonts w:ascii="Arial" w:hAnsi="Arial" w:cs="Arial"/>
          <w:sz w:val="20"/>
        </w:rPr>
        <w:t xml:space="preserve"> ensure the readiness of this equipment for a future response.</w:t>
      </w:r>
      <w:r w:rsidR="00655A6C">
        <w:rPr>
          <w:rFonts w:ascii="Arial" w:hAnsi="Arial" w:cs="Arial"/>
          <w:sz w:val="20"/>
        </w:rPr>
        <w:t xml:space="preserve">  </w:t>
      </w:r>
    </w:p>
    <w:p w:rsidRPr="00EF416B" w:rsidR="009C526C" w:rsidRDefault="009C526C">
      <w:pPr>
        <w:pStyle w:val="p12"/>
        <w:spacing w:line="240" w:lineRule="auto"/>
        <w:rPr>
          <w:rFonts w:ascii="Arial" w:hAnsi="Arial" w:cs="Arial"/>
          <w:sz w:val="20"/>
        </w:rPr>
      </w:pPr>
    </w:p>
    <w:p w:rsidRPr="00EF416B" w:rsidR="009C526C" w:rsidRDefault="0091486A">
      <w:pPr>
        <w:pStyle w:val="p12"/>
        <w:spacing w:line="240" w:lineRule="auto"/>
        <w:rPr>
          <w:rFonts w:ascii="Arial" w:hAnsi="Arial" w:cs="Arial"/>
          <w:sz w:val="20"/>
        </w:rPr>
      </w:pPr>
      <w:r w:rsidRPr="00EF416B">
        <w:rPr>
          <w:rFonts w:ascii="Arial" w:hAnsi="Arial" w:cs="Arial"/>
          <w:b/>
          <w:sz w:val="20"/>
          <w:u w:val="single"/>
        </w:rPr>
        <w:t>SOPEP/SMPEP</w:t>
      </w:r>
      <w:r w:rsidRPr="00317583" w:rsidR="009C526C">
        <w:rPr>
          <w:rFonts w:ascii="Arial" w:hAnsi="Arial" w:cs="Arial"/>
          <w:b/>
          <w:sz w:val="20"/>
        </w:rPr>
        <w:t>:</w:t>
      </w:r>
      <w:r w:rsidRPr="00EF416B" w:rsidR="009C526C">
        <w:rPr>
          <w:rFonts w:ascii="Arial" w:hAnsi="Arial" w:cs="Arial"/>
          <w:sz w:val="20"/>
        </w:rPr>
        <w:t xml:space="preserve">  The purpose of </w:t>
      </w:r>
      <w:r w:rsidRPr="00EF416B">
        <w:rPr>
          <w:rFonts w:ascii="Arial" w:hAnsi="Arial" w:cs="Arial"/>
          <w:sz w:val="20"/>
        </w:rPr>
        <w:t xml:space="preserve">the requirements </w:t>
      </w:r>
      <w:r w:rsidRPr="00EF416B" w:rsidR="009C526C">
        <w:rPr>
          <w:rFonts w:ascii="Arial" w:hAnsi="Arial" w:cs="Arial"/>
          <w:sz w:val="20"/>
        </w:rPr>
        <w:t xml:space="preserve">is to improve response capabilities and minimize the environmental impact of oil </w:t>
      </w:r>
      <w:r w:rsidRPr="00EF416B">
        <w:rPr>
          <w:rFonts w:ascii="Arial" w:hAnsi="Arial" w:cs="Arial"/>
          <w:sz w:val="20"/>
        </w:rPr>
        <w:t xml:space="preserve">or NLS </w:t>
      </w:r>
      <w:r w:rsidRPr="00EF416B" w:rsidR="009C526C">
        <w:rPr>
          <w:rFonts w:ascii="Arial" w:hAnsi="Arial" w:cs="Arial"/>
          <w:sz w:val="20"/>
        </w:rPr>
        <w:t>discharges from ships.  Without the requirements, there is a greater likelihood of a vessel which is not prepared to handle an unauthorized discharge of oil having a spill and causing a major environmental incident.  The submission and approval of these plans ensures that vessels have in place an appropriate plan that deals with such an occurrence.</w:t>
      </w:r>
      <w:r w:rsidR="00655A6C">
        <w:rPr>
          <w:rFonts w:ascii="Arial" w:hAnsi="Arial" w:cs="Arial"/>
          <w:sz w:val="20"/>
        </w:rPr>
        <w:t xml:space="preserve">  </w:t>
      </w:r>
    </w:p>
    <w:p w:rsidRPr="00EF416B" w:rsidR="009C526C" w:rsidRDefault="009C526C">
      <w:pPr>
        <w:pStyle w:val="p12"/>
        <w:spacing w:line="240" w:lineRule="auto"/>
        <w:rPr>
          <w:rFonts w:ascii="Arial" w:hAnsi="Arial" w:cs="Arial"/>
          <w:sz w:val="20"/>
        </w:rPr>
      </w:pPr>
    </w:p>
    <w:p w:rsidRPr="00EF416B" w:rsidR="009C526C" w:rsidRDefault="009C526C">
      <w:pPr>
        <w:pStyle w:val="p2"/>
        <w:spacing w:line="240" w:lineRule="auto"/>
        <w:rPr>
          <w:rFonts w:ascii="Arial" w:hAnsi="Arial" w:cs="Arial"/>
          <w:sz w:val="20"/>
        </w:rPr>
      </w:pPr>
      <w:r w:rsidRPr="00EF416B">
        <w:rPr>
          <w:rFonts w:ascii="Arial" w:hAnsi="Arial" w:cs="Arial"/>
          <w:sz w:val="20"/>
        </w:rPr>
        <w:t>3.</w:t>
      </w:r>
      <w:r w:rsidRPr="00EF416B" w:rsidR="00824627">
        <w:rPr>
          <w:rFonts w:ascii="Arial" w:hAnsi="Arial" w:cs="Arial"/>
          <w:sz w:val="20"/>
        </w:rPr>
        <w:t xml:space="preserve">  </w:t>
      </w:r>
      <w:r w:rsidRPr="00EF416B">
        <w:rPr>
          <w:rFonts w:ascii="Arial" w:hAnsi="Arial" w:cs="Arial"/>
          <w:sz w:val="20"/>
          <w:u w:val="single"/>
        </w:rPr>
        <w:t>Consideration of the use of improved technology</w:t>
      </w:r>
      <w:r w:rsidRPr="00EF416B">
        <w:rPr>
          <w:rFonts w:ascii="Arial" w:hAnsi="Arial" w:cs="Arial"/>
          <w:sz w:val="20"/>
        </w:rPr>
        <w:t>.</w:t>
      </w:r>
      <w:r w:rsidR="00EF416B">
        <w:rPr>
          <w:rFonts w:ascii="Arial" w:hAnsi="Arial" w:cs="Arial"/>
          <w:sz w:val="20"/>
        </w:rPr>
        <w:t xml:space="preserve">  </w:t>
      </w:r>
    </w:p>
    <w:p w:rsidRPr="00EF416B" w:rsidR="009C526C" w:rsidRDefault="009C526C">
      <w:pPr>
        <w:pStyle w:val="p2"/>
        <w:spacing w:line="240" w:lineRule="auto"/>
        <w:rPr>
          <w:rFonts w:ascii="Arial" w:hAnsi="Arial" w:cs="Arial"/>
          <w:sz w:val="20"/>
        </w:rPr>
      </w:pPr>
    </w:p>
    <w:p w:rsidRPr="00EF416B" w:rsidR="00824627" w:rsidP="00824627" w:rsidRDefault="00824627">
      <w:pPr>
        <w:pStyle w:val="p8"/>
        <w:spacing w:line="240" w:lineRule="auto"/>
        <w:rPr>
          <w:rFonts w:ascii="Arial" w:hAnsi="Arial" w:cs="Arial"/>
          <w:sz w:val="20"/>
        </w:rPr>
      </w:pPr>
      <w:r w:rsidRPr="00EF416B">
        <w:rPr>
          <w:rFonts w:ascii="Arial" w:hAnsi="Arial" w:cs="Arial"/>
          <w:sz w:val="20"/>
        </w:rPr>
        <w:t xml:space="preserve">For FRP and PWS, information may be submitted by mail or electronically via e-mail to the </w:t>
      </w:r>
      <w:r w:rsidRPr="00EF416B" w:rsidR="004E543B">
        <w:rPr>
          <w:rFonts w:ascii="Arial" w:hAnsi="Arial" w:cs="Arial"/>
          <w:sz w:val="20"/>
        </w:rPr>
        <w:t>Captain of the Port (</w:t>
      </w:r>
      <w:r w:rsidRPr="00EF416B">
        <w:rPr>
          <w:rFonts w:ascii="Arial" w:hAnsi="Arial" w:cs="Arial"/>
          <w:sz w:val="20"/>
        </w:rPr>
        <w:t>COTP</w:t>
      </w:r>
      <w:r w:rsidRPr="00EF416B" w:rsidR="004E543B">
        <w:rPr>
          <w:rFonts w:ascii="Arial" w:hAnsi="Arial" w:cs="Arial"/>
          <w:sz w:val="20"/>
        </w:rPr>
        <w:t>)</w:t>
      </w:r>
      <w:r w:rsidRPr="00EF416B">
        <w:rPr>
          <w:rFonts w:ascii="Arial" w:hAnsi="Arial" w:cs="Arial"/>
          <w:sz w:val="20"/>
        </w:rPr>
        <w:t xml:space="preserve"> at the local CG Sector Office.  Contact info for CG Sector Offices can be found at— </w:t>
      </w:r>
      <w:hyperlink w:history="1" r:id="rId8">
        <w:r w:rsidRPr="0014634A" w:rsidR="00414CCF">
          <w:rPr>
            <w:rStyle w:val="Hyperlink"/>
            <w:rFonts w:ascii="Arial" w:hAnsi="Arial" w:cs="Arial"/>
            <w:sz w:val="20"/>
          </w:rPr>
          <w:t>https://www.uscg.mil/Units/Organization/</w:t>
        </w:r>
      </w:hyperlink>
      <w:r w:rsidRPr="00EF416B">
        <w:rPr>
          <w:rFonts w:ascii="Arial" w:hAnsi="Arial" w:cs="Arial"/>
          <w:sz w:val="20"/>
        </w:rPr>
        <w:t xml:space="preserve">.  For VRP, NTVRP and </w:t>
      </w:r>
      <w:r w:rsidRPr="00EF416B" w:rsidR="0091486A">
        <w:rPr>
          <w:rFonts w:ascii="Arial" w:hAnsi="Arial" w:cs="Arial"/>
          <w:sz w:val="20"/>
        </w:rPr>
        <w:t>SOPEP/SMPEP</w:t>
      </w:r>
      <w:r w:rsidRPr="00EF416B">
        <w:rPr>
          <w:rFonts w:ascii="Arial" w:hAnsi="Arial" w:cs="Arial"/>
          <w:sz w:val="20"/>
        </w:rPr>
        <w:t xml:space="preserve">, information may be submitted </w:t>
      </w:r>
      <w:r w:rsidRPr="00EF416B" w:rsidR="00971A5D">
        <w:rPr>
          <w:rFonts w:ascii="Arial" w:hAnsi="Arial" w:cs="Arial"/>
          <w:sz w:val="20"/>
        </w:rPr>
        <w:t xml:space="preserve">to CG Headquarters </w:t>
      </w:r>
      <w:r w:rsidRPr="00EF416B">
        <w:rPr>
          <w:rFonts w:ascii="Arial" w:hAnsi="Arial" w:cs="Arial"/>
          <w:sz w:val="20"/>
        </w:rPr>
        <w:t>by mail</w:t>
      </w:r>
      <w:r w:rsidR="009561AA">
        <w:rPr>
          <w:rFonts w:ascii="Arial" w:hAnsi="Arial" w:cs="Arial"/>
          <w:sz w:val="20"/>
        </w:rPr>
        <w:t>,</w:t>
      </w:r>
      <w:r w:rsidRPr="00EF416B">
        <w:rPr>
          <w:rFonts w:ascii="Arial" w:hAnsi="Arial" w:cs="Arial"/>
          <w:sz w:val="20"/>
        </w:rPr>
        <w:t xml:space="preserve"> electronically via e-mail </w:t>
      </w:r>
      <w:r w:rsidRPr="0014634A" w:rsidR="00414CCF">
        <w:rPr>
          <w:rFonts w:ascii="Arial" w:hAnsi="Arial" w:cs="Arial"/>
          <w:sz w:val="20"/>
        </w:rPr>
        <w:t>(</w:t>
      </w:r>
      <w:hyperlink w:history="1" r:id="rId9">
        <w:r w:rsidRPr="0014634A" w:rsidR="00414CCF">
          <w:rPr>
            <w:rStyle w:val="Hyperlink"/>
            <w:rFonts w:ascii="Arial" w:hAnsi="Arial" w:cs="Arial"/>
            <w:sz w:val="20"/>
          </w:rPr>
          <w:t>vrp@uscg.mil</w:t>
        </w:r>
      </w:hyperlink>
      <w:r w:rsidRPr="0014634A" w:rsidR="00414CCF">
        <w:rPr>
          <w:rFonts w:ascii="Arial" w:hAnsi="Arial" w:cs="Arial"/>
          <w:sz w:val="20"/>
        </w:rPr>
        <w:t>)</w:t>
      </w:r>
      <w:r w:rsidR="00EA47A2">
        <w:rPr>
          <w:rFonts w:ascii="Arial" w:hAnsi="Arial" w:cs="Arial"/>
          <w:sz w:val="20"/>
        </w:rPr>
        <w:t xml:space="preserve"> or VRP Express</w:t>
      </w:r>
      <w:r w:rsidRPr="00115493" w:rsidR="00414CCF">
        <w:rPr>
          <w:rFonts w:ascii="Arial" w:hAnsi="Arial" w:cs="Arial"/>
          <w:sz w:val="20"/>
        </w:rPr>
        <w:t>.</w:t>
      </w:r>
      <w:r w:rsidR="009561AA">
        <w:rPr>
          <w:rStyle w:val="FootnoteReference"/>
          <w:rFonts w:ascii="Arial" w:hAnsi="Arial" w:cs="Arial"/>
          <w:sz w:val="20"/>
        </w:rPr>
        <w:footnoteReference w:id="1"/>
      </w:r>
      <w:r w:rsidRPr="00115493" w:rsidR="00414CCF">
        <w:rPr>
          <w:rFonts w:ascii="Arial" w:hAnsi="Arial" w:cs="Arial"/>
          <w:sz w:val="20"/>
        </w:rPr>
        <w:t xml:space="preserve">  </w:t>
      </w:r>
      <w:r w:rsidRPr="0014634A" w:rsidR="00414CCF">
        <w:rPr>
          <w:rFonts w:ascii="Arial" w:hAnsi="Arial" w:cs="Arial"/>
          <w:sz w:val="20"/>
        </w:rPr>
        <w:t xml:space="preserve">VRP status queries are made </w:t>
      </w:r>
      <w:r w:rsidRPr="00115493" w:rsidR="00414CCF">
        <w:rPr>
          <w:rFonts w:ascii="Arial" w:hAnsi="Arial" w:cs="Arial"/>
          <w:sz w:val="20"/>
        </w:rPr>
        <w:t xml:space="preserve">via </w:t>
      </w:r>
      <w:hyperlink w:history="1" r:id="rId10">
        <w:r w:rsidRPr="00115493" w:rsidR="00414CCF">
          <w:rPr>
            <w:rStyle w:val="Hyperlink"/>
            <w:rFonts w:ascii="Arial" w:hAnsi="Arial" w:cs="Arial"/>
            <w:sz w:val="20"/>
          </w:rPr>
          <w:t>https://homeport.uscg.mil</w:t>
        </w:r>
      </w:hyperlink>
      <w:r w:rsidRPr="00115493" w:rsidR="00414CCF">
        <w:rPr>
          <w:rFonts w:ascii="Arial" w:hAnsi="Arial" w:cs="Arial"/>
          <w:sz w:val="20"/>
        </w:rPr>
        <w:t xml:space="preserve"> &gt; Missions, VRP Status Board.</w:t>
      </w:r>
      <w:r w:rsidRPr="00EF416B">
        <w:rPr>
          <w:rFonts w:ascii="Arial" w:hAnsi="Arial" w:cs="Arial"/>
          <w:sz w:val="20"/>
        </w:rPr>
        <w:t xml:space="preserve">  At this time, we estimate that </w:t>
      </w:r>
      <w:r w:rsidR="00A440F3">
        <w:rPr>
          <w:rFonts w:ascii="Arial" w:hAnsi="Arial" w:cs="Arial"/>
          <w:sz w:val="20"/>
        </w:rPr>
        <w:t>93</w:t>
      </w:r>
      <w:r w:rsidRPr="00EF416B">
        <w:rPr>
          <w:rFonts w:ascii="Arial" w:hAnsi="Arial" w:cs="Arial"/>
          <w:sz w:val="20"/>
        </w:rPr>
        <w:t xml:space="preserve">% of reporting requirements are done electronically. </w:t>
      </w:r>
    </w:p>
    <w:p w:rsidRPr="00EF416B" w:rsidR="00824627" w:rsidRDefault="00824627">
      <w:pPr>
        <w:pStyle w:val="p12"/>
        <w:spacing w:line="240" w:lineRule="auto"/>
        <w:rPr>
          <w:rFonts w:ascii="Arial" w:hAnsi="Arial" w:cs="Arial"/>
          <w:sz w:val="20"/>
        </w:rPr>
      </w:pPr>
    </w:p>
    <w:p w:rsidRPr="00EF416B" w:rsidR="009C526C" w:rsidRDefault="009C526C">
      <w:pPr>
        <w:pStyle w:val="p2"/>
        <w:spacing w:line="240" w:lineRule="auto"/>
        <w:rPr>
          <w:rFonts w:ascii="Arial" w:hAnsi="Arial" w:cs="Arial"/>
          <w:sz w:val="20"/>
        </w:rPr>
      </w:pPr>
      <w:r w:rsidRPr="00EF416B">
        <w:rPr>
          <w:rFonts w:ascii="Arial" w:hAnsi="Arial" w:cs="Arial"/>
          <w:sz w:val="20"/>
        </w:rPr>
        <w:t>4.</w:t>
      </w:r>
      <w:r w:rsidRPr="00EF416B" w:rsidR="00824627">
        <w:rPr>
          <w:rFonts w:ascii="Arial" w:hAnsi="Arial" w:cs="Arial"/>
          <w:sz w:val="20"/>
        </w:rPr>
        <w:t xml:space="preserve">  </w:t>
      </w:r>
      <w:r w:rsidRPr="00EF416B">
        <w:rPr>
          <w:rFonts w:ascii="Arial" w:hAnsi="Arial" w:cs="Arial"/>
          <w:sz w:val="20"/>
          <w:u w:val="single"/>
        </w:rPr>
        <w:t>Efforts to identify duplication</w:t>
      </w:r>
      <w:r w:rsidRPr="00EF416B">
        <w:rPr>
          <w:rFonts w:ascii="Arial" w:hAnsi="Arial" w:cs="Arial"/>
          <w:sz w:val="20"/>
        </w:rPr>
        <w:t>.</w:t>
      </w:r>
      <w:r w:rsidR="00EF416B">
        <w:rPr>
          <w:rFonts w:ascii="Arial" w:hAnsi="Arial" w:cs="Arial"/>
          <w:sz w:val="20"/>
        </w:rPr>
        <w:t xml:space="preserve">  </w:t>
      </w:r>
    </w:p>
    <w:p w:rsidRPr="00EF416B" w:rsidR="009C526C" w:rsidP="00EF416B" w:rsidRDefault="009C526C">
      <w:pPr>
        <w:pStyle w:val="p2"/>
        <w:tabs>
          <w:tab w:val="clear" w:pos="620"/>
        </w:tabs>
        <w:spacing w:line="240" w:lineRule="auto"/>
        <w:rPr>
          <w:rFonts w:ascii="Arial" w:hAnsi="Arial" w:cs="Arial"/>
          <w:sz w:val="20"/>
        </w:rPr>
      </w:pPr>
    </w:p>
    <w:p w:rsidRPr="00EF416B" w:rsidR="009C526C" w:rsidRDefault="009C526C">
      <w:pPr>
        <w:pStyle w:val="p12"/>
        <w:spacing w:line="240" w:lineRule="auto"/>
        <w:rPr>
          <w:rFonts w:ascii="Arial" w:hAnsi="Arial" w:cs="Arial"/>
          <w:sz w:val="20"/>
        </w:rPr>
      </w:pPr>
      <w:r w:rsidRPr="00EF416B">
        <w:rPr>
          <w:rFonts w:ascii="Arial" w:hAnsi="Arial" w:cs="Arial"/>
          <w:b/>
          <w:sz w:val="20"/>
          <w:u w:val="single"/>
        </w:rPr>
        <w:t>FRP</w:t>
      </w:r>
      <w:r w:rsidRPr="00317583">
        <w:rPr>
          <w:rFonts w:ascii="Arial" w:hAnsi="Arial" w:cs="Arial"/>
          <w:b/>
          <w:sz w:val="20"/>
        </w:rPr>
        <w:t>:</w:t>
      </w:r>
      <w:r w:rsidRPr="00EF416B">
        <w:rPr>
          <w:rFonts w:ascii="Arial" w:hAnsi="Arial" w:cs="Arial"/>
          <w:sz w:val="20"/>
        </w:rPr>
        <w:t xml:space="preserve">  In addition to </w:t>
      </w:r>
      <w:r w:rsidRPr="00EF416B" w:rsidR="0026126D">
        <w:rPr>
          <w:rFonts w:ascii="Arial" w:hAnsi="Arial" w:cs="Arial"/>
          <w:sz w:val="20"/>
        </w:rPr>
        <w:t xml:space="preserve">the CG’s </w:t>
      </w:r>
      <w:r w:rsidRPr="00EF416B" w:rsidR="00971A5D">
        <w:rPr>
          <w:rFonts w:ascii="Arial" w:hAnsi="Arial" w:cs="Arial"/>
          <w:sz w:val="20"/>
        </w:rPr>
        <w:t xml:space="preserve">marine transportation-related (MTR) </w:t>
      </w:r>
      <w:r w:rsidRPr="00EF416B" w:rsidR="0026126D">
        <w:rPr>
          <w:rFonts w:ascii="Arial" w:hAnsi="Arial" w:cs="Arial"/>
          <w:sz w:val="20"/>
        </w:rPr>
        <w:t>FRP</w:t>
      </w:r>
      <w:r w:rsidRPr="00EF416B">
        <w:rPr>
          <w:rFonts w:ascii="Arial" w:hAnsi="Arial" w:cs="Arial"/>
          <w:sz w:val="20"/>
        </w:rPr>
        <w:t xml:space="preserve"> requirements, </w:t>
      </w:r>
      <w:r w:rsidRPr="00EF416B" w:rsidR="009D0B0D">
        <w:rPr>
          <w:rFonts w:ascii="Arial" w:hAnsi="Arial" w:cs="Arial"/>
          <w:sz w:val="20"/>
        </w:rPr>
        <w:t xml:space="preserve">the </w:t>
      </w:r>
      <w:r w:rsidRPr="00EF416B">
        <w:rPr>
          <w:rFonts w:ascii="Arial" w:hAnsi="Arial" w:cs="Arial"/>
          <w:sz w:val="20"/>
        </w:rPr>
        <w:t xml:space="preserve">Environmental Protection Agency (EPA) has </w:t>
      </w:r>
      <w:r w:rsidRPr="00EF416B" w:rsidR="009D0B0D">
        <w:rPr>
          <w:rFonts w:ascii="Arial" w:hAnsi="Arial" w:cs="Arial"/>
          <w:sz w:val="20"/>
        </w:rPr>
        <w:t>FRP</w:t>
      </w:r>
      <w:r w:rsidRPr="00EF416B">
        <w:rPr>
          <w:rFonts w:ascii="Arial" w:hAnsi="Arial" w:cs="Arial"/>
          <w:sz w:val="20"/>
        </w:rPr>
        <w:t xml:space="preserve"> regulations.  </w:t>
      </w:r>
      <w:r w:rsidRPr="00EF416B" w:rsidR="009D0B0D">
        <w:rPr>
          <w:rFonts w:ascii="Arial" w:hAnsi="Arial" w:cs="Arial"/>
          <w:sz w:val="20"/>
        </w:rPr>
        <w:t xml:space="preserve">EPA </w:t>
      </w:r>
      <w:r w:rsidRPr="00EF416B">
        <w:rPr>
          <w:rFonts w:ascii="Arial" w:hAnsi="Arial" w:cs="Arial"/>
          <w:sz w:val="20"/>
        </w:rPr>
        <w:t>response plan requirements affect certain non-transportation-related facilities that have the potential to discharge oil into the navigable waters or adjoining shorelines of the U.S. and meet certain storage capacity thresholds.</w:t>
      </w:r>
      <w:r w:rsidRPr="00EF416B" w:rsidR="009D0B0D">
        <w:rPr>
          <w:rFonts w:ascii="Arial" w:hAnsi="Arial" w:cs="Arial"/>
          <w:sz w:val="20"/>
        </w:rPr>
        <w:t xml:space="preserve">  </w:t>
      </w:r>
      <w:r w:rsidRPr="00EF416B">
        <w:rPr>
          <w:rFonts w:ascii="Arial" w:hAnsi="Arial" w:cs="Arial"/>
          <w:sz w:val="20"/>
        </w:rPr>
        <w:t xml:space="preserve">EPA's regulations do not apply to equipment or operations of onshore marine transportation-related facilities that are subject to the authority and control of the Department of </w:t>
      </w:r>
      <w:r w:rsidRPr="00EF416B" w:rsidR="0042400F">
        <w:rPr>
          <w:rFonts w:ascii="Arial" w:hAnsi="Arial" w:cs="Arial"/>
          <w:sz w:val="20"/>
        </w:rPr>
        <w:t xml:space="preserve">Homeland Security </w:t>
      </w:r>
      <w:r w:rsidRPr="00EF416B">
        <w:rPr>
          <w:rFonts w:ascii="Arial" w:hAnsi="Arial" w:cs="Arial"/>
          <w:sz w:val="20"/>
        </w:rPr>
        <w:t>(delegat</w:t>
      </w:r>
      <w:r w:rsidRPr="00EF416B" w:rsidR="00971A5D">
        <w:rPr>
          <w:rFonts w:ascii="Arial" w:hAnsi="Arial" w:cs="Arial"/>
          <w:sz w:val="20"/>
        </w:rPr>
        <w:t>ed</w:t>
      </w:r>
      <w:r w:rsidRPr="00EF416B">
        <w:rPr>
          <w:rFonts w:ascii="Arial" w:hAnsi="Arial" w:cs="Arial"/>
          <w:sz w:val="20"/>
        </w:rPr>
        <w:t xml:space="preserve"> to the </w:t>
      </w:r>
      <w:r w:rsidRPr="00EF416B" w:rsidR="009D0B0D">
        <w:rPr>
          <w:rFonts w:ascii="Arial" w:hAnsi="Arial" w:cs="Arial"/>
          <w:sz w:val="20"/>
        </w:rPr>
        <w:t>CG</w:t>
      </w:r>
      <w:r w:rsidRPr="00EF416B">
        <w:rPr>
          <w:rFonts w:ascii="Arial" w:hAnsi="Arial" w:cs="Arial"/>
          <w:sz w:val="20"/>
        </w:rPr>
        <w:t xml:space="preserve">). </w:t>
      </w:r>
      <w:r w:rsidRPr="00EF416B" w:rsidR="00CD5CF4">
        <w:rPr>
          <w:rFonts w:ascii="Arial" w:hAnsi="Arial" w:cs="Arial"/>
          <w:sz w:val="20"/>
        </w:rPr>
        <w:t xml:space="preserve"> </w:t>
      </w:r>
      <w:r w:rsidRPr="00EF416B">
        <w:rPr>
          <w:rFonts w:ascii="Arial" w:hAnsi="Arial" w:cs="Arial"/>
          <w:sz w:val="20"/>
        </w:rPr>
        <w:t xml:space="preserve">However, certain businesses have both transportation-related and non-transportation-related components, such as petroleum bulk terminals that have storage tanks and transfer petroleum to and from vessels.  These businesses </w:t>
      </w:r>
      <w:r w:rsidRPr="00EF416B" w:rsidR="009D0B0D">
        <w:rPr>
          <w:rFonts w:ascii="Arial" w:hAnsi="Arial" w:cs="Arial"/>
          <w:sz w:val="20"/>
        </w:rPr>
        <w:t>are</w:t>
      </w:r>
      <w:r w:rsidRPr="00EF416B">
        <w:rPr>
          <w:rFonts w:ascii="Arial" w:hAnsi="Arial" w:cs="Arial"/>
          <w:sz w:val="20"/>
        </w:rPr>
        <w:t xml:space="preserve"> subject to both the </w:t>
      </w:r>
      <w:r w:rsidRPr="00EF416B" w:rsidR="009D0B0D">
        <w:rPr>
          <w:rFonts w:ascii="Arial" w:hAnsi="Arial" w:cs="Arial"/>
          <w:sz w:val="20"/>
        </w:rPr>
        <w:t>CG</w:t>
      </w:r>
      <w:r w:rsidRPr="00EF416B">
        <w:rPr>
          <w:rFonts w:ascii="Arial" w:hAnsi="Arial" w:cs="Arial"/>
          <w:sz w:val="20"/>
        </w:rPr>
        <w:t xml:space="preserve"> and EPA regulation.  Th</w:t>
      </w:r>
      <w:r w:rsidRPr="00EF416B" w:rsidR="009D0B0D">
        <w:rPr>
          <w:rFonts w:ascii="Arial" w:hAnsi="Arial" w:cs="Arial"/>
          <w:sz w:val="20"/>
        </w:rPr>
        <w:t>ese</w:t>
      </w:r>
      <w:r w:rsidRPr="00EF416B">
        <w:rPr>
          <w:rFonts w:ascii="Arial" w:hAnsi="Arial" w:cs="Arial"/>
          <w:sz w:val="20"/>
        </w:rPr>
        <w:t xml:space="preserve"> facilities a</w:t>
      </w:r>
      <w:r w:rsidRPr="00EF416B" w:rsidR="009D0B0D">
        <w:rPr>
          <w:rFonts w:ascii="Arial" w:hAnsi="Arial" w:cs="Arial"/>
          <w:sz w:val="20"/>
        </w:rPr>
        <w:t>re</w:t>
      </w:r>
      <w:r w:rsidRPr="00EF416B">
        <w:rPr>
          <w:rFonts w:ascii="Arial" w:hAnsi="Arial" w:cs="Arial"/>
          <w:sz w:val="20"/>
        </w:rPr>
        <w:t xml:space="preserve"> </w:t>
      </w:r>
      <w:r w:rsidRPr="00EF416B" w:rsidR="009D0B0D">
        <w:rPr>
          <w:rFonts w:ascii="Arial" w:hAnsi="Arial" w:cs="Arial"/>
          <w:sz w:val="20"/>
        </w:rPr>
        <w:t xml:space="preserve">designated </w:t>
      </w:r>
      <w:r w:rsidRPr="00EF416B">
        <w:rPr>
          <w:rFonts w:ascii="Arial" w:hAnsi="Arial" w:cs="Arial"/>
          <w:sz w:val="20"/>
        </w:rPr>
        <w:t>complexes.</w:t>
      </w:r>
      <w:r w:rsidRPr="00EF416B" w:rsidR="009D0B0D">
        <w:rPr>
          <w:rFonts w:ascii="Arial" w:hAnsi="Arial" w:cs="Arial"/>
          <w:sz w:val="20"/>
        </w:rPr>
        <w:t xml:space="preserve">  </w:t>
      </w:r>
      <w:r w:rsidRPr="00EF416B">
        <w:rPr>
          <w:rFonts w:ascii="Arial" w:hAnsi="Arial" w:cs="Arial"/>
          <w:sz w:val="20"/>
        </w:rPr>
        <w:t xml:space="preserve">To avoid duplicative paperwork burdens on complexes, the </w:t>
      </w:r>
      <w:r w:rsidRPr="00EF416B" w:rsidR="009D0B0D">
        <w:rPr>
          <w:rFonts w:ascii="Arial" w:hAnsi="Arial" w:cs="Arial"/>
          <w:sz w:val="20"/>
        </w:rPr>
        <w:t>CG</w:t>
      </w:r>
      <w:r w:rsidRPr="00EF416B">
        <w:rPr>
          <w:rFonts w:ascii="Arial" w:hAnsi="Arial" w:cs="Arial"/>
          <w:sz w:val="20"/>
        </w:rPr>
        <w:t xml:space="preserve"> and </w:t>
      </w:r>
      <w:r w:rsidRPr="00EF416B" w:rsidR="0026126D">
        <w:rPr>
          <w:rFonts w:ascii="Arial" w:hAnsi="Arial" w:cs="Arial"/>
          <w:sz w:val="20"/>
        </w:rPr>
        <w:t>EPA</w:t>
      </w:r>
      <w:r w:rsidRPr="00EF416B">
        <w:rPr>
          <w:rFonts w:ascii="Arial" w:hAnsi="Arial" w:cs="Arial"/>
          <w:sz w:val="20"/>
        </w:rPr>
        <w:t xml:space="preserve"> </w:t>
      </w:r>
      <w:r w:rsidRPr="00EF416B" w:rsidR="00067FD8">
        <w:rPr>
          <w:rFonts w:ascii="Arial" w:hAnsi="Arial" w:cs="Arial"/>
          <w:sz w:val="20"/>
        </w:rPr>
        <w:t xml:space="preserve">work </w:t>
      </w:r>
      <w:r w:rsidRPr="00EF416B">
        <w:rPr>
          <w:rFonts w:ascii="Arial" w:hAnsi="Arial" w:cs="Arial"/>
          <w:sz w:val="20"/>
        </w:rPr>
        <w:t xml:space="preserve">together to ensure that their response plan requirements and response plan formats are consistent.  As a result, </w:t>
      </w:r>
      <w:r w:rsidRPr="00EF416B" w:rsidR="0026126D">
        <w:rPr>
          <w:rFonts w:ascii="Arial" w:hAnsi="Arial" w:cs="Arial"/>
          <w:sz w:val="20"/>
        </w:rPr>
        <w:t xml:space="preserve">facilities are </w:t>
      </w:r>
      <w:r w:rsidRPr="00EF416B">
        <w:rPr>
          <w:rFonts w:ascii="Arial" w:hAnsi="Arial" w:cs="Arial"/>
          <w:sz w:val="20"/>
        </w:rPr>
        <w:t xml:space="preserve">able to comply with both response plan requirements with a single response plan, thereby mitigating duplication of paperwork related burdens.  </w:t>
      </w:r>
    </w:p>
    <w:p w:rsidRPr="00EF416B" w:rsidR="009C526C" w:rsidRDefault="009C526C">
      <w:pPr>
        <w:pStyle w:val="p12"/>
        <w:spacing w:line="240" w:lineRule="auto"/>
        <w:rPr>
          <w:rFonts w:ascii="Arial" w:hAnsi="Arial" w:cs="Arial"/>
          <w:sz w:val="20"/>
        </w:rPr>
      </w:pPr>
    </w:p>
    <w:p w:rsidRPr="00EF416B" w:rsidR="009C526C" w:rsidRDefault="009C526C">
      <w:pPr>
        <w:pStyle w:val="p12"/>
        <w:spacing w:line="240" w:lineRule="auto"/>
        <w:rPr>
          <w:rFonts w:ascii="Arial" w:hAnsi="Arial" w:cs="Arial"/>
          <w:sz w:val="20"/>
        </w:rPr>
      </w:pPr>
      <w:r w:rsidRPr="00EF416B">
        <w:rPr>
          <w:rFonts w:ascii="Arial" w:hAnsi="Arial" w:cs="Arial"/>
          <w:b/>
          <w:sz w:val="20"/>
          <w:u w:val="single"/>
        </w:rPr>
        <w:t>PWS</w:t>
      </w:r>
      <w:r w:rsidRPr="00317583">
        <w:rPr>
          <w:rFonts w:ascii="Arial" w:hAnsi="Arial" w:cs="Arial"/>
          <w:b/>
          <w:sz w:val="20"/>
        </w:rPr>
        <w:t>:</w:t>
      </w:r>
      <w:r w:rsidRPr="00EF416B">
        <w:rPr>
          <w:rFonts w:ascii="Arial" w:hAnsi="Arial" w:cs="Arial"/>
          <w:sz w:val="20"/>
        </w:rPr>
        <w:t xml:space="preserve">  The information being required is unique.  There is no known duplication of filing requirements with other Federal information collections.</w:t>
      </w:r>
    </w:p>
    <w:p w:rsidRPr="00EF416B" w:rsidR="009C526C" w:rsidRDefault="009C526C">
      <w:pPr>
        <w:pStyle w:val="p12"/>
        <w:spacing w:line="240" w:lineRule="auto"/>
        <w:rPr>
          <w:rFonts w:ascii="Arial" w:hAnsi="Arial" w:cs="Arial"/>
          <w:b/>
          <w:sz w:val="20"/>
          <w:u w:val="single"/>
        </w:rPr>
      </w:pPr>
    </w:p>
    <w:p w:rsidRPr="00EF416B" w:rsidR="00EC02D4" w:rsidP="00EC02D4" w:rsidRDefault="00EC02D4">
      <w:pPr>
        <w:pStyle w:val="p12"/>
        <w:spacing w:line="240" w:lineRule="auto"/>
        <w:rPr>
          <w:rFonts w:ascii="Arial" w:hAnsi="Arial" w:cs="Arial"/>
          <w:sz w:val="20"/>
        </w:rPr>
      </w:pPr>
      <w:r w:rsidRPr="00EF416B">
        <w:rPr>
          <w:rFonts w:ascii="Arial" w:hAnsi="Arial" w:cs="Arial"/>
          <w:b/>
          <w:sz w:val="20"/>
          <w:u w:val="single"/>
        </w:rPr>
        <w:t>NTVRP</w:t>
      </w:r>
      <w:r w:rsidRPr="00317583">
        <w:rPr>
          <w:rFonts w:ascii="Arial" w:hAnsi="Arial" w:cs="Arial"/>
          <w:b/>
          <w:sz w:val="20"/>
        </w:rPr>
        <w:t>:</w:t>
      </w:r>
      <w:r w:rsidRPr="00EF416B">
        <w:rPr>
          <w:rFonts w:ascii="Arial" w:hAnsi="Arial" w:cs="Arial"/>
          <w:sz w:val="20"/>
        </w:rPr>
        <w:t xml:space="preserve"> </w:t>
      </w:r>
      <w:r w:rsidRPr="00EF416B" w:rsidR="00CD5CF4">
        <w:rPr>
          <w:rFonts w:ascii="Arial" w:hAnsi="Arial" w:cs="Arial"/>
          <w:sz w:val="20"/>
        </w:rPr>
        <w:t xml:space="preserve"> </w:t>
      </w:r>
      <w:r w:rsidRPr="00EF416B">
        <w:rPr>
          <w:rFonts w:ascii="Arial" w:hAnsi="Arial" w:cs="Arial"/>
          <w:sz w:val="20"/>
        </w:rPr>
        <w:t xml:space="preserve">The information required is unique.  Section 701 of the </w:t>
      </w:r>
      <w:r w:rsidRPr="00EF416B" w:rsidR="00A14475">
        <w:rPr>
          <w:rFonts w:ascii="Arial" w:hAnsi="Arial" w:cs="Arial"/>
          <w:sz w:val="20"/>
        </w:rPr>
        <w:t xml:space="preserve">CG&amp;MTA </w:t>
      </w:r>
      <w:r w:rsidRPr="00EF416B">
        <w:rPr>
          <w:rFonts w:ascii="Arial" w:hAnsi="Arial" w:cs="Arial"/>
          <w:sz w:val="20"/>
        </w:rPr>
        <w:t>2004</w:t>
      </w:r>
      <w:r w:rsidRPr="00EF416B" w:rsidR="00A14475">
        <w:rPr>
          <w:rFonts w:ascii="Arial" w:hAnsi="Arial" w:cs="Arial"/>
          <w:sz w:val="20"/>
        </w:rPr>
        <w:t>/2006</w:t>
      </w:r>
      <w:r w:rsidRPr="00EF416B">
        <w:rPr>
          <w:rFonts w:ascii="Arial" w:hAnsi="Arial" w:cs="Arial"/>
          <w:sz w:val="20"/>
        </w:rPr>
        <w:t xml:space="preserve"> amended </w:t>
      </w:r>
      <w:r w:rsidRPr="00EF416B" w:rsidR="00A440F3">
        <w:rPr>
          <w:rFonts w:ascii="Arial" w:hAnsi="Arial" w:cs="Arial"/>
          <w:sz w:val="20"/>
        </w:rPr>
        <w:lastRenderedPageBreak/>
        <w:t>33</w:t>
      </w:r>
      <w:r w:rsidR="00A440F3">
        <w:rPr>
          <w:rFonts w:ascii="Arial" w:hAnsi="Arial" w:cs="Arial"/>
          <w:sz w:val="20"/>
        </w:rPr>
        <w:t> </w:t>
      </w:r>
      <w:r w:rsidRPr="00EF416B">
        <w:rPr>
          <w:rFonts w:ascii="Arial" w:hAnsi="Arial" w:cs="Arial"/>
          <w:sz w:val="20"/>
        </w:rPr>
        <w:t xml:space="preserve">U.S.C. 1321(j)(5)(a) and (j) requiring that </w:t>
      </w:r>
      <w:r w:rsidRPr="00EF416B" w:rsidR="00A14475">
        <w:rPr>
          <w:rFonts w:ascii="Arial" w:hAnsi="Arial" w:cs="Arial"/>
          <w:sz w:val="20"/>
        </w:rPr>
        <w:t>NTVRPs</w:t>
      </w:r>
      <w:r w:rsidRPr="00EF416B">
        <w:rPr>
          <w:rFonts w:ascii="Arial" w:hAnsi="Arial" w:cs="Arial"/>
          <w:sz w:val="20"/>
        </w:rPr>
        <w:t xml:space="preserve"> be submitted consistent with other plans required by the </w:t>
      </w:r>
      <w:r w:rsidRPr="00EF416B" w:rsidR="00A14475">
        <w:rPr>
          <w:rFonts w:ascii="Arial" w:hAnsi="Arial" w:cs="Arial"/>
          <w:sz w:val="20"/>
        </w:rPr>
        <w:t>FWPCA</w:t>
      </w:r>
      <w:r w:rsidRPr="00EF416B">
        <w:rPr>
          <w:rFonts w:ascii="Arial" w:hAnsi="Arial" w:cs="Arial"/>
          <w:sz w:val="20"/>
        </w:rPr>
        <w:t xml:space="preserve">.  </w:t>
      </w:r>
    </w:p>
    <w:p w:rsidRPr="00EF416B" w:rsidR="00EC02D4" w:rsidP="00EC02D4" w:rsidRDefault="00EC02D4">
      <w:pPr>
        <w:pStyle w:val="p12"/>
        <w:spacing w:line="240" w:lineRule="auto"/>
        <w:rPr>
          <w:rFonts w:ascii="Arial" w:hAnsi="Arial" w:cs="Arial"/>
          <w:sz w:val="20"/>
        </w:rPr>
      </w:pPr>
    </w:p>
    <w:p w:rsidRPr="00EF416B" w:rsidR="009C526C" w:rsidRDefault="0091486A">
      <w:pPr>
        <w:pStyle w:val="p12"/>
        <w:spacing w:line="240" w:lineRule="auto"/>
        <w:rPr>
          <w:rFonts w:ascii="Arial" w:hAnsi="Arial" w:cs="Arial"/>
          <w:sz w:val="20"/>
        </w:rPr>
      </w:pPr>
      <w:r w:rsidRPr="00EF416B">
        <w:rPr>
          <w:rFonts w:ascii="Arial" w:hAnsi="Arial" w:cs="Arial"/>
          <w:b/>
          <w:sz w:val="20"/>
          <w:u w:val="single"/>
        </w:rPr>
        <w:t>SOPEP/SMPEP</w:t>
      </w:r>
      <w:r w:rsidRPr="00EF416B" w:rsidDel="0091486A">
        <w:rPr>
          <w:rFonts w:ascii="Arial" w:hAnsi="Arial" w:cs="Arial"/>
          <w:b/>
          <w:sz w:val="20"/>
          <w:u w:val="single"/>
        </w:rPr>
        <w:t xml:space="preserve"> </w:t>
      </w:r>
      <w:r w:rsidRPr="00EF416B" w:rsidR="009C526C">
        <w:rPr>
          <w:rFonts w:ascii="Arial" w:hAnsi="Arial" w:cs="Arial"/>
          <w:b/>
          <w:sz w:val="20"/>
          <w:u w:val="single"/>
        </w:rPr>
        <w:t>and VRP</w:t>
      </w:r>
      <w:r w:rsidRPr="00317583" w:rsidR="009C526C">
        <w:rPr>
          <w:rFonts w:ascii="Arial" w:hAnsi="Arial" w:cs="Arial"/>
          <w:b/>
          <w:sz w:val="20"/>
        </w:rPr>
        <w:t>:</w:t>
      </w:r>
      <w:r w:rsidRPr="00EF416B" w:rsidR="009C526C">
        <w:rPr>
          <w:rFonts w:ascii="Arial" w:hAnsi="Arial" w:cs="Arial"/>
          <w:sz w:val="20"/>
        </w:rPr>
        <w:t xml:space="preserve">  The information required is unique.  MARPOL 73</w:t>
      </w:r>
      <w:r w:rsidRPr="00EF416B" w:rsidR="004E6A00">
        <w:rPr>
          <w:rFonts w:ascii="Arial" w:hAnsi="Arial" w:cs="Arial"/>
          <w:sz w:val="20"/>
        </w:rPr>
        <w:t>/78</w:t>
      </w:r>
      <w:r w:rsidRPr="00EF416B" w:rsidR="009C526C">
        <w:rPr>
          <w:rFonts w:ascii="Arial" w:hAnsi="Arial" w:cs="Arial"/>
          <w:sz w:val="20"/>
        </w:rPr>
        <w:t xml:space="preserve"> requires specific response planning.  These requirements work in conjunction with, and not in duplication of, the </w:t>
      </w:r>
      <w:r w:rsidRPr="00EF416B" w:rsidR="00A14475">
        <w:rPr>
          <w:rFonts w:ascii="Arial" w:hAnsi="Arial" w:cs="Arial"/>
          <w:sz w:val="20"/>
        </w:rPr>
        <w:t>VRP</w:t>
      </w:r>
      <w:r w:rsidRPr="00EF416B" w:rsidR="009C526C">
        <w:rPr>
          <w:rFonts w:ascii="Arial" w:hAnsi="Arial" w:cs="Arial"/>
          <w:sz w:val="20"/>
        </w:rPr>
        <w:t xml:space="preserve"> requirements discussed elsewhere in this supporting statement.</w:t>
      </w:r>
    </w:p>
    <w:p w:rsidRPr="00EF416B" w:rsidR="00143425" w:rsidRDefault="00143425">
      <w:pPr>
        <w:pStyle w:val="p12"/>
        <w:spacing w:line="240" w:lineRule="auto"/>
        <w:rPr>
          <w:rFonts w:ascii="Arial" w:hAnsi="Arial" w:cs="Arial"/>
          <w:sz w:val="20"/>
        </w:rPr>
      </w:pPr>
    </w:p>
    <w:p w:rsidRPr="00EF416B" w:rsidR="009C526C" w:rsidRDefault="009C526C">
      <w:pPr>
        <w:pStyle w:val="p2"/>
        <w:spacing w:line="240" w:lineRule="auto"/>
        <w:rPr>
          <w:rFonts w:ascii="Arial" w:hAnsi="Arial" w:cs="Arial"/>
          <w:sz w:val="20"/>
        </w:rPr>
      </w:pPr>
      <w:r w:rsidRPr="00EF416B">
        <w:rPr>
          <w:rFonts w:ascii="Arial" w:hAnsi="Arial" w:cs="Arial"/>
          <w:sz w:val="20"/>
        </w:rPr>
        <w:t>5.</w:t>
      </w:r>
      <w:r w:rsidRPr="00EF416B" w:rsidR="00A14475">
        <w:rPr>
          <w:rFonts w:ascii="Arial" w:hAnsi="Arial" w:cs="Arial"/>
          <w:sz w:val="20"/>
        </w:rPr>
        <w:t xml:space="preserve">  </w:t>
      </w:r>
      <w:r w:rsidRPr="00EF416B">
        <w:rPr>
          <w:rFonts w:ascii="Arial" w:hAnsi="Arial" w:cs="Arial"/>
          <w:sz w:val="20"/>
          <w:u w:val="single"/>
        </w:rPr>
        <w:t>Methods to minimize the burden to small businesses if involved</w:t>
      </w:r>
      <w:r w:rsidRPr="00EF416B">
        <w:rPr>
          <w:rFonts w:ascii="Arial" w:hAnsi="Arial" w:cs="Arial"/>
          <w:sz w:val="20"/>
        </w:rPr>
        <w:t>.</w:t>
      </w:r>
      <w:r w:rsidR="00EF416B">
        <w:rPr>
          <w:rFonts w:ascii="Arial" w:hAnsi="Arial" w:cs="Arial"/>
          <w:sz w:val="20"/>
        </w:rPr>
        <w:t xml:space="preserve">  </w:t>
      </w:r>
    </w:p>
    <w:p w:rsidRPr="00EF416B" w:rsidR="009C526C" w:rsidRDefault="009C526C">
      <w:pPr>
        <w:pStyle w:val="p2"/>
        <w:spacing w:line="240" w:lineRule="auto"/>
        <w:rPr>
          <w:rFonts w:ascii="Arial" w:hAnsi="Arial" w:cs="Arial"/>
          <w:sz w:val="20"/>
        </w:rPr>
      </w:pPr>
    </w:p>
    <w:p w:rsidRPr="00EF416B" w:rsidR="009C526C" w:rsidRDefault="009C526C">
      <w:pPr>
        <w:pStyle w:val="p12"/>
        <w:spacing w:line="240" w:lineRule="auto"/>
        <w:rPr>
          <w:rFonts w:ascii="Arial" w:hAnsi="Arial" w:cs="Arial"/>
          <w:sz w:val="20"/>
        </w:rPr>
      </w:pPr>
      <w:r w:rsidRPr="00EF416B">
        <w:rPr>
          <w:rFonts w:ascii="Arial" w:hAnsi="Arial" w:cs="Arial"/>
          <w:b/>
          <w:sz w:val="20"/>
          <w:u w:val="single"/>
        </w:rPr>
        <w:t>FRP</w:t>
      </w:r>
      <w:r w:rsidRPr="00317583">
        <w:rPr>
          <w:rFonts w:ascii="Arial" w:hAnsi="Arial" w:cs="Arial"/>
          <w:b/>
          <w:sz w:val="20"/>
        </w:rPr>
        <w:t>:</w:t>
      </w:r>
      <w:r w:rsidRPr="00EF416B">
        <w:rPr>
          <w:rFonts w:ascii="Arial" w:hAnsi="Arial" w:cs="Arial"/>
          <w:sz w:val="20"/>
        </w:rPr>
        <w:t xml:space="preserve">  Although the </w:t>
      </w:r>
      <w:r w:rsidRPr="00EF416B" w:rsidR="00A14475">
        <w:rPr>
          <w:rFonts w:ascii="Arial" w:hAnsi="Arial" w:cs="Arial"/>
          <w:sz w:val="20"/>
        </w:rPr>
        <w:t>CG</w:t>
      </w:r>
      <w:r w:rsidRPr="00EF416B">
        <w:rPr>
          <w:rFonts w:ascii="Arial" w:hAnsi="Arial" w:cs="Arial"/>
          <w:sz w:val="20"/>
        </w:rPr>
        <w:t xml:space="preserve"> regulation has certain reduced requirements for smaller facilities, these are primarily not paperwork related.  However, because of the nature of the information collection requirements, the level of effort to prepare the </w:t>
      </w:r>
      <w:r w:rsidRPr="00EF416B" w:rsidR="00971A5D">
        <w:rPr>
          <w:rFonts w:ascii="Arial" w:hAnsi="Arial" w:cs="Arial"/>
          <w:sz w:val="20"/>
        </w:rPr>
        <w:t>FRP</w:t>
      </w:r>
      <w:r w:rsidRPr="00EF416B">
        <w:rPr>
          <w:rFonts w:ascii="Arial" w:hAnsi="Arial" w:cs="Arial"/>
          <w:sz w:val="20"/>
        </w:rPr>
        <w:t xml:space="preserve"> is estimated to vary directly with the size and complexity of the facility.  As a result, smaller facilities </w:t>
      </w:r>
      <w:r w:rsidRPr="00EF416B" w:rsidR="00971A5D">
        <w:rPr>
          <w:rFonts w:ascii="Arial" w:hAnsi="Arial" w:cs="Arial"/>
          <w:sz w:val="20"/>
        </w:rPr>
        <w:t>should</w:t>
      </w:r>
      <w:r w:rsidRPr="00EF416B">
        <w:rPr>
          <w:rFonts w:ascii="Arial" w:hAnsi="Arial" w:cs="Arial"/>
          <w:sz w:val="20"/>
        </w:rPr>
        <w:t xml:space="preserve"> incur a lesser burden than larger facilities.</w:t>
      </w:r>
    </w:p>
    <w:p w:rsidRPr="00EF416B" w:rsidR="009C526C" w:rsidRDefault="009C526C">
      <w:pPr>
        <w:pStyle w:val="p12"/>
        <w:spacing w:line="240" w:lineRule="auto"/>
        <w:rPr>
          <w:rFonts w:ascii="Arial" w:hAnsi="Arial" w:cs="Arial"/>
          <w:sz w:val="20"/>
        </w:rPr>
      </w:pPr>
    </w:p>
    <w:p w:rsidRPr="00EF416B" w:rsidR="009C526C" w:rsidRDefault="009C526C">
      <w:pPr>
        <w:pStyle w:val="p12"/>
        <w:spacing w:line="240" w:lineRule="auto"/>
        <w:rPr>
          <w:rFonts w:ascii="Arial" w:hAnsi="Arial" w:cs="Arial"/>
          <w:sz w:val="20"/>
        </w:rPr>
      </w:pPr>
      <w:r w:rsidRPr="00EF416B">
        <w:rPr>
          <w:rFonts w:ascii="Arial" w:hAnsi="Arial" w:cs="Arial"/>
          <w:sz w:val="20"/>
        </w:rPr>
        <w:t>Furthermore, in drafting OPA 90, it was clearly Congress' intent that certain small facilities be subject to the same response planning requirements as large facilities.  Specifically, in discussing the selection of facilities that could cause "substantial harm" to the environment (i.e., those subject to the information collection activities), the OPA Conference report states:</w:t>
      </w:r>
    </w:p>
    <w:p w:rsidRPr="00EF416B" w:rsidR="009C526C" w:rsidRDefault="009C526C">
      <w:pPr>
        <w:pStyle w:val="p12"/>
        <w:spacing w:line="240" w:lineRule="auto"/>
        <w:rPr>
          <w:rFonts w:ascii="Arial" w:hAnsi="Arial" w:cs="Arial"/>
          <w:sz w:val="20"/>
        </w:rPr>
      </w:pPr>
    </w:p>
    <w:p w:rsidRPr="00EF416B" w:rsidR="009C526C" w:rsidP="00A440F3" w:rsidRDefault="009C526C">
      <w:pPr>
        <w:pStyle w:val="p12"/>
        <w:tabs>
          <w:tab w:val="clear" w:pos="720"/>
          <w:tab w:val="left" w:pos="450"/>
          <w:tab w:val="left" w:pos="540"/>
        </w:tabs>
        <w:spacing w:line="240" w:lineRule="auto"/>
        <w:ind w:left="360"/>
        <w:rPr>
          <w:rFonts w:ascii="Arial" w:hAnsi="Arial" w:cs="Arial"/>
          <w:sz w:val="20"/>
        </w:rPr>
      </w:pPr>
      <w:r w:rsidRPr="00EF416B">
        <w:rPr>
          <w:rFonts w:ascii="Arial" w:hAnsi="Arial" w:cs="Arial"/>
          <w:sz w:val="20"/>
        </w:rPr>
        <w:t xml:space="preserve">The criteria should not result in the selection of facilities based solely on the size or age of storage tanks. </w:t>
      </w:r>
      <w:r w:rsidRPr="00EF416B" w:rsidR="00A73C7D">
        <w:rPr>
          <w:rFonts w:ascii="Arial" w:hAnsi="Arial" w:cs="Arial"/>
          <w:sz w:val="20"/>
        </w:rPr>
        <w:t xml:space="preserve"> </w:t>
      </w:r>
      <w:r w:rsidRPr="00EF416B">
        <w:rPr>
          <w:rFonts w:ascii="Arial" w:hAnsi="Arial" w:cs="Arial"/>
          <w:sz w:val="20"/>
        </w:rPr>
        <w:t>Specifically, the selection criteria should not necessarily omit those smaller facilities that are near major drinking water supplies or that are near environmentally sensitive areas. H. Rep. No. 101-653, 101st Cong. 2nd Sess. 1990, p. 150.</w:t>
      </w:r>
    </w:p>
    <w:p w:rsidRPr="00EF416B" w:rsidR="009C526C" w:rsidRDefault="009C526C">
      <w:pPr>
        <w:pStyle w:val="p12"/>
        <w:spacing w:line="240" w:lineRule="auto"/>
        <w:rPr>
          <w:rFonts w:ascii="Arial" w:hAnsi="Arial" w:cs="Arial"/>
          <w:sz w:val="20"/>
        </w:rPr>
      </w:pPr>
    </w:p>
    <w:p w:rsidRPr="00EF416B" w:rsidR="009C526C" w:rsidRDefault="009C526C">
      <w:pPr>
        <w:pStyle w:val="p12"/>
        <w:spacing w:line="240" w:lineRule="auto"/>
        <w:rPr>
          <w:rFonts w:ascii="Arial" w:hAnsi="Arial" w:cs="Arial"/>
          <w:sz w:val="20"/>
        </w:rPr>
      </w:pPr>
      <w:r w:rsidRPr="00EF416B">
        <w:rPr>
          <w:rFonts w:ascii="Arial" w:hAnsi="Arial" w:cs="Arial"/>
          <w:b/>
          <w:sz w:val="20"/>
          <w:u w:val="single"/>
        </w:rPr>
        <w:t>VRP</w:t>
      </w:r>
      <w:r w:rsidRPr="00317583">
        <w:rPr>
          <w:rFonts w:ascii="Arial" w:hAnsi="Arial" w:cs="Arial"/>
          <w:b/>
          <w:sz w:val="20"/>
        </w:rPr>
        <w:t>:</w:t>
      </w:r>
      <w:r w:rsidRPr="00EF416B">
        <w:rPr>
          <w:rFonts w:ascii="Arial" w:hAnsi="Arial" w:cs="Arial"/>
          <w:sz w:val="20"/>
        </w:rPr>
        <w:t xml:space="preserve">  Due to the nature of the industry, smaller entities tend to own smaller vessels, e.g., barges rather than large tankers.  The reporting requirements </w:t>
      </w:r>
      <w:r w:rsidRPr="00EF416B" w:rsidR="00971A5D">
        <w:rPr>
          <w:rFonts w:ascii="Arial" w:hAnsi="Arial" w:cs="Arial"/>
          <w:sz w:val="20"/>
        </w:rPr>
        <w:t xml:space="preserve">should be </w:t>
      </w:r>
      <w:r w:rsidRPr="00EF416B">
        <w:rPr>
          <w:rFonts w:ascii="Arial" w:hAnsi="Arial" w:cs="Arial"/>
          <w:sz w:val="20"/>
        </w:rPr>
        <w:t xml:space="preserve">less for </w:t>
      </w:r>
      <w:r w:rsidRPr="00EF416B" w:rsidR="00A73C7D">
        <w:rPr>
          <w:rFonts w:ascii="Arial" w:hAnsi="Arial" w:cs="Arial"/>
          <w:sz w:val="20"/>
        </w:rPr>
        <w:t xml:space="preserve">smaller </w:t>
      </w:r>
      <w:r w:rsidRPr="00EF416B">
        <w:rPr>
          <w:rFonts w:ascii="Arial" w:hAnsi="Arial" w:cs="Arial"/>
          <w:sz w:val="20"/>
        </w:rPr>
        <w:t xml:space="preserve">vessels; vessels </w:t>
      </w:r>
      <w:r w:rsidRPr="00EF416B" w:rsidR="000C15CE">
        <w:rPr>
          <w:rFonts w:ascii="Arial" w:hAnsi="Arial" w:cs="Arial"/>
          <w:sz w:val="20"/>
        </w:rPr>
        <w:t xml:space="preserve">that </w:t>
      </w:r>
      <w:r w:rsidRPr="00EF416B">
        <w:rPr>
          <w:rFonts w:ascii="Arial" w:hAnsi="Arial" w:cs="Arial"/>
          <w:sz w:val="20"/>
        </w:rPr>
        <w:t xml:space="preserve">have fewer personnel, carry less cargo, and require less response capability.  Vessels that carry oil as secondary cargo, i.e., fishing vessels, offshore supply vessels and towing vessels, require a less comprehensive VRP and have reduced resubmission requirements.  </w:t>
      </w:r>
    </w:p>
    <w:p w:rsidRPr="00EF416B" w:rsidR="00143425" w:rsidRDefault="00143425">
      <w:pPr>
        <w:pStyle w:val="p12"/>
        <w:spacing w:line="240" w:lineRule="auto"/>
        <w:rPr>
          <w:rFonts w:ascii="Arial" w:hAnsi="Arial" w:cs="Arial"/>
          <w:sz w:val="20"/>
        </w:rPr>
      </w:pPr>
    </w:p>
    <w:p w:rsidRPr="00EF416B" w:rsidR="004855DC" w:rsidRDefault="00143425">
      <w:pPr>
        <w:pStyle w:val="p12"/>
        <w:spacing w:line="240" w:lineRule="auto"/>
        <w:rPr>
          <w:rFonts w:ascii="Arial" w:hAnsi="Arial" w:cs="Arial"/>
          <w:sz w:val="20"/>
        </w:rPr>
      </w:pPr>
      <w:r w:rsidRPr="00EF416B">
        <w:rPr>
          <w:rFonts w:ascii="Arial" w:hAnsi="Arial" w:cs="Arial"/>
          <w:b/>
          <w:sz w:val="20"/>
          <w:u w:val="single"/>
        </w:rPr>
        <w:t>NTVRP</w:t>
      </w:r>
      <w:r w:rsidRPr="00317583">
        <w:rPr>
          <w:rFonts w:ascii="Arial" w:hAnsi="Arial" w:cs="Arial"/>
          <w:b/>
          <w:sz w:val="20"/>
        </w:rPr>
        <w:t>:</w:t>
      </w:r>
      <w:r w:rsidRPr="00EF416B" w:rsidR="004E6A00">
        <w:rPr>
          <w:rFonts w:ascii="Arial" w:hAnsi="Arial" w:cs="Arial"/>
          <w:sz w:val="20"/>
        </w:rPr>
        <w:t xml:space="preserve"> </w:t>
      </w:r>
      <w:r w:rsidRPr="00EF416B" w:rsidR="004C3793">
        <w:rPr>
          <w:rFonts w:ascii="Arial" w:hAnsi="Arial" w:cs="Arial"/>
          <w:sz w:val="20"/>
        </w:rPr>
        <w:t xml:space="preserve"> </w:t>
      </w:r>
      <w:r w:rsidRPr="00EF416B" w:rsidR="004E6A00">
        <w:rPr>
          <w:rFonts w:ascii="Arial" w:hAnsi="Arial" w:cs="Arial"/>
          <w:sz w:val="20"/>
        </w:rPr>
        <w:t xml:space="preserve">The </w:t>
      </w:r>
      <w:r w:rsidRPr="00EF416B" w:rsidR="00A14475">
        <w:rPr>
          <w:rFonts w:ascii="Arial" w:hAnsi="Arial" w:cs="Arial"/>
          <w:sz w:val="20"/>
        </w:rPr>
        <w:t>FWPCA</w:t>
      </w:r>
      <w:r w:rsidRPr="00EF416B" w:rsidR="004855DC">
        <w:rPr>
          <w:rFonts w:ascii="Arial" w:hAnsi="Arial" w:cs="Arial"/>
          <w:sz w:val="20"/>
        </w:rPr>
        <w:t xml:space="preserve"> (33 U.S.C. 1321(j)(5)) as amended by </w:t>
      </w:r>
      <w:r w:rsidRPr="00EF416B" w:rsidR="00A14475">
        <w:rPr>
          <w:rFonts w:ascii="Arial" w:hAnsi="Arial" w:cs="Arial"/>
          <w:sz w:val="20"/>
        </w:rPr>
        <w:t xml:space="preserve">CG&amp;MTA </w:t>
      </w:r>
      <w:r w:rsidRPr="00EF416B" w:rsidR="004855DC">
        <w:rPr>
          <w:rFonts w:ascii="Arial" w:hAnsi="Arial" w:cs="Arial"/>
          <w:sz w:val="20"/>
        </w:rPr>
        <w:t>2004</w:t>
      </w:r>
      <w:r w:rsidRPr="00EF416B" w:rsidR="00A14475">
        <w:rPr>
          <w:rFonts w:ascii="Arial" w:hAnsi="Arial" w:cs="Arial"/>
          <w:sz w:val="20"/>
        </w:rPr>
        <w:t>/2006</w:t>
      </w:r>
      <w:r w:rsidRPr="00EF416B" w:rsidR="004855DC">
        <w:rPr>
          <w:rFonts w:ascii="Arial" w:hAnsi="Arial" w:cs="Arial"/>
          <w:sz w:val="20"/>
        </w:rPr>
        <w:t xml:space="preserve"> requires the same level of information from </w:t>
      </w:r>
      <w:r w:rsidRPr="00EF416B" w:rsidR="00A14475">
        <w:rPr>
          <w:rFonts w:ascii="Arial" w:hAnsi="Arial" w:cs="Arial"/>
          <w:sz w:val="20"/>
        </w:rPr>
        <w:t xml:space="preserve">these </w:t>
      </w:r>
      <w:r w:rsidRPr="00EF416B" w:rsidR="004855DC">
        <w:rPr>
          <w:rFonts w:ascii="Arial" w:hAnsi="Arial" w:cs="Arial"/>
          <w:sz w:val="20"/>
        </w:rPr>
        <w:t xml:space="preserve">vessels.  </w:t>
      </w:r>
    </w:p>
    <w:p w:rsidRPr="00EF416B" w:rsidR="009C526C" w:rsidRDefault="009C526C">
      <w:pPr>
        <w:pStyle w:val="p12"/>
        <w:spacing w:line="240" w:lineRule="auto"/>
        <w:rPr>
          <w:rFonts w:ascii="Arial" w:hAnsi="Arial" w:cs="Arial"/>
          <w:sz w:val="20"/>
        </w:rPr>
      </w:pPr>
    </w:p>
    <w:p w:rsidRPr="00EF416B" w:rsidR="009C526C" w:rsidRDefault="009C526C">
      <w:pPr>
        <w:pStyle w:val="p12"/>
        <w:spacing w:line="240" w:lineRule="auto"/>
        <w:rPr>
          <w:rFonts w:ascii="Arial" w:hAnsi="Arial" w:cs="Arial"/>
          <w:sz w:val="20"/>
        </w:rPr>
      </w:pPr>
      <w:r w:rsidRPr="00EF416B">
        <w:rPr>
          <w:rFonts w:ascii="Arial" w:hAnsi="Arial" w:cs="Arial"/>
          <w:b/>
          <w:sz w:val="20"/>
          <w:u w:val="single"/>
        </w:rPr>
        <w:t>PWS</w:t>
      </w:r>
      <w:r w:rsidRPr="00317583">
        <w:rPr>
          <w:rFonts w:ascii="Arial" w:hAnsi="Arial" w:cs="Arial"/>
          <w:b/>
          <w:sz w:val="20"/>
        </w:rPr>
        <w:t>:</w:t>
      </w:r>
      <w:r w:rsidRPr="00EF416B">
        <w:rPr>
          <w:rFonts w:ascii="Arial" w:hAnsi="Arial" w:cs="Arial"/>
          <w:sz w:val="20"/>
        </w:rPr>
        <w:t xml:space="preserve">  The requirements for smaller vessels are less because they have fewer personnel on board, carry less oil, and will require less response equipment than larger vessels.  In addition, non-TAPS vessels (most of which are smaller) </w:t>
      </w:r>
      <w:r w:rsidRPr="00EF416B" w:rsidR="00971A5D">
        <w:rPr>
          <w:rFonts w:ascii="Arial" w:hAnsi="Arial" w:cs="Arial"/>
          <w:sz w:val="20"/>
        </w:rPr>
        <w:t xml:space="preserve">are </w:t>
      </w:r>
      <w:r w:rsidRPr="00EF416B">
        <w:rPr>
          <w:rFonts w:ascii="Arial" w:hAnsi="Arial" w:cs="Arial"/>
          <w:sz w:val="20"/>
        </w:rPr>
        <w:t>eliminated from the requirements.</w:t>
      </w:r>
      <w:r w:rsidRPr="00EF416B" w:rsidR="00A14475">
        <w:rPr>
          <w:rFonts w:ascii="Arial" w:hAnsi="Arial" w:cs="Arial"/>
          <w:sz w:val="20"/>
        </w:rPr>
        <w:t xml:space="preserve">  </w:t>
      </w:r>
    </w:p>
    <w:p w:rsidRPr="00EF416B" w:rsidR="009C526C" w:rsidRDefault="009C526C">
      <w:pPr>
        <w:pStyle w:val="p12"/>
        <w:spacing w:line="240" w:lineRule="auto"/>
        <w:rPr>
          <w:rFonts w:ascii="Arial" w:hAnsi="Arial" w:cs="Arial"/>
          <w:sz w:val="20"/>
        </w:rPr>
      </w:pPr>
    </w:p>
    <w:p w:rsidRPr="00EF416B" w:rsidR="009C526C" w:rsidRDefault="0091486A">
      <w:pPr>
        <w:pStyle w:val="p12"/>
        <w:spacing w:line="240" w:lineRule="auto"/>
        <w:rPr>
          <w:rFonts w:ascii="Arial" w:hAnsi="Arial" w:cs="Arial"/>
          <w:sz w:val="20"/>
        </w:rPr>
      </w:pPr>
      <w:r w:rsidRPr="00EF416B">
        <w:rPr>
          <w:rFonts w:ascii="Arial" w:hAnsi="Arial" w:cs="Arial"/>
          <w:b/>
          <w:sz w:val="20"/>
          <w:u w:val="single"/>
        </w:rPr>
        <w:t>SOPEP/SMPEP</w:t>
      </w:r>
      <w:r w:rsidRPr="00317583" w:rsidR="009C526C">
        <w:rPr>
          <w:rFonts w:ascii="Arial" w:hAnsi="Arial" w:cs="Arial"/>
          <w:b/>
          <w:sz w:val="20"/>
        </w:rPr>
        <w:t>:</w:t>
      </w:r>
      <w:r w:rsidRPr="00EF416B" w:rsidR="009C526C">
        <w:rPr>
          <w:rFonts w:ascii="Arial" w:hAnsi="Arial" w:cs="Arial"/>
          <w:sz w:val="20"/>
        </w:rPr>
        <w:t xml:space="preserve">  The small business burden should be minimized as few small entities own ships of the gross tonnage to which this regulation applies.</w:t>
      </w:r>
      <w:r w:rsidRPr="00EF416B" w:rsidR="00A14475">
        <w:rPr>
          <w:rFonts w:ascii="Arial" w:hAnsi="Arial" w:cs="Arial"/>
          <w:sz w:val="20"/>
        </w:rPr>
        <w:t xml:space="preserve">  </w:t>
      </w:r>
    </w:p>
    <w:p w:rsidRPr="00EF416B" w:rsidR="009C526C" w:rsidRDefault="009C526C">
      <w:pPr>
        <w:pStyle w:val="p12"/>
        <w:spacing w:line="240" w:lineRule="auto"/>
        <w:rPr>
          <w:rFonts w:ascii="Arial" w:hAnsi="Arial" w:cs="Arial"/>
          <w:sz w:val="20"/>
        </w:rPr>
      </w:pPr>
    </w:p>
    <w:p w:rsidRPr="00EF416B" w:rsidR="009C526C" w:rsidRDefault="009C526C">
      <w:pPr>
        <w:pStyle w:val="p2"/>
        <w:spacing w:line="240" w:lineRule="auto"/>
        <w:rPr>
          <w:rFonts w:ascii="Arial" w:hAnsi="Arial" w:cs="Arial"/>
          <w:sz w:val="20"/>
        </w:rPr>
      </w:pPr>
      <w:r w:rsidRPr="00EF416B">
        <w:rPr>
          <w:rFonts w:ascii="Arial" w:hAnsi="Arial" w:cs="Arial"/>
          <w:sz w:val="20"/>
        </w:rPr>
        <w:t>6.</w:t>
      </w:r>
      <w:r w:rsidRPr="00EF416B" w:rsidR="00A14475">
        <w:rPr>
          <w:rFonts w:ascii="Arial" w:hAnsi="Arial" w:cs="Arial"/>
          <w:sz w:val="20"/>
        </w:rPr>
        <w:t xml:space="preserve">  </w:t>
      </w:r>
      <w:r w:rsidRPr="00EF416B">
        <w:rPr>
          <w:rFonts w:ascii="Arial" w:hAnsi="Arial" w:cs="Arial"/>
          <w:sz w:val="20"/>
          <w:u w:val="single"/>
        </w:rPr>
        <w:t>Consequences to the Federal program if collection were done less frequently</w:t>
      </w:r>
      <w:r w:rsidRPr="00EF416B">
        <w:rPr>
          <w:rFonts w:ascii="Arial" w:hAnsi="Arial" w:cs="Arial"/>
          <w:sz w:val="20"/>
        </w:rPr>
        <w:t>.</w:t>
      </w:r>
      <w:r w:rsidR="00EF416B">
        <w:rPr>
          <w:rFonts w:ascii="Arial" w:hAnsi="Arial" w:cs="Arial"/>
          <w:sz w:val="20"/>
        </w:rPr>
        <w:t xml:space="preserve">  </w:t>
      </w:r>
    </w:p>
    <w:p w:rsidRPr="00EF416B" w:rsidR="009C526C" w:rsidRDefault="009C526C">
      <w:pPr>
        <w:pStyle w:val="p2"/>
        <w:spacing w:line="240" w:lineRule="auto"/>
        <w:rPr>
          <w:rFonts w:ascii="Arial" w:hAnsi="Arial" w:cs="Arial"/>
          <w:sz w:val="20"/>
        </w:rPr>
      </w:pPr>
    </w:p>
    <w:p w:rsidRPr="00EF416B" w:rsidR="009C526C" w:rsidRDefault="009C526C">
      <w:pPr>
        <w:pStyle w:val="p12"/>
        <w:spacing w:line="240" w:lineRule="auto"/>
        <w:rPr>
          <w:rFonts w:ascii="Arial" w:hAnsi="Arial" w:cs="Arial"/>
          <w:sz w:val="20"/>
        </w:rPr>
      </w:pPr>
      <w:r w:rsidRPr="00EF416B">
        <w:rPr>
          <w:rFonts w:ascii="Arial" w:hAnsi="Arial" w:cs="Arial"/>
          <w:b/>
          <w:sz w:val="20"/>
          <w:u w:val="single"/>
        </w:rPr>
        <w:t>FRP</w:t>
      </w:r>
      <w:r w:rsidRPr="00EF416B" w:rsidR="00143425">
        <w:rPr>
          <w:rFonts w:ascii="Arial" w:hAnsi="Arial" w:cs="Arial"/>
          <w:b/>
          <w:sz w:val="20"/>
          <w:u w:val="single"/>
        </w:rPr>
        <w:t>, VRP and NTVRP</w:t>
      </w:r>
      <w:r w:rsidRPr="00317583">
        <w:rPr>
          <w:rFonts w:ascii="Arial" w:hAnsi="Arial" w:cs="Arial"/>
          <w:b/>
          <w:sz w:val="20"/>
        </w:rPr>
        <w:t>:</w:t>
      </w:r>
      <w:r w:rsidRPr="00EF416B">
        <w:rPr>
          <w:rFonts w:ascii="Arial" w:hAnsi="Arial" w:cs="Arial"/>
          <w:sz w:val="20"/>
        </w:rPr>
        <w:t xml:space="preserve">  The </w:t>
      </w:r>
      <w:r w:rsidRPr="00EF416B" w:rsidR="00A14475">
        <w:rPr>
          <w:rFonts w:ascii="Arial" w:hAnsi="Arial" w:cs="Arial"/>
          <w:sz w:val="20"/>
        </w:rPr>
        <w:t>CG</w:t>
      </w:r>
      <w:r w:rsidRPr="00EF416B">
        <w:rPr>
          <w:rFonts w:ascii="Arial" w:hAnsi="Arial" w:cs="Arial"/>
          <w:sz w:val="20"/>
        </w:rPr>
        <w:t xml:space="preserve"> recognizes the need to minimize the burden of any information collection to the extent permitted under the requirements of </w:t>
      </w:r>
      <w:r w:rsidRPr="00EF416B" w:rsidR="004855DC">
        <w:rPr>
          <w:rFonts w:ascii="Arial" w:hAnsi="Arial" w:cs="Arial"/>
          <w:sz w:val="20"/>
        </w:rPr>
        <w:t xml:space="preserve">the </w:t>
      </w:r>
      <w:r w:rsidRPr="00EF416B" w:rsidR="00A14475">
        <w:rPr>
          <w:rFonts w:ascii="Arial" w:hAnsi="Arial" w:cs="Arial"/>
          <w:sz w:val="20"/>
        </w:rPr>
        <w:t xml:space="preserve">FWPCA </w:t>
      </w:r>
      <w:r w:rsidRPr="00EF416B" w:rsidR="004855DC">
        <w:rPr>
          <w:rFonts w:ascii="Arial" w:hAnsi="Arial" w:cs="Arial"/>
          <w:sz w:val="20"/>
        </w:rPr>
        <w:t xml:space="preserve">as amended by </w:t>
      </w:r>
      <w:r w:rsidRPr="00EF416B">
        <w:rPr>
          <w:rFonts w:ascii="Arial" w:hAnsi="Arial" w:cs="Arial"/>
          <w:sz w:val="20"/>
        </w:rPr>
        <w:t>OPA 90</w:t>
      </w:r>
      <w:r w:rsidRPr="00EF416B" w:rsidR="004855DC">
        <w:rPr>
          <w:rFonts w:ascii="Arial" w:hAnsi="Arial" w:cs="Arial"/>
          <w:sz w:val="20"/>
        </w:rPr>
        <w:t xml:space="preserve"> and the </w:t>
      </w:r>
      <w:r w:rsidRPr="00EF416B" w:rsidR="00A14475">
        <w:rPr>
          <w:rFonts w:ascii="Arial" w:hAnsi="Arial" w:cs="Arial"/>
          <w:sz w:val="20"/>
        </w:rPr>
        <w:t>CG&amp;MTA</w:t>
      </w:r>
      <w:r w:rsidRPr="00EF416B" w:rsidR="004855DC">
        <w:rPr>
          <w:rFonts w:ascii="Arial" w:hAnsi="Arial" w:cs="Arial"/>
          <w:sz w:val="20"/>
        </w:rPr>
        <w:t xml:space="preserve"> 2004</w:t>
      </w:r>
      <w:r w:rsidRPr="00EF416B" w:rsidR="00A14475">
        <w:rPr>
          <w:rFonts w:ascii="Arial" w:hAnsi="Arial" w:cs="Arial"/>
          <w:sz w:val="20"/>
        </w:rPr>
        <w:t>/2006</w:t>
      </w:r>
      <w:r w:rsidRPr="00EF416B" w:rsidR="004855DC">
        <w:rPr>
          <w:rFonts w:ascii="Arial" w:hAnsi="Arial" w:cs="Arial"/>
          <w:sz w:val="20"/>
        </w:rPr>
        <w:t xml:space="preserve">.  </w:t>
      </w:r>
      <w:r w:rsidRPr="00EF416B">
        <w:rPr>
          <w:rFonts w:ascii="Arial" w:hAnsi="Arial" w:cs="Arial"/>
          <w:sz w:val="20"/>
        </w:rPr>
        <w:t xml:space="preserve">Section 4202(a)(6) of OPA 90 requires facilities and vessels to update the response plan periodically, and resubmit for approval of each significant change.  Under the regulation, facilities and vessels would be required to: conduct an annual review of the response plan and submit changes to the </w:t>
      </w:r>
      <w:r w:rsidRPr="00EF416B" w:rsidR="00A14475">
        <w:rPr>
          <w:rFonts w:ascii="Arial" w:hAnsi="Arial" w:cs="Arial"/>
          <w:sz w:val="20"/>
        </w:rPr>
        <w:t>CG</w:t>
      </w:r>
      <w:r w:rsidRPr="00EF416B">
        <w:rPr>
          <w:rFonts w:ascii="Arial" w:hAnsi="Arial" w:cs="Arial"/>
          <w:sz w:val="20"/>
        </w:rPr>
        <w:t>; or, if no changes are necessary, submit a letter stating that the review has taken place.</w:t>
      </w:r>
    </w:p>
    <w:p w:rsidRPr="00EF416B" w:rsidR="009C526C" w:rsidRDefault="009C526C">
      <w:pPr>
        <w:pStyle w:val="p12"/>
        <w:spacing w:line="240" w:lineRule="auto"/>
        <w:rPr>
          <w:rFonts w:ascii="Arial" w:hAnsi="Arial" w:cs="Arial"/>
          <w:sz w:val="20"/>
        </w:rPr>
      </w:pPr>
    </w:p>
    <w:p w:rsidRPr="00EF416B" w:rsidR="009C526C" w:rsidRDefault="009C526C">
      <w:pPr>
        <w:pStyle w:val="p12"/>
        <w:spacing w:line="240" w:lineRule="auto"/>
        <w:rPr>
          <w:rFonts w:ascii="Arial" w:hAnsi="Arial" w:cs="Arial"/>
          <w:sz w:val="20"/>
        </w:rPr>
      </w:pPr>
      <w:r w:rsidRPr="00EF416B">
        <w:rPr>
          <w:rFonts w:ascii="Arial" w:hAnsi="Arial" w:cs="Arial"/>
          <w:sz w:val="20"/>
        </w:rPr>
        <w:t xml:space="preserve">The </w:t>
      </w:r>
      <w:r w:rsidRPr="00EF416B" w:rsidR="00020B9A">
        <w:rPr>
          <w:rFonts w:ascii="Arial" w:hAnsi="Arial" w:cs="Arial"/>
          <w:sz w:val="20"/>
        </w:rPr>
        <w:t>CG</w:t>
      </w:r>
      <w:r w:rsidRPr="00EF416B">
        <w:rPr>
          <w:rFonts w:ascii="Arial" w:hAnsi="Arial" w:cs="Arial"/>
          <w:sz w:val="20"/>
        </w:rPr>
        <w:t xml:space="preserve"> has determined that requiring facilities and vessels to review and update their response plans less frequently than once a year would undermine the intent of </w:t>
      </w:r>
      <w:r w:rsidRPr="00EF416B" w:rsidR="004855DC">
        <w:rPr>
          <w:rFonts w:ascii="Arial" w:hAnsi="Arial" w:cs="Arial"/>
          <w:sz w:val="20"/>
        </w:rPr>
        <w:t xml:space="preserve">the </w:t>
      </w:r>
      <w:r w:rsidRPr="00EF416B" w:rsidR="00020B9A">
        <w:rPr>
          <w:rFonts w:ascii="Arial" w:hAnsi="Arial" w:cs="Arial"/>
          <w:sz w:val="20"/>
        </w:rPr>
        <w:t>FWPCA</w:t>
      </w:r>
      <w:r w:rsidRPr="00EF416B">
        <w:rPr>
          <w:rFonts w:ascii="Arial" w:hAnsi="Arial" w:cs="Arial"/>
          <w:sz w:val="20"/>
        </w:rPr>
        <w:t xml:space="preserve">, which is to ensure that all facilities and vessels have an up-to-date plan at all times.  For example, contact lists of spill response personnel may require revision every year, and possibly more frequently.  Because the majority of information collection activities (in terms of both hours and cost) would involve initial preparation of the response plan, reducing the frequency of the annual information collection activities would not </w:t>
      </w:r>
      <w:r w:rsidRPr="00EF416B">
        <w:rPr>
          <w:rFonts w:ascii="Arial" w:hAnsi="Arial" w:cs="Arial"/>
          <w:sz w:val="20"/>
        </w:rPr>
        <w:lastRenderedPageBreak/>
        <w:t>significantly reduce the overall burden of the information collection activities required under these regulations.</w:t>
      </w:r>
    </w:p>
    <w:p w:rsidRPr="00EF416B" w:rsidR="009C526C" w:rsidRDefault="009C526C">
      <w:pPr>
        <w:pStyle w:val="p12"/>
        <w:spacing w:line="240" w:lineRule="auto"/>
        <w:rPr>
          <w:rFonts w:ascii="Arial" w:hAnsi="Arial" w:cs="Arial"/>
          <w:sz w:val="20"/>
        </w:rPr>
      </w:pPr>
    </w:p>
    <w:p w:rsidRPr="00EF416B" w:rsidR="009C526C" w:rsidRDefault="009C526C">
      <w:pPr>
        <w:pStyle w:val="p12"/>
        <w:spacing w:line="240" w:lineRule="auto"/>
        <w:rPr>
          <w:rFonts w:ascii="Arial" w:hAnsi="Arial" w:cs="Arial"/>
          <w:sz w:val="20"/>
        </w:rPr>
      </w:pPr>
      <w:r w:rsidRPr="00EF416B">
        <w:rPr>
          <w:rFonts w:ascii="Arial" w:hAnsi="Arial" w:cs="Arial"/>
          <w:b/>
          <w:sz w:val="20"/>
          <w:u w:val="single"/>
        </w:rPr>
        <w:t>PWS</w:t>
      </w:r>
      <w:r w:rsidRPr="00317583">
        <w:rPr>
          <w:rFonts w:ascii="Arial" w:hAnsi="Arial" w:cs="Arial"/>
          <w:b/>
          <w:sz w:val="20"/>
        </w:rPr>
        <w:t>:</w:t>
      </w:r>
      <w:r w:rsidRPr="00EF416B">
        <w:rPr>
          <w:rFonts w:ascii="Arial" w:hAnsi="Arial" w:cs="Arial"/>
          <w:sz w:val="20"/>
        </w:rPr>
        <w:t xml:space="preserve">  Less frequent oversight and review of plans and equipment may result in inadequate equipment and poorly trained personnel.</w:t>
      </w:r>
    </w:p>
    <w:p w:rsidRPr="00EF416B" w:rsidR="009C526C" w:rsidRDefault="009C526C">
      <w:pPr>
        <w:pStyle w:val="p12"/>
        <w:spacing w:line="240" w:lineRule="auto"/>
        <w:rPr>
          <w:rFonts w:ascii="Arial" w:hAnsi="Arial" w:cs="Arial"/>
          <w:sz w:val="20"/>
        </w:rPr>
      </w:pPr>
    </w:p>
    <w:p w:rsidRPr="00EF416B" w:rsidR="009C526C" w:rsidRDefault="0091486A">
      <w:pPr>
        <w:pStyle w:val="p12"/>
        <w:spacing w:line="240" w:lineRule="auto"/>
        <w:rPr>
          <w:rFonts w:ascii="Arial" w:hAnsi="Arial" w:cs="Arial"/>
          <w:sz w:val="20"/>
        </w:rPr>
      </w:pPr>
      <w:r w:rsidRPr="00EF416B">
        <w:rPr>
          <w:rFonts w:ascii="Arial" w:hAnsi="Arial" w:cs="Arial"/>
          <w:b/>
          <w:sz w:val="20"/>
          <w:u w:val="single"/>
        </w:rPr>
        <w:t>SOPEP/SMPEP</w:t>
      </w:r>
      <w:r w:rsidRPr="00317583" w:rsidR="009C526C">
        <w:rPr>
          <w:rFonts w:ascii="Arial" w:hAnsi="Arial" w:cs="Arial"/>
          <w:b/>
          <w:sz w:val="20"/>
        </w:rPr>
        <w:t>:</w:t>
      </w:r>
      <w:r w:rsidRPr="00EF416B" w:rsidR="009C526C">
        <w:rPr>
          <w:rFonts w:ascii="Arial" w:hAnsi="Arial" w:cs="Arial"/>
          <w:sz w:val="20"/>
        </w:rPr>
        <w:t xml:space="preserve">  Because the plan must be used in an emergency, less frequent review and submission could result in outdated information impeding a response.</w:t>
      </w:r>
    </w:p>
    <w:p w:rsidRPr="00EF416B" w:rsidR="009C526C" w:rsidRDefault="009C526C">
      <w:pPr>
        <w:pStyle w:val="p12"/>
        <w:spacing w:line="240" w:lineRule="auto"/>
        <w:rPr>
          <w:rFonts w:ascii="Arial" w:hAnsi="Arial" w:cs="Arial"/>
          <w:sz w:val="20"/>
        </w:rPr>
      </w:pPr>
    </w:p>
    <w:p w:rsidRPr="00EF416B" w:rsidR="009C526C" w:rsidP="00020B9A" w:rsidRDefault="009C526C">
      <w:pPr>
        <w:ind w:left="270" w:hanging="270"/>
        <w:rPr>
          <w:rFonts w:ascii="Arial" w:hAnsi="Arial" w:cs="Arial"/>
          <w:sz w:val="20"/>
        </w:rPr>
      </w:pPr>
      <w:r w:rsidRPr="00EF416B">
        <w:rPr>
          <w:rFonts w:ascii="Arial" w:hAnsi="Arial" w:cs="Arial"/>
          <w:sz w:val="20"/>
        </w:rPr>
        <w:t>7.</w:t>
      </w:r>
      <w:r w:rsidRPr="00EF416B" w:rsidR="00020B9A">
        <w:rPr>
          <w:rFonts w:ascii="Arial" w:hAnsi="Arial" w:cs="Arial"/>
          <w:sz w:val="20"/>
        </w:rPr>
        <w:t xml:space="preserve">  </w:t>
      </w:r>
      <w:r w:rsidRPr="00EF416B" w:rsidR="00EF416B">
        <w:rPr>
          <w:rFonts w:ascii="Arial" w:hAnsi="Arial" w:cs="Arial"/>
          <w:sz w:val="20"/>
          <w:u w:val="single"/>
        </w:rPr>
        <w:t>Special collection circumstances</w:t>
      </w:r>
      <w:r w:rsidRPr="00EF416B">
        <w:rPr>
          <w:rFonts w:ascii="Arial" w:hAnsi="Arial" w:cs="Arial"/>
          <w:sz w:val="20"/>
        </w:rPr>
        <w:t>.</w:t>
      </w:r>
      <w:r w:rsidR="00EF416B">
        <w:rPr>
          <w:rFonts w:ascii="Arial" w:hAnsi="Arial" w:cs="Arial"/>
          <w:sz w:val="20"/>
        </w:rPr>
        <w:t xml:space="preserve">  </w:t>
      </w:r>
    </w:p>
    <w:p w:rsidRPr="00EF416B" w:rsidR="009C526C" w:rsidRDefault="009C526C">
      <w:pPr>
        <w:pStyle w:val="p2"/>
        <w:spacing w:line="240" w:lineRule="auto"/>
        <w:rPr>
          <w:rFonts w:ascii="Arial" w:hAnsi="Arial" w:cs="Arial"/>
          <w:sz w:val="20"/>
        </w:rPr>
      </w:pPr>
    </w:p>
    <w:p w:rsidRPr="00EF416B" w:rsidR="00A73C7D" w:rsidRDefault="00A73C7D">
      <w:pPr>
        <w:pStyle w:val="p12"/>
        <w:spacing w:line="240" w:lineRule="auto"/>
        <w:rPr>
          <w:rFonts w:ascii="Arial" w:hAnsi="Arial" w:cs="Arial"/>
          <w:sz w:val="20"/>
        </w:rPr>
      </w:pPr>
      <w:r w:rsidRPr="00EF416B">
        <w:rPr>
          <w:rFonts w:ascii="Arial" w:hAnsi="Arial" w:cs="Arial"/>
          <w:sz w:val="20"/>
        </w:rPr>
        <w:t>This information collection is conducted in manner consistent with the guidelines in 5 CFR 1320.5(d)(2).</w:t>
      </w:r>
      <w:r w:rsidRPr="00EF416B" w:rsidDel="00A73C7D">
        <w:rPr>
          <w:rFonts w:ascii="Arial" w:hAnsi="Arial" w:cs="Arial"/>
          <w:sz w:val="20"/>
        </w:rPr>
        <w:t xml:space="preserve"> </w:t>
      </w:r>
    </w:p>
    <w:p w:rsidRPr="00EF416B" w:rsidR="009C526C" w:rsidRDefault="009C526C">
      <w:pPr>
        <w:pStyle w:val="p12"/>
        <w:spacing w:line="240" w:lineRule="auto"/>
        <w:rPr>
          <w:rFonts w:ascii="Arial" w:hAnsi="Arial" w:cs="Arial"/>
          <w:sz w:val="20"/>
        </w:rPr>
      </w:pPr>
    </w:p>
    <w:p w:rsidRPr="00EF416B" w:rsidR="009C526C" w:rsidP="00020B9A" w:rsidRDefault="00020B9A">
      <w:pPr>
        <w:pStyle w:val="p2"/>
        <w:spacing w:line="240" w:lineRule="auto"/>
        <w:rPr>
          <w:rFonts w:ascii="Arial" w:hAnsi="Arial" w:cs="Arial"/>
          <w:sz w:val="20"/>
        </w:rPr>
      </w:pPr>
      <w:r w:rsidRPr="00EF416B">
        <w:rPr>
          <w:rFonts w:ascii="Arial" w:hAnsi="Arial" w:cs="Arial"/>
          <w:sz w:val="20"/>
        </w:rPr>
        <w:t xml:space="preserve">8.  </w:t>
      </w:r>
      <w:r w:rsidRPr="00EF416B" w:rsidR="009C526C">
        <w:rPr>
          <w:rFonts w:ascii="Arial" w:hAnsi="Arial" w:cs="Arial"/>
          <w:sz w:val="20"/>
          <w:u w:val="single"/>
        </w:rPr>
        <w:t>Consultation</w:t>
      </w:r>
      <w:r w:rsidRPr="00EF416B" w:rsidR="009C526C">
        <w:rPr>
          <w:rFonts w:ascii="Arial" w:hAnsi="Arial" w:cs="Arial"/>
          <w:sz w:val="20"/>
        </w:rPr>
        <w:t>.</w:t>
      </w:r>
      <w:r w:rsidR="007E3F45">
        <w:rPr>
          <w:rFonts w:ascii="Arial" w:hAnsi="Arial" w:cs="Arial"/>
          <w:sz w:val="20"/>
        </w:rPr>
        <w:t xml:space="preserve">  </w:t>
      </w:r>
    </w:p>
    <w:p w:rsidRPr="00EF416B" w:rsidR="009C526C" w:rsidRDefault="009C526C">
      <w:pPr>
        <w:pStyle w:val="p2"/>
        <w:tabs>
          <w:tab w:val="clear" w:pos="620"/>
        </w:tabs>
        <w:spacing w:line="240" w:lineRule="auto"/>
        <w:rPr>
          <w:rFonts w:ascii="Arial" w:hAnsi="Arial" w:cs="Arial"/>
          <w:sz w:val="20"/>
        </w:rPr>
      </w:pPr>
    </w:p>
    <w:p w:rsidRPr="00A55BCE" w:rsidR="00B135F7" w:rsidP="00B135F7" w:rsidRDefault="00B135F7">
      <w:pPr>
        <w:rPr>
          <w:rFonts w:ascii="Arial" w:hAnsi="Arial" w:cs="Arial"/>
          <w:sz w:val="20"/>
        </w:rPr>
      </w:pPr>
      <w:r w:rsidRPr="00A55BCE">
        <w:rPr>
          <w:rFonts w:ascii="Arial" w:hAnsi="Arial" w:cs="Arial"/>
          <w:sz w:val="20"/>
        </w:rPr>
        <w:t xml:space="preserve">A 60-Day Notice </w:t>
      </w:r>
      <w:r w:rsidR="001D47AD">
        <w:rPr>
          <w:rFonts w:ascii="Arial" w:hAnsi="Arial" w:cs="Arial"/>
          <w:sz w:val="20"/>
        </w:rPr>
        <w:t xml:space="preserve">(See [USCG-2019-0876], November 4, 2019, 84 FR 59395) and 30-Day Notice (February 6, 2020, 85 FR </w:t>
      </w:r>
      <w:r w:rsidR="0031147A">
        <w:rPr>
          <w:rFonts w:ascii="Arial" w:hAnsi="Arial" w:cs="Arial"/>
          <w:sz w:val="20"/>
        </w:rPr>
        <w:t xml:space="preserve">6963) were </w:t>
      </w:r>
      <w:r w:rsidRPr="00A55BCE">
        <w:rPr>
          <w:rFonts w:ascii="Arial" w:hAnsi="Arial" w:cs="Arial"/>
          <w:sz w:val="20"/>
        </w:rPr>
        <w:t xml:space="preserve">published in the </w:t>
      </w:r>
      <w:r w:rsidRPr="00317583">
        <w:rPr>
          <w:rFonts w:ascii="Arial" w:hAnsi="Arial" w:cs="Arial"/>
          <w:i/>
          <w:sz w:val="20"/>
        </w:rPr>
        <w:t>Federal Register</w:t>
      </w:r>
      <w:r w:rsidRPr="00A55BCE">
        <w:rPr>
          <w:rFonts w:ascii="Arial" w:hAnsi="Arial" w:cs="Arial"/>
          <w:sz w:val="20"/>
        </w:rPr>
        <w:t xml:space="preserve"> to obtain publ</w:t>
      </w:r>
      <w:r w:rsidR="0031147A">
        <w:rPr>
          <w:rFonts w:ascii="Arial" w:hAnsi="Arial" w:cs="Arial"/>
          <w:sz w:val="20"/>
        </w:rPr>
        <w:t>ic comment on this collection. The Coast Guard has not received any comments on this information collection.</w:t>
      </w:r>
    </w:p>
    <w:p w:rsidRPr="00EF416B" w:rsidR="0042400F" w:rsidP="0042400F" w:rsidRDefault="0042400F">
      <w:pPr>
        <w:pStyle w:val="p2"/>
        <w:rPr>
          <w:rFonts w:ascii="Arial" w:hAnsi="Arial" w:cs="Arial"/>
          <w:sz w:val="20"/>
        </w:rPr>
      </w:pPr>
    </w:p>
    <w:p w:rsidRPr="00EF416B" w:rsidR="009C526C" w:rsidRDefault="009C526C">
      <w:pPr>
        <w:rPr>
          <w:rFonts w:ascii="Arial" w:hAnsi="Arial" w:cs="Arial"/>
          <w:sz w:val="20"/>
        </w:rPr>
      </w:pPr>
      <w:r w:rsidRPr="00EF416B">
        <w:rPr>
          <w:rFonts w:ascii="Arial" w:hAnsi="Arial" w:cs="Arial"/>
          <w:sz w:val="20"/>
        </w:rPr>
        <w:t>9.</w:t>
      </w:r>
      <w:r w:rsidRPr="00EF416B" w:rsidR="00020B9A">
        <w:rPr>
          <w:rFonts w:ascii="Arial" w:hAnsi="Arial" w:cs="Arial"/>
          <w:sz w:val="20"/>
        </w:rPr>
        <w:t xml:space="preserve">  </w:t>
      </w:r>
      <w:r w:rsidR="007E3F45">
        <w:rPr>
          <w:rFonts w:ascii="Arial" w:hAnsi="Arial" w:cs="Arial"/>
          <w:sz w:val="20"/>
          <w:u w:val="single"/>
        </w:rPr>
        <w:t>P</w:t>
      </w:r>
      <w:r w:rsidRPr="00EF416B">
        <w:rPr>
          <w:rFonts w:ascii="Arial" w:hAnsi="Arial" w:cs="Arial"/>
          <w:sz w:val="20"/>
          <w:u w:val="single"/>
        </w:rPr>
        <w:t>rovide any payment or gift to respondents</w:t>
      </w:r>
      <w:r w:rsidRPr="00EF416B">
        <w:rPr>
          <w:rFonts w:ascii="Arial" w:hAnsi="Arial" w:cs="Arial"/>
          <w:sz w:val="20"/>
        </w:rPr>
        <w:t>.</w:t>
      </w:r>
      <w:r w:rsidR="007E3F45">
        <w:rPr>
          <w:rFonts w:ascii="Arial" w:hAnsi="Arial" w:cs="Arial"/>
          <w:sz w:val="20"/>
        </w:rPr>
        <w:t xml:space="preserve">  </w:t>
      </w:r>
    </w:p>
    <w:p w:rsidRPr="00EF416B" w:rsidR="009C526C" w:rsidRDefault="009C526C">
      <w:pPr>
        <w:pStyle w:val="p2"/>
        <w:spacing w:line="240" w:lineRule="auto"/>
        <w:rPr>
          <w:rFonts w:ascii="Arial" w:hAnsi="Arial" w:cs="Arial"/>
          <w:sz w:val="20"/>
        </w:rPr>
      </w:pPr>
    </w:p>
    <w:p w:rsidRPr="00EF416B" w:rsidR="009C526C" w:rsidRDefault="00A73C7D">
      <w:pPr>
        <w:pStyle w:val="p2"/>
        <w:spacing w:line="240" w:lineRule="auto"/>
        <w:rPr>
          <w:rFonts w:ascii="Arial" w:hAnsi="Arial" w:cs="Arial"/>
          <w:sz w:val="20"/>
        </w:rPr>
      </w:pPr>
      <w:r w:rsidRPr="00EF416B">
        <w:rPr>
          <w:rFonts w:ascii="Arial" w:hAnsi="Arial" w:cs="Arial"/>
          <w:sz w:val="20"/>
        </w:rPr>
        <w:t>There is no offer of monetary or material value for this information collection</w:t>
      </w:r>
      <w:r w:rsidRPr="00EF416B" w:rsidR="009C526C">
        <w:rPr>
          <w:rFonts w:ascii="Arial" w:hAnsi="Arial" w:cs="Arial"/>
          <w:sz w:val="20"/>
        </w:rPr>
        <w:t>.</w:t>
      </w:r>
    </w:p>
    <w:p w:rsidRPr="00EF416B" w:rsidR="009C526C" w:rsidRDefault="009C526C">
      <w:pPr>
        <w:pStyle w:val="p2"/>
        <w:spacing w:line="240" w:lineRule="auto"/>
        <w:rPr>
          <w:rFonts w:ascii="Arial" w:hAnsi="Arial" w:cs="Arial"/>
          <w:sz w:val="20"/>
        </w:rPr>
      </w:pPr>
    </w:p>
    <w:p w:rsidRPr="00EF416B" w:rsidR="009C526C" w:rsidRDefault="009C526C">
      <w:pPr>
        <w:rPr>
          <w:rFonts w:ascii="Arial" w:hAnsi="Arial" w:cs="Arial"/>
          <w:sz w:val="20"/>
        </w:rPr>
      </w:pPr>
      <w:r w:rsidRPr="00EF416B">
        <w:rPr>
          <w:rFonts w:ascii="Arial" w:hAnsi="Arial" w:cs="Arial"/>
          <w:sz w:val="20"/>
        </w:rPr>
        <w:t>10.</w:t>
      </w:r>
      <w:r w:rsidRPr="00EF416B" w:rsidR="004D6CCC">
        <w:rPr>
          <w:rFonts w:ascii="Arial" w:hAnsi="Arial" w:cs="Arial"/>
          <w:sz w:val="20"/>
        </w:rPr>
        <w:t xml:space="preserve">  </w:t>
      </w:r>
      <w:r w:rsidRPr="00EF416B">
        <w:rPr>
          <w:rFonts w:ascii="Arial" w:hAnsi="Arial" w:cs="Arial"/>
          <w:sz w:val="20"/>
          <w:u w:val="single"/>
        </w:rPr>
        <w:t>Describe any assurance of confidentiality provided to respondents</w:t>
      </w:r>
      <w:r w:rsidRPr="00EF416B">
        <w:rPr>
          <w:rFonts w:ascii="Arial" w:hAnsi="Arial" w:cs="Arial"/>
          <w:sz w:val="20"/>
        </w:rPr>
        <w:t>.</w:t>
      </w:r>
      <w:r w:rsidR="007E3F45">
        <w:rPr>
          <w:rFonts w:ascii="Arial" w:hAnsi="Arial" w:cs="Arial"/>
          <w:sz w:val="20"/>
        </w:rPr>
        <w:t xml:space="preserve">  </w:t>
      </w:r>
    </w:p>
    <w:p w:rsidRPr="00EF416B" w:rsidR="009C526C" w:rsidRDefault="009C526C">
      <w:pPr>
        <w:pStyle w:val="p2"/>
        <w:spacing w:line="240" w:lineRule="auto"/>
        <w:rPr>
          <w:rFonts w:ascii="Arial" w:hAnsi="Arial" w:cs="Arial"/>
          <w:sz w:val="20"/>
        </w:rPr>
      </w:pPr>
    </w:p>
    <w:p w:rsidR="00F375D6" w:rsidP="00F375D6" w:rsidRDefault="00A73C7D">
      <w:pPr>
        <w:pStyle w:val="BodyText"/>
        <w:spacing w:after="0"/>
        <w:rPr>
          <w:rFonts w:ascii="Arial" w:hAnsi="Arial" w:cs="Arial"/>
          <w:sz w:val="20"/>
        </w:rPr>
      </w:pPr>
      <w:r w:rsidRPr="0048595A">
        <w:rPr>
          <w:rFonts w:ascii="Arial" w:hAnsi="Arial" w:cs="Arial"/>
          <w:sz w:val="20"/>
        </w:rPr>
        <w:t>There are no assurances of confidentiality provided to the respondents for this information collection</w:t>
      </w:r>
      <w:r w:rsidRPr="0048595A" w:rsidR="009C526C">
        <w:rPr>
          <w:rFonts w:ascii="Arial" w:hAnsi="Arial" w:cs="Arial"/>
          <w:sz w:val="20"/>
        </w:rPr>
        <w:t>.</w:t>
      </w:r>
      <w:r w:rsidRPr="0048595A" w:rsidR="00D2385B">
        <w:rPr>
          <w:rFonts w:ascii="Arial" w:hAnsi="Arial" w:cs="Arial"/>
          <w:sz w:val="20"/>
        </w:rPr>
        <w:t xml:space="preserve">  This information collection request is covered by the </w:t>
      </w:r>
      <w:r w:rsidRPr="005D4616" w:rsidR="003305A7">
        <w:rPr>
          <w:rFonts w:ascii="Arial" w:hAnsi="Arial" w:cs="Arial"/>
          <w:sz w:val="20"/>
        </w:rPr>
        <w:t xml:space="preserve">Homeport Internet Portal (Homeport) </w:t>
      </w:r>
      <w:r w:rsidRPr="00317583" w:rsidR="00D2385B">
        <w:rPr>
          <w:rFonts w:ascii="Arial" w:hAnsi="Arial" w:cs="Arial"/>
          <w:sz w:val="20"/>
        </w:rPr>
        <w:t>Privacy Impact Assess</w:t>
      </w:r>
      <w:r w:rsidR="001D47AD">
        <w:rPr>
          <w:rFonts w:ascii="Arial" w:hAnsi="Arial" w:cs="Arial"/>
          <w:sz w:val="20"/>
        </w:rPr>
        <w:t>ment (PIA).  Link</w:t>
      </w:r>
      <w:r w:rsidRPr="00317583" w:rsidR="00D2385B">
        <w:rPr>
          <w:rFonts w:ascii="Arial" w:hAnsi="Arial" w:cs="Arial"/>
          <w:sz w:val="20"/>
        </w:rPr>
        <w:t xml:space="preserve"> to the </w:t>
      </w:r>
      <w:r w:rsidRPr="00317583" w:rsidR="003305A7">
        <w:rPr>
          <w:rFonts w:ascii="Arial" w:hAnsi="Arial" w:cs="Arial"/>
          <w:sz w:val="20"/>
        </w:rPr>
        <w:t xml:space="preserve">Homeport </w:t>
      </w:r>
      <w:r w:rsidR="001D47AD">
        <w:rPr>
          <w:rFonts w:ascii="Arial" w:hAnsi="Arial" w:cs="Arial"/>
          <w:sz w:val="20"/>
        </w:rPr>
        <w:t xml:space="preserve">PIA is </w:t>
      </w:r>
      <w:r w:rsidRPr="00317583" w:rsidR="00D2385B">
        <w:rPr>
          <w:rFonts w:ascii="Arial" w:hAnsi="Arial" w:cs="Arial"/>
          <w:sz w:val="20"/>
        </w:rPr>
        <w:t>provided below:</w:t>
      </w:r>
      <w:r w:rsidRPr="00317583" w:rsidR="00F375D6">
        <w:rPr>
          <w:rFonts w:ascii="Arial" w:hAnsi="Arial" w:cs="Arial"/>
          <w:sz w:val="20"/>
        </w:rPr>
        <w:t xml:space="preserve">  </w:t>
      </w:r>
    </w:p>
    <w:p w:rsidRPr="00317583" w:rsidR="001D47AD" w:rsidP="00F375D6" w:rsidRDefault="001D47AD">
      <w:pPr>
        <w:pStyle w:val="BodyText"/>
        <w:spacing w:after="0"/>
        <w:rPr>
          <w:rFonts w:ascii="Arial" w:hAnsi="Arial" w:cs="Arial"/>
          <w:sz w:val="20"/>
        </w:rPr>
      </w:pPr>
    </w:p>
    <w:p w:rsidRPr="00317583" w:rsidR="003305A7" w:rsidP="003305A7" w:rsidRDefault="008144A9">
      <w:pPr>
        <w:pStyle w:val="BodyTextIndent"/>
        <w:numPr>
          <w:ilvl w:val="0"/>
          <w:numId w:val="23"/>
        </w:numPr>
        <w:rPr>
          <w:rFonts w:ascii="Arial" w:hAnsi="Arial" w:cs="Arial"/>
          <w:sz w:val="20"/>
        </w:rPr>
      </w:pPr>
      <w:hyperlink w:history="1" r:id="rId11">
        <w:r w:rsidRPr="00C2561F" w:rsidR="002155F5">
          <w:rPr>
            <w:rStyle w:val="Hyperlink"/>
            <w:rFonts w:ascii="Arial" w:hAnsi="Arial" w:cs="Arial"/>
            <w:sz w:val="20"/>
          </w:rPr>
          <w:t>https://www.dhs.gov/publication/dhsuscgpia-001-homeport-internet-portal</w:t>
        </w:r>
      </w:hyperlink>
      <w:r w:rsidR="002155F5">
        <w:rPr>
          <w:rFonts w:ascii="Arial" w:hAnsi="Arial" w:cs="Arial"/>
          <w:sz w:val="20"/>
        </w:rPr>
        <w:t xml:space="preserve"> </w:t>
      </w:r>
    </w:p>
    <w:p w:rsidRPr="00EF416B" w:rsidR="009C526C" w:rsidRDefault="009C526C">
      <w:pPr>
        <w:pStyle w:val="p12"/>
        <w:spacing w:line="240" w:lineRule="auto"/>
        <w:rPr>
          <w:rFonts w:ascii="Arial" w:hAnsi="Arial" w:cs="Arial"/>
          <w:sz w:val="20"/>
        </w:rPr>
      </w:pPr>
    </w:p>
    <w:p w:rsidRPr="00EF416B" w:rsidR="009C526C" w:rsidRDefault="009C526C">
      <w:pPr>
        <w:rPr>
          <w:rFonts w:ascii="Arial" w:hAnsi="Arial" w:cs="Arial"/>
          <w:sz w:val="20"/>
        </w:rPr>
      </w:pPr>
      <w:r w:rsidRPr="00EF416B">
        <w:rPr>
          <w:rFonts w:ascii="Arial" w:hAnsi="Arial" w:cs="Arial"/>
          <w:sz w:val="20"/>
        </w:rPr>
        <w:t>11.</w:t>
      </w:r>
      <w:r w:rsidRPr="00EF416B" w:rsidR="004D6CCC">
        <w:rPr>
          <w:rFonts w:ascii="Arial" w:hAnsi="Arial" w:cs="Arial"/>
          <w:sz w:val="20"/>
        </w:rPr>
        <w:t xml:space="preserve">  </w:t>
      </w:r>
      <w:r w:rsidRPr="00EF416B">
        <w:rPr>
          <w:rFonts w:ascii="Arial" w:hAnsi="Arial" w:cs="Arial"/>
          <w:sz w:val="20"/>
          <w:u w:val="single"/>
        </w:rPr>
        <w:t>Additional justification for any questions of a sensitive nature</w:t>
      </w:r>
      <w:r w:rsidRPr="00EF416B">
        <w:rPr>
          <w:rFonts w:ascii="Arial" w:hAnsi="Arial" w:cs="Arial"/>
          <w:sz w:val="20"/>
        </w:rPr>
        <w:t>.</w:t>
      </w:r>
      <w:r w:rsidR="007E3F45">
        <w:rPr>
          <w:rFonts w:ascii="Arial" w:hAnsi="Arial" w:cs="Arial"/>
          <w:sz w:val="20"/>
        </w:rPr>
        <w:t xml:space="preserve">  </w:t>
      </w:r>
    </w:p>
    <w:p w:rsidRPr="00EF416B" w:rsidR="009C526C" w:rsidRDefault="009C526C">
      <w:pPr>
        <w:pStyle w:val="p2"/>
        <w:spacing w:line="240" w:lineRule="auto"/>
        <w:rPr>
          <w:rFonts w:ascii="Arial" w:hAnsi="Arial" w:cs="Arial"/>
          <w:sz w:val="20"/>
        </w:rPr>
      </w:pPr>
    </w:p>
    <w:p w:rsidRPr="00EF416B" w:rsidR="009C526C" w:rsidRDefault="00A73C7D">
      <w:pPr>
        <w:pStyle w:val="p12"/>
        <w:spacing w:line="240" w:lineRule="auto"/>
        <w:rPr>
          <w:rFonts w:ascii="Arial" w:hAnsi="Arial" w:cs="Arial"/>
          <w:sz w:val="20"/>
        </w:rPr>
      </w:pPr>
      <w:r w:rsidRPr="00EF416B">
        <w:rPr>
          <w:rFonts w:ascii="Arial" w:hAnsi="Arial" w:cs="Arial"/>
          <w:sz w:val="20"/>
        </w:rPr>
        <w:t>There are no questions of sensitive language</w:t>
      </w:r>
      <w:r w:rsidRPr="00EF416B" w:rsidR="009C526C">
        <w:rPr>
          <w:rFonts w:ascii="Arial" w:hAnsi="Arial" w:cs="Arial"/>
          <w:sz w:val="20"/>
        </w:rPr>
        <w:t>.</w:t>
      </w:r>
    </w:p>
    <w:p w:rsidRPr="00EF416B" w:rsidR="009C526C" w:rsidRDefault="009C526C">
      <w:pPr>
        <w:pStyle w:val="p12"/>
        <w:spacing w:line="240" w:lineRule="auto"/>
        <w:rPr>
          <w:rFonts w:ascii="Arial" w:hAnsi="Arial" w:cs="Arial"/>
          <w:sz w:val="20"/>
        </w:rPr>
      </w:pPr>
    </w:p>
    <w:p w:rsidRPr="00EF416B" w:rsidR="009C526C" w:rsidP="004D6CCC" w:rsidRDefault="009C526C">
      <w:pPr>
        <w:ind w:left="450" w:hanging="450"/>
        <w:rPr>
          <w:rFonts w:ascii="Arial" w:hAnsi="Arial" w:cs="Arial"/>
          <w:sz w:val="20"/>
        </w:rPr>
      </w:pPr>
      <w:r w:rsidRPr="00EF416B">
        <w:rPr>
          <w:rFonts w:ascii="Arial" w:hAnsi="Arial" w:cs="Arial"/>
          <w:sz w:val="20"/>
        </w:rPr>
        <w:t>12.</w:t>
      </w:r>
      <w:r w:rsidRPr="00EF416B" w:rsidR="004D6CCC">
        <w:rPr>
          <w:rFonts w:ascii="Arial" w:hAnsi="Arial" w:cs="Arial"/>
          <w:sz w:val="20"/>
        </w:rPr>
        <w:t xml:space="preserve">  </w:t>
      </w:r>
      <w:r w:rsidRPr="00EF416B">
        <w:rPr>
          <w:rFonts w:ascii="Arial" w:hAnsi="Arial" w:cs="Arial"/>
          <w:sz w:val="20"/>
          <w:u w:val="single"/>
        </w:rPr>
        <w:t xml:space="preserve">Estimate of </w:t>
      </w:r>
      <w:r w:rsidR="007E3F45">
        <w:rPr>
          <w:rFonts w:ascii="Arial" w:hAnsi="Arial" w:cs="Arial"/>
          <w:sz w:val="20"/>
          <w:u w:val="single"/>
        </w:rPr>
        <w:t xml:space="preserve">annual </w:t>
      </w:r>
      <w:r w:rsidRPr="00EF416B">
        <w:rPr>
          <w:rFonts w:ascii="Arial" w:hAnsi="Arial" w:cs="Arial"/>
          <w:sz w:val="20"/>
          <w:u w:val="single"/>
        </w:rPr>
        <w:t xml:space="preserve">hour and cost burdens </w:t>
      </w:r>
      <w:r w:rsidR="007E3F45">
        <w:rPr>
          <w:rFonts w:ascii="Arial" w:hAnsi="Arial" w:cs="Arial"/>
          <w:sz w:val="20"/>
          <w:u w:val="single"/>
        </w:rPr>
        <w:t>to respondents</w:t>
      </w:r>
      <w:r w:rsidRPr="00EF416B">
        <w:rPr>
          <w:rFonts w:ascii="Arial" w:hAnsi="Arial" w:cs="Arial"/>
          <w:sz w:val="20"/>
        </w:rPr>
        <w:t>.</w:t>
      </w:r>
      <w:r w:rsidR="007E3F45">
        <w:rPr>
          <w:rFonts w:ascii="Arial" w:hAnsi="Arial" w:cs="Arial"/>
          <w:sz w:val="20"/>
        </w:rPr>
        <w:t xml:space="preserve">  </w:t>
      </w:r>
    </w:p>
    <w:p w:rsidRPr="00EF416B" w:rsidR="009C526C" w:rsidRDefault="009C526C">
      <w:pPr>
        <w:pStyle w:val="p2"/>
        <w:spacing w:line="240" w:lineRule="auto"/>
        <w:rPr>
          <w:rFonts w:ascii="Arial" w:hAnsi="Arial" w:cs="Arial"/>
          <w:sz w:val="20"/>
        </w:rPr>
      </w:pPr>
    </w:p>
    <w:p w:rsidRPr="00317583" w:rsidR="004D6CCC" w:rsidP="004D6CCC" w:rsidRDefault="004D6CCC">
      <w:pPr>
        <w:pStyle w:val="p10"/>
        <w:numPr>
          <w:ilvl w:val="0"/>
          <w:numId w:val="19"/>
        </w:numPr>
        <w:tabs>
          <w:tab w:val="clear" w:pos="720"/>
          <w:tab w:val="left" w:pos="760"/>
        </w:tabs>
        <w:rPr>
          <w:rFonts w:ascii="Arial" w:hAnsi="Arial" w:cs="Arial"/>
          <w:sz w:val="20"/>
        </w:rPr>
      </w:pPr>
      <w:r w:rsidRPr="005D4616">
        <w:rPr>
          <w:rFonts w:ascii="Arial" w:hAnsi="Arial" w:cs="Arial"/>
          <w:sz w:val="20"/>
        </w:rPr>
        <w:t xml:space="preserve">The estimated number of annual respondents is </w:t>
      </w:r>
      <w:r w:rsidRPr="00317583" w:rsidR="00B11CE6">
        <w:rPr>
          <w:rFonts w:ascii="Arial" w:hAnsi="Arial" w:cs="Arial"/>
          <w:sz w:val="20"/>
        </w:rPr>
        <w:t>8,</w:t>
      </w:r>
      <w:r w:rsidR="006A3A3C">
        <w:rPr>
          <w:rFonts w:ascii="Arial" w:hAnsi="Arial" w:cs="Arial"/>
          <w:sz w:val="20"/>
        </w:rPr>
        <w:t>548</w:t>
      </w:r>
      <w:r w:rsidRPr="00317583">
        <w:rPr>
          <w:rFonts w:ascii="Arial" w:hAnsi="Arial" w:cs="Arial"/>
          <w:sz w:val="20"/>
        </w:rPr>
        <w:t xml:space="preserve">.  </w:t>
      </w:r>
    </w:p>
    <w:p w:rsidRPr="00317583" w:rsidR="004D6CCC" w:rsidP="004D6CCC" w:rsidRDefault="004D6CCC">
      <w:pPr>
        <w:pStyle w:val="p10"/>
        <w:numPr>
          <w:ilvl w:val="0"/>
          <w:numId w:val="19"/>
        </w:numPr>
        <w:tabs>
          <w:tab w:val="clear" w:pos="720"/>
          <w:tab w:val="left" w:pos="760"/>
        </w:tabs>
        <w:rPr>
          <w:rFonts w:ascii="Arial" w:hAnsi="Arial" w:cs="Arial"/>
          <w:sz w:val="20"/>
        </w:rPr>
      </w:pPr>
      <w:r w:rsidRPr="00317583">
        <w:rPr>
          <w:rFonts w:ascii="Arial" w:hAnsi="Arial" w:cs="Arial"/>
          <w:sz w:val="20"/>
        </w:rPr>
        <w:t xml:space="preserve">The estimated number of annual responses is </w:t>
      </w:r>
      <w:r w:rsidRPr="00317583" w:rsidR="00B11CE6">
        <w:rPr>
          <w:rFonts w:ascii="Arial" w:hAnsi="Arial" w:cs="Arial"/>
          <w:sz w:val="20"/>
        </w:rPr>
        <w:t>8,</w:t>
      </w:r>
      <w:r w:rsidR="006A3A3C">
        <w:rPr>
          <w:rFonts w:ascii="Arial" w:hAnsi="Arial" w:cs="Arial"/>
          <w:sz w:val="20"/>
        </w:rPr>
        <w:t>600</w:t>
      </w:r>
      <w:r w:rsidRPr="00317583">
        <w:rPr>
          <w:rFonts w:ascii="Arial" w:hAnsi="Arial" w:cs="Arial"/>
          <w:sz w:val="20"/>
        </w:rPr>
        <w:t xml:space="preserve">.  </w:t>
      </w:r>
    </w:p>
    <w:p w:rsidRPr="00317583" w:rsidR="004D6CCC" w:rsidP="004D6CCC" w:rsidRDefault="004D6CCC">
      <w:pPr>
        <w:pStyle w:val="p10"/>
        <w:numPr>
          <w:ilvl w:val="0"/>
          <w:numId w:val="19"/>
        </w:numPr>
        <w:tabs>
          <w:tab w:val="clear" w:pos="720"/>
          <w:tab w:val="left" w:pos="760"/>
        </w:tabs>
        <w:rPr>
          <w:rFonts w:ascii="Arial" w:hAnsi="Arial" w:cs="Arial"/>
          <w:sz w:val="20"/>
        </w:rPr>
      </w:pPr>
      <w:r w:rsidRPr="00317583">
        <w:rPr>
          <w:rFonts w:ascii="Arial" w:hAnsi="Arial" w:cs="Arial"/>
          <w:sz w:val="20"/>
        </w:rPr>
        <w:t xml:space="preserve">The estimated hour burden is </w:t>
      </w:r>
      <w:r w:rsidR="006A3A3C">
        <w:rPr>
          <w:rFonts w:ascii="Arial" w:hAnsi="Arial" w:cs="Arial"/>
          <w:sz w:val="20"/>
        </w:rPr>
        <w:t>88,381</w:t>
      </w:r>
      <w:r w:rsidRPr="00317583">
        <w:rPr>
          <w:rFonts w:ascii="Arial" w:hAnsi="Arial" w:cs="Arial"/>
          <w:sz w:val="20"/>
        </w:rPr>
        <w:t xml:space="preserve"> hours.  </w:t>
      </w:r>
    </w:p>
    <w:p w:rsidRPr="00317583" w:rsidR="004D6CCC" w:rsidP="004D6CCC" w:rsidRDefault="004D6CCC">
      <w:pPr>
        <w:pStyle w:val="p10"/>
        <w:numPr>
          <w:ilvl w:val="0"/>
          <w:numId w:val="19"/>
        </w:numPr>
        <w:tabs>
          <w:tab w:val="clear" w:pos="720"/>
          <w:tab w:val="left" w:pos="760"/>
        </w:tabs>
        <w:rPr>
          <w:rFonts w:ascii="Arial" w:hAnsi="Arial" w:cs="Arial"/>
          <w:sz w:val="20"/>
        </w:rPr>
      </w:pPr>
      <w:r w:rsidRPr="00317583">
        <w:rPr>
          <w:rFonts w:ascii="Arial" w:hAnsi="Arial" w:cs="Arial"/>
          <w:sz w:val="20"/>
        </w:rPr>
        <w:t>The estimated cost burden is $</w:t>
      </w:r>
      <w:r w:rsidR="006A3A3C">
        <w:rPr>
          <w:rFonts w:ascii="Arial" w:hAnsi="Arial" w:cs="Arial"/>
          <w:sz w:val="20"/>
        </w:rPr>
        <w:t>8,253,454</w:t>
      </w:r>
      <w:r w:rsidRPr="00317583">
        <w:rPr>
          <w:rFonts w:ascii="Arial" w:hAnsi="Arial" w:cs="Arial"/>
          <w:sz w:val="20"/>
        </w:rPr>
        <w:t xml:space="preserve">.  </w:t>
      </w:r>
    </w:p>
    <w:p w:rsidR="004D6CCC" w:rsidRDefault="004D6CCC">
      <w:pPr>
        <w:pStyle w:val="p2"/>
        <w:spacing w:line="240" w:lineRule="auto"/>
        <w:rPr>
          <w:rFonts w:ascii="Arial" w:hAnsi="Arial" w:cs="Arial"/>
          <w:sz w:val="20"/>
        </w:rPr>
      </w:pPr>
    </w:p>
    <w:p w:rsidR="0008769A" w:rsidRDefault="0008769A">
      <w:pPr>
        <w:pStyle w:val="p2"/>
        <w:spacing w:line="240" w:lineRule="auto"/>
        <w:rPr>
          <w:rFonts w:ascii="Arial" w:hAnsi="Arial" w:cs="Arial"/>
          <w:sz w:val="20"/>
        </w:rPr>
      </w:pPr>
      <w:r w:rsidRPr="0008769A">
        <w:rPr>
          <w:rFonts w:ascii="Arial" w:hAnsi="Arial" w:cs="Arial"/>
          <w:sz w:val="20"/>
        </w:rPr>
        <w:t>The burden to respondents is provided in Appendix A</w:t>
      </w:r>
      <w:r>
        <w:rPr>
          <w:rFonts w:ascii="Arial" w:hAnsi="Arial" w:cs="Arial"/>
          <w:sz w:val="20"/>
        </w:rPr>
        <w:t xml:space="preserve"> through E</w:t>
      </w:r>
      <w:r w:rsidRPr="0008769A">
        <w:rPr>
          <w:rFonts w:ascii="Arial" w:hAnsi="Arial" w:cs="Arial"/>
          <w:sz w:val="20"/>
        </w:rPr>
        <w:t xml:space="preserve">.  All wage rates used are in accordance with the current edition of COMDTINST 7310.1(series) for “Out-Government” personnel.  </w:t>
      </w:r>
    </w:p>
    <w:p w:rsidRPr="00EF416B" w:rsidR="0008769A" w:rsidRDefault="0008769A">
      <w:pPr>
        <w:pStyle w:val="p2"/>
        <w:spacing w:line="240" w:lineRule="auto"/>
        <w:rPr>
          <w:rFonts w:ascii="Arial" w:hAnsi="Arial" w:cs="Arial"/>
          <w:sz w:val="20"/>
        </w:rPr>
      </w:pPr>
    </w:p>
    <w:p w:rsidRPr="00EF416B" w:rsidR="009C526C" w:rsidRDefault="009C526C">
      <w:pPr>
        <w:pStyle w:val="p12"/>
        <w:spacing w:line="240" w:lineRule="auto"/>
        <w:rPr>
          <w:rFonts w:ascii="Arial" w:hAnsi="Arial" w:cs="Arial"/>
          <w:sz w:val="20"/>
        </w:rPr>
      </w:pPr>
      <w:r w:rsidRPr="00EF416B">
        <w:rPr>
          <w:rFonts w:ascii="Arial" w:hAnsi="Arial" w:cs="Arial"/>
          <w:b/>
          <w:sz w:val="20"/>
          <w:u w:val="single"/>
        </w:rPr>
        <w:t>FRP</w:t>
      </w:r>
      <w:r w:rsidRPr="00317583">
        <w:rPr>
          <w:rFonts w:ascii="Arial" w:hAnsi="Arial" w:cs="Arial"/>
          <w:b/>
          <w:sz w:val="20"/>
        </w:rPr>
        <w:t>:</w:t>
      </w:r>
      <w:r w:rsidRPr="00EF416B">
        <w:rPr>
          <w:rFonts w:ascii="Arial" w:hAnsi="Arial" w:cs="Arial"/>
          <w:sz w:val="20"/>
        </w:rPr>
        <w:t xml:space="preserve">  Th</w:t>
      </w:r>
      <w:r w:rsidRPr="00EF416B" w:rsidR="006C426C">
        <w:rPr>
          <w:rFonts w:ascii="Arial" w:hAnsi="Arial" w:cs="Arial"/>
          <w:sz w:val="20"/>
        </w:rPr>
        <w:t xml:space="preserve">ere are a number of </w:t>
      </w:r>
      <w:r w:rsidRPr="00EF416B" w:rsidR="00971A5D">
        <w:rPr>
          <w:rFonts w:ascii="Arial" w:hAnsi="Arial" w:cs="Arial"/>
          <w:sz w:val="20"/>
        </w:rPr>
        <w:t>MTR</w:t>
      </w:r>
      <w:r w:rsidRPr="00EF416B" w:rsidR="006C426C">
        <w:rPr>
          <w:rFonts w:ascii="Arial" w:hAnsi="Arial" w:cs="Arial"/>
          <w:sz w:val="20"/>
        </w:rPr>
        <w:t xml:space="preserve"> oil transfer facilities in the U.S. that are </w:t>
      </w:r>
      <w:r w:rsidRPr="00EF416B">
        <w:rPr>
          <w:rFonts w:ascii="Arial" w:hAnsi="Arial" w:cs="Arial"/>
          <w:sz w:val="20"/>
        </w:rPr>
        <w:t xml:space="preserve">subject to the </w:t>
      </w:r>
      <w:r w:rsidRPr="00EF416B" w:rsidR="006C426C">
        <w:rPr>
          <w:rFonts w:ascii="Arial" w:hAnsi="Arial" w:cs="Arial"/>
          <w:sz w:val="20"/>
        </w:rPr>
        <w:t>FRP</w:t>
      </w:r>
      <w:r w:rsidRPr="00EF416B">
        <w:rPr>
          <w:rFonts w:ascii="Arial" w:hAnsi="Arial" w:cs="Arial"/>
          <w:sz w:val="20"/>
        </w:rPr>
        <w:t xml:space="preserve"> requirements.  It </w:t>
      </w:r>
      <w:r w:rsidRPr="00EF416B" w:rsidR="006C426C">
        <w:rPr>
          <w:rFonts w:ascii="Arial" w:hAnsi="Arial" w:cs="Arial"/>
          <w:sz w:val="20"/>
        </w:rPr>
        <w:t>is</w:t>
      </w:r>
      <w:r w:rsidRPr="00EF416B">
        <w:rPr>
          <w:rFonts w:ascii="Arial" w:hAnsi="Arial" w:cs="Arial"/>
          <w:sz w:val="20"/>
        </w:rPr>
        <w:t xml:space="preserve"> assumed that the number of facilities remains constant due to the mature nature of the industry.  However, facilities are sold and new ones are built as older ones are taken out of service, th</w:t>
      </w:r>
      <w:r w:rsidRPr="00EF416B" w:rsidR="007A0BFE">
        <w:rPr>
          <w:rFonts w:ascii="Arial" w:hAnsi="Arial" w:cs="Arial"/>
          <w:sz w:val="20"/>
        </w:rPr>
        <w:t>us</w:t>
      </w:r>
      <w:r w:rsidRPr="00EF416B">
        <w:rPr>
          <w:rFonts w:ascii="Arial" w:hAnsi="Arial" w:cs="Arial"/>
          <w:sz w:val="20"/>
        </w:rPr>
        <w:t xml:space="preserve"> </w:t>
      </w:r>
      <w:r w:rsidRPr="00EF416B" w:rsidR="006C426C">
        <w:rPr>
          <w:rFonts w:ascii="Arial" w:hAnsi="Arial" w:cs="Arial"/>
          <w:sz w:val="20"/>
        </w:rPr>
        <w:t>we</w:t>
      </w:r>
      <w:r w:rsidRPr="00EF416B">
        <w:rPr>
          <w:rFonts w:ascii="Arial" w:hAnsi="Arial" w:cs="Arial"/>
          <w:sz w:val="20"/>
        </w:rPr>
        <w:t xml:space="preserve"> assume that </w:t>
      </w:r>
      <w:r w:rsidRPr="00EF416B" w:rsidR="006C426C">
        <w:rPr>
          <w:rFonts w:ascii="Arial" w:hAnsi="Arial" w:cs="Arial"/>
          <w:sz w:val="20"/>
        </w:rPr>
        <w:t xml:space="preserve">10% of the facility population will submit </w:t>
      </w:r>
      <w:r w:rsidRPr="00EF416B">
        <w:rPr>
          <w:rFonts w:ascii="Arial" w:hAnsi="Arial" w:cs="Arial"/>
          <w:sz w:val="20"/>
        </w:rPr>
        <w:t xml:space="preserve">new </w:t>
      </w:r>
      <w:r w:rsidRPr="00EF416B" w:rsidR="006C426C">
        <w:rPr>
          <w:rFonts w:ascii="Arial" w:hAnsi="Arial" w:cs="Arial"/>
          <w:sz w:val="20"/>
        </w:rPr>
        <w:t>FRPs</w:t>
      </w:r>
      <w:r w:rsidRPr="00EF416B">
        <w:rPr>
          <w:rFonts w:ascii="Arial" w:hAnsi="Arial" w:cs="Arial"/>
          <w:sz w:val="20"/>
        </w:rPr>
        <w:t xml:space="preserve"> </w:t>
      </w:r>
      <w:r w:rsidRPr="00EF416B" w:rsidR="006C426C">
        <w:rPr>
          <w:rFonts w:ascii="Arial" w:hAnsi="Arial" w:cs="Arial"/>
          <w:sz w:val="20"/>
        </w:rPr>
        <w:t xml:space="preserve">each </w:t>
      </w:r>
      <w:r w:rsidRPr="00EF416B">
        <w:rPr>
          <w:rFonts w:ascii="Arial" w:hAnsi="Arial" w:cs="Arial"/>
          <w:sz w:val="20"/>
        </w:rPr>
        <w:t xml:space="preserve">year.  The </w:t>
      </w:r>
      <w:r w:rsidRPr="00EF416B" w:rsidR="006C426C">
        <w:rPr>
          <w:rFonts w:ascii="Arial" w:hAnsi="Arial" w:cs="Arial"/>
          <w:sz w:val="20"/>
        </w:rPr>
        <w:t xml:space="preserve">FRP </w:t>
      </w:r>
      <w:r w:rsidRPr="00EF416B">
        <w:rPr>
          <w:rFonts w:ascii="Arial" w:hAnsi="Arial" w:cs="Arial"/>
          <w:sz w:val="20"/>
        </w:rPr>
        <w:t xml:space="preserve">paperwork requirements consist of the preparation and submission of </w:t>
      </w:r>
      <w:r w:rsidRPr="00EF416B" w:rsidR="006C426C">
        <w:rPr>
          <w:rFonts w:ascii="Arial" w:hAnsi="Arial" w:cs="Arial"/>
          <w:sz w:val="20"/>
        </w:rPr>
        <w:t xml:space="preserve">new FRPs, the </w:t>
      </w:r>
      <w:r w:rsidRPr="00EF416B">
        <w:rPr>
          <w:rFonts w:ascii="Arial" w:hAnsi="Arial" w:cs="Arial"/>
          <w:sz w:val="20"/>
        </w:rPr>
        <w:t xml:space="preserve">annual </w:t>
      </w:r>
      <w:r w:rsidRPr="00EF416B" w:rsidR="006C426C">
        <w:rPr>
          <w:rFonts w:ascii="Arial" w:hAnsi="Arial" w:cs="Arial"/>
          <w:sz w:val="20"/>
        </w:rPr>
        <w:t xml:space="preserve">review of existing FRPs, and the 5-year resubmit of existing FRPs.  </w:t>
      </w:r>
      <w:r w:rsidRPr="00EF416B" w:rsidR="00243A84">
        <w:rPr>
          <w:rFonts w:ascii="Arial" w:hAnsi="Arial" w:cs="Arial"/>
          <w:sz w:val="20"/>
        </w:rPr>
        <w:t xml:space="preserve">We </w:t>
      </w:r>
      <w:r w:rsidR="0008769A">
        <w:rPr>
          <w:rFonts w:ascii="Arial" w:hAnsi="Arial" w:cs="Arial"/>
          <w:sz w:val="20"/>
        </w:rPr>
        <w:t>estimate</w:t>
      </w:r>
      <w:r w:rsidRPr="00EF416B" w:rsidR="0008769A">
        <w:rPr>
          <w:rFonts w:ascii="Arial" w:hAnsi="Arial" w:cs="Arial"/>
          <w:sz w:val="20"/>
        </w:rPr>
        <w:t xml:space="preserve"> </w:t>
      </w:r>
      <w:r w:rsidRPr="00EF416B" w:rsidR="00243A84">
        <w:rPr>
          <w:rFonts w:ascii="Arial" w:hAnsi="Arial" w:cs="Arial"/>
          <w:sz w:val="20"/>
        </w:rPr>
        <w:t xml:space="preserve">it takes </w:t>
      </w:r>
      <w:r w:rsidRPr="00EF416B" w:rsidR="00A470FD">
        <w:rPr>
          <w:rFonts w:ascii="Arial" w:hAnsi="Arial" w:cs="Arial"/>
          <w:sz w:val="20"/>
        </w:rPr>
        <w:t>100</w:t>
      </w:r>
      <w:r w:rsidRPr="00EF416B" w:rsidR="00243A84">
        <w:rPr>
          <w:rFonts w:ascii="Arial" w:hAnsi="Arial" w:cs="Arial"/>
          <w:sz w:val="20"/>
        </w:rPr>
        <w:t xml:space="preserve"> hours for a new plan, </w:t>
      </w:r>
      <w:r w:rsidRPr="00EF416B" w:rsidR="00A470FD">
        <w:rPr>
          <w:rFonts w:ascii="Arial" w:hAnsi="Arial" w:cs="Arial"/>
          <w:sz w:val="20"/>
        </w:rPr>
        <w:t>10</w:t>
      </w:r>
      <w:r w:rsidRPr="00EF416B" w:rsidR="00243A84">
        <w:rPr>
          <w:rFonts w:ascii="Arial" w:hAnsi="Arial" w:cs="Arial"/>
          <w:sz w:val="20"/>
        </w:rPr>
        <w:t xml:space="preserve"> hours for an annual review and </w:t>
      </w:r>
      <w:r w:rsidRPr="00EF416B" w:rsidR="00A470FD">
        <w:rPr>
          <w:rFonts w:ascii="Arial" w:hAnsi="Arial" w:cs="Arial"/>
          <w:sz w:val="20"/>
        </w:rPr>
        <w:t>15</w:t>
      </w:r>
      <w:r w:rsidRPr="00EF416B" w:rsidR="00243A84">
        <w:rPr>
          <w:rFonts w:ascii="Arial" w:hAnsi="Arial" w:cs="Arial"/>
          <w:sz w:val="20"/>
        </w:rPr>
        <w:t xml:space="preserve"> hours for a 5-year resubmit</w:t>
      </w:r>
      <w:r w:rsidR="0008769A">
        <w:rPr>
          <w:rFonts w:ascii="Arial" w:hAnsi="Arial" w:cs="Arial"/>
          <w:sz w:val="20"/>
        </w:rPr>
        <w:t>, and that a response specialist does the work.  We estimate the position of a response specialist is equivalent to a GS-13.</w:t>
      </w:r>
      <w:r w:rsidRPr="00EF416B" w:rsidR="00243A84">
        <w:rPr>
          <w:rFonts w:ascii="Arial" w:hAnsi="Arial" w:cs="Arial"/>
          <w:sz w:val="20"/>
        </w:rPr>
        <w:t xml:space="preserve">  </w:t>
      </w:r>
      <w:r w:rsidRPr="00EF416B" w:rsidR="006C426C">
        <w:rPr>
          <w:rFonts w:ascii="Arial" w:hAnsi="Arial" w:cs="Arial"/>
          <w:sz w:val="20"/>
        </w:rPr>
        <w:t xml:space="preserve">The calculations for the FRP reporting/recordkeeping elements are found in Appendix </w:t>
      </w:r>
      <w:r w:rsidRPr="00EF416B" w:rsidR="0091486A">
        <w:rPr>
          <w:rFonts w:ascii="Arial" w:hAnsi="Arial" w:cs="Arial"/>
          <w:sz w:val="20"/>
        </w:rPr>
        <w:t>A</w:t>
      </w:r>
      <w:r w:rsidRPr="00EF416B" w:rsidR="006C426C">
        <w:rPr>
          <w:rFonts w:ascii="Arial" w:hAnsi="Arial" w:cs="Arial"/>
          <w:sz w:val="20"/>
        </w:rPr>
        <w:t xml:space="preserve">.  </w:t>
      </w:r>
    </w:p>
    <w:p w:rsidRPr="00EF416B" w:rsidR="006C426C" w:rsidRDefault="006C426C">
      <w:pPr>
        <w:pStyle w:val="p12"/>
        <w:spacing w:line="240" w:lineRule="auto"/>
        <w:rPr>
          <w:rFonts w:ascii="Arial" w:hAnsi="Arial" w:cs="Arial"/>
          <w:sz w:val="20"/>
        </w:rPr>
      </w:pPr>
    </w:p>
    <w:p w:rsidRPr="00EF416B" w:rsidR="00120F09" w:rsidP="006C426C" w:rsidRDefault="0026126D">
      <w:pPr>
        <w:pStyle w:val="p12"/>
        <w:spacing w:line="240" w:lineRule="auto"/>
        <w:rPr>
          <w:rFonts w:ascii="Arial" w:hAnsi="Arial" w:cs="Arial"/>
          <w:sz w:val="20"/>
        </w:rPr>
      </w:pPr>
      <w:r w:rsidRPr="00EF416B">
        <w:rPr>
          <w:rFonts w:ascii="Arial" w:hAnsi="Arial" w:cs="Arial"/>
          <w:b/>
          <w:sz w:val="20"/>
          <w:u w:val="single"/>
        </w:rPr>
        <w:t>V</w:t>
      </w:r>
      <w:r w:rsidRPr="00EF416B" w:rsidR="009C526C">
        <w:rPr>
          <w:rFonts w:ascii="Arial" w:hAnsi="Arial" w:cs="Arial"/>
          <w:b/>
          <w:sz w:val="20"/>
          <w:u w:val="single"/>
        </w:rPr>
        <w:t>RP</w:t>
      </w:r>
      <w:r w:rsidRPr="00EF416B" w:rsidR="00930C23">
        <w:rPr>
          <w:rFonts w:ascii="Arial" w:hAnsi="Arial" w:cs="Arial"/>
          <w:b/>
          <w:sz w:val="20"/>
          <w:u w:val="single"/>
        </w:rPr>
        <w:t xml:space="preserve"> &amp; NTVRP</w:t>
      </w:r>
      <w:r w:rsidRPr="00317583" w:rsidR="009C526C">
        <w:rPr>
          <w:rFonts w:ascii="Arial" w:hAnsi="Arial" w:cs="Arial"/>
          <w:b/>
          <w:sz w:val="20"/>
        </w:rPr>
        <w:t>:</w:t>
      </w:r>
      <w:r w:rsidRPr="00EF416B" w:rsidR="009C526C">
        <w:rPr>
          <w:rFonts w:ascii="Arial" w:hAnsi="Arial" w:cs="Arial"/>
          <w:sz w:val="20"/>
        </w:rPr>
        <w:t xml:space="preserve">  </w:t>
      </w:r>
      <w:r w:rsidRPr="00EF416B" w:rsidR="006C426C">
        <w:rPr>
          <w:rFonts w:ascii="Arial" w:hAnsi="Arial" w:cs="Arial"/>
          <w:sz w:val="20"/>
        </w:rPr>
        <w:t xml:space="preserve">There are a number of tank </w:t>
      </w:r>
      <w:r w:rsidRPr="00EF416B" w:rsidR="00930C23">
        <w:rPr>
          <w:rFonts w:ascii="Arial" w:hAnsi="Arial" w:cs="Arial"/>
          <w:sz w:val="20"/>
        </w:rPr>
        <w:t xml:space="preserve">and nontank </w:t>
      </w:r>
      <w:r w:rsidRPr="00EF416B" w:rsidR="006C426C">
        <w:rPr>
          <w:rFonts w:ascii="Arial" w:hAnsi="Arial" w:cs="Arial"/>
          <w:sz w:val="20"/>
        </w:rPr>
        <w:t xml:space="preserve">vessels that are subject to the VRP </w:t>
      </w:r>
      <w:r w:rsidRPr="00EF416B" w:rsidR="006C426C">
        <w:rPr>
          <w:rFonts w:ascii="Arial" w:hAnsi="Arial" w:cs="Arial"/>
          <w:sz w:val="20"/>
        </w:rPr>
        <w:lastRenderedPageBreak/>
        <w:t>requirements.  It is assumed that the number of vessels remains constant due to the mature nature of the industry.  However, vessels are sold and new ones are built as older ones are taken out of service, th</w:t>
      </w:r>
      <w:r w:rsidRPr="00EF416B" w:rsidR="007A0BFE">
        <w:rPr>
          <w:rFonts w:ascii="Arial" w:hAnsi="Arial" w:cs="Arial"/>
          <w:sz w:val="20"/>
        </w:rPr>
        <w:t>us</w:t>
      </w:r>
      <w:r w:rsidRPr="00EF416B" w:rsidR="006C426C">
        <w:rPr>
          <w:rFonts w:ascii="Arial" w:hAnsi="Arial" w:cs="Arial"/>
          <w:sz w:val="20"/>
        </w:rPr>
        <w:t xml:space="preserve"> we assume that 10% of the </w:t>
      </w:r>
      <w:r w:rsidRPr="00EF416B">
        <w:rPr>
          <w:rFonts w:ascii="Arial" w:hAnsi="Arial" w:cs="Arial"/>
          <w:sz w:val="20"/>
        </w:rPr>
        <w:t>vessel</w:t>
      </w:r>
      <w:r w:rsidRPr="00EF416B" w:rsidR="006C426C">
        <w:rPr>
          <w:rFonts w:ascii="Arial" w:hAnsi="Arial" w:cs="Arial"/>
          <w:sz w:val="20"/>
        </w:rPr>
        <w:t xml:space="preserve"> population will submit new </w:t>
      </w:r>
      <w:r w:rsidRPr="00EF416B">
        <w:rPr>
          <w:rFonts w:ascii="Arial" w:hAnsi="Arial" w:cs="Arial"/>
          <w:sz w:val="20"/>
        </w:rPr>
        <w:t>V</w:t>
      </w:r>
      <w:r w:rsidRPr="00EF416B" w:rsidR="006C426C">
        <w:rPr>
          <w:rFonts w:ascii="Arial" w:hAnsi="Arial" w:cs="Arial"/>
          <w:sz w:val="20"/>
        </w:rPr>
        <w:t xml:space="preserve">RPs each year.  The </w:t>
      </w:r>
      <w:r w:rsidRPr="00EF416B">
        <w:rPr>
          <w:rFonts w:ascii="Arial" w:hAnsi="Arial" w:cs="Arial"/>
          <w:sz w:val="20"/>
        </w:rPr>
        <w:t>V</w:t>
      </w:r>
      <w:r w:rsidRPr="00EF416B" w:rsidR="006C426C">
        <w:rPr>
          <w:rFonts w:ascii="Arial" w:hAnsi="Arial" w:cs="Arial"/>
          <w:sz w:val="20"/>
        </w:rPr>
        <w:t xml:space="preserve">RP paperwork requirements consist of the preparation and submission of new </w:t>
      </w:r>
      <w:r w:rsidRPr="00EF416B">
        <w:rPr>
          <w:rFonts w:ascii="Arial" w:hAnsi="Arial" w:cs="Arial"/>
          <w:sz w:val="20"/>
        </w:rPr>
        <w:t>V</w:t>
      </w:r>
      <w:r w:rsidRPr="00EF416B" w:rsidR="006C426C">
        <w:rPr>
          <w:rFonts w:ascii="Arial" w:hAnsi="Arial" w:cs="Arial"/>
          <w:sz w:val="20"/>
        </w:rPr>
        <w:t xml:space="preserve">RPs, the annual review of existing </w:t>
      </w:r>
      <w:r w:rsidRPr="00EF416B">
        <w:rPr>
          <w:rFonts w:ascii="Arial" w:hAnsi="Arial" w:cs="Arial"/>
          <w:sz w:val="20"/>
        </w:rPr>
        <w:t>V</w:t>
      </w:r>
      <w:r w:rsidRPr="00EF416B" w:rsidR="006C426C">
        <w:rPr>
          <w:rFonts w:ascii="Arial" w:hAnsi="Arial" w:cs="Arial"/>
          <w:sz w:val="20"/>
        </w:rPr>
        <w:t xml:space="preserve">RPs, and the 5-year resubmit of existing </w:t>
      </w:r>
      <w:r w:rsidRPr="00EF416B">
        <w:rPr>
          <w:rFonts w:ascii="Arial" w:hAnsi="Arial" w:cs="Arial"/>
          <w:sz w:val="20"/>
        </w:rPr>
        <w:t>V</w:t>
      </w:r>
      <w:r w:rsidRPr="00EF416B" w:rsidR="006C426C">
        <w:rPr>
          <w:rFonts w:ascii="Arial" w:hAnsi="Arial" w:cs="Arial"/>
          <w:sz w:val="20"/>
        </w:rPr>
        <w:t xml:space="preserve">RPs.  </w:t>
      </w:r>
      <w:r w:rsidRPr="00EF416B" w:rsidR="00243A84">
        <w:rPr>
          <w:rFonts w:ascii="Arial" w:hAnsi="Arial" w:cs="Arial"/>
          <w:sz w:val="20"/>
        </w:rPr>
        <w:t xml:space="preserve">We </w:t>
      </w:r>
      <w:r w:rsidR="00A02F1F">
        <w:rPr>
          <w:rFonts w:ascii="Arial" w:hAnsi="Arial" w:cs="Arial"/>
          <w:sz w:val="20"/>
        </w:rPr>
        <w:t>estimate</w:t>
      </w:r>
      <w:r w:rsidRPr="00EF416B" w:rsidR="00A02F1F">
        <w:rPr>
          <w:rFonts w:ascii="Arial" w:hAnsi="Arial" w:cs="Arial"/>
          <w:sz w:val="20"/>
        </w:rPr>
        <w:t xml:space="preserve"> </w:t>
      </w:r>
      <w:r w:rsidRPr="00EF416B" w:rsidR="00243A84">
        <w:rPr>
          <w:rFonts w:ascii="Arial" w:hAnsi="Arial" w:cs="Arial"/>
          <w:sz w:val="20"/>
        </w:rPr>
        <w:t xml:space="preserve">it takes </w:t>
      </w:r>
      <w:r w:rsidRPr="00EF416B" w:rsidR="00A470FD">
        <w:rPr>
          <w:rFonts w:ascii="Arial" w:hAnsi="Arial" w:cs="Arial"/>
          <w:sz w:val="20"/>
        </w:rPr>
        <w:t>80</w:t>
      </w:r>
      <w:r w:rsidRPr="00EF416B" w:rsidR="00243A84">
        <w:rPr>
          <w:rFonts w:ascii="Arial" w:hAnsi="Arial" w:cs="Arial"/>
          <w:sz w:val="20"/>
        </w:rPr>
        <w:t xml:space="preserve"> hours for a new plan, </w:t>
      </w:r>
      <w:r w:rsidRPr="00EF416B" w:rsidR="00A470FD">
        <w:rPr>
          <w:rFonts w:ascii="Arial" w:hAnsi="Arial" w:cs="Arial"/>
          <w:sz w:val="20"/>
        </w:rPr>
        <w:t>8</w:t>
      </w:r>
      <w:r w:rsidRPr="00EF416B" w:rsidR="00243A84">
        <w:rPr>
          <w:rFonts w:ascii="Arial" w:hAnsi="Arial" w:cs="Arial"/>
          <w:sz w:val="20"/>
        </w:rPr>
        <w:t xml:space="preserve"> hours for an annual review and </w:t>
      </w:r>
      <w:r w:rsidRPr="00EF416B" w:rsidR="00A470FD">
        <w:rPr>
          <w:rFonts w:ascii="Arial" w:hAnsi="Arial" w:cs="Arial"/>
          <w:sz w:val="20"/>
        </w:rPr>
        <w:t>12</w:t>
      </w:r>
      <w:r w:rsidRPr="00EF416B" w:rsidR="00243A84">
        <w:rPr>
          <w:rFonts w:ascii="Arial" w:hAnsi="Arial" w:cs="Arial"/>
          <w:sz w:val="20"/>
        </w:rPr>
        <w:t xml:space="preserve"> hours for a 5-year resubmit</w:t>
      </w:r>
      <w:r w:rsidR="00A02F1F">
        <w:rPr>
          <w:rFonts w:ascii="Arial" w:hAnsi="Arial" w:cs="Arial"/>
          <w:sz w:val="20"/>
        </w:rPr>
        <w:t>, and that a response specialist does the work.  We estimate the position of a response specialist is equivalent to a GS-13.</w:t>
      </w:r>
      <w:r w:rsidRPr="00EF416B" w:rsidR="00A02F1F">
        <w:rPr>
          <w:rFonts w:ascii="Arial" w:hAnsi="Arial" w:cs="Arial"/>
          <w:sz w:val="20"/>
        </w:rPr>
        <w:t xml:space="preserve">  </w:t>
      </w:r>
    </w:p>
    <w:p w:rsidRPr="00EF416B" w:rsidR="00120F09" w:rsidP="006C426C" w:rsidRDefault="00120F09">
      <w:pPr>
        <w:pStyle w:val="p12"/>
        <w:spacing w:line="240" w:lineRule="auto"/>
        <w:rPr>
          <w:rFonts w:ascii="Arial" w:hAnsi="Arial" w:cs="Arial"/>
          <w:sz w:val="20"/>
        </w:rPr>
      </w:pPr>
    </w:p>
    <w:p w:rsidR="00FE47BE" w:rsidP="00717A67" w:rsidRDefault="007A0BFE">
      <w:pPr>
        <w:pStyle w:val="p12"/>
        <w:spacing w:line="240" w:lineRule="auto"/>
        <w:rPr>
          <w:rFonts w:ascii="Arial" w:hAnsi="Arial" w:cs="Arial"/>
          <w:sz w:val="20"/>
        </w:rPr>
      </w:pPr>
      <w:r w:rsidRPr="00EF416B">
        <w:rPr>
          <w:rFonts w:ascii="Arial" w:hAnsi="Arial" w:cs="Arial"/>
          <w:sz w:val="20"/>
        </w:rPr>
        <w:t xml:space="preserve">The VRP paperwork includes documentation of salvage and marine firefighting (SMFF) resources/equipment.  Some SMFF resource providers have voluntarily elected to </w:t>
      </w:r>
      <w:r w:rsidRPr="00EF416B" w:rsidR="00120F09">
        <w:rPr>
          <w:rFonts w:ascii="Arial" w:hAnsi="Arial" w:cs="Arial"/>
          <w:sz w:val="20"/>
        </w:rPr>
        <w:t xml:space="preserve">annually </w:t>
      </w:r>
      <w:r w:rsidRPr="00EF416B">
        <w:rPr>
          <w:rFonts w:ascii="Arial" w:hAnsi="Arial" w:cs="Arial"/>
          <w:sz w:val="20"/>
        </w:rPr>
        <w:t xml:space="preserve">submit SMFF resource/equipment information to the CG to pre-vet </w:t>
      </w:r>
      <w:r w:rsidRPr="00EF416B" w:rsidR="00120F09">
        <w:rPr>
          <w:rFonts w:ascii="Arial" w:hAnsi="Arial" w:cs="Arial"/>
          <w:sz w:val="20"/>
        </w:rPr>
        <w:t xml:space="preserve">their companies.  These SMFF resource providers also undergo a voluntary quarterly review/verification of their resources/equipment.  We </w:t>
      </w:r>
      <w:r w:rsidR="00FE47BE">
        <w:rPr>
          <w:rFonts w:ascii="Arial" w:hAnsi="Arial" w:cs="Arial"/>
          <w:sz w:val="20"/>
        </w:rPr>
        <w:t>estimate</w:t>
      </w:r>
      <w:r w:rsidRPr="00EF416B" w:rsidR="00FE47BE">
        <w:rPr>
          <w:rFonts w:ascii="Arial" w:hAnsi="Arial" w:cs="Arial"/>
          <w:sz w:val="20"/>
        </w:rPr>
        <w:t xml:space="preserve"> </w:t>
      </w:r>
      <w:r w:rsidRPr="00EF416B" w:rsidR="00120F09">
        <w:rPr>
          <w:rFonts w:ascii="Arial" w:hAnsi="Arial" w:cs="Arial"/>
          <w:sz w:val="20"/>
        </w:rPr>
        <w:t>it takes 1,200 hours for an annual submission and 300 hours for a quarterly review/verification per SMFF resource provider</w:t>
      </w:r>
      <w:r w:rsidR="00FE47BE">
        <w:rPr>
          <w:rFonts w:ascii="Arial" w:hAnsi="Arial" w:cs="Arial"/>
          <w:sz w:val="20"/>
        </w:rPr>
        <w:t xml:space="preserve"> (with national coverage), and 4</w:t>
      </w:r>
      <w:r w:rsidRPr="00EF416B" w:rsidR="00FE47BE">
        <w:rPr>
          <w:rFonts w:ascii="Arial" w:hAnsi="Arial" w:cs="Arial"/>
          <w:sz w:val="20"/>
        </w:rPr>
        <w:t xml:space="preserve">00 hours for an annual submission and </w:t>
      </w:r>
      <w:r w:rsidR="00FE47BE">
        <w:rPr>
          <w:rFonts w:ascii="Arial" w:hAnsi="Arial" w:cs="Arial"/>
          <w:sz w:val="20"/>
        </w:rPr>
        <w:t>1</w:t>
      </w:r>
      <w:r w:rsidRPr="00EF416B" w:rsidR="00FE47BE">
        <w:rPr>
          <w:rFonts w:ascii="Arial" w:hAnsi="Arial" w:cs="Arial"/>
          <w:sz w:val="20"/>
        </w:rPr>
        <w:t>00 hours for a quarterly review/verification per SMFF resource provider</w:t>
      </w:r>
      <w:r w:rsidR="00FE47BE">
        <w:rPr>
          <w:rFonts w:ascii="Arial" w:hAnsi="Arial" w:cs="Arial"/>
          <w:sz w:val="20"/>
        </w:rPr>
        <w:t xml:space="preserve"> (with regional/local coverage),</w:t>
      </w:r>
      <w:r w:rsidRPr="00FE47BE" w:rsidR="00FE47BE">
        <w:rPr>
          <w:rFonts w:ascii="Arial" w:hAnsi="Arial" w:cs="Arial"/>
          <w:sz w:val="20"/>
        </w:rPr>
        <w:t xml:space="preserve"> </w:t>
      </w:r>
      <w:r w:rsidR="00FE47BE">
        <w:rPr>
          <w:rFonts w:ascii="Arial" w:hAnsi="Arial" w:cs="Arial"/>
          <w:sz w:val="20"/>
        </w:rPr>
        <w:t>and that a response specialist does the work.  We estimate the position of a response specialist is equivalent to a GS-13</w:t>
      </w:r>
      <w:r w:rsidRPr="00EF416B" w:rsidR="00120F09">
        <w:rPr>
          <w:rFonts w:ascii="Arial" w:hAnsi="Arial" w:cs="Arial"/>
          <w:sz w:val="20"/>
        </w:rPr>
        <w:t>.  For VRP planholder</w:t>
      </w:r>
      <w:r w:rsidRPr="00EF416B" w:rsidR="000C15CE">
        <w:rPr>
          <w:rFonts w:ascii="Arial" w:hAnsi="Arial" w:cs="Arial"/>
          <w:sz w:val="20"/>
        </w:rPr>
        <w:t>s</w:t>
      </w:r>
      <w:r w:rsidRPr="00EF416B" w:rsidR="00120F09">
        <w:rPr>
          <w:rFonts w:ascii="Arial" w:hAnsi="Arial" w:cs="Arial"/>
          <w:sz w:val="20"/>
        </w:rPr>
        <w:t xml:space="preserve"> that reference a SMFF resource provider’s documentation in place of selecting and documenting SMFF resources on their own, we assume that the </w:t>
      </w:r>
      <w:r w:rsidRPr="00EF416B" w:rsidR="00971A5D">
        <w:rPr>
          <w:rFonts w:ascii="Arial" w:hAnsi="Arial" w:cs="Arial"/>
          <w:sz w:val="20"/>
        </w:rPr>
        <w:t xml:space="preserve">VRP </w:t>
      </w:r>
      <w:r w:rsidRPr="00EF416B" w:rsidR="00120F09">
        <w:rPr>
          <w:rFonts w:ascii="Arial" w:hAnsi="Arial" w:cs="Arial"/>
          <w:sz w:val="20"/>
        </w:rPr>
        <w:t xml:space="preserve">burden is reduced.  In this instance, we assume it takes </w:t>
      </w:r>
      <w:r w:rsidRPr="00EF416B" w:rsidR="00A470FD">
        <w:rPr>
          <w:rFonts w:ascii="Arial" w:hAnsi="Arial" w:cs="Arial"/>
          <w:sz w:val="20"/>
        </w:rPr>
        <w:t>60</w:t>
      </w:r>
      <w:r w:rsidRPr="00EF416B" w:rsidR="00120F09">
        <w:rPr>
          <w:rFonts w:ascii="Arial" w:hAnsi="Arial" w:cs="Arial"/>
          <w:sz w:val="20"/>
        </w:rPr>
        <w:t xml:space="preserve"> hours for a new plan, </w:t>
      </w:r>
      <w:r w:rsidRPr="00EF416B" w:rsidR="00A470FD">
        <w:rPr>
          <w:rFonts w:ascii="Arial" w:hAnsi="Arial" w:cs="Arial"/>
          <w:sz w:val="20"/>
        </w:rPr>
        <w:t>6</w:t>
      </w:r>
      <w:r w:rsidRPr="00EF416B" w:rsidR="00120F09">
        <w:rPr>
          <w:rFonts w:ascii="Arial" w:hAnsi="Arial" w:cs="Arial"/>
          <w:sz w:val="20"/>
        </w:rPr>
        <w:t xml:space="preserve"> hours for an annual review and </w:t>
      </w:r>
      <w:r w:rsidRPr="00EF416B" w:rsidR="00A470FD">
        <w:rPr>
          <w:rFonts w:ascii="Arial" w:hAnsi="Arial" w:cs="Arial"/>
          <w:sz w:val="20"/>
        </w:rPr>
        <w:t>9</w:t>
      </w:r>
      <w:r w:rsidRPr="00EF416B" w:rsidR="00120F09">
        <w:rPr>
          <w:rFonts w:ascii="Arial" w:hAnsi="Arial" w:cs="Arial"/>
          <w:sz w:val="20"/>
        </w:rPr>
        <w:t xml:space="preserve"> hours for a 5-year resubmit.  </w:t>
      </w:r>
    </w:p>
    <w:p w:rsidR="00FE47BE" w:rsidP="00717A67" w:rsidRDefault="00FE47BE">
      <w:pPr>
        <w:pStyle w:val="p12"/>
        <w:spacing w:line="240" w:lineRule="auto"/>
        <w:rPr>
          <w:rFonts w:ascii="Arial" w:hAnsi="Arial" w:cs="Arial"/>
          <w:sz w:val="20"/>
        </w:rPr>
      </w:pPr>
    </w:p>
    <w:p w:rsidRPr="00EF416B" w:rsidR="006C426C" w:rsidP="00717A67" w:rsidRDefault="00717A67">
      <w:pPr>
        <w:pStyle w:val="p12"/>
        <w:spacing w:line="240" w:lineRule="auto"/>
        <w:rPr>
          <w:rFonts w:ascii="Arial" w:hAnsi="Arial" w:cs="Arial"/>
          <w:sz w:val="20"/>
        </w:rPr>
      </w:pPr>
      <w:r w:rsidRPr="00EF416B">
        <w:rPr>
          <w:rFonts w:ascii="Arial" w:hAnsi="Arial" w:cs="Arial"/>
          <w:sz w:val="20"/>
        </w:rPr>
        <w:t>In addition to the above VRP elements, the regulations also permit certain alternatives/waivers.  There are one-time port waiver</w:t>
      </w:r>
      <w:r w:rsidRPr="00EF416B" w:rsidR="009D43C5">
        <w:rPr>
          <w:rFonts w:ascii="Arial" w:hAnsi="Arial" w:cs="Arial"/>
          <w:sz w:val="20"/>
        </w:rPr>
        <w:t>s</w:t>
      </w:r>
      <w:r w:rsidRPr="00EF416B">
        <w:rPr>
          <w:rFonts w:ascii="Arial" w:hAnsi="Arial" w:cs="Arial"/>
          <w:sz w:val="20"/>
        </w:rPr>
        <w:t xml:space="preserve"> (33 CFR 155.1025(e)), Alternative Planning Criteria (33 CFR 155.1065(f)) and SMFF Waivers (33 CFR 155.4055)</w:t>
      </w:r>
      <w:r w:rsidRPr="00EF416B" w:rsidR="009D43C5">
        <w:rPr>
          <w:rFonts w:ascii="Arial" w:hAnsi="Arial" w:cs="Arial"/>
          <w:sz w:val="20"/>
        </w:rPr>
        <w:t>.</w:t>
      </w:r>
      <w:r w:rsidRPr="00EF416B">
        <w:rPr>
          <w:rFonts w:ascii="Arial" w:hAnsi="Arial" w:cs="Arial"/>
          <w:sz w:val="20"/>
        </w:rPr>
        <w:t xml:space="preserve">  We assume it take 1 hour, 5 hours and 2 hours respectively</w:t>
      </w:r>
      <w:r w:rsidRPr="00006B46" w:rsidR="00006B46">
        <w:rPr>
          <w:rFonts w:ascii="Arial" w:hAnsi="Arial" w:cs="Arial"/>
          <w:sz w:val="20"/>
        </w:rPr>
        <w:t xml:space="preserve"> </w:t>
      </w:r>
      <w:r w:rsidR="00006B46">
        <w:rPr>
          <w:rFonts w:ascii="Arial" w:hAnsi="Arial" w:cs="Arial"/>
          <w:sz w:val="20"/>
        </w:rPr>
        <w:t>and that a response specialist does the work.  We estimate the position of a response specialist is equivalent to a GS-13</w:t>
      </w:r>
      <w:r w:rsidRPr="00EF416B">
        <w:rPr>
          <w:rFonts w:ascii="Arial" w:hAnsi="Arial" w:cs="Arial"/>
          <w:sz w:val="20"/>
        </w:rPr>
        <w:t xml:space="preserve">.  </w:t>
      </w:r>
      <w:r w:rsidR="003627AF">
        <w:rPr>
          <w:rFonts w:ascii="Arial" w:hAnsi="Arial" w:cs="Arial"/>
          <w:sz w:val="20"/>
        </w:rPr>
        <w:t>Additionally, the VRP Express has a Search Tool to allow individuals to find VRP data.  We estimate that the tool is used 10 times per day</w:t>
      </w:r>
      <w:r w:rsidR="00006B46">
        <w:rPr>
          <w:rFonts w:ascii="Arial" w:hAnsi="Arial" w:cs="Arial"/>
          <w:sz w:val="20"/>
        </w:rPr>
        <w:t>,</w:t>
      </w:r>
      <w:r w:rsidR="003627AF">
        <w:rPr>
          <w:rFonts w:ascii="Arial" w:hAnsi="Arial" w:cs="Arial"/>
          <w:sz w:val="20"/>
        </w:rPr>
        <w:t xml:space="preserve"> that it takes about 10 minutes (0.167 hours) to use</w:t>
      </w:r>
      <w:r w:rsidR="00006B46">
        <w:rPr>
          <w:rFonts w:ascii="Arial" w:hAnsi="Arial" w:cs="Arial"/>
          <w:sz w:val="20"/>
        </w:rPr>
        <w:t xml:space="preserve">, and that the user is equivalent to a GS-13.  </w:t>
      </w:r>
      <w:r w:rsidRPr="00EF416B" w:rsidR="006C426C">
        <w:rPr>
          <w:rFonts w:ascii="Arial" w:hAnsi="Arial" w:cs="Arial"/>
          <w:sz w:val="20"/>
        </w:rPr>
        <w:t xml:space="preserve">The calculations for </w:t>
      </w:r>
      <w:r w:rsidRPr="00EF416B">
        <w:rPr>
          <w:rFonts w:ascii="Arial" w:hAnsi="Arial" w:cs="Arial"/>
          <w:sz w:val="20"/>
        </w:rPr>
        <w:t xml:space="preserve">all </w:t>
      </w:r>
      <w:r w:rsidRPr="00EF416B" w:rsidR="006C426C">
        <w:rPr>
          <w:rFonts w:ascii="Arial" w:hAnsi="Arial" w:cs="Arial"/>
          <w:sz w:val="20"/>
        </w:rPr>
        <w:t xml:space="preserve">the </w:t>
      </w:r>
      <w:r w:rsidRPr="00EF416B" w:rsidR="0026126D">
        <w:rPr>
          <w:rFonts w:ascii="Arial" w:hAnsi="Arial" w:cs="Arial"/>
          <w:sz w:val="20"/>
        </w:rPr>
        <w:t>V</w:t>
      </w:r>
      <w:r w:rsidRPr="00EF416B" w:rsidR="006C426C">
        <w:rPr>
          <w:rFonts w:ascii="Arial" w:hAnsi="Arial" w:cs="Arial"/>
          <w:sz w:val="20"/>
        </w:rPr>
        <w:t xml:space="preserve">RP reporting/recordkeeping elements are found in Appendix </w:t>
      </w:r>
      <w:r w:rsidRPr="00EF416B" w:rsidR="0091486A">
        <w:rPr>
          <w:rFonts w:ascii="Arial" w:hAnsi="Arial" w:cs="Arial"/>
          <w:sz w:val="20"/>
        </w:rPr>
        <w:t>B</w:t>
      </w:r>
      <w:r w:rsidRPr="00EF416B" w:rsidR="006C426C">
        <w:rPr>
          <w:rFonts w:ascii="Arial" w:hAnsi="Arial" w:cs="Arial"/>
          <w:sz w:val="20"/>
        </w:rPr>
        <w:t xml:space="preserve">.  </w:t>
      </w:r>
    </w:p>
    <w:p w:rsidRPr="00EF416B" w:rsidR="00143425" w:rsidP="006C426C" w:rsidRDefault="00143425">
      <w:pPr>
        <w:pStyle w:val="p12"/>
        <w:spacing w:line="240" w:lineRule="auto"/>
        <w:rPr>
          <w:rFonts w:ascii="Arial" w:hAnsi="Arial" w:cs="Arial"/>
          <w:sz w:val="20"/>
        </w:rPr>
      </w:pPr>
    </w:p>
    <w:p w:rsidRPr="00EF416B" w:rsidR="009C526C" w:rsidRDefault="009C526C">
      <w:pPr>
        <w:pStyle w:val="p12"/>
        <w:spacing w:line="240" w:lineRule="auto"/>
        <w:rPr>
          <w:rFonts w:ascii="Arial" w:hAnsi="Arial" w:cs="Arial"/>
          <w:sz w:val="20"/>
        </w:rPr>
      </w:pPr>
      <w:r w:rsidRPr="00EF416B">
        <w:rPr>
          <w:rFonts w:ascii="Arial" w:hAnsi="Arial" w:cs="Arial"/>
          <w:b/>
          <w:sz w:val="20"/>
          <w:u w:val="single"/>
        </w:rPr>
        <w:t>PWS</w:t>
      </w:r>
      <w:r w:rsidRPr="00317583">
        <w:rPr>
          <w:rFonts w:ascii="Arial" w:hAnsi="Arial" w:cs="Arial"/>
          <w:b/>
          <w:sz w:val="20"/>
        </w:rPr>
        <w:t>:</w:t>
      </w:r>
      <w:r w:rsidRPr="00EF416B">
        <w:rPr>
          <w:rFonts w:ascii="Arial" w:hAnsi="Arial" w:cs="Arial"/>
          <w:sz w:val="20"/>
        </w:rPr>
        <w:t xml:space="preserve">  </w:t>
      </w:r>
      <w:r w:rsidRPr="00EF416B" w:rsidR="009D0B0D">
        <w:rPr>
          <w:rFonts w:ascii="Arial" w:hAnsi="Arial" w:cs="Arial"/>
          <w:sz w:val="20"/>
        </w:rPr>
        <w:t>It is assumed that t</w:t>
      </w:r>
      <w:r w:rsidRPr="00EF416B">
        <w:rPr>
          <w:rFonts w:ascii="Arial" w:hAnsi="Arial" w:cs="Arial"/>
          <w:sz w:val="20"/>
        </w:rPr>
        <w:t xml:space="preserve">here </w:t>
      </w:r>
      <w:r w:rsidRPr="00EF416B" w:rsidR="009D0B0D">
        <w:rPr>
          <w:rFonts w:ascii="Arial" w:hAnsi="Arial" w:cs="Arial"/>
          <w:sz w:val="20"/>
        </w:rPr>
        <w:t>is</w:t>
      </w:r>
      <w:r w:rsidRPr="00EF416B">
        <w:rPr>
          <w:rFonts w:ascii="Arial" w:hAnsi="Arial" w:cs="Arial"/>
          <w:sz w:val="20"/>
        </w:rPr>
        <w:t xml:space="preserve"> one spill response organization working in </w:t>
      </w:r>
      <w:r w:rsidRPr="00EF416B" w:rsidR="009D0B0D">
        <w:rPr>
          <w:rFonts w:ascii="Arial" w:hAnsi="Arial" w:cs="Arial"/>
          <w:sz w:val="20"/>
        </w:rPr>
        <w:t>PWS</w:t>
      </w:r>
      <w:r w:rsidRPr="00EF416B">
        <w:rPr>
          <w:rFonts w:ascii="Arial" w:hAnsi="Arial" w:cs="Arial"/>
          <w:sz w:val="20"/>
        </w:rPr>
        <w:t>.  It serve</w:t>
      </w:r>
      <w:r w:rsidRPr="00EF416B" w:rsidR="009D0B0D">
        <w:rPr>
          <w:rFonts w:ascii="Arial" w:hAnsi="Arial" w:cs="Arial"/>
          <w:sz w:val="20"/>
        </w:rPr>
        <w:t>s</w:t>
      </w:r>
      <w:r w:rsidRPr="00EF416B">
        <w:rPr>
          <w:rFonts w:ascii="Arial" w:hAnsi="Arial" w:cs="Arial"/>
          <w:sz w:val="20"/>
        </w:rPr>
        <w:t xml:space="preserve"> the TAPS traffic and includes large tankers receiving oil at the Valdez terminal.  </w:t>
      </w:r>
      <w:r w:rsidR="00006B46">
        <w:rPr>
          <w:rFonts w:ascii="Arial" w:hAnsi="Arial" w:cs="Arial"/>
          <w:sz w:val="20"/>
        </w:rPr>
        <w:t xml:space="preserve">We estimate that the technical activities are done by planning specialist (equivalent to a GS-10), and the clerical activities are done by an administrative specialist (equivalent to a cadet).  </w:t>
      </w:r>
      <w:r w:rsidRPr="00EF416B" w:rsidR="009D0B0D">
        <w:rPr>
          <w:rFonts w:ascii="Arial" w:hAnsi="Arial" w:cs="Arial"/>
          <w:sz w:val="20"/>
        </w:rPr>
        <w:t xml:space="preserve">The calculations for the PWS reporting/recordkeeping elements are found in Appendix </w:t>
      </w:r>
      <w:r w:rsidRPr="00EF416B" w:rsidR="00930C23">
        <w:rPr>
          <w:rFonts w:ascii="Arial" w:hAnsi="Arial" w:cs="Arial"/>
          <w:sz w:val="20"/>
        </w:rPr>
        <w:t>C</w:t>
      </w:r>
      <w:r w:rsidRPr="00EF416B" w:rsidR="009D0B0D">
        <w:rPr>
          <w:rFonts w:ascii="Arial" w:hAnsi="Arial" w:cs="Arial"/>
          <w:sz w:val="20"/>
        </w:rPr>
        <w:t>.</w:t>
      </w:r>
    </w:p>
    <w:p w:rsidRPr="00EF416B" w:rsidR="009C526C" w:rsidRDefault="009C526C">
      <w:pPr>
        <w:pStyle w:val="p12"/>
        <w:spacing w:line="240" w:lineRule="auto"/>
        <w:rPr>
          <w:rFonts w:ascii="Arial" w:hAnsi="Arial" w:cs="Arial"/>
          <w:sz w:val="20"/>
        </w:rPr>
      </w:pPr>
    </w:p>
    <w:p w:rsidRPr="00EF416B" w:rsidR="009D0B0D" w:rsidP="009D0B0D" w:rsidRDefault="0091486A">
      <w:pPr>
        <w:pStyle w:val="p12"/>
        <w:spacing w:line="240" w:lineRule="auto"/>
        <w:rPr>
          <w:rFonts w:ascii="Arial" w:hAnsi="Arial" w:cs="Arial"/>
          <w:sz w:val="20"/>
        </w:rPr>
      </w:pPr>
      <w:r w:rsidRPr="00EF416B">
        <w:rPr>
          <w:rFonts w:ascii="Arial" w:hAnsi="Arial" w:cs="Arial"/>
          <w:b/>
          <w:sz w:val="20"/>
          <w:u w:val="single"/>
        </w:rPr>
        <w:t>SOPEP/SMPEP</w:t>
      </w:r>
      <w:r w:rsidRPr="00317583" w:rsidR="009C526C">
        <w:rPr>
          <w:rFonts w:ascii="Arial" w:hAnsi="Arial" w:cs="Arial"/>
          <w:b/>
          <w:sz w:val="20"/>
        </w:rPr>
        <w:t>:</w:t>
      </w:r>
      <w:r w:rsidRPr="00EF416B" w:rsidR="009C526C">
        <w:rPr>
          <w:rFonts w:ascii="Arial" w:hAnsi="Arial" w:cs="Arial"/>
          <w:sz w:val="20"/>
        </w:rPr>
        <w:t xml:space="preserve">  </w:t>
      </w:r>
      <w:r w:rsidRPr="00EF416B" w:rsidR="009D0B0D">
        <w:rPr>
          <w:rFonts w:ascii="Arial" w:hAnsi="Arial" w:cs="Arial"/>
          <w:sz w:val="20"/>
        </w:rPr>
        <w:t xml:space="preserve">There are a number of tank and nontank vessels that are subject to </w:t>
      </w:r>
      <w:r w:rsidRPr="00EF416B">
        <w:rPr>
          <w:rFonts w:ascii="Arial" w:hAnsi="Arial" w:cs="Arial"/>
          <w:sz w:val="20"/>
        </w:rPr>
        <w:t>these</w:t>
      </w:r>
      <w:r w:rsidRPr="00EF416B" w:rsidR="009D0B0D">
        <w:rPr>
          <w:rFonts w:ascii="Arial" w:hAnsi="Arial" w:cs="Arial"/>
          <w:sz w:val="20"/>
        </w:rPr>
        <w:t xml:space="preserve"> requirements.  It is assumed that the number of vessels remains constant due to the mature nature of the industry.  However, </w:t>
      </w:r>
      <w:r w:rsidRPr="00EF416B" w:rsidR="000C15CE">
        <w:rPr>
          <w:rFonts w:ascii="Arial" w:hAnsi="Arial" w:cs="Arial"/>
          <w:sz w:val="20"/>
        </w:rPr>
        <w:t xml:space="preserve">as </w:t>
      </w:r>
      <w:r w:rsidRPr="00EF416B" w:rsidR="009D0B0D">
        <w:rPr>
          <w:rFonts w:ascii="Arial" w:hAnsi="Arial" w:cs="Arial"/>
          <w:sz w:val="20"/>
        </w:rPr>
        <w:t xml:space="preserve">vessels are sold and new ones are built as older ones are taken out of service, there we assume that 10% of the vessel population will submit new </w:t>
      </w:r>
      <w:r w:rsidRPr="00EF416B">
        <w:rPr>
          <w:rFonts w:ascii="Arial" w:hAnsi="Arial" w:cs="Arial"/>
          <w:sz w:val="20"/>
        </w:rPr>
        <w:t>plans</w:t>
      </w:r>
      <w:r w:rsidRPr="00EF416B" w:rsidR="009D0B0D">
        <w:rPr>
          <w:rFonts w:ascii="Arial" w:hAnsi="Arial" w:cs="Arial"/>
          <w:sz w:val="20"/>
        </w:rPr>
        <w:t xml:space="preserve"> each year.  The paperwork requirements consist of the preparation and submission of new </w:t>
      </w:r>
      <w:r w:rsidRPr="00EF416B">
        <w:rPr>
          <w:rFonts w:ascii="Arial" w:hAnsi="Arial" w:cs="Arial"/>
          <w:sz w:val="20"/>
        </w:rPr>
        <w:t>plans</w:t>
      </w:r>
      <w:r w:rsidRPr="00EF416B" w:rsidR="009D0B0D">
        <w:rPr>
          <w:rFonts w:ascii="Arial" w:hAnsi="Arial" w:cs="Arial"/>
          <w:sz w:val="20"/>
        </w:rPr>
        <w:t xml:space="preserve">, the annual review of existing </w:t>
      </w:r>
      <w:r w:rsidRPr="00EF416B">
        <w:rPr>
          <w:rFonts w:ascii="Arial" w:hAnsi="Arial" w:cs="Arial"/>
          <w:sz w:val="20"/>
        </w:rPr>
        <w:t>plans</w:t>
      </w:r>
      <w:r w:rsidRPr="00EF416B" w:rsidR="009D0B0D">
        <w:rPr>
          <w:rFonts w:ascii="Arial" w:hAnsi="Arial" w:cs="Arial"/>
          <w:sz w:val="20"/>
        </w:rPr>
        <w:t xml:space="preserve">, and the 5-year resubmit of existing </w:t>
      </w:r>
      <w:r w:rsidRPr="00EF416B">
        <w:rPr>
          <w:rFonts w:ascii="Arial" w:hAnsi="Arial" w:cs="Arial"/>
          <w:sz w:val="20"/>
        </w:rPr>
        <w:t>plans</w:t>
      </w:r>
      <w:r w:rsidRPr="00EF416B" w:rsidR="009D0B0D">
        <w:rPr>
          <w:rFonts w:ascii="Arial" w:hAnsi="Arial" w:cs="Arial"/>
          <w:sz w:val="20"/>
        </w:rPr>
        <w:t xml:space="preserve">.  </w:t>
      </w:r>
      <w:r w:rsidRPr="00EF416B" w:rsidR="00243A84">
        <w:rPr>
          <w:rFonts w:ascii="Arial" w:hAnsi="Arial" w:cs="Arial"/>
          <w:sz w:val="20"/>
        </w:rPr>
        <w:t xml:space="preserve">We </w:t>
      </w:r>
      <w:r w:rsidR="00FF7CA3">
        <w:rPr>
          <w:rFonts w:ascii="Arial" w:hAnsi="Arial" w:cs="Arial"/>
          <w:sz w:val="20"/>
        </w:rPr>
        <w:t>estimate</w:t>
      </w:r>
      <w:r w:rsidRPr="00EF416B" w:rsidR="00FF7CA3">
        <w:rPr>
          <w:rFonts w:ascii="Arial" w:hAnsi="Arial" w:cs="Arial"/>
          <w:sz w:val="20"/>
        </w:rPr>
        <w:t xml:space="preserve"> </w:t>
      </w:r>
      <w:r w:rsidRPr="00EF416B" w:rsidR="00243A84">
        <w:rPr>
          <w:rFonts w:ascii="Arial" w:hAnsi="Arial" w:cs="Arial"/>
          <w:sz w:val="20"/>
        </w:rPr>
        <w:t xml:space="preserve">it takes </w:t>
      </w:r>
      <w:r w:rsidRPr="00EF416B" w:rsidR="00A470FD">
        <w:rPr>
          <w:rFonts w:ascii="Arial" w:hAnsi="Arial" w:cs="Arial"/>
          <w:sz w:val="20"/>
        </w:rPr>
        <w:t>40</w:t>
      </w:r>
      <w:r w:rsidRPr="00EF416B" w:rsidR="00243A84">
        <w:rPr>
          <w:rFonts w:ascii="Arial" w:hAnsi="Arial" w:cs="Arial"/>
          <w:sz w:val="20"/>
        </w:rPr>
        <w:t xml:space="preserve"> hours for a new plan, </w:t>
      </w:r>
      <w:r w:rsidRPr="00EF416B" w:rsidR="00A470FD">
        <w:rPr>
          <w:rFonts w:ascii="Arial" w:hAnsi="Arial" w:cs="Arial"/>
          <w:sz w:val="20"/>
        </w:rPr>
        <w:t>4</w:t>
      </w:r>
      <w:r w:rsidRPr="00EF416B" w:rsidR="00243A84">
        <w:rPr>
          <w:rFonts w:ascii="Arial" w:hAnsi="Arial" w:cs="Arial"/>
          <w:sz w:val="20"/>
        </w:rPr>
        <w:t xml:space="preserve"> hours for an annual review and </w:t>
      </w:r>
      <w:r w:rsidRPr="00EF416B" w:rsidR="00A470FD">
        <w:rPr>
          <w:rFonts w:ascii="Arial" w:hAnsi="Arial" w:cs="Arial"/>
          <w:sz w:val="20"/>
        </w:rPr>
        <w:t>6</w:t>
      </w:r>
      <w:r w:rsidRPr="00EF416B" w:rsidR="00243A84">
        <w:rPr>
          <w:rFonts w:ascii="Arial" w:hAnsi="Arial" w:cs="Arial"/>
          <w:sz w:val="20"/>
        </w:rPr>
        <w:t xml:space="preserve"> hours for a 5-year resubmit.  </w:t>
      </w:r>
      <w:r w:rsidRPr="00EF416B" w:rsidR="00305945">
        <w:rPr>
          <w:rFonts w:ascii="Arial" w:hAnsi="Arial" w:cs="Arial"/>
          <w:sz w:val="20"/>
        </w:rPr>
        <w:t xml:space="preserve">For VRP planholders that voluntarily elect to submit a combined VRP with their SOPEP/SMPEP, we </w:t>
      </w:r>
      <w:r w:rsidR="00FF7CA3">
        <w:rPr>
          <w:rFonts w:ascii="Arial" w:hAnsi="Arial" w:cs="Arial"/>
          <w:sz w:val="20"/>
        </w:rPr>
        <w:t>estimate</w:t>
      </w:r>
      <w:r w:rsidRPr="00EF416B" w:rsidR="00FF7CA3">
        <w:rPr>
          <w:rFonts w:ascii="Arial" w:hAnsi="Arial" w:cs="Arial"/>
          <w:sz w:val="20"/>
        </w:rPr>
        <w:t xml:space="preserve"> </w:t>
      </w:r>
      <w:r w:rsidRPr="00EF416B" w:rsidR="00305945">
        <w:rPr>
          <w:rFonts w:ascii="Arial" w:hAnsi="Arial" w:cs="Arial"/>
          <w:sz w:val="20"/>
        </w:rPr>
        <w:t xml:space="preserve">that there is no added burden for the VRP and that the burden is reduced for the SOPEP/SMPEP.  In this instance, we </w:t>
      </w:r>
      <w:r w:rsidR="00FF7CA3">
        <w:rPr>
          <w:rFonts w:ascii="Arial" w:hAnsi="Arial" w:cs="Arial"/>
          <w:sz w:val="20"/>
        </w:rPr>
        <w:t>estimate</w:t>
      </w:r>
      <w:r w:rsidRPr="00EF416B" w:rsidR="00FF7CA3">
        <w:rPr>
          <w:rFonts w:ascii="Arial" w:hAnsi="Arial" w:cs="Arial"/>
          <w:sz w:val="20"/>
        </w:rPr>
        <w:t xml:space="preserve"> </w:t>
      </w:r>
      <w:r w:rsidRPr="00EF416B" w:rsidR="00305945">
        <w:rPr>
          <w:rFonts w:ascii="Arial" w:hAnsi="Arial" w:cs="Arial"/>
          <w:sz w:val="20"/>
        </w:rPr>
        <w:t xml:space="preserve">it takes </w:t>
      </w:r>
      <w:r w:rsidRPr="00EF416B" w:rsidR="00A470FD">
        <w:rPr>
          <w:rFonts w:ascii="Arial" w:hAnsi="Arial" w:cs="Arial"/>
          <w:sz w:val="20"/>
        </w:rPr>
        <w:t>20</w:t>
      </w:r>
      <w:r w:rsidRPr="00EF416B" w:rsidR="00305945">
        <w:rPr>
          <w:rFonts w:ascii="Arial" w:hAnsi="Arial" w:cs="Arial"/>
          <w:sz w:val="20"/>
        </w:rPr>
        <w:t xml:space="preserve"> hours for a new plan, </w:t>
      </w:r>
      <w:r w:rsidRPr="00EF416B" w:rsidR="00A470FD">
        <w:rPr>
          <w:rFonts w:ascii="Arial" w:hAnsi="Arial" w:cs="Arial"/>
          <w:sz w:val="20"/>
        </w:rPr>
        <w:t>2</w:t>
      </w:r>
      <w:r w:rsidRPr="00EF416B" w:rsidR="00305945">
        <w:rPr>
          <w:rFonts w:ascii="Arial" w:hAnsi="Arial" w:cs="Arial"/>
          <w:sz w:val="20"/>
        </w:rPr>
        <w:t xml:space="preserve"> hours for an annual review and </w:t>
      </w:r>
      <w:r w:rsidRPr="00EF416B" w:rsidR="00A470FD">
        <w:rPr>
          <w:rFonts w:ascii="Arial" w:hAnsi="Arial" w:cs="Arial"/>
          <w:sz w:val="20"/>
        </w:rPr>
        <w:t>3</w:t>
      </w:r>
      <w:r w:rsidRPr="00EF416B" w:rsidR="00305945">
        <w:rPr>
          <w:rFonts w:ascii="Arial" w:hAnsi="Arial" w:cs="Arial"/>
          <w:sz w:val="20"/>
        </w:rPr>
        <w:t xml:space="preserve"> hours for a 5-year resubmit</w:t>
      </w:r>
      <w:r w:rsidR="00FF7CA3">
        <w:rPr>
          <w:rFonts w:ascii="Arial" w:hAnsi="Arial" w:cs="Arial"/>
          <w:sz w:val="20"/>
        </w:rPr>
        <w:t xml:space="preserve">, and that a response specialist does the work.  We estimate the position of a response specialist is equivalent to a GS-13.  </w:t>
      </w:r>
      <w:r w:rsidRPr="00EF416B" w:rsidR="009D0B0D">
        <w:rPr>
          <w:rFonts w:ascii="Arial" w:hAnsi="Arial" w:cs="Arial"/>
          <w:sz w:val="20"/>
        </w:rPr>
        <w:t xml:space="preserve">The calculations for the </w:t>
      </w:r>
      <w:r w:rsidRPr="00EF416B">
        <w:rPr>
          <w:rFonts w:ascii="Arial" w:hAnsi="Arial" w:cs="Arial"/>
          <w:sz w:val="20"/>
        </w:rPr>
        <w:t xml:space="preserve">SOPEP/SMPEP </w:t>
      </w:r>
      <w:r w:rsidRPr="00EF416B" w:rsidR="009D0B0D">
        <w:rPr>
          <w:rFonts w:ascii="Arial" w:hAnsi="Arial" w:cs="Arial"/>
          <w:sz w:val="20"/>
        </w:rPr>
        <w:t xml:space="preserve">reporting/recordkeeping elements are found in Appendix </w:t>
      </w:r>
      <w:r w:rsidRPr="00EF416B" w:rsidR="00930C23">
        <w:rPr>
          <w:rFonts w:ascii="Arial" w:hAnsi="Arial" w:cs="Arial"/>
          <w:sz w:val="20"/>
        </w:rPr>
        <w:t>D</w:t>
      </w:r>
      <w:r w:rsidRPr="00EF416B" w:rsidR="009D0B0D">
        <w:rPr>
          <w:rFonts w:ascii="Arial" w:hAnsi="Arial" w:cs="Arial"/>
          <w:sz w:val="20"/>
        </w:rPr>
        <w:t>.</w:t>
      </w:r>
      <w:r w:rsidRPr="00EF416B" w:rsidR="00937A12">
        <w:rPr>
          <w:rFonts w:ascii="Arial" w:hAnsi="Arial" w:cs="Arial"/>
          <w:sz w:val="20"/>
        </w:rPr>
        <w:t xml:space="preserve">  </w:t>
      </w:r>
    </w:p>
    <w:p w:rsidRPr="00EF416B" w:rsidR="00BB72C5" w:rsidP="009D0B0D" w:rsidRDefault="00BB72C5">
      <w:pPr>
        <w:pStyle w:val="p12"/>
        <w:spacing w:line="240" w:lineRule="auto"/>
        <w:rPr>
          <w:rFonts w:ascii="Arial" w:hAnsi="Arial" w:cs="Arial"/>
          <w:sz w:val="20"/>
        </w:rPr>
      </w:pPr>
    </w:p>
    <w:p w:rsidRPr="00EF416B" w:rsidR="0091486A" w:rsidRDefault="0091486A">
      <w:pPr>
        <w:pStyle w:val="p12"/>
        <w:spacing w:line="240" w:lineRule="auto"/>
        <w:rPr>
          <w:rFonts w:ascii="Arial" w:hAnsi="Arial" w:cs="Arial"/>
          <w:sz w:val="20"/>
        </w:rPr>
      </w:pPr>
      <w:r w:rsidRPr="00EF416B">
        <w:rPr>
          <w:rFonts w:ascii="Arial" w:hAnsi="Arial" w:cs="Arial"/>
          <w:b/>
          <w:sz w:val="20"/>
          <w:u w:val="single"/>
        </w:rPr>
        <w:t>Summary</w:t>
      </w:r>
      <w:r w:rsidRPr="00317583">
        <w:rPr>
          <w:rFonts w:ascii="Arial" w:hAnsi="Arial" w:cs="Arial"/>
          <w:b/>
          <w:sz w:val="20"/>
        </w:rPr>
        <w:t>:</w:t>
      </w:r>
      <w:r w:rsidRPr="00EF416B">
        <w:rPr>
          <w:rFonts w:ascii="Arial" w:hAnsi="Arial" w:cs="Arial"/>
          <w:sz w:val="20"/>
        </w:rPr>
        <w:t xml:space="preserve">  A summary of </w:t>
      </w:r>
      <w:r w:rsidRPr="00EF416B" w:rsidR="00971A5D">
        <w:rPr>
          <w:rFonts w:ascii="Arial" w:hAnsi="Arial" w:cs="Arial"/>
          <w:sz w:val="20"/>
        </w:rPr>
        <w:t>respondents,</w:t>
      </w:r>
      <w:r w:rsidRPr="00EF416B">
        <w:rPr>
          <w:rFonts w:ascii="Arial" w:hAnsi="Arial" w:cs="Arial"/>
          <w:sz w:val="20"/>
        </w:rPr>
        <w:t xml:space="preserve"> responses, hour and cost burden is found in Appendix</w:t>
      </w:r>
      <w:r w:rsidRPr="00EF416B" w:rsidR="00971A5D">
        <w:rPr>
          <w:rFonts w:ascii="Arial" w:hAnsi="Arial" w:cs="Arial"/>
          <w:sz w:val="20"/>
        </w:rPr>
        <w:t> </w:t>
      </w:r>
      <w:r w:rsidRPr="00EF416B">
        <w:rPr>
          <w:rFonts w:ascii="Arial" w:hAnsi="Arial" w:cs="Arial"/>
          <w:sz w:val="20"/>
        </w:rPr>
        <w:t xml:space="preserve">E.  </w:t>
      </w:r>
    </w:p>
    <w:p w:rsidRPr="00EF416B" w:rsidR="007C313E" w:rsidRDefault="007C313E">
      <w:pPr>
        <w:rPr>
          <w:rFonts w:ascii="Arial" w:hAnsi="Arial" w:cs="Arial"/>
          <w:sz w:val="20"/>
        </w:rPr>
      </w:pPr>
    </w:p>
    <w:p w:rsidRPr="00EF416B" w:rsidR="009C526C" w:rsidRDefault="009C526C">
      <w:pPr>
        <w:rPr>
          <w:rFonts w:ascii="Arial" w:hAnsi="Arial" w:cs="Arial"/>
          <w:sz w:val="20"/>
          <w:u w:val="single"/>
        </w:rPr>
      </w:pPr>
      <w:r w:rsidRPr="00EF416B">
        <w:rPr>
          <w:rFonts w:ascii="Arial" w:hAnsi="Arial" w:cs="Arial"/>
          <w:sz w:val="20"/>
        </w:rPr>
        <w:t>13.</w:t>
      </w:r>
      <w:r w:rsidRPr="00EF416B" w:rsidR="004D6CCC">
        <w:rPr>
          <w:rFonts w:ascii="Arial" w:hAnsi="Arial" w:cs="Arial"/>
          <w:sz w:val="20"/>
        </w:rPr>
        <w:t xml:space="preserve">  </w:t>
      </w:r>
      <w:r w:rsidR="007E3F45">
        <w:rPr>
          <w:rFonts w:ascii="Arial" w:hAnsi="Arial" w:cs="Arial"/>
          <w:sz w:val="20"/>
          <w:u w:val="single"/>
        </w:rPr>
        <w:t xml:space="preserve">Total </w:t>
      </w:r>
      <w:r w:rsidRPr="00EF416B">
        <w:rPr>
          <w:rFonts w:ascii="Arial" w:hAnsi="Arial" w:cs="Arial"/>
          <w:sz w:val="20"/>
          <w:u w:val="single"/>
        </w:rPr>
        <w:t>annualized capital and start-up costs</w:t>
      </w:r>
      <w:r w:rsidRPr="00EF416B">
        <w:rPr>
          <w:rFonts w:ascii="Arial" w:hAnsi="Arial" w:cs="Arial"/>
          <w:sz w:val="20"/>
        </w:rPr>
        <w:t xml:space="preserve">. </w:t>
      </w:r>
      <w:r w:rsidRPr="00EF416B">
        <w:rPr>
          <w:rFonts w:ascii="Arial" w:hAnsi="Arial" w:cs="Arial"/>
          <w:sz w:val="20"/>
          <w:u w:val="single"/>
        </w:rPr>
        <w:t xml:space="preserve"> </w:t>
      </w:r>
    </w:p>
    <w:p w:rsidRPr="00EF416B" w:rsidR="009C526C" w:rsidRDefault="009C526C">
      <w:pPr>
        <w:rPr>
          <w:rFonts w:ascii="Arial" w:hAnsi="Arial" w:cs="Arial"/>
          <w:sz w:val="20"/>
        </w:rPr>
      </w:pPr>
    </w:p>
    <w:p w:rsidRPr="00EF416B" w:rsidR="009C526C" w:rsidRDefault="00884D2E">
      <w:pPr>
        <w:rPr>
          <w:rFonts w:ascii="Arial" w:hAnsi="Arial" w:cs="Arial"/>
          <w:sz w:val="20"/>
        </w:rPr>
      </w:pPr>
      <w:r w:rsidRPr="00EF416B">
        <w:rPr>
          <w:rFonts w:ascii="Arial" w:hAnsi="Arial" w:cs="Arial"/>
          <w:sz w:val="20"/>
        </w:rPr>
        <w:t>There are no annualized capital and start-up costs</w:t>
      </w:r>
      <w:r w:rsidRPr="00EF416B" w:rsidR="0051162A">
        <w:rPr>
          <w:rFonts w:ascii="Arial" w:hAnsi="Arial" w:cs="Arial"/>
          <w:sz w:val="20"/>
        </w:rPr>
        <w:t xml:space="preserve"> associated with this information collection</w:t>
      </w:r>
      <w:r w:rsidRPr="00EF416B">
        <w:rPr>
          <w:rFonts w:ascii="Arial" w:hAnsi="Arial" w:cs="Arial"/>
          <w:sz w:val="20"/>
        </w:rPr>
        <w:t>.</w:t>
      </w:r>
    </w:p>
    <w:p w:rsidRPr="00EF416B" w:rsidR="009C526C" w:rsidRDefault="009C526C">
      <w:pPr>
        <w:rPr>
          <w:rFonts w:ascii="Arial" w:hAnsi="Arial" w:cs="Arial"/>
          <w:sz w:val="20"/>
        </w:rPr>
      </w:pPr>
    </w:p>
    <w:p w:rsidRPr="00EF416B" w:rsidR="009C526C" w:rsidRDefault="009C526C">
      <w:pPr>
        <w:rPr>
          <w:rFonts w:ascii="Arial" w:hAnsi="Arial" w:cs="Arial"/>
          <w:sz w:val="20"/>
        </w:rPr>
      </w:pPr>
      <w:r w:rsidRPr="00EF416B">
        <w:rPr>
          <w:rFonts w:ascii="Arial" w:hAnsi="Arial" w:cs="Arial"/>
          <w:sz w:val="20"/>
        </w:rPr>
        <w:t xml:space="preserve">14. </w:t>
      </w:r>
      <w:r w:rsidRPr="00EF416B" w:rsidR="004D6CCC">
        <w:rPr>
          <w:rFonts w:ascii="Arial" w:hAnsi="Arial" w:cs="Arial"/>
          <w:sz w:val="20"/>
        </w:rPr>
        <w:t xml:space="preserve"> </w:t>
      </w:r>
      <w:r w:rsidRPr="00EF416B">
        <w:rPr>
          <w:rFonts w:ascii="Arial" w:hAnsi="Arial" w:cs="Arial"/>
          <w:sz w:val="20"/>
          <w:u w:val="single"/>
        </w:rPr>
        <w:t xml:space="preserve">Estimates of annualized Federal </w:t>
      </w:r>
      <w:r w:rsidR="007E3F45">
        <w:rPr>
          <w:rFonts w:ascii="Arial" w:hAnsi="Arial" w:cs="Arial"/>
          <w:sz w:val="20"/>
          <w:u w:val="single"/>
        </w:rPr>
        <w:t>G</w:t>
      </w:r>
      <w:r w:rsidRPr="00EF416B">
        <w:rPr>
          <w:rFonts w:ascii="Arial" w:hAnsi="Arial" w:cs="Arial"/>
          <w:sz w:val="20"/>
          <w:u w:val="single"/>
        </w:rPr>
        <w:t>overnment costs</w:t>
      </w:r>
      <w:r w:rsidRPr="00EF416B">
        <w:rPr>
          <w:rFonts w:ascii="Arial" w:hAnsi="Arial" w:cs="Arial"/>
          <w:sz w:val="20"/>
        </w:rPr>
        <w:t>.</w:t>
      </w:r>
      <w:r w:rsidR="007E3F45">
        <w:rPr>
          <w:rFonts w:ascii="Arial" w:hAnsi="Arial" w:cs="Arial"/>
          <w:sz w:val="20"/>
        </w:rPr>
        <w:t xml:space="preserve">  </w:t>
      </w:r>
    </w:p>
    <w:p w:rsidR="009C526C" w:rsidRDefault="009C526C">
      <w:pPr>
        <w:rPr>
          <w:rFonts w:ascii="Arial" w:hAnsi="Arial" w:cs="Arial"/>
          <w:sz w:val="20"/>
        </w:rPr>
      </w:pPr>
    </w:p>
    <w:p w:rsidRPr="00EF416B" w:rsidR="008438A1" w:rsidP="008438A1" w:rsidRDefault="008438A1">
      <w:pPr>
        <w:rPr>
          <w:rFonts w:ascii="Arial" w:hAnsi="Arial" w:cs="Arial"/>
          <w:sz w:val="20"/>
        </w:rPr>
      </w:pPr>
      <w:r w:rsidRPr="000D5216">
        <w:rPr>
          <w:rFonts w:ascii="Arial" w:hAnsi="Arial" w:cs="Arial"/>
          <w:sz w:val="20"/>
        </w:rPr>
        <w:t>The</w:t>
      </w:r>
      <w:r>
        <w:rPr>
          <w:rFonts w:ascii="Arial" w:hAnsi="Arial" w:cs="Arial"/>
          <w:sz w:val="20"/>
        </w:rPr>
        <w:t xml:space="preserve"> annual</w:t>
      </w:r>
      <w:r w:rsidRPr="000D5216">
        <w:rPr>
          <w:rFonts w:ascii="Arial" w:hAnsi="Arial" w:cs="Arial"/>
          <w:sz w:val="20"/>
        </w:rPr>
        <w:t xml:space="preserve"> Federal </w:t>
      </w:r>
      <w:r>
        <w:rPr>
          <w:rFonts w:ascii="Arial" w:hAnsi="Arial" w:cs="Arial"/>
          <w:sz w:val="20"/>
        </w:rPr>
        <w:t>G</w:t>
      </w:r>
      <w:r w:rsidRPr="000D5216">
        <w:rPr>
          <w:rFonts w:ascii="Arial" w:hAnsi="Arial" w:cs="Arial"/>
          <w:sz w:val="20"/>
        </w:rPr>
        <w:t xml:space="preserve">overnment cost </w:t>
      </w:r>
      <w:r w:rsidR="00525AF6">
        <w:rPr>
          <w:rFonts w:ascii="Arial" w:hAnsi="Arial" w:cs="Arial"/>
          <w:sz w:val="20"/>
        </w:rPr>
        <w:t xml:space="preserve">estimate </w:t>
      </w:r>
      <w:r w:rsidRPr="000D5216">
        <w:rPr>
          <w:rFonts w:ascii="Arial" w:hAnsi="Arial" w:cs="Arial"/>
          <w:sz w:val="20"/>
        </w:rPr>
        <w:t>is $</w:t>
      </w:r>
      <w:r>
        <w:rPr>
          <w:rFonts w:ascii="Arial" w:hAnsi="Arial" w:cs="Arial"/>
          <w:sz w:val="20"/>
        </w:rPr>
        <w:t>2,862,960</w:t>
      </w:r>
      <w:r w:rsidR="00525AF6">
        <w:rPr>
          <w:rFonts w:ascii="Arial" w:hAnsi="Arial" w:cs="Arial"/>
          <w:sz w:val="20"/>
        </w:rPr>
        <w:t xml:space="preserve"> (see </w:t>
      </w:r>
      <w:r w:rsidRPr="000D5216">
        <w:rPr>
          <w:rFonts w:ascii="Arial" w:hAnsi="Arial" w:cs="Arial"/>
          <w:sz w:val="20"/>
        </w:rPr>
        <w:t>Appendix F</w:t>
      </w:r>
      <w:r w:rsidR="00525AF6">
        <w:rPr>
          <w:rFonts w:ascii="Arial" w:hAnsi="Arial" w:cs="Arial"/>
          <w:sz w:val="20"/>
        </w:rPr>
        <w:t>)</w:t>
      </w:r>
      <w:r w:rsidRPr="000D5216">
        <w:rPr>
          <w:rFonts w:ascii="Arial" w:hAnsi="Arial" w:cs="Arial"/>
          <w:sz w:val="20"/>
        </w:rPr>
        <w:t>.</w:t>
      </w:r>
      <w:r w:rsidR="00525AF6">
        <w:rPr>
          <w:rFonts w:ascii="Arial" w:hAnsi="Arial" w:cs="Arial"/>
          <w:sz w:val="20"/>
        </w:rPr>
        <w:t xml:space="preserve">  See below for a description of how the estimate is determined.  </w:t>
      </w:r>
      <w:r w:rsidRPr="00525AF6" w:rsidR="00525AF6">
        <w:rPr>
          <w:rFonts w:ascii="Arial" w:hAnsi="Arial" w:cs="Arial"/>
          <w:sz w:val="20"/>
        </w:rPr>
        <w:t>The wage rate</w:t>
      </w:r>
      <w:r w:rsidR="00525AF6">
        <w:rPr>
          <w:rFonts w:ascii="Arial" w:hAnsi="Arial" w:cs="Arial"/>
          <w:sz w:val="20"/>
        </w:rPr>
        <w:t>s</w:t>
      </w:r>
      <w:r w:rsidRPr="00525AF6" w:rsidR="00525AF6">
        <w:rPr>
          <w:rFonts w:ascii="Arial" w:hAnsi="Arial" w:cs="Arial"/>
          <w:sz w:val="20"/>
        </w:rPr>
        <w:t xml:space="preserve"> used </w:t>
      </w:r>
      <w:r w:rsidR="00525AF6">
        <w:rPr>
          <w:rFonts w:ascii="Arial" w:hAnsi="Arial" w:cs="Arial"/>
          <w:sz w:val="20"/>
        </w:rPr>
        <w:t>are</w:t>
      </w:r>
      <w:r w:rsidRPr="00525AF6" w:rsidR="00525AF6">
        <w:rPr>
          <w:rFonts w:ascii="Arial" w:hAnsi="Arial" w:cs="Arial"/>
          <w:sz w:val="20"/>
        </w:rPr>
        <w:t xml:space="preserve"> in accordance with the current edition of COMDTINST 7310.1(series) for “In-Government” personnel.  </w:t>
      </w:r>
    </w:p>
    <w:p w:rsidRPr="00EF416B" w:rsidR="008438A1" w:rsidRDefault="008438A1">
      <w:pPr>
        <w:rPr>
          <w:rFonts w:ascii="Arial" w:hAnsi="Arial" w:cs="Arial"/>
          <w:sz w:val="20"/>
        </w:rPr>
      </w:pPr>
    </w:p>
    <w:p w:rsidRPr="00317583" w:rsidR="009C526C" w:rsidP="00937A12" w:rsidRDefault="009C526C">
      <w:pPr>
        <w:pStyle w:val="p12"/>
        <w:spacing w:line="240" w:lineRule="auto"/>
        <w:rPr>
          <w:rFonts w:ascii="Arial" w:hAnsi="Arial" w:cs="Arial"/>
          <w:sz w:val="20"/>
        </w:rPr>
      </w:pPr>
      <w:r w:rsidRPr="005D4616">
        <w:rPr>
          <w:rFonts w:ascii="Arial" w:hAnsi="Arial" w:cs="Arial"/>
          <w:b/>
          <w:sz w:val="20"/>
          <w:u w:val="single"/>
        </w:rPr>
        <w:t>FRP</w:t>
      </w:r>
      <w:r w:rsidRPr="00317583" w:rsidR="00930C23">
        <w:rPr>
          <w:rFonts w:ascii="Arial" w:hAnsi="Arial" w:cs="Arial"/>
          <w:b/>
          <w:sz w:val="20"/>
        </w:rPr>
        <w:t>:</w:t>
      </w:r>
      <w:r w:rsidRPr="005D4616" w:rsidR="00930C23">
        <w:rPr>
          <w:rFonts w:ascii="Arial" w:hAnsi="Arial" w:cs="Arial"/>
          <w:sz w:val="20"/>
        </w:rPr>
        <w:t xml:space="preserve">  </w:t>
      </w:r>
      <w:r w:rsidRPr="00317583" w:rsidR="00937A12">
        <w:rPr>
          <w:rFonts w:ascii="Arial" w:hAnsi="Arial" w:cs="Arial"/>
          <w:sz w:val="20"/>
        </w:rPr>
        <w:t xml:space="preserve">The CG </w:t>
      </w:r>
      <w:r w:rsidRPr="00317583">
        <w:rPr>
          <w:rFonts w:ascii="Arial" w:hAnsi="Arial" w:cs="Arial"/>
          <w:sz w:val="20"/>
        </w:rPr>
        <w:t xml:space="preserve">estimates </w:t>
      </w:r>
      <w:r w:rsidRPr="00317583" w:rsidR="008438A1">
        <w:rPr>
          <w:rFonts w:ascii="Arial" w:hAnsi="Arial" w:cs="Arial"/>
          <w:sz w:val="20"/>
        </w:rPr>
        <w:t xml:space="preserve">it takes a petty officer (E-5) </w:t>
      </w:r>
      <w:r w:rsidRPr="005D4616">
        <w:rPr>
          <w:rFonts w:ascii="Arial" w:hAnsi="Arial" w:cs="Arial"/>
          <w:sz w:val="20"/>
        </w:rPr>
        <w:t xml:space="preserve">about </w:t>
      </w:r>
      <w:r w:rsidRPr="00317583" w:rsidR="008438A1">
        <w:rPr>
          <w:rFonts w:ascii="Arial" w:hAnsi="Arial" w:cs="Arial"/>
          <w:sz w:val="20"/>
        </w:rPr>
        <w:t xml:space="preserve">12 hours per plan </w:t>
      </w:r>
      <w:r w:rsidRPr="00317583">
        <w:rPr>
          <w:rFonts w:ascii="Arial" w:hAnsi="Arial" w:cs="Arial"/>
          <w:sz w:val="20"/>
        </w:rPr>
        <w:t xml:space="preserve">to process, review, and approve </w:t>
      </w:r>
      <w:r w:rsidRPr="00317583" w:rsidR="00937A12">
        <w:rPr>
          <w:rFonts w:ascii="Arial" w:hAnsi="Arial" w:cs="Arial"/>
          <w:sz w:val="20"/>
        </w:rPr>
        <w:t>FRP</w:t>
      </w:r>
      <w:r w:rsidRPr="00317583">
        <w:rPr>
          <w:rFonts w:ascii="Arial" w:hAnsi="Arial" w:cs="Arial"/>
          <w:sz w:val="20"/>
        </w:rPr>
        <w:t xml:space="preserve">s.  </w:t>
      </w:r>
      <w:r w:rsidRPr="00317583" w:rsidR="002A2AC5">
        <w:rPr>
          <w:rFonts w:ascii="Arial" w:hAnsi="Arial" w:cs="Arial"/>
          <w:sz w:val="20"/>
        </w:rPr>
        <w:t xml:space="preserve">This includes the time </w:t>
      </w:r>
      <w:r w:rsidRPr="00317583">
        <w:rPr>
          <w:rFonts w:ascii="Arial" w:hAnsi="Arial" w:cs="Arial"/>
          <w:sz w:val="20"/>
        </w:rPr>
        <w:t xml:space="preserve">incurred to conduct inspections, oversee drills, and perform other tasks to implement the program.  </w:t>
      </w:r>
    </w:p>
    <w:p w:rsidRPr="00317583" w:rsidR="009C526C" w:rsidRDefault="009C526C">
      <w:pPr>
        <w:pStyle w:val="p12"/>
        <w:spacing w:line="240" w:lineRule="auto"/>
        <w:rPr>
          <w:rFonts w:ascii="Arial" w:hAnsi="Arial" w:cs="Arial"/>
          <w:sz w:val="20"/>
        </w:rPr>
      </w:pPr>
    </w:p>
    <w:p w:rsidRPr="00317583" w:rsidR="009C526C" w:rsidP="002A2AC5" w:rsidRDefault="009C526C">
      <w:pPr>
        <w:pStyle w:val="p12"/>
        <w:spacing w:line="240" w:lineRule="auto"/>
        <w:rPr>
          <w:rFonts w:ascii="Arial" w:hAnsi="Arial" w:cs="Arial"/>
          <w:sz w:val="20"/>
        </w:rPr>
      </w:pPr>
      <w:r w:rsidRPr="005D4616">
        <w:rPr>
          <w:rFonts w:ascii="Arial" w:hAnsi="Arial" w:cs="Arial"/>
          <w:b/>
          <w:sz w:val="20"/>
          <w:u w:val="single"/>
        </w:rPr>
        <w:t>VRP</w:t>
      </w:r>
      <w:r w:rsidRPr="00317583" w:rsidR="007E087A">
        <w:rPr>
          <w:rFonts w:ascii="Arial" w:hAnsi="Arial" w:cs="Arial"/>
          <w:b/>
          <w:sz w:val="20"/>
          <w:u w:val="single"/>
        </w:rPr>
        <w:t>, NTVRP</w:t>
      </w:r>
      <w:r w:rsidRPr="00317583">
        <w:rPr>
          <w:rFonts w:ascii="Arial" w:hAnsi="Arial" w:cs="Arial"/>
          <w:b/>
          <w:sz w:val="20"/>
          <w:u w:val="single"/>
        </w:rPr>
        <w:t xml:space="preserve"> and </w:t>
      </w:r>
      <w:r w:rsidRPr="00317583" w:rsidR="0091486A">
        <w:rPr>
          <w:rFonts w:ascii="Arial" w:hAnsi="Arial" w:cs="Arial"/>
          <w:b/>
          <w:sz w:val="20"/>
          <w:u w:val="single"/>
        </w:rPr>
        <w:t>SOPEP/SMPEP</w:t>
      </w:r>
      <w:r w:rsidRPr="00317583" w:rsidR="00937A12">
        <w:rPr>
          <w:rFonts w:ascii="Arial" w:hAnsi="Arial" w:cs="Arial"/>
          <w:b/>
          <w:sz w:val="20"/>
        </w:rPr>
        <w:t>:</w:t>
      </w:r>
      <w:r w:rsidRPr="005D4616" w:rsidR="00937A12">
        <w:rPr>
          <w:rFonts w:ascii="Arial" w:hAnsi="Arial" w:cs="Arial"/>
          <w:sz w:val="20"/>
        </w:rPr>
        <w:t xml:space="preserve">  </w:t>
      </w:r>
      <w:r w:rsidRPr="00317583" w:rsidR="002A2AC5">
        <w:rPr>
          <w:rFonts w:ascii="Arial" w:hAnsi="Arial" w:cs="Arial"/>
          <w:sz w:val="20"/>
        </w:rPr>
        <w:t>T</w:t>
      </w:r>
      <w:r w:rsidRPr="00317583">
        <w:rPr>
          <w:rFonts w:ascii="Arial" w:hAnsi="Arial" w:cs="Arial"/>
          <w:sz w:val="20"/>
        </w:rPr>
        <w:t xml:space="preserve">he </w:t>
      </w:r>
      <w:r w:rsidRPr="00317583" w:rsidR="002A2AC5">
        <w:rPr>
          <w:rFonts w:ascii="Arial" w:hAnsi="Arial" w:cs="Arial"/>
          <w:sz w:val="20"/>
        </w:rPr>
        <w:t>CG estimates th</w:t>
      </w:r>
      <w:r w:rsidRPr="00317583" w:rsidR="00C94FE1">
        <w:rPr>
          <w:rFonts w:ascii="Arial" w:hAnsi="Arial" w:cs="Arial"/>
          <w:sz w:val="20"/>
        </w:rPr>
        <w:t xml:space="preserve">at </w:t>
      </w:r>
      <w:r w:rsidRPr="00317583" w:rsidR="00971A5D">
        <w:rPr>
          <w:rFonts w:ascii="Arial" w:hAnsi="Arial" w:cs="Arial"/>
          <w:sz w:val="20"/>
        </w:rPr>
        <w:t xml:space="preserve">to </w:t>
      </w:r>
      <w:r w:rsidRPr="00317583">
        <w:rPr>
          <w:rFonts w:ascii="Arial" w:hAnsi="Arial" w:cs="Arial"/>
          <w:sz w:val="20"/>
        </w:rPr>
        <w:t xml:space="preserve">administer the </w:t>
      </w:r>
      <w:r w:rsidRPr="00317583" w:rsidR="00937A12">
        <w:rPr>
          <w:rFonts w:ascii="Arial" w:hAnsi="Arial" w:cs="Arial"/>
          <w:sz w:val="20"/>
        </w:rPr>
        <w:t xml:space="preserve">VRP, </w:t>
      </w:r>
      <w:r w:rsidRPr="00317583" w:rsidR="00362C46">
        <w:rPr>
          <w:rFonts w:ascii="Arial" w:hAnsi="Arial" w:cs="Arial"/>
          <w:sz w:val="20"/>
        </w:rPr>
        <w:t>NTVRP</w:t>
      </w:r>
      <w:r w:rsidRPr="00317583">
        <w:rPr>
          <w:rFonts w:ascii="Arial" w:hAnsi="Arial" w:cs="Arial"/>
          <w:sz w:val="20"/>
        </w:rPr>
        <w:t xml:space="preserve"> and SOPEP</w:t>
      </w:r>
      <w:r w:rsidRPr="00317583" w:rsidR="00C94FE1">
        <w:rPr>
          <w:rFonts w:ascii="Arial" w:hAnsi="Arial" w:cs="Arial"/>
          <w:sz w:val="20"/>
        </w:rPr>
        <w:t>/SMPEP</w:t>
      </w:r>
      <w:r w:rsidRPr="00317583">
        <w:rPr>
          <w:rFonts w:ascii="Arial" w:hAnsi="Arial" w:cs="Arial"/>
          <w:sz w:val="20"/>
        </w:rPr>
        <w:t xml:space="preserve"> program</w:t>
      </w:r>
      <w:r w:rsidRPr="00317583" w:rsidR="00914CF8">
        <w:rPr>
          <w:rFonts w:ascii="Arial" w:hAnsi="Arial" w:cs="Arial"/>
          <w:sz w:val="20"/>
        </w:rPr>
        <w:t>, t</w:t>
      </w:r>
      <w:r w:rsidRPr="00317583">
        <w:rPr>
          <w:rFonts w:ascii="Arial" w:hAnsi="Arial" w:cs="Arial"/>
          <w:sz w:val="20"/>
        </w:rPr>
        <w:t xml:space="preserve">he </w:t>
      </w:r>
      <w:r w:rsidRPr="00317583" w:rsidR="00937A12">
        <w:rPr>
          <w:rFonts w:ascii="Arial" w:hAnsi="Arial" w:cs="Arial"/>
          <w:sz w:val="20"/>
        </w:rPr>
        <w:t>CG</w:t>
      </w:r>
      <w:r w:rsidRPr="00317583">
        <w:rPr>
          <w:rFonts w:ascii="Arial" w:hAnsi="Arial" w:cs="Arial"/>
          <w:sz w:val="20"/>
        </w:rPr>
        <w:t xml:space="preserve"> </w:t>
      </w:r>
      <w:r w:rsidRPr="00317583" w:rsidR="00914CF8">
        <w:rPr>
          <w:rFonts w:ascii="Arial" w:hAnsi="Arial" w:cs="Arial"/>
          <w:sz w:val="20"/>
        </w:rPr>
        <w:t xml:space="preserve">utilizes </w:t>
      </w:r>
      <w:r w:rsidRPr="00317583" w:rsidR="003627AF">
        <w:rPr>
          <w:rFonts w:ascii="Arial" w:hAnsi="Arial" w:cs="Arial"/>
          <w:sz w:val="20"/>
        </w:rPr>
        <w:t xml:space="preserve">3 </w:t>
      </w:r>
      <w:r w:rsidRPr="00317583" w:rsidR="00C94FE1">
        <w:rPr>
          <w:rFonts w:ascii="Arial" w:hAnsi="Arial" w:cs="Arial"/>
          <w:sz w:val="20"/>
        </w:rPr>
        <w:t>FTE</w:t>
      </w:r>
      <w:r w:rsidRPr="005D4616" w:rsidR="00C94FE1">
        <w:rPr>
          <w:rStyle w:val="FootnoteReference"/>
          <w:rFonts w:ascii="Arial" w:hAnsi="Arial" w:cs="Arial"/>
          <w:sz w:val="20"/>
        </w:rPr>
        <w:footnoteReference w:id="2"/>
      </w:r>
      <w:r w:rsidRPr="005D4616" w:rsidR="00C94FE1">
        <w:rPr>
          <w:rFonts w:ascii="Arial" w:hAnsi="Arial" w:cs="Arial"/>
          <w:sz w:val="20"/>
        </w:rPr>
        <w:t xml:space="preserve"> and </w:t>
      </w:r>
      <w:r w:rsidRPr="00317583" w:rsidR="00914CF8">
        <w:rPr>
          <w:rFonts w:ascii="Arial" w:hAnsi="Arial" w:cs="Arial"/>
          <w:sz w:val="20"/>
        </w:rPr>
        <w:t>a private support contract</w:t>
      </w:r>
      <w:r w:rsidRPr="00317583" w:rsidR="00C94FE1">
        <w:rPr>
          <w:rFonts w:ascii="Arial" w:hAnsi="Arial" w:cs="Arial"/>
          <w:sz w:val="20"/>
        </w:rPr>
        <w:t xml:space="preserve"> for </w:t>
      </w:r>
      <w:r w:rsidRPr="00317583" w:rsidR="00914CF8">
        <w:rPr>
          <w:rFonts w:ascii="Arial" w:hAnsi="Arial" w:cs="Arial"/>
          <w:sz w:val="20"/>
        </w:rPr>
        <w:t xml:space="preserve">administrative and technical requirements. </w:t>
      </w:r>
    </w:p>
    <w:p w:rsidRPr="00317583" w:rsidR="009C526C" w:rsidRDefault="009C526C">
      <w:pPr>
        <w:pStyle w:val="p12"/>
        <w:spacing w:line="240" w:lineRule="auto"/>
        <w:rPr>
          <w:rFonts w:ascii="Arial" w:hAnsi="Arial" w:cs="Arial"/>
          <w:sz w:val="20"/>
        </w:rPr>
      </w:pPr>
    </w:p>
    <w:p w:rsidRPr="00317583" w:rsidR="009C526C" w:rsidP="00407F65" w:rsidRDefault="009C526C">
      <w:pPr>
        <w:pStyle w:val="p12"/>
        <w:spacing w:line="240" w:lineRule="auto"/>
        <w:rPr>
          <w:rFonts w:ascii="Arial" w:hAnsi="Arial" w:cs="Arial"/>
          <w:sz w:val="20"/>
        </w:rPr>
      </w:pPr>
      <w:r w:rsidRPr="00317583">
        <w:rPr>
          <w:rFonts w:ascii="Arial" w:hAnsi="Arial" w:cs="Arial"/>
          <w:b/>
          <w:sz w:val="20"/>
          <w:u w:val="single"/>
        </w:rPr>
        <w:t>PWS</w:t>
      </w:r>
      <w:r w:rsidRPr="00317583" w:rsidR="00937A12">
        <w:rPr>
          <w:rFonts w:ascii="Arial" w:hAnsi="Arial" w:cs="Arial"/>
          <w:b/>
          <w:sz w:val="20"/>
        </w:rPr>
        <w:t>:</w:t>
      </w:r>
      <w:r w:rsidRPr="005D4616" w:rsidR="00937A12">
        <w:rPr>
          <w:rFonts w:ascii="Arial" w:hAnsi="Arial" w:cs="Arial"/>
          <w:sz w:val="20"/>
        </w:rPr>
        <w:t xml:space="preserve">  </w:t>
      </w:r>
      <w:r w:rsidRPr="00317583" w:rsidR="002A2AC5">
        <w:rPr>
          <w:rFonts w:ascii="Arial" w:hAnsi="Arial" w:cs="Arial"/>
          <w:sz w:val="20"/>
        </w:rPr>
        <w:t xml:space="preserve">The CG estimates the cost to administer the PWS </w:t>
      </w:r>
      <w:r w:rsidRPr="00317583">
        <w:rPr>
          <w:rFonts w:ascii="Arial" w:hAnsi="Arial" w:cs="Arial"/>
          <w:sz w:val="20"/>
        </w:rPr>
        <w:t>requirement</w:t>
      </w:r>
      <w:r w:rsidRPr="00317583" w:rsidR="00971A5D">
        <w:rPr>
          <w:rFonts w:ascii="Arial" w:hAnsi="Arial" w:cs="Arial"/>
          <w:sz w:val="20"/>
        </w:rPr>
        <w:t>s</w:t>
      </w:r>
      <w:r w:rsidRPr="00317583">
        <w:rPr>
          <w:rFonts w:ascii="Arial" w:hAnsi="Arial" w:cs="Arial"/>
          <w:sz w:val="20"/>
        </w:rPr>
        <w:t xml:space="preserve"> </w:t>
      </w:r>
      <w:r w:rsidRPr="00317583" w:rsidR="002A2AC5">
        <w:rPr>
          <w:rFonts w:ascii="Arial" w:hAnsi="Arial" w:cs="Arial"/>
          <w:sz w:val="20"/>
        </w:rPr>
        <w:t xml:space="preserve">is about </w:t>
      </w:r>
      <w:r w:rsidRPr="00317583" w:rsidR="00C94FE1">
        <w:rPr>
          <w:rFonts w:ascii="Arial" w:hAnsi="Arial" w:cs="Arial"/>
          <w:sz w:val="20"/>
        </w:rPr>
        <w:t>.</w:t>
      </w:r>
      <w:r w:rsidRPr="00317583">
        <w:rPr>
          <w:rFonts w:ascii="Arial" w:hAnsi="Arial" w:cs="Arial"/>
          <w:sz w:val="20"/>
        </w:rPr>
        <w:t>2</w:t>
      </w:r>
      <w:r w:rsidRPr="00317583" w:rsidR="00C94FE1">
        <w:rPr>
          <w:rFonts w:ascii="Arial" w:hAnsi="Arial" w:cs="Arial"/>
          <w:sz w:val="20"/>
        </w:rPr>
        <w:t xml:space="preserve"> FTE</w:t>
      </w:r>
      <w:r w:rsidRPr="005D4616" w:rsidR="00C94FE1">
        <w:rPr>
          <w:rStyle w:val="FootnoteReference"/>
          <w:rFonts w:ascii="Arial" w:hAnsi="Arial" w:cs="Arial"/>
          <w:sz w:val="20"/>
        </w:rPr>
        <w:footnoteReference w:id="3"/>
      </w:r>
      <w:r w:rsidRPr="005D4616" w:rsidR="00C94FE1">
        <w:rPr>
          <w:rFonts w:ascii="Arial" w:hAnsi="Arial" w:cs="Arial"/>
          <w:sz w:val="20"/>
        </w:rPr>
        <w:t xml:space="preserve"> annually</w:t>
      </w:r>
      <w:r w:rsidRPr="00317583">
        <w:rPr>
          <w:rFonts w:ascii="Arial" w:hAnsi="Arial" w:cs="Arial"/>
          <w:sz w:val="20"/>
        </w:rPr>
        <w:t>.</w:t>
      </w:r>
      <w:r w:rsidRPr="00317583" w:rsidR="002A2AC5">
        <w:rPr>
          <w:rFonts w:ascii="Arial" w:hAnsi="Arial" w:cs="Arial"/>
          <w:sz w:val="20"/>
        </w:rPr>
        <w:t xml:space="preserve">  </w:t>
      </w:r>
    </w:p>
    <w:p w:rsidRPr="00317583" w:rsidR="009C526C" w:rsidRDefault="009C526C">
      <w:pPr>
        <w:pStyle w:val="p12"/>
        <w:spacing w:line="240" w:lineRule="auto"/>
        <w:rPr>
          <w:rFonts w:ascii="Arial" w:hAnsi="Arial" w:cs="Arial"/>
          <w:sz w:val="20"/>
        </w:rPr>
      </w:pPr>
    </w:p>
    <w:p w:rsidRPr="00EF416B" w:rsidR="009C526C" w:rsidRDefault="009C526C">
      <w:pPr>
        <w:rPr>
          <w:rFonts w:ascii="Arial" w:hAnsi="Arial" w:cs="Arial"/>
          <w:sz w:val="20"/>
        </w:rPr>
      </w:pPr>
      <w:r w:rsidRPr="00EF416B">
        <w:rPr>
          <w:rFonts w:ascii="Arial" w:hAnsi="Arial" w:cs="Arial"/>
          <w:sz w:val="20"/>
        </w:rPr>
        <w:t>15.</w:t>
      </w:r>
      <w:r w:rsidRPr="00EF416B" w:rsidR="004D6CCC">
        <w:rPr>
          <w:rFonts w:ascii="Arial" w:hAnsi="Arial" w:cs="Arial"/>
          <w:sz w:val="20"/>
        </w:rPr>
        <w:t xml:space="preserve">  </w:t>
      </w:r>
      <w:r w:rsidRPr="00EF416B">
        <w:rPr>
          <w:rFonts w:ascii="Arial" w:hAnsi="Arial" w:cs="Arial"/>
          <w:sz w:val="20"/>
          <w:u w:val="single"/>
        </w:rPr>
        <w:t>Explain the reasons for the change in burden</w:t>
      </w:r>
      <w:r w:rsidRPr="00EF416B">
        <w:rPr>
          <w:rFonts w:ascii="Arial" w:hAnsi="Arial" w:cs="Arial"/>
          <w:sz w:val="20"/>
        </w:rPr>
        <w:t>.</w:t>
      </w:r>
      <w:r w:rsidR="007E3F45">
        <w:rPr>
          <w:rFonts w:ascii="Arial" w:hAnsi="Arial" w:cs="Arial"/>
          <w:sz w:val="20"/>
        </w:rPr>
        <w:t xml:space="preserve">  </w:t>
      </w:r>
    </w:p>
    <w:p w:rsidRPr="00EF416B" w:rsidR="009C526C" w:rsidRDefault="009C526C">
      <w:pPr>
        <w:rPr>
          <w:rFonts w:ascii="Arial" w:hAnsi="Arial" w:cs="Arial"/>
          <w:sz w:val="20"/>
        </w:rPr>
      </w:pPr>
    </w:p>
    <w:p w:rsidR="00824B81" w:rsidP="00252D3B" w:rsidRDefault="004D6CCC">
      <w:pPr>
        <w:rPr>
          <w:rFonts w:ascii="Arial" w:hAnsi="Arial" w:cs="Arial"/>
          <w:sz w:val="20"/>
        </w:rPr>
      </w:pPr>
      <w:r w:rsidRPr="00EF416B">
        <w:rPr>
          <w:rFonts w:ascii="Arial" w:hAnsi="Arial" w:cs="Arial"/>
          <w:sz w:val="20"/>
        </w:rPr>
        <w:t>The change in burden is an ADJUSTMENT</w:t>
      </w:r>
      <w:r w:rsidR="008438A1">
        <w:rPr>
          <w:rFonts w:ascii="Arial" w:hAnsi="Arial" w:cs="Arial"/>
          <w:sz w:val="20"/>
        </w:rPr>
        <w:t xml:space="preserve"> due to a change (i.e., increase) in the estimated annual number of responses.  </w:t>
      </w:r>
      <w:r w:rsidRPr="008438A1" w:rsidR="008438A1">
        <w:rPr>
          <w:rFonts w:ascii="Arial" w:hAnsi="Arial" w:cs="Arial"/>
          <w:sz w:val="20"/>
        </w:rPr>
        <w:t xml:space="preserve">There is no proposed change to the reporting and recordkeeping requirements of this collection.  The reporting and recordkeeping requirements, and the methodology for calculating burden, remain unchanged.  </w:t>
      </w:r>
    </w:p>
    <w:p w:rsidRPr="00EF416B" w:rsidR="00970509" w:rsidP="00824B81" w:rsidRDefault="00970509">
      <w:pPr>
        <w:rPr>
          <w:rFonts w:ascii="Arial" w:hAnsi="Arial" w:cs="Arial"/>
          <w:sz w:val="20"/>
        </w:rPr>
      </w:pPr>
    </w:p>
    <w:p w:rsidRPr="00EF416B" w:rsidR="009C526C" w:rsidP="004D6CCC" w:rsidRDefault="009C526C">
      <w:pPr>
        <w:ind w:left="450" w:hanging="450"/>
        <w:rPr>
          <w:rFonts w:ascii="Arial" w:hAnsi="Arial" w:cs="Arial"/>
          <w:sz w:val="20"/>
        </w:rPr>
      </w:pPr>
      <w:r w:rsidRPr="00EF416B">
        <w:rPr>
          <w:rFonts w:ascii="Arial" w:hAnsi="Arial" w:cs="Arial"/>
          <w:sz w:val="20"/>
        </w:rPr>
        <w:t>16.</w:t>
      </w:r>
      <w:r w:rsidRPr="00EF416B" w:rsidR="004D6CCC">
        <w:rPr>
          <w:rFonts w:ascii="Arial" w:hAnsi="Arial" w:cs="Arial"/>
          <w:sz w:val="20"/>
        </w:rPr>
        <w:t xml:space="preserve">  </w:t>
      </w:r>
      <w:r w:rsidRPr="00824B81" w:rsidR="00824B81">
        <w:rPr>
          <w:rFonts w:ascii="Arial" w:hAnsi="Arial" w:cs="Arial"/>
          <w:sz w:val="20"/>
          <w:u w:val="single"/>
        </w:rPr>
        <w:t>Plans for tabulation, statistical analysis and publication</w:t>
      </w:r>
      <w:r w:rsidRPr="00EF416B">
        <w:rPr>
          <w:rFonts w:ascii="Arial" w:hAnsi="Arial" w:cs="Arial"/>
          <w:sz w:val="20"/>
        </w:rPr>
        <w:t>.</w:t>
      </w:r>
      <w:r w:rsidR="00824B81">
        <w:rPr>
          <w:rFonts w:ascii="Arial" w:hAnsi="Arial" w:cs="Arial"/>
          <w:sz w:val="20"/>
        </w:rPr>
        <w:t xml:space="preserve">  </w:t>
      </w:r>
    </w:p>
    <w:p w:rsidRPr="00EF416B" w:rsidR="009C526C" w:rsidRDefault="009C526C">
      <w:pPr>
        <w:rPr>
          <w:rFonts w:ascii="Arial" w:hAnsi="Arial" w:cs="Arial"/>
          <w:sz w:val="20"/>
        </w:rPr>
      </w:pPr>
    </w:p>
    <w:p w:rsidRPr="00EF416B" w:rsidR="009C526C" w:rsidRDefault="00A73C7D">
      <w:pPr>
        <w:rPr>
          <w:rFonts w:ascii="Arial" w:hAnsi="Arial" w:cs="Arial"/>
          <w:sz w:val="20"/>
        </w:rPr>
      </w:pPr>
      <w:r w:rsidRPr="00EF416B">
        <w:rPr>
          <w:rFonts w:ascii="Arial" w:hAnsi="Arial" w:cs="Arial"/>
          <w:sz w:val="20"/>
        </w:rPr>
        <w:t>This information collection will not be published for statistical purposes</w:t>
      </w:r>
      <w:r w:rsidRPr="00EF416B" w:rsidR="009C526C">
        <w:rPr>
          <w:rFonts w:ascii="Arial" w:hAnsi="Arial" w:cs="Arial"/>
          <w:sz w:val="20"/>
        </w:rPr>
        <w:t>.</w:t>
      </w:r>
    </w:p>
    <w:p w:rsidRPr="00EF416B" w:rsidR="009C526C" w:rsidRDefault="009C526C">
      <w:pPr>
        <w:rPr>
          <w:rFonts w:ascii="Arial" w:hAnsi="Arial" w:cs="Arial"/>
          <w:sz w:val="20"/>
        </w:rPr>
      </w:pPr>
    </w:p>
    <w:p w:rsidRPr="00EF416B" w:rsidR="009C526C" w:rsidP="004D6CCC" w:rsidRDefault="009C526C">
      <w:pPr>
        <w:ind w:left="450" w:hanging="450"/>
        <w:rPr>
          <w:rFonts w:ascii="Arial" w:hAnsi="Arial" w:cs="Arial"/>
          <w:sz w:val="20"/>
        </w:rPr>
      </w:pPr>
      <w:r w:rsidRPr="00EF416B">
        <w:rPr>
          <w:rFonts w:ascii="Arial" w:hAnsi="Arial" w:cs="Arial"/>
          <w:sz w:val="20"/>
        </w:rPr>
        <w:t>17.</w:t>
      </w:r>
      <w:r w:rsidRPr="00EF416B" w:rsidR="004D6CCC">
        <w:rPr>
          <w:rFonts w:ascii="Arial" w:hAnsi="Arial" w:cs="Arial"/>
          <w:sz w:val="20"/>
        </w:rPr>
        <w:t xml:space="preserve">  </w:t>
      </w:r>
      <w:r w:rsidRPr="00824B81" w:rsidR="00824B81">
        <w:rPr>
          <w:rFonts w:ascii="Arial" w:hAnsi="Arial" w:cs="Arial"/>
          <w:sz w:val="20"/>
          <w:u w:val="single"/>
        </w:rPr>
        <w:t>Approval for not explaining the expiration date for OMB approval</w:t>
      </w:r>
      <w:r w:rsidRPr="00EF416B">
        <w:rPr>
          <w:rFonts w:ascii="Arial" w:hAnsi="Arial" w:cs="Arial"/>
          <w:sz w:val="20"/>
        </w:rPr>
        <w:t>.</w:t>
      </w:r>
      <w:r w:rsidR="00824B81">
        <w:rPr>
          <w:rFonts w:ascii="Arial" w:hAnsi="Arial" w:cs="Arial"/>
          <w:sz w:val="20"/>
        </w:rPr>
        <w:t xml:space="preserve">  </w:t>
      </w:r>
    </w:p>
    <w:p w:rsidRPr="00EF416B" w:rsidR="009C526C" w:rsidRDefault="009C526C">
      <w:pPr>
        <w:rPr>
          <w:rFonts w:ascii="Arial" w:hAnsi="Arial" w:cs="Arial"/>
          <w:sz w:val="20"/>
        </w:rPr>
      </w:pPr>
    </w:p>
    <w:p w:rsidRPr="00EF416B" w:rsidR="00BD35EB" w:rsidRDefault="00A73C7D">
      <w:pPr>
        <w:rPr>
          <w:rFonts w:ascii="Arial" w:hAnsi="Arial" w:cs="Arial"/>
          <w:sz w:val="20"/>
        </w:rPr>
      </w:pPr>
      <w:r w:rsidRPr="00EF416B">
        <w:rPr>
          <w:rFonts w:ascii="Arial" w:hAnsi="Arial" w:cs="Arial"/>
          <w:sz w:val="20"/>
        </w:rPr>
        <w:t xml:space="preserve">The </w:t>
      </w:r>
      <w:r w:rsidRPr="00EF416B" w:rsidR="004D6CCC">
        <w:rPr>
          <w:rFonts w:ascii="Arial" w:hAnsi="Arial" w:cs="Arial"/>
          <w:sz w:val="20"/>
        </w:rPr>
        <w:t>CG</w:t>
      </w:r>
      <w:r w:rsidRPr="00EF416B">
        <w:rPr>
          <w:rFonts w:ascii="Arial" w:hAnsi="Arial" w:cs="Arial"/>
          <w:sz w:val="20"/>
        </w:rPr>
        <w:t xml:space="preserve"> will display the expiration date for OMB approval of this information collection</w:t>
      </w:r>
      <w:r w:rsidRPr="00EF416B" w:rsidR="00BD35EB">
        <w:rPr>
          <w:rFonts w:ascii="Arial" w:hAnsi="Arial" w:cs="Arial"/>
          <w:sz w:val="20"/>
        </w:rPr>
        <w:t>.</w:t>
      </w:r>
    </w:p>
    <w:p w:rsidRPr="00EF416B" w:rsidR="009C526C" w:rsidRDefault="009C526C">
      <w:pPr>
        <w:rPr>
          <w:rFonts w:ascii="Arial" w:hAnsi="Arial" w:cs="Arial"/>
          <w:sz w:val="20"/>
        </w:rPr>
      </w:pPr>
    </w:p>
    <w:p w:rsidRPr="00EF416B" w:rsidR="009C526C" w:rsidRDefault="009C526C">
      <w:pPr>
        <w:rPr>
          <w:rFonts w:ascii="Arial" w:hAnsi="Arial" w:cs="Arial"/>
          <w:sz w:val="20"/>
        </w:rPr>
      </w:pPr>
      <w:r w:rsidRPr="00EF416B">
        <w:rPr>
          <w:rFonts w:ascii="Arial" w:hAnsi="Arial" w:cs="Arial"/>
          <w:sz w:val="20"/>
        </w:rPr>
        <w:t>18.</w:t>
      </w:r>
      <w:r w:rsidRPr="00EF416B" w:rsidR="004D6CCC">
        <w:rPr>
          <w:rFonts w:ascii="Arial" w:hAnsi="Arial" w:cs="Arial"/>
          <w:sz w:val="20"/>
        </w:rPr>
        <w:t xml:space="preserve">  </w:t>
      </w:r>
      <w:r w:rsidRPr="00EF416B">
        <w:rPr>
          <w:rFonts w:ascii="Arial" w:hAnsi="Arial" w:cs="Arial"/>
          <w:sz w:val="20"/>
        </w:rPr>
        <w:t xml:space="preserve"> </w:t>
      </w:r>
      <w:r w:rsidRPr="00EF416B">
        <w:rPr>
          <w:rFonts w:ascii="Arial" w:hAnsi="Arial" w:cs="Arial"/>
          <w:sz w:val="20"/>
          <w:u w:val="single"/>
        </w:rPr>
        <w:t>Exception to the certification statement</w:t>
      </w:r>
      <w:r w:rsidRPr="00EF416B">
        <w:rPr>
          <w:rFonts w:ascii="Arial" w:hAnsi="Arial" w:cs="Arial"/>
          <w:sz w:val="20"/>
        </w:rPr>
        <w:t>.</w:t>
      </w:r>
      <w:r w:rsidR="00824B81">
        <w:rPr>
          <w:rFonts w:ascii="Arial" w:hAnsi="Arial" w:cs="Arial"/>
          <w:sz w:val="20"/>
        </w:rPr>
        <w:t xml:space="preserve">  </w:t>
      </w:r>
    </w:p>
    <w:p w:rsidRPr="00EF416B" w:rsidR="009C526C" w:rsidRDefault="009C526C">
      <w:pPr>
        <w:rPr>
          <w:rFonts w:ascii="Arial" w:hAnsi="Arial" w:cs="Arial"/>
          <w:sz w:val="20"/>
        </w:rPr>
      </w:pPr>
    </w:p>
    <w:p w:rsidRPr="00EF416B" w:rsidR="00884D2E" w:rsidP="00884D2E" w:rsidRDefault="00A73C7D">
      <w:pPr>
        <w:rPr>
          <w:rFonts w:ascii="Arial" w:hAnsi="Arial" w:cs="Arial"/>
          <w:sz w:val="20"/>
        </w:rPr>
      </w:pPr>
      <w:r w:rsidRPr="00EF416B">
        <w:rPr>
          <w:rFonts w:ascii="Arial" w:hAnsi="Arial" w:cs="Arial"/>
          <w:sz w:val="20"/>
        </w:rPr>
        <w:t xml:space="preserve">The </w:t>
      </w:r>
      <w:r w:rsidRPr="00EF416B" w:rsidR="004D6CCC">
        <w:rPr>
          <w:rFonts w:ascii="Arial" w:hAnsi="Arial" w:cs="Arial"/>
          <w:sz w:val="20"/>
        </w:rPr>
        <w:t>CG</w:t>
      </w:r>
      <w:r w:rsidRPr="00EF416B">
        <w:rPr>
          <w:rFonts w:ascii="Arial" w:hAnsi="Arial" w:cs="Arial"/>
          <w:sz w:val="20"/>
        </w:rPr>
        <w:t xml:space="preserve"> does not request an exception to the certification of this information collection</w:t>
      </w:r>
      <w:r w:rsidRPr="00EF416B" w:rsidR="00884D2E">
        <w:rPr>
          <w:rFonts w:ascii="Arial" w:hAnsi="Arial" w:cs="Arial"/>
          <w:sz w:val="20"/>
        </w:rPr>
        <w:t>.</w:t>
      </w:r>
    </w:p>
    <w:p w:rsidRPr="00EF416B" w:rsidR="009C526C" w:rsidP="00884D2E" w:rsidRDefault="009C526C">
      <w:pPr>
        <w:rPr>
          <w:rFonts w:ascii="Arial" w:hAnsi="Arial" w:cs="Arial"/>
          <w:sz w:val="20"/>
        </w:rPr>
      </w:pPr>
    </w:p>
    <w:p w:rsidRPr="00EF416B" w:rsidR="00CD5CF4" w:rsidP="00884D2E" w:rsidRDefault="00CD5CF4">
      <w:pPr>
        <w:rPr>
          <w:rFonts w:ascii="Arial" w:hAnsi="Arial" w:cs="Arial"/>
          <w:sz w:val="20"/>
        </w:rPr>
      </w:pPr>
    </w:p>
    <w:p w:rsidRPr="00EF416B" w:rsidR="009C526C" w:rsidRDefault="009C526C">
      <w:pPr>
        <w:rPr>
          <w:rFonts w:ascii="Arial" w:hAnsi="Arial" w:cs="Arial"/>
          <w:b/>
          <w:bCs/>
          <w:sz w:val="20"/>
        </w:rPr>
      </w:pPr>
      <w:r w:rsidRPr="00EF416B">
        <w:rPr>
          <w:rFonts w:ascii="Arial" w:hAnsi="Arial" w:cs="Arial"/>
          <w:b/>
          <w:bCs/>
          <w:sz w:val="20"/>
        </w:rPr>
        <w:t>B.  Collection of Information Employing Statistical Methods</w:t>
      </w:r>
      <w:r w:rsidR="00824B81">
        <w:rPr>
          <w:rFonts w:ascii="Arial" w:hAnsi="Arial" w:cs="Arial"/>
          <w:b/>
          <w:bCs/>
          <w:sz w:val="20"/>
        </w:rPr>
        <w:t xml:space="preserve">  </w:t>
      </w:r>
    </w:p>
    <w:p w:rsidRPr="00EF416B" w:rsidR="00A73C7D" w:rsidRDefault="00A73C7D">
      <w:pPr>
        <w:pStyle w:val="p2"/>
        <w:tabs>
          <w:tab w:val="clear" w:pos="620"/>
        </w:tabs>
        <w:spacing w:line="240" w:lineRule="auto"/>
        <w:rPr>
          <w:rFonts w:ascii="Arial" w:hAnsi="Arial" w:cs="Arial"/>
          <w:sz w:val="20"/>
        </w:rPr>
      </w:pPr>
    </w:p>
    <w:p w:rsidR="009C526C" w:rsidRDefault="00884D2E">
      <w:pPr>
        <w:pStyle w:val="p2"/>
        <w:tabs>
          <w:tab w:val="clear" w:pos="620"/>
        </w:tabs>
        <w:spacing w:line="240" w:lineRule="auto"/>
        <w:rPr>
          <w:rFonts w:ascii="Arial" w:hAnsi="Arial" w:cs="Arial"/>
          <w:sz w:val="20"/>
        </w:rPr>
      </w:pPr>
      <w:r w:rsidRPr="00EF416B">
        <w:rPr>
          <w:rFonts w:ascii="Arial" w:hAnsi="Arial" w:cs="Arial"/>
          <w:sz w:val="20"/>
        </w:rPr>
        <w:t>This information collection does not employ statistical methods.</w:t>
      </w:r>
      <w:r w:rsidR="00824B81">
        <w:rPr>
          <w:rFonts w:ascii="Arial" w:hAnsi="Arial" w:cs="Arial"/>
          <w:sz w:val="20"/>
        </w:rPr>
        <w:t xml:space="preserve">  </w:t>
      </w:r>
    </w:p>
    <w:p w:rsidR="00824B81" w:rsidRDefault="00824B81">
      <w:pPr>
        <w:pStyle w:val="p2"/>
        <w:tabs>
          <w:tab w:val="clear" w:pos="620"/>
        </w:tabs>
        <w:spacing w:line="240" w:lineRule="auto"/>
        <w:rPr>
          <w:rFonts w:ascii="Arial" w:hAnsi="Arial" w:cs="Arial"/>
          <w:sz w:val="20"/>
        </w:rPr>
      </w:pPr>
    </w:p>
    <w:p w:rsidRPr="00EF416B" w:rsidR="00824B81" w:rsidRDefault="00824B81">
      <w:pPr>
        <w:pStyle w:val="p2"/>
        <w:tabs>
          <w:tab w:val="clear" w:pos="620"/>
        </w:tabs>
        <w:spacing w:line="240" w:lineRule="auto"/>
        <w:rPr>
          <w:rFonts w:ascii="Arial" w:hAnsi="Arial" w:cs="Arial"/>
          <w:sz w:val="20"/>
        </w:rPr>
      </w:pPr>
    </w:p>
    <w:sectPr w:rsidRPr="00EF416B" w:rsidR="00824B81">
      <w:headerReference w:type="default" r:id="rId12"/>
      <w:footerReference w:type="default" r:id="rId13"/>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740" w:rsidRDefault="00CB4740">
      <w:r>
        <w:separator/>
      </w:r>
    </w:p>
  </w:endnote>
  <w:endnote w:type="continuationSeparator" w:id="0">
    <w:p w:rsidR="00CB4740" w:rsidRDefault="00CB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740" w:rsidRPr="004E79C7" w:rsidRDefault="00CB4740">
    <w:pPr>
      <w:pStyle w:val="Footer"/>
      <w:jc w:val="center"/>
      <w:rPr>
        <w:rStyle w:val="PageNumber"/>
        <w:rFonts w:ascii="Arial" w:hAnsi="Arial" w:cs="Arial"/>
        <w:sz w:val="20"/>
      </w:rPr>
    </w:pPr>
    <w:r w:rsidRPr="004E79C7">
      <w:rPr>
        <w:rStyle w:val="PageNumber"/>
        <w:rFonts w:ascii="Arial" w:hAnsi="Arial" w:cs="Arial"/>
        <w:sz w:val="20"/>
      </w:rPr>
      <w:fldChar w:fldCharType="begin"/>
    </w:r>
    <w:r w:rsidRPr="004E79C7">
      <w:rPr>
        <w:rStyle w:val="PageNumber"/>
        <w:rFonts w:ascii="Arial" w:hAnsi="Arial" w:cs="Arial"/>
        <w:sz w:val="20"/>
      </w:rPr>
      <w:instrText xml:space="preserve"> PAGE </w:instrText>
    </w:r>
    <w:r w:rsidRPr="004E79C7">
      <w:rPr>
        <w:rStyle w:val="PageNumber"/>
        <w:rFonts w:ascii="Arial" w:hAnsi="Arial" w:cs="Arial"/>
        <w:sz w:val="20"/>
      </w:rPr>
      <w:fldChar w:fldCharType="separate"/>
    </w:r>
    <w:r w:rsidR="00FB0508">
      <w:rPr>
        <w:rStyle w:val="PageNumber"/>
        <w:rFonts w:ascii="Arial" w:hAnsi="Arial" w:cs="Arial"/>
        <w:noProof/>
        <w:sz w:val="20"/>
      </w:rPr>
      <w:t>1</w:t>
    </w:r>
    <w:r w:rsidRPr="004E79C7">
      <w:rPr>
        <w:rStyle w:val="PageNumber"/>
        <w:rFonts w:ascii="Arial" w:hAnsi="Arial" w:cs="Arial"/>
        <w:sz w:val="20"/>
      </w:rPr>
      <w:fldChar w:fldCharType="end"/>
    </w:r>
    <w:r w:rsidRPr="004E79C7">
      <w:rPr>
        <w:rStyle w:val="PageNumber"/>
        <w:rFonts w:ascii="Arial" w:hAnsi="Arial" w:cs="Arial"/>
        <w:sz w:val="20"/>
      </w:rPr>
      <w:t xml:space="preserve"> of </w:t>
    </w:r>
    <w:r w:rsidRPr="004E79C7">
      <w:rPr>
        <w:rStyle w:val="PageNumber"/>
        <w:rFonts w:ascii="Arial" w:hAnsi="Arial" w:cs="Arial"/>
        <w:sz w:val="20"/>
      </w:rPr>
      <w:fldChar w:fldCharType="begin"/>
    </w:r>
    <w:r w:rsidRPr="004E79C7">
      <w:rPr>
        <w:rStyle w:val="PageNumber"/>
        <w:rFonts w:ascii="Arial" w:hAnsi="Arial" w:cs="Arial"/>
        <w:sz w:val="20"/>
      </w:rPr>
      <w:instrText xml:space="preserve"> NUMPAGES </w:instrText>
    </w:r>
    <w:r w:rsidRPr="004E79C7">
      <w:rPr>
        <w:rStyle w:val="PageNumber"/>
        <w:rFonts w:ascii="Arial" w:hAnsi="Arial" w:cs="Arial"/>
        <w:sz w:val="20"/>
      </w:rPr>
      <w:fldChar w:fldCharType="separate"/>
    </w:r>
    <w:r w:rsidR="00FB0508">
      <w:rPr>
        <w:rStyle w:val="PageNumber"/>
        <w:rFonts w:ascii="Arial" w:hAnsi="Arial" w:cs="Arial"/>
        <w:noProof/>
        <w:sz w:val="20"/>
      </w:rPr>
      <w:t>6</w:t>
    </w:r>
    <w:r w:rsidRPr="004E79C7">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740" w:rsidRDefault="00CB4740">
      <w:r>
        <w:separator/>
      </w:r>
    </w:p>
  </w:footnote>
  <w:footnote w:type="continuationSeparator" w:id="0">
    <w:p w:rsidR="00CB4740" w:rsidRDefault="00CB4740">
      <w:r>
        <w:continuationSeparator/>
      </w:r>
    </w:p>
  </w:footnote>
  <w:footnote w:id="1">
    <w:p w:rsidR="00CB4740" w:rsidRPr="00317583" w:rsidRDefault="00CB4740" w:rsidP="00F42B65">
      <w:pPr>
        <w:pStyle w:val="FootnoteText"/>
        <w:rPr>
          <w:rFonts w:ascii="Arial" w:hAnsi="Arial" w:cs="Arial"/>
          <w:sz w:val="18"/>
          <w:szCs w:val="18"/>
        </w:rPr>
      </w:pPr>
      <w:r w:rsidRPr="00317583">
        <w:rPr>
          <w:rStyle w:val="FootnoteReference"/>
          <w:rFonts w:ascii="Arial" w:hAnsi="Arial" w:cs="Arial"/>
          <w:sz w:val="18"/>
          <w:szCs w:val="18"/>
        </w:rPr>
        <w:footnoteRef/>
      </w:r>
      <w:r w:rsidRPr="00317583">
        <w:rPr>
          <w:rFonts w:ascii="Arial" w:hAnsi="Arial" w:cs="Arial"/>
          <w:sz w:val="18"/>
          <w:szCs w:val="18"/>
        </w:rPr>
        <w:t xml:space="preserve">  To use VRP Express, a planholder/</w:t>
      </w:r>
      <w:r>
        <w:rPr>
          <w:rFonts w:ascii="Arial" w:hAnsi="Arial" w:cs="Arial"/>
          <w:sz w:val="18"/>
          <w:szCs w:val="18"/>
        </w:rPr>
        <w:t xml:space="preserve">plan </w:t>
      </w:r>
      <w:r w:rsidRPr="00317583">
        <w:rPr>
          <w:rFonts w:ascii="Arial" w:hAnsi="Arial" w:cs="Arial"/>
          <w:sz w:val="18"/>
          <w:szCs w:val="18"/>
        </w:rPr>
        <w:t>preparer must have a Homeport user account</w:t>
      </w:r>
      <w:r>
        <w:rPr>
          <w:rFonts w:ascii="Arial" w:hAnsi="Arial" w:cs="Arial"/>
          <w:sz w:val="18"/>
          <w:szCs w:val="18"/>
        </w:rPr>
        <w:t xml:space="preserve"> and login via </w:t>
      </w:r>
      <w:hyperlink r:id="rId1" w:history="1">
        <w:r w:rsidRPr="00317583">
          <w:rPr>
            <w:rStyle w:val="Hyperlink"/>
            <w:rFonts w:ascii="Arial" w:hAnsi="Arial" w:cs="Arial"/>
            <w:sz w:val="18"/>
            <w:szCs w:val="18"/>
          </w:rPr>
          <w:t>https://homeport.uscg.mil</w:t>
        </w:r>
      </w:hyperlink>
      <w:r w:rsidRPr="00317583">
        <w:rPr>
          <w:rFonts w:ascii="Arial" w:hAnsi="Arial" w:cs="Arial"/>
          <w:sz w:val="18"/>
          <w:szCs w:val="18"/>
        </w:rPr>
        <w:t xml:space="preserve">.  </w:t>
      </w:r>
    </w:p>
  </w:footnote>
  <w:footnote w:id="2">
    <w:p w:rsidR="00CB4740" w:rsidRPr="00317583" w:rsidRDefault="00CB4740" w:rsidP="00317583">
      <w:pPr>
        <w:pStyle w:val="FootnoteText"/>
        <w:rPr>
          <w:rFonts w:ascii="Arial" w:hAnsi="Arial" w:cs="Arial"/>
          <w:sz w:val="18"/>
          <w:szCs w:val="18"/>
        </w:rPr>
      </w:pPr>
      <w:r w:rsidRPr="00317583">
        <w:rPr>
          <w:rStyle w:val="FootnoteReference"/>
          <w:rFonts w:ascii="Arial" w:hAnsi="Arial" w:cs="Arial"/>
          <w:sz w:val="18"/>
          <w:szCs w:val="18"/>
        </w:rPr>
        <w:footnoteRef/>
      </w:r>
      <w:r w:rsidRPr="00317583">
        <w:rPr>
          <w:rFonts w:ascii="Arial" w:hAnsi="Arial" w:cs="Arial"/>
          <w:sz w:val="18"/>
          <w:szCs w:val="18"/>
        </w:rPr>
        <w:t xml:space="preserve">  Estimated to be 2,000 hours each for one Lieutenant Commander (O-4), one GS-13 and one E-6 with wage rates (in-gov’t) taken from COMDTINST 7310.1(series).  </w:t>
      </w:r>
    </w:p>
  </w:footnote>
  <w:footnote w:id="3">
    <w:p w:rsidR="00CB4740" w:rsidRPr="00317583" w:rsidRDefault="00CB4740" w:rsidP="00317583">
      <w:pPr>
        <w:pStyle w:val="FootnoteText"/>
        <w:rPr>
          <w:rFonts w:ascii="Arial" w:hAnsi="Arial" w:cs="Arial"/>
          <w:sz w:val="18"/>
          <w:szCs w:val="18"/>
        </w:rPr>
      </w:pPr>
      <w:r w:rsidRPr="00317583">
        <w:rPr>
          <w:rStyle w:val="FootnoteReference"/>
          <w:rFonts w:ascii="Arial" w:hAnsi="Arial" w:cs="Arial"/>
          <w:sz w:val="18"/>
          <w:szCs w:val="18"/>
        </w:rPr>
        <w:footnoteRef/>
      </w:r>
      <w:r w:rsidRPr="00317583">
        <w:rPr>
          <w:rFonts w:ascii="Arial" w:hAnsi="Arial" w:cs="Arial"/>
          <w:sz w:val="18"/>
          <w:szCs w:val="18"/>
        </w:rPr>
        <w:t xml:space="preserve">  Estimated to be 400 hours for a Lieutenant (O-3)</w:t>
      </w:r>
      <w:r w:rsidRPr="00317583" w:rsidDel="00C94FE1">
        <w:rPr>
          <w:rFonts w:ascii="Arial" w:hAnsi="Arial" w:cs="Arial"/>
          <w:sz w:val="18"/>
          <w:szCs w:val="18"/>
        </w:rPr>
        <w:t xml:space="preserve"> </w:t>
      </w:r>
      <w:r w:rsidRPr="00317583">
        <w:rPr>
          <w:rFonts w:ascii="Arial" w:hAnsi="Arial" w:cs="Arial"/>
          <w:sz w:val="18"/>
          <w:szCs w:val="18"/>
        </w:rPr>
        <w:t xml:space="preserve">assigned to the CG Marine Safety Unit in Valdez with wage rates (in-gov’t) taken from COMDTINST 7310.1(series).  </w:t>
      </w:r>
    </w:p>
    <w:p w:rsidR="00CB4740" w:rsidRPr="00824B81" w:rsidRDefault="00CB4740" w:rsidP="00317583">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740" w:rsidRPr="004E79C7" w:rsidRDefault="00CB4740">
    <w:pPr>
      <w:pStyle w:val="Header"/>
      <w:rPr>
        <w:rFonts w:ascii="Arial" w:hAnsi="Arial" w:cs="Arial"/>
        <w:sz w:val="20"/>
      </w:rPr>
    </w:pPr>
    <w:r w:rsidRPr="004E79C7">
      <w:rPr>
        <w:rFonts w:ascii="Arial" w:hAnsi="Arial" w:cs="Arial"/>
        <w:sz w:val="20"/>
      </w:rPr>
      <w:t xml:space="preserve">1625-0066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72F5"/>
    <w:multiLevelType w:val="singleLevel"/>
    <w:tmpl w:val="0500156C"/>
    <w:lvl w:ilvl="0">
      <w:start w:val="1"/>
      <w:numFmt w:val="decimal"/>
      <w:lvlText w:val="14.%1 "/>
      <w:legacy w:legacy="1" w:legacySpace="0" w:legacyIndent="360"/>
      <w:lvlJc w:val="left"/>
      <w:pPr>
        <w:ind w:left="360" w:hanging="360"/>
      </w:pPr>
      <w:rPr>
        <w:rFonts w:ascii="Times" w:hAnsi="Times" w:hint="default"/>
        <w:b w:val="0"/>
        <w:i w:val="0"/>
        <w:sz w:val="24"/>
      </w:rPr>
    </w:lvl>
  </w:abstractNum>
  <w:abstractNum w:abstractNumId="1" w15:restartNumberingAfterBreak="0">
    <w:nsid w:val="065D5CD9"/>
    <w:multiLevelType w:val="hybridMultilevel"/>
    <w:tmpl w:val="3F087B86"/>
    <w:lvl w:ilvl="0" w:tplc="D2B4DE42">
      <w:numFmt w:val="bullet"/>
      <w:lvlText w:val="•"/>
      <w:lvlJc w:val="left"/>
      <w:pPr>
        <w:ind w:left="975" w:hanging="61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D5110"/>
    <w:multiLevelType w:val="singleLevel"/>
    <w:tmpl w:val="0F4898F4"/>
    <w:lvl w:ilvl="0">
      <w:start w:val="10"/>
      <w:numFmt w:val="decimal"/>
      <w:lvlText w:val="%1"/>
      <w:lvlJc w:val="left"/>
      <w:pPr>
        <w:tabs>
          <w:tab w:val="num" w:pos="360"/>
        </w:tabs>
        <w:ind w:left="360" w:hanging="360"/>
      </w:pPr>
      <w:rPr>
        <w:rFonts w:hint="default"/>
        <w:u w:val="single"/>
      </w:rPr>
    </w:lvl>
  </w:abstractNum>
  <w:abstractNum w:abstractNumId="3" w15:restartNumberingAfterBreak="0">
    <w:nsid w:val="0F5846EE"/>
    <w:multiLevelType w:val="singleLevel"/>
    <w:tmpl w:val="430A48C0"/>
    <w:lvl w:ilvl="0">
      <w:start w:val="8"/>
      <w:numFmt w:val="decimal"/>
      <w:lvlText w:val="%1."/>
      <w:lvlJc w:val="left"/>
      <w:pPr>
        <w:tabs>
          <w:tab w:val="num" w:pos="360"/>
        </w:tabs>
        <w:ind w:left="360" w:hanging="360"/>
      </w:pPr>
      <w:rPr>
        <w:rFonts w:hint="default"/>
      </w:rPr>
    </w:lvl>
  </w:abstractNum>
  <w:abstractNum w:abstractNumId="4" w15:restartNumberingAfterBreak="0">
    <w:nsid w:val="1EDA516F"/>
    <w:multiLevelType w:val="hybridMultilevel"/>
    <w:tmpl w:val="A0BE29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2112FF0"/>
    <w:multiLevelType w:val="singleLevel"/>
    <w:tmpl w:val="430A48C0"/>
    <w:lvl w:ilvl="0">
      <w:start w:val="8"/>
      <w:numFmt w:val="decimal"/>
      <w:lvlText w:val="%1."/>
      <w:lvlJc w:val="left"/>
      <w:pPr>
        <w:tabs>
          <w:tab w:val="num" w:pos="360"/>
        </w:tabs>
        <w:ind w:left="360" w:hanging="360"/>
      </w:pPr>
      <w:rPr>
        <w:rFonts w:hint="default"/>
      </w:rPr>
    </w:lvl>
  </w:abstractNum>
  <w:abstractNum w:abstractNumId="6" w15:restartNumberingAfterBreak="0">
    <w:nsid w:val="27646830"/>
    <w:multiLevelType w:val="singleLevel"/>
    <w:tmpl w:val="ACA8180E"/>
    <w:lvl w:ilvl="0">
      <w:start w:val="8"/>
      <w:numFmt w:val="decimal"/>
      <w:lvlText w:val="%1."/>
      <w:lvlJc w:val="left"/>
      <w:pPr>
        <w:tabs>
          <w:tab w:val="num" w:pos="360"/>
        </w:tabs>
        <w:ind w:left="360" w:hanging="360"/>
      </w:pPr>
      <w:rPr>
        <w:rFonts w:hint="default"/>
        <w:u w:val="single"/>
      </w:rPr>
    </w:lvl>
  </w:abstractNum>
  <w:abstractNum w:abstractNumId="7" w15:restartNumberingAfterBreak="0">
    <w:nsid w:val="2A3B58F9"/>
    <w:multiLevelType w:val="multilevel"/>
    <w:tmpl w:val="40462C22"/>
    <w:lvl w:ilvl="0">
      <w:start w:val="12"/>
      <w:numFmt w:val="decimal"/>
      <w:lvlText w:val="%1-"/>
      <w:lvlJc w:val="left"/>
      <w:pPr>
        <w:tabs>
          <w:tab w:val="num" w:pos="630"/>
        </w:tabs>
        <w:ind w:left="630" w:hanging="630"/>
      </w:pPr>
      <w:rPr>
        <w:rFonts w:hint="default"/>
        <w:b w:val="0"/>
        <w:u w:val="none"/>
      </w:rPr>
    </w:lvl>
    <w:lvl w:ilvl="1">
      <w:start w:val="7"/>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8" w15:restartNumberingAfterBreak="0">
    <w:nsid w:val="2B8B2A22"/>
    <w:multiLevelType w:val="hybridMultilevel"/>
    <w:tmpl w:val="17B24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14F1F"/>
    <w:multiLevelType w:val="multilevel"/>
    <w:tmpl w:val="50A2D732"/>
    <w:lvl w:ilvl="0">
      <w:start w:val="15"/>
      <w:numFmt w:val="decimal"/>
      <w:lvlText w:val="%1"/>
      <w:lvlJc w:val="left"/>
      <w:pPr>
        <w:tabs>
          <w:tab w:val="num" w:pos="435"/>
        </w:tabs>
        <w:ind w:left="435" w:hanging="435"/>
      </w:pPr>
      <w:rPr>
        <w:rFonts w:hint="default"/>
        <w:b w:val="0"/>
        <w:u w:val="none"/>
      </w:rPr>
    </w:lvl>
    <w:lvl w:ilvl="1">
      <w:start w:val="1"/>
      <w:numFmt w:val="decimal"/>
      <w:lvlText w:val="%1-%2"/>
      <w:lvlJc w:val="left"/>
      <w:pPr>
        <w:tabs>
          <w:tab w:val="num" w:pos="435"/>
        </w:tabs>
        <w:ind w:left="435" w:hanging="435"/>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0" w15:restartNumberingAfterBreak="0">
    <w:nsid w:val="367A2677"/>
    <w:multiLevelType w:val="hybridMultilevel"/>
    <w:tmpl w:val="CAA802DA"/>
    <w:lvl w:ilvl="0" w:tplc="D2B4DE42">
      <w:numFmt w:val="bullet"/>
      <w:lvlText w:val="•"/>
      <w:lvlJc w:val="left"/>
      <w:pPr>
        <w:ind w:left="975" w:hanging="61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648B9"/>
    <w:multiLevelType w:val="hybridMultilevel"/>
    <w:tmpl w:val="46A817C2"/>
    <w:lvl w:ilvl="0" w:tplc="D2B4DE42">
      <w:numFmt w:val="bullet"/>
      <w:lvlText w:val="•"/>
      <w:lvlJc w:val="left"/>
      <w:pPr>
        <w:ind w:left="975" w:hanging="61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F715CE"/>
    <w:multiLevelType w:val="hybridMultilevel"/>
    <w:tmpl w:val="6DB8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23E75"/>
    <w:multiLevelType w:val="singleLevel"/>
    <w:tmpl w:val="A49C5E5E"/>
    <w:lvl w:ilvl="0">
      <w:start w:val="8"/>
      <w:numFmt w:val="decimal"/>
      <w:lvlText w:val="%1. "/>
      <w:legacy w:legacy="1" w:legacySpace="0" w:legacyIndent="360"/>
      <w:lvlJc w:val="left"/>
      <w:pPr>
        <w:ind w:left="360" w:hanging="360"/>
      </w:pPr>
      <w:rPr>
        <w:rFonts w:ascii="Times New Roman" w:hAnsi="Times New Roman" w:hint="default"/>
        <w:b w:val="0"/>
        <w:i w:val="0"/>
        <w:sz w:val="24"/>
      </w:rPr>
    </w:lvl>
  </w:abstractNum>
  <w:abstractNum w:abstractNumId="15"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E4F3D"/>
    <w:multiLevelType w:val="singleLevel"/>
    <w:tmpl w:val="3A542852"/>
    <w:lvl w:ilvl="0">
      <w:start w:val="7"/>
      <w:numFmt w:val="decimal"/>
      <w:lvlText w:val="%1."/>
      <w:lvlJc w:val="left"/>
      <w:pPr>
        <w:tabs>
          <w:tab w:val="num" w:pos="615"/>
        </w:tabs>
        <w:ind w:left="615" w:hanging="615"/>
      </w:pPr>
      <w:rPr>
        <w:rFonts w:hint="default"/>
      </w:rPr>
    </w:lvl>
  </w:abstractNum>
  <w:abstractNum w:abstractNumId="17" w15:restartNumberingAfterBreak="0">
    <w:nsid w:val="596C4750"/>
    <w:multiLevelType w:val="hybridMultilevel"/>
    <w:tmpl w:val="3498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E312A"/>
    <w:multiLevelType w:val="hybridMultilevel"/>
    <w:tmpl w:val="BCAA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40C64F9"/>
    <w:multiLevelType w:val="singleLevel"/>
    <w:tmpl w:val="F292518E"/>
    <w:lvl w:ilvl="0">
      <w:start w:val="9"/>
      <w:numFmt w:val="decimal"/>
      <w:lvlText w:val="%1. "/>
      <w:legacy w:legacy="1" w:legacySpace="0" w:legacyIndent="360"/>
      <w:lvlJc w:val="left"/>
      <w:pPr>
        <w:ind w:left="360" w:hanging="360"/>
      </w:pPr>
      <w:rPr>
        <w:rFonts w:ascii="Times New Roman" w:hAnsi="Times New Roman" w:hint="default"/>
        <w:b w:val="0"/>
        <w:i w:val="0"/>
        <w:sz w:val="24"/>
      </w:rPr>
    </w:lvl>
  </w:abstractNum>
  <w:abstractNum w:abstractNumId="22"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0"/>
  </w:num>
  <w:num w:numId="4">
    <w:abstractNumId w:val="2"/>
  </w:num>
  <w:num w:numId="5">
    <w:abstractNumId w:val="9"/>
  </w:num>
  <w:num w:numId="6">
    <w:abstractNumId w:val="6"/>
  </w:num>
  <w:num w:numId="7">
    <w:abstractNumId w:val="3"/>
  </w:num>
  <w:num w:numId="8">
    <w:abstractNumId w:val="16"/>
  </w:num>
  <w:num w:numId="9">
    <w:abstractNumId w:val="5"/>
  </w:num>
  <w:num w:numId="10">
    <w:abstractNumId w:val="12"/>
  </w:num>
  <w:num w:numId="11">
    <w:abstractNumId w:val="19"/>
  </w:num>
  <w:num w:numId="12">
    <w:abstractNumId w:val="20"/>
  </w:num>
  <w:num w:numId="13">
    <w:abstractNumId w:val="7"/>
  </w:num>
  <w:num w:numId="14">
    <w:abstractNumId w:val="4"/>
  </w:num>
  <w:num w:numId="15">
    <w:abstractNumId w:val="18"/>
  </w:num>
  <w:num w:numId="16">
    <w:abstractNumId w:val="1"/>
  </w:num>
  <w:num w:numId="17">
    <w:abstractNumId w:val="11"/>
  </w:num>
  <w:num w:numId="18">
    <w:abstractNumId w:val="10"/>
  </w:num>
  <w:num w:numId="19">
    <w:abstractNumId w:val="15"/>
  </w:num>
  <w:num w:numId="20">
    <w:abstractNumId w:val="8"/>
  </w:num>
  <w:num w:numId="21">
    <w:abstractNumId w:val="17"/>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D6D"/>
    <w:rsid w:val="00006B46"/>
    <w:rsid w:val="00020B9A"/>
    <w:rsid w:val="00030CE0"/>
    <w:rsid w:val="00037403"/>
    <w:rsid w:val="00042D2C"/>
    <w:rsid w:val="00046452"/>
    <w:rsid w:val="000521DC"/>
    <w:rsid w:val="00067FD8"/>
    <w:rsid w:val="00076B7F"/>
    <w:rsid w:val="000776BB"/>
    <w:rsid w:val="00086CDE"/>
    <w:rsid w:val="0008769A"/>
    <w:rsid w:val="00090EE9"/>
    <w:rsid w:val="000976E4"/>
    <w:rsid w:val="000A31FB"/>
    <w:rsid w:val="000A6D9D"/>
    <w:rsid w:val="000B0C46"/>
    <w:rsid w:val="000B1A08"/>
    <w:rsid w:val="000C0F1B"/>
    <w:rsid w:val="000C15CE"/>
    <w:rsid w:val="000C6481"/>
    <w:rsid w:val="000D390D"/>
    <w:rsid w:val="000E0FCE"/>
    <w:rsid w:val="000E13B0"/>
    <w:rsid w:val="000F4B39"/>
    <w:rsid w:val="001139BB"/>
    <w:rsid w:val="00120F09"/>
    <w:rsid w:val="001255A4"/>
    <w:rsid w:val="001369F9"/>
    <w:rsid w:val="00137713"/>
    <w:rsid w:val="00143425"/>
    <w:rsid w:val="001443C6"/>
    <w:rsid w:val="001700D0"/>
    <w:rsid w:val="001734C1"/>
    <w:rsid w:val="00177B02"/>
    <w:rsid w:val="00180040"/>
    <w:rsid w:val="00187E36"/>
    <w:rsid w:val="0019139A"/>
    <w:rsid w:val="001A36C5"/>
    <w:rsid w:val="001A4442"/>
    <w:rsid w:val="001A6C59"/>
    <w:rsid w:val="001B0A04"/>
    <w:rsid w:val="001B4462"/>
    <w:rsid w:val="001B5A83"/>
    <w:rsid w:val="001C4188"/>
    <w:rsid w:val="001D47AD"/>
    <w:rsid w:val="001E356F"/>
    <w:rsid w:val="001E4F66"/>
    <w:rsid w:val="00202195"/>
    <w:rsid w:val="002037BE"/>
    <w:rsid w:val="00211081"/>
    <w:rsid w:val="00212441"/>
    <w:rsid w:val="00213606"/>
    <w:rsid w:val="00213A85"/>
    <w:rsid w:val="00214704"/>
    <w:rsid w:val="00214756"/>
    <w:rsid w:val="00214E34"/>
    <w:rsid w:val="002155F5"/>
    <w:rsid w:val="0021696C"/>
    <w:rsid w:val="0022056C"/>
    <w:rsid w:val="00226AF5"/>
    <w:rsid w:val="002303E0"/>
    <w:rsid w:val="00231948"/>
    <w:rsid w:val="002409D9"/>
    <w:rsid w:val="00243A84"/>
    <w:rsid w:val="00244572"/>
    <w:rsid w:val="00244BEF"/>
    <w:rsid w:val="00252AA6"/>
    <w:rsid w:val="00252D3B"/>
    <w:rsid w:val="0026126D"/>
    <w:rsid w:val="002644AB"/>
    <w:rsid w:val="00283FFC"/>
    <w:rsid w:val="00287770"/>
    <w:rsid w:val="00292331"/>
    <w:rsid w:val="002A2AC5"/>
    <w:rsid w:val="002B30A0"/>
    <w:rsid w:val="002E1BFE"/>
    <w:rsid w:val="002F2EED"/>
    <w:rsid w:val="0030013F"/>
    <w:rsid w:val="00302B73"/>
    <w:rsid w:val="00305945"/>
    <w:rsid w:val="0031147A"/>
    <w:rsid w:val="00315AE9"/>
    <w:rsid w:val="00317583"/>
    <w:rsid w:val="00317802"/>
    <w:rsid w:val="00321EEB"/>
    <w:rsid w:val="003305A7"/>
    <w:rsid w:val="003477D8"/>
    <w:rsid w:val="003578D6"/>
    <w:rsid w:val="003627AF"/>
    <w:rsid w:val="00362C46"/>
    <w:rsid w:val="00367E37"/>
    <w:rsid w:val="00373260"/>
    <w:rsid w:val="00377B65"/>
    <w:rsid w:val="003902CD"/>
    <w:rsid w:val="003B1D54"/>
    <w:rsid w:val="003B61EA"/>
    <w:rsid w:val="003C7F54"/>
    <w:rsid w:val="003D14BC"/>
    <w:rsid w:val="003D2731"/>
    <w:rsid w:val="003D2D4E"/>
    <w:rsid w:val="003D4B87"/>
    <w:rsid w:val="003D5183"/>
    <w:rsid w:val="003E08C9"/>
    <w:rsid w:val="003E350E"/>
    <w:rsid w:val="00407F65"/>
    <w:rsid w:val="00414CCF"/>
    <w:rsid w:val="00416C43"/>
    <w:rsid w:val="0042400F"/>
    <w:rsid w:val="004318A2"/>
    <w:rsid w:val="00434A80"/>
    <w:rsid w:val="00443E42"/>
    <w:rsid w:val="00470F92"/>
    <w:rsid w:val="00471534"/>
    <w:rsid w:val="0047185A"/>
    <w:rsid w:val="00474557"/>
    <w:rsid w:val="00475BB8"/>
    <w:rsid w:val="00481935"/>
    <w:rsid w:val="004855DC"/>
    <w:rsid w:val="0048595A"/>
    <w:rsid w:val="004A2075"/>
    <w:rsid w:val="004B3282"/>
    <w:rsid w:val="004C3793"/>
    <w:rsid w:val="004D267E"/>
    <w:rsid w:val="004D540C"/>
    <w:rsid w:val="004D648D"/>
    <w:rsid w:val="004D6CCC"/>
    <w:rsid w:val="004E2360"/>
    <w:rsid w:val="004E481C"/>
    <w:rsid w:val="004E543B"/>
    <w:rsid w:val="004E6A00"/>
    <w:rsid w:val="004E7533"/>
    <w:rsid w:val="004E79C7"/>
    <w:rsid w:val="004F51E4"/>
    <w:rsid w:val="00502D44"/>
    <w:rsid w:val="0051142B"/>
    <w:rsid w:val="0051162A"/>
    <w:rsid w:val="00522DF3"/>
    <w:rsid w:val="00525AF6"/>
    <w:rsid w:val="00553CBD"/>
    <w:rsid w:val="0056198A"/>
    <w:rsid w:val="005679B6"/>
    <w:rsid w:val="00570F71"/>
    <w:rsid w:val="005732DF"/>
    <w:rsid w:val="00577489"/>
    <w:rsid w:val="005877FE"/>
    <w:rsid w:val="00592A32"/>
    <w:rsid w:val="005961B7"/>
    <w:rsid w:val="0059779E"/>
    <w:rsid w:val="005A43EE"/>
    <w:rsid w:val="005B1D56"/>
    <w:rsid w:val="005B2E25"/>
    <w:rsid w:val="005C3FE3"/>
    <w:rsid w:val="005D4616"/>
    <w:rsid w:val="005E61B3"/>
    <w:rsid w:val="005F220D"/>
    <w:rsid w:val="006059B2"/>
    <w:rsid w:val="00610CD1"/>
    <w:rsid w:val="006268B6"/>
    <w:rsid w:val="006279C2"/>
    <w:rsid w:val="00635B8B"/>
    <w:rsid w:val="00655A6C"/>
    <w:rsid w:val="00656E92"/>
    <w:rsid w:val="00664BBC"/>
    <w:rsid w:val="0066599D"/>
    <w:rsid w:val="00666060"/>
    <w:rsid w:val="0066620F"/>
    <w:rsid w:val="0066759C"/>
    <w:rsid w:val="006852C5"/>
    <w:rsid w:val="00697E80"/>
    <w:rsid w:val="006A3A3C"/>
    <w:rsid w:val="006B189A"/>
    <w:rsid w:val="006B6B38"/>
    <w:rsid w:val="006C426C"/>
    <w:rsid w:val="006D3727"/>
    <w:rsid w:val="006E617F"/>
    <w:rsid w:val="006E69C6"/>
    <w:rsid w:val="006E6AB9"/>
    <w:rsid w:val="006F2DA4"/>
    <w:rsid w:val="006F39F9"/>
    <w:rsid w:val="006F68FD"/>
    <w:rsid w:val="006F7B5A"/>
    <w:rsid w:val="00710AB0"/>
    <w:rsid w:val="007114CC"/>
    <w:rsid w:val="00711687"/>
    <w:rsid w:val="007118CF"/>
    <w:rsid w:val="00711F02"/>
    <w:rsid w:val="00715040"/>
    <w:rsid w:val="00717A67"/>
    <w:rsid w:val="00721D6A"/>
    <w:rsid w:val="00723D6F"/>
    <w:rsid w:val="00731C0B"/>
    <w:rsid w:val="00740E2E"/>
    <w:rsid w:val="00752A73"/>
    <w:rsid w:val="00753B6A"/>
    <w:rsid w:val="007547C8"/>
    <w:rsid w:val="0075727E"/>
    <w:rsid w:val="007629EC"/>
    <w:rsid w:val="007644C9"/>
    <w:rsid w:val="007671CD"/>
    <w:rsid w:val="007878E1"/>
    <w:rsid w:val="007A0BFE"/>
    <w:rsid w:val="007B18B1"/>
    <w:rsid w:val="007C313E"/>
    <w:rsid w:val="007D4C57"/>
    <w:rsid w:val="007D5864"/>
    <w:rsid w:val="007E087A"/>
    <w:rsid w:val="007E1CF2"/>
    <w:rsid w:val="007E3F45"/>
    <w:rsid w:val="007F57AC"/>
    <w:rsid w:val="00806C17"/>
    <w:rsid w:val="008144A9"/>
    <w:rsid w:val="00814FCE"/>
    <w:rsid w:val="00815613"/>
    <w:rsid w:val="00817733"/>
    <w:rsid w:val="00821D6D"/>
    <w:rsid w:val="00824627"/>
    <w:rsid w:val="00824B81"/>
    <w:rsid w:val="00824DA7"/>
    <w:rsid w:val="00827AAD"/>
    <w:rsid w:val="008438A1"/>
    <w:rsid w:val="00856894"/>
    <w:rsid w:val="0086768E"/>
    <w:rsid w:val="008762FE"/>
    <w:rsid w:val="00876BDC"/>
    <w:rsid w:val="00880F63"/>
    <w:rsid w:val="0088484F"/>
    <w:rsid w:val="00884D2E"/>
    <w:rsid w:val="00892E14"/>
    <w:rsid w:val="008A39DF"/>
    <w:rsid w:val="008B4A73"/>
    <w:rsid w:val="008B50C3"/>
    <w:rsid w:val="008C56AD"/>
    <w:rsid w:val="008C7BF2"/>
    <w:rsid w:val="008E0FE9"/>
    <w:rsid w:val="009032A3"/>
    <w:rsid w:val="0090421D"/>
    <w:rsid w:val="0091486A"/>
    <w:rsid w:val="00914CF8"/>
    <w:rsid w:val="00916FF8"/>
    <w:rsid w:val="00926DE3"/>
    <w:rsid w:val="00927880"/>
    <w:rsid w:val="00930C23"/>
    <w:rsid w:val="00934738"/>
    <w:rsid w:val="00936015"/>
    <w:rsid w:val="00937A12"/>
    <w:rsid w:val="009440BA"/>
    <w:rsid w:val="009450B9"/>
    <w:rsid w:val="00955916"/>
    <w:rsid w:val="009561AA"/>
    <w:rsid w:val="009608DF"/>
    <w:rsid w:val="00970509"/>
    <w:rsid w:val="00971A5D"/>
    <w:rsid w:val="0097723C"/>
    <w:rsid w:val="009A4459"/>
    <w:rsid w:val="009C2A83"/>
    <w:rsid w:val="009C526C"/>
    <w:rsid w:val="009C5276"/>
    <w:rsid w:val="009C695F"/>
    <w:rsid w:val="009D0B0D"/>
    <w:rsid w:val="009D1563"/>
    <w:rsid w:val="009D3562"/>
    <w:rsid w:val="009D43C5"/>
    <w:rsid w:val="009E17B6"/>
    <w:rsid w:val="009F04D9"/>
    <w:rsid w:val="009F3C2A"/>
    <w:rsid w:val="009F6878"/>
    <w:rsid w:val="00A02F1F"/>
    <w:rsid w:val="00A06794"/>
    <w:rsid w:val="00A136EA"/>
    <w:rsid w:val="00A14475"/>
    <w:rsid w:val="00A33C7F"/>
    <w:rsid w:val="00A33CE0"/>
    <w:rsid w:val="00A33CF8"/>
    <w:rsid w:val="00A37853"/>
    <w:rsid w:val="00A37CA8"/>
    <w:rsid w:val="00A42910"/>
    <w:rsid w:val="00A440F3"/>
    <w:rsid w:val="00A470FD"/>
    <w:rsid w:val="00A52F79"/>
    <w:rsid w:val="00A6017C"/>
    <w:rsid w:val="00A60DE8"/>
    <w:rsid w:val="00A613A2"/>
    <w:rsid w:val="00A72560"/>
    <w:rsid w:val="00A73C7D"/>
    <w:rsid w:val="00A92316"/>
    <w:rsid w:val="00A94CE4"/>
    <w:rsid w:val="00A954B3"/>
    <w:rsid w:val="00AA0B74"/>
    <w:rsid w:val="00AA4CB1"/>
    <w:rsid w:val="00AB203E"/>
    <w:rsid w:val="00AE320C"/>
    <w:rsid w:val="00AE358C"/>
    <w:rsid w:val="00AF2544"/>
    <w:rsid w:val="00B0174E"/>
    <w:rsid w:val="00B05455"/>
    <w:rsid w:val="00B056E9"/>
    <w:rsid w:val="00B05C2D"/>
    <w:rsid w:val="00B11CE6"/>
    <w:rsid w:val="00B135F7"/>
    <w:rsid w:val="00B2561C"/>
    <w:rsid w:val="00B34021"/>
    <w:rsid w:val="00B4313A"/>
    <w:rsid w:val="00B4707F"/>
    <w:rsid w:val="00B55E10"/>
    <w:rsid w:val="00B9707B"/>
    <w:rsid w:val="00BB72C5"/>
    <w:rsid w:val="00BC541E"/>
    <w:rsid w:val="00BD35EB"/>
    <w:rsid w:val="00BE4876"/>
    <w:rsid w:val="00BE4B6F"/>
    <w:rsid w:val="00BF5139"/>
    <w:rsid w:val="00BF7AD3"/>
    <w:rsid w:val="00C01432"/>
    <w:rsid w:val="00C01A0E"/>
    <w:rsid w:val="00C02762"/>
    <w:rsid w:val="00C05042"/>
    <w:rsid w:val="00C055CA"/>
    <w:rsid w:val="00C153D1"/>
    <w:rsid w:val="00C3392D"/>
    <w:rsid w:val="00C34BDA"/>
    <w:rsid w:val="00C3791D"/>
    <w:rsid w:val="00C401B3"/>
    <w:rsid w:val="00C472AA"/>
    <w:rsid w:val="00C47B1E"/>
    <w:rsid w:val="00C53E60"/>
    <w:rsid w:val="00C6187D"/>
    <w:rsid w:val="00C648F9"/>
    <w:rsid w:val="00C658A7"/>
    <w:rsid w:val="00C659BE"/>
    <w:rsid w:val="00C711F0"/>
    <w:rsid w:val="00C827A3"/>
    <w:rsid w:val="00C836F9"/>
    <w:rsid w:val="00C94FE1"/>
    <w:rsid w:val="00CA0105"/>
    <w:rsid w:val="00CA328B"/>
    <w:rsid w:val="00CB0D53"/>
    <w:rsid w:val="00CB4740"/>
    <w:rsid w:val="00CB5CB8"/>
    <w:rsid w:val="00CC5165"/>
    <w:rsid w:val="00CD5CF4"/>
    <w:rsid w:val="00CF09D3"/>
    <w:rsid w:val="00CF501B"/>
    <w:rsid w:val="00D13181"/>
    <w:rsid w:val="00D1466C"/>
    <w:rsid w:val="00D2213F"/>
    <w:rsid w:val="00D2385B"/>
    <w:rsid w:val="00D2464C"/>
    <w:rsid w:val="00D6060A"/>
    <w:rsid w:val="00D628D4"/>
    <w:rsid w:val="00D65F2E"/>
    <w:rsid w:val="00D67FAF"/>
    <w:rsid w:val="00D71B50"/>
    <w:rsid w:val="00D72EC5"/>
    <w:rsid w:val="00DB4572"/>
    <w:rsid w:val="00DC5A97"/>
    <w:rsid w:val="00DC5FC7"/>
    <w:rsid w:val="00DC6CD7"/>
    <w:rsid w:val="00DE3D19"/>
    <w:rsid w:val="00DE620C"/>
    <w:rsid w:val="00DF336C"/>
    <w:rsid w:val="00E01BC4"/>
    <w:rsid w:val="00E01C68"/>
    <w:rsid w:val="00E312E6"/>
    <w:rsid w:val="00E32ED2"/>
    <w:rsid w:val="00E522DD"/>
    <w:rsid w:val="00E56D0C"/>
    <w:rsid w:val="00E5737C"/>
    <w:rsid w:val="00E64D3A"/>
    <w:rsid w:val="00E70A90"/>
    <w:rsid w:val="00E93EF0"/>
    <w:rsid w:val="00EA47A2"/>
    <w:rsid w:val="00EA7015"/>
    <w:rsid w:val="00EB5025"/>
    <w:rsid w:val="00EB5BD4"/>
    <w:rsid w:val="00EC02D4"/>
    <w:rsid w:val="00EC34ED"/>
    <w:rsid w:val="00EF416B"/>
    <w:rsid w:val="00F02628"/>
    <w:rsid w:val="00F16408"/>
    <w:rsid w:val="00F2301B"/>
    <w:rsid w:val="00F3185D"/>
    <w:rsid w:val="00F375D6"/>
    <w:rsid w:val="00F40791"/>
    <w:rsid w:val="00F42188"/>
    <w:rsid w:val="00F42B65"/>
    <w:rsid w:val="00F50383"/>
    <w:rsid w:val="00F515E5"/>
    <w:rsid w:val="00F516C6"/>
    <w:rsid w:val="00F609D5"/>
    <w:rsid w:val="00F72012"/>
    <w:rsid w:val="00F73871"/>
    <w:rsid w:val="00F77DD3"/>
    <w:rsid w:val="00F80503"/>
    <w:rsid w:val="00F816DF"/>
    <w:rsid w:val="00F84426"/>
    <w:rsid w:val="00F92024"/>
    <w:rsid w:val="00F944D8"/>
    <w:rsid w:val="00F949CC"/>
    <w:rsid w:val="00FA21C0"/>
    <w:rsid w:val="00FB0508"/>
    <w:rsid w:val="00FB6A87"/>
    <w:rsid w:val="00FC063E"/>
    <w:rsid w:val="00FE0752"/>
    <w:rsid w:val="00FE3E7B"/>
    <w:rsid w:val="00FE47BE"/>
    <w:rsid w:val="00FF353E"/>
    <w:rsid w:val="00FF6A62"/>
    <w:rsid w:val="00FF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8EB094-9FB4-4D49-BA36-5A0F60AD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Times" w:hAnsi="Times"/>
      <w:sz w:val="24"/>
    </w:rPr>
  </w:style>
  <w:style w:type="paragraph" w:styleId="Heading1">
    <w:name w:val="heading 1"/>
    <w:basedOn w:val="Normal"/>
    <w:next w:val="Normal"/>
    <w:qFormat/>
    <w:pPr>
      <w:keepNext/>
      <w:widowControl/>
      <w:ind w:left="360"/>
      <w:outlineLvl w:val="0"/>
    </w:pPr>
    <w:rPr>
      <w:rFonts w:ascii="Courier New" w:hAnsi="Courier New"/>
      <w:u w:val="single"/>
    </w:rPr>
  </w:style>
  <w:style w:type="paragraph" w:styleId="Heading2">
    <w:name w:val="heading 2"/>
    <w:basedOn w:val="Normal"/>
    <w:next w:val="Normal"/>
    <w:link w:val="Heading2Char"/>
    <w:semiHidden/>
    <w:unhideWhenUsed/>
    <w:qFormat/>
    <w:rsid w:val="0008769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c1">
    <w:name w:val="c1"/>
    <w:basedOn w:val="Normal"/>
    <w:pPr>
      <w:spacing w:line="240" w:lineRule="atLeast"/>
      <w:jc w:val="center"/>
    </w:pPr>
  </w:style>
  <w:style w:type="paragraph" w:customStyle="1" w:styleId="p2">
    <w:name w:val="p2"/>
    <w:basedOn w:val="Normal"/>
    <w:pPr>
      <w:tabs>
        <w:tab w:val="left" w:pos="620"/>
      </w:tabs>
      <w:spacing w:line="240" w:lineRule="atLeast"/>
    </w:pPr>
  </w:style>
  <w:style w:type="paragraph" w:customStyle="1" w:styleId="p3">
    <w:name w:val="p3"/>
    <w:basedOn w:val="Normal"/>
    <w:pPr>
      <w:tabs>
        <w:tab w:val="left" w:pos="4600"/>
      </w:tabs>
      <w:spacing w:line="240" w:lineRule="atLeast"/>
    </w:pPr>
  </w:style>
  <w:style w:type="paragraph" w:customStyle="1" w:styleId="p4">
    <w:name w:val="p4"/>
    <w:basedOn w:val="Normal"/>
    <w:pPr>
      <w:tabs>
        <w:tab w:val="left" w:pos="720"/>
      </w:tabs>
      <w:spacing w:line="240" w:lineRule="atLeast"/>
    </w:pPr>
  </w:style>
  <w:style w:type="paragraph" w:customStyle="1" w:styleId="p5">
    <w:name w:val="p5"/>
    <w:basedOn w:val="Normal"/>
    <w:pPr>
      <w:spacing w:line="240" w:lineRule="atLeast"/>
      <w:ind w:left="8140"/>
    </w:pPr>
  </w:style>
  <w:style w:type="paragraph" w:customStyle="1" w:styleId="p6">
    <w:name w:val="p6"/>
    <w:basedOn w:val="Normal"/>
    <w:pPr>
      <w:tabs>
        <w:tab w:val="left" w:pos="720"/>
      </w:tabs>
      <w:spacing w:line="240" w:lineRule="atLeast"/>
    </w:pPr>
  </w:style>
  <w:style w:type="paragraph" w:customStyle="1" w:styleId="p7">
    <w:name w:val="p7"/>
    <w:basedOn w:val="Normal"/>
    <w:pPr>
      <w:spacing w:line="240" w:lineRule="atLeast"/>
      <w:ind w:left="3220"/>
    </w:pPr>
  </w:style>
  <w:style w:type="paragraph" w:customStyle="1" w:styleId="p8">
    <w:name w:val="p8"/>
    <w:basedOn w:val="Normal"/>
    <w:pPr>
      <w:tabs>
        <w:tab w:val="left" w:pos="720"/>
      </w:tabs>
      <w:spacing w:line="240" w:lineRule="atLeast"/>
    </w:pPr>
  </w:style>
  <w:style w:type="paragraph" w:customStyle="1" w:styleId="p9">
    <w:name w:val="p9"/>
    <w:basedOn w:val="Normal"/>
    <w:pPr>
      <w:tabs>
        <w:tab w:val="left" w:pos="720"/>
      </w:tabs>
      <w:spacing w:line="240" w:lineRule="atLeast"/>
    </w:pPr>
  </w:style>
  <w:style w:type="paragraph" w:customStyle="1" w:styleId="p10">
    <w:name w:val="p10"/>
    <w:basedOn w:val="Normal"/>
    <w:pPr>
      <w:tabs>
        <w:tab w:val="left" w:pos="720"/>
      </w:tabs>
      <w:spacing w:line="240" w:lineRule="atLeast"/>
    </w:pPr>
  </w:style>
  <w:style w:type="paragraph" w:customStyle="1" w:styleId="p11">
    <w:name w:val="p11"/>
    <w:basedOn w:val="Normal"/>
    <w:pPr>
      <w:tabs>
        <w:tab w:val="left" w:pos="7100"/>
      </w:tabs>
      <w:spacing w:line="240" w:lineRule="atLeast"/>
    </w:pPr>
  </w:style>
  <w:style w:type="paragraph" w:customStyle="1" w:styleId="p12">
    <w:name w:val="p12"/>
    <w:basedOn w:val="Normal"/>
    <w:pPr>
      <w:tabs>
        <w:tab w:val="left" w:pos="720"/>
      </w:tabs>
      <w:spacing w:line="240" w:lineRule="atLeast"/>
    </w:pPr>
  </w:style>
  <w:style w:type="paragraph" w:customStyle="1" w:styleId="p13">
    <w:name w:val="p13"/>
    <w:basedOn w:val="Normal"/>
    <w:pPr>
      <w:tabs>
        <w:tab w:val="left" w:pos="900"/>
      </w:tabs>
      <w:spacing w:line="240" w:lineRule="atLeast"/>
    </w:pPr>
  </w:style>
  <w:style w:type="paragraph" w:customStyle="1" w:styleId="p14">
    <w:name w:val="p14"/>
    <w:basedOn w:val="Normal"/>
    <w:pPr>
      <w:tabs>
        <w:tab w:val="left" w:pos="2120"/>
      </w:tabs>
      <w:spacing w:line="240" w:lineRule="atLeast"/>
    </w:pPr>
  </w:style>
  <w:style w:type="paragraph" w:customStyle="1" w:styleId="p15">
    <w:name w:val="p15"/>
    <w:basedOn w:val="Normal"/>
    <w:pPr>
      <w:tabs>
        <w:tab w:val="left" w:pos="720"/>
      </w:tabs>
      <w:spacing w:line="240" w:lineRule="atLeast"/>
    </w:pPr>
  </w:style>
  <w:style w:type="paragraph" w:customStyle="1" w:styleId="p16">
    <w:name w:val="p16"/>
    <w:basedOn w:val="Normal"/>
    <w:pPr>
      <w:tabs>
        <w:tab w:val="left" w:pos="200"/>
      </w:tabs>
      <w:spacing w:line="240" w:lineRule="atLeast"/>
      <w:ind w:firstLine="200"/>
    </w:pPr>
  </w:style>
  <w:style w:type="paragraph" w:customStyle="1" w:styleId="p17">
    <w:name w:val="p17"/>
    <w:basedOn w:val="Normal"/>
    <w:pPr>
      <w:tabs>
        <w:tab w:val="left" w:pos="2260"/>
      </w:tabs>
      <w:spacing w:line="240" w:lineRule="atLeast"/>
    </w:pPr>
  </w:style>
  <w:style w:type="paragraph" w:customStyle="1" w:styleId="p18">
    <w:name w:val="p18"/>
    <w:basedOn w:val="Normal"/>
    <w:pPr>
      <w:tabs>
        <w:tab w:val="left" w:pos="3200"/>
      </w:tabs>
      <w:spacing w:line="240" w:lineRule="atLeast"/>
    </w:pPr>
  </w:style>
  <w:style w:type="paragraph" w:customStyle="1" w:styleId="p19">
    <w:name w:val="p19"/>
    <w:basedOn w:val="Normal"/>
    <w:pPr>
      <w:tabs>
        <w:tab w:val="left" w:pos="1080"/>
      </w:tabs>
      <w:spacing w:line="240" w:lineRule="atLeast"/>
    </w:pPr>
  </w:style>
  <w:style w:type="paragraph" w:customStyle="1" w:styleId="p20">
    <w:name w:val="p20"/>
    <w:basedOn w:val="Normal"/>
    <w:pPr>
      <w:tabs>
        <w:tab w:val="left" w:pos="780"/>
      </w:tabs>
      <w:spacing w:line="240" w:lineRule="atLeast"/>
    </w:pPr>
  </w:style>
  <w:style w:type="paragraph" w:customStyle="1" w:styleId="p21">
    <w:name w:val="p21"/>
    <w:basedOn w:val="Normal"/>
    <w:pPr>
      <w:spacing w:line="240" w:lineRule="atLeast"/>
      <w:ind w:left="400" w:hanging="400"/>
    </w:pPr>
  </w:style>
  <w:style w:type="paragraph" w:customStyle="1" w:styleId="p22">
    <w:name w:val="p22"/>
    <w:basedOn w:val="Normal"/>
    <w:pPr>
      <w:tabs>
        <w:tab w:val="left" w:pos="0"/>
      </w:tabs>
      <w:spacing w:line="240" w:lineRule="atLeast"/>
      <w:ind w:left="420" w:hanging="220"/>
    </w:pPr>
  </w:style>
  <w:style w:type="paragraph" w:customStyle="1" w:styleId="p23">
    <w:name w:val="p23"/>
    <w:basedOn w:val="Normal"/>
    <w:pPr>
      <w:spacing w:line="240" w:lineRule="atLeast"/>
      <w:ind w:left="840" w:hanging="840"/>
    </w:pPr>
  </w:style>
  <w:style w:type="paragraph" w:customStyle="1" w:styleId="p24">
    <w:name w:val="p24"/>
    <w:basedOn w:val="Normal"/>
    <w:pPr>
      <w:tabs>
        <w:tab w:val="left" w:pos="400"/>
      </w:tabs>
      <w:spacing w:line="240" w:lineRule="atLeast"/>
    </w:pPr>
  </w:style>
  <w:style w:type="paragraph" w:customStyle="1" w:styleId="t25">
    <w:name w:val="t25"/>
    <w:basedOn w:val="Normal"/>
    <w:pPr>
      <w:tabs>
        <w:tab w:val="right" w:pos="5340"/>
      </w:tabs>
      <w:spacing w:line="240" w:lineRule="atLeast"/>
    </w:pPr>
  </w:style>
  <w:style w:type="paragraph" w:customStyle="1" w:styleId="t26">
    <w:name w:val="t26"/>
    <w:basedOn w:val="Normal"/>
    <w:pPr>
      <w:tabs>
        <w:tab w:val="decimal" w:pos="3420"/>
        <w:tab w:val="decimal" w:pos="7260"/>
      </w:tabs>
      <w:spacing w:line="240" w:lineRule="atLeast"/>
    </w:pPr>
  </w:style>
  <w:style w:type="paragraph" w:customStyle="1" w:styleId="t27">
    <w:name w:val="t27"/>
    <w:basedOn w:val="Normal"/>
    <w:pPr>
      <w:tabs>
        <w:tab w:val="left" w:pos="1760"/>
        <w:tab w:val="left" w:pos="4360"/>
        <w:tab w:val="left" w:pos="6680"/>
      </w:tabs>
      <w:spacing w:line="240" w:lineRule="atLeast"/>
    </w:pPr>
  </w:style>
  <w:style w:type="paragraph" w:customStyle="1" w:styleId="p28">
    <w:name w:val="p28"/>
    <w:basedOn w:val="Normal"/>
    <w:pPr>
      <w:tabs>
        <w:tab w:val="left" w:pos="2340"/>
      </w:tabs>
      <w:spacing w:line="240" w:lineRule="atLeast"/>
      <w:ind w:firstLine="2340"/>
    </w:pPr>
  </w:style>
  <w:style w:type="paragraph" w:customStyle="1" w:styleId="p30">
    <w:name w:val="p30"/>
    <w:basedOn w:val="Normal"/>
    <w:pPr>
      <w:spacing w:line="240" w:lineRule="atLeast"/>
      <w:ind w:left="1840" w:hanging="1840"/>
    </w:pPr>
  </w:style>
  <w:style w:type="paragraph" w:customStyle="1" w:styleId="t31">
    <w:name w:val="t31"/>
    <w:basedOn w:val="Normal"/>
    <w:pPr>
      <w:tabs>
        <w:tab w:val="left" w:pos="4540"/>
      </w:tabs>
      <w:spacing w:line="240" w:lineRule="atLeast"/>
    </w:pPr>
  </w:style>
  <w:style w:type="paragraph" w:customStyle="1" w:styleId="t33">
    <w:name w:val="t33"/>
    <w:basedOn w:val="Normal"/>
    <w:pPr>
      <w:tabs>
        <w:tab w:val="left" w:pos="4540"/>
        <w:tab w:val="left" w:pos="6960"/>
      </w:tabs>
      <w:spacing w:line="240" w:lineRule="atLeast"/>
    </w:pPr>
  </w:style>
  <w:style w:type="paragraph" w:customStyle="1" w:styleId="t35">
    <w:name w:val="t35"/>
    <w:basedOn w:val="Normal"/>
    <w:pPr>
      <w:tabs>
        <w:tab w:val="left" w:pos="2480"/>
      </w:tabs>
      <w:spacing w:line="240" w:lineRule="atLeast"/>
    </w:pPr>
  </w:style>
  <w:style w:type="paragraph" w:customStyle="1" w:styleId="t36">
    <w:name w:val="t36"/>
    <w:basedOn w:val="Normal"/>
    <w:pPr>
      <w:tabs>
        <w:tab w:val="left" w:pos="2740"/>
        <w:tab w:val="left" w:pos="5060"/>
      </w:tabs>
      <w:spacing w:line="240" w:lineRule="atLeast"/>
    </w:pPr>
  </w:style>
  <w:style w:type="paragraph" w:customStyle="1" w:styleId="p37">
    <w:name w:val="p37"/>
    <w:basedOn w:val="Normal"/>
    <w:pPr>
      <w:spacing w:line="240" w:lineRule="atLeast"/>
      <w:ind w:left="320"/>
    </w:pPr>
  </w:style>
  <w:style w:type="paragraph" w:customStyle="1" w:styleId="t38">
    <w:name w:val="t38"/>
    <w:basedOn w:val="Normal"/>
    <w:pPr>
      <w:tabs>
        <w:tab w:val="left" w:pos="0"/>
        <w:tab w:val="right" w:pos="4620"/>
      </w:tabs>
      <w:spacing w:line="240" w:lineRule="atLeast"/>
    </w:pPr>
  </w:style>
  <w:style w:type="paragraph" w:customStyle="1" w:styleId="t39">
    <w:name w:val="t39"/>
    <w:basedOn w:val="Normal"/>
    <w:pPr>
      <w:tabs>
        <w:tab w:val="left" w:pos="0"/>
        <w:tab w:val="decimal" w:pos="5060"/>
        <w:tab w:val="decimal" w:pos="8560"/>
      </w:tabs>
      <w:spacing w:line="240" w:lineRule="atLeast"/>
    </w:pPr>
  </w:style>
  <w:style w:type="paragraph" w:customStyle="1" w:styleId="c40">
    <w:name w:val="c40"/>
    <w:basedOn w:val="Normal"/>
    <w:pPr>
      <w:spacing w:line="240" w:lineRule="atLeast"/>
      <w:jc w:val="center"/>
    </w:pPr>
  </w:style>
  <w:style w:type="paragraph" w:customStyle="1" w:styleId="t41">
    <w:name w:val="t41"/>
    <w:basedOn w:val="Normal"/>
    <w:pPr>
      <w:tabs>
        <w:tab w:val="left" w:pos="0"/>
        <w:tab w:val="left" w:pos="3100"/>
        <w:tab w:val="left" w:pos="4540"/>
        <w:tab w:val="right" w:pos="8540"/>
      </w:tabs>
      <w:spacing w:line="240" w:lineRule="atLeast"/>
    </w:pPr>
  </w:style>
  <w:style w:type="paragraph" w:customStyle="1" w:styleId="t42">
    <w:name w:val="t42"/>
    <w:basedOn w:val="Normal"/>
    <w:pPr>
      <w:tabs>
        <w:tab w:val="decimal" w:pos="0"/>
        <w:tab w:val="decimal" w:pos="2380"/>
        <w:tab w:val="decimal" w:pos="4540"/>
      </w:tabs>
      <w:spacing w:line="240" w:lineRule="atLeast"/>
    </w:pPr>
  </w:style>
  <w:style w:type="paragraph" w:customStyle="1" w:styleId="t43">
    <w:name w:val="t43"/>
    <w:basedOn w:val="Normal"/>
    <w:pPr>
      <w:tabs>
        <w:tab w:val="decimal" w:pos="2380"/>
        <w:tab w:val="decimal" w:pos="4540"/>
      </w:tabs>
      <w:spacing w:line="240" w:lineRule="atLeast"/>
    </w:pPr>
  </w:style>
  <w:style w:type="paragraph" w:customStyle="1" w:styleId="t44">
    <w:name w:val="t44"/>
    <w:basedOn w:val="Normal"/>
    <w:pPr>
      <w:tabs>
        <w:tab w:val="decimal" w:pos="2380"/>
        <w:tab w:val="decimal" w:pos="4400"/>
      </w:tabs>
      <w:spacing w:line="240" w:lineRule="atLeast"/>
    </w:pPr>
  </w:style>
  <w:style w:type="paragraph" w:customStyle="1" w:styleId="p45">
    <w:name w:val="p45"/>
    <w:basedOn w:val="Normal"/>
    <w:pPr>
      <w:spacing w:line="240" w:lineRule="atLeast"/>
      <w:ind w:left="1460" w:hanging="1460"/>
    </w:pPr>
  </w:style>
  <w:style w:type="paragraph" w:customStyle="1" w:styleId="t46">
    <w:name w:val="t46"/>
    <w:basedOn w:val="Normal"/>
    <w:pPr>
      <w:tabs>
        <w:tab w:val="decimal" w:pos="3420"/>
      </w:tabs>
      <w:spacing w:line="240" w:lineRule="atLeast"/>
    </w:pPr>
  </w:style>
  <w:style w:type="paragraph" w:customStyle="1" w:styleId="t47">
    <w:name w:val="t47"/>
    <w:basedOn w:val="Normal"/>
    <w:pPr>
      <w:tabs>
        <w:tab w:val="decimal" w:pos="2380"/>
      </w:tabs>
      <w:spacing w:line="240" w:lineRule="atLeast"/>
    </w:pPr>
  </w:style>
  <w:style w:type="paragraph" w:customStyle="1" w:styleId="t48">
    <w:name w:val="t48"/>
    <w:basedOn w:val="Normal"/>
    <w:pPr>
      <w:tabs>
        <w:tab w:val="right" w:pos="3980"/>
      </w:tabs>
      <w:spacing w:line="240" w:lineRule="atLeast"/>
    </w:pPr>
  </w:style>
  <w:style w:type="paragraph" w:customStyle="1" w:styleId="t49">
    <w:name w:val="t49"/>
    <w:basedOn w:val="Normal"/>
    <w:pPr>
      <w:tabs>
        <w:tab w:val="decimal" w:pos="4180"/>
      </w:tabs>
      <w:spacing w:line="240" w:lineRule="atLeast"/>
    </w:pPr>
  </w:style>
  <w:style w:type="paragraph" w:customStyle="1" w:styleId="t50">
    <w:name w:val="t50"/>
    <w:basedOn w:val="Normal"/>
    <w:pPr>
      <w:tabs>
        <w:tab w:val="decimal" w:pos="4180"/>
      </w:tabs>
      <w:spacing w:line="240" w:lineRule="atLeast"/>
    </w:pPr>
  </w:style>
  <w:style w:type="paragraph" w:customStyle="1" w:styleId="t51">
    <w:name w:val="t51"/>
    <w:basedOn w:val="Normal"/>
    <w:pPr>
      <w:tabs>
        <w:tab w:val="decimal" w:pos="4080"/>
      </w:tabs>
      <w:spacing w:line="240" w:lineRule="atLeast"/>
    </w:pPr>
  </w:style>
  <w:style w:type="paragraph" w:customStyle="1" w:styleId="t52">
    <w:name w:val="t52"/>
    <w:basedOn w:val="Normal"/>
    <w:pPr>
      <w:tabs>
        <w:tab w:val="decimal" w:pos="4080"/>
      </w:tabs>
      <w:spacing w:line="240" w:lineRule="atLeast"/>
    </w:pPr>
  </w:style>
  <w:style w:type="paragraph" w:customStyle="1" w:styleId="t53">
    <w:name w:val="t53"/>
    <w:basedOn w:val="Normal"/>
    <w:pPr>
      <w:tabs>
        <w:tab w:val="left" w:pos="3100"/>
      </w:tabs>
      <w:spacing w:line="240" w:lineRule="atLeast"/>
    </w:pPr>
  </w:style>
  <w:style w:type="paragraph" w:customStyle="1" w:styleId="p55">
    <w:name w:val="p55"/>
    <w:basedOn w:val="Normal"/>
    <w:pPr>
      <w:tabs>
        <w:tab w:val="left" w:pos="0"/>
      </w:tabs>
      <w:spacing w:line="240" w:lineRule="atLeast"/>
      <w:ind w:left="2260" w:hanging="1860"/>
    </w:pPr>
  </w:style>
  <w:style w:type="paragraph" w:customStyle="1" w:styleId="p56">
    <w:name w:val="p56"/>
    <w:basedOn w:val="Normal"/>
    <w:pPr>
      <w:spacing w:line="240" w:lineRule="atLeast"/>
      <w:ind w:left="2160" w:hanging="2160"/>
    </w:pPr>
  </w:style>
  <w:style w:type="paragraph" w:customStyle="1" w:styleId="p57">
    <w:name w:val="p57"/>
    <w:basedOn w:val="Normal"/>
    <w:pPr>
      <w:tabs>
        <w:tab w:val="left" w:pos="1580"/>
      </w:tabs>
      <w:spacing w:line="240" w:lineRule="atLeast"/>
    </w:pPr>
  </w:style>
  <w:style w:type="paragraph" w:customStyle="1" w:styleId="p58">
    <w:name w:val="p58"/>
    <w:basedOn w:val="Normal"/>
    <w:pPr>
      <w:spacing w:line="240" w:lineRule="atLeast"/>
      <w:ind w:left="1760" w:hanging="1760"/>
    </w:pPr>
  </w:style>
  <w:style w:type="paragraph" w:customStyle="1" w:styleId="p59">
    <w:name w:val="p59"/>
    <w:basedOn w:val="Normal"/>
    <w:pPr>
      <w:spacing w:line="240" w:lineRule="atLeast"/>
      <w:ind w:left="7420" w:hanging="7420"/>
    </w:pPr>
  </w:style>
  <w:style w:type="paragraph" w:customStyle="1" w:styleId="p60">
    <w:name w:val="p60"/>
    <w:basedOn w:val="Normal"/>
    <w:pPr>
      <w:tabs>
        <w:tab w:val="left" w:pos="720"/>
      </w:tabs>
      <w:spacing w:line="240" w:lineRule="atLeast"/>
    </w:pPr>
  </w:style>
  <w:style w:type="paragraph" w:customStyle="1" w:styleId="p61">
    <w:name w:val="p61"/>
    <w:basedOn w:val="Normal"/>
    <w:pPr>
      <w:spacing w:line="240" w:lineRule="atLeast"/>
      <w:ind w:left="9160"/>
    </w:pPr>
  </w:style>
  <w:style w:type="paragraph" w:customStyle="1" w:styleId="p62">
    <w:name w:val="p62"/>
    <w:basedOn w:val="Normal"/>
    <w:pPr>
      <w:tabs>
        <w:tab w:val="left" w:pos="720"/>
      </w:tabs>
      <w:spacing w:line="240" w:lineRule="atLeast"/>
    </w:pPr>
  </w:style>
  <w:style w:type="paragraph" w:customStyle="1" w:styleId="p63">
    <w:name w:val="p63"/>
    <w:basedOn w:val="Normal"/>
    <w:pPr>
      <w:tabs>
        <w:tab w:val="left" w:pos="0"/>
      </w:tabs>
      <w:spacing w:line="240" w:lineRule="atLeast"/>
      <w:ind w:left="1840" w:hanging="1440"/>
    </w:pPr>
  </w:style>
  <w:style w:type="paragraph" w:customStyle="1" w:styleId="p64">
    <w:name w:val="p64"/>
    <w:basedOn w:val="Normal"/>
    <w:pPr>
      <w:tabs>
        <w:tab w:val="left" w:pos="0"/>
        <w:tab w:val="left" w:pos="2120"/>
      </w:tabs>
      <w:spacing w:line="240" w:lineRule="atLeast"/>
      <w:ind w:firstLine="620"/>
    </w:pPr>
  </w:style>
  <w:style w:type="paragraph" w:customStyle="1" w:styleId="t65">
    <w:name w:val="t65"/>
    <w:basedOn w:val="Normal"/>
    <w:pPr>
      <w:tabs>
        <w:tab w:val="left" w:pos="2480"/>
        <w:tab w:val="left" w:pos="3780"/>
      </w:tabs>
      <w:spacing w:line="240" w:lineRule="atLeast"/>
    </w:pPr>
  </w:style>
  <w:style w:type="paragraph" w:customStyle="1" w:styleId="t66">
    <w:name w:val="t66"/>
    <w:basedOn w:val="Normal"/>
    <w:pPr>
      <w:tabs>
        <w:tab w:val="left" w:pos="0"/>
        <w:tab w:val="right" w:pos="1120"/>
        <w:tab w:val="left" w:pos="2180"/>
      </w:tabs>
      <w:spacing w:line="240" w:lineRule="atLeast"/>
    </w:pPr>
  </w:style>
  <w:style w:type="paragraph" w:customStyle="1" w:styleId="t68">
    <w:name w:val="t68"/>
    <w:basedOn w:val="Normal"/>
    <w:pPr>
      <w:tabs>
        <w:tab w:val="left" w:pos="0"/>
        <w:tab w:val="left" w:pos="620"/>
        <w:tab w:val="left" w:pos="2180"/>
      </w:tabs>
      <w:spacing w:line="240" w:lineRule="atLeast"/>
    </w:pPr>
  </w:style>
  <w:style w:type="paragraph" w:customStyle="1" w:styleId="c69">
    <w:name w:val="c69"/>
    <w:basedOn w:val="Normal"/>
    <w:pPr>
      <w:spacing w:line="240" w:lineRule="atLeast"/>
      <w:jc w:val="center"/>
    </w:pPr>
  </w:style>
  <w:style w:type="paragraph" w:customStyle="1" w:styleId="p70">
    <w:name w:val="p70"/>
    <w:basedOn w:val="Normal"/>
    <w:pPr>
      <w:spacing w:line="240" w:lineRule="atLeast"/>
      <w:ind w:left="1760"/>
    </w:pPr>
  </w:style>
  <w:style w:type="paragraph" w:customStyle="1" w:styleId="t71">
    <w:name w:val="t71"/>
    <w:basedOn w:val="Normal"/>
    <w:pPr>
      <w:tabs>
        <w:tab w:val="left" w:pos="0"/>
        <w:tab w:val="right" w:pos="2920"/>
      </w:tabs>
      <w:spacing w:line="240" w:lineRule="atLeast"/>
    </w:pPr>
  </w:style>
  <w:style w:type="paragraph" w:customStyle="1" w:styleId="p72">
    <w:name w:val="p72"/>
    <w:basedOn w:val="Normal"/>
    <w:pPr>
      <w:spacing w:line="240" w:lineRule="atLeast"/>
      <w:ind w:left="400"/>
    </w:pPr>
  </w:style>
  <w:style w:type="paragraph" w:customStyle="1" w:styleId="t73">
    <w:name w:val="t73"/>
    <w:basedOn w:val="Normal"/>
    <w:pPr>
      <w:tabs>
        <w:tab w:val="left" w:pos="0"/>
        <w:tab w:val="decimal" w:pos="2180"/>
        <w:tab w:val="left" w:pos="3940"/>
        <w:tab w:val="decimal" w:pos="7740"/>
      </w:tabs>
      <w:spacing w:line="240" w:lineRule="atLeast"/>
    </w:pPr>
  </w:style>
  <w:style w:type="paragraph" w:customStyle="1" w:styleId="t74">
    <w:name w:val="t74"/>
    <w:basedOn w:val="Normal"/>
    <w:pPr>
      <w:tabs>
        <w:tab w:val="decimal" w:pos="0"/>
        <w:tab w:val="decimal" w:pos="2180"/>
      </w:tabs>
      <w:spacing w:line="240" w:lineRule="atLeast"/>
    </w:pPr>
  </w:style>
  <w:style w:type="paragraph" w:customStyle="1" w:styleId="p75">
    <w:name w:val="p75"/>
    <w:basedOn w:val="Normal"/>
    <w:pPr>
      <w:spacing w:line="240" w:lineRule="atLeast"/>
      <w:ind w:left="620"/>
    </w:pPr>
  </w:style>
  <w:style w:type="paragraph" w:customStyle="1" w:styleId="t76">
    <w:name w:val="t76"/>
    <w:basedOn w:val="Normal"/>
    <w:pPr>
      <w:tabs>
        <w:tab w:val="left" w:pos="0"/>
        <w:tab w:val="decimal" w:pos="2180"/>
        <w:tab w:val="decimal" w:pos="4400"/>
        <w:tab w:val="decimal" w:pos="7740"/>
      </w:tabs>
      <w:spacing w:line="240" w:lineRule="atLeast"/>
    </w:pPr>
  </w:style>
  <w:style w:type="paragraph" w:customStyle="1" w:styleId="c77">
    <w:name w:val="c77"/>
    <w:basedOn w:val="Normal"/>
    <w:pPr>
      <w:spacing w:line="240" w:lineRule="atLeast"/>
      <w:jc w:val="center"/>
    </w:pPr>
  </w:style>
  <w:style w:type="paragraph" w:customStyle="1" w:styleId="t78">
    <w:name w:val="t78"/>
    <w:basedOn w:val="Normal"/>
    <w:pPr>
      <w:tabs>
        <w:tab w:val="decimal" w:pos="0"/>
        <w:tab w:val="decimal" w:pos="2180"/>
        <w:tab w:val="right" w:pos="3200"/>
      </w:tabs>
      <w:spacing w:line="240" w:lineRule="atLeast"/>
    </w:pPr>
  </w:style>
  <w:style w:type="paragraph" w:customStyle="1" w:styleId="c79">
    <w:name w:val="c79"/>
    <w:basedOn w:val="Normal"/>
    <w:pPr>
      <w:spacing w:line="240" w:lineRule="atLeast"/>
      <w:jc w:val="center"/>
    </w:pPr>
  </w:style>
  <w:style w:type="paragraph" w:customStyle="1" w:styleId="t80">
    <w:name w:val="t80"/>
    <w:basedOn w:val="Normal"/>
    <w:pPr>
      <w:tabs>
        <w:tab w:val="left" w:pos="0"/>
        <w:tab w:val="decimal" w:pos="4180"/>
        <w:tab w:val="decimal" w:pos="7740"/>
      </w:tabs>
      <w:spacing w:line="240" w:lineRule="atLeast"/>
    </w:pPr>
  </w:style>
  <w:style w:type="paragraph" w:customStyle="1" w:styleId="t81">
    <w:name w:val="t81"/>
    <w:basedOn w:val="Normal"/>
    <w:pPr>
      <w:tabs>
        <w:tab w:val="left" w:pos="0"/>
        <w:tab w:val="decimal" w:pos="4400"/>
        <w:tab w:val="decimal" w:pos="7260"/>
      </w:tabs>
      <w:spacing w:line="240" w:lineRule="atLeast"/>
    </w:pPr>
  </w:style>
  <w:style w:type="paragraph" w:customStyle="1" w:styleId="t82">
    <w:name w:val="t82"/>
    <w:basedOn w:val="Normal"/>
    <w:pPr>
      <w:tabs>
        <w:tab w:val="decimal" w:pos="320"/>
        <w:tab w:val="decimal" w:pos="3420"/>
      </w:tabs>
      <w:spacing w:line="240" w:lineRule="atLeast"/>
    </w:pPr>
  </w:style>
  <w:style w:type="paragraph" w:customStyle="1" w:styleId="t83">
    <w:name w:val="t83"/>
    <w:basedOn w:val="Normal"/>
    <w:pPr>
      <w:tabs>
        <w:tab w:val="left" w:pos="0"/>
        <w:tab w:val="decimal" w:pos="3900"/>
      </w:tabs>
      <w:spacing w:line="240" w:lineRule="atLeast"/>
    </w:pPr>
  </w:style>
  <w:style w:type="paragraph" w:customStyle="1" w:styleId="c84">
    <w:name w:val="c84"/>
    <w:basedOn w:val="Normal"/>
    <w:pPr>
      <w:spacing w:line="240" w:lineRule="atLeast"/>
      <w:jc w:val="center"/>
    </w:pPr>
  </w:style>
  <w:style w:type="paragraph" w:customStyle="1" w:styleId="p85">
    <w:name w:val="p85"/>
    <w:basedOn w:val="Normal"/>
    <w:pPr>
      <w:spacing w:line="240" w:lineRule="atLeast"/>
      <w:ind w:left="1300"/>
    </w:pPr>
  </w:style>
  <w:style w:type="paragraph" w:customStyle="1" w:styleId="t86">
    <w:name w:val="t86"/>
    <w:basedOn w:val="Normal"/>
    <w:pPr>
      <w:tabs>
        <w:tab w:val="left" w:pos="0"/>
        <w:tab w:val="decimal" w:pos="4400"/>
        <w:tab w:val="decimal" w:pos="7740"/>
      </w:tabs>
      <w:spacing w:line="240" w:lineRule="atLeast"/>
    </w:pPr>
  </w:style>
  <w:style w:type="paragraph" w:customStyle="1" w:styleId="t87">
    <w:name w:val="t87"/>
    <w:basedOn w:val="Normal"/>
    <w:pPr>
      <w:tabs>
        <w:tab w:val="left" w:pos="0"/>
        <w:tab w:val="decimal" w:pos="4180"/>
        <w:tab w:val="decimal" w:pos="7260"/>
      </w:tabs>
      <w:spacing w:line="240" w:lineRule="atLeast"/>
    </w:pPr>
  </w:style>
  <w:style w:type="paragraph" w:customStyle="1" w:styleId="p88">
    <w:name w:val="p88"/>
    <w:basedOn w:val="Normal"/>
    <w:pPr>
      <w:spacing w:line="240" w:lineRule="atLeast"/>
      <w:ind w:left="320" w:hanging="320"/>
    </w:pPr>
  </w:style>
  <w:style w:type="paragraph" w:customStyle="1" w:styleId="p89">
    <w:name w:val="p89"/>
    <w:basedOn w:val="Normal"/>
    <w:pPr>
      <w:spacing w:line="240" w:lineRule="atLeast"/>
      <w:ind w:left="1020" w:hanging="1020"/>
    </w:pPr>
  </w:style>
  <w:style w:type="paragraph" w:customStyle="1" w:styleId="t90">
    <w:name w:val="t90"/>
    <w:basedOn w:val="Normal"/>
    <w:pPr>
      <w:tabs>
        <w:tab w:val="decimal" w:pos="2380"/>
      </w:tabs>
      <w:spacing w:line="240" w:lineRule="atLeast"/>
    </w:pPr>
  </w:style>
  <w:style w:type="paragraph" w:customStyle="1" w:styleId="p91">
    <w:name w:val="p91"/>
    <w:basedOn w:val="Normal"/>
    <w:pPr>
      <w:spacing w:line="240" w:lineRule="atLeast"/>
      <w:ind w:left="4060" w:hanging="4060"/>
    </w:pPr>
  </w:style>
  <w:style w:type="paragraph" w:customStyle="1" w:styleId="t92">
    <w:name w:val="t92"/>
    <w:basedOn w:val="Normal"/>
    <w:pPr>
      <w:spacing w:line="240" w:lineRule="atLeast"/>
    </w:pPr>
  </w:style>
  <w:style w:type="paragraph" w:customStyle="1" w:styleId="p94">
    <w:name w:val="p94"/>
    <w:basedOn w:val="Normal"/>
    <w:pPr>
      <w:tabs>
        <w:tab w:val="left" w:pos="2820"/>
      </w:tabs>
      <w:spacing w:line="240" w:lineRule="atLeast"/>
    </w:pPr>
  </w:style>
  <w:style w:type="paragraph" w:customStyle="1" w:styleId="p95">
    <w:name w:val="p95"/>
    <w:basedOn w:val="Normal"/>
    <w:pPr>
      <w:spacing w:line="240" w:lineRule="atLeast"/>
      <w:ind w:left="780" w:hanging="780"/>
      <w:jc w:val="both"/>
    </w:pPr>
  </w:style>
  <w:style w:type="paragraph" w:customStyle="1" w:styleId="p96">
    <w:name w:val="p96"/>
    <w:basedOn w:val="Normal"/>
    <w:pPr>
      <w:tabs>
        <w:tab w:val="left" w:pos="720"/>
      </w:tabs>
      <w:spacing w:line="240" w:lineRule="atLeast"/>
      <w:jc w:val="both"/>
    </w:pPr>
  </w:style>
  <w:style w:type="paragraph" w:customStyle="1" w:styleId="p97">
    <w:name w:val="p97"/>
    <w:basedOn w:val="Normal"/>
    <w:pPr>
      <w:tabs>
        <w:tab w:val="left" w:pos="780"/>
      </w:tabs>
      <w:spacing w:line="480" w:lineRule="atLeast"/>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ind w:left="360"/>
    </w:pPr>
    <w:rPr>
      <w:rFonts w:ascii="Courier New" w:hAnsi="Courier New"/>
      <w:u w:val="single"/>
    </w:rPr>
  </w:style>
  <w:style w:type="paragraph" w:styleId="BalloonText">
    <w:name w:val="Balloon Text"/>
    <w:basedOn w:val="Normal"/>
    <w:semiHidden/>
    <w:rsid w:val="00821D6D"/>
    <w:rPr>
      <w:rFonts w:ascii="Tahoma" w:hAnsi="Tahoma" w:cs="Tahoma"/>
      <w:sz w:val="16"/>
      <w:szCs w:val="16"/>
    </w:rPr>
  </w:style>
  <w:style w:type="character" w:styleId="CommentReference">
    <w:name w:val="annotation reference"/>
    <w:semiHidden/>
    <w:rsid w:val="008A39DF"/>
    <w:rPr>
      <w:sz w:val="16"/>
      <w:szCs w:val="16"/>
    </w:rPr>
  </w:style>
  <w:style w:type="paragraph" w:styleId="CommentText">
    <w:name w:val="annotation text"/>
    <w:basedOn w:val="Normal"/>
    <w:semiHidden/>
    <w:rsid w:val="008A39DF"/>
    <w:rPr>
      <w:sz w:val="20"/>
    </w:rPr>
  </w:style>
  <w:style w:type="paragraph" w:styleId="CommentSubject">
    <w:name w:val="annotation subject"/>
    <w:basedOn w:val="CommentText"/>
    <w:next w:val="CommentText"/>
    <w:semiHidden/>
    <w:rsid w:val="008A39DF"/>
    <w:rPr>
      <w:b/>
      <w:bCs/>
    </w:rPr>
  </w:style>
  <w:style w:type="table" w:styleId="TableGrid">
    <w:name w:val="Table Grid"/>
    <w:basedOn w:val="TableNormal"/>
    <w:rsid w:val="00723D6F"/>
    <w:tblP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
  </w:style>
  <w:style w:type="character" w:styleId="Hyperlink">
    <w:name w:val="Hyperlink"/>
    <w:rsid w:val="00824627"/>
    <w:rPr>
      <w:color w:val="0000FF"/>
      <w:u w:val="single"/>
    </w:rPr>
  </w:style>
  <w:style w:type="paragraph" w:styleId="Revision">
    <w:name w:val="Revision"/>
    <w:hidden/>
    <w:uiPriority w:val="99"/>
    <w:semiHidden/>
    <w:rsid w:val="0059779E"/>
    <w:rPr>
      <w:rFonts w:ascii="Times" w:hAnsi="Times"/>
      <w:sz w:val="24"/>
    </w:rPr>
  </w:style>
  <w:style w:type="character" w:styleId="FollowedHyperlink">
    <w:name w:val="FollowedHyperlink"/>
    <w:rsid w:val="007878E1"/>
    <w:rPr>
      <w:color w:val="800080"/>
      <w:u w:val="single"/>
    </w:rPr>
  </w:style>
  <w:style w:type="paragraph" w:styleId="BodyText">
    <w:name w:val="Body Text"/>
    <w:basedOn w:val="Normal"/>
    <w:link w:val="BodyTextChar"/>
    <w:rsid w:val="00F375D6"/>
    <w:pPr>
      <w:spacing w:after="120"/>
    </w:pPr>
  </w:style>
  <w:style w:type="character" w:customStyle="1" w:styleId="BodyTextChar">
    <w:name w:val="Body Text Char"/>
    <w:link w:val="BodyText"/>
    <w:rsid w:val="00F375D6"/>
    <w:rPr>
      <w:rFonts w:ascii="Times" w:hAnsi="Times"/>
      <w:sz w:val="24"/>
    </w:rPr>
  </w:style>
  <w:style w:type="character" w:customStyle="1" w:styleId="Heading2Char">
    <w:name w:val="Heading 2 Char"/>
    <w:link w:val="Heading2"/>
    <w:semiHidden/>
    <w:rsid w:val="0008769A"/>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g.mil/Units/Organiz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gov/publication/dhsuscgpia-001-homeport-internet-port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omeport.uscg.mil" TargetMode="External"/><Relationship Id="rId4" Type="http://schemas.openxmlformats.org/officeDocument/2006/relationships/settings" Target="settings.xml"/><Relationship Id="rId9" Type="http://schemas.openxmlformats.org/officeDocument/2006/relationships/hyperlink" Target="mailto:vrp@uscg.mi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omeport.uscg.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F825B-F0D9-4B79-B54C-A098F63A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4759ADD5</Template>
  <TotalTime>0</TotalTime>
  <Pages>6</Pages>
  <Words>3235</Words>
  <Characters>18065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OMB 2115-0596</vt:lpstr>
    </vt:vector>
  </TitlesOfParts>
  <Company>United States Coast Guard</Company>
  <LinksUpToDate>false</LinksUpToDate>
  <CharactersWithSpaces>21258</CharactersWithSpaces>
  <SharedDoc>false</SharedDoc>
  <HLinks>
    <vt:vector size="30" baseType="variant">
      <vt:variant>
        <vt:i4>3538988</vt:i4>
      </vt:variant>
      <vt:variant>
        <vt:i4>9</vt:i4>
      </vt:variant>
      <vt:variant>
        <vt:i4>0</vt:i4>
      </vt:variant>
      <vt:variant>
        <vt:i4>5</vt:i4>
      </vt:variant>
      <vt:variant>
        <vt:lpwstr>https://www.dhs.gov/publication/dhsuscgpia-001-homeport-internet-portal</vt:lpwstr>
      </vt:variant>
      <vt:variant>
        <vt:lpwstr/>
      </vt:variant>
      <vt:variant>
        <vt:i4>8257660</vt:i4>
      </vt:variant>
      <vt:variant>
        <vt:i4>6</vt:i4>
      </vt:variant>
      <vt:variant>
        <vt:i4>0</vt:i4>
      </vt:variant>
      <vt:variant>
        <vt:i4>5</vt:i4>
      </vt:variant>
      <vt:variant>
        <vt:lpwstr>https://homeport.uscg.mil/</vt:lpwstr>
      </vt:variant>
      <vt:variant>
        <vt:lpwstr/>
      </vt:variant>
      <vt:variant>
        <vt:i4>3473409</vt:i4>
      </vt:variant>
      <vt:variant>
        <vt:i4>3</vt:i4>
      </vt:variant>
      <vt:variant>
        <vt:i4>0</vt:i4>
      </vt:variant>
      <vt:variant>
        <vt:i4>5</vt:i4>
      </vt:variant>
      <vt:variant>
        <vt:lpwstr>mailto:vrp@uscg.mil</vt:lpwstr>
      </vt:variant>
      <vt:variant>
        <vt:lpwstr/>
      </vt:variant>
      <vt:variant>
        <vt:i4>1703959</vt:i4>
      </vt:variant>
      <vt:variant>
        <vt:i4>0</vt:i4>
      </vt:variant>
      <vt:variant>
        <vt:i4>0</vt:i4>
      </vt:variant>
      <vt:variant>
        <vt:i4>5</vt:i4>
      </vt:variant>
      <vt:variant>
        <vt:lpwstr>https://www.uscg.mil/Units/Organization/</vt:lpwstr>
      </vt:variant>
      <vt:variant>
        <vt:lpwstr/>
      </vt:variant>
      <vt:variant>
        <vt:i4>8257660</vt:i4>
      </vt:variant>
      <vt:variant>
        <vt:i4>0</vt:i4>
      </vt:variant>
      <vt:variant>
        <vt:i4>0</vt:i4>
      </vt:variant>
      <vt:variant>
        <vt:i4>5</vt:i4>
      </vt:variant>
      <vt:variant>
        <vt:lpwstr>https://homeport.uscg.mil/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2115-0596</dc:title>
  <dc:subject/>
  <dc:creator>USCG</dc:creator>
  <cp:keywords/>
  <cp:lastModifiedBy>Craig, Albert L CIV</cp:lastModifiedBy>
  <cp:revision>2</cp:revision>
  <cp:lastPrinted>2016-12-06T16:57:00Z</cp:lastPrinted>
  <dcterms:created xsi:type="dcterms:W3CDTF">2020-03-05T14:01:00Z</dcterms:created>
  <dcterms:modified xsi:type="dcterms:W3CDTF">2020-03-05T14:01:00Z</dcterms:modified>
</cp:coreProperties>
</file>