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44CA" w:rsidR="00FA28E6" w:rsidP="00FA28E6" w:rsidRDefault="00FA28E6" w14:paraId="4672FA13" w14:textId="6AFBB293">
      <w:pPr>
        <w:autoSpaceDE w:val="0"/>
        <w:autoSpaceDN w:val="0"/>
        <w:adjustRightInd w:val="0"/>
        <w:jc w:val="center"/>
        <w:rPr>
          <w:rFonts w:ascii="Times New Roman" w:hAnsi="Times New Roman" w:eastAsia="Calibri" w:cs="Times New Roman"/>
          <w:b/>
          <w:bCs/>
          <w:color w:val="000000"/>
          <w:sz w:val="40"/>
          <w:szCs w:val="40"/>
        </w:rPr>
      </w:pPr>
    </w:p>
    <w:p w:rsidRPr="008544CA" w:rsidR="00FA28E6" w:rsidP="00FA28E6" w:rsidRDefault="00FA28E6" w14:paraId="43F077DB" w14:textId="77777777">
      <w:pPr>
        <w:autoSpaceDE w:val="0"/>
        <w:autoSpaceDN w:val="0"/>
        <w:adjustRightInd w:val="0"/>
        <w:jc w:val="center"/>
        <w:rPr>
          <w:rFonts w:ascii="Times New Roman" w:hAnsi="Times New Roman" w:eastAsia="Calibri" w:cs="Times New Roman"/>
          <w:b/>
          <w:bCs/>
          <w:color w:val="000000"/>
          <w:sz w:val="40"/>
          <w:szCs w:val="40"/>
        </w:rPr>
      </w:pPr>
    </w:p>
    <w:p w:rsidRPr="008544CA" w:rsidR="00FA28E6" w:rsidP="00FA28E6" w:rsidRDefault="00FA28E6" w14:paraId="7B32D4F0" w14:textId="77777777">
      <w:pPr>
        <w:autoSpaceDE w:val="0"/>
        <w:autoSpaceDN w:val="0"/>
        <w:adjustRightInd w:val="0"/>
        <w:jc w:val="center"/>
        <w:rPr>
          <w:rFonts w:ascii="Times New Roman" w:hAnsi="Times New Roman" w:eastAsia="Calibri" w:cs="Times New Roman"/>
          <w:b/>
          <w:bCs/>
          <w:color w:val="000000"/>
          <w:sz w:val="40"/>
          <w:szCs w:val="40"/>
        </w:rPr>
      </w:pPr>
    </w:p>
    <w:p w:rsidRPr="008544CA" w:rsidR="00FA28E6" w:rsidP="00FA28E6" w:rsidRDefault="00FA28E6" w14:paraId="681FE6DB" w14:textId="77777777">
      <w:pPr>
        <w:autoSpaceDE w:val="0"/>
        <w:autoSpaceDN w:val="0"/>
        <w:adjustRightInd w:val="0"/>
        <w:jc w:val="center"/>
        <w:rPr>
          <w:rFonts w:ascii="Times New Roman" w:hAnsi="Times New Roman" w:eastAsia="Calibri" w:cs="Times New Roman"/>
          <w:b/>
          <w:bCs/>
          <w:color w:val="000000"/>
          <w:sz w:val="40"/>
          <w:szCs w:val="40"/>
        </w:rPr>
      </w:pPr>
      <w:r w:rsidRPr="008544CA">
        <w:rPr>
          <w:rFonts w:ascii="Times New Roman" w:hAnsi="Times New Roman" w:eastAsia="Calibri" w:cs="Times New Roman"/>
          <w:b/>
          <w:bCs/>
          <w:color w:val="000000"/>
          <w:sz w:val="40"/>
          <w:szCs w:val="40"/>
        </w:rPr>
        <w:t>APPENDIX A</w:t>
      </w:r>
    </w:p>
    <w:p w:rsidRPr="008544CA" w:rsidR="00FA28E6" w:rsidP="00FA28E6" w:rsidRDefault="00FA28E6" w14:paraId="2AE86083" w14:textId="77777777">
      <w:pPr>
        <w:autoSpaceDE w:val="0"/>
        <w:autoSpaceDN w:val="0"/>
        <w:adjustRightInd w:val="0"/>
        <w:jc w:val="center"/>
        <w:rPr>
          <w:rFonts w:ascii="Times New Roman" w:hAnsi="Times New Roman" w:eastAsia="Calibri" w:cs="Times New Roman"/>
          <w:b/>
          <w:bCs/>
          <w:color w:val="000000"/>
          <w:sz w:val="40"/>
          <w:szCs w:val="40"/>
        </w:rPr>
      </w:pPr>
    </w:p>
    <w:p w:rsidRPr="008544CA" w:rsidR="00FA28E6" w:rsidP="00FA28E6" w:rsidRDefault="00FA28E6" w14:paraId="2FCB4C38" w14:textId="77777777">
      <w:pPr>
        <w:autoSpaceDE w:val="0"/>
        <w:autoSpaceDN w:val="0"/>
        <w:adjustRightInd w:val="0"/>
        <w:jc w:val="center"/>
        <w:rPr>
          <w:rFonts w:ascii="Times New Roman" w:hAnsi="Times New Roman" w:eastAsia="Calibri" w:cs="Times New Roman"/>
          <w:b/>
          <w:bCs/>
          <w:color w:val="000000"/>
          <w:sz w:val="40"/>
          <w:szCs w:val="40"/>
        </w:rPr>
      </w:pPr>
    </w:p>
    <w:p w:rsidRPr="008544CA" w:rsidR="00FA28E6" w:rsidP="00FA28E6" w:rsidRDefault="00FA28E6" w14:paraId="2537D6E3" w14:textId="77777777">
      <w:pPr>
        <w:autoSpaceDE w:val="0"/>
        <w:autoSpaceDN w:val="0"/>
        <w:adjustRightInd w:val="0"/>
        <w:jc w:val="center"/>
        <w:rPr>
          <w:rFonts w:ascii="Times New Roman" w:hAnsi="Times New Roman" w:eastAsia="Calibri" w:cs="Times New Roman"/>
          <w:b/>
          <w:bCs/>
          <w:color w:val="000000"/>
          <w:sz w:val="40"/>
          <w:szCs w:val="40"/>
        </w:rPr>
      </w:pPr>
    </w:p>
    <w:p w:rsidRPr="008544CA" w:rsidR="00FA28E6" w:rsidP="00FA28E6" w:rsidRDefault="00FA28E6" w14:paraId="6A3B946F" w14:textId="77777777">
      <w:pPr>
        <w:autoSpaceDE w:val="0"/>
        <w:autoSpaceDN w:val="0"/>
        <w:adjustRightInd w:val="0"/>
        <w:jc w:val="center"/>
        <w:rPr>
          <w:rFonts w:ascii="Times New Roman" w:hAnsi="Times New Roman" w:eastAsia="Calibri" w:cs="Times New Roman"/>
          <w:b/>
          <w:bCs/>
          <w:color w:val="000000"/>
          <w:sz w:val="40"/>
          <w:szCs w:val="40"/>
        </w:rPr>
      </w:pPr>
    </w:p>
    <w:p w:rsidRPr="008544CA" w:rsidR="00FA28E6" w:rsidP="00FA28E6" w:rsidRDefault="00FA28E6" w14:paraId="0ABA5B97" w14:textId="77777777">
      <w:pPr>
        <w:autoSpaceDE w:val="0"/>
        <w:autoSpaceDN w:val="0"/>
        <w:adjustRightInd w:val="0"/>
        <w:rPr>
          <w:rFonts w:ascii="Times New Roman" w:hAnsi="Times New Roman" w:eastAsia="Calibri" w:cs="Times New Roman"/>
          <w:b/>
          <w:bCs/>
          <w:color w:val="000000"/>
          <w:sz w:val="40"/>
          <w:szCs w:val="40"/>
        </w:rPr>
      </w:pPr>
    </w:p>
    <w:p w:rsidRPr="008544CA" w:rsidR="00FA28E6" w:rsidP="00FA28E6" w:rsidRDefault="00FA28E6" w14:paraId="2A586D99" w14:textId="77777777">
      <w:pPr>
        <w:autoSpaceDE w:val="0"/>
        <w:autoSpaceDN w:val="0"/>
        <w:adjustRightInd w:val="0"/>
        <w:jc w:val="center"/>
        <w:rPr>
          <w:rFonts w:ascii="Times New Roman" w:hAnsi="Times New Roman" w:eastAsia="Calibri" w:cs="Times New Roman"/>
          <w:b/>
          <w:bCs/>
          <w:color w:val="000000"/>
          <w:sz w:val="40"/>
          <w:szCs w:val="40"/>
        </w:rPr>
      </w:pPr>
      <w:r w:rsidRPr="008544CA">
        <w:rPr>
          <w:rFonts w:ascii="Times New Roman" w:hAnsi="Times New Roman" w:eastAsia="Calibri" w:cs="Times New Roman"/>
          <w:b/>
          <w:bCs/>
          <w:color w:val="000000"/>
          <w:sz w:val="40"/>
          <w:szCs w:val="40"/>
        </w:rPr>
        <w:t>Information Collection</w:t>
      </w:r>
    </w:p>
    <w:p w:rsidRPr="008544CA" w:rsidR="00FA28E6" w:rsidP="00FA28E6" w:rsidRDefault="00FA28E6" w14:paraId="1D7153D6" w14:textId="77777777">
      <w:pPr>
        <w:autoSpaceDE w:val="0"/>
        <w:autoSpaceDN w:val="0"/>
        <w:adjustRightInd w:val="0"/>
        <w:jc w:val="center"/>
        <w:rPr>
          <w:rFonts w:ascii="Times New Roman" w:hAnsi="Times New Roman" w:eastAsia="Calibri" w:cs="Times New Roman"/>
          <w:b/>
          <w:bCs/>
          <w:color w:val="000000"/>
          <w:sz w:val="40"/>
          <w:szCs w:val="40"/>
        </w:rPr>
      </w:pPr>
      <w:r w:rsidRPr="008544CA">
        <w:rPr>
          <w:rFonts w:ascii="Times New Roman" w:hAnsi="Times New Roman" w:eastAsia="Calibri" w:cs="Times New Roman"/>
          <w:b/>
          <w:bCs/>
          <w:color w:val="000000"/>
          <w:sz w:val="40"/>
          <w:szCs w:val="40"/>
        </w:rPr>
        <w:t xml:space="preserve">for </w:t>
      </w:r>
    </w:p>
    <w:p w:rsidRPr="008544CA" w:rsidR="00FA28E6" w:rsidP="00FA28E6" w:rsidRDefault="00FA28E6" w14:paraId="1FA9F6A3" w14:textId="65302968">
      <w:pPr>
        <w:autoSpaceDE w:val="0"/>
        <w:autoSpaceDN w:val="0"/>
        <w:adjustRightInd w:val="0"/>
        <w:jc w:val="center"/>
        <w:rPr>
          <w:rFonts w:ascii="Times New Roman" w:hAnsi="Times New Roman" w:eastAsia="Calibri" w:cs="Times New Roman"/>
          <w:b/>
          <w:bCs/>
          <w:color w:val="000000"/>
          <w:sz w:val="40"/>
          <w:szCs w:val="40"/>
        </w:rPr>
      </w:pPr>
      <w:r w:rsidRPr="008544CA">
        <w:rPr>
          <w:rFonts w:ascii="Times New Roman" w:hAnsi="Times New Roman" w:eastAsia="Calibri" w:cs="Times New Roman"/>
          <w:b/>
          <w:bCs/>
          <w:color w:val="000000"/>
          <w:sz w:val="40"/>
          <w:szCs w:val="40"/>
        </w:rPr>
        <w:t>Vocational Rehabilitation Financial Report (RSA-</w:t>
      </w:r>
      <w:r w:rsidRPr="008544CA" w:rsidR="004317DB">
        <w:rPr>
          <w:rFonts w:ascii="Times New Roman" w:hAnsi="Times New Roman" w:eastAsia="Calibri" w:cs="Times New Roman"/>
          <w:b/>
          <w:bCs/>
          <w:color w:val="000000"/>
          <w:sz w:val="40"/>
          <w:szCs w:val="40"/>
        </w:rPr>
        <w:t>17</w:t>
      </w:r>
      <w:r w:rsidRPr="008544CA">
        <w:rPr>
          <w:rFonts w:ascii="Times New Roman" w:hAnsi="Times New Roman" w:eastAsia="Calibri" w:cs="Times New Roman"/>
          <w:b/>
          <w:bCs/>
          <w:color w:val="000000"/>
          <w:sz w:val="40"/>
          <w:szCs w:val="40"/>
        </w:rPr>
        <w:t>)</w:t>
      </w:r>
    </w:p>
    <w:p w:rsidRPr="008544CA" w:rsidR="00FA28E6" w:rsidP="00FA28E6" w:rsidRDefault="00FA28E6" w14:paraId="5667800A" w14:textId="77777777">
      <w:pPr>
        <w:autoSpaceDE w:val="0"/>
        <w:autoSpaceDN w:val="0"/>
        <w:adjustRightInd w:val="0"/>
        <w:jc w:val="center"/>
        <w:rPr>
          <w:rFonts w:ascii="Times New Roman" w:hAnsi="Times New Roman" w:eastAsia="Calibri" w:cs="Times New Roman"/>
          <w:b/>
          <w:bCs/>
          <w:color w:val="000000"/>
          <w:sz w:val="40"/>
          <w:szCs w:val="40"/>
        </w:rPr>
      </w:pPr>
    </w:p>
    <w:p w:rsidRPr="008544CA" w:rsidR="00FA28E6" w:rsidP="00FA28E6" w:rsidRDefault="00FA28E6" w14:paraId="5BA7DBA5" w14:textId="77777777">
      <w:pPr>
        <w:autoSpaceDE w:val="0"/>
        <w:autoSpaceDN w:val="0"/>
        <w:adjustRightInd w:val="0"/>
        <w:jc w:val="center"/>
        <w:rPr>
          <w:rFonts w:ascii="Times New Roman" w:hAnsi="Times New Roman" w:eastAsia="Calibri" w:cs="Times New Roman"/>
          <w:b/>
          <w:bCs/>
          <w:color w:val="000000"/>
          <w:sz w:val="40"/>
          <w:szCs w:val="40"/>
        </w:rPr>
      </w:pPr>
    </w:p>
    <w:p w:rsidRPr="008544CA" w:rsidR="00FA28E6" w:rsidP="00FA28E6" w:rsidRDefault="00FA28E6" w14:paraId="51A224E1" w14:textId="77777777">
      <w:pPr>
        <w:autoSpaceDE w:val="0"/>
        <w:autoSpaceDN w:val="0"/>
        <w:adjustRightInd w:val="0"/>
        <w:jc w:val="center"/>
        <w:rPr>
          <w:rFonts w:ascii="Times New Roman" w:hAnsi="Times New Roman" w:eastAsia="Calibri" w:cs="Times New Roman"/>
          <w:b/>
          <w:bCs/>
          <w:color w:val="000000"/>
          <w:sz w:val="40"/>
          <w:szCs w:val="40"/>
        </w:rPr>
      </w:pPr>
    </w:p>
    <w:p w:rsidRPr="008544CA" w:rsidR="00FA28E6" w:rsidP="00FA28E6" w:rsidRDefault="00FA28E6" w14:paraId="546DA0B5" w14:textId="77777777">
      <w:pPr>
        <w:autoSpaceDE w:val="0"/>
        <w:autoSpaceDN w:val="0"/>
        <w:adjustRightInd w:val="0"/>
        <w:jc w:val="center"/>
        <w:rPr>
          <w:rFonts w:ascii="Times New Roman" w:hAnsi="Times New Roman" w:eastAsia="Calibri" w:cs="Times New Roman"/>
          <w:b/>
          <w:bCs/>
          <w:color w:val="000000"/>
          <w:sz w:val="40"/>
          <w:szCs w:val="40"/>
        </w:rPr>
      </w:pPr>
      <w:r w:rsidRPr="008544CA">
        <w:rPr>
          <w:rFonts w:ascii="Times New Roman" w:hAnsi="Times New Roman" w:eastAsia="Calibri" w:cs="Times New Roman"/>
          <w:b/>
          <w:bCs/>
          <w:color w:val="000000"/>
          <w:sz w:val="40"/>
          <w:szCs w:val="40"/>
        </w:rPr>
        <w:t>Summary of Public Comments and Responses</w:t>
      </w:r>
    </w:p>
    <w:p w:rsidRPr="008544CA" w:rsidR="00FA28E6" w:rsidP="00FA28E6" w:rsidRDefault="00FA28E6" w14:paraId="0CBB18D9" w14:textId="77777777">
      <w:pPr>
        <w:autoSpaceDE w:val="0"/>
        <w:autoSpaceDN w:val="0"/>
        <w:adjustRightInd w:val="0"/>
        <w:jc w:val="center"/>
        <w:rPr>
          <w:rFonts w:ascii="Times New Roman" w:hAnsi="Times New Roman" w:eastAsia="Calibri" w:cs="Times New Roman"/>
          <w:b/>
          <w:bCs/>
          <w:color w:val="000000"/>
          <w:sz w:val="40"/>
          <w:szCs w:val="40"/>
        </w:rPr>
      </w:pPr>
    </w:p>
    <w:p w:rsidRPr="008544CA" w:rsidR="00FA28E6" w:rsidP="00FA28E6" w:rsidRDefault="00FA28E6" w14:paraId="00B4EF30" w14:textId="77777777">
      <w:pPr>
        <w:autoSpaceDE w:val="0"/>
        <w:autoSpaceDN w:val="0"/>
        <w:adjustRightInd w:val="0"/>
        <w:jc w:val="center"/>
        <w:rPr>
          <w:rFonts w:ascii="Times New Roman" w:hAnsi="Times New Roman" w:eastAsia="Calibri" w:cs="Times New Roman"/>
          <w:b/>
          <w:bCs/>
          <w:color w:val="000000"/>
          <w:sz w:val="40"/>
          <w:szCs w:val="40"/>
        </w:rPr>
      </w:pPr>
    </w:p>
    <w:p w:rsidRPr="008544CA" w:rsidR="00FA28E6" w:rsidP="00FA28E6" w:rsidRDefault="00FA28E6" w14:paraId="3848BA50" w14:textId="77777777">
      <w:pPr>
        <w:autoSpaceDE w:val="0"/>
        <w:autoSpaceDN w:val="0"/>
        <w:adjustRightInd w:val="0"/>
        <w:jc w:val="center"/>
        <w:rPr>
          <w:rFonts w:ascii="Times New Roman" w:hAnsi="Times New Roman" w:eastAsia="Calibri" w:cs="Times New Roman"/>
          <w:b/>
          <w:bCs/>
          <w:color w:val="000000"/>
          <w:sz w:val="40"/>
          <w:szCs w:val="40"/>
        </w:rPr>
      </w:pPr>
    </w:p>
    <w:p w:rsidRPr="008544CA" w:rsidR="00FA28E6" w:rsidP="00FA28E6" w:rsidRDefault="00FA28E6" w14:paraId="5920598B" w14:textId="77777777">
      <w:pPr>
        <w:autoSpaceDE w:val="0"/>
        <w:autoSpaceDN w:val="0"/>
        <w:adjustRightInd w:val="0"/>
        <w:jc w:val="center"/>
        <w:rPr>
          <w:rFonts w:ascii="Times New Roman" w:hAnsi="Times New Roman" w:eastAsia="Calibri" w:cs="Times New Roman"/>
          <w:b/>
          <w:bCs/>
          <w:color w:val="000000"/>
          <w:sz w:val="40"/>
          <w:szCs w:val="40"/>
        </w:rPr>
      </w:pPr>
    </w:p>
    <w:p w:rsidRPr="008544CA" w:rsidR="00FA28E6" w:rsidP="00FA28E6" w:rsidRDefault="00FA28E6" w14:paraId="4917FD91" w14:textId="77777777">
      <w:pPr>
        <w:autoSpaceDE w:val="0"/>
        <w:autoSpaceDN w:val="0"/>
        <w:adjustRightInd w:val="0"/>
        <w:jc w:val="center"/>
        <w:rPr>
          <w:rFonts w:ascii="Times New Roman" w:hAnsi="Times New Roman" w:eastAsia="Calibri" w:cs="Times New Roman"/>
          <w:b/>
          <w:bCs/>
          <w:color w:val="000000"/>
          <w:sz w:val="40"/>
          <w:szCs w:val="40"/>
        </w:rPr>
      </w:pPr>
    </w:p>
    <w:p w:rsidRPr="008544CA" w:rsidR="00FA28E6" w:rsidP="00FA28E6" w:rsidRDefault="00FA28E6" w14:paraId="386775DF" w14:textId="77777777">
      <w:pPr>
        <w:autoSpaceDE w:val="0"/>
        <w:autoSpaceDN w:val="0"/>
        <w:adjustRightInd w:val="0"/>
        <w:jc w:val="center"/>
        <w:rPr>
          <w:rFonts w:ascii="Times New Roman" w:hAnsi="Times New Roman" w:eastAsia="Calibri" w:cs="Times New Roman"/>
          <w:b/>
          <w:bCs/>
          <w:color w:val="000000"/>
          <w:sz w:val="40"/>
          <w:szCs w:val="40"/>
        </w:rPr>
      </w:pPr>
    </w:p>
    <w:p w:rsidRPr="008544CA" w:rsidR="00FA28E6" w:rsidP="00FA28E6" w:rsidRDefault="00FA28E6" w14:paraId="7421CFD0" w14:textId="77777777">
      <w:pPr>
        <w:autoSpaceDE w:val="0"/>
        <w:autoSpaceDN w:val="0"/>
        <w:adjustRightInd w:val="0"/>
        <w:jc w:val="center"/>
        <w:rPr>
          <w:rFonts w:ascii="Times New Roman" w:hAnsi="Times New Roman" w:eastAsia="Calibri" w:cs="Times New Roman"/>
          <w:bCs/>
          <w:color w:val="000000"/>
          <w:sz w:val="40"/>
          <w:szCs w:val="40"/>
        </w:rPr>
      </w:pPr>
      <w:r w:rsidRPr="008544CA">
        <w:rPr>
          <w:rFonts w:ascii="Times New Roman" w:hAnsi="Times New Roman" w:eastAsia="Calibri" w:cs="Times New Roman"/>
          <w:bCs/>
          <w:color w:val="000000"/>
          <w:sz w:val="40"/>
          <w:szCs w:val="40"/>
        </w:rPr>
        <w:t>U.S. Department of Education</w:t>
      </w:r>
    </w:p>
    <w:p w:rsidRPr="008544CA" w:rsidR="00FA28E6" w:rsidP="00FA28E6" w:rsidRDefault="00FA28E6" w14:paraId="502E5CAB" w14:textId="77777777">
      <w:pPr>
        <w:autoSpaceDE w:val="0"/>
        <w:autoSpaceDN w:val="0"/>
        <w:adjustRightInd w:val="0"/>
        <w:jc w:val="center"/>
        <w:rPr>
          <w:rFonts w:ascii="Times New Roman" w:hAnsi="Times New Roman" w:eastAsia="Calibri" w:cs="Times New Roman"/>
          <w:bCs/>
          <w:color w:val="000000"/>
          <w:sz w:val="40"/>
          <w:szCs w:val="40"/>
        </w:rPr>
      </w:pPr>
      <w:r w:rsidRPr="008544CA">
        <w:rPr>
          <w:rFonts w:ascii="Times New Roman" w:hAnsi="Times New Roman" w:eastAsia="Calibri" w:cs="Times New Roman"/>
          <w:bCs/>
          <w:color w:val="000000"/>
          <w:sz w:val="40"/>
          <w:szCs w:val="40"/>
        </w:rPr>
        <w:t xml:space="preserve">Office of Special Education and Rehabilitative Services </w:t>
      </w:r>
    </w:p>
    <w:p w:rsidRPr="008544CA" w:rsidR="00FA28E6" w:rsidP="00FA28E6" w:rsidRDefault="00FA28E6" w14:paraId="1DA5DA93" w14:textId="77777777">
      <w:pPr>
        <w:autoSpaceDE w:val="0"/>
        <w:autoSpaceDN w:val="0"/>
        <w:adjustRightInd w:val="0"/>
        <w:jc w:val="center"/>
        <w:rPr>
          <w:rFonts w:ascii="Times New Roman" w:hAnsi="Times New Roman" w:eastAsia="Calibri" w:cs="Times New Roman"/>
          <w:bCs/>
          <w:color w:val="000000"/>
          <w:sz w:val="40"/>
          <w:szCs w:val="40"/>
        </w:rPr>
      </w:pPr>
      <w:r w:rsidRPr="008544CA">
        <w:rPr>
          <w:rFonts w:ascii="Times New Roman" w:hAnsi="Times New Roman" w:eastAsia="Calibri" w:cs="Times New Roman"/>
          <w:bCs/>
          <w:color w:val="000000"/>
          <w:sz w:val="40"/>
          <w:szCs w:val="40"/>
        </w:rPr>
        <w:t>Rehabilitation Services Administration</w:t>
      </w:r>
    </w:p>
    <w:p w:rsidRPr="008544CA" w:rsidR="00FA28E6" w:rsidP="00FA28E6" w:rsidRDefault="00FA28E6" w14:paraId="7EBEF3B1" w14:textId="77777777">
      <w:pPr>
        <w:autoSpaceDE w:val="0"/>
        <w:autoSpaceDN w:val="0"/>
        <w:adjustRightInd w:val="0"/>
        <w:jc w:val="center"/>
        <w:rPr>
          <w:rFonts w:ascii="Times New Roman" w:hAnsi="Times New Roman" w:eastAsia="Calibri" w:cs="Times New Roman"/>
          <w:b/>
          <w:bCs/>
          <w:color w:val="000000"/>
          <w:sz w:val="40"/>
          <w:szCs w:val="40"/>
        </w:rPr>
      </w:pPr>
    </w:p>
    <w:p w:rsidRPr="008544CA" w:rsidR="00FA28E6" w:rsidP="00FA28E6" w:rsidRDefault="00FA28E6" w14:paraId="7E97D9A3" w14:textId="77777777">
      <w:pPr>
        <w:autoSpaceDE w:val="0"/>
        <w:autoSpaceDN w:val="0"/>
        <w:adjustRightInd w:val="0"/>
        <w:jc w:val="center"/>
        <w:rPr>
          <w:rFonts w:ascii="Times New Roman" w:hAnsi="Times New Roman" w:eastAsia="Calibri" w:cs="Times New Roman"/>
          <w:b/>
          <w:bCs/>
          <w:color w:val="000000"/>
          <w:sz w:val="40"/>
          <w:szCs w:val="40"/>
        </w:rPr>
      </w:pPr>
    </w:p>
    <w:p w:rsidRPr="008544CA" w:rsidR="00FA28E6" w:rsidP="00FA28E6" w:rsidRDefault="00FA28E6" w14:paraId="22854AA9" w14:textId="77777777">
      <w:pPr>
        <w:pStyle w:val="Heading1"/>
      </w:pPr>
      <w:r w:rsidRPr="008544CA">
        <w:lastRenderedPageBreak/>
        <w:t>Introduction</w:t>
      </w:r>
    </w:p>
    <w:p w:rsidRPr="008544CA" w:rsidR="00FA28E6" w:rsidP="00FA28E6" w:rsidRDefault="00FA28E6" w14:paraId="6E8E0664" w14:textId="77777777">
      <w:pPr>
        <w:ind w:left="360"/>
        <w:rPr>
          <w:rFonts w:ascii="Times New Roman" w:hAnsi="Times New Roman" w:eastAsia="Calibri" w:cs="Times New Roman"/>
          <w:color w:val="000000"/>
          <w:sz w:val="24"/>
          <w:szCs w:val="24"/>
        </w:rPr>
      </w:pPr>
    </w:p>
    <w:p w:rsidRPr="008544CA" w:rsidR="00FA28E6" w:rsidP="00FA28E6" w:rsidRDefault="00FA28E6" w14:paraId="599811BA" w14:textId="5A5BCA48">
      <w:pPr>
        <w:ind w:left="360"/>
        <w:rPr>
          <w:rFonts w:ascii="Times New Roman" w:hAnsi="Times New Roman" w:eastAsia="Calibri" w:cs="Times New Roman"/>
          <w:color w:val="000000"/>
          <w:sz w:val="24"/>
          <w:szCs w:val="24"/>
        </w:rPr>
      </w:pPr>
      <w:r w:rsidRPr="008544CA">
        <w:rPr>
          <w:rFonts w:ascii="Times New Roman" w:hAnsi="Times New Roman" w:eastAsia="Calibri" w:cs="Times New Roman"/>
          <w:color w:val="000000"/>
          <w:sz w:val="24"/>
          <w:szCs w:val="24"/>
        </w:rPr>
        <w:t>The U.S. Department of Education (Department) appreciates each stakeholder’s suggestions and comments on this Information Collection Request (ICR) for the Rehabilitation Services Administration (RSA) Vocational Rehabilitation Financial Report (RSA-</w:t>
      </w:r>
      <w:r w:rsidR="001B074B">
        <w:rPr>
          <w:rFonts w:ascii="Times New Roman" w:hAnsi="Times New Roman" w:eastAsia="Calibri" w:cs="Times New Roman"/>
          <w:color w:val="000000"/>
          <w:sz w:val="24"/>
          <w:szCs w:val="24"/>
        </w:rPr>
        <w:t>2</w:t>
      </w:r>
      <w:r w:rsidRPr="008544CA">
        <w:rPr>
          <w:rFonts w:ascii="Times New Roman" w:hAnsi="Times New Roman" w:eastAsia="Calibri" w:cs="Times New Roman"/>
          <w:color w:val="000000"/>
          <w:sz w:val="24"/>
          <w:szCs w:val="24"/>
        </w:rPr>
        <w:t xml:space="preserve">), published in the </w:t>
      </w:r>
      <w:r w:rsidRPr="008544CA">
        <w:rPr>
          <w:rFonts w:ascii="Times New Roman" w:hAnsi="Times New Roman" w:eastAsia="Calibri" w:cs="Times New Roman"/>
          <w:i/>
          <w:color w:val="000000"/>
          <w:sz w:val="24"/>
          <w:szCs w:val="24"/>
        </w:rPr>
        <w:t>Federal Register</w:t>
      </w:r>
      <w:r w:rsidRPr="008544CA">
        <w:rPr>
          <w:rFonts w:ascii="Times New Roman" w:hAnsi="Times New Roman" w:eastAsia="Calibri" w:cs="Times New Roman"/>
          <w:color w:val="000000"/>
          <w:sz w:val="24"/>
          <w:szCs w:val="24"/>
        </w:rPr>
        <w:t xml:space="preserve"> on February 12, 2020 (85 FR 7980). RSA received </w:t>
      </w:r>
      <w:r w:rsidRPr="008544CA" w:rsidR="00686EB3">
        <w:rPr>
          <w:rFonts w:ascii="Times New Roman" w:hAnsi="Times New Roman" w:eastAsia="Calibri" w:cs="Times New Roman"/>
          <w:color w:val="000000"/>
          <w:sz w:val="24"/>
          <w:szCs w:val="24"/>
        </w:rPr>
        <w:t>ten</w:t>
      </w:r>
      <w:r w:rsidRPr="008544CA">
        <w:rPr>
          <w:rFonts w:ascii="Times New Roman" w:hAnsi="Times New Roman" w:eastAsia="Calibri" w:cs="Times New Roman"/>
          <w:color w:val="000000"/>
          <w:sz w:val="24"/>
          <w:szCs w:val="24"/>
        </w:rPr>
        <w:t xml:space="preserve"> comments related to specific aspects of the proposed revisions to the RSA-</w:t>
      </w:r>
      <w:r w:rsidRPr="008544CA" w:rsidR="00481FF2">
        <w:rPr>
          <w:rFonts w:ascii="Times New Roman" w:hAnsi="Times New Roman" w:eastAsia="Calibri" w:cs="Times New Roman"/>
          <w:color w:val="000000"/>
          <w:sz w:val="24"/>
          <w:szCs w:val="24"/>
        </w:rPr>
        <w:t>2</w:t>
      </w:r>
      <w:r w:rsidRPr="008544CA">
        <w:rPr>
          <w:rFonts w:ascii="Times New Roman" w:hAnsi="Times New Roman" w:eastAsia="Calibri" w:cs="Times New Roman"/>
          <w:color w:val="000000"/>
          <w:sz w:val="24"/>
          <w:szCs w:val="24"/>
        </w:rPr>
        <w:t xml:space="preserve"> from </w:t>
      </w:r>
      <w:r w:rsidRPr="008544CA" w:rsidR="00686EB3">
        <w:rPr>
          <w:rFonts w:ascii="Times New Roman" w:hAnsi="Times New Roman" w:eastAsia="Calibri" w:cs="Times New Roman"/>
          <w:color w:val="000000"/>
          <w:sz w:val="24"/>
          <w:szCs w:val="24"/>
        </w:rPr>
        <w:t>five</w:t>
      </w:r>
      <w:r w:rsidRPr="008544CA">
        <w:rPr>
          <w:rFonts w:ascii="Times New Roman" w:hAnsi="Times New Roman" w:eastAsia="Calibri" w:cs="Times New Roman"/>
          <w:color w:val="000000"/>
          <w:sz w:val="24"/>
          <w:szCs w:val="24"/>
        </w:rPr>
        <w:t xml:space="preserve"> State Vocational Rehabilitation (VR) agenc</w:t>
      </w:r>
      <w:r w:rsidRPr="008544CA" w:rsidR="00686EB3">
        <w:rPr>
          <w:rFonts w:ascii="Times New Roman" w:hAnsi="Times New Roman" w:eastAsia="Calibri" w:cs="Times New Roman"/>
          <w:color w:val="000000"/>
          <w:sz w:val="24"/>
          <w:szCs w:val="24"/>
        </w:rPr>
        <w:t>ies</w:t>
      </w:r>
      <w:r w:rsidRPr="008544CA">
        <w:rPr>
          <w:rFonts w:ascii="Times New Roman" w:hAnsi="Times New Roman" w:eastAsia="Calibri" w:cs="Times New Roman"/>
          <w:color w:val="000000"/>
          <w:sz w:val="24"/>
          <w:szCs w:val="24"/>
        </w:rPr>
        <w:t xml:space="preserve">. </w:t>
      </w:r>
    </w:p>
    <w:p w:rsidRPr="008544CA" w:rsidR="00FA28E6" w:rsidP="00FA28E6" w:rsidRDefault="00FA28E6" w14:paraId="39ECFFE3" w14:textId="77777777">
      <w:pPr>
        <w:rPr>
          <w:rFonts w:ascii="Times New Roman" w:hAnsi="Times New Roman" w:cs="Times New Roman"/>
        </w:rPr>
      </w:pPr>
    </w:p>
    <w:p w:rsidRPr="008544CA" w:rsidR="00FA28E6" w:rsidP="00FA28E6" w:rsidRDefault="00FA28E6" w14:paraId="54216FD8" w14:textId="77777777">
      <w:pPr>
        <w:pStyle w:val="Heading1"/>
      </w:pPr>
      <w:r w:rsidRPr="008544CA">
        <w:t>Comments and Responses</w:t>
      </w:r>
    </w:p>
    <w:p w:rsidRPr="008544CA" w:rsidR="00FA28E6" w:rsidP="00FA28E6" w:rsidRDefault="00FA28E6" w14:paraId="21CC9D25" w14:textId="77777777">
      <w:pPr>
        <w:rPr>
          <w:rFonts w:ascii="Times New Roman" w:hAnsi="Times New Roman" w:cs="Times New Roman"/>
        </w:rPr>
      </w:pPr>
    </w:p>
    <w:p w:rsidRPr="008544CA" w:rsidR="00856D5A" w:rsidP="00856D5A" w:rsidRDefault="00856D5A" w14:paraId="1932C9B5" w14:textId="60F4636E">
      <w:pPr>
        <w:pStyle w:val="Heading2"/>
        <w:rPr>
          <w:rFonts w:cs="Times New Roman"/>
        </w:rPr>
      </w:pPr>
      <w:r w:rsidRPr="008544CA">
        <w:rPr>
          <w:rFonts w:cs="Times New Roman"/>
        </w:rPr>
        <w:t>Report N</w:t>
      </w:r>
      <w:r w:rsidRPr="008544CA" w:rsidR="0087508E">
        <w:rPr>
          <w:rFonts w:cs="Times New Roman"/>
        </w:rPr>
        <w:t>umbering</w:t>
      </w:r>
    </w:p>
    <w:p w:rsidRPr="008544CA" w:rsidR="0087508E" w:rsidP="0087508E" w:rsidRDefault="0087508E" w14:paraId="1A9764EE" w14:textId="3D07BC81">
      <w:pPr>
        <w:rPr>
          <w:rFonts w:ascii="Times New Roman" w:hAnsi="Times New Roman" w:cs="Times New Roman"/>
        </w:rPr>
      </w:pPr>
    </w:p>
    <w:p w:rsidRPr="008544CA" w:rsidR="0087508E" w:rsidP="0087508E" w:rsidRDefault="0087508E" w14:paraId="6CD7639F" w14:textId="02F7FE5B">
      <w:pPr>
        <w:ind w:left="720"/>
        <w:rPr>
          <w:rFonts w:ascii="Times New Roman" w:hAnsi="Times New Roman" w:cs="Times New Roman"/>
          <w:sz w:val="24"/>
          <w:szCs w:val="24"/>
        </w:rPr>
      </w:pPr>
      <w:r w:rsidRPr="008544CA">
        <w:rPr>
          <w:rFonts w:ascii="Times New Roman" w:hAnsi="Times New Roman" w:cs="Times New Roman"/>
          <w:sz w:val="24"/>
          <w:szCs w:val="24"/>
          <w:u w:val="single"/>
        </w:rPr>
        <w:t>Comment</w:t>
      </w:r>
      <w:r w:rsidRPr="008544CA">
        <w:rPr>
          <w:rFonts w:ascii="Times New Roman" w:hAnsi="Times New Roman" w:cs="Times New Roman"/>
          <w:sz w:val="24"/>
          <w:szCs w:val="24"/>
        </w:rPr>
        <w:t xml:space="preserve">: </w:t>
      </w:r>
      <w:r w:rsidRPr="008544CA" w:rsidR="00BD6376">
        <w:rPr>
          <w:rFonts w:ascii="Times New Roman" w:hAnsi="Times New Roman" w:cs="Times New Roman"/>
          <w:sz w:val="24"/>
          <w:szCs w:val="24"/>
        </w:rPr>
        <w:t xml:space="preserve">Commenters </w:t>
      </w:r>
      <w:r w:rsidRPr="008544CA">
        <w:rPr>
          <w:rFonts w:ascii="Times New Roman" w:hAnsi="Times New Roman" w:cs="Times New Roman"/>
          <w:sz w:val="24"/>
          <w:szCs w:val="24"/>
        </w:rPr>
        <w:t xml:space="preserve">remarked that the </w:t>
      </w:r>
      <w:r w:rsidRPr="008544CA" w:rsidR="00BD6376">
        <w:rPr>
          <w:rFonts w:ascii="Times New Roman" w:hAnsi="Times New Roman" w:cs="Times New Roman"/>
          <w:sz w:val="24"/>
          <w:szCs w:val="24"/>
        </w:rPr>
        <w:t>proposed</w:t>
      </w:r>
      <w:r w:rsidRPr="008544CA">
        <w:rPr>
          <w:rFonts w:ascii="Times New Roman" w:hAnsi="Times New Roman" w:cs="Times New Roman"/>
          <w:sz w:val="24"/>
          <w:szCs w:val="24"/>
        </w:rPr>
        <w:t xml:space="preserve"> RSA-</w:t>
      </w:r>
      <w:r w:rsidRPr="008544CA" w:rsidR="00BD6376">
        <w:rPr>
          <w:rFonts w:ascii="Times New Roman" w:hAnsi="Times New Roman" w:cs="Times New Roman"/>
          <w:sz w:val="24"/>
          <w:szCs w:val="24"/>
        </w:rPr>
        <w:t>2</w:t>
      </w:r>
      <w:r w:rsidRPr="008544CA">
        <w:rPr>
          <w:rFonts w:ascii="Times New Roman" w:hAnsi="Times New Roman" w:cs="Times New Roman"/>
          <w:sz w:val="24"/>
          <w:szCs w:val="24"/>
        </w:rPr>
        <w:t xml:space="preserve"> </w:t>
      </w:r>
      <w:r w:rsidRPr="008544CA" w:rsidR="00BD6376">
        <w:rPr>
          <w:rFonts w:ascii="Times New Roman" w:hAnsi="Times New Roman" w:cs="Times New Roman"/>
          <w:sz w:val="24"/>
          <w:szCs w:val="24"/>
        </w:rPr>
        <w:t xml:space="preserve">was a very different form </w:t>
      </w:r>
      <w:r w:rsidR="00CB1810">
        <w:rPr>
          <w:rFonts w:ascii="Times New Roman" w:hAnsi="Times New Roman" w:cs="Times New Roman"/>
          <w:sz w:val="24"/>
          <w:szCs w:val="24"/>
        </w:rPr>
        <w:t>from</w:t>
      </w:r>
      <w:r w:rsidRPr="008544CA" w:rsidR="00BD6376">
        <w:rPr>
          <w:rFonts w:ascii="Times New Roman" w:hAnsi="Times New Roman" w:cs="Times New Roman"/>
          <w:sz w:val="24"/>
          <w:szCs w:val="24"/>
        </w:rPr>
        <w:t xml:space="preserve"> the prior RSA</w:t>
      </w:r>
      <w:r w:rsidRPr="008544CA" w:rsidR="00CF5EA3">
        <w:rPr>
          <w:rFonts w:ascii="Times New Roman" w:hAnsi="Times New Roman" w:cs="Times New Roman"/>
          <w:sz w:val="24"/>
          <w:szCs w:val="24"/>
        </w:rPr>
        <w:t>-2 due to the incorporation of data elements from the SF-425 and the elimination of so many previously reported RSA-2 data elements. This appears to make the transition to the proposed RSA-2 more confusing</w:t>
      </w:r>
      <w:r w:rsidRPr="008544CA">
        <w:rPr>
          <w:rFonts w:ascii="Times New Roman" w:hAnsi="Times New Roman" w:cs="Times New Roman"/>
          <w:sz w:val="24"/>
          <w:szCs w:val="24"/>
        </w:rPr>
        <w:t>.</w:t>
      </w:r>
    </w:p>
    <w:p w:rsidRPr="008544CA" w:rsidR="00CF5EA3" w:rsidP="0087508E" w:rsidRDefault="00CF5EA3" w14:paraId="42D1FDDE" w14:textId="07FC6B8D">
      <w:pPr>
        <w:ind w:left="720"/>
        <w:rPr>
          <w:rFonts w:ascii="Times New Roman" w:hAnsi="Times New Roman" w:cs="Times New Roman"/>
        </w:rPr>
      </w:pPr>
    </w:p>
    <w:p w:rsidRPr="008544CA" w:rsidR="00CF5EA3" w:rsidP="0087508E" w:rsidRDefault="00CF5EA3" w14:paraId="79B6BDA9" w14:textId="21A52672">
      <w:pPr>
        <w:ind w:left="720"/>
        <w:rPr>
          <w:rFonts w:ascii="Times New Roman" w:hAnsi="Times New Roman" w:cs="Times New Roman"/>
          <w:sz w:val="24"/>
          <w:szCs w:val="24"/>
        </w:rPr>
      </w:pPr>
      <w:r w:rsidRPr="008544CA">
        <w:rPr>
          <w:rFonts w:ascii="Times New Roman" w:hAnsi="Times New Roman" w:cs="Times New Roman"/>
          <w:sz w:val="24"/>
          <w:szCs w:val="24"/>
          <w:u w:val="single"/>
        </w:rPr>
        <w:t>Change</w:t>
      </w:r>
      <w:r w:rsidRPr="008544CA">
        <w:rPr>
          <w:rFonts w:ascii="Times New Roman" w:hAnsi="Times New Roman" w:cs="Times New Roman"/>
          <w:sz w:val="24"/>
          <w:szCs w:val="24"/>
        </w:rPr>
        <w:t xml:space="preserve">: </w:t>
      </w:r>
      <w:r w:rsidRPr="008544CA">
        <w:rPr>
          <w:rFonts w:ascii="Times New Roman" w:hAnsi="Times New Roman" w:cs="Times New Roman"/>
          <w:bCs/>
          <w:sz w:val="24"/>
          <w:szCs w:val="24"/>
        </w:rPr>
        <w:t xml:space="preserve">While RSA changed the form </w:t>
      </w:r>
      <w:r w:rsidR="00456D21">
        <w:rPr>
          <w:rFonts w:ascii="Times New Roman" w:hAnsi="Times New Roman" w:cs="Times New Roman"/>
          <w:bCs/>
          <w:sz w:val="24"/>
          <w:szCs w:val="24"/>
        </w:rPr>
        <w:t xml:space="preserve">title to “Vocational Rehabilitation Financial Report” </w:t>
      </w:r>
      <w:r w:rsidRPr="008544CA">
        <w:rPr>
          <w:rFonts w:ascii="Times New Roman" w:hAnsi="Times New Roman" w:cs="Times New Roman"/>
          <w:bCs/>
          <w:sz w:val="24"/>
          <w:szCs w:val="24"/>
        </w:rPr>
        <w:t xml:space="preserve">in order to make a clear distinction between the previous and proposed versions of the RSA-2 forms, the use of the same numbering appears to have resulted in </w:t>
      </w:r>
      <w:r w:rsidRPr="008544CA" w:rsidR="007601AC">
        <w:rPr>
          <w:rFonts w:ascii="Times New Roman" w:hAnsi="Times New Roman" w:cs="Times New Roman"/>
          <w:bCs/>
          <w:sz w:val="24"/>
          <w:szCs w:val="24"/>
        </w:rPr>
        <w:t xml:space="preserve">unnecessary </w:t>
      </w:r>
      <w:r w:rsidRPr="008544CA">
        <w:rPr>
          <w:rFonts w:ascii="Times New Roman" w:hAnsi="Times New Roman" w:cs="Times New Roman"/>
          <w:bCs/>
          <w:sz w:val="24"/>
          <w:szCs w:val="24"/>
        </w:rPr>
        <w:t>confusion. There</w:t>
      </w:r>
      <w:r w:rsidRPr="008544CA" w:rsidR="002A4F20">
        <w:rPr>
          <w:rFonts w:ascii="Times New Roman" w:hAnsi="Times New Roman" w:cs="Times New Roman"/>
          <w:bCs/>
          <w:sz w:val="24"/>
          <w:szCs w:val="24"/>
        </w:rPr>
        <w:t xml:space="preserve">fore, RSA </w:t>
      </w:r>
      <w:r w:rsidRPr="008544CA" w:rsidR="00D90C58">
        <w:rPr>
          <w:rFonts w:ascii="Times New Roman" w:hAnsi="Times New Roman" w:cs="Times New Roman"/>
          <w:bCs/>
          <w:sz w:val="24"/>
          <w:szCs w:val="24"/>
        </w:rPr>
        <w:t xml:space="preserve">changed the numbering of the form to </w:t>
      </w:r>
      <w:r w:rsidRPr="008544CA" w:rsidR="00CC03F2">
        <w:rPr>
          <w:rFonts w:ascii="Times New Roman" w:hAnsi="Times New Roman" w:cs="Times New Roman"/>
          <w:bCs/>
          <w:sz w:val="24"/>
          <w:szCs w:val="24"/>
        </w:rPr>
        <w:t xml:space="preserve">the RSA-17. </w:t>
      </w:r>
      <w:r w:rsidRPr="008544CA" w:rsidR="00D90C58">
        <w:rPr>
          <w:rFonts w:ascii="Times New Roman" w:hAnsi="Times New Roman" w:cs="Times New Roman"/>
          <w:bCs/>
          <w:sz w:val="24"/>
          <w:szCs w:val="24"/>
        </w:rPr>
        <w:t xml:space="preserve">This will assist </w:t>
      </w:r>
      <w:r w:rsidRPr="008544CA" w:rsidR="005831B8">
        <w:rPr>
          <w:rFonts w:ascii="Times New Roman" w:hAnsi="Times New Roman" w:cs="Times New Roman"/>
          <w:bCs/>
          <w:sz w:val="24"/>
          <w:szCs w:val="24"/>
        </w:rPr>
        <w:t xml:space="preserve">VR agencies in </w:t>
      </w:r>
      <w:r w:rsidRPr="008544CA" w:rsidR="001964A6">
        <w:rPr>
          <w:rFonts w:ascii="Times New Roman" w:hAnsi="Times New Roman" w:cs="Times New Roman"/>
          <w:bCs/>
          <w:sz w:val="24"/>
          <w:szCs w:val="24"/>
        </w:rPr>
        <w:t>making a clear distinction between the previous RSA-2 form submitted annually and the RSA-17 form that is submitted quarterly.</w:t>
      </w:r>
      <w:r w:rsidRPr="008544CA" w:rsidR="0094338E">
        <w:rPr>
          <w:rFonts w:ascii="Times New Roman" w:hAnsi="Times New Roman" w:cs="Times New Roman"/>
          <w:bCs/>
          <w:sz w:val="24"/>
          <w:szCs w:val="24"/>
        </w:rPr>
        <w:t xml:space="preserve"> </w:t>
      </w:r>
      <w:r w:rsidR="00CB7B13">
        <w:rPr>
          <w:rFonts w:ascii="Times New Roman" w:hAnsi="Times New Roman" w:cs="Times New Roman"/>
          <w:bCs/>
          <w:sz w:val="24"/>
          <w:szCs w:val="24"/>
        </w:rPr>
        <w:t xml:space="preserve">It will also be useful for differentiation purposes when VR agencies are submitting both the RSA-2 for </w:t>
      </w:r>
      <w:r w:rsidR="008A6426">
        <w:rPr>
          <w:rFonts w:ascii="Times New Roman" w:hAnsi="Times New Roman" w:cs="Times New Roman"/>
          <w:bCs/>
          <w:sz w:val="24"/>
          <w:szCs w:val="24"/>
        </w:rPr>
        <w:t xml:space="preserve">VR </w:t>
      </w:r>
      <w:r w:rsidR="00CB7B13">
        <w:rPr>
          <w:rFonts w:ascii="Times New Roman" w:hAnsi="Times New Roman" w:cs="Times New Roman"/>
          <w:bCs/>
          <w:sz w:val="24"/>
          <w:szCs w:val="24"/>
        </w:rPr>
        <w:t xml:space="preserve">awards prior to </w:t>
      </w:r>
      <w:r w:rsidR="00A529AD">
        <w:rPr>
          <w:rFonts w:ascii="Times New Roman" w:hAnsi="Times New Roman" w:cs="Times New Roman"/>
          <w:bCs/>
          <w:sz w:val="24"/>
          <w:szCs w:val="24"/>
        </w:rPr>
        <w:t>FFY 20</w:t>
      </w:r>
      <w:r w:rsidR="00CE479D">
        <w:rPr>
          <w:rFonts w:ascii="Times New Roman" w:hAnsi="Times New Roman" w:cs="Times New Roman"/>
          <w:bCs/>
          <w:sz w:val="24"/>
          <w:szCs w:val="24"/>
        </w:rPr>
        <w:t>21</w:t>
      </w:r>
      <w:r w:rsidR="00A529AD">
        <w:rPr>
          <w:rFonts w:ascii="Times New Roman" w:hAnsi="Times New Roman" w:cs="Times New Roman"/>
          <w:bCs/>
          <w:sz w:val="24"/>
          <w:szCs w:val="24"/>
        </w:rPr>
        <w:t xml:space="preserve"> at the same time the</w:t>
      </w:r>
      <w:r w:rsidR="00CE479D">
        <w:rPr>
          <w:rFonts w:ascii="Times New Roman" w:hAnsi="Times New Roman" w:cs="Times New Roman"/>
          <w:bCs/>
          <w:sz w:val="24"/>
          <w:szCs w:val="24"/>
        </w:rPr>
        <w:t>y are submitting the</w:t>
      </w:r>
      <w:r w:rsidR="00A529AD">
        <w:rPr>
          <w:rFonts w:ascii="Times New Roman" w:hAnsi="Times New Roman" w:cs="Times New Roman"/>
          <w:bCs/>
          <w:sz w:val="24"/>
          <w:szCs w:val="24"/>
        </w:rPr>
        <w:t xml:space="preserve"> RSA-17 for awards </w:t>
      </w:r>
      <w:r w:rsidR="00CE479D">
        <w:rPr>
          <w:rFonts w:ascii="Times New Roman" w:hAnsi="Times New Roman" w:cs="Times New Roman"/>
          <w:bCs/>
          <w:sz w:val="24"/>
          <w:szCs w:val="24"/>
        </w:rPr>
        <w:t xml:space="preserve">beginning in FFY 2021. </w:t>
      </w:r>
      <w:r w:rsidRPr="008544CA" w:rsidR="0094338E">
        <w:rPr>
          <w:rFonts w:ascii="Times New Roman" w:hAnsi="Times New Roman" w:cs="Times New Roman"/>
          <w:bCs/>
          <w:sz w:val="24"/>
          <w:szCs w:val="24"/>
        </w:rPr>
        <w:t>Additionally, t</w:t>
      </w:r>
      <w:r w:rsidRPr="008544CA" w:rsidR="00D93426">
        <w:rPr>
          <w:rFonts w:ascii="Times New Roman" w:hAnsi="Times New Roman" w:cs="Times New Roman"/>
          <w:bCs/>
          <w:sz w:val="24"/>
          <w:szCs w:val="24"/>
        </w:rPr>
        <w:t xml:space="preserve">his will make the numbering of the form consistent with RSA’s numbering of other forms using the last </w:t>
      </w:r>
      <w:r w:rsidRPr="008544CA" w:rsidR="00BD77BA">
        <w:rPr>
          <w:rFonts w:ascii="Times New Roman" w:hAnsi="Times New Roman" w:cs="Times New Roman"/>
          <w:bCs/>
          <w:sz w:val="24"/>
          <w:szCs w:val="24"/>
        </w:rPr>
        <w:t>digits of the Office of Management and Budget</w:t>
      </w:r>
      <w:r w:rsidRPr="008544CA" w:rsidR="0075453F">
        <w:rPr>
          <w:rFonts w:ascii="Times New Roman" w:hAnsi="Times New Roman" w:cs="Times New Roman"/>
          <w:bCs/>
          <w:sz w:val="24"/>
          <w:szCs w:val="24"/>
        </w:rPr>
        <w:t>’s Control N</w:t>
      </w:r>
      <w:r w:rsidRPr="008544CA" w:rsidR="00BD77BA">
        <w:rPr>
          <w:rFonts w:ascii="Times New Roman" w:hAnsi="Times New Roman" w:cs="Times New Roman"/>
          <w:bCs/>
          <w:sz w:val="24"/>
          <w:szCs w:val="24"/>
        </w:rPr>
        <w:t xml:space="preserve">umber, which </w:t>
      </w:r>
      <w:r w:rsidRPr="008544CA" w:rsidR="00001590">
        <w:rPr>
          <w:rFonts w:ascii="Times New Roman" w:hAnsi="Times New Roman" w:cs="Times New Roman"/>
          <w:bCs/>
          <w:sz w:val="24"/>
          <w:szCs w:val="24"/>
        </w:rPr>
        <w:t>is</w:t>
      </w:r>
      <w:r w:rsidRPr="008544CA" w:rsidR="00BD77BA">
        <w:rPr>
          <w:rFonts w:ascii="Times New Roman" w:hAnsi="Times New Roman" w:cs="Times New Roman"/>
          <w:bCs/>
          <w:sz w:val="24"/>
          <w:szCs w:val="24"/>
        </w:rPr>
        <w:t xml:space="preserve"> </w:t>
      </w:r>
      <w:r w:rsidRPr="008544CA" w:rsidR="00161A40">
        <w:rPr>
          <w:rFonts w:ascii="Times New Roman" w:hAnsi="Times New Roman" w:cs="Times New Roman"/>
          <w:bCs/>
          <w:sz w:val="24"/>
          <w:szCs w:val="24"/>
        </w:rPr>
        <w:t>17.</w:t>
      </w:r>
      <w:r w:rsidRPr="008544CA" w:rsidR="0075453F">
        <w:rPr>
          <w:rFonts w:ascii="Times New Roman" w:hAnsi="Times New Roman" w:cs="Times New Roman"/>
          <w:bCs/>
          <w:sz w:val="24"/>
          <w:szCs w:val="24"/>
        </w:rPr>
        <w:t xml:space="preserve"> </w:t>
      </w:r>
    </w:p>
    <w:p w:rsidRPr="008544CA" w:rsidR="0087508E" w:rsidP="0087508E" w:rsidRDefault="0087508E" w14:paraId="4932B7CC" w14:textId="77777777">
      <w:pPr>
        <w:rPr>
          <w:rFonts w:ascii="Times New Roman" w:hAnsi="Times New Roman" w:cs="Times New Roman"/>
        </w:rPr>
      </w:pPr>
    </w:p>
    <w:p w:rsidRPr="008544CA" w:rsidR="00FA28E6" w:rsidP="00FA28E6" w:rsidRDefault="00686EB3" w14:paraId="41B54897" w14:textId="07B4B3BE">
      <w:pPr>
        <w:pStyle w:val="Heading2"/>
        <w:rPr>
          <w:rFonts w:cs="Times New Roman"/>
        </w:rPr>
      </w:pPr>
      <w:r w:rsidRPr="008544CA">
        <w:rPr>
          <w:rFonts w:cs="Times New Roman"/>
        </w:rPr>
        <w:t>Report</w:t>
      </w:r>
      <w:r w:rsidRPr="008544CA" w:rsidR="00BD5248">
        <w:rPr>
          <w:rFonts w:cs="Times New Roman"/>
        </w:rPr>
        <w:t xml:space="preserve"> Submission</w:t>
      </w:r>
    </w:p>
    <w:p w:rsidRPr="008544CA" w:rsidR="00FA28E6" w:rsidP="00FA28E6" w:rsidRDefault="00FA28E6" w14:paraId="62AEB2E1" w14:textId="77777777">
      <w:pPr>
        <w:rPr>
          <w:rFonts w:ascii="Times New Roman" w:hAnsi="Times New Roman" w:cs="Times New Roman"/>
          <w:sz w:val="24"/>
          <w:szCs w:val="24"/>
        </w:rPr>
      </w:pPr>
    </w:p>
    <w:p w:rsidRPr="008544CA" w:rsidR="006A0F9E" w:rsidP="00BD5248" w:rsidRDefault="00FA28E6" w14:paraId="63113C66" w14:textId="77777777">
      <w:pPr>
        <w:pStyle w:val="HTMLPreformatted"/>
        <w:ind w:left="720"/>
        <w:rPr>
          <w:rFonts w:ascii="Times New Roman" w:hAnsi="Times New Roman" w:cs="Times New Roman"/>
          <w:sz w:val="24"/>
          <w:szCs w:val="24"/>
        </w:rPr>
      </w:pPr>
      <w:r w:rsidRPr="008544CA">
        <w:rPr>
          <w:rFonts w:ascii="Times New Roman" w:hAnsi="Times New Roman" w:cs="Times New Roman"/>
          <w:sz w:val="24"/>
          <w:szCs w:val="24"/>
          <w:u w:val="single"/>
        </w:rPr>
        <w:t>Comment</w:t>
      </w:r>
      <w:r w:rsidRPr="008544CA">
        <w:rPr>
          <w:rFonts w:ascii="Times New Roman" w:hAnsi="Times New Roman" w:cs="Times New Roman"/>
          <w:sz w:val="24"/>
          <w:szCs w:val="24"/>
        </w:rPr>
        <w:t xml:space="preserve">: </w:t>
      </w:r>
      <w:r w:rsidRPr="008544CA" w:rsidR="00686EB3">
        <w:rPr>
          <w:rFonts w:ascii="Times New Roman" w:hAnsi="Times New Roman" w:cs="Times New Roman"/>
          <w:sz w:val="24"/>
          <w:szCs w:val="24"/>
        </w:rPr>
        <w:t>Two</w:t>
      </w:r>
      <w:r w:rsidRPr="008544CA">
        <w:rPr>
          <w:rFonts w:ascii="Times New Roman" w:hAnsi="Times New Roman" w:cs="Times New Roman"/>
          <w:sz w:val="24"/>
          <w:szCs w:val="24"/>
        </w:rPr>
        <w:t xml:space="preserve"> commenter</w:t>
      </w:r>
      <w:r w:rsidRPr="008544CA" w:rsidR="00686EB3">
        <w:rPr>
          <w:rFonts w:ascii="Times New Roman" w:hAnsi="Times New Roman" w:cs="Times New Roman"/>
          <w:sz w:val="24"/>
          <w:szCs w:val="24"/>
        </w:rPr>
        <w:t>s</w:t>
      </w:r>
      <w:r w:rsidRPr="008544CA">
        <w:rPr>
          <w:rFonts w:ascii="Times New Roman" w:hAnsi="Times New Roman" w:cs="Times New Roman"/>
          <w:sz w:val="24"/>
          <w:szCs w:val="24"/>
        </w:rPr>
        <w:t xml:space="preserve"> </w:t>
      </w:r>
      <w:r w:rsidRPr="008544CA" w:rsidR="00686EB3">
        <w:rPr>
          <w:rFonts w:ascii="Times New Roman" w:hAnsi="Times New Roman" w:cs="Times New Roman"/>
          <w:sz w:val="24"/>
          <w:szCs w:val="24"/>
        </w:rPr>
        <w:t xml:space="preserve">generally </w:t>
      </w:r>
      <w:r w:rsidRPr="008544CA">
        <w:rPr>
          <w:rFonts w:ascii="Times New Roman" w:hAnsi="Times New Roman" w:cs="Times New Roman"/>
          <w:sz w:val="24"/>
          <w:szCs w:val="24"/>
        </w:rPr>
        <w:t xml:space="preserve">supported the </w:t>
      </w:r>
      <w:r w:rsidRPr="008544CA" w:rsidR="00BD5248">
        <w:rPr>
          <w:rFonts w:ascii="Times New Roman" w:hAnsi="Times New Roman" w:cs="Times New Roman"/>
          <w:sz w:val="24"/>
          <w:szCs w:val="24"/>
        </w:rPr>
        <w:t xml:space="preserve">changes; however, both requested an additional 15 days to submit reports after the end of the reporting period </w:t>
      </w:r>
      <w:r w:rsidRPr="008544CA" w:rsidR="00E30424">
        <w:rPr>
          <w:rFonts w:ascii="Times New Roman" w:hAnsi="Times New Roman" w:cs="Times New Roman"/>
          <w:sz w:val="24"/>
          <w:szCs w:val="24"/>
        </w:rPr>
        <w:t>when</w:t>
      </w:r>
      <w:r w:rsidRPr="008544CA" w:rsidR="00BD5248">
        <w:rPr>
          <w:rFonts w:ascii="Times New Roman" w:hAnsi="Times New Roman" w:cs="Times New Roman"/>
          <w:sz w:val="24"/>
          <w:szCs w:val="24"/>
        </w:rPr>
        <w:t xml:space="preserve"> the report is not the final report. </w:t>
      </w:r>
      <w:r w:rsidRPr="008544CA" w:rsidR="00E30424">
        <w:rPr>
          <w:rFonts w:ascii="Times New Roman" w:hAnsi="Times New Roman" w:cs="Times New Roman"/>
          <w:sz w:val="24"/>
          <w:szCs w:val="24"/>
        </w:rPr>
        <w:t xml:space="preserve">These </w:t>
      </w:r>
      <w:r w:rsidRPr="008544CA" w:rsidR="00686EB3">
        <w:rPr>
          <w:rFonts w:ascii="Times New Roman" w:hAnsi="Times New Roman" w:cs="Times New Roman"/>
          <w:sz w:val="24"/>
          <w:szCs w:val="24"/>
        </w:rPr>
        <w:t xml:space="preserve">commenters </w:t>
      </w:r>
      <w:r w:rsidRPr="008544CA" w:rsidR="00E30424">
        <w:rPr>
          <w:rFonts w:ascii="Times New Roman" w:hAnsi="Times New Roman" w:cs="Times New Roman"/>
          <w:sz w:val="24"/>
          <w:szCs w:val="24"/>
        </w:rPr>
        <w:t xml:space="preserve">remarked that the 30-day reporting </w:t>
      </w:r>
      <w:r w:rsidRPr="008544CA" w:rsidR="006A0F9E">
        <w:rPr>
          <w:rFonts w:ascii="Times New Roman" w:hAnsi="Times New Roman" w:cs="Times New Roman"/>
          <w:sz w:val="24"/>
          <w:szCs w:val="24"/>
        </w:rPr>
        <w:t>timeframe</w:t>
      </w:r>
      <w:r w:rsidRPr="008544CA" w:rsidR="00E30424">
        <w:rPr>
          <w:rFonts w:ascii="Times New Roman" w:hAnsi="Times New Roman" w:cs="Times New Roman"/>
          <w:sz w:val="24"/>
          <w:szCs w:val="24"/>
        </w:rPr>
        <w:t xml:space="preserve"> is burdensome</w:t>
      </w:r>
      <w:r w:rsidRPr="008544CA" w:rsidR="006A0F9E">
        <w:rPr>
          <w:rFonts w:ascii="Times New Roman" w:hAnsi="Times New Roman" w:cs="Times New Roman"/>
          <w:sz w:val="24"/>
          <w:szCs w:val="24"/>
        </w:rPr>
        <w:t xml:space="preserve"> due to</w:t>
      </w:r>
      <w:r w:rsidRPr="008544CA" w:rsidR="00E30424">
        <w:rPr>
          <w:rFonts w:ascii="Times New Roman" w:hAnsi="Times New Roman" w:cs="Times New Roman"/>
          <w:sz w:val="24"/>
          <w:szCs w:val="24"/>
        </w:rPr>
        <w:t xml:space="preserve"> the increased workload </w:t>
      </w:r>
      <w:r w:rsidRPr="008544CA" w:rsidR="006A0F9E">
        <w:rPr>
          <w:rFonts w:ascii="Times New Roman" w:hAnsi="Times New Roman" w:cs="Times New Roman"/>
          <w:sz w:val="24"/>
          <w:szCs w:val="24"/>
        </w:rPr>
        <w:t>resulting</w:t>
      </w:r>
      <w:r w:rsidRPr="008544CA" w:rsidR="00E30424">
        <w:rPr>
          <w:rFonts w:ascii="Times New Roman" w:hAnsi="Times New Roman" w:cs="Times New Roman"/>
          <w:sz w:val="24"/>
          <w:szCs w:val="24"/>
        </w:rPr>
        <w:t xml:space="preserve"> from </w:t>
      </w:r>
      <w:r w:rsidRPr="008544CA" w:rsidR="006A0F9E">
        <w:rPr>
          <w:rFonts w:ascii="Times New Roman" w:hAnsi="Times New Roman" w:cs="Times New Roman"/>
          <w:sz w:val="24"/>
          <w:szCs w:val="24"/>
        </w:rPr>
        <w:t xml:space="preserve">existing </w:t>
      </w:r>
      <w:r w:rsidRPr="008544CA" w:rsidR="00E30424">
        <w:rPr>
          <w:rFonts w:ascii="Times New Roman" w:hAnsi="Times New Roman" w:cs="Times New Roman"/>
          <w:sz w:val="24"/>
          <w:szCs w:val="24"/>
        </w:rPr>
        <w:t>State fiscal year-end activities.</w:t>
      </w:r>
      <w:r w:rsidRPr="008544CA" w:rsidR="006A0F9E">
        <w:rPr>
          <w:rFonts w:ascii="Times New Roman" w:hAnsi="Times New Roman" w:cs="Times New Roman"/>
          <w:sz w:val="24"/>
          <w:szCs w:val="24"/>
        </w:rPr>
        <w:t xml:space="preserve"> </w:t>
      </w:r>
    </w:p>
    <w:p w:rsidRPr="008544CA" w:rsidR="006A0F9E" w:rsidP="00BD5248" w:rsidRDefault="006A0F9E" w14:paraId="27470D04" w14:textId="77777777">
      <w:pPr>
        <w:pStyle w:val="HTMLPreformatted"/>
        <w:ind w:left="720"/>
        <w:rPr>
          <w:rFonts w:ascii="Times New Roman" w:hAnsi="Times New Roman" w:cs="Times New Roman"/>
          <w:sz w:val="24"/>
          <w:szCs w:val="24"/>
        </w:rPr>
      </w:pPr>
    </w:p>
    <w:p w:rsidRPr="008544CA" w:rsidR="00E30424" w:rsidP="00DA1DE8" w:rsidRDefault="006A0F9E" w14:paraId="6BCB24DF" w14:textId="5EB1AADA">
      <w:pPr>
        <w:pStyle w:val="HTMLPreformatted"/>
        <w:ind w:left="720"/>
        <w:rPr>
          <w:rFonts w:ascii="Times New Roman" w:hAnsi="Times New Roman" w:cs="Times New Roman"/>
          <w:sz w:val="24"/>
          <w:szCs w:val="24"/>
        </w:rPr>
      </w:pPr>
      <w:r w:rsidRPr="008544CA">
        <w:rPr>
          <w:rFonts w:ascii="Times New Roman" w:hAnsi="Times New Roman" w:cs="Times New Roman"/>
          <w:sz w:val="24"/>
          <w:szCs w:val="24"/>
        </w:rPr>
        <w:t>One commenter noted an increase in work for agency staff</w:t>
      </w:r>
      <w:r w:rsidRPr="008544CA" w:rsidR="00406183">
        <w:rPr>
          <w:rFonts w:ascii="Times New Roman" w:hAnsi="Times New Roman" w:cs="Times New Roman"/>
          <w:sz w:val="24"/>
          <w:szCs w:val="24"/>
        </w:rPr>
        <w:t>,</w:t>
      </w:r>
      <w:r w:rsidRPr="008544CA" w:rsidR="00DA1DE8">
        <w:rPr>
          <w:rFonts w:ascii="Times New Roman" w:hAnsi="Times New Roman" w:cs="Times New Roman"/>
          <w:sz w:val="24"/>
          <w:szCs w:val="24"/>
        </w:rPr>
        <w:t xml:space="preserve"> </w:t>
      </w:r>
      <w:r w:rsidRPr="008544CA">
        <w:rPr>
          <w:rFonts w:ascii="Times New Roman" w:hAnsi="Times New Roman" w:cs="Times New Roman"/>
          <w:sz w:val="24"/>
          <w:szCs w:val="24"/>
        </w:rPr>
        <w:t xml:space="preserve">potentially increasing the number of required reports from five to eight </w:t>
      </w:r>
      <w:r w:rsidRPr="008544CA" w:rsidR="00406183">
        <w:rPr>
          <w:rFonts w:ascii="Times New Roman" w:hAnsi="Times New Roman" w:cs="Times New Roman"/>
          <w:sz w:val="24"/>
          <w:szCs w:val="24"/>
        </w:rPr>
        <w:t>annually and</w:t>
      </w:r>
      <w:r w:rsidRPr="008544CA">
        <w:rPr>
          <w:rFonts w:ascii="Times New Roman" w:hAnsi="Times New Roman" w:cs="Times New Roman"/>
          <w:sz w:val="24"/>
          <w:szCs w:val="24"/>
        </w:rPr>
        <w:t xml:space="preserve"> noted States</w:t>
      </w:r>
      <w:r w:rsidRPr="008544CA" w:rsidR="00406183">
        <w:rPr>
          <w:rFonts w:ascii="Times New Roman" w:hAnsi="Times New Roman" w:cs="Times New Roman"/>
          <w:sz w:val="24"/>
          <w:szCs w:val="24"/>
        </w:rPr>
        <w:t xml:space="preserve"> will need</w:t>
      </w:r>
      <w:r w:rsidRPr="008544CA">
        <w:rPr>
          <w:rFonts w:ascii="Times New Roman" w:hAnsi="Times New Roman" w:cs="Times New Roman"/>
          <w:sz w:val="24"/>
          <w:szCs w:val="24"/>
        </w:rPr>
        <w:t xml:space="preserve"> to make changes to the way </w:t>
      </w:r>
      <w:r w:rsidRPr="008544CA" w:rsidR="00DA1DE8">
        <w:rPr>
          <w:rFonts w:ascii="Times New Roman" w:hAnsi="Times New Roman" w:cs="Times New Roman"/>
          <w:sz w:val="24"/>
          <w:szCs w:val="24"/>
        </w:rPr>
        <w:t>they</w:t>
      </w:r>
      <w:r w:rsidRPr="008544CA">
        <w:rPr>
          <w:rFonts w:ascii="Times New Roman" w:hAnsi="Times New Roman" w:cs="Times New Roman"/>
          <w:sz w:val="24"/>
          <w:szCs w:val="24"/>
        </w:rPr>
        <w:t xml:space="preserve"> collect, store, and report data.</w:t>
      </w:r>
      <w:r w:rsidRPr="008544CA" w:rsidR="00DA1DE8">
        <w:rPr>
          <w:rFonts w:ascii="Times New Roman" w:hAnsi="Times New Roman" w:cs="Times New Roman"/>
          <w:sz w:val="24"/>
          <w:szCs w:val="24"/>
        </w:rPr>
        <w:t xml:space="preserve"> </w:t>
      </w:r>
      <w:r w:rsidRPr="008544CA" w:rsidR="00F174F1">
        <w:rPr>
          <w:rFonts w:ascii="Times New Roman" w:hAnsi="Times New Roman" w:cs="Times New Roman"/>
          <w:sz w:val="24"/>
          <w:szCs w:val="24"/>
        </w:rPr>
        <w:t xml:space="preserve">The other commenter noted that the new reporting requirements would be especially burdensome for States that have two </w:t>
      </w:r>
      <w:r w:rsidRPr="008544CA" w:rsidR="00A900DE">
        <w:rPr>
          <w:rFonts w:ascii="Times New Roman" w:hAnsi="Times New Roman" w:cs="Times New Roman"/>
          <w:sz w:val="24"/>
          <w:szCs w:val="24"/>
        </w:rPr>
        <w:t>DSUs and</w:t>
      </w:r>
      <w:r w:rsidRPr="008544CA" w:rsidR="00AE5AC5">
        <w:rPr>
          <w:rFonts w:ascii="Times New Roman" w:hAnsi="Times New Roman" w:cs="Times New Roman"/>
          <w:sz w:val="24"/>
          <w:szCs w:val="24"/>
        </w:rPr>
        <w:t xml:space="preserve"> remarked that a 45-day timeline for reporting RSA-</w:t>
      </w:r>
      <w:r w:rsidRPr="008544CA" w:rsidR="00E403D8">
        <w:rPr>
          <w:rFonts w:ascii="Times New Roman" w:hAnsi="Times New Roman" w:cs="Times New Roman"/>
          <w:sz w:val="24"/>
          <w:szCs w:val="24"/>
        </w:rPr>
        <w:t>17</w:t>
      </w:r>
      <w:r w:rsidRPr="008544CA" w:rsidR="00AE5AC5">
        <w:rPr>
          <w:rFonts w:ascii="Times New Roman" w:hAnsi="Times New Roman" w:cs="Times New Roman"/>
          <w:sz w:val="24"/>
          <w:szCs w:val="24"/>
        </w:rPr>
        <w:t xml:space="preserve"> data would align better</w:t>
      </w:r>
      <w:r w:rsidRPr="008544CA" w:rsidR="00A5674B">
        <w:rPr>
          <w:rFonts w:ascii="Times New Roman" w:hAnsi="Times New Roman" w:cs="Times New Roman"/>
          <w:sz w:val="24"/>
          <w:szCs w:val="24"/>
        </w:rPr>
        <w:t xml:space="preserve"> with the </w:t>
      </w:r>
      <w:r w:rsidRPr="008544CA" w:rsidR="00AE5AC5">
        <w:rPr>
          <w:rFonts w:ascii="Times New Roman" w:hAnsi="Times New Roman" w:cs="Times New Roman"/>
          <w:sz w:val="24"/>
          <w:szCs w:val="24"/>
        </w:rPr>
        <w:t xml:space="preserve">RSA-911 reporting </w:t>
      </w:r>
      <w:r w:rsidRPr="008544CA" w:rsidR="00A900DE">
        <w:rPr>
          <w:rFonts w:ascii="Times New Roman" w:hAnsi="Times New Roman" w:cs="Times New Roman"/>
          <w:sz w:val="24"/>
          <w:szCs w:val="24"/>
        </w:rPr>
        <w:t>timelines</w:t>
      </w:r>
      <w:r w:rsidRPr="008544CA" w:rsidR="00AE5AC5">
        <w:rPr>
          <w:rFonts w:ascii="Times New Roman" w:hAnsi="Times New Roman" w:cs="Times New Roman"/>
          <w:sz w:val="24"/>
          <w:szCs w:val="24"/>
        </w:rPr>
        <w:t>.</w:t>
      </w:r>
    </w:p>
    <w:p w:rsidRPr="008544CA" w:rsidR="00365C73" w:rsidP="00DA1DE8" w:rsidRDefault="00365C73" w14:paraId="6B5277B8" w14:textId="77777777">
      <w:pPr>
        <w:pStyle w:val="HTMLPreformatted"/>
        <w:ind w:left="720"/>
        <w:rPr>
          <w:rFonts w:ascii="Times New Roman" w:hAnsi="Times New Roman" w:cs="Times New Roman"/>
          <w:sz w:val="24"/>
          <w:szCs w:val="24"/>
        </w:rPr>
      </w:pPr>
    </w:p>
    <w:p w:rsidRPr="008544CA" w:rsidR="00365C73" w:rsidP="00DA1DE8" w:rsidRDefault="00365C73" w14:paraId="55C7BFA9" w14:textId="792DA087">
      <w:pPr>
        <w:pStyle w:val="HTMLPreformatted"/>
        <w:ind w:left="720"/>
        <w:rPr>
          <w:rFonts w:ascii="Times New Roman" w:hAnsi="Times New Roman" w:cs="Times New Roman"/>
          <w:sz w:val="24"/>
          <w:szCs w:val="24"/>
        </w:rPr>
      </w:pPr>
      <w:r w:rsidRPr="008544CA">
        <w:rPr>
          <w:rFonts w:ascii="Times New Roman" w:hAnsi="Times New Roman" w:cs="Times New Roman"/>
          <w:sz w:val="24"/>
          <w:szCs w:val="24"/>
          <w:u w:val="single"/>
        </w:rPr>
        <w:lastRenderedPageBreak/>
        <w:t>Department Response</w:t>
      </w:r>
      <w:r w:rsidRPr="008544CA">
        <w:rPr>
          <w:rFonts w:ascii="Times New Roman" w:hAnsi="Times New Roman" w:cs="Times New Roman"/>
          <w:sz w:val="24"/>
          <w:szCs w:val="24"/>
        </w:rPr>
        <w:t xml:space="preserve">: </w:t>
      </w:r>
      <w:r w:rsidRPr="008544CA" w:rsidR="00A900DE">
        <w:rPr>
          <w:rFonts w:ascii="Times New Roman" w:hAnsi="Times New Roman" w:cs="Times New Roman"/>
          <w:sz w:val="24"/>
          <w:szCs w:val="24"/>
        </w:rPr>
        <w:t>RSA does not have the authority to change the reporting timeframes required by 2 C.F.R. Part 200. In accordance with 2 C</w:t>
      </w:r>
      <w:r w:rsidR="00256E3B">
        <w:rPr>
          <w:rFonts w:ascii="Times New Roman" w:hAnsi="Times New Roman" w:cs="Times New Roman"/>
          <w:sz w:val="24"/>
          <w:szCs w:val="24"/>
        </w:rPr>
        <w:t>.</w:t>
      </w:r>
      <w:r w:rsidRPr="008544CA" w:rsidR="00A900DE">
        <w:rPr>
          <w:rFonts w:ascii="Times New Roman" w:hAnsi="Times New Roman" w:cs="Times New Roman"/>
          <w:sz w:val="24"/>
          <w:szCs w:val="24"/>
        </w:rPr>
        <w:t>F</w:t>
      </w:r>
      <w:r w:rsidR="00256E3B">
        <w:rPr>
          <w:rFonts w:ascii="Times New Roman" w:hAnsi="Times New Roman" w:cs="Times New Roman"/>
          <w:sz w:val="24"/>
          <w:szCs w:val="24"/>
        </w:rPr>
        <w:t>.</w:t>
      </w:r>
      <w:r w:rsidRPr="008544CA" w:rsidR="00A900DE">
        <w:rPr>
          <w:rFonts w:ascii="Times New Roman" w:hAnsi="Times New Roman" w:cs="Times New Roman"/>
          <w:sz w:val="24"/>
          <w:szCs w:val="24"/>
        </w:rPr>
        <w:t>R</w:t>
      </w:r>
      <w:r w:rsidR="00256E3B">
        <w:rPr>
          <w:rFonts w:ascii="Times New Roman" w:hAnsi="Times New Roman" w:cs="Times New Roman"/>
          <w:sz w:val="24"/>
          <w:szCs w:val="24"/>
        </w:rPr>
        <w:t>.</w:t>
      </w:r>
      <w:r w:rsidRPr="008544CA" w:rsidR="00A900DE">
        <w:rPr>
          <w:rFonts w:ascii="Times New Roman" w:hAnsi="Times New Roman" w:cs="Times New Roman"/>
          <w:sz w:val="24"/>
          <w:szCs w:val="24"/>
        </w:rPr>
        <w:t xml:space="preserve"> </w:t>
      </w:r>
      <w:r w:rsidRPr="008544CA" w:rsidR="00256E3B">
        <w:rPr>
          <w:rFonts w:ascii="Times New Roman" w:hAnsi="Times New Roman" w:cs="Times New Roman"/>
          <w:sz w:val="24"/>
          <w:szCs w:val="24"/>
        </w:rPr>
        <w:t xml:space="preserve">§ </w:t>
      </w:r>
      <w:r w:rsidRPr="008544CA" w:rsidR="00A900DE">
        <w:rPr>
          <w:rFonts w:ascii="Times New Roman" w:hAnsi="Times New Roman" w:cs="Times New Roman"/>
          <w:sz w:val="24"/>
          <w:szCs w:val="24"/>
        </w:rPr>
        <w:t xml:space="preserve">200.328(b)(1)), interim Federal financial reports are due within 30 days after the end of the reporting period. The final report is still due within 90 days after the end of the period of performance. </w:t>
      </w:r>
    </w:p>
    <w:p w:rsidRPr="008544CA" w:rsidR="00A900DE" w:rsidP="00DA1DE8" w:rsidRDefault="00A900DE" w14:paraId="6B108CEF" w14:textId="77777777">
      <w:pPr>
        <w:pStyle w:val="HTMLPreformatted"/>
        <w:ind w:left="720"/>
        <w:rPr>
          <w:rFonts w:ascii="Times New Roman" w:hAnsi="Times New Roman" w:cs="Times New Roman"/>
          <w:sz w:val="24"/>
          <w:szCs w:val="24"/>
        </w:rPr>
      </w:pPr>
    </w:p>
    <w:p w:rsidRPr="008544CA" w:rsidR="00A900DE" w:rsidP="00DA1DE8" w:rsidRDefault="00A900DE" w14:paraId="74FBA528" w14:textId="083EA0D5">
      <w:pPr>
        <w:pStyle w:val="HTMLPreformatted"/>
        <w:ind w:left="720"/>
        <w:rPr>
          <w:rFonts w:ascii="Times New Roman" w:hAnsi="Times New Roman" w:cs="Times New Roman"/>
          <w:bCs/>
          <w:sz w:val="24"/>
          <w:szCs w:val="24"/>
        </w:rPr>
      </w:pPr>
      <w:r w:rsidRPr="008544CA">
        <w:rPr>
          <w:rFonts w:ascii="Times New Roman" w:hAnsi="Times New Roman" w:cs="Times New Roman"/>
          <w:sz w:val="24"/>
          <w:szCs w:val="24"/>
        </w:rPr>
        <w:t xml:space="preserve">We appreciate the commenters concern regarding the increased </w:t>
      </w:r>
      <w:r w:rsidRPr="008544CA" w:rsidR="00FE418F">
        <w:rPr>
          <w:rFonts w:ascii="Times New Roman" w:hAnsi="Times New Roman" w:cs="Times New Roman"/>
          <w:sz w:val="24"/>
          <w:szCs w:val="24"/>
        </w:rPr>
        <w:t>burden</w:t>
      </w:r>
      <w:r w:rsidRPr="008544CA">
        <w:rPr>
          <w:rFonts w:ascii="Times New Roman" w:hAnsi="Times New Roman" w:cs="Times New Roman"/>
          <w:sz w:val="24"/>
          <w:szCs w:val="24"/>
        </w:rPr>
        <w:t xml:space="preserve"> associated with necessary data systems changes and the increased number of reports. </w:t>
      </w:r>
      <w:r w:rsidRPr="008544CA" w:rsidR="003A7101">
        <w:rPr>
          <w:rFonts w:ascii="Times New Roman" w:hAnsi="Times New Roman" w:cs="Times New Roman"/>
          <w:sz w:val="24"/>
          <w:szCs w:val="24"/>
        </w:rPr>
        <w:t>When compared to the RSA-2, t</w:t>
      </w:r>
      <w:r w:rsidRPr="008544CA" w:rsidR="001E0E04">
        <w:rPr>
          <w:rFonts w:ascii="Times New Roman" w:hAnsi="Times New Roman" w:cs="Times New Roman"/>
          <w:bCs/>
          <w:sz w:val="24"/>
          <w:szCs w:val="24"/>
        </w:rPr>
        <w:t>he proposed RSA-</w:t>
      </w:r>
      <w:r w:rsidRPr="008544CA" w:rsidR="00ED7746">
        <w:rPr>
          <w:rFonts w:ascii="Times New Roman" w:hAnsi="Times New Roman" w:cs="Times New Roman"/>
          <w:bCs/>
          <w:sz w:val="24"/>
          <w:szCs w:val="24"/>
        </w:rPr>
        <w:t>17</w:t>
      </w:r>
      <w:r w:rsidRPr="008544CA" w:rsidR="001E0E04">
        <w:rPr>
          <w:rFonts w:ascii="Times New Roman" w:hAnsi="Times New Roman" w:cs="Times New Roman"/>
          <w:bCs/>
          <w:sz w:val="24"/>
          <w:szCs w:val="24"/>
        </w:rPr>
        <w:t xml:space="preserve"> removes over 60 data elements and incorporates financial data elements adapted to be specific to the VR program from the Federal Financial Report (SF-425) to create one VR financial report. As a result of this change, </w:t>
      </w:r>
      <w:r w:rsidRPr="008544CA" w:rsidR="001D0D38">
        <w:rPr>
          <w:rFonts w:ascii="Times New Roman" w:hAnsi="Times New Roman" w:cs="Times New Roman"/>
          <w:bCs/>
          <w:sz w:val="24"/>
          <w:szCs w:val="24"/>
        </w:rPr>
        <w:t xml:space="preserve">many </w:t>
      </w:r>
      <w:r w:rsidRPr="008544CA" w:rsidR="00781A5C">
        <w:rPr>
          <w:rFonts w:ascii="Times New Roman" w:hAnsi="Times New Roman" w:cs="Times New Roman"/>
          <w:bCs/>
          <w:sz w:val="24"/>
          <w:szCs w:val="24"/>
        </w:rPr>
        <w:t>data elements</w:t>
      </w:r>
      <w:r w:rsidRPr="008544CA" w:rsidR="00F34F6C">
        <w:rPr>
          <w:rFonts w:ascii="Times New Roman" w:hAnsi="Times New Roman" w:cs="Times New Roman"/>
          <w:bCs/>
          <w:sz w:val="24"/>
          <w:szCs w:val="24"/>
        </w:rPr>
        <w:t xml:space="preserve"> from the RSA-2 were not included in the RSA-17</w:t>
      </w:r>
      <w:r w:rsidRPr="008544CA" w:rsidR="001D0D38">
        <w:rPr>
          <w:rFonts w:ascii="Times New Roman" w:hAnsi="Times New Roman" w:cs="Times New Roman"/>
          <w:bCs/>
          <w:sz w:val="24"/>
          <w:szCs w:val="24"/>
        </w:rPr>
        <w:t xml:space="preserve"> in order to reduce the overall reporting burden on VR agencies. Consequently, </w:t>
      </w:r>
      <w:r w:rsidRPr="008544CA" w:rsidR="00D020B1">
        <w:rPr>
          <w:rFonts w:ascii="Times New Roman" w:hAnsi="Times New Roman" w:cs="Times New Roman"/>
          <w:bCs/>
          <w:sz w:val="24"/>
          <w:szCs w:val="24"/>
        </w:rPr>
        <w:t xml:space="preserve">the data being collected in the RSA-17 is notably different than the </w:t>
      </w:r>
      <w:r w:rsidRPr="008544CA" w:rsidR="009B4128">
        <w:rPr>
          <w:rFonts w:ascii="Times New Roman" w:hAnsi="Times New Roman" w:cs="Times New Roman"/>
          <w:bCs/>
          <w:sz w:val="24"/>
          <w:szCs w:val="24"/>
        </w:rPr>
        <w:t>data collected in the RSA-2.</w:t>
      </w:r>
      <w:r w:rsidRPr="008544CA" w:rsidR="00B41BE8">
        <w:rPr>
          <w:rFonts w:ascii="Times New Roman" w:hAnsi="Times New Roman" w:cs="Times New Roman"/>
          <w:bCs/>
          <w:sz w:val="24"/>
          <w:szCs w:val="24"/>
        </w:rPr>
        <w:t xml:space="preserve"> Because VR agencies are already reporting </w:t>
      </w:r>
      <w:r w:rsidRPr="008544CA" w:rsidR="00F512E5">
        <w:rPr>
          <w:rFonts w:ascii="Times New Roman" w:hAnsi="Times New Roman" w:cs="Times New Roman"/>
          <w:bCs/>
          <w:sz w:val="24"/>
          <w:szCs w:val="24"/>
        </w:rPr>
        <w:t>most of</w:t>
      </w:r>
      <w:r w:rsidRPr="008544CA" w:rsidR="00B41BE8">
        <w:rPr>
          <w:rFonts w:ascii="Times New Roman" w:hAnsi="Times New Roman" w:cs="Times New Roman"/>
          <w:bCs/>
          <w:sz w:val="24"/>
          <w:szCs w:val="24"/>
        </w:rPr>
        <w:t xml:space="preserve"> the data elements in the RSA-17</w:t>
      </w:r>
      <w:r w:rsidRPr="008544CA" w:rsidR="00E70A2D">
        <w:rPr>
          <w:rFonts w:ascii="Times New Roman" w:hAnsi="Times New Roman" w:cs="Times New Roman"/>
          <w:bCs/>
          <w:sz w:val="24"/>
          <w:szCs w:val="24"/>
        </w:rPr>
        <w:t xml:space="preserve"> th</w:t>
      </w:r>
      <w:r w:rsidR="00A23444">
        <w:rPr>
          <w:rFonts w:ascii="Times New Roman" w:hAnsi="Times New Roman" w:cs="Times New Roman"/>
          <w:bCs/>
          <w:sz w:val="24"/>
          <w:szCs w:val="24"/>
        </w:rPr>
        <w:t>r</w:t>
      </w:r>
      <w:r w:rsidRPr="008544CA" w:rsidR="00E70A2D">
        <w:rPr>
          <w:rFonts w:ascii="Times New Roman" w:hAnsi="Times New Roman" w:cs="Times New Roman"/>
          <w:bCs/>
          <w:sz w:val="24"/>
          <w:szCs w:val="24"/>
        </w:rPr>
        <w:t>ough the SF-425 forms</w:t>
      </w:r>
      <w:r w:rsidRPr="008544CA" w:rsidR="00392747">
        <w:rPr>
          <w:rFonts w:ascii="Times New Roman" w:hAnsi="Times New Roman" w:cs="Times New Roman"/>
          <w:bCs/>
          <w:sz w:val="24"/>
          <w:szCs w:val="24"/>
        </w:rPr>
        <w:t xml:space="preserve">, </w:t>
      </w:r>
      <w:r w:rsidRPr="008544CA" w:rsidR="00E70A2D">
        <w:rPr>
          <w:rFonts w:ascii="Times New Roman" w:hAnsi="Times New Roman" w:cs="Times New Roman"/>
          <w:bCs/>
          <w:sz w:val="24"/>
          <w:szCs w:val="24"/>
        </w:rPr>
        <w:t xml:space="preserve">on a cumulative basis, the </w:t>
      </w:r>
      <w:r w:rsidRPr="008544CA" w:rsidR="00CB658A">
        <w:rPr>
          <w:rFonts w:ascii="Times New Roman" w:hAnsi="Times New Roman" w:cs="Times New Roman"/>
          <w:bCs/>
          <w:sz w:val="24"/>
          <w:szCs w:val="24"/>
        </w:rPr>
        <w:t xml:space="preserve">effort necessary to produce the reports on a quarterly basis should be minimal. </w:t>
      </w:r>
    </w:p>
    <w:p w:rsidRPr="008544CA" w:rsidR="005B35C1" w:rsidP="00DA1DE8" w:rsidRDefault="005B35C1" w14:paraId="69BAEE17" w14:textId="434CCE7C">
      <w:pPr>
        <w:pStyle w:val="HTMLPreformatted"/>
        <w:ind w:left="720"/>
        <w:rPr>
          <w:rFonts w:ascii="Times New Roman" w:hAnsi="Times New Roman" w:cs="Times New Roman"/>
          <w:bCs/>
          <w:sz w:val="24"/>
          <w:szCs w:val="24"/>
        </w:rPr>
      </w:pPr>
    </w:p>
    <w:p w:rsidRPr="008544CA" w:rsidR="005B35C1" w:rsidP="00DA1DE8" w:rsidRDefault="00856D5A" w14:paraId="749A34A0" w14:textId="13427832">
      <w:pPr>
        <w:pStyle w:val="HTMLPreformatted"/>
        <w:ind w:left="720"/>
        <w:rPr>
          <w:rFonts w:ascii="Times New Roman" w:hAnsi="Times New Roman" w:cs="Times New Roman"/>
          <w:sz w:val="24"/>
          <w:szCs w:val="24"/>
        </w:rPr>
      </w:pPr>
      <w:r w:rsidRPr="008544CA">
        <w:rPr>
          <w:rFonts w:ascii="Times New Roman" w:hAnsi="Times New Roman" w:cs="Times New Roman"/>
          <w:bCs/>
          <w:sz w:val="24"/>
          <w:szCs w:val="24"/>
          <w:u w:val="single"/>
        </w:rPr>
        <w:t>Change</w:t>
      </w:r>
      <w:r w:rsidRPr="008544CA">
        <w:rPr>
          <w:rFonts w:ascii="Times New Roman" w:hAnsi="Times New Roman" w:cs="Times New Roman"/>
          <w:bCs/>
          <w:sz w:val="24"/>
          <w:szCs w:val="24"/>
        </w:rPr>
        <w:t xml:space="preserve">: </w:t>
      </w:r>
      <w:r w:rsidRPr="008544CA" w:rsidR="005F3F50">
        <w:rPr>
          <w:rFonts w:ascii="Times New Roman" w:hAnsi="Times New Roman" w:cs="Times New Roman"/>
          <w:bCs/>
          <w:sz w:val="24"/>
          <w:szCs w:val="24"/>
        </w:rPr>
        <w:t>None</w:t>
      </w:r>
      <w:r w:rsidR="00A23444">
        <w:rPr>
          <w:rFonts w:ascii="Times New Roman" w:hAnsi="Times New Roman" w:cs="Times New Roman"/>
          <w:bCs/>
          <w:sz w:val="24"/>
          <w:szCs w:val="24"/>
        </w:rPr>
        <w:t>.</w:t>
      </w:r>
    </w:p>
    <w:p w:rsidRPr="008544CA" w:rsidR="00406183" w:rsidP="00DA1DE8" w:rsidRDefault="00406183" w14:paraId="74FBE4F1" w14:textId="77777777">
      <w:pPr>
        <w:pStyle w:val="HTMLPreformatted"/>
        <w:ind w:left="720"/>
        <w:rPr>
          <w:rFonts w:ascii="Times New Roman" w:hAnsi="Times New Roman" w:cs="Times New Roman"/>
          <w:sz w:val="24"/>
          <w:szCs w:val="24"/>
        </w:rPr>
      </w:pPr>
    </w:p>
    <w:p w:rsidRPr="008544CA" w:rsidR="00406183" w:rsidP="00406183" w:rsidRDefault="00406183" w14:paraId="7E8AE3AA" w14:textId="77777777">
      <w:pPr>
        <w:pStyle w:val="Heading2"/>
        <w:rPr>
          <w:rFonts w:cs="Times New Roman"/>
          <w:szCs w:val="28"/>
        </w:rPr>
      </w:pPr>
      <w:r w:rsidRPr="008544CA">
        <w:rPr>
          <w:rFonts w:cs="Times New Roman"/>
          <w:szCs w:val="28"/>
        </w:rPr>
        <w:t>Effective Dates</w:t>
      </w:r>
    </w:p>
    <w:p w:rsidRPr="008544CA" w:rsidR="00406183" w:rsidP="00406183" w:rsidRDefault="00406183" w14:paraId="314CE32D" w14:textId="77777777">
      <w:pPr>
        <w:rPr>
          <w:rFonts w:ascii="Times New Roman" w:hAnsi="Times New Roman" w:cs="Times New Roman"/>
          <w:sz w:val="24"/>
          <w:szCs w:val="24"/>
        </w:rPr>
      </w:pPr>
    </w:p>
    <w:p w:rsidRPr="008544CA" w:rsidR="00406183" w:rsidP="00406183" w:rsidRDefault="00406183" w14:paraId="6DB3F6E8" w14:textId="3E296F8C">
      <w:pPr>
        <w:ind w:left="720"/>
        <w:rPr>
          <w:rFonts w:ascii="Times New Roman" w:hAnsi="Times New Roman" w:cs="Times New Roman"/>
          <w:sz w:val="24"/>
          <w:szCs w:val="24"/>
        </w:rPr>
      </w:pPr>
      <w:r w:rsidRPr="008544CA">
        <w:rPr>
          <w:rFonts w:ascii="Times New Roman" w:hAnsi="Times New Roman" w:cs="Times New Roman"/>
          <w:sz w:val="24"/>
          <w:szCs w:val="24"/>
          <w:u w:val="single"/>
        </w:rPr>
        <w:t>Comment</w:t>
      </w:r>
      <w:r w:rsidRPr="008544CA">
        <w:rPr>
          <w:rFonts w:ascii="Times New Roman" w:hAnsi="Times New Roman" w:cs="Times New Roman"/>
          <w:sz w:val="24"/>
          <w:szCs w:val="24"/>
        </w:rPr>
        <w:t xml:space="preserve">: Two commenters noted an inconsistency in public information regarding effective dates. </w:t>
      </w:r>
      <w:r w:rsidRPr="008544CA" w:rsidR="00365C73">
        <w:rPr>
          <w:rFonts w:ascii="Times New Roman" w:hAnsi="Times New Roman" w:cs="Times New Roman"/>
          <w:sz w:val="24"/>
          <w:szCs w:val="24"/>
        </w:rPr>
        <w:t>One of these commenters noted t</w:t>
      </w:r>
      <w:r w:rsidRPr="008544CA">
        <w:rPr>
          <w:rFonts w:ascii="Times New Roman" w:hAnsi="Times New Roman" w:cs="Times New Roman"/>
          <w:sz w:val="24"/>
          <w:szCs w:val="24"/>
        </w:rPr>
        <w:t xml:space="preserve">he Federal Register </w:t>
      </w:r>
      <w:r w:rsidRPr="008544CA" w:rsidR="00365C73">
        <w:rPr>
          <w:rFonts w:ascii="Times New Roman" w:hAnsi="Times New Roman" w:cs="Times New Roman"/>
          <w:sz w:val="24"/>
          <w:szCs w:val="24"/>
        </w:rPr>
        <w:t>states</w:t>
      </w:r>
      <w:r w:rsidRPr="008544CA">
        <w:rPr>
          <w:rFonts w:ascii="Times New Roman" w:hAnsi="Times New Roman" w:cs="Times New Roman"/>
          <w:sz w:val="24"/>
          <w:szCs w:val="24"/>
        </w:rPr>
        <w:t xml:space="preserve"> </w:t>
      </w:r>
      <w:r w:rsidRPr="008544CA" w:rsidR="00365C73">
        <w:rPr>
          <w:rFonts w:ascii="Times New Roman" w:hAnsi="Times New Roman" w:cs="Times New Roman"/>
          <w:sz w:val="24"/>
          <w:szCs w:val="24"/>
        </w:rPr>
        <w:t>the changes are applicable to</w:t>
      </w:r>
      <w:r w:rsidRPr="008544CA">
        <w:rPr>
          <w:rFonts w:ascii="Times New Roman" w:hAnsi="Times New Roman" w:cs="Times New Roman"/>
          <w:sz w:val="24"/>
          <w:szCs w:val="24"/>
        </w:rPr>
        <w:t xml:space="preserve"> F</w:t>
      </w:r>
      <w:r w:rsidRPr="008544CA" w:rsidR="00C51177">
        <w:rPr>
          <w:rFonts w:ascii="Times New Roman" w:hAnsi="Times New Roman" w:cs="Times New Roman"/>
          <w:sz w:val="24"/>
          <w:szCs w:val="24"/>
        </w:rPr>
        <w:t>ederal fiscal year (F</w:t>
      </w:r>
      <w:r w:rsidRPr="008544CA">
        <w:rPr>
          <w:rFonts w:ascii="Times New Roman" w:hAnsi="Times New Roman" w:cs="Times New Roman"/>
          <w:sz w:val="24"/>
          <w:szCs w:val="24"/>
        </w:rPr>
        <w:t>FY</w:t>
      </w:r>
      <w:r w:rsidRPr="008544CA" w:rsidR="00C51177">
        <w:rPr>
          <w:rFonts w:ascii="Times New Roman" w:hAnsi="Times New Roman" w:cs="Times New Roman"/>
          <w:sz w:val="24"/>
          <w:szCs w:val="24"/>
        </w:rPr>
        <w:t>)</w:t>
      </w:r>
      <w:r w:rsidRPr="008544CA">
        <w:rPr>
          <w:rFonts w:ascii="Times New Roman" w:hAnsi="Times New Roman" w:cs="Times New Roman"/>
          <w:sz w:val="24"/>
          <w:szCs w:val="24"/>
        </w:rPr>
        <w:t xml:space="preserve"> 2020 grants</w:t>
      </w:r>
      <w:r w:rsidRPr="008544CA" w:rsidR="00365C73">
        <w:rPr>
          <w:rFonts w:ascii="Times New Roman" w:hAnsi="Times New Roman" w:cs="Times New Roman"/>
          <w:sz w:val="24"/>
          <w:szCs w:val="24"/>
        </w:rPr>
        <w:t xml:space="preserve">, while the </w:t>
      </w:r>
      <w:r w:rsidRPr="008544CA">
        <w:rPr>
          <w:rFonts w:ascii="Times New Roman" w:hAnsi="Times New Roman" w:cs="Times New Roman"/>
          <w:sz w:val="24"/>
          <w:szCs w:val="24"/>
        </w:rPr>
        <w:t xml:space="preserve">Supporting Statement </w:t>
      </w:r>
      <w:r w:rsidRPr="008544CA" w:rsidR="00365C73">
        <w:rPr>
          <w:rFonts w:ascii="Times New Roman" w:hAnsi="Times New Roman" w:cs="Times New Roman"/>
          <w:sz w:val="24"/>
          <w:szCs w:val="24"/>
        </w:rPr>
        <w:t>indicated in one place the changes are applicable to</w:t>
      </w:r>
      <w:r w:rsidRPr="008544CA">
        <w:rPr>
          <w:rFonts w:ascii="Times New Roman" w:hAnsi="Times New Roman" w:cs="Times New Roman"/>
          <w:sz w:val="24"/>
          <w:szCs w:val="24"/>
        </w:rPr>
        <w:t xml:space="preserve"> FFY 2021</w:t>
      </w:r>
      <w:r w:rsidRPr="008544CA" w:rsidR="00365C73">
        <w:rPr>
          <w:rFonts w:ascii="Times New Roman" w:hAnsi="Times New Roman" w:cs="Times New Roman"/>
          <w:sz w:val="24"/>
          <w:szCs w:val="24"/>
        </w:rPr>
        <w:t xml:space="preserve"> grants, and in another to </w:t>
      </w:r>
      <w:r w:rsidRPr="008544CA">
        <w:rPr>
          <w:rFonts w:ascii="Times New Roman" w:hAnsi="Times New Roman" w:cs="Times New Roman"/>
          <w:sz w:val="24"/>
          <w:szCs w:val="24"/>
        </w:rPr>
        <w:t>awards issued on or after October 1, 2019</w:t>
      </w:r>
      <w:r w:rsidRPr="008544CA" w:rsidR="00365C73">
        <w:rPr>
          <w:rFonts w:ascii="Times New Roman" w:hAnsi="Times New Roman" w:cs="Times New Roman"/>
          <w:sz w:val="24"/>
          <w:szCs w:val="24"/>
        </w:rPr>
        <w:t>.</w:t>
      </w:r>
    </w:p>
    <w:p w:rsidRPr="008544CA" w:rsidR="004C0F1D" w:rsidP="00A900DE" w:rsidRDefault="004C0F1D" w14:paraId="2C142003" w14:textId="77777777">
      <w:pPr>
        <w:ind w:left="720"/>
        <w:rPr>
          <w:rFonts w:ascii="Times New Roman" w:hAnsi="Times New Roman" w:cs="Times New Roman"/>
          <w:sz w:val="24"/>
          <w:szCs w:val="24"/>
        </w:rPr>
      </w:pPr>
    </w:p>
    <w:p w:rsidRPr="008544CA" w:rsidR="004C0F1D" w:rsidP="00A900DE" w:rsidRDefault="004C0F1D" w14:paraId="1B1CE524" w14:textId="7922405D">
      <w:pPr>
        <w:pStyle w:val="HTMLPreformatted"/>
        <w:ind w:left="720"/>
        <w:rPr>
          <w:rFonts w:ascii="Times New Roman" w:hAnsi="Times New Roman" w:cs="Times New Roman"/>
          <w:sz w:val="24"/>
          <w:szCs w:val="24"/>
        </w:rPr>
      </w:pPr>
      <w:r w:rsidRPr="008544CA">
        <w:rPr>
          <w:rFonts w:ascii="Times New Roman" w:hAnsi="Times New Roman" w:cs="Times New Roman"/>
          <w:sz w:val="24"/>
          <w:szCs w:val="24"/>
          <w:u w:val="single"/>
        </w:rPr>
        <w:t>Department Response</w:t>
      </w:r>
      <w:r w:rsidRPr="008544CA">
        <w:rPr>
          <w:rFonts w:ascii="Times New Roman" w:hAnsi="Times New Roman" w:cs="Times New Roman"/>
          <w:sz w:val="24"/>
          <w:szCs w:val="24"/>
        </w:rPr>
        <w:t>: We appreciate the commenters noting the discrepancy in some of the published information regarding effective dates for the new RSA-</w:t>
      </w:r>
      <w:r w:rsidRPr="008544CA" w:rsidR="0012473D">
        <w:rPr>
          <w:rFonts w:ascii="Times New Roman" w:hAnsi="Times New Roman" w:cs="Times New Roman"/>
          <w:sz w:val="24"/>
          <w:szCs w:val="24"/>
        </w:rPr>
        <w:t>17</w:t>
      </w:r>
      <w:r w:rsidRPr="008544CA">
        <w:rPr>
          <w:rFonts w:ascii="Times New Roman" w:hAnsi="Times New Roman" w:cs="Times New Roman"/>
          <w:sz w:val="24"/>
          <w:szCs w:val="24"/>
        </w:rPr>
        <w:t xml:space="preserve">. </w:t>
      </w:r>
      <w:r w:rsidRPr="008544CA" w:rsidR="0012473D">
        <w:rPr>
          <w:rFonts w:ascii="Times New Roman" w:hAnsi="Times New Roman" w:cs="Times New Roman"/>
          <w:bCs/>
          <w:sz w:val="24"/>
          <w:szCs w:val="24"/>
        </w:rPr>
        <w:t xml:space="preserve">The </w:t>
      </w:r>
      <w:r w:rsidRPr="008544CA" w:rsidR="006F6C78">
        <w:rPr>
          <w:rFonts w:ascii="Times New Roman" w:hAnsi="Times New Roman" w:cs="Times New Roman"/>
          <w:bCs/>
          <w:sz w:val="24"/>
          <w:szCs w:val="24"/>
        </w:rPr>
        <w:t xml:space="preserve">RSA-17 will be effective for the VR program beginning </w:t>
      </w:r>
      <w:r w:rsidRPr="008544CA" w:rsidR="00AA7DD2">
        <w:rPr>
          <w:rFonts w:ascii="Times New Roman" w:hAnsi="Times New Roman" w:cs="Times New Roman"/>
          <w:bCs/>
          <w:sz w:val="24"/>
          <w:szCs w:val="24"/>
        </w:rPr>
        <w:t>with the FFY 2021 VR grant awards</w:t>
      </w:r>
      <w:r w:rsidR="00A23444">
        <w:rPr>
          <w:rFonts w:ascii="Times New Roman" w:hAnsi="Times New Roman" w:cs="Times New Roman"/>
          <w:bCs/>
          <w:sz w:val="24"/>
          <w:szCs w:val="24"/>
        </w:rPr>
        <w:t>.</w:t>
      </w:r>
      <w:r w:rsidRPr="008544CA" w:rsidR="0012473D">
        <w:rPr>
          <w:rFonts w:ascii="Times New Roman" w:hAnsi="Times New Roman" w:cs="Times New Roman"/>
          <w:bCs/>
          <w:sz w:val="24"/>
          <w:szCs w:val="24"/>
        </w:rPr>
        <w:t xml:space="preserve"> </w:t>
      </w:r>
    </w:p>
    <w:p w:rsidRPr="008544CA" w:rsidR="00365C73" w:rsidP="00A900DE" w:rsidRDefault="00365C73" w14:paraId="3E8F4595" w14:textId="6760F764">
      <w:pPr>
        <w:rPr>
          <w:rFonts w:ascii="Times New Roman" w:hAnsi="Times New Roman" w:cs="Times New Roman"/>
          <w:sz w:val="24"/>
          <w:szCs w:val="24"/>
        </w:rPr>
      </w:pPr>
    </w:p>
    <w:p w:rsidRPr="008544CA" w:rsidR="00263F6A" w:rsidP="00A900DE" w:rsidRDefault="00263F6A" w14:paraId="6B9D4F35" w14:textId="66804F1E">
      <w:pPr>
        <w:rPr>
          <w:rFonts w:ascii="Times New Roman" w:hAnsi="Times New Roman" w:cs="Times New Roman"/>
          <w:sz w:val="24"/>
          <w:szCs w:val="24"/>
        </w:rPr>
      </w:pPr>
      <w:r w:rsidRPr="008544CA">
        <w:rPr>
          <w:rFonts w:ascii="Times New Roman" w:hAnsi="Times New Roman" w:cs="Times New Roman"/>
          <w:sz w:val="24"/>
          <w:szCs w:val="24"/>
        </w:rPr>
        <w:tab/>
      </w:r>
      <w:r w:rsidRPr="008544CA">
        <w:rPr>
          <w:rFonts w:ascii="Times New Roman" w:hAnsi="Times New Roman" w:cs="Times New Roman"/>
          <w:sz w:val="24"/>
          <w:szCs w:val="24"/>
          <w:u w:val="single"/>
        </w:rPr>
        <w:t>Change</w:t>
      </w:r>
      <w:r w:rsidRPr="008544CA">
        <w:rPr>
          <w:rFonts w:ascii="Times New Roman" w:hAnsi="Times New Roman" w:cs="Times New Roman"/>
          <w:sz w:val="24"/>
          <w:szCs w:val="24"/>
        </w:rPr>
        <w:t>: None</w:t>
      </w:r>
      <w:r w:rsidR="00A23444">
        <w:rPr>
          <w:rFonts w:ascii="Times New Roman" w:hAnsi="Times New Roman" w:cs="Times New Roman"/>
          <w:sz w:val="24"/>
          <w:szCs w:val="24"/>
        </w:rPr>
        <w:t>.</w:t>
      </w:r>
    </w:p>
    <w:p w:rsidRPr="008544CA" w:rsidR="00263F6A" w:rsidP="00A900DE" w:rsidRDefault="00263F6A" w14:paraId="2CA624C8" w14:textId="77777777">
      <w:pPr>
        <w:rPr>
          <w:rFonts w:ascii="Times New Roman" w:hAnsi="Times New Roman" w:cs="Times New Roman"/>
          <w:sz w:val="24"/>
          <w:szCs w:val="24"/>
        </w:rPr>
      </w:pPr>
    </w:p>
    <w:p w:rsidRPr="008544CA" w:rsidR="00686EB3" w:rsidP="00A900DE" w:rsidRDefault="00365C73" w14:paraId="196D451D" w14:textId="77777777">
      <w:pPr>
        <w:pStyle w:val="Heading2"/>
        <w:rPr>
          <w:rFonts w:cs="Times New Roman"/>
          <w:szCs w:val="28"/>
        </w:rPr>
      </w:pPr>
      <w:r w:rsidRPr="008544CA">
        <w:rPr>
          <w:rFonts w:cs="Times New Roman"/>
          <w:szCs w:val="28"/>
        </w:rPr>
        <w:t>Applicability</w:t>
      </w:r>
    </w:p>
    <w:p w:rsidRPr="008544CA" w:rsidR="00A900DE" w:rsidP="00A900DE" w:rsidRDefault="00A900DE" w14:paraId="1001372A" w14:textId="77777777">
      <w:pPr>
        <w:rPr>
          <w:rFonts w:ascii="Times New Roman" w:hAnsi="Times New Roman" w:cs="Times New Roman"/>
        </w:rPr>
      </w:pPr>
    </w:p>
    <w:p w:rsidRPr="008544CA" w:rsidR="00686EB3" w:rsidP="00A900DE" w:rsidRDefault="002D2644" w14:paraId="19AE00A1" w14:textId="0D388E98">
      <w:pPr>
        <w:pStyle w:val="HTMLPreformatted"/>
        <w:ind w:left="720"/>
        <w:rPr>
          <w:rFonts w:ascii="Times New Roman" w:hAnsi="Times New Roman" w:cs="Times New Roman"/>
          <w:sz w:val="24"/>
          <w:szCs w:val="24"/>
        </w:rPr>
      </w:pPr>
      <w:r w:rsidRPr="008544CA">
        <w:rPr>
          <w:rFonts w:ascii="Times New Roman" w:hAnsi="Times New Roman" w:cs="Times New Roman"/>
          <w:sz w:val="24"/>
          <w:szCs w:val="24"/>
          <w:u w:val="single"/>
        </w:rPr>
        <w:t>Comment</w:t>
      </w:r>
      <w:r w:rsidRPr="008544CA">
        <w:rPr>
          <w:rFonts w:ascii="Times New Roman" w:hAnsi="Times New Roman" w:cs="Times New Roman"/>
          <w:sz w:val="24"/>
          <w:szCs w:val="24"/>
        </w:rPr>
        <w:t xml:space="preserve">: </w:t>
      </w:r>
      <w:r w:rsidRPr="008544CA" w:rsidR="00A606C2">
        <w:rPr>
          <w:rFonts w:ascii="Times New Roman" w:hAnsi="Times New Roman" w:cs="Times New Roman"/>
          <w:sz w:val="24"/>
          <w:szCs w:val="24"/>
        </w:rPr>
        <w:t>Two</w:t>
      </w:r>
      <w:r w:rsidRPr="008544CA">
        <w:rPr>
          <w:rFonts w:ascii="Times New Roman" w:hAnsi="Times New Roman" w:cs="Times New Roman"/>
          <w:sz w:val="24"/>
          <w:szCs w:val="24"/>
        </w:rPr>
        <w:t xml:space="preserve"> commenter</w:t>
      </w:r>
      <w:r w:rsidRPr="008544CA" w:rsidR="00A606C2">
        <w:rPr>
          <w:rFonts w:ascii="Times New Roman" w:hAnsi="Times New Roman" w:cs="Times New Roman"/>
          <w:sz w:val="24"/>
          <w:szCs w:val="24"/>
        </w:rPr>
        <w:t>s</w:t>
      </w:r>
      <w:r w:rsidRPr="008544CA">
        <w:rPr>
          <w:rFonts w:ascii="Times New Roman" w:hAnsi="Times New Roman" w:cs="Times New Roman"/>
          <w:sz w:val="24"/>
          <w:szCs w:val="24"/>
        </w:rPr>
        <w:t xml:space="preserve"> asked whether the RSA-</w:t>
      </w:r>
      <w:r w:rsidRPr="008544CA" w:rsidR="00E403D8">
        <w:rPr>
          <w:rFonts w:ascii="Times New Roman" w:hAnsi="Times New Roman" w:cs="Times New Roman"/>
          <w:sz w:val="24"/>
          <w:szCs w:val="24"/>
        </w:rPr>
        <w:t>17</w:t>
      </w:r>
      <w:r w:rsidRPr="008544CA">
        <w:rPr>
          <w:rFonts w:ascii="Times New Roman" w:hAnsi="Times New Roman" w:cs="Times New Roman"/>
          <w:sz w:val="24"/>
          <w:szCs w:val="24"/>
        </w:rPr>
        <w:t xml:space="preserve"> report will capture data by year, or by award. </w:t>
      </w:r>
      <w:r w:rsidRPr="008544CA" w:rsidR="00A606C2">
        <w:rPr>
          <w:rFonts w:ascii="Times New Roman" w:hAnsi="Times New Roman" w:cs="Times New Roman"/>
          <w:sz w:val="24"/>
          <w:szCs w:val="24"/>
        </w:rPr>
        <w:t>Two commenters</w:t>
      </w:r>
      <w:r w:rsidRPr="008544CA">
        <w:rPr>
          <w:rFonts w:ascii="Times New Roman" w:hAnsi="Times New Roman" w:cs="Times New Roman"/>
          <w:sz w:val="24"/>
          <w:szCs w:val="24"/>
        </w:rPr>
        <w:t xml:space="preserve"> asked if State Supported Employment Services data will still be reported using the SF-425 report.</w:t>
      </w:r>
    </w:p>
    <w:p w:rsidRPr="008544CA" w:rsidR="00BA62BF" w:rsidP="00A900DE" w:rsidRDefault="00BA62BF" w14:paraId="435AE712" w14:textId="77777777">
      <w:pPr>
        <w:pStyle w:val="HTMLPreformatted"/>
        <w:ind w:left="720"/>
        <w:rPr>
          <w:rFonts w:ascii="Times New Roman" w:hAnsi="Times New Roman" w:cs="Times New Roman"/>
          <w:sz w:val="24"/>
          <w:szCs w:val="24"/>
        </w:rPr>
      </w:pPr>
    </w:p>
    <w:p w:rsidRPr="008544CA" w:rsidR="00BA62BF" w:rsidP="00A900DE" w:rsidRDefault="004C0F1D" w14:paraId="115F7B6D" w14:textId="67996E86">
      <w:pPr>
        <w:pStyle w:val="HTMLPreformatted"/>
        <w:ind w:left="720"/>
        <w:rPr>
          <w:rFonts w:ascii="Times New Roman" w:hAnsi="Times New Roman" w:cs="Times New Roman"/>
          <w:sz w:val="24"/>
          <w:szCs w:val="24"/>
        </w:rPr>
      </w:pPr>
      <w:r w:rsidRPr="008544CA">
        <w:rPr>
          <w:rFonts w:ascii="Times New Roman" w:hAnsi="Times New Roman" w:cs="Times New Roman"/>
          <w:sz w:val="24"/>
          <w:szCs w:val="24"/>
          <w:u w:val="single"/>
        </w:rPr>
        <w:t>Department Response</w:t>
      </w:r>
      <w:r w:rsidRPr="008544CA">
        <w:rPr>
          <w:rFonts w:ascii="Times New Roman" w:hAnsi="Times New Roman" w:cs="Times New Roman"/>
          <w:sz w:val="24"/>
          <w:szCs w:val="24"/>
        </w:rPr>
        <w:t>: The new RSA-</w:t>
      </w:r>
      <w:r w:rsidRPr="008544CA" w:rsidR="00E403D8">
        <w:rPr>
          <w:rFonts w:ascii="Times New Roman" w:hAnsi="Times New Roman" w:cs="Times New Roman"/>
          <w:sz w:val="24"/>
          <w:szCs w:val="24"/>
        </w:rPr>
        <w:t>17</w:t>
      </w:r>
      <w:r w:rsidRPr="008544CA">
        <w:rPr>
          <w:rFonts w:ascii="Times New Roman" w:hAnsi="Times New Roman" w:cs="Times New Roman"/>
          <w:sz w:val="24"/>
          <w:szCs w:val="24"/>
        </w:rPr>
        <w:t xml:space="preserve"> report will collect </w:t>
      </w:r>
      <w:r w:rsidRPr="008544CA" w:rsidR="00A900DE">
        <w:rPr>
          <w:rFonts w:ascii="Times New Roman" w:hAnsi="Times New Roman" w:cs="Times New Roman"/>
          <w:sz w:val="24"/>
          <w:szCs w:val="24"/>
        </w:rPr>
        <w:t xml:space="preserve">quarterly </w:t>
      </w:r>
      <w:r w:rsidRPr="008544CA">
        <w:rPr>
          <w:rFonts w:ascii="Times New Roman" w:hAnsi="Times New Roman" w:cs="Times New Roman"/>
          <w:sz w:val="24"/>
          <w:szCs w:val="24"/>
        </w:rPr>
        <w:t>cumulative</w:t>
      </w:r>
      <w:r w:rsidRPr="008544CA" w:rsidR="00A900DE">
        <w:rPr>
          <w:rFonts w:ascii="Times New Roman" w:hAnsi="Times New Roman" w:cs="Times New Roman"/>
          <w:sz w:val="24"/>
          <w:szCs w:val="24"/>
        </w:rPr>
        <w:t xml:space="preserve"> VR financial</w:t>
      </w:r>
      <w:r w:rsidRPr="008544CA">
        <w:rPr>
          <w:rFonts w:ascii="Times New Roman" w:hAnsi="Times New Roman" w:cs="Times New Roman"/>
          <w:sz w:val="24"/>
          <w:szCs w:val="24"/>
        </w:rPr>
        <w:t xml:space="preserve"> </w:t>
      </w:r>
      <w:r w:rsidRPr="008544CA" w:rsidR="00A900DE">
        <w:rPr>
          <w:rFonts w:ascii="Times New Roman" w:hAnsi="Times New Roman" w:cs="Times New Roman"/>
          <w:sz w:val="24"/>
          <w:szCs w:val="24"/>
        </w:rPr>
        <w:t xml:space="preserve">data on an award-by-award basis. RSA will continue to collect State Supported Employment Services financial data through use of the SF-425 report. </w:t>
      </w:r>
    </w:p>
    <w:p w:rsidRPr="008544CA" w:rsidR="00AE5AC5" w:rsidP="00A900DE" w:rsidRDefault="00AE5AC5" w14:paraId="170ECEEE" w14:textId="68134E95">
      <w:pPr>
        <w:pStyle w:val="HTMLPreformatted"/>
        <w:ind w:left="720"/>
        <w:rPr>
          <w:rFonts w:ascii="Times New Roman" w:hAnsi="Times New Roman" w:cs="Times New Roman"/>
          <w:sz w:val="24"/>
          <w:szCs w:val="24"/>
        </w:rPr>
      </w:pPr>
    </w:p>
    <w:p w:rsidRPr="008544CA" w:rsidR="008E4FF0" w:rsidP="00A900DE" w:rsidRDefault="008E4FF0" w14:paraId="47BAA828" w14:textId="1C5E146F">
      <w:pPr>
        <w:pStyle w:val="HTMLPreformatted"/>
        <w:ind w:left="720"/>
        <w:rPr>
          <w:rFonts w:ascii="Times New Roman" w:hAnsi="Times New Roman" w:cs="Times New Roman"/>
          <w:sz w:val="24"/>
          <w:szCs w:val="24"/>
        </w:rPr>
      </w:pPr>
      <w:r w:rsidRPr="008544CA">
        <w:rPr>
          <w:rFonts w:ascii="Times New Roman" w:hAnsi="Times New Roman" w:cs="Times New Roman"/>
          <w:sz w:val="24"/>
          <w:szCs w:val="24"/>
          <w:u w:val="single"/>
        </w:rPr>
        <w:t>Change</w:t>
      </w:r>
      <w:r w:rsidRPr="008544CA">
        <w:rPr>
          <w:rFonts w:ascii="Times New Roman" w:hAnsi="Times New Roman" w:cs="Times New Roman"/>
          <w:sz w:val="24"/>
          <w:szCs w:val="24"/>
        </w:rPr>
        <w:t>: None</w:t>
      </w:r>
      <w:r w:rsidR="00A23444">
        <w:rPr>
          <w:rFonts w:ascii="Times New Roman" w:hAnsi="Times New Roman" w:cs="Times New Roman"/>
          <w:sz w:val="24"/>
          <w:szCs w:val="24"/>
        </w:rPr>
        <w:t>.</w:t>
      </w:r>
    </w:p>
    <w:p w:rsidRPr="008544CA" w:rsidR="00AE5AC5" w:rsidP="00A900DE" w:rsidRDefault="00BA62BF" w14:paraId="2E253B22" w14:textId="24DE4E9A">
      <w:pPr>
        <w:pStyle w:val="Heading2"/>
        <w:rPr>
          <w:rFonts w:cs="Times New Roman"/>
        </w:rPr>
      </w:pPr>
      <w:r w:rsidRPr="008544CA">
        <w:rPr>
          <w:rFonts w:cs="Times New Roman"/>
        </w:rPr>
        <w:lastRenderedPageBreak/>
        <w:t>Noncompliance</w:t>
      </w:r>
      <w:r w:rsidR="004043DA">
        <w:rPr>
          <w:rFonts w:cs="Times New Roman"/>
        </w:rPr>
        <w:t xml:space="preserve"> – Pre-employment Transition Services</w:t>
      </w:r>
    </w:p>
    <w:p w:rsidRPr="008544CA" w:rsidR="00BA62BF" w:rsidP="00BA62BF" w:rsidRDefault="00BA62BF" w14:paraId="655A4371" w14:textId="77777777">
      <w:pPr>
        <w:rPr>
          <w:rFonts w:ascii="Times New Roman" w:hAnsi="Times New Roman" w:cs="Times New Roman"/>
          <w:sz w:val="24"/>
          <w:szCs w:val="24"/>
        </w:rPr>
      </w:pPr>
    </w:p>
    <w:p w:rsidRPr="008544CA" w:rsidR="00BA62BF" w:rsidP="00BA62BF" w:rsidRDefault="00BA62BF" w14:paraId="52DA39D0" w14:textId="2E908629">
      <w:pPr>
        <w:ind w:left="720"/>
        <w:rPr>
          <w:rFonts w:ascii="Times New Roman" w:hAnsi="Times New Roman" w:cs="Times New Roman"/>
          <w:sz w:val="24"/>
          <w:szCs w:val="24"/>
        </w:rPr>
      </w:pPr>
      <w:r w:rsidRPr="008544CA">
        <w:rPr>
          <w:rFonts w:ascii="Times New Roman" w:hAnsi="Times New Roman" w:cs="Times New Roman"/>
          <w:sz w:val="24"/>
          <w:szCs w:val="24"/>
          <w:u w:val="single"/>
        </w:rPr>
        <w:t>Comment</w:t>
      </w:r>
      <w:r w:rsidRPr="008544CA">
        <w:rPr>
          <w:rFonts w:ascii="Times New Roman" w:hAnsi="Times New Roman" w:cs="Times New Roman"/>
          <w:sz w:val="24"/>
          <w:szCs w:val="24"/>
        </w:rPr>
        <w:t>: One commenter asked about measures RSA will take regarding States that do not meet the 15 percent reservation and expenditure of funds requirement as reported in the fourth quarter</w:t>
      </w:r>
      <w:r w:rsidR="00A23444">
        <w:rPr>
          <w:rFonts w:ascii="Times New Roman" w:hAnsi="Times New Roman" w:cs="Times New Roman"/>
          <w:sz w:val="24"/>
          <w:szCs w:val="24"/>
        </w:rPr>
        <w:t>.</w:t>
      </w:r>
    </w:p>
    <w:p w:rsidRPr="008544CA" w:rsidR="00BA62BF" w:rsidP="00BA62BF" w:rsidRDefault="00BA62BF" w14:paraId="18E8D2C2" w14:textId="77777777">
      <w:pPr>
        <w:ind w:left="720"/>
        <w:rPr>
          <w:rFonts w:ascii="Times New Roman" w:hAnsi="Times New Roman" w:cs="Times New Roman"/>
          <w:sz w:val="24"/>
          <w:szCs w:val="24"/>
        </w:rPr>
      </w:pPr>
    </w:p>
    <w:p w:rsidRPr="008544CA" w:rsidR="00BA62BF" w:rsidP="00BA62BF" w:rsidRDefault="00BA62BF" w14:paraId="36EA090F" w14:textId="3B844D60">
      <w:pPr>
        <w:pStyle w:val="HTMLPreformatted"/>
        <w:ind w:left="720"/>
        <w:rPr>
          <w:rFonts w:ascii="Times New Roman" w:hAnsi="Times New Roman" w:cs="Times New Roman"/>
          <w:sz w:val="24"/>
          <w:szCs w:val="24"/>
        </w:rPr>
      </w:pPr>
      <w:r w:rsidRPr="008544CA">
        <w:rPr>
          <w:rFonts w:ascii="Times New Roman" w:hAnsi="Times New Roman" w:cs="Times New Roman"/>
          <w:sz w:val="24"/>
          <w:szCs w:val="24"/>
          <w:u w:val="single"/>
        </w:rPr>
        <w:t>Department Response</w:t>
      </w:r>
      <w:r w:rsidRPr="008544CA">
        <w:rPr>
          <w:rFonts w:ascii="Times New Roman" w:hAnsi="Times New Roman" w:cs="Times New Roman"/>
          <w:sz w:val="24"/>
          <w:szCs w:val="24"/>
        </w:rPr>
        <w:t xml:space="preserve">: Section 110(d)(1) of the Rehabilitation Act </w:t>
      </w:r>
      <w:r w:rsidR="00432E59">
        <w:rPr>
          <w:rFonts w:ascii="Times New Roman" w:hAnsi="Times New Roman" w:cs="Times New Roman"/>
          <w:sz w:val="24"/>
          <w:szCs w:val="24"/>
        </w:rPr>
        <w:t xml:space="preserve">of 1973, as amended (Rehabilitation Act), </w:t>
      </w:r>
      <w:r w:rsidRPr="008544CA">
        <w:rPr>
          <w:rFonts w:ascii="Times New Roman" w:hAnsi="Times New Roman" w:cs="Times New Roman"/>
          <w:sz w:val="24"/>
          <w:szCs w:val="24"/>
        </w:rPr>
        <w:t>requires a State to reserve at least 15 percent of its allotment for the provision of pre</w:t>
      </w:r>
      <w:r w:rsidR="00A23444">
        <w:rPr>
          <w:rFonts w:ascii="Times New Roman" w:hAnsi="Times New Roman" w:cs="Times New Roman"/>
          <w:sz w:val="24"/>
          <w:szCs w:val="24"/>
        </w:rPr>
        <w:t>-</w:t>
      </w:r>
      <w:r w:rsidRPr="008544CA">
        <w:rPr>
          <w:rFonts w:ascii="Times New Roman" w:hAnsi="Times New Roman" w:cs="Times New Roman"/>
          <w:sz w:val="24"/>
          <w:szCs w:val="24"/>
        </w:rPr>
        <w:t>employment transition services. Section 113 of the Rehabilitation Act requires the State to use those reserved funds to provide, or arrange for the provision of, pre</w:t>
      </w:r>
      <w:r w:rsidR="00A23444">
        <w:rPr>
          <w:rFonts w:ascii="Times New Roman" w:hAnsi="Times New Roman" w:cs="Times New Roman"/>
          <w:sz w:val="24"/>
          <w:szCs w:val="24"/>
        </w:rPr>
        <w:t>-</w:t>
      </w:r>
      <w:r w:rsidRPr="008544CA">
        <w:rPr>
          <w:rFonts w:ascii="Times New Roman" w:hAnsi="Times New Roman" w:cs="Times New Roman"/>
          <w:sz w:val="24"/>
          <w:szCs w:val="24"/>
        </w:rPr>
        <w:t>employment transition services to students with disabilities. Therefore, the statute makes clear that the reservation and use of VR funds for this purpose is mandatory, not discretionary, for States. Section 107(a)(1) requires the Commissioner of RSA to conduct annual reviews and periodic on</w:t>
      </w:r>
      <w:r w:rsidR="00A23444">
        <w:rPr>
          <w:rFonts w:ascii="Times New Roman" w:hAnsi="Times New Roman" w:cs="Times New Roman"/>
          <w:sz w:val="24"/>
          <w:szCs w:val="24"/>
        </w:rPr>
        <w:t>-</w:t>
      </w:r>
      <w:r w:rsidRPr="008544CA">
        <w:rPr>
          <w:rFonts w:ascii="Times New Roman" w:hAnsi="Times New Roman" w:cs="Times New Roman"/>
          <w:sz w:val="24"/>
          <w:szCs w:val="24"/>
        </w:rPr>
        <w:t>site monitoring of the VR program. Section 107(a)(4)(B) requires the Commissioner to examine, among other things, the provision of VR services, including the provision of pre</w:t>
      </w:r>
      <w:r w:rsidR="00A23444">
        <w:rPr>
          <w:rFonts w:ascii="Times New Roman" w:hAnsi="Times New Roman" w:cs="Times New Roman"/>
          <w:sz w:val="24"/>
          <w:szCs w:val="24"/>
        </w:rPr>
        <w:t>-</w:t>
      </w:r>
      <w:r w:rsidRPr="008544CA">
        <w:rPr>
          <w:rFonts w:ascii="Times New Roman" w:hAnsi="Times New Roman" w:cs="Times New Roman"/>
          <w:sz w:val="24"/>
          <w:szCs w:val="24"/>
        </w:rPr>
        <w:t xml:space="preserve">employment transition services, when conducting reviews or monitoring. Section 107(b) and (c) specify the remedies available to the Commissioner if a State </w:t>
      </w:r>
      <w:r w:rsidR="00A23444">
        <w:rPr>
          <w:rFonts w:ascii="Times New Roman" w:hAnsi="Times New Roman" w:cs="Times New Roman"/>
          <w:sz w:val="24"/>
          <w:szCs w:val="24"/>
        </w:rPr>
        <w:t>does not</w:t>
      </w:r>
      <w:r w:rsidRPr="008544CA">
        <w:rPr>
          <w:rFonts w:ascii="Times New Roman" w:hAnsi="Times New Roman" w:cs="Times New Roman"/>
          <w:sz w:val="24"/>
          <w:szCs w:val="24"/>
        </w:rPr>
        <w:t xml:space="preserve"> satisfy Federal requirements governing the VR program, including requirements related to pre</w:t>
      </w:r>
      <w:r w:rsidR="00A23444">
        <w:rPr>
          <w:rFonts w:ascii="Times New Roman" w:hAnsi="Times New Roman" w:cs="Times New Roman"/>
          <w:sz w:val="24"/>
          <w:szCs w:val="24"/>
        </w:rPr>
        <w:t>-</w:t>
      </w:r>
      <w:r w:rsidRPr="008544CA">
        <w:rPr>
          <w:rFonts w:ascii="Times New Roman" w:hAnsi="Times New Roman" w:cs="Times New Roman"/>
          <w:sz w:val="24"/>
          <w:szCs w:val="24"/>
        </w:rPr>
        <w:t>employment transition services. In this manner, compliance with requirements governing pre</w:t>
      </w:r>
      <w:r w:rsidR="00A23444">
        <w:rPr>
          <w:rFonts w:ascii="Times New Roman" w:hAnsi="Times New Roman" w:cs="Times New Roman"/>
          <w:sz w:val="24"/>
          <w:szCs w:val="24"/>
        </w:rPr>
        <w:t>-</w:t>
      </w:r>
      <w:r w:rsidRPr="008544CA">
        <w:rPr>
          <w:rFonts w:ascii="Times New Roman" w:hAnsi="Times New Roman" w:cs="Times New Roman"/>
          <w:sz w:val="24"/>
          <w:szCs w:val="24"/>
        </w:rPr>
        <w:t xml:space="preserve">employment transition services is the same as it is for any VR program requirement. States that </w:t>
      </w:r>
      <w:r w:rsidR="00A23444">
        <w:rPr>
          <w:rFonts w:ascii="Times New Roman" w:hAnsi="Times New Roman" w:cs="Times New Roman"/>
          <w:sz w:val="24"/>
          <w:szCs w:val="24"/>
        </w:rPr>
        <w:t>do not</w:t>
      </w:r>
      <w:r w:rsidRPr="008544CA">
        <w:rPr>
          <w:rFonts w:ascii="Times New Roman" w:hAnsi="Times New Roman" w:cs="Times New Roman"/>
          <w:sz w:val="24"/>
          <w:szCs w:val="24"/>
        </w:rPr>
        <w:t xml:space="preserve"> meet the 15 percent reserve requirement </w:t>
      </w:r>
      <w:r w:rsidR="00256E3B">
        <w:rPr>
          <w:rFonts w:ascii="Times New Roman" w:hAnsi="Times New Roman" w:cs="Times New Roman"/>
          <w:sz w:val="24"/>
          <w:szCs w:val="24"/>
        </w:rPr>
        <w:t xml:space="preserve">also </w:t>
      </w:r>
      <w:r w:rsidRPr="008544CA">
        <w:rPr>
          <w:rFonts w:ascii="Times New Roman" w:hAnsi="Times New Roman" w:cs="Times New Roman"/>
          <w:sz w:val="24"/>
          <w:szCs w:val="24"/>
        </w:rPr>
        <w:t>may face potential consequences resulting from audit findings stemming from Inspector General, State, or Single Audits.</w:t>
      </w:r>
    </w:p>
    <w:p w:rsidRPr="008544CA" w:rsidR="004C0F1D" w:rsidP="00BA62BF" w:rsidRDefault="004C0F1D" w14:paraId="4B6A6136" w14:textId="1B77143E">
      <w:pPr>
        <w:pStyle w:val="HTMLPreformatted"/>
        <w:ind w:left="720"/>
        <w:rPr>
          <w:rFonts w:ascii="Times New Roman" w:hAnsi="Times New Roman" w:cs="Times New Roman"/>
          <w:sz w:val="24"/>
          <w:szCs w:val="24"/>
          <w:u w:val="single"/>
        </w:rPr>
      </w:pPr>
    </w:p>
    <w:p w:rsidRPr="008544CA" w:rsidR="0075587D" w:rsidP="00BA62BF" w:rsidRDefault="0075587D" w14:paraId="4250552E" w14:textId="5E61D900">
      <w:pPr>
        <w:pStyle w:val="HTMLPreformatted"/>
        <w:ind w:left="720"/>
        <w:rPr>
          <w:rFonts w:ascii="Times New Roman" w:hAnsi="Times New Roman" w:cs="Times New Roman"/>
          <w:sz w:val="24"/>
          <w:szCs w:val="24"/>
        </w:rPr>
      </w:pPr>
      <w:r w:rsidRPr="008544CA">
        <w:rPr>
          <w:rFonts w:ascii="Times New Roman" w:hAnsi="Times New Roman" w:cs="Times New Roman"/>
          <w:sz w:val="24"/>
          <w:szCs w:val="24"/>
          <w:u w:val="single"/>
        </w:rPr>
        <w:t>Change</w:t>
      </w:r>
      <w:r w:rsidRPr="008544CA">
        <w:rPr>
          <w:rFonts w:ascii="Times New Roman" w:hAnsi="Times New Roman" w:cs="Times New Roman"/>
          <w:sz w:val="24"/>
          <w:szCs w:val="24"/>
        </w:rPr>
        <w:t>: None</w:t>
      </w:r>
      <w:r w:rsidR="00256E3B">
        <w:rPr>
          <w:rFonts w:ascii="Times New Roman" w:hAnsi="Times New Roman" w:cs="Times New Roman"/>
          <w:sz w:val="24"/>
          <w:szCs w:val="24"/>
        </w:rPr>
        <w:t>.</w:t>
      </w:r>
    </w:p>
    <w:p w:rsidRPr="008544CA" w:rsidR="0075587D" w:rsidP="00BA62BF" w:rsidRDefault="0075587D" w14:paraId="525690E2" w14:textId="77777777">
      <w:pPr>
        <w:pStyle w:val="HTMLPreformatted"/>
        <w:ind w:left="720"/>
        <w:rPr>
          <w:rFonts w:ascii="Times New Roman" w:hAnsi="Times New Roman" w:cs="Times New Roman"/>
          <w:sz w:val="24"/>
          <w:szCs w:val="24"/>
        </w:rPr>
      </w:pPr>
    </w:p>
    <w:p w:rsidRPr="008544CA" w:rsidR="00DA1DE8" w:rsidP="0047105F" w:rsidRDefault="00A606C2" w14:paraId="18891AF5" w14:textId="77777777">
      <w:pPr>
        <w:pStyle w:val="Heading2"/>
        <w:rPr>
          <w:rFonts w:cs="Times New Roman"/>
        </w:rPr>
      </w:pPr>
      <w:r w:rsidRPr="008544CA">
        <w:rPr>
          <w:rFonts w:cs="Times New Roman"/>
        </w:rPr>
        <w:t>Instructions</w:t>
      </w:r>
    </w:p>
    <w:p w:rsidRPr="008544CA" w:rsidR="00F174F1" w:rsidP="00F174F1" w:rsidRDefault="00F174F1" w14:paraId="5EDBDE80" w14:textId="77777777">
      <w:pPr>
        <w:rPr>
          <w:rFonts w:ascii="Times New Roman" w:hAnsi="Times New Roman" w:cs="Times New Roman"/>
        </w:rPr>
      </w:pPr>
    </w:p>
    <w:p w:rsidRPr="008544CA" w:rsidR="00DA1DE8" w:rsidP="00FA28E6" w:rsidRDefault="0047105F" w14:paraId="33F3C8DD" w14:textId="61408862">
      <w:pPr>
        <w:pStyle w:val="HTMLPreformatted"/>
        <w:ind w:left="720"/>
        <w:rPr>
          <w:rFonts w:ascii="Times New Roman" w:hAnsi="Times New Roman" w:cs="Times New Roman"/>
          <w:sz w:val="24"/>
          <w:szCs w:val="24"/>
        </w:rPr>
      </w:pPr>
      <w:r w:rsidRPr="008544CA">
        <w:rPr>
          <w:rFonts w:ascii="Times New Roman" w:hAnsi="Times New Roman" w:cs="Times New Roman"/>
          <w:sz w:val="24"/>
          <w:szCs w:val="24"/>
          <w:u w:val="single"/>
        </w:rPr>
        <w:t>Comment</w:t>
      </w:r>
      <w:r w:rsidRPr="008544CA">
        <w:rPr>
          <w:rFonts w:ascii="Times New Roman" w:hAnsi="Times New Roman" w:cs="Times New Roman"/>
          <w:sz w:val="24"/>
          <w:szCs w:val="24"/>
        </w:rPr>
        <w:t xml:space="preserve">: One commenter asked </w:t>
      </w:r>
      <w:r w:rsidRPr="008544CA" w:rsidR="00273675">
        <w:rPr>
          <w:rFonts w:ascii="Times New Roman" w:hAnsi="Times New Roman" w:cs="Times New Roman"/>
          <w:sz w:val="24"/>
          <w:szCs w:val="24"/>
        </w:rPr>
        <w:t>several questions regarding instructions for the new RSA-2 report. The commenter asked if</w:t>
      </w:r>
      <w:r w:rsidRPr="008544CA">
        <w:rPr>
          <w:rFonts w:ascii="Times New Roman" w:hAnsi="Times New Roman" w:cs="Times New Roman"/>
          <w:sz w:val="24"/>
          <w:szCs w:val="24"/>
        </w:rPr>
        <w:t xml:space="preserve"> line 3</w:t>
      </w:r>
      <w:r w:rsidRPr="008544CA" w:rsidR="005D7ED3">
        <w:rPr>
          <w:rFonts w:ascii="Times New Roman" w:hAnsi="Times New Roman" w:cs="Times New Roman"/>
          <w:sz w:val="24"/>
          <w:szCs w:val="24"/>
        </w:rPr>
        <w:t>7</w:t>
      </w:r>
      <w:r w:rsidRPr="008544CA">
        <w:rPr>
          <w:rFonts w:ascii="Times New Roman" w:hAnsi="Times New Roman" w:cs="Times New Roman"/>
          <w:sz w:val="24"/>
          <w:szCs w:val="24"/>
        </w:rPr>
        <w:t xml:space="preserve"> of the RSA-</w:t>
      </w:r>
      <w:r w:rsidRPr="008544CA" w:rsidR="00BD234D">
        <w:rPr>
          <w:rFonts w:ascii="Times New Roman" w:hAnsi="Times New Roman" w:cs="Times New Roman"/>
          <w:sz w:val="24"/>
          <w:szCs w:val="24"/>
        </w:rPr>
        <w:t>17</w:t>
      </w:r>
      <w:r w:rsidRPr="008544CA">
        <w:rPr>
          <w:rFonts w:ascii="Times New Roman" w:hAnsi="Times New Roman" w:cs="Times New Roman"/>
          <w:sz w:val="24"/>
          <w:szCs w:val="24"/>
        </w:rPr>
        <w:t xml:space="preserve"> requires the same information as Schedule I-1 of the </w:t>
      </w:r>
      <w:r w:rsidRPr="008544CA" w:rsidR="00BD234D">
        <w:rPr>
          <w:rFonts w:ascii="Times New Roman" w:hAnsi="Times New Roman" w:cs="Times New Roman"/>
          <w:sz w:val="24"/>
          <w:szCs w:val="24"/>
        </w:rPr>
        <w:t>RSA-2</w:t>
      </w:r>
      <w:r w:rsidRPr="008544CA">
        <w:rPr>
          <w:rFonts w:ascii="Times New Roman" w:hAnsi="Times New Roman" w:cs="Times New Roman"/>
          <w:sz w:val="24"/>
          <w:szCs w:val="24"/>
        </w:rPr>
        <w:t xml:space="preserve"> report and suggested that a crosswalk between the old and new reports would be helpful. The commenter requested clarification on costs that are not to be reported in line </w:t>
      </w:r>
      <w:r w:rsidRPr="008544CA" w:rsidR="00273675">
        <w:rPr>
          <w:rFonts w:ascii="Times New Roman" w:hAnsi="Times New Roman" w:cs="Times New Roman"/>
          <w:sz w:val="24"/>
          <w:szCs w:val="24"/>
        </w:rPr>
        <w:t>3</w:t>
      </w:r>
      <w:r w:rsidRPr="008544CA" w:rsidR="005D7ED3">
        <w:rPr>
          <w:rFonts w:ascii="Times New Roman" w:hAnsi="Times New Roman" w:cs="Times New Roman"/>
          <w:sz w:val="24"/>
          <w:szCs w:val="24"/>
        </w:rPr>
        <w:t>7</w:t>
      </w:r>
      <w:r w:rsidRPr="008544CA" w:rsidR="00273675">
        <w:rPr>
          <w:rFonts w:ascii="Times New Roman" w:hAnsi="Times New Roman" w:cs="Times New Roman"/>
          <w:sz w:val="24"/>
          <w:szCs w:val="24"/>
        </w:rPr>
        <w:t xml:space="preserve"> and</w:t>
      </w:r>
      <w:r w:rsidRPr="008544CA">
        <w:rPr>
          <w:rFonts w:ascii="Times New Roman" w:hAnsi="Times New Roman" w:cs="Times New Roman"/>
          <w:sz w:val="24"/>
          <w:szCs w:val="24"/>
        </w:rPr>
        <w:t xml:space="preserve"> remarked that requiring supervisors to distinguish between their supervising and counseling activities will add workload and may result in inaccuracy. </w:t>
      </w:r>
      <w:r w:rsidRPr="008544CA" w:rsidR="00273675">
        <w:rPr>
          <w:rFonts w:ascii="Times New Roman" w:hAnsi="Times New Roman" w:cs="Times New Roman"/>
          <w:sz w:val="24"/>
          <w:szCs w:val="24"/>
        </w:rPr>
        <w:t>This commenter also asked whether administrative expenditures still include all costs except for counselors' salaries and fringe.</w:t>
      </w:r>
    </w:p>
    <w:p w:rsidRPr="008544CA" w:rsidR="00273675" w:rsidP="00FA28E6" w:rsidRDefault="00273675" w14:paraId="2A6DA37F" w14:textId="77777777">
      <w:pPr>
        <w:pStyle w:val="HTMLPreformatted"/>
        <w:ind w:left="720"/>
        <w:rPr>
          <w:rFonts w:ascii="Times New Roman" w:hAnsi="Times New Roman" w:cs="Times New Roman"/>
          <w:sz w:val="24"/>
          <w:szCs w:val="24"/>
        </w:rPr>
      </w:pPr>
    </w:p>
    <w:p w:rsidRPr="008544CA" w:rsidR="00273675" w:rsidP="00553A26" w:rsidRDefault="00273675" w14:paraId="4B26177A" w14:textId="4B0C2E08">
      <w:pPr>
        <w:pStyle w:val="HTMLPreformatted"/>
        <w:ind w:left="720"/>
        <w:rPr>
          <w:rFonts w:ascii="Times New Roman" w:hAnsi="Times New Roman" w:cs="Times New Roman"/>
          <w:sz w:val="24"/>
          <w:szCs w:val="24"/>
        </w:rPr>
      </w:pPr>
      <w:r w:rsidRPr="008544CA">
        <w:rPr>
          <w:rFonts w:ascii="Times New Roman" w:hAnsi="Times New Roman" w:cs="Times New Roman"/>
          <w:sz w:val="24"/>
          <w:szCs w:val="24"/>
        </w:rPr>
        <w:t>The commenter asked whether line 3</w:t>
      </w:r>
      <w:r w:rsidRPr="008544CA" w:rsidR="00F9687C">
        <w:rPr>
          <w:rFonts w:ascii="Times New Roman" w:hAnsi="Times New Roman" w:cs="Times New Roman"/>
          <w:sz w:val="24"/>
          <w:szCs w:val="24"/>
        </w:rPr>
        <w:t>8</w:t>
      </w:r>
      <w:r w:rsidRPr="008544CA">
        <w:rPr>
          <w:rFonts w:ascii="Times New Roman" w:hAnsi="Times New Roman" w:cs="Times New Roman"/>
          <w:sz w:val="24"/>
          <w:szCs w:val="24"/>
        </w:rPr>
        <w:t xml:space="preserve"> is in any way a subset of line 3</w:t>
      </w:r>
      <w:r w:rsidRPr="008544CA" w:rsidR="00F9687C">
        <w:rPr>
          <w:rFonts w:ascii="Times New Roman" w:hAnsi="Times New Roman" w:cs="Times New Roman"/>
          <w:sz w:val="24"/>
          <w:szCs w:val="24"/>
        </w:rPr>
        <w:t>7</w:t>
      </w:r>
      <w:r w:rsidRPr="008544CA">
        <w:rPr>
          <w:rFonts w:ascii="Times New Roman" w:hAnsi="Times New Roman" w:cs="Times New Roman"/>
          <w:sz w:val="24"/>
          <w:szCs w:val="24"/>
        </w:rPr>
        <w:t>, and if line 3</w:t>
      </w:r>
      <w:r w:rsidRPr="008544CA" w:rsidR="00F9687C">
        <w:rPr>
          <w:rFonts w:ascii="Times New Roman" w:hAnsi="Times New Roman" w:cs="Times New Roman"/>
          <w:sz w:val="24"/>
          <w:szCs w:val="24"/>
        </w:rPr>
        <w:t>7</w:t>
      </w:r>
      <w:r w:rsidRPr="008544CA">
        <w:rPr>
          <w:rFonts w:ascii="Times New Roman" w:hAnsi="Times New Roman" w:cs="Times New Roman"/>
          <w:sz w:val="24"/>
          <w:szCs w:val="24"/>
        </w:rPr>
        <w:t xml:space="preserve"> includes all or parts of Schedule I-2 from the previous report, would the expenditures in line 3</w:t>
      </w:r>
      <w:r w:rsidRPr="008544CA" w:rsidR="00F9687C">
        <w:rPr>
          <w:rFonts w:ascii="Times New Roman" w:hAnsi="Times New Roman" w:cs="Times New Roman"/>
          <w:sz w:val="24"/>
          <w:szCs w:val="24"/>
        </w:rPr>
        <w:t>8</w:t>
      </w:r>
      <w:r w:rsidRPr="008544CA">
        <w:rPr>
          <w:rFonts w:ascii="Times New Roman" w:hAnsi="Times New Roman" w:cs="Times New Roman"/>
          <w:sz w:val="24"/>
          <w:szCs w:val="24"/>
        </w:rPr>
        <w:t xml:space="preserve"> be included in line 3</w:t>
      </w:r>
      <w:r w:rsidRPr="008544CA" w:rsidR="00F9687C">
        <w:rPr>
          <w:rFonts w:ascii="Times New Roman" w:hAnsi="Times New Roman" w:cs="Times New Roman"/>
          <w:sz w:val="24"/>
          <w:szCs w:val="24"/>
        </w:rPr>
        <w:t>7</w:t>
      </w:r>
      <w:r w:rsidRPr="008544CA">
        <w:rPr>
          <w:rFonts w:ascii="Times New Roman" w:hAnsi="Times New Roman" w:cs="Times New Roman"/>
          <w:sz w:val="24"/>
          <w:szCs w:val="24"/>
        </w:rPr>
        <w:t>.</w:t>
      </w:r>
      <w:r w:rsidRPr="008544CA" w:rsidR="00553A26">
        <w:rPr>
          <w:rFonts w:ascii="Times New Roman" w:hAnsi="Times New Roman" w:cs="Times New Roman"/>
          <w:sz w:val="24"/>
          <w:szCs w:val="24"/>
        </w:rPr>
        <w:t xml:space="preserve"> </w:t>
      </w:r>
      <w:r w:rsidRPr="008544CA">
        <w:rPr>
          <w:rFonts w:ascii="Times New Roman" w:hAnsi="Times New Roman" w:cs="Times New Roman"/>
          <w:sz w:val="24"/>
          <w:szCs w:val="24"/>
        </w:rPr>
        <w:t>The commenter</w:t>
      </w:r>
      <w:r w:rsidRPr="008544CA" w:rsidR="00553A26">
        <w:rPr>
          <w:rFonts w:ascii="Times New Roman" w:hAnsi="Times New Roman" w:cs="Times New Roman"/>
          <w:sz w:val="24"/>
          <w:szCs w:val="24"/>
        </w:rPr>
        <w:t xml:space="preserve"> also</w:t>
      </w:r>
      <w:r w:rsidRPr="008544CA">
        <w:rPr>
          <w:rFonts w:ascii="Times New Roman" w:hAnsi="Times New Roman" w:cs="Times New Roman"/>
          <w:sz w:val="24"/>
          <w:szCs w:val="24"/>
        </w:rPr>
        <w:t xml:space="preserve"> asked for clarification concerning </w:t>
      </w:r>
      <w:r w:rsidRPr="008544CA" w:rsidR="001439B1">
        <w:rPr>
          <w:rFonts w:ascii="Times New Roman" w:hAnsi="Times New Roman" w:cs="Times New Roman"/>
          <w:sz w:val="24"/>
          <w:szCs w:val="24"/>
        </w:rPr>
        <w:t>instructions for documentation of activities, and whether staff must record time spen</w:t>
      </w:r>
      <w:r w:rsidRPr="008544CA" w:rsidR="00126756">
        <w:rPr>
          <w:rFonts w:ascii="Times New Roman" w:hAnsi="Times New Roman" w:cs="Times New Roman"/>
          <w:sz w:val="24"/>
          <w:szCs w:val="24"/>
        </w:rPr>
        <w:t>t</w:t>
      </w:r>
      <w:r w:rsidRPr="008544CA" w:rsidR="001439B1">
        <w:rPr>
          <w:rFonts w:ascii="Times New Roman" w:hAnsi="Times New Roman" w:cs="Times New Roman"/>
          <w:sz w:val="24"/>
          <w:szCs w:val="24"/>
        </w:rPr>
        <w:t xml:space="preserve"> in the provision of required, authorized</w:t>
      </w:r>
      <w:r w:rsidR="00256E3B">
        <w:rPr>
          <w:rFonts w:ascii="Times New Roman" w:hAnsi="Times New Roman" w:cs="Times New Roman"/>
          <w:sz w:val="24"/>
          <w:szCs w:val="24"/>
        </w:rPr>
        <w:t>,</w:t>
      </w:r>
      <w:r w:rsidRPr="008544CA" w:rsidR="001439B1">
        <w:rPr>
          <w:rFonts w:ascii="Times New Roman" w:hAnsi="Times New Roman" w:cs="Times New Roman"/>
          <w:sz w:val="24"/>
          <w:szCs w:val="24"/>
        </w:rPr>
        <w:t xml:space="preserve"> and coordination activities, or whether staff are to document time spent on each of the detailed subsections for each of these three activities. </w:t>
      </w:r>
      <w:r w:rsidRPr="008544CA" w:rsidR="00CF53F9">
        <w:rPr>
          <w:rFonts w:ascii="Times New Roman" w:hAnsi="Times New Roman" w:cs="Times New Roman"/>
          <w:sz w:val="24"/>
          <w:szCs w:val="24"/>
        </w:rPr>
        <w:t>The commenter asked how they are to treat costs when staff provide multiple services simultaneously.</w:t>
      </w:r>
    </w:p>
    <w:p w:rsidRPr="008544CA" w:rsidR="00273675" w:rsidP="00FA28E6" w:rsidRDefault="00273675" w14:paraId="0F5F8315" w14:textId="77777777">
      <w:pPr>
        <w:pStyle w:val="HTMLPreformatted"/>
        <w:ind w:left="720"/>
        <w:rPr>
          <w:rFonts w:ascii="Times New Roman" w:hAnsi="Times New Roman" w:cs="Times New Roman"/>
          <w:sz w:val="24"/>
          <w:szCs w:val="24"/>
        </w:rPr>
      </w:pPr>
    </w:p>
    <w:p w:rsidRPr="008544CA" w:rsidR="00273675" w:rsidP="00FA28E6" w:rsidRDefault="00553A26" w14:paraId="5E347559" w14:textId="031AF2C1">
      <w:pPr>
        <w:pStyle w:val="HTMLPreformatted"/>
        <w:ind w:left="720"/>
        <w:rPr>
          <w:rFonts w:ascii="Times New Roman" w:hAnsi="Times New Roman" w:cs="Times New Roman"/>
          <w:sz w:val="24"/>
          <w:szCs w:val="24"/>
        </w:rPr>
      </w:pPr>
      <w:r w:rsidRPr="008544CA">
        <w:rPr>
          <w:rFonts w:ascii="Times New Roman" w:hAnsi="Times New Roman" w:cs="Times New Roman"/>
          <w:sz w:val="24"/>
          <w:szCs w:val="24"/>
        </w:rPr>
        <w:t xml:space="preserve">The commenter also asked whether the purpose of line </w:t>
      </w:r>
      <w:r w:rsidR="000061A0">
        <w:rPr>
          <w:rFonts w:ascii="Times New Roman" w:hAnsi="Times New Roman" w:cs="Times New Roman"/>
          <w:sz w:val="24"/>
          <w:szCs w:val="24"/>
        </w:rPr>
        <w:t>40</w:t>
      </w:r>
      <w:r w:rsidRPr="008544CA">
        <w:rPr>
          <w:rFonts w:ascii="Times New Roman" w:hAnsi="Times New Roman" w:cs="Times New Roman"/>
          <w:sz w:val="24"/>
          <w:szCs w:val="24"/>
        </w:rPr>
        <w:t xml:space="preserve"> is to capture all infrastructure costs at American Jobs Centers (AJCs), or if costs reported here should be limited to additional costs incurred from co-locating within AJCs, such as costs for resource rooms. The commenter noted that if the VR grantee's proportionate share is considered administrative, then the instructions should clearly state this at lines 3</w:t>
      </w:r>
      <w:r w:rsidR="00BF3F6C">
        <w:rPr>
          <w:rFonts w:ascii="Times New Roman" w:hAnsi="Times New Roman" w:cs="Times New Roman"/>
          <w:sz w:val="24"/>
          <w:szCs w:val="24"/>
        </w:rPr>
        <w:t>7</w:t>
      </w:r>
      <w:r w:rsidRPr="008544CA">
        <w:rPr>
          <w:rFonts w:ascii="Times New Roman" w:hAnsi="Times New Roman" w:cs="Times New Roman"/>
          <w:sz w:val="24"/>
          <w:szCs w:val="24"/>
        </w:rPr>
        <w:t xml:space="preserve"> and 3</w:t>
      </w:r>
      <w:r w:rsidR="00BF3F6C">
        <w:rPr>
          <w:rFonts w:ascii="Times New Roman" w:hAnsi="Times New Roman" w:cs="Times New Roman"/>
          <w:sz w:val="24"/>
          <w:szCs w:val="24"/>
        </w:rPr>
        <w:t>8</w:t>
      </w:r>
      <w:r w:rsidRPr="008544CA">
        <w:rPr>
          <w:rFonts w:ascii="Times New Roman" w:hAnsi="Times New Roman" w:cs="Times New Roman"/>
          <w:sz w:val="24"/>
          <w:szCs w:val="24"/>
        </w:rPr>
        <w:t>.</w:t>
      </w:r>
    </w:p>
    <w:p w:rsidRPr="008544CA" w:rsidR="00273675" w:rsidP="00FA28E6" w:rsidRDefault="00273675" w14:paraId="1D86C46E" w14:textId="77777777">
      <w:pPr>
        <w:pStyle w:val="HTMLPreformatted"/>
        <w:ind w:left="720"/>
        <w:rPr>
          <w:rFonts w:ascii="Times New Roman" w:hAnsi="Times New Roman" w:cs="Times New Roman"/>
          <w:sz w:val="24"/>
          <w:szCs w:val="24"/>
        </w:rPr>
      </w:pPr>
    </w:p>
    <w:p w:rsidRPr="008544CA" w:rsidR="001945BA" w:rsidP="005F077D" w:rsidRDefault="00F174F1" w14:paraId="5D183079" w14:textId="4009C2B7">
      <w:pPr>
        <w:pStyle w:val="HTMLPreformatted"/>
        <w:ind w:left="720"/>
        <w:rPr>
          <w:rFonts w:ascii="Times New Roman" w:hAnsi="Times New Roman" w:cs="Times New Roman"/>
          <w:sz w:val="24"/>
          <w:szCs w:val="24"/>
        </w:rPr>
      </w:pPr>
      <w:r w:rsidRPr="008544CA">
        <w:rPr>
          <w:rFonts w:ascii="Times New Roman" w:hAnsi="Times New Roman" w:cs="Times New Roman"/>
          <w:sz w:val="24"/>
          <w:szCs w:val="24"/>
          <w:u w:val="single"/>
        </w:rPr>
        <w:t>Department Response</w:t>
      </w:r>
      <w:r w:rsidRPr="008544CA">
        <w:rPr>
          <w:rFonts w:ascii="Times New Roman" w:hAnsi="Times New Roman" w:cs="Times New Roman"/>
          <w:sz w:val="24"/>
          <w:szCs w:val="24"/>
        </w:rPr>
        <w:t xml:space="preserve">: </w:t>
      </w:r>
      <w:r w:rsidRPr="008544CA" w:rsidR="00D02157">
        <w:rPr>
          <w:rFonts w:ascii="Times New Roman" w:hAnsi="Times New Roman" w:cs="Times New Roman"/>
          <w:sz w:val="24"/>
          <w:szCs w:val="24"/>
        </w:rPr>
        <w:t>Line 3</w:t>
      </w:r>
      <w:r w:rsidRPr="008544CA" w:rsidR="005745E2">
        <w:rPr>
          <w:rFonts w:ascii="Times New Roman" w:hAnsi="Times New Roman" w:cs="Times New Roman"/>
          <w:sz w:val="24"/>
          <w:szCs w:val="24"/>
        </w:rPr>
        <w:t>7</w:t>
      </w:r>
      <w:r w:rsidRPr="008544CA" w:rsidR="00D02157">
        <w:rPr>
          <w:rFonts w:ascii="Times New Roman" w:hAnsi="Times New Roman" w:cs="Times New Roman"/>
          <w:sz w:val="24"/>
          <w:szCs w:val="24"/>
        </w:rPr>
        <w:t xml:space="preserve"> of the RSA-17 </w:t>
      </w:r>
      <w:r w:rsidRPr="008544CA" w:rsidR="00A971E3">
        <w:rPr>
          <w:rFonts w:ascii="Times New Roman" w:hAnsi="Times New Roman" w:cs="Times New Roman"/>
          <w:sz w:val="24"/>
          <w:szCs w:val="24"/>
        </w:rPr>
        <w:t xml:space="preserve">is </w:t>
      </w:r>
      <w:r w:rsidRPr="008544CA" w:rsidR="00B2394D">
        <w:rPr>
          <w:rFonts w:ascii="Times New Roman" w:hAnsi="Times New Roman" w:cs="Times New Roman"/>
          <w:sz w:val="24"/>
          <w:szCs w:val="24"/>
        </w:rPr>
        <w:t xml:space="preserve">comparable to </w:t>
      </w:r>
      <w:r w:rsidRPr="008544CA" w:rsidR="00D02157">
        <w:rPr>
          <w:rFonts w:ascii="Times New Roman" w:hAnsi="Times New Roman" w:cs="Times New Roman"/>
          <w:sz w:val="24"/>
          <w:szCs w:val="24"/>
        </w:rPr>
        <w:t>Schedule I-1</w:t>
      </w:r>
      <w:r w:rsidRPr="008544CA" w:rsidR="00B2394D">
        <w:rPr>
          <w:rFonts w:ascii="Times New Roman" w:hAnsi="Times New Roman" w:cs="Times New Roman"/>
          <w:sz w:val="24"/>
          <w:szCs w:val="24"/>
        </w:rPr>
        <w:t xml:space="preserve"> on the RSA-2</w:t>
      </w:r>
      <w:r w:rsidRPr="008544CA" w:rsidR="00A971E3">
        <w:rPr>
          <w:rFonts w:ascii="Times New Roman" w:hAnsi="Times New Roman" w:cs="Times New Roman"/>
          <w:sz w:val="24"/>
          <w:szCs w:val="24"/>
        </w:rPr>
        <w:t xml:space="preserve">. </w:t>
      </w:r>
      <w:r w:rsidRPr="008544CA" w:rsidR="001945BA">
        <w:rPr>
          <w:rFonts w:ascii="Times New Roman" w:hAnsi="Times New Roman" w:cs="Times New Roman"/>
          <w:sz w:val="24"/>
          <w:szCs w:val="24"/>
        </w:rPr>
        <w:t>In accordance with 34 C.F. R. § 361.3</w:t>
      </w:r>
      <w:r w:rsidRPr="008544CA" w:rsidR="00F45A40">
        <w:rPr>
          <w:rFonts w:ascii="Times New Roman" w:hAnsi="Times New Roman" w:cs="Times New Roman"/>
          <w:sz w:val="24"/>
          <w:szCs w:val="24"/>
        </w:rPr>
        <w:t>, “t</w:t>
      </w:r>
      <w:r w:rsidRPr="008544CA" w:rsidR="001945BA">
        <w:rPr>
          <w:rFonts w:ascii="Times New Roman" w:hAnsi="Times New Roman" w:cs="Times New Roman"/>
          <w:sz w:val="24"/>
          <w:szCs w:val="24"/>
        </w:rPr>
        <w:t>he Secretary makes payments to a </w:t>
      </w:r>
      <w:hyperlink w:history="1" r:id="rId11">
        <w:r w:rsidRPr="008544CA" w:rsidR="001945BA">
          <w:rPr>
            <w:rFonts w:ascii="Times New Roman" w:hAnsi="Times New Roman" w:cs="Times New Roman"/>
            <w:sz w:val="24"/>
            <w:szCs w:val="24"/>
          </w:rPr>
          <w:t>State</w:t>
        </w:r>
      </w:hyperlink>
      <w:r w:rsidRPr="008544CA" w:rsidR="001945BA">
        <w:rPr>
          <w:rFonts w:ascii="Times New Roman" w:hAnsi="Times New Roman" w:cs="Times New Roman"/>
          <w:sz w:val="24"/>
          <w:szCs w:val="24"/>
        </w:rPr>
        <w:t> to assist in -</w:t>
      </w:r>
    </w:p>
    <w:p w:rsidRPr="008544CA" w:rsidR="001945BA" w:rsidP="005F077D" w:rsidRDefault="001945BA" w14:paraId="040875D7" w14:textId="6CDF2388">
      <w:pPr>
        <w:shd w:val="clear" w:color="auto" w:fill="FFFFFF"/>
        <w:spacing w:before="150" w:after="150"/>
        <w:ind w:left="1440"/>
        <w:rPr>
          <w:rFonts w:ascii="Times New Roman" w:hAnsi="Times New Roman" w:eastAsia="Times New Roman" w:cs="Times New Roman"/>
          <w:sz w:val="24"/>
          <w:szCs w:val="24"/>
        </w:rPr>
      </w:pPr>
      <w:r w:rsidRPr="008544CA">
        <w:rPr>
          <w:rFonts w:ascii="Times New Roman" w:hAnsi="Times New Roman" w:eastAsia="Times New Roman" w:cs="Times New Roman"/>
          <w:sz w:val="24"/>
          <w:szCs w:val="24"/>
        </w:rPr>
        <w:t>(a) The costs of providing vocational rehabilitation services under the </w:t>
      </w:r>
      <w:hyperlink w:history="1" r:id="rId12">
        <w:r w:rsidRPr="008544CA">
          <w:rPr>
            <w:rFonts w:ascii="Times New Roman" w:hAnsi="Times New Roman" w:eastAsia="Times New Roman" w:cs="Times New Roman"/>
            <w:sz w:val="24"/>
            <w:szCs w:val="24"/>
          </w:rPr>
          <w:t>vocational rehabilitation services</w:t>
        </w:r>
      </w:hyperlink>
      <w:r w:rsidRPr="008544CA">
        <w:rPr>
          <w:rFonts w:ascii="Times New Roman" w:hAnsi="Times New Roman" w:eastAsia="Times New Roman" w:cs="Times New Roman"/>
          <w:sz w:val="24"/>
          <w:szCs w:val="24"/>
        </w:rPr>
        <w:t> portion of the Unified or Combined </w:t>
      </w:r>
      <w:hyperlink w:history="1" r:id="rId13">
        <w:r w:rsidRPr="008544CA">
          <w:rPr>
            <w:rFonts w:ascii="Times New Roman" w:hAnsi="Times New Roman" w:eastAsia="Times New Roman" w:cs="Times New Roman"/>
            <w:sz w:val="24"/>
            <w:szCs w:val="24"/>
          </w:rPr>
          <w:t>State</w:t>
        </w:r>
      </w:hyperlink>
      <w:r w:rsidRPr="008544CA">
        <w:rPr>
          <w:rFonts w:ascii="Times New Roman" w:hAnsi="Times New Roman" w:eastAsia="Times New Roman" w:cs="Times New Roman"/>
          <w:sz w:val="24"/>
          <w:szCs w:val="24"/>
        </w:rPr>
        <w:t> Plan; and</w:t>
      </w:r>
    </w:p>
    <w:p w:rsidRPr="008544CA" w:rsidR="001945BA" w:rsidP="005F077D" w:rsidRDefault="001945BA" w14:paraId="539D7173" w14:textId="621F81A1">
      <w:pPr>
        <w:shd w:val="clear" w:color="auto" w:fill="FFFFFF"/>
        <w:spacing w:before="150" w:after="150"/>
        <w:ind w:left="1440"/>
        <w:rPr>
          <w:rFonts w:ascii="Times New Roman" w:hAnsi="Times New Roman" w:eastAsia="Times New Roman" w:cs="Times New Roman"/>
          <w:sz w:val="24"/>
          <w:szCs w:val="24"/>
        </w:rPr>
      </w:pPr>
      <w:r w:rsidRPr="008544CA">
        <w:rPr>
          <w:rFonts w:ascii="Times New Roman" w:hAnsi="Times New Roman" w:eastAsia="Times New Roman" w:cs="Times New Roman"/>
          <w:sz w:val="24"/>
          <w:szCs w:val="24"/>
        </w:rPr>
        <w:t>(b) Administrative costs under the vocational rehabilitation services portion of the Unified or Combined State Plan, including one-stop infrastructure costs.</w:t>
      </w:r>
      <w:r w:rsidRPr="008544CA" w:rsidR="007F6BCF">
        <w:rPr>
          <w:rFonts w:ascii="Times New Roman" w:hAnsi="Times New Roman" w:eastAsia="Times New Roman" w:cs="Times New Roman"/>
          <w:sz w:val="24"/>
          <w:szCs w:val="24"/>
        </w:rPr>
        <w:t>”</w:t>
      </w:r>
    </w:p>
    <w:p w:rsidRPr="008544CA" w:rsidR="005F077D" w:rsidP="00FA28E6" w:rsidRDefault="00E82317" w14:paraId="2D717931" w14:textId="6FC26B69">
      <w:pPr>
        <w:pStyle w:val="HTMLPreformatted"/>
        <w:ind w:left="720"/>
        <w:rPr>
          <w:rFonts w:ascii="Times New Roman" w:hAnsi="Times New Roman" w:cs="Times New Roman"/>
          <w:sz w:val="24"/>
          <w:szCs w:val="24"/>
        </w:rPr>
      </w:pPr>
      <w:r w:rsidRPr="008544CA">
        <w:rPr>
          <w:rFonts w:ascii="Times New Roman" w:hAnsi="Times New Roman" w:cs="Times New Roman"/>
          <w:sz w:val="24"/>
          <w:szCs w:val="24"/>
        </w:rPr>
        <w:t>The adm</w:t>
      </w:r>
      <w:r w:rsidRPr="008544CA" w:rsidR="00722DCE">
        <w:rPr>
          <w:rFonts w:ascii="Times New Roman" w:hAnsi="Times New Roman" w:cs="Times New Roman"/>
          <w:sz w:val="24"/>
          <w:szCs w:val="24"/>
        </w:rPr>
        <w:t>inistrative costs</w:t>
      </w:r>
      <w:r w:rsidRPr="008544CA" w:rsidR="00F45A40">
        <w:rPr>
          <w:rFonts w:ascii="Times New Roman" w:hAnsi="Times New Roman" w:cs="Times New Roman"/>
          <w:sz w:val="24"/>
          <w:szCs w:val="24"/>
        </w:rPr>
        <w:t xml:space="preserve"> </w:t>
      </w:r>
      <w:r w:rsidRPr="008544CA" w:rsidR="009F2E40">
        <w:rPr>
          <w:rFonts w:ascii="Times New Roman" w:hAnsi="Times New Roman" w:cs="Times New Roman"/>
          <w:sz w:val="24"/>
          <w:szCs w:val="24"/>
        </w:rPr>
        <w:t>in (b) are</w:t>
      </w:r>
      <w:r w:rsidRPr="008544CA" w:rsidR="00763638">
        <w:rPr>
          <w:rFonts w:ascii="Times New Roman" w:hAnsi="Times New Roman" w:cs="Times New Roman"/>
          <w:sz w:val="24"/>
          <w:szCs w:val="24"/>
        </w:rPr>
        <w:t xml:space="preserve"> defined</w:t>
      </w:r>
      <w:r w:rsidRPr="008544CA" w:rsidR="009F2E40">
        <w:rPr>
          <w:rFonts w:ascii="Times New Roman" w:hAnsi="Times New Roman" w:cs="Times New Roman"/>
          <w:sz w:val="24"/>
          <w:szCs w:val="24"/>
        </w:rPr>
        <w:t xml:space="preserve"> in t</w:t>
      </w:r>
      <w:r w:rsidRPr="008544CA" w:rsidR="00722DCE">
        <w:rPr>
          <w:rFonts w:ascii="Times New Roman" w:hAnsi="Times New Roman" w:cs="Times New Roman"/>
          <w:sz w:val="24"/>
          <w:szCs w:val="24"/>
        </w:rPr>
        <w:t xml:space="preserve">he regulations at </w:t>
      </w:r>
      <w:r w:rsidRPr="008544CA" w:rsidR="009C0A7F">
        <w:rPr>
          <w:rFonts w:ascii="Times New Roman" w:hAnsi="Times New Roman" w:cs="Times New Roman"/>
          <w:sz w:val="24"/>
          <w:szCs w:val="24"/>
        </w:rPr>
        <w:t>34 C.F.R. § 361.5(c)(2).</w:t>
      </w:r>
      <w:r w:rsidRPr="008544CA" w:rsidR="00086F22">
        <w:rPr>
          <w:rFonts w:ascii="Times New Roman" w:hAnsi="Times New Roman" w:cs="Times New Roman"/>
          <w:sz w:val="24"/>
          <w:szCs w:val="24"/>
        </w:rPr>
        <w:t xml:space="preserve"> These are the costs VR agencies are to report on line 3</w:t>
      </w:r>
      <w:r w:rsidRPr="008544CA" w:rsidR="004F1CD8">
        <w:rPr>
          <w:rFonts w:ascii="Times New Roman" w:hAnsi="Times New Roman" w:cs="Times New Roman"/>
          <w:sz w:val="24"/>
          <w:szCs w:val="24"/>
        </w:rPr>
        <w:t>7</w:t>
      </w:r>
      <w:r w:rsidRPr="008544CA" w:rsidR="00086F22">
        <w:rPr>
          <w:rFonts w:ascii="Times New Roman" w:hAnsi="Times New Roman" w:cs="Times New Roman"/>
          <w:sz w:val="24"/>
          <w:szCs w:val="24"/>
        </w:rPr>
        <w:t xml:space="preserve">. </w:t>
      </w:r>
      <w:r w:rsidRPr="008544CA" w:rsidR="00296222">
        <w:rPr>
          <w:rFonts w:ascii="Times New Roman" w:hAnsi="Times New Roman" w:cs="Times New Roman"/>
          <w:sz w:val="24"/>
          <w:szCs w:val="24"/>
        </w:rPr>
        <w:t>These costs would not include the salaries or fringe benefits of staff providing VR services</w:t>
      </w:r>
      <w:r w:rsidRPr="008544CA" w:rsidR="00A55EC8">
        <w:rPr>
          <w:rFonts w:ascii="Times New Roman" w:hAnsi="Times New Roman" w:cs="Times New Roman"/>
          <w:sz w:val="24"/>
          <w:szCs w:val="24"/>
        </w:rPr>
        <w:t>, the cost of purchased VR services, et</w:t>
      </w:r>
      <w:r w:rsidRPr="008544CA" w:rsidR="00C43867">
        <w:rPr>
          <w:rFonts w:ascii="Times New Roman" w:hAnsi="Times New Roman" w:cs="Times New Roman"/>
          <w:sz w:val="24"/>
          <w:szCs w:val="24"/>
        </w:rPr>
        <w:t>c., or other costs under 34 C.F.R. § 361.3(a).</w:t>
      </w:r>
      <w:r w:rsidRPr="008544CA" w:rsidR="005F077D">
        <w:rPr>
          <w:rFonts w:ascii="Times New Roman" w:hAnsi="Times New Roman" w:cs="Times New Roman"/>
          <w:sz w:val="24"/>
          <w:szCs w:val="24"/>
        </w:rPr>
        <w:t xml:space="preserve"> </w:t>
      </w:r>
    </w:p>
    <w:p w:rsidRPr="008544CA" w:rsidR="005F077D" w:rsidP="00FA28E6" w:rsidRDefault="005F077D" w14:paraId="273D6C28" w14:textId="77777777">
      <w:pPr>
        <w:pStyle w:val="HTMLPreformatted"/>
        <w:ind w:left="720"/>
        <w:rPr>
          <w:rFonts w:ascii="Times New Roman" w:hAnsi="Times New Roman" w:cs="Times New Roman"/>
          <w:sz w:val="24"/>
          <w:szCs w:val="24"/>
        </w:rPr>
      </w:pPr>
    </w:p>
    <w:p w:rsidRPr="008544CA" w:rsidR="00E82317" w:rsidP="00FA28E6" w:rsidRDefault="005F077D" w14:paraId="7624CD77" w14:textId="754305AB">
      <w:pPr>
        <w:pStyle w:val="HTMLPreformatted"/>
        <w:ind w:left="720"/>
        <w:rPr>
          <w:rFonts w:ascii="Times New Roman" w:hAnsi="Times New Roman" w:cs="Times New Roman"/>
          <w:sz w:val="24"/>
          <w:szCs w:val="24"/>
        </w:rPr>
      </w:pPr>
      <w:r w:rsidRPr="008544CA">
        <w:rPr>
          <w:rFonts w:ascii="Times New Roman" w:hAnsi="Times New Roman" w:cs="Times New Roman"/>
          <w:sz w:val="24"/>
          <w:szCs w:val="24"/>
        </w:rPr>
        <w:t>RSA will be issuing a crosswalk document to assist VR agencies in the transition from the SF-425 and RSA-2 forms to the RSA-17.</w:t>
      </w:r>
    </w:p>
    <w:p w:rsidRPr="008544CA" w:rsidR="00F174F1" w:rsidP="00FA28E6" w:rsidRDefault="00F174F1" w14:paraId="63BB75B1" w14:textId="77777777">
      <w:pPr>
        <w:pStyle w:val="HTMLPreformatted"/>
        <w:ind w:left="720"/>
        <w:rPr>
          <w:rFonts w:ascii="Times New Roman" w:hAnsi="Times New Roman" w:cs="Times New Roman"/>
          <w:sz w:val="24"/>
          <w:szCs w:val="24"/>
        </w:rPr>
      </w:pPr>
    </w:p>
    <w:p w:rsidR="00FC1CC0" w:rsidP="00FA28E6" w:rsidRDefault="009F6118" w14:paraId="38C25484" w14:textId="77777777">
      <w:pPr>
        <w:pStyle w:val="HTMLPreformatted"/>
        <w:ind w:left="720"/>
        <w:rPr>
          <w:rFonts w:ascii="Times New Roman" w:hAnsi="Times New Roman" w:cs="Times New Roman"/>
          <w:sz w:val="24"/>
          <w:szCs w:val="24"/>
        </w:rPr>
      </w:pPr>
      <w:r w:rsidRPr="008544CA">
        <w:rPr>
          <w:rFonts w:ascii="Times New Roman" w:hAnsi="Times New Roman" w:cs="Times New Roman"/>
          <w:sz w:val="24"/>
          <w:szCs w:val="24"/>
        </w:rPr>
        <w:t>Line 3</w:t>
      </w:r>
      <w:r w:rsidRPr="008544CA" w:rsidR="00A265FE">
        <w:rPr>
          <w:rFonts w:ascii="Times New Roman" w:hAnsi="Times New Roman" w:cs="Times New Roman"/>
          <w:sz w:val="24"/>
          <w:szCs w:val="24"/>
        </w:rPr>
        <w:t>8</w:t>
      </w:r>
      <w:r w:rsidRPr="008544CA">
        <w:rPr>
          <w:rFonts w:ascii="Times New Roman" w:hAnsi="Times New Roman" w:cs="Times New Roman"/>
          <w:sz w:val="24"/>
          <w:szCs w:val="24"/>
        </w:rPr>
        <w:t>, Pre-employment Transition Services Provided by Agency Staff Only</w:t>
      </w:r>
      <w:r w:rsidRPr="008544CA" w:rsidR="00C605F9">
        <w:rPr>
          <w:rFonts w:ascii="Times New Roman" w:hAnsi="Times New Roman" w:cs="Times New Roman"/>
          <w:sz w:val="24"/>
          <w:szCs w:val="24"/>
        </w:rPr>
        <w:t>, is not a subset of line 3</w:t>
      </w:r>
      <w:r w:rsidRPr="008544CA" w:rsidR="00A265FE">
        <w:rPr>
          <w:rFonts w:ascii="Times New Roman" w:hAnsi="Times New Roman" w:cs="Times New Roman"/>
          <w:sz w:val="24"/>
          <w:szCs w:val="24"/>
        </w:rPr>
        <w:t>7</w:t>
      </w:r>
      <w:r w:rsidRPr="008544CA" w:rsidR="00C605F9">
        <w:rPr>
          <w:rFonts w:ascii="Times New Roman" w:hAnsi="Times New Roman" w:cs="Times New Roman"/>
          <w:sz w:val="24"/>
          <w:szCs w:val="24"/>
        </w:rPr>
        <w:t xml:space="preserve"> because the direct provision of pre-employment transition services by agency staff is a direct service expenditure, not an administrative cost under 34 C.F.R. </w:t>
      </w:r>
    </w:p>
    <w:p w:rsidRPr="008544CA" w:rsidR="00F174F1" w:rsidP="00FA28E6" w:rsidRDefault="00C605F9" w14:paraId="299EFD51" w14:textId="666E83C7">
      <w:pPr>
        <w:pStyle w:val="HTMLPreformatted"/>
        <w:ind w:left="720"/>
        <w:rPr>
          <w:rFonts w:ascii="Times New Roman" w:hAnsi="Times New Roman" w:cs="Times New Roman"/>
          <w:sz w:val="24"/>
          <w:szCs w:val="24"/>
        </w:rPr>
      </w:pPr>
      <w:r w:rsidRPr="008544CA">
        <w:rPr>
          <w:rFonts w:ascii="Times New Roman" w:hAnsi="Times New Roman" w:cs="Times New Roman"/>
          <w:sz w:val="24"/>
          <w:szCs w:val="24"/>
        </w:rPr>
        <w:t>§ 361.3(b).</w:t>
      </w:r>
      <w:r w:rsidRPr="008544CA" w:rsidR="003D6FE1">
        <w:rPr>
          <w:rFonts w:ascii="Times New Roman" w:hAnsi="Times New Roman" w:cs="Times New Roman"/>
          <w:sz w:val="24"/>
          <w:szCs w:val="24"/>
        </w:rPr>
        <w:t xml:space="preserve"> </w:t>
      </w:r>
    </w:p>
    <w:p w:rsidRPr="008544CA" w:rsidR="00C47A8B" w:rsidP="00FA28E6" w:rsidRDefault="00C47A8B" w14:paraId="673B8C93" w14:textId="728CC57B">
      <w:pPr>
        <w:pStyle w:val="HTMLPreformatted"/>
        <w:ind w:left="720"/>
        <w:rPr>
          <w:rFonts w:ascii="Times New Roman" w:hAnsi="Times New Roman" w:cs="Times New Roman"/>
          <w:sz w:val="24"/>
          <w:szCs w:val="24"/>
        </w:rPr>
      </w:pPr>
    </w:p>
    <w:p w:rsidR="00C47A8B" w:rsidP="00FA28E6" w:rsidRDefault="00C47A8B" w14:paraId="1D80F6F9" w14:textId="38BCAB23">
      <w:pPr>
        <w:pStyle w:val="HTMLPreformatted"/>
        <w:ind w:left="720"/>
        <w:rPr>
          <w:rFonts w:ascii="Times New Roman" w:hAnsi="Times New Roman" w:cs="Times New Roman"/>
          <w:sz w:val="24"/>
          <w:szCs w:val="24"/>
        </w:rPr>
      </w:pPr>
      <w:r w:rsidRPr="008544CA">
        <w:rPr>
          <w:rFonts w:ascii="Times New Roman" w:hAnsi="Times New Roman" w:cs="Times New Roman"/>
          <w:sz w:val="24"/>
          <w:szCs w:val="24"/>
        </w:rPr>
        <w:t xml:space="preserve">VR agencies are responsible for ensuring the agency’s tracking of time and attendance includes the ability to track staff time spent providing the “required,” “authorized,” and coordination pre-employment transition service activities, respectively. Only in this manner, can a VR agency ensure that it can provide all “required” pre-employment transition services needed by students with disabilities in the State and coordination activities, as described in section 113(b) and (d), respectively, of the Rehabilitation Act, before providing other “authorized” pre-employment transition services permitted under section 113(c) of the Rehabilitation Act. </w:t>
      </w:r>
    </w:p>
    <w:p w:rsidR="009A089A" w:rsidP="00FA28E6" w:rsidRDefault="009A089A" w14:paraId="38FE3CA6" w14:textId="0C698B78">
      <w:pPr>
        <w:pStyle w:val="HTMLPreformatted"/>
        <w:ind w:left="720"/>
        <w:rPr>
          <w:rFonts w:ascii="Times New Roman" w:hAnsi="Times New Roman" w:cs="Times New Roman"/>
          <w:sz w:val="24"/>
          <w:szCs w:val="24"/>
        </w:rPr>
      </w:pPr>
    </w:p>
    <w:p w:rsidRPr="008544CA" w:rsidR="009A089A" w:rsidP="00FA28E6" w:rsidRDefault="009A089A" w14:paraId="481821EE" w14:textId="3374449C">
      <w:pPr>
        <w:pStyle w:val="HTMLPreformatted"/>
        <w:ind w:left="720"/>
        <w:rPr>
          <w:rFonts w:ascii="Times New Roman" w:hAnsi="Times New Roman" w:cs="Times New Roman"/>
          <w:sz w:val="24"/>
          <w:szCs w:val="24"/>
        </w:rPr>
      </w:pPr>
      <w:r w:rsidRPr="00CC7F7B">
        <w:rPr>
          <w:rFonts w:ascii="Times New Roman" w:hAnsi="Times New Roman" w:cs="Times New Roman"/>
          <w:sz w:val="24"/>
          <w:szCs w:val="24"/>
          <w:u w:val="single"/>
        </w:rPr>
        <w:t>Change</w:t>
      </w:r>
      <w:r>
        <w:rPr>
          <w:rFonts w:ascii="Times New Roman" w:hAnsi="Times New Roman" w:cs="Times New Roman"/>
          <w:sz w:val="24"/>
          <w:szCs w:val="24"/>
        </w:rPr>
        <w:t xml:space="preserve">: </w:t>
      </w:r>
      <w:r w:rsidR="00266B73">
        <w:rPr>
          <w:rFonts w:ascii="Times New Roman" w:hAnsi="Times New Roman" w:cs="Times New Roman"/>
          <w:sz w:val="24"/>
          <w:szCs w:val="24"/>
        </w:rPr>
        <w:t>Regarding</w:t>
      </w:r>
      <w:r w:rsidR="00CC7F7B">
        <w:rPr>
          <w:rFonts w:ascii="Times New Roman" w:hAnsi="Times New Roman" w:cs="Times New Roman"/>
          <w:sz w:val="24"/>
          <w:szCs w:val="24"/>
        </w:rPr>
        <w:t xml:space="preserve"> the comment related to line 40, </w:t>
      </w:r>
      <w:r w:rsidR="006C3A63">
        <w:rPr>
          <w:rFonts w:ascii="Times New Roman" w:hAnsi="Times New Roman" w:cs="Times New Roman"/>
          <w:sz w:val="24"/>
          <w:szCs w:val="24"/>
        </w:rPr>
        <w:t>American Job Center Infrastructure Expenditures, the confusion appears to be related to incorrect line numbers that were reference</w:t>
      </w:r>
      <w:r w:rsidR="001D69CC">
        <w:rPr>
          <w:rFonts w:ascii="Times New Roman" w:hAnsi="Times New Roman" w:cs="Times New Roman"/>
          <w:sz w:val="24"/>
          <w:szCs w:val="24"/>
        </w:rPr>
        <w:t>d in the instructions. RSA has corrected the line numbers in the instruction</w:t>
      </w:r>
      <w:r w:rsidR="00EB520B">
        <w:rPr>
          <w:rFonts w:ascii="Times New Roman" w:hAnsi="Times New Roman" w:cs="Times New Roman"/>
          <w:sz w:val="24"/>
          <w:szCs w:val="24"/>
        </w:rPr>
        <w:t>s</w:t>
      </w:r>
      <w:r w:rsidR="001D69CC">
        <w:rPr>
          <w:rFonts w:ascii="Times New Roman" w:hAnsi="Times New Roman" w:cs="Times New Roman"/>
          <w:sz w:val="24"/>
          <w:szCs w:val="24"/>
        </w:rPr>
        <w:t xml:space="preserve"> to line 40 </w:t>
      </w:r>
      <w:r w:rsidR="00150BB7">
        <w:rPr>
          <w:rFonts w:ascii="Times New Roman" w:hAnsi="Times New Roman" w:cs="Times New Roman"/>
          <w:sz w:val="24"/>
          <w:szCs w:val="24"/>
        </w:rPr>
        <w:t>to resolve any confusion.</w:t>
      </w:r>
    </w:p>
    <w:p w:rsidRPr="008544CA" w:rsidR="00F174F1" w:rsidP="00FA28E6" w:rsidRDefault="00F174F1" w14:paraId="5368C31F" w14:textId="5CC75642">
      <w:pPr>
        <w:pStyle w:val="HTMLPreformatted"/>
        <w:ind w:left="720"/>
        <w:rPr>
          <w:rFonts w:ascii="Times New Roman" w:hAnsi="Times New Roman" w:cs="Times New Roman"/>
          <w:sz w:val="24"/>
          <w:szCs w:val="24"/>
        </w:rPr>
      </w:pPr>
    </w:p>
    <w:p w:rsidRPr="008544CA" w:rsidR="00B86E04" w:rsidP="006D57F6" w:rsidRDefault="008C1945" w14:paraId="69C40C9A" w14:textId="685F97E0">
      <w:pPr>
        <w:pStyle w:val="Heading2"/>
        <w:rPr>
          <w:rFonts w:cs="Times New Roman"/>
        </w:rPr>
      </w:pPr>
      <w:r>
        <w:rPr>
          <w:rFonts w:cs="Times New Roman"/>
        </w:rPr>
        <w:lastRenderedPageBreak/>
        <w:t xml:space="preserve">Reporting </w:t>
      </w:r>
      <w:r w:rsidRPr="008544CA" w:rsidR="00B86E04">
        <w:rPr>
          <w:rFonts w:cs="Times New Roman"/>
        </w:rPr>
        <w:t>Expenditures</w:t>
      </w:r>
      <w:r>
        <w:rPr>
          <w:rFonts w:cs="Times New Roman"/>
        </w:rPr>
        <w:t xml:space="preserve"> and Non-Federal Share</w:t>
      </w:r>
    </w:p>
    <w:p w:rsidRPr="008544CA" w:rsidR="00B86E04" w:rsidP="006D57F6" w:rsidRDefault="00B86E04" w14:paraId="212451BB" w14:textId="77777777">
      <w:pPr>
        <w:keepNext/>
        <w:rPr>
          <w:rFonts w:ascii="Times New Roman" w:hAnsi="Times New Roman" w:cs="Times New Roman"/>
          <w:sz w:val="24"/>
          <w:szCs w:val="24"/>
        </w:rPr>
      </w:pPr>
    </w:p>
    <w:p w:rsidRPr="008544CA" w:rsidR="00B86E04" w:rsidP="006D57F6" w:rsidRDefault="00B86E04" w14:paraId="096027FD" w14:textId="77777777">
      <w:pPr>
        <w:pStyle w:val="HTMLPreformatted"/>
        <w:keepNext/>
        <w:ind w:left="720"/>
        <w:rPr>
          <w:rFonts w:ascii="Times New Roman" w:hAnsi="Times New Roman" w:cs="Times New Roman"/>
          <w:sz w:val="24"/>
          <w:szCs w:val="24"/>
        </w:rPr>
      </w:pPr>
      <w:r w:rsidRPr="008544CA">
        <w:rPr>
          <w:rFonts w:ascii="Times New Roman" w:hAnsi="Times New Roman" w:cs="Times New Roman"/>
          <w:sz w:val="24"/>
          <w:szCs w:val="24"/>
          <w:u w:val="single"/>
        </w:rPr>
        <w:t>Comment</w:t>
      </w:r>
      <w:r w:rsidRPr="008544CA">
        <w:rPr>
          <w:rFonts w:ascii="Times New Roman" w:hAnsi="Times New Roman" w:cs="Times New Roman"/>
          <w:sz w:val="24"/>
          <w:szCs w:val="24"/>
        </w:rPr>
        <w:t>: One commenter noted it would be helpful for the instructions to the RSA-2 form to include more information about when VR agencies can journal expenditures in order to meet the non-Federal share requirement.</w:t>
      </w:r>
    </w:p>
    <w:p w:rsidRPr="008544CA" w:rsidR="00B86E04" w:rsidP="00B86E04" w:rsidRDefault="00B86E04" w14:paraId="48EAB91A" w14:textId="77777777">
      <w:pPr>
        <w:ind w:left="720"/>
        <w:rPr>
          <w:rFonts w:ascii="Times New Roman" w:hAnsi="Times New Roman" w:cs="Times New Roman"/>
          <w:sz w:val="24"/>
          <w:szCs w:val="24"/>
        </w:rPr>
      </w:pPr>
    </w:p>
    <w:p w:rsidRPr="008544CA" w:rsidR="00B86E04" w:rsidP="007F7088" w:rsidRDefault="00B86E04" w14:paraId="5C19943E" w14:textId="7EF393C0">
      <w:pPr>
        <w:keepNext/>
        <w:ind w:left="720"/>
        <w:rPr>
          <w:rFonts w:ascii="Times New Roman" w:hAnsi="Times New Roman" w:eastAsia="Times New Roman" w:cs="Times New Roman"/>
          <w:sz w:val="24"/>
          <w:szCs w:val="24"/>
        </w:rPr>
      </w:pPr>
      <w:r w:rsidRPr="008544CA">
        <w:rPr>
          <w:rFonts w:ascii="Times New Roman" w:hAnsi="Times New Roman" w:cs="Times New Roman"/>
          <w:sz w:val="24"/>
          <w:szCs w:val="24"/>
          <w:u w:val="single"/>
        </w:rPr>
        <w:t>Department Response</w:t>
      </w:r>
      <w:r w:rsidRPr="008544CA">
        <w:rPr>
          <w:rFonts w:ascii="Times New Roman" w:hAnsi="Times New Roman" w:cs="Times New Roman"/>
          <w:sz w:val="24"/>
          <w:szCs w:val="24"/>
        </w:rPr>
        <w:t xml:space="preserve">: </w:t>
      </w:r>
      <w:r w:rsidRPr="008544CA">
        <w:rPr>
          <w:rFonts w:ascii="Times New Roman" w:hAnsi="Times New Roman" w:eastAsia="Times New Roman" w:cs="Times New Roman"/>
          <w:sz w:val="24"/>
          <w:szCs w:val="24"/>
        </w:rPr>
        <w:t>While journaling of expenditures, when completed in accordance with the State’s accounting procedures and G</w:t>
      </w:r>
      <w:r w:rsidRPr="008544CA" w:rsidR="00993F42">
        <w:rPr>
          <w:rFonts w:ascii="Times New Roman" w:hAnsi="Times New Roman" w:eastAsia="Times New Roman" w:cs="Times New Roman"/>
          <w:sz w:val="24"/>
          <w:szCs w:val="24"/>
        </w:rPr>
        <w:t xml:space="preserve">enerally </w:t>
      </w:r>
      <w:r w:rsidRPr="008544CA">
        <w:rPr>
          <w:rFonts w:ascii="Times New Roman" w:hAnsi="Times New Roman" w:eastAsia="Times New Roman" w:cs="Times New Roman"/>
          <w:sz w:val="24"/>
          <w:szCs w:val="24"/>
        </w:rPr>
        <w:t>A</w:t>
      </w:r>
      <w:r w:rsidRPr="008544CA" w:rsidR="00993F42">
        <w:rPr>
          <w:rFonts w:ascii="Times New Roman" w:hAnsi="Times New Roman" w:eastAsia="Times New Roman" w:cs="Times New Roman"/>
          <w:sz w:val="24"/>
          <w:szCs w:val="24"/>
        </w:rPr>
        <w:t>ccepted Accounting Principles (GA</w:t>
      </w:r>
      <w:r w:rsidRPr="008544CA">
        <w:rPr>
          <w:rFonts w:ascii="Times New Roman" w:hAnsi="Times New Roman" w:eastAsia="Times New Roman" w:cs="Times New Roman"/>
          <w:sz w:val="24"/>
          <w:szCs w:val="24"/>
        </w:rPr>
        <w:t>AP</w:t>
      </w:r>
      <w:r w:rsidRPr="008544CA" w:rsidR="00993F42">
        <w:rPr>
          <w:rFonts w:ascii="Times New Roman" w:hAnsi="Times New Roman" w:eastAsia="Times New Roman" w:cs="Times New Roman"/>
          <w:sz w:val="24"/>
          <w:szCs w:val="24"/>
        </w:rPr>
        <w:t>)</w:t>
      </w:r>
      <w:r w:rsidRPr="008544CA">
        <w:rPr>
          <w:rFonts w:ascii="Times New Roman" w:hAnsi="Times New Roman" w:eastAsia="Times New Roman" w:cs="Times New Roman"/>
          <w:sz w:val="24"/>
          <w:szCs w:val="24"/>
        </w:rPr>
        <w:t>, is an acceptable accounting process for making corrections or adjustments when errors are discovered or when necessary to ensure match and maintenance and effort requirements remain satisfied in the year of appropriation in the event unliquidated obligations incurred that year are deobligated in the carryover year for some reason, we want to make clear from the outset the match requirement for a Federal award must be satisfied by September 30 of the year of appropriation. To the extent a VR program grantee wants to carry over Federal funds into the subsequent year for obligation and use, it must have incurred sufficient non-Federal obligations and expenditures prior to September 30 of the year of appropriation sufficient to match the amount of Federal funds it wants to carry over. This means that all allowable non-Federal expenditures (including unliquidated obligations) used for match purposes must satisfy these three criteria:  (1) they must be for allowable program expenditures; (2) the expenditures must have been incurred during the year of appropriation (on or before September 30 of that year); and (3) the non-Federal funds used to liquidate the expenditures for match purposes must be available at the time the expenditures are incurred.</w:t>
      </w:r>
    </w:p>
    <w:p w:rsidRPr="008544CA" w:rsidR="00B86E04" w:rsidP="00B86E04" w:rsidRDefault="00B86E04" w14:paraId="5C58FD31" w14:textId="77777777">
      <w:pPr>
        <w:ind w:left="720"/>
        <w:rPr>
          <w:rFonts w:ascii="Times New Roman" w:hAnsi="Times New Roman" w:eastAsia="Times New Roman" w:cs="Times New Roman"/>
          <w:sz w:val="24"/>
          <w:szCs w:val="24"/>
        </w:rPr>
      </w:pPr>
    </w:p>
    <w:p w:rsidRPr="008544CA" w:rsidR="00B86E04" w:rsidP="00B86E04" w:rsidRDefault="00B86E04" w14:paraId="5CF62581" w14:textId="77777777">
      <w:pPr>
        <w:ind w:left="720"/>
        <w:rPr>
          <w:rFonts w:ascii="Times New Roman" w:hAnsi="Times New Roman" w:eastAsia="Times New Roman" w:cs="Times New Roman"/>
          <w:sz w:val="24"/>
          <w:szCs w:val="24"/>
        </w:rPr>
      </w:pPr>
      <w:r w:rsidRPr="008544CA">
        <w:rPr>
          <w:rFonts w:ascii="Times New Roman" w:hAnsi="Times New Roman" w:eastAsia="Times New Roman" w:cs="Times New Roman"/>
          <w:sz w:val="24"/>
          <w:szCs w:val="24"/>
        </w:rPr>
        <w:t>Having explained these ground rules, we recognize there are times when non-Federal unliquidated obligations, reported by a VR agency on line 29 as having been incurred during the year of appropriation but not yet liquidated by that time, may be cancelled or deobligated during the carry over period. To the extent the VR agency incurred excess non-Federal expenditures during the year of appropriation or had excess non-Federal funds available at that time that were not used to cover Federal costs but could have done so with State funds prior to the end of the year of appropriation, the State agency has the flexibility to make accounting adjustments to journal expenditures paid initially with Federal funds during the year of appropriation to State funds in order to cover the loss of the unliquidated obligations that are deobligated. However, it is important to note, any accounting adjustments done through this journaling process is only to adjust for those allowable expenditures that were incurred during the year of appropriation. A State agency may not use new obligations or expenditures incurred during the carryover year for this purpose.</w:t>
      </w:r>
    </w:p>
    <w:p w:rsidRPr="008544CA" w:rsidR="00B86E04" w:rsidP="00B86E04" w:rsidRDefault="00B86E04" w14:paraId="6A09A47F" w14:textId="77777777">
      <w:pPr>
        <w:ind w:left="720"/>
        <w:rPr>
          <w:rFonts w:ascii="Times New Roman" w:hAnsi="Times New Roman" w:eastAsia="Times New Roman" w:cs="Times New Roman"/>
          <w:sz w:val="24"/>
          <w:szCs w:val="24"/>
        </w:rPr>
      </w:pPr>
    </w:p>
    <w:p w:rsidRPr="008544CA" w:rsidR="00B86E04" w:rsidP="00B86E04" w:rsidRDefault="00B86E04" w14:paraId="0EF885CA" w14:textId="77777777">
      <w:pPr>
        <w:ind w:left="720"/>
        <w:rPr>
          <w:rFonts w:ascii="Times New Roman" w:hAnsi="Times New Roman" w:eastAsia="Times New Roman" w:cs="Times New Roman"/>
          <w:sz w:val="24"/>
          <w:szCs w:val="24"/>
        </w:rPr>
      </w:pPr>
      <w:r w:rsidRPr="008544CA">
        <w:rPr>
          <w:rFonts w:ascii="Times New Roman" w:hAnsi="Times New Roman" w:eastAsia="Times New Roman" w:cs="Times New Roman"/>
          <w:sz w:val="24"/>
          <w:szCs w:val="24"/>
        </w:rPr>
        <w:t xml:space="preserve">Following are some examples to provide technical assistance about when journaling might be appropriate: </w:t>
      </w:r>
    </w:p>
    <w:p w:rsidRPr="008544CA" w:rsidR="00B86E04" w:rsidP="00B86E04" w:rsidRDefault="00B86E04" w14:paraId="6F314E34" w14:textId="77777777">
      <w:pPr>
        <w:ind w:left="720"/>
        <w:rPr>
          <w:rFonts w:ascii="Times New Roman" w:hAnsi="Times New Roman" w:eastAsia="Times New Roman" w:cs="Times New Roman"/>
          <w:sz w:val="24"/>
          <w:szCs w:val="24"/>
        </w:rPr>
      </w:pPr>
    </w:p>
    <w:p w:rsidRPr="008544CA" w:rsidR="00B86E04" w:rsidP="00B86E04" w:rsidRDefault="00B86E04" w14:paraId="51920718" w14:textId="77777777">
      <w:pPr>
        <w:pStyle w:val="ListParagraph"/>
        <w:ind w:left="1080"/>
        <w:rPr>
          <w:rFonts w:cs="Times New Roman"/>
        </w:rPr>
      </w:pPr>
      <w:r w:rsidRPr="008544CA">
        <w:rPr>
          <w:rFonts w:cs="Times New Roman"/>
          <w:b/>
          <w:bCs/>
        </w:rPr>
        <w:t>Example 1:</w:t>
      </w:r>
      <w:r w:rsidRPr="008544CA">
        <w:rPr>
          <w:rFonts w:cs="Times New Roman"/>
        </w:rPr>
        <w:t xml:space="preserve"> A VR agency uses its State appropriations, which it receives in July, to pay some of the expenditures/obligations by splitting every obligation 50 percent Federal and 50 percent State (50/50) for the entire last quarter of the year of </w:t>
      </w:r>
      <w:r w:rsidRPr="008544CA">
        <w:rPr>
          <w:rFonts w:cs="Times New Roman"/>
        </w:rPr>
        <w:lastRenderedPageBreak/>
        <w:t>appropriation. For purposes of this example, let us assume this results in excess match of $100,000. This means that same amount of non-Federal expenditures, obligated before the end of the year of appropriation, could be deobligated without there being any concern to the VR agency about not meeting its match obligation in the year of appropriation. In this example, no accounting adjustments would be needed because the VR agency would still be fully matched even with the loss of these $100,000 in expenditures.</w:t>
      </w:r>
    </w:p>
    <w:p w:rsidRPr="008544CA" w:rsidR="00B86E04" w:rsidP="00B86E04" w:rsidRDefault="00B86E04" w14:paraId="6A26F444" w14:textId="77777777">
      <w:pPr>
        <w:pStyle w:val="ListParagraph"/>
        <w:ind w:left="1080"/>
        <w:rPr>
          <w:rFonts w:cs="Times New Roman"/>
        </w:rPr>
      </w:pPr>
    </w:p>
    <w:p w:rsidRPr="008544CA" w:rsidR="00B86E04" w:rsidP="00B86E04" w:rsidRDefault="00B86E04" w14:paraId="7375B8A8" w14:textId="0E76939F">
      <w:pPr>
        <w:pStyle w:val="ListParagraph"/>
        <w:ind w:left="1080"/>
        <w:rPr>
          <w:rFonts w:cs="Times New Roman"/>
        </w:rPr>
      </w:pPr>
      <w:r w:rsidRPr="008544CA">
        <w:rPr>
          <w:rFonts w:cs="Times New Roman"/>
          <w:b/>
          <w:bCs/>
        </w:rPr>
        <w:t>Example 2:</w:t>
      </w:r>
      <w:r w:rsidRPr="008544CA">
        <w:rPr>
          <w:rFonts w:cs="Times New Roman"/>
        </w:rPr>
        <w:t xml:space="preserve"> In the event the above VR agency deobligated $105,000 in non-Federal obligations during the carryover year, that VR agency would be $5,000 short of meeting its match for the year of appropriation. However, because it had paid expenditures in a 50/50 split during the last quarter of the year of appropriation, it could have paid them 100 percent with State funds at the time since the State funds were available at that time. So, in this example, the State would have the flexibility to make accounting adjustments in the carryover year to journal Federal obligations made in the year of appropriation to non-Federal obligations made in the year of appropriation to ensure the VR agency satisfies its match requirement in the year of appropriation, if State accounting policies allow for adjustments after obligations occurred.</w:t>
      </w:r>
    </w:p>
    <w:p w:rsidRPr="008544CA" w:rsidR="00B86E04" w:rsidP="00B86E04" w:rsidRDefault="00B86E04" w14:paraId="0639EAB6" w14:textId="77777777">
      <w:pPr>
        <w:pStyle w:val="ListParagraph"/>
        <w:ind w:left="1080"/>
        <w:rPr>
          <w:rFonts w:cs="Times New Roman"/>
        </w:rPr>
      </w:pPr>
    </w:p>
    <w:p w:rsidRPr="008544CA" w:rsidR="00B86E04" w:rsidP="00B86E04" w:rsidRDefault="00B86E04" w14:paraId="76EE0E52" w14:textId="06687985">
      <w:pPr>
        <w:pStyle w:val="ListParagraph"/>
        <w:ind w:left="1080"/>
        <w:rPr>
          <w:rFonts w:cs="Times New Roman"/>
        </w:rPr>
      </w:pPr>
      <w:r w:rsidRPr="008544CA">
        <w:rPr>
          <w:rFonts w:cs="Times New Roman"/>
          <w:b/>
          <w:bCs/>
        </w:rPr>
        <w:t>Example</w:t>
      </w:r>
      <w:r w:rsidR="00325DA5">
        <w:rPr>
          <w:rFonts w:cs="Times New Roman"/>
          <w:b/>
          <w:bCs/>
        </w:rPr>
        <w:t xml:space="preserve"> </w:t>
      </w:r>
      <w:r w:rsidRPr="008544CA">
        <w:rPr>
          <w:rFonts w:cs="Times New Roman"/>
          <w:b/>
          <w:bCs/>
        </w:rPr>
        <w:t>3:</w:t>
      </w:r>
      <w:r w:rsidRPr="008544CA">
        <w:rPr>
          <w:rFonts w:cs="Times New Roman"/>
        </w:rPr>
        <w:t xml:space="preserve"> If the above VR agency has a small amount of excess non-Federal funds remaining after the end of the FFY of appropriation and continues to split all expenditures 50/50 at the start of the carryover year even though the Federal funds have been fully matched, the State cannot use these new expenditures incurred in the carryover year for journaling purposes in the event unliquidated obligations from the year of appropriation are deobligated for accounting adjustment purposes. The new obligations in the carryover year were not incurred during the year of appropriation when the match requirement needed to be satisfied.</w:t>
      </w:r>
    </w:p>
    <w:p w:rsidRPr="008544CA" w:rsidR="00B86E04" w:rsidP="00B86E04" w:rsidRDefault="00B86E04" w14:paraId="25A86790" w14:textId="77777777">
      <w:pPr>
        <w:ind w:left="720"/>
        <w:rPr>
          <w:rFonts w:ascii="Times New Roman" w:hAnsi="Times New Roman" w:eastAsia="Times New Roman" w:cs="Times New Roman"/>
          <w:sz w:val="24"/>
          <w:szCs w:val="24"/>
        </w:rPr>
      </w:pPr>
    </w:p>
    <w:p w:rsidRPr="008544CA" w:rsidR="003F4343" w:rsidP="00FE527D" w:rsidRDefault="00B86E04" w14:paraId="66450062" w14:textId="31A25732">
      <w:pPr>
        <w:ind w:left="720"/>
        <w:rPr>
          <w:rFonts w:ascii="Times New Roman" w:hAnsi="Times New Roman" w:eastAsia="Times New Roman" w:cs="Times New Roman"/>
          <w:sz w:val="24"/>
          <w:szCs w:val="24"/>
        </w:rPr>
      </w:pPr>
      <w:r w:rsidRPr="008544CA">
        <w:rPr>
          <w:rFonts w:ascii="Times New Roman" w:hAnsi="Times New Roman" w:eastAsia="Times New Roman" w:cs="Times New Roman"/>
          <w:sz w:val="24"/>
          <w:szCs w:val="24"/>
          <w:u w:val="single"/>
        </w:rPr>
        <w:t>C</w:t>
      </w:r>
      <w:r w:rsidRPr="008544CA" w:rsidR="00FA0A27">
        <w:rPr>
          <w:rFonts w:ascii="Times New Roman" w:hAnsi="Times New Roman" w:eastAsia="Times New Roman" w:cs="Times New Roman"/>
          <w:sz w:val="24"/>
          <w:szCs w:val="24"/>
          <w:u w:val="single"/>
        </w:rPr>
        <w:t>hange</w:t>
      </w:r>
      <w:r w:rsidRPr="008544CA">
        <w:rPr>
          <w:rFonts w:ascii="Times New Roman" w:hAnsi="Times New Roman" w:eastAsia="Times New Roman" w:cs="Times New Roman"/>
          <w:sz w:val="24"/>
          <w:szCs w:val="24"/>
        </w:rPr>
        <w:t xml:space="preserve">: We have </w:t>
      </w:r>
      <w:r w:rsidRPr="008544CA" w:rsidR="00FA0A27">
        <w:rPr>
          <w:rFonts w:ascii="Times New Roman" w:hAnsi="Times New Roman" w:eastAsia="Times New Roman" w:cs="Times New Roman"/>
          <w:sz w:val="24"/>
          <w:szCs w:val="24"/>
        </w:rPr>
        <w:t>revised</w:t>
      </w:r>
      <w:r w:rsidRPr="008544CA">
        <w:rPr>
          <w:rFonts w:ascii="Times New Roman" w:hAnsi="Times New Roman" w:eastAsia="Times New Roman" w:cs="Times New Roman"/>
          <w:sz w:val="24"/>
          <w:szCs w:val="24"/>
        </w:rPr>
        <w:t xml:space="preserve"> the </w:t>
      </w:r>
      <w:r w:rsidRPr="008544CA" w:rsidR="00FA3A0D">
        <w:rPr>
          <w:rFonts w:ascii="Times New Roman" w:hAnsi="Times New Roman" w:eastAsia="Times New Roman" w:cs="Times New Roman"/>
          <w:sz w:val="24"/>
          <w:szCs w:val="24"/>
        </w:rPr>
        <w:t xml:space="preserve">reporting of non-Federal share by </w:t>
      </w:r>
      <w:r w:rsidRPr="008544CA" w:rsidR="00F1602B">
        <w:rPr>
          <w:rFonts w:ascii="Times New Roman" w:hAnsi="Times New Roman" w:eastAsia="Times New Roman" w:cs="Times New Roman"/>
          <w:sz w:val="24"/>
          <w:szCs w:val="24"/>
        </w:rPr>
        <w:t>splitting the data elements into two categories:</w:t>
      </w:r>
    </w:p>
    <w:p w:rsidRPr="008544CA" w:rsidR="000776BC" w:rsidP="000776BC" w:rsidRDefault="00861E43" w14:paraId="59D14B8D" w14:textId="68D3B57A">
      <w:pPr>
        <w:pStyle w:val="ListParagraph"/>
        <w:numPr>
          <w:ilvl w:val="0"/>
          <w:numId w:val="3"/>
        </w:numPr>
        <w:rPr>
          <w:rFonts w:eastAsia="Times New Roman" w:cs="Times New Roman"/>
          <w:szCs w:val="24"/>
        </w:rPr>
      </w:pPr>
      <w:r w:rsidRPr="008544CA">
        <w:rPr>
          <w:rFonts w:eastAsia="Times New Roman" w:cs="Times New Roman"/>
          <w:szCs w:val="24"/>
        </w:rPr>
        <w:t>Reporting Non-Federal Share in the Year of Appropriation (1</w:t>
      </w:r>
      <w:r w:rsidRPr="008544CA">
        <w:rPr>
          <w:rFonts w:eastAsia="Times New Roman" w:cs="Times New Roman"/>
          <w:szCs w:val="24"/>
          <w:vertAlign w:val="superscript"/>
        </w:rPr>
        <w:t>st</w:t>
      </w:r>
      <w:r w:rsidRPr="008544CA">
        <w:rPr>
          <w:rFonts w:eastAsia="Times New Roman" w:cs="Times New Roman"/>
          <w:szCs w:val="24"/>
        </w:rPr>
        <w:t xml:space="preserve"> through 4</w:t>
      </w:r>
      <w:r w:rsidRPr="008544CA">
        <w:rPr>
          <w:rFonts w:eastAsia="Times New Roman" w:cs="Times New Roman"/>
          <w:szCs w:val="24"/>
          <w:vertAlign w:val="superscript"/>
        </w:rPr>
        <w:t>th</w:t>
      </w:r>
      <w:r w:rsidRPr="008544CA">
        <w:rPr>
          <w:rFonts w:eastAsia="Times New Roman" w:cs="Times New Roman"/>
          <w:szCs w:val="24"/>
        </w:rPr>
        <w:t xml:space="preserve"> Quarter)</w:t>
      </w:r>
      <w:r w:rsidRPr="008544CA" w:rsidR="000776BC">
        <w:rPr>
          <w:rFonts w:eastAsia="Times New Roman" w:cs="Times New Roman"/>
          <w:szCs w:val="24"/>
        </w:rPr>
        <w:t>; and</w:t>
      </w:r>
    </w:p>
    <w:p w:rsidRPr="007C3E76" w:rsidR="000776BC" w:rsidP="000776BC" w:rsidRDefault="000776BC" w14:paraId="1CE5ED48" w14:textId="3AE430C4">
      <w:pPr>
        <w:pStyle w:val="ListParagraph"/>
        <w:numPr>
          <w:ilvl w:val="0"/>
          <w:numId w:val="3"/>
        </w:numPr>
        <w:rPr>
          <w:rFonts w:eastAsia="Times New Roman" w:cs="Times New Roman"/>
          <w:szCs w:val="24"/>
        </w:rPr>
      </w:pPr>
      <w:r w:rsidRPr="007C3E76">
        <w:rPr>
          <w:rFonts w:eastAsia="Times New Roman" w:cs="Times New Roman"/>
          <w:szCs w:val="24"/>
        </w:rPr>
        <w:t>Reporting Non-Federal Share in the Carryover Year</w:t>
      </w:r>
      <w:r w:rsidRPr="007C3E76" w:rsidR="00AF3DE2">
        <w:rPr>
          <w:rFonts w:eastAsia="Times New Roman" w:cs="Times New Roman"/>
          <w:szCs w:val="24"/>
        </w:rPr>
        <w:t xml:space="preserve"> (5</w:t>
      </w:r>
      <w:r w:rsidRPr="007C3E76" w:rsidR="00AF3DE2">
        <w:rPr>
          <w:rFonts w:eastAsia="Times New Roman" w:cs="Times New Roman"/>
          <w:szCs w:val="24"/>
          <w:vertAlign w:val="superscript"/>
        </w:rPr>
        <w:t>th</w:t>
      </w:r>
      <w:r w:rsidRPr="007C3E76" w:rsidR="00AF3DE2">
        <w:rPr>
          <w:rFonts w:eastAsia="Times New Roman" w:cs="Times New Roman"/>
          <w:szCs w:val="24"/>
        </w:rPr>
        <w:t xml:space="preserve"> through 8</w:t>
      </w:r>
      <w:r w:rsidRPr="007C3E76" w:rsidR="00AF3DE2">
        <w:rPr>
          <w:rFonts w:eastAsia="Times New Roman" w:cs="Times New Roman"/>
          <w:szCs w:val="24"/>
          <w:vertAlign w:val="superscript"/>
        </w:rPr>
        <w:t>th</w:t>
      </w:r>
      <w:r w:rsidRPr="007C3E76" w:rsidR="00AF3DE2">
        <w:rPr>
          <w:rFonts w:eastAsia="Times New Roman" w:cs="Times New Roman"/>
          <w:szCs w:val="24"/>
        </w:rPr>
        <w:t xml:space="preserve"> Quarter).</w:t>
      </w:r>
    </w:p>
    <w:p w:rsidRPr="007C3E76" w:rsidR="00AF3DE2" w:rsidP="008544CA" w:rsidRDefault="00AF3DE2" w14:paraId="5F2FB04F" w14:textId="4C2717A1">
      <w:pPr>
        <w:ind w:left="720"/>
        <w:rPr>
          <w:rFonts w:ascii="Times New Roman" w:hAnsi="Times New Roman" w:eastAsia="Times New Roman" w:cs="Times New Roman"/>
          <w:sz w:val="24"/>
          <w:szCs w:val="24"/>
        </w:rPr>
      </w:pPr>
    </w:p>
    <w:p w:rsidRPr="007C3E76" w:rsidR="008544CA" w:rsidP="008544CA" w:rsidRDefault="004322D2" w14:paraId="12C25B40" w14:textId="270AFEE2">
      <w:pPr>
        <w:ind w:left="720"/>
        <w:rPr>
          <w:rFonts w:ascii="Times New Roman" w:hAnsi="Times New Roman" w:eastAsia="Times New Roman" w:cs="Times New Roman"/>
          <w:sz w:val="24"/>
          <w:szCs w:val="24"/>
        </w:rPr>
      </w:pPr>
      <w:r w:rsidRPr="007C3E76">
        <w:rPr>
          <w:rFonts w:ascii="Times New Roman" w:hAnsi="Times New Roman" w:eastAsia="Times New Roman" w:cs="Times New Roman"/>
          <w:sz w:val="24"/>
          <w:szCs w:val="24"/>
        </w:rPr>
        <w:t xml:space="preserve">RSA placed line 32 under the </w:t>
      </w:r>
      <w:r w:rsidRPr="007C3E76" w:rsidR="00F25D91">
        <w:rPr>
          <w:rFonts w:ascii="Times New Roman" w:hAnsi="Times New Roman" w:eastAsia="Times New Roman" w:cs="Times New Roman"/>
          <w:sz w:val="24"/>
          <w:szCs w:val="24"/>
        </w:rPr>
        <w:t>category</w:t>
      </w:r>
      <w:r w:rsidRPr="007C3E76">
        <w:rPr>
          <w:rFonts w:ascii="Times New Roman" w:hAnsi="Times New Roman" w:eastAsia="Times New Roman" w:cs="Times New Roman"/>
          <w:sz w:val="24"/>
          <w:szCs w:val="24"/>
        </w:rPr>
        <w:t xml:space="preserve"> titled “Reporting Non-Federal Share in the Carryover Year (5</w:t>
      </w:r>
      <w:r w:rsidRPr="007C3E76">
        <w:rPr>
          <w:rFonts w:ascii="Times New Roman" w:hAnsi="Times New Roman" w:eastAsia="Times New Roman" w:cs="Times New Roman"/>
          <w:sz w:val="24"/>
          <w:szCs w:val="24"/>
          <w:vertAlign w:val="superscript"/>
        </w:rPr>
        <w:t>th</w:t>
      </w:r>
      <w:r w:rsidRPr="007C3E76">
        <w:rPr>
          <w:rFonts w:ascii="Times New Roman" w:hAnsi="Times New Roman" w:eastAsia="Times New Roman" w:cs="Times New Roman"/>
          <w:sz w:val="24"/>
          <w:szCs w:val="24"/>
        </w:rPr>
        <w:t xml:space="preserve"> through 8</w:t>
      </w:r>
      <w:r w:rsidRPr="007C3E76">
        <w:rPr>
          <w:rFonts w:ascii="Times New Roman" w:hAnsi="Times New Roman" w:eastAsia="Times New Roman" w:cs="Times New Roman"/>
          <w:sz w:val="24"/>
          <w:szCs w:val="24"/>
          <w:vertAlign w:val="superscript"/>
        </w:rPr>
        <w:t>th</w:t>
      </w:r>
      <w:r w:rsidRPr="007C3E76">
        <w:rPr>
          <w:rFonts w:ascii="Times New Roman" w:hAnsi="Times New Roman" w:eastAsia="Times New Roman" w:cs="Times New Roman"/>
          <w:sz w:val="24"/>
          <w:szCs w:val="24"/>
        </w:rPr>
        <w:t xml:space="preserve"> Quarter)</w:t>
      </w:r>
      <w:r w:rsidRPr="007C3E76" w:rsidR="00F25D91">
        <w:rPr>
          <w:rFonts w:ascii="Times New Roman" w:hAnsi="Times New Roman" w:eastAsia="Times New Roman" w:cs="Times New Roman"/>
          <w:sz w:val="24"/>
          <w:szCs w:val="24"/>
        </w:rPr>
        <w:t>”</w:t>
      </w:r>
      <w:r w:rsidRPr="007C3E76">
        <w:rPr>
          <w:rFonts w:ascii="Times New Roman" w:hAnsi="Times New Roman" w:eastAsia="Times New Roman" w:cs="Times New Roman"/>
          <w:sz w:val="24"/>
          <w:szCs w:val="24"/>
        </w:rPr>
        <w:t xml:space="preserve"> and revised the </w:t>
      </w:r>
      <w:r w:rsidRPr="007C3E76" w:rsidR="009C4890">
        <w:rPr>
          <w:rFonts w:ascii="Times New Roman" w:hAnsi="Times New Roman" w:eastAsia="Times New Roman" w:cs="Times New Roman"/>
          <w:sz w:val="24"/>
          <w:szCs w:val="24"/>
        </w:rPr>
        <w:t xml:space="preserve">line item instructions to clarify the journaling of expenditures </w:t>
      </w:r>
      <w:r w:rsidRPr="007C3E76" w:rsidR="006D0557">
        <w:rPr>
          <w:rFonts w:ascii="Times New Roman" w:hAnsi="Times New Roman" w:eastAsia="Times New Roman" w:cs="Times New Roman"/>
          <w:sz w:val="24"/>
          <w:szCs w:val="24"/>
        </w:rPr>
        <w:t xml:space="preserve">permitted </w:t>
      </w:r>
      <w:r w:rsidRPr="007C3E76" w:rsidR="009C4890">
        <w:rPr>
          <w:rFonts w:ascii="Times New Roman" w:hAnsi="Times New Roman" w:eastAsia="Times New Roman" w:cs="Times New Roman"/>
          <w:sz w:val="24"/>
          <w:szCs w:val="24"/>
        </w:rPr>
        <w:t xml:space="preserve">in relation to the non-Federal share requirement. </w:t>
      </w:r>
      <w:r w:rsidR="004D640B">
        <w:rPr>
          <w:rFonts w:ascii="Times New Roman" w:hAnsi="Times New Roman" w:eastAsia="Times New Roman" w:cs="Times New Roman"/>
          <w:sz w:val="24"/>
          <w:szCs w:val="24"/>
        </w:rPr>
        <w:t>Additionally, RSA clarified instruction</w:t>
      </w:r>
      <w:r w:rsidR="006C0412">
        <w:rPr>
          <w:rFonts w:ascii="Times New Roman" w:hAnsi="Times New Roman" w:eastAsia="Times New Roman" w:cs="Times New Roman"/>
          <w:sz w:val="24"/>
          <w:szCs w:val="24"/>
        </w:rPr>
        <w:t>s</w:t>
      </w:r>
      <w:r w:rsidR="004D640B">
        <w:rPr>
          <w:rFonts w:ascii="Times New Roman" w:hAnsi="Times New Roman" w:eastAsia="Times New Roman" w:cs="Times New Roman"/>
          <w:sz w:val="24"/>
          <w:szCs w:val="24"/>
        </w:rPr>
        <w:t xml:space="preserve"> for the reporting of non-Federal </w:t>
      </w:r>
      <w:r w:rsidR="006D57F6">
        <w:rPr>
          <w:rFonts w:ascii="Times New Roman" w:hAnsi="Times New Roman" w:eastAsia="Times New Roman" w:cs="Times New Roman"/>
          <w:sz w:val="24"/>
          <w:szCs w:val="24"/>
        </w:rPr>
        <w:t>share throughout</w:t>
      </w:r>
      <w:r w:rsidR="006C0412">
        <w:rPr>
          <w:rFonts w:ascii="Times New Roman" w:hAnsi="Times New Roman" w:eastAsia="Times New Roman" w:cs="Times New Roman"/>
          <w:sz w:val="24"/>
          <w:szCs w:val="24"/>
        </w:rPr>
        <w:t xml:space="preserve"> </w:t>
      </w:r>
      <w:r w:rsidR="00325DA5">
        <w:rPr>
          <w:rFonts w:ascii="Times New Roman" w:hAnsi="Times New Roman" w:eastAsia="Times New Roman" w:cs="Times New Roman"/>
          <w:sz w:val="24"/>
          <w:szCs w:val="24"/>
        </w:rPr>
        <w:t xml:space="preserve">the data elements included in </w:t>
      </w:r>
      <w:r w:rsidR="006C0412">
        <w:rPr>
          <w:rFonts w:ascii="Times New Roman" w:hAnsi="Times New Roman" w:eastAsia="Times New Roman" w:cs="Times New Roman"/>
          <w:sz w:val="24"/>
          <w:szCs w:val="24"/>
        </w:rPr>
        <w:t>both categories.</w:t>
      </w:r>
    </w:p>
    <w:p w:rsidRPr="008544CA" w:rsidR="00AF3DE2" w:rsidP="00AF3DE2" w:rsidRDefault="00AF3DE2" w14:paraId="1773F5DA" w14:textId="77777777">
      <w:pPr>
        <w:ind w:left="720"/>
        <w:rPr>
          <w:rFonts w:ascii="Times New Roman" w:hAnsi="Times New Roman" w:eastAsia="Times New Roman" w:cs="Times New Roman"/>
          <w:szCs w:val="24"/>
        </w:rPr>
      </w:pPr>
    </w:p>
    <w:p w:rsidRPr="008544CA" w:rsidR="00F1602B" w:rsidP="00FE527D" w:rsidRDefault="00F1602B" w14:paraId="23B2B504" w14:textId="6EC780E2">
      <w:pPr>
        <w:ind w:left="720"/>
        <w:rPr>
          <w:rFonts w:ascii="Times New Roman" w:hAnsi="Times New Roman" w:eastAsia="Times New Roman" w:cs="Times New Roman"/>
          <w:sz w:val="24"/>
          <w:szCs w:val="24"/>
        </w:rPr>
      </w:pPr>
    </w:p>
    <w:sectPr w:rsidRPr="008544CA" w:rsidR="00F1602B" w:rsidSect="00E0508A">
      <w:headerReference w:type="default"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AB744" w14:textId="77777777" w:rsidR="00AD0DF7" w:rsidRDefault="00AD0DF7" w:rsidP="00FA28E6">
      <w:r>
        <w:separator/>
      </w:r>
    </w:p>
  </w:endnote>
  <w:endnote w:type="continuationSeparator" w:id="0">
    <w:p w14:paraId="3C0BB9F5" w14:textId="77777777" w:rsidR="00AD0DF7" w:rsidRDefault="00AD0DF7" w:rsidP="00FA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4446052"/>
      <w:docPartObj>
        <w:docPartGallery w:val="Page Numbers (Bottom of Page)"/>
        <w:docPartUnique/>
      </w:docPartObj>
    </w:sdtPr>
    <w:sdtEndPr>
      <w:rPr>
        <w:rFonts w:ascii="Times New Roman" w:hAnsi="Times New Roman" w:cs="Times New Roman"/>
        <w:noProof/>
      </w:rPr>
    </w:sdtEndPr>
    <w:sdtContent>
      <w:p w14:paraId="043353D2" w14:textId="77777777" w:rsidR="0006333C" w:rsidRDefault="00EC24DE" w:rsidP="00AC6558">
        <w:pPr>
          <w:pStyle w:val="Footer"/>
          <w:jc w:val="center"/>
        </w:pPr>
        <w:r w:rsidRPr="00475D60">
          <w:rPr>
            <w:rFonts w:ascii="Times New Roman" w:hAnsi="Times New Roman" w:cs="Times New Roman"/>
          </w:rPr>
          <w:fldChar w:fldCharType="begin"/>
        </w:r>
        <w:r w:rsidRPr="00475D60">
          <w:rPr>
            <w:rFonts w:ascii="Times New Roman" w:hAnsi="Times New Roman" w:cs="Times New Roman"/>
          </w:rPr>
          <w:instrText xml:space="preserve"> PAGE   \* MERGEFORMAT </w:instrText>
        </w:r>
        <w:r w:rsidRPr="00475D60">
          <w:rPr>
            <w:rFonts w:ascii="Times New Roman" w:hAnsi="Times New Roman" w:cs="Times New Roman"/>
          </w:rPr>
          <w:fldChar w:fldCharType="separate"/>
        </w:r>
        <w:r>
          <w:rPr>
            <w:rFonts w:ascii="Times New Roman" w:hAnsi="Times New Roman" w:cs="Times New Roman"/>
            <w:noProof/>
          </w:rPr>
          <w:t>3</w:t>
        </w:r>
        <w:r w:rsidRPr="00475D60">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C17A9" w14:textId="77777777" w:rsidR="00AD0DF7" w:rsidRDefault="00AD0DF7" w:rsidP="00FA28E6">
      <w:r>
        <w:separator/>
      </w:r>
    </w:p>
  </w:footnote>
  <w:footnote w:type="continuationSeparator" w:id="0">
    <w:p w14:paraId="7BBD58BE" w14:textId="77777777" w:rsidR="00AD0DF7" w:rsidRDefault="00AD0DF7" w:rsidP="00FA2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D88E9" w14:textId="77777777" w:rsidR="0006333C" w:rsidRDefault="00EC24DE" w:rsidP="00C244A8">
    <w:pPr>
      <w:tabs>
        <w:tab w:val="center" w:pos="4680"/>
        <w:tab w:val="right" w:pos="9360"/>
      </w:tabs>
      <w:rPr>
        <w:rFonts w:ascii="Times New Roman" w:hAnsi="Times New Roman" w:cs="Times New Roman"/>
        <w:sz w:val="20"/>
        <w:szCs w:val="20"/>
      </w:rPr>
    </w:pPr>
    <w:r>
      <w:rPr>
        <w:rFonts w:ascii="Times New Roman" w:hAnsi="Times New Roman" w:cs="Times New Roman"/>
        <w:sz w:val="20"/>
        <w:szCs w:val="20"/>
      </w:rPr>
      <w:t>Vocational Rehabilitation Financial Report</w:t>
    </w:r>
  </w:p>
  <w:p w14:paraId="288A38D9" w14:textId="77777777" w:rsidR="0006333C" w:rsidRPr="00C85E31" w:rsidRDefault="00EC24DE" w:rsidP="00C244A8">
    <w:pPr>
      <w:tabs>
        <w:tab w:val="center" w:pos="4680"/>
        <w:tab w:val="right" w:pos="9360"/>
      </w:tabs>
      <w:rPr>
        <w:rFonts w:ascii="Times New Roman" w:hAnsi="Times New Roman" w:cs="Times New Roman"/>
      </w:rPr>
    </w:pPr>
    <w:r>
      <w:rPr>
        <w:rFonts w:ascii="Times New Roman" w:hAnsi="Times New Roman" w:cs="Times New Roman"/>
        <w:sz w:val="20"/>
        <w:szCs w:val="20"/>
      </w:rPr>
      <w:t>OM</w:t>
    </w:r>
    <w:r w:rsidRPr="00C85E31">
      <w:rPr>
        <w:rFonts w:ascii="Times New Roman" w:hAnsi="Times New Roman" w:cs="Times New Roman"/>
      </w:rPr>
      <w:t xml:space="preserve">B Control Number: </w:t>
    </w:r>
    <w:r w:rsidR="00FA28E6" w:rsidRPr="00FA28E6">
      <w:rPr>
        <w:rFonts w:ascii="Times New Roman" w:hAnsi="Times New Roman" w:cs="Times New Roman"/>
      </w:rPr>
      <w:t>1820–0017</w:t>
    </w:r>
  </w:p>
  <w:p w14:paraId="59B3AD61" w14:textId="77777777" w:rsidR="0006333C" w:rsidRDefault="00FA28E6" w:rsidP="00FA292A">
    <w:pPr>
      <w:tabs>
        <w:tab w:val="center" w:pos="4680"/>
        <w:tab w:val="right" w:pos="9360"/>
      </w:tabs>
      <w:rPr>
        <w:rFonts w:ascii="Times New Roman" w:hAnsi="Times New Roman" w:cs="Times New Roman"/>
        <w:sz w:val="20"/>
        <w:szCs w:val="20"/>
      </w:rPr>
    </w:pPr>
    <w:r>
      <w:rPr>
        <w:rFonts w:ascii="Times New Roman" w:hAnsi="Times New Roman" w:cs="Times New Roman"/>
        <w:sz w:val="20"/>
        <w:szCs w:val="20"/>
      </w:rPr>
      <w:t>May 2020</w:t>
    </w:r>
  </w:p>
  <w:p w14:paraId="5D0F4631" w14:textId="77777777" w:rsidR="0006333C" w:rsidRDefault="008143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1F9D8" w14:textId="14BD131F" w:rsidR="0006333C" w:rsidRPr="007464EA" w:rsidRDefault="00EC24DE" w:rsidP="00FA292A">
    <w:pPr>
      <w:tabs>
        <w:tab w:val="center" w:pos="4680"/>
        <w:tab w:val="right" w:pos="9360"/>
      </w:tabs>
      <w:rPr>
        <w:rFonts w:ascii="Times New Roman" w:hAnsi="Times New Roman" w:cs="Times New Roman"/>
        <w:b/>
        <w:sz w:val="20"/>
        <w:szCs w:val="20"/>
      </w:rPr>
    </w:pPr>
    <w:r>
      <w:rPr>
        <w:rFonts w:ascii="Times New Roman" w:hAnsi="Times New Roman" w:cs="Times New Roman"/>
        <w:b/>
        <w:sz w:val="20"/>
        <w:szCs w:val="20"/>
      </w:rPr>
      <w:t xml:space="preserve">Vocational Rehabilitation Financial Report </w:t>
    </w:r>
    <w:r w:rsidRPr="007464EA">
      <w:rPr>
        <w:rFonts w:ascii="Times New Roman" w:hAnsi="Times New Roman" w:cs="Times New Roman"/>
        <w:b/>
        <w:sz w:val="20"/>
        <w:szCs w:val="20"/>
      </w:rPr>
      <w:t>(RSA-</w:t>
    </w:r>
    <w:r w:rsidR="004317DB">
      <w:rPr>
        <w:rFonts w:ascii="Times New Roman" w:hAnsi="Times New Roman" w:cs="Times New Roman"/>
        <w:b/>
        <w:sz w:val="20"/>
        <w:szCs w:val="20"/>
      </w:rPr>
      <w:t>17</w:t>
    </w:r>
    <w:r w:rsidRPr="007464EA">
      <w:rPr>
        <w:rFonts w:ascii="Times New Roman" w:hAnsi="Times New Roman" w:cs="Times New Roman"/>
        <w:b/>
        <w:sz w:val="20"/>
        <w:szCs w:val="20"/>
      </w:rPr>
      <w:t xml:space="preserve">) </w:t>
    </w:r>
  </w:p>
  <w:p w14:paraId="4C1A8BE4" w14:textId="5506AF4D" w:rsidR="00FA28E6" w:rsidRPr="007464EA" w:rsidRDefault="00EC24DE" w:rsidP="00FA292A">
    <w:pPr>
      <w:tabs>
        <w:tab w:val="center" w:pos="4680"/>
        <w:tab w:val="right" w:pos="9360"/>
      </w:tabs>
      <w:rPr>
        <w:rFonts w:ascii="Times New Roman" w:hAnsi="Times New Roman" w:cs="Times New Roman"/>
        <w:b/>
        <w:sz w:val="20"/>
        <w:szCs w:val="20"/>
      </w:rPr>
    </w:pPr>
    <w:r w:rsidRPr="007464EA">
      <w:rPr>
        <w:rFonts w:ascii="Times New Roman" w:hAnsi="Times New Roman" w:cs="Times New Roman"/>
        <w:b/>
        <w:sz w:val="20"/>
        <w:szCs w:val="20"/>
      </w:rPr>
      <w:t xml:space="preserve">OMB Control Number: </w:t>
    </w:r>
    <w:r w:rsidR="00A751E7">
      <w:rPr>
        <w:rFonts w:ascii="Times New Roman" w:hAnsi="Times New Roman" w:cs="Times New Roman"/>
        <w:b/>
        <w:sz w:val="20"/>
        <w:szCs w:val="20"/>
      </w:rPr>
      <w:t>1820-0017</w:t>
    </w:r>
  </w:p>
  <w:p w14:paraId="31757B0D" w14:textId="77777777" w:rsidR="0006333C" w:rsidRPr="007464EA" w:rsidRDefault="00FA28E6" w:rsidP="00FA292A">
    <w:pPr>
      <w:tabs>
        <w:tab w:val="center" w:pos="4680"/>
        <w:tab w:val="right" w:pos="9360"/>
      </w:tabs>
      <w:rPr>
        <w:rFonts w:ascii="Times New Roman" w:hAnsi="Times New Roman" w:cs="Times New Roman"/>
        <w:b/>
        <w:sz w:val="20"/>
        <w:szCs w:val="20"/>
      </w:rPr>
    </w:pPr>
    <w:r>
      <w:rPr>
        <w:rFonts w:ascii="Times New Roman" w:hAnsi="Times New Roman" w:cs="Times New Roman"/>
        <w:b/>
        <w:sz w:val="20"/>
        <w:szCs w:val="20"/>
      </w:rPr>
      <w:t>May 2020</w:t>
    </w:r>
  </w:p>
  <w:p w14:paraId="02FE77AB" w14:textId="77777777" w:rsidR="0006333C" w:rsidRPr="007464EA" w:rsidRDefault="00EC24DE" w:rsidP="00FA292A">
    <w:pPr>
      <w:tabs>
        <w:tab w:val="center" w:pos="4680"/>
        <w:tab w:val="right" w:pos="9360"/>
      </w:tabs>
      <w:rPr>
        <w:rFonts w:ascii="Times New Roman" w:hAnsi="Times New Roman" w:cs="Times New Roman"/>
        <w:b/>
        <w:sz w:val="20"/>
        <w:szCs w:val="20"/>
      </w:rPr>
    </w:pPr>
    <w:r w:rsidRPr="007464EA">
      <w:rPr>
        <w:rFonts w:ascii="Times New Roman" w:hAnsi="Times New Roman" w:cs="Times New Roman"/>
        <w:b/>
        <w:sz w:val="20"/>
        <w:szCs w:val="20"/>
      </w:rPr>
      <w:t>APPENDIX A</w:t>
    </w:r>
  </w:p>
  <w:p w14:paraId="77419BB5" w14:textId="77777777" w:rsidR="0006333C" w:rsidRDefault="00814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9627D"/>
    <w:multiLevelType w:val="hybridMultilevel"/>
    <w:tmpl w:val="F404CCB2"/>
    <w:lvl w:ilvl="0" w:tplc="85684B1A">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70B47"/>
    <w:multiLevelType w:val="hybridMultilevel"/>
    <w:tmpl w:val="97C8629C"/>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51A14173"/>
    <w:multiLevelType w:val="hybridMultilevel"/>
    <w:tmpl w:val="87764D8C"/>
    <w:lvl w:ilvl="0" w:tplc="4FC484F2">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E6"/>
    <w:rsid w:val="00001590"/>
    <w:rsid w:val="000061A0"/>
    <w:rsid w:val="000776BC"/>
    <w:rsid w:val="00086F22"/>
    <w:rsid w:val="000F7943"/>
    <w:rsid w:val="0012473D"/>
    <w:rsid w:val="00126756"/>
    <w:rsid w:val="001439B1"/>
    <w:rsid w:val="00150BB7"/>
    <w:rsid w:val="00161A40"/>
    <w:rsid w:val="001945BA"/>
    <w:rsid w:val="001964A6"/>
    <w:rsid w:val="001B074B"/>
    <w:rsid w:val="001D0D38"/>
    <w:rsid w:val="001D69CC"/>
    <w:rsid w:val="001E0E04"/>
    <w:rsid w:val="001E7627"/>
    <w:rsid w:val="00221B0A"/>
    <w:rsid w:val="00254CA3"/>
    <w:rsid w:val="00256E3B"/>
    <w:rsid w:val="00263F6A"/>
    <w:rsid w:val="00264C97"/>
    <w:rsid w:val="00266B73"/>
    <w:rsid w:val="00273675"/>
    <w:rsid w:val="00296222"/>
    <w:rsid w:val="002A4F20"/>
    <w:rsid w:val="002D2644"/>
    <w:rsid w:val="00325DA5"/>
    <w:rsid w:val="0036095A"/>
    <w:rsid w:val="00365C73"/>
    <w:rsid w:val="00370EB9"/>
    <w:rsid w:val="00392747"/>
    <w:rsid w:val="003A7101"/>
    <w:rsid w:val="003D6FE1"/>
    <w:rsid w:val="003F4343"/>
    <w:rsid w:val="004043DA"/>
    <w:rsid w:val="00406183"/>
    <w:rsid w:val="004317DB"/>
    <w:rsid w:val="004322D2"/>
    <w:rsid w:val="00432E59"/>
    <w:rsid w:val="00456D21"/>
    <w:rsid w:val="0047105F"/>
    <w:rsid w:val="00481FF2"/>
    <w:rsid w:val="004A1099"/>
    <w:rsid w:val="004C0F1D"/>
    <w:rsid w:val="004D640B"/>
    <w:rsid w:val="004E0690"/>
    <w:rsid w:val="004F1CD8"/>
    <w:rsid w:val="00553A26"/>
    <w:rsid w:val="00567BAD"/>
    <w:rsid w:val="005745E2"/>
    <w:rsid w:val="005831B8"/>
    <w:rsid w:val="00587207"/>
    <w:rsid w:val="005B35C1"/>
    <w:rsid w:val="005D7ED3"/>
    <w:rsid w:val="005F077D"/>
    <w:rsid w:val="005F3F50"/>
    <w:rsid w:val="0065596E"/>
    <w:rsid w:val="00686EB3"/>
    <w:rsid w:val="006A0F9E"/>
    <w:rsid w:val="006C0412"/>
    <w:rsid w:val="006C3A63"/>
    <w:rsid w:val="006D0557"/>
    <w:rsid w:val="006D57F6"/>
    <w:rsid w:val="006F6C78"/>
    <w:rsid w:val="0070378F"/>
    <w:rsid w:val="00712047"/>
    <w:rsid w:val="00713526"/>
    <w:rsid w:val="00722DCE"/>
    <w:rsid w:val="0075453F"/>
    <w:rsid w:val="0075587D"/>
    <w:rsid w:val="007601AC"/>
    <w:rsid w:val="00763638"/>
    <w:rsid w:val="007674DD"/>
    <w:rsid w:val="00781A5C"/>
    <w:rsid w:val="007C0AEF"/>
    <w:rsid w:val="007C1E17"/>
    <w:rsid w:val="007C3E76"/>
    <w:rsid w:val="007F6BCF"/>
    <w:rsid w:val="007F7088"/>
    <w:rsid w:val="008143FC"/>
    <w:rsid w:val="00821188"/>
    <w:rsid w:val="008544CA"/>
    <w:rsid w:val="00856D5A"/>
    <w:rsid w:val="00861E43"/>
    <w:rsid w:val="0087508E"/>
    <w:rsid w:val="008A6426"/>
    <w:rsid w:val="008C1945"/>
    <w:rsid w:val="008D1749"/>
    <w:rsid w:val="008E4FF0"/>
    <w:rsid w:val="0094304C"/>
    <w:rsid w:val="0094338E"/>
    <w:rsid w:val="00993F42"/>
    <w:rsid w:val="009A089A"/>
    <w:rsid w:val="009B4128"/>
    <w:rsid w:val="009C0A7F"/>
    <w:rsid w:val="009C4890"/>
    <w:rsid w:val="009F2E40"/>
    <w:rsid w:val="009F6118"/>
    <w:rsid w:val="00A20763"/>
    <w:rsid w:val="00A23444"/>
    <w:rsid w:val="00A265FE"/>
    <w:rsid w:val="00A409AB"/>
    <w:rsid w:val="00A419C7"/>
    <w:rsid w:val="00A529AD"/>
    <w:rsid w:val="00A55EC8"/>
    <w:rsid w:val="00A5674B"/>
    <w:rsid w:val="00A606C2"/>
    <w:rsid w:val="00A751E7"/>
    <w:rsid w:val="00A900DE"/>
    <w:rsid w:val="00A971E3"/>
    <w:rsid w:val="00AA7DD2"/>
    <w:rsid w:val="00AD0DF7"/>
    <w:rsid w:val="00AE5AC5"/>
    <w:rsid w:val="00AF3DE2"/>
    <w:rsid w:val="00B2394D"/>
    <w:rsid w:val="00B41BE8"/>
    <w:rsid w:val="00B86E04"/>
    <w:rsid w:val="00B8733D"/>
    <w:rsid w:val="00BA62BF"/>
    <w:rsid w:val="00BD234D"/>
    <w:rsid w:val="00BD5248"/>
    <w:rsid w:val="00BD6376"/>
    <w:rsid w:val="00BD77BA"/>
    <w:rsid w:val="00BF3F6C"/>
    <w:rsid w:val="00C43867"/>
    <w:rsid w:val="00C47A8B"/>
    <w:rsid w:val="00C51177"/>
    <w:rsid w:val="00C605F9"/>
    <w:rsid w:val="00CB1810"/>
    <w:rsid w:val="00CB658A"/>
    <w:rsid w:val="00CB7B13"/>
    <w:rsid w:val="00CC03F2"/>
    <w:rsid w:val="00CC7F7B"/>
    <w:rsid w:val="00CD3471"/>
    <w:rsid w:val="00CE479D"/>
    <w:rsid w:val="00CF53F9"/>
    <w:rsid w:val="00CF5EA3"/>
    <w:rsid w:val="00D020B1"/>
    <w:rsid w:val="00D02157"/>
    <w:rsid w:val="00D90C58"/>
    <w:rsid w:val="00D93426"/>
    <w:rsid w:val="00DA1DE8"/>
    <w:rsid w:val="00DD4DDA"/>
    <w:rsid w:val="00E30424"/>
    <w:rsid w:val="00E403D8"/>
    <w:rsid w:val="00E70A2D"/>
    <w:rsid w:val="00E81121"/>
    <w:rsid w:val="00E82317"/>
    <w:rsid w:val="00E90ECB"/>
    <w:rsid w:val="00EB520B"/>
    <w:rsid w:val="00EB7E7E"/>
    <w:rsid w:val="00EC24DE"/>
    <w:rsid w:val="00ED7746"/>
    <w:rsid w:val="00F1602B"/>
    <w:rsid w:val="00F174F1"/>
    <w:rsid w:val="00F25D91"/>
    <w:rsid w:val="00F34F6C"/>
    <w:rsid w:val="00F45A40"/>
    <w:rsid w:val="00F512E5"/>
    <w:rsid w:val="00F9687C"/>
    <w:rsid w:val="00F979C9"/>
    <w:rsid w:val="00FA0479"/>
    <w:rsid w:val="00FA0A27"/>
    <w:rsid w:val="00FA28E6"/>
    <w:rsid w:val="00FA3A0D"/>
    <w:rsid w:val="00FC1CC0"/>
    <w:rsid w:val="00FE418F"/>
    <w:rsid w:val="00FE5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3D7E9E"/>
  <w15:chartTrackingRefBased/>
  <w15:docId w15:val="{EF074BD7-1ECE-4470-A506-847A109C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8E6"/>
    <w:pPr>
      <w:spacing w:after="0" w:line="240" w:lineRule="auto"/>
    </w:pPr>
  </w:style>
  <w:style w:type="paragraph" w:styleId="Heading1">
    <w:name w:val="heading 1"/>
    <w:basedOn w:val="Normal"/>
    <w:next w:val="Normal"/>
    <w:link w:val="Heading1Char"/>
    <w:uiPriority w:val="9"/>
    <w:qFormat/>
    <w:rsid w:val="00FA28E6"/>
    <w:pPr>
      <w:keepNext/>
      <w:keepLines/>
      <w:numPr>
        <w:numId w:val="1"/>
      </w:numPr>
      <w:outlineLvl w:val="0"/>
    </w:pPr>
    <w:rPr>
      <w:rFonts w:ascii="Times New Roman" w:eastAsiaTheme="majorEastAsia" w:hAnsi="Times New Roman" w:cs="Times New Roman"/>
      <w:b/>
      <w:bCs/>
      <w:sz w:val="28"/>
      <w:szCs w:val="28"/>
    </w:rPr>
  </w:style>
  <w:style w:type="paragraph" w:styleId="Heading2">
    <w:name w:val="heading 2"/>
    <w:basedOn w:val="Normal"/>
    <w:next w:val="Normal"/>
    <w:link w:val="Heading2Char"/>
    <w:uiPriority w:val="9"/>
    <w:unhideWhenUsed/>
    <w:qFormat/>
    <w:rsid w:val="00FA28E6"/>
    <w:pPr>
      <w:keepNext/>
      <w:keepLines/>
      <w:numPr>
        <w:numId w:val="2"/>
      </w:numPr>
      <w:outlineLvl w:val="1"/>
    </w:pPr>
    <w:rPr>
      <w:rFonts w:ascii="Times New Roman" w:eastAsia="Calibri" w:hAnsi="Times New Roman"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8E6"/>
    <w:rPr>
      <w:rFonts w:ascii="Times New Roman" w:eastAsiaTheme="majorEastAsia" w:hAnsi="Times New Roman" w:cs="Times New Roman"/>
      <w:b/>
      <w:bCs/>
      <w:sz w:val="28"/>
      <w:szCs w:val="28"/>
    </w:rPr>
  </w:style>
  <w:style w:type="character" w:customStyle="1" w:styleId="Heading2Char">
    <w:name w:val="Heading 2 Char"/>
    <w:basedOn w:val="DefaultParagraphFont"/>
    <w:link w:val="Heading2"/>
    <w:uiPriority w:val="9"/>
    <w:rsid w:val="00FA28E6"/>
    <w:rPr>
      <w:rFonts w:ascii="Times New Roman" w:eastAsia="Calibri" w:hAnsi="Times New Roman" w:cstheme="majorBidi"/>
      <w:b/>
      <w:bCs/>
      <w:sz w:val="28"/>
      <w:szCs w:val="26"/>
    </w:rPr>
  </w:style>
  <w:style w:type="paragraph" w:styleId="CommentText">
    <w:name w:val="annotation text"/>
    <w:basedOn w:val="Normal"/>
    <w:link w:val="CommentTextChar"/>
    <w:uiPriority w:val="99"/>
    <w:unhideWhenUsed/>
    <w:rsid w:val="00FA28E6"/>
    <w:rPr>
      <w:sz w:val="20"/>
      <w:szCs w:val="20"/>
    </w:rPr>
  </w:style>
  <w:style w:type="character" w:customStyle="1" w:styleId="CommentTextChar">
    <w:name w:val="Comment Text Char"/>
    <w:basedOn w:val="DefaultParagraphFont"/>
    <w:link w:val="CommentText"/>
    <w:uiPriority w:val="99"/>
    <w:rsid w:val="00FA28E6"/>
    <w:rPr>
      <w:sz w:val="20"/>
      <w:szCs w:val="20"/>
    </w:rPr>
  </w:style>
  <w:style w:type="paragraph" w:styleId="Header">
    <w:name w:val="header"/>
    <w:basedOn w:val="Normal"/>
    <w:link w:val="HeaderChar"/>
    <w:unhideWhenUsed/>
    <w:rsid w:val="00FA28E6"/>
    <w:pPr>
      <w:tabs>
        <w:tab w:val="center" w:pos="4680"/>
        <w:tab w:val="right" w:pos="9360"/>
      </w:tabs>
    </w:pPr>
  </w:style>
  <w:style w:type="character" w:customStyle="1" w:styleId="HeaderChar">
    <w:name w:val="Header Char"/>
    <w:basedOn w:val="DefaultParagraphFont"/>
    <w:link w:val="Header"/>
    <w:rsid w:val="00FA28E6"/>
  </w:style>
  <w:style w:type="paragraph" w:styleId="Footer">
    <w:name w:val="footer"/>
    <w:basedOn w:val="Normal"/>
    <w:link w:val="FooterChar"/>
    <w:uiPriority w:val="99"/>
    <w:unhideWhenUsed/>
    <w:rsid w:val="00FA28E6"/>
    <w:pPr>
      <w:tabs>
        <w:tab w:val="center" w:pos="4680"/>
        <w:tab w:val="right" w:pos="9360"/>
      </w:tabs>
    </w:pPr>
  </w:style>
  <w:style w:type="character" w:customStyle="1" w:styleId="FooterChar">
    <w:name w:val="Footer Char"/>
    <w:basedOn w:val="DefaultParagraphFont"/>
    <w:link w:val="Footer"/>
    <w:uiPriority w:val="99"/>
    <w:rsid w:val="00FA28E6"/>
  </w:style>
  <w:style w:type="paragraph" w:styleId="HTMLPreformatted">
    <w:name w:val="HTML Preformatted"/>
    <w:basedOn w:val="Normal"/>
    <w:link w:val="HTMLPreformattedChar"/>
    <w:rsid w:val="00FA2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A28E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D52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248"/>
    <w:rPr>
      <w:rFonts w:ascii="Segoe UI" w:hAnsi="Segoe UI" w:cs="Segoe UI"/>
      <w:sz w:val="18"/>
      <w:szCs w:val="18"/>
    </w:rPr>
  </w:style>
  <w:style w:type="paragraph" w:styleId="NormalWeb">
    <w:name w:val="Normal (Web)"/>
    <w:basedOn w:val="Normal"/>
    <w:uiPriority w:val="99"/>
    <w:semiHidden/>
    <w:unhideWhenUsed/>
    <w:rsid w:val="001945BA"/>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45BA"/>
    <w:rPr>
      <w:color w:val="0000FF"/>
      <w:u w:val="single"/>
    </w:rPr>
  </w:style>
  <w:style w:type="paragraph" w:customStyle="1" w:styleId="psection-1">
    <w:name w:val="psection-1"/>
    <w:basedOn w:val="Normal"/>
    <w:rsid w:val="001945BA"/>
    <w:pPr>
      <w:spacing w:before="100" w:beforeAutospacing="1" w:after="100" w:afterAutospacing="1"/>
    </w:pPr>
    <w:rPr>
      <w:rFonts w:ascii="Times New Roman" w:eastAsia="Times New Roman" w:hAnsi="Times New Roman" w:cs="Times New Roman"/>
      <w:sz w:val="24"/>
      <w:szCs w:val="24"/>
    </w:rPr>
  </w:style>
  <w:style w:type="character" w:customStyle="1" w:styleId="enumxml">
    <w:name w:val="enumxml"/>
    <w:basedOn w:val="DefaultParagraphFont"/>
    <w:rsid w:val="001945BA"/>
  </w:style>
  <w:style w:type="paragraph" w:styleId="ListParagraph">
    <w:name w:val="List Paragraph"/>
    <w:basedOn w:val="Normal"/>
    <w:uiPriority w:val="34"/>
    <w:qFormat/>
    <w:rsid w:val="00B86E04"/>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073773">
      <w:bodyDiv w:val="1"/>
      <w:marLeft w:val="0"/>
      <w:marRight w:val="0"/>
      <w:marTop w:val="0"/>
      <w:marBottom w:val="0"/>
      <w:divBdr>
        <w:top w:val="none" w:sz="0" w:space="0" w:color="auto"/>
        <w:left w:val="none" w:sz="0" w:space="0" w:color="auto"/>
        <w:bottom w:val="none" w:sz="0" w:space="0" w:color="auto"/>
        <w:right w:val="none" w:sz="0" w:space="0" w:color="auto"/>
      </w:divBdr>
      <w:divsChild>
        <w:div w:id="1556352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cornell.edu/definitions/index.php?width=840&amp;height=800&amp;iframe=true&amp;def_id=dff8e7b5dc3cb66e248bff18b2cc5f54&amp;term_occur=999&amp;term_src=Title:34:Subtitle:B:Chapter:III:Part:361:Subpart:A:36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w.cornell.edu/definitions/index.php?width=840&amp;height=800&amp;iframe=true&amp;def_id=7e00b0ac6ee0689e591b894c7be44744&amp;term_occur=999&amp;term_src=Title:34:Subtitle:B:Chapter:III:Part:361:Subpart:A:361.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definitions/index.php?width=840&amp;height=800&amp;iframe=true&amp;def_id=dff8e7b5dc3cb66e248bff18b2cc5f54&amp;term_occur=999&amp;term_src=Title:34:Subtitle:B:Chapter:III:Part:361:Subpart:A:361.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e08d3210fbd65545027124e7bf3a22d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9ddfe79f3cd659e4b80d8d8e5a4a65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E1E5A-F195-4216-9E14-BF400091C52E}">
  <ds:schemaRefs>
    <ds:schemaRef ds:uri="http://schemas.microsoft.com/sharepoint/v3/contenttype/forms"/>
  </ds:schemaRefs>
</ds:datastoreItem>
</file>

<file path=customXml/itemProps2.xml><?xml version="1.0" encoding="utf-8"?>
<ds:datastoreItem xmlns:ds="http://schemas.openxmlformats.org/officeDocument/2006/customXml" ds:itemID="{9BF101E3-AEF6-4EB3-84D7-A4F4DB1DCD20}">
  <ds:schemaRefs>
    <ds:schemaRef ds:uri="http://purl.org/dc/elements/1.1/"/>
    <ds:schemaRef ds:uri="http://purl.org/dc/terms/"/>
    <ds:schemaRef ds:uri="f87c7b8b-c0e7-4b77-a067-2c707fd1239f"/>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2e41e38-1731-4866-b09a-6257d8bc047f"/>
    <ds:schemaRef ds:uri="http://schemas.microsoft.com/office/2006/metadata/properties"/>
  </ds:schemaRefs>
</ds:datastoreItem>
</file>

<file path=customXml/itemProps3.xml><?xml version="1.0" encoding="utf-8"?>
<ds:datastoreItem xmlns:ds="http://schemas.openxmlformats.org/officeDocument/2006/customXml" ds:itemID="{5CAB0A5A-3497-4856-9ED8-D5ED59A90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0602A2-1A57-468E-BA41-B7674E17C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2602</Words>
  <Characters>14837</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David</dc:creator>
  <cp:keywords/>
  <dc:description/>
  <cp:lastModifiedBy>Nishi, Laurel</cp:lastModifiedBy>
  <cp:revision>2</cp:revision>
  <dcterms:created xsi:type="dcterms:W3CDTF">2020-05-20T14:55:00Z</dcterms:created>
  <dcterms:modified xsi:type="dcterms:W3CDTF">2020-05-20T14:55:00Z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