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D381B" w:rsidR="00305354" w:rsidP="00305354" w:rsidRDefault="00305354" w14:paraId="4C67C0B4" w14:textId="5A2D3F25">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Pr>
          <w:rFonts w:ascii="Times New Roman" w:hAnsi="Times New Roman"/>
          <w:szCs w:val="24"/>
        </w:rPr>
        <w:t>1820-0624</w:t>
      </w:r>
    </w:p>
    <w:p w:rsidRPr="00AD381B" w:rsidR="00305354" w:rsidP="00305354" w:rsidRDefault="00305354" w14:paraId="4358867E" w14:textId="5C71E088">
      <w:pPr>
        <w:pStyle w:val="Header"/>
        <w:rPr>
          <w:rFonts w:ascii="Times New Roman" w:hAnsi="Times New Roman"/>
          <w:color w:val="FFFFFF" w:themeColor="background1"/>
          <w:szCs w:val="24"/>
        </w:rPr>
      </w:pPr>
      <w:r w:rsidRPr="00C875E8">
        <w:rPr>
          <w:rFonts w:ascii="Times New Roman" w:hAnsi="Times New Roman"/>
          <w:szCs w:val="24"/>
        </w:rPr>
        <w:t xml:space="preserve">Revised: </w:t>
      </w:r>
      <w:r w:rsidR="00FF2DC2">
        <w:rPr>
          <w:rFonts w:ascii="Times New Roman" w:hAnsi="Times New Roman"/>
          <w:szCs w:val="24"/>
        </w:rPr>
        <w:t>09/10/2020</w:t>
      </w:r>
    </w:p>
    <w:p w:rsidRPr="00AD381B" w:rsidR="00EA1767" w:rsidP="00AD381B" w:rsidRDefault="00EA1767" w14:paraId="1B68CC04" w14:textId="77777777">
      <w:pPr>
        <w:pStyle w:val="Header"/>
        <w:rPr>
          <w:rFonts w:ascii="Times New Roman" w:hAnsi="Times New Roman"/>
          <w:color w:val="FFFFFF" w:themeColor="background1"/>
          <w:szCs w:val="24"/>
        </w:rPr>
      </w:pPr>
      <w:r w:rsidRPr="00AD381B">
        <w:rPr>
          <w:rFonts w:ascii="Times New Roman" w:hAnsi="Times New Roman"/>
          <w:color w:val="FFFFFF" w:themeColor="background1"/>
          <w:szCs w:val="24"/>
        </w:rPr>
        <w:t>Tracking and OMB Number: (XXXX) XXXX-XXXX</w:t>
      </w:r>
    </w:p>
    <w:p w:rsidRPr="00AD381B" w:rsidR="00EA1767" w:rsidP="00AD381B" w:rsidRDefault="00EA1767" w14:paraId="1E6786AE" w14:textId="77777777">
      <w:pPr>
        <w:pStyle w:val="Header"/>
        <w:rPr>
          <w:rFonts w:ascii="Times New Roman" w:hAnsi="Times New Roman"/>
          <w:color w:val="FFFFFF" w:themeColor="background1"/>
          <w:szCs w:val="24"/>
        </w:rPr>
      </w:pPr>
      <w:r w:rsidRPr="00AD381B">
        <w:rPr>
          <w:rFonts w:ascii="Times New Roman" w:hAnsi="Times New Roman"/>
          <w:color w:val="FFFFFF" w:themeColor="background1"/>
          <w:szCs w:val="24"/>
        </w:rPr>
        <w:t>Revised: XX/XX/XXXX</w:t>
      </w:r>
    </w:p>
    <w:p w:rsidRPr="00AD381B" w:rsidR="00EA1767" w:rsidP="00AD381B" w:rsidRDefault="00EA1767" w14:paraId="04A670CB" w14:textId="77777777">
      <w:pPr>
        <w:pStyle w:val="Header"/>
        <w:rPr>
          <w:rFonts w:ascii="Times New Roman" w:hAnsi="Times New Roman"/>
          <w:color w:val="FFFFFF" w:themeColor="background1"/>
          <w:szCs w:val="24"/>
        </w:rPr>
      </w:pPr>
      <w:r w:rsidRPr="00AD381B">
        <w:rPr>
          <w:rFonts w:ascii="Times New Roman" w:hAnsi="Times New Roman"/>
          <w:color w:val="FFFFFF" w:themeColor="background1"/>
          <w:szCs w:val="24"/>
        </w:rPr>
        <w:t>RIN Number: XXXX-XXXX (if applicable)</w:t>
      </w:r>
    </w:p>
    <w:p w:rsidRPr="00AD381B" w:rsidR="00043C32" w:rsidP="00AD381B" w:rsidRDefault="00043C32" w14:paraId="03560D58" w14:textId="77777777">
      <w:pPr>
        <w:pStyle w:val="Heading1"/>
        <w:rPr>
          <w:sz w:val="24"/>
          <w:szCs w:val="24"/>
        </w:rPr>
      </w:pPr>
      <w:r w:rsidRPr="00AD381B">
        <w:rPr>
          <w:sz w:val="24"/>
          <w:szCs w:val="24"/>
        </w:rPr>
        <w:t>SUPPORTING STATEMENT</w:t>
      </w:r>
    </w:p>
    <w:p w:rsidRPr="00AD381B" w:rsidR="00043C32" w:rsidP="00AD381B" w:rsidRDefault="00043C32" w14:paraId="03560D59" w14:textId="77777777">
      <w:pPr>
        <w:pStyle w:val="Heading1"/>
        <w:rPr>
          <w:sz w:val="24"/>
          <w:szCs w:val="24"/>
        </w:rPr>
      </w:pPr>
      <w:r w:rsidRPr="00AD381B">
        <w:rPr>
          <w:sz w:val="24"/>
          <w:szCs w:val="24"/>
        </w:rPr>
        <w:t>FOR PAPERWORK REDUCTION ACT SUBMISSION</w:t>
      </w:r>
    </w:p>
    <w:p w:rsidRPr="00AD381B" w:rsidR="00043C32" w:rsidP="00AD381B" w:rsidRDefault="00043C32" w14:paraId="03560D5A" w14:textId="77777777">
      <w:pPr>
        <w:tabs>
          <w:tab w:val="left" w:pos="0"/>
        </w:tabs>
        <w:suppressAutoHyphens/>
        <w:rPr>
          <w:rFonts w:ascii="Times New Roman" w:hAnsi="Times New Roman"/>
          <w:szCs w:val="24"/>
        </w:rPr>
      </w:pPr>
    </w:p>
    <w:p w:rsidRPr="00AD381B" w:rsidR="00EA1767" w:rsidP="00AD381B" w:rsidRDefault="00043C32" w14:paraId="77AF21B2"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w:t>
      </w:r>
      <w:r w:rsidRPr="00AD381B">
        <w:rPr>
          <w:rStyle w:val="FootnoteReference"/>
          <w:rFonts w:ascii="Times New Roman" w:hAnsi="Times New Roman"/>
          <w:b/>
          <w:szCs w:val="24"/>
        </w:rPr>
        <w:footnoteReference w:id="1"/>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make note of the </w:t>
      </w:r>
      <w:proofErr w:type="gramStart"/>
      <w:r w:rsidRPr="00AD381B">
        <w:rPr>
          <w:rFonts w:ascii="Times New Roman" w:hAnsi="Times New Roman"/>
          <w:b/>
          <w:szCs w:val="24"/>
        </w:rPr>
        <w:t>sections</w:t>
      </w:r>
      <w:proofErr w:type="gramEnd"/>
      <w:r w:rsidRPr="00AD381B">
        <w:rPr>
          <w:rFonts w:ascii="Times New Roman" w:hAnsi="Times New Roman"/>
          <w:b/>
          <w:szCs w:val="24"/>
        </w:rPr>
        <w:t xml:space="preserve"> or changed sections, if applicable.</w:t>
      </w:r>
    </w:p>
    <w:p w:rsidR="00AD381B" w:rsidP="00AD381B" w:rsidRDefault="00AD381B" w14:paraId="1B56F4D2" w14:textId="45FD754F">
      <w:pPr>
        <w:pStyle w:val="ListParagraph"/>
        <w:suppressAutoHyphens/>
        <w:spacing w:line="240" w:lineRule="exact"/>
        <w:rPr>
          <w:rFonts w:ascii="Times New Roman" w:hAnsi="Times New Roman"/>
          <w:szCs w:val="24"/>
        </w:rPr>
      </w:pPr>
    </w:p>
    <w:p w:rsidRPr="00DB66A7" w:rsidR="00DB66A7" w:rsidP="00DB66A7" w:rsidRDefault="00DB66A7" w14:paraId="68B9ACE7" w14:textId="77777777">
      <w:pPr>
        <w:pStyle w:val="ListParagraph"/>
        <w:suppressAutoHyphens/>
        <w:spacing w:line="240" w:lineRule="exact"/>
        <w:rPr>
          <w:rFonts w:ascii="Times New Roman" w:hAnsi="Times New Roman"/>
          <w:szCs w:val="24"/>
        </w:rPr>
      </w:pPr>
      <w:r w:rsidRPr="00DB66A7">
        <w:rPr>
          <w:rFonts w:ascii="Times New Roman" w:hAnsi="Times New Roman"/>
          <w:szCs w:val="24"/>
        </w:rPr>
        <w:t xml:space="preserve">This is a request for review and approval of a revision of the approved State Performance Plan and Annual Performance Report under Part B of the Individuals with Disabilities Education Act (IDEA) (Part B SPP/APR) [Information Collection 1820-0624 / Expiration Date: 05/31/20].  In accordance with 20 U.S.C. 1416(b)(1)(A), not later than one year after the date of enactment of the 2004 IDEA amendments, each State was required to have in place a Part B SPP that evaluated the State’s efforts to implement the requirements and purposes of Part B and described how the State would improve such implementation.  IDEA section 616(b)(1)(C) requires each State to review its SPP at least once every six years.  In accordance with 20 U.S.C. 1416(b)(2)(C)(ii), each State must report annually to the public on the performance of each local educational agency located in the State on the targets in the State’s performance plan.  The State also must annually submit a Part B APR to the Secretary on the performance of the State under the State’s performance plan. Information Collection 1820-0624 corresponds to 34 CFR §§300.600-300.602.  The regulations may be accessed at this link - https://sites.ed.gov/idea/.  </w:t>
      </w:r>
    </w:p>
    <w:p w:rsidR="00DB66A7" w:rsidP="00DB66A7" w:rsidRDefault="00DB66A7" w14:paraId="275ED1D7" w14:textId="77777777">
      <w:pPr>
        <w:pStyle w:val="ListParagraph"/>
        <w:suppressAutoHyphens/>
        <w:spacing w:line="240" w:lineRule="exact"/>
        <w:rPr>
          <w:rFonts w:ascii="Times New Roman" w:hAnsi="Times New Roman"/>
          <w:szCs w:val="24"/>
        </w:rPr>
      </w:pPr>
    </w:p>
    <w:p w:rsidR="00DB66A7" w:rsidP="00DB66A7" w:rsidRDefault="00DB66A7" w14:paraId="362B012C" w14:textId="1D7EDFDD">
      <w:pPr>
        <w:pStyle w:val="ListParagraph"/>
        <w:suppressAutoHyphens/>
        <w:spacing w:line="240" w:lineRule="exact"/>
        <w:rPr>
          <w:rFonts w:ascii="Times New Roman" w:hAnsi="Times New Roman"/>
          <w:szCs w:val="24"/>
        </w:rPr>
      </w:pPr>
      <w:r w:rsidRPr="00DB66A7">
        <w:rPr>
          <w:rFonts w:ascii="Times New Roman" w:hAnsi="Times New Roman"/>
          <w:szCs w:val="24"/>
        </w:rPr>
        <w:t>This collection is conducted in a manner that is consistent with the guidelines in 5 CFR 1320.5.</w:t>
      </w:r>
    </w:p>
    <w:p w:rsidRPr="00DB66A7" w:rsidR="00DB66A7" w:rsidP="00DB66A7" w:rsidRDefault="00DB66A7" w14:paraId="4D2EF521" w14:textId="77777777">
      <w:pPr>
        <w:pStyle w:val="ListParagraph"/>
        <w:suppressAutoHyphens/>
        <w:spacing w:line="240" w:lineRule="exact"/>
        <w:rPr>
          <w:rFonts w:ascii="Times New Roman" w:hAnsi="Times New Roman"/>
          <w:szCs w:val="24"/>
        </w:rPr>
      </w:pPr>
    </w:p>
    <w:p w:rsidRPr="00DB66A7" w:rsidR="00DB66A7" w:rsidP="00DB66A7" w:rsidRDefault="00DB66A7" w14:paraId="2AD8B400" w14:textId="77777777">
      <w:pPr>
        <w:pStyle w:val="ListParagraph"/>
        <w:suppressAutoHyphens/>
        <w:spacing w:line="240" w:lineRule="exact"/>
        <w:rPr>
          <w:rFonts w:ascii="Times New Roman" w:hAnsi="Times New Roman"/>
          <w:szCs w:val="24"/>
        </w:rPr>
      </w:pPr>
      <w:r w:rsidRPr="00DB66A7">
        <w:rPr>
          <w:rFonts w:ascii="Times New Roman" w:hAnsi="Times New Roman"/>
          <w:szCs w:val="24"/>
        </w:rPr>
        <w:t xml:space="preserve">Each State submitted its initial six-year SPP for FFY 2005 through FFY 2010, in December 2005.  In 2011, to meet the requirement set forth in IDEA section 616(b)(1)(C) that the State review its SPP every six years, and in the absence of IDEA reauthorization, the U.S. Department of Education (the Department) proposed to make no major changes to the SPP and allowed States to extend their targets and improvement activities through FFY 2012.  The information collection was also revised in 2012, 2014, and 2017; OSEP reduced or eliminated reporting burden in these previous revisions.  States submitted a second 6-year SPP in 2015, covering FFY 2013 through FFY 2018.  </w:t>
      </w:r>
      <w:proofErr w:type="gramStart"/>
      <w:r w:rsidRPr="00DB66A7">
        <w:rPr>
          <w:rFonts w:ascii="Times New Roman" w:hAnsi="Times New Roman"/>
          <w:szCs w:val="24"/>
        </w:rPr>
        <w:t>Similar to</w:t>
      </w:r>
      <w:proofErr w:type="gramEnd"/>
      <w:r w:rsidRPr="00DB66A7">
        <w:rPr>
          <w:rFonts w:ascii="Times New Roman" w:hAnsi="Times New Roman"/>
          <w:szCs w:val="24"/>
        </w:rPr>
        <w:t xml:space="preserve"> the FFY 2012 SPP/APR, the Department allowed States to extend their SPP targets and improvement activities through FFY 2019. The Department’s proposed information collection would apply for the next SPP six-year cycle for FFY 2020 through FFY 2025, which will be the third SPP since the 2004 IDEA amendments were enacted.</w:t>
      </w:r>
    </w:p>
    <w:p w:rsidR="00DB66A7" w:rsidP="00DB66A7" w:rsidRDefault="00DB66A7" w14:paraId="02206F3F" w14:textId="77777777">
      <w:pPr>
        <w:pStyle w:val="ListParagraph"/>
        <w:suppressAutoHyphens/>
        <w:spacing w:line="240" w:lineRule="exact"/>
        <w:rPr>
          <w:rFonts w:ascii="Times New Roman" w:hAnsi="Times New Roman"/>
          <w:szCs w:val="24"/>
        </w:rPr>
      </w:pPr>
    </w:p>
    <w:p w:rsidR="008B0C1F" w:rsidP="02AD68AD" w:rsidRDefault="00DB66A7" w14:paraId="278A2D92" w14:textId="56842940">
      <w:pPr>
        <w:pStyle w:val="ListParagraph"/>
        <w:suppressAutoHyphens/>
        <w:spacing w:line="240" w:lineRule="exact"/>
        <w:rPr>
          <w:rFonts w:ascii="Times New Roman" w:hAnsi="Times New Roman"/>
        </w:rPr>
      </w:pPr>
      <w:r w:rsidRPr="78097D23">
        <w:rPr>
          <w:rFonts w:ascii="Times New Roman" w:hAnsi="Times New Roman"/>
        </w:rPr>
        <w:t xml:space="preserve">With this request, the Department is proposing to </w:t>
      </w:r>
      <w:proofErr w:type="gramStart"/>
      <w:r w:rsidRPr="78097D23">
        <w:rPr>
          <w:rFonts w:ascii="Times New Roman" w:hAnsi="Times New Roman"/>
        </w:rPr>
        <w:t>make revisions to</w:t>
      </w:r>
      <w:proofErr w:type="gramEnd"/>
      <w:r w:rsidRPr="78097D23">
        <w:rPr>
          <w:rFonts w:ascii="Times New Roman" w:hAnsi="Times New Roman"/>
        </w:rPr>
        <w:t xml:space="preserve"> the approved information collection, and to establish a new 6-year SPP cycle (FFY 2020 through FFY </w:t>
      </w:r>
      <w:r w:rsidRPr="78097D23">
        <w:rPr>
          <w:rFonts w:ascii="Times New Roman" w:hAnsi="Times New Roman"/>
        </w:rPr>
        <w:lastRenderedPageBreak/>
        <w:t xml:space="preserve">2025).  The proposed revisions to the Part B SPP/APR, which would go into effect with States’ FFY 2018 SPP/APR to be submitted in February 2022, are focused on ensuring improved outcomes for children with disabilities, and aligning the SPP/APR with the Secretary’s priorities, including elevating parent voice.  </w:t>
      </w:r>
      <w:r w:rsidRPr="78097D23" w:rsidR="0F131CEA">
        <w:rPr>
          <w:rFonts w:ascii="Times New Roman" w:hAnsi="Times New Roman"/>
        </w:rPr>
        <w:t xml:space="preserve">Prior to the 60-day public comment period, it was </w:t>
      </w:r>
      <w:r w:rsidRPr="78097D23">
        <w:rPr>
          <w:rFonts w:ascii="Times New Roman" w:hAnsi="Times New Roman"/>
        </w:rPr>
        <w:t xml:space="preserve">estimated that the reporting burden will remain the same from previous submissions.  </w:t>
      </w:r>
      <w:r w:rsidRPr="78097D23" w:rsidR="655E2509">
        <w:rPr>
          <w:rFonts w:ascii="Times New Roman" w:hAnsi="Times New Roman"/>
        </w:rPr>
        <w:t xml:space="preserve">However, based on public comment, the estimate was too low.  </w:t>
      </w:r>
      <w:r w:rsidRPr="78097D23">
        <w:rPr>
          <w:rFonts w:ascii="Times New Roman" w:hAnsi="Times New Roman"/>
        </w:rPr>
        <w:t>See the Department’s answer to Question 12 for additional explanation.</w:t>
      </w:r>
    </w:p>
    <w:p w:rsidRPr="00AD381B" w:rsidR="00AD381B" w:rsidP="00AD381B" w:rsidRDefault="00AD381B" w14:paraId="7F2F1354" w14:textId="77777777">
      <w:pPr>
        <w:pStyle w:val="ListParagraph"/>
        <w:suppressAutoHyphens/>
        <w:spacing w:line="240" w:lineRule="exact"/>
        <w:contextualSpacing w:val="0"/>
        <w:rPr>
          <w:rFonts w:ascii="Times New Roman" w:hAnsi="Times New Roman"/>
          <w:szCs w:val="24"/>
        </w:rPr>
      </w:pPr>
    </w:p>
    <w:p w:rsidR="00AD381B" w:rsidP="00AD381B" w:rsidRDefault="00043C32" w14:paraId="05B03817"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53003F" w:rsidRDefault="00AD381B" w14:paraId="6BE9B02D" w14:textId="08BCB9DE">
      <w:pPr>
        <w:suppressAutoHyphens/>
        <w:spacing w:line="240" w:lineRule="exact"/>
        <w:ind w:firstLine="720"/>
        <w:rPr>
          <w:rFonts w:ascii="Times New Roman" w:hAnsi="Times New Roman"/>
          <w:szCs w:val="24"/>
        </w:rPr>
      </w:pPr>
    </w:p>
    <w:p w:rsidRPr="00BD6B9B" w:rsidR="00BD6B9B" w:rsidP="00BD6B9B" w:rsidRDefault="00BD6B9B" w14:paraId="2DD2EB44" w14:textId="77777777">
      <w:pPr>
        <w:suppressAutoHyphens/>
        <w:spacing w:line="240" w:lineRule="exact"/>
        <w:ind w:left="720"/>
        <w:rPr>
          <w:rFonts w:ascii="Times New Roman" w:hAnsi="Times New Roman"/>
          <w:szCs w:val="24"/>
        </w:rPr>
      </w:pPr>
      <w:r w:rsidRPr="00BD6B9B">
        <w:rPr>
          <w:rFonts w:ascii="Times New Roman" w:hAnsi="Times New Roman"/>
          <w:szCs w:val="24"/>
        </w:rPr>
        <w:t xml:space="preserve">As required by IDEA section 616(b)(1)(A), each State must have an SPP in place that evaluates the State's efforts to implement the requirements and purposes of Part B of the IDEA, and describes how the State will improve its implementation.  IDEA section 616(b)(2) requires that the State report annually to the Secretary on its performance under the State’s SPP for Part B of the IDEA.  Specifically, the State must report, in its APR, on its progress in meeting the measurable and rigorous targets it established in its SPP.  In the past, the Department required States to maintain a separate SPP and APR.  Beginning in 2015, the Department combined the SPP/APR into one document.  </w:t>
      </w:r>
    </w:p>
    <w:p w:rsidR="00BD6B9B" w:rsidP="00BD6B9B" w:rsidRDefault="00BD6B9B" w14:paraId="0A4C40B7" w14:textId="77777777">
      <w:pPr>
        <w:suppressAutoHyphens/>
        <w:spacing w:line="240" w:lineRule="exact"/>
        <w:ind w:left="720"/>
        <w:rPr>
          <w:rFonts w:ascii="Times New Roman" w:hAnsi="Times New Roman"/>
          <w:szCs w:val="24"/>
        </w:rPr>
      </w:pPr>
    </w:p>
    <w:p w:rsidR="0053003F" w:rsidP="00BD6B9B" w:rsidRDefault="00BD6B9B" w14:paraId="4B3320D6" w14:textId="649A30BA">
      <w:pPr>
        <w:suppressAutoHyphens/>
        <w:spacing w:line="240" w:lineRule="exact"/>
        <w:ind w:left="720"/>
        <w:rPr>
          <w:rFonts w:ascii="Times New Roman" w:hAnsi="Times New Roman"/>
          <w:szCs w:val="24"/>
        </w:rPr>
      </w:pPr>
      <w:r w:rsidRPr="00BD6B9B">
        <w:rPr>
          <w:rFonts w:ascii="Times New Roman" w:hAnsi="Times New Roman"/>
          <w:szCs w:val="24"/>
        </w:rPr>
        <w:t>IDEA section 616(d) requires that the Department review the APR each year.  Based on the information provided in the State's APR, information obtained through monitoring visits, and any other publicly available information, each year the Department must determine if the State:  “Meets requirements” and purposes of the IDEA or  “Needs Assistance,” “Needs Intervention,” or  “Needs Substantial Intervention” in implementing the requirements of the IDEA.</w:t>
      </w:r>
    </w:p>
    <w:p w:rsidRPr="00AD381B" w:rsidR="00043C32" w:rsidP="00AD381B" w:rsidRDefault="00043C32" w14:paraId="03560D5D" w14:textId="546484A6">
      <w:pPr>
        <w:suppressAutoHyphens/>
        <w:spacing w:line="240" w:lineRule="exact"/>
        <w:rPr>
          <w:rFonts w:ascii="Times New Roman" w:hAnsi="Times New Roman"/>
          <w:szCs w:val="24"/>
        </w:rPr>
      </w:pPr>
    </w:p>
    <w:p w:rsidRPr="00AD381B" w:rsidR="00043C32" w:rsidP="00AD381B" w:rsidRDefault="00043C32" w14:paraId="03560D5E"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 </w:t>
      </w:r>
    </w:p>
    <w:p w:rsidR="00AD381B" w:rsidP="00AD381B" w:rsidRDefault="00AD381B" w14:paraId="49E5BF2B" w14:textId="3AD0BF87">
      <w:pPr>
        <w:pStyle w:val="ListParagraph"/>
        <w:tabs>
          <w:tab w:val="left" w:pos="-720"/>
        </w:tabs>
        <w:suppressAutoHyphens/>
        <w:contextualSpacing w:val="0"/>
        <w:rPr>
          <w:rFonts w:ascii="Times New Roman" w:hAnsi="Times New Roman"/>
          <w:szCs w:val="24"/>
        </w:rPr>
      </w:pPr>
    </w:p>
    <w:p w:rsidR="002743F1" w:rsidP="00AD381B" w:rsidRDefault="002743F1" w14:paraId="755082AB" w14:textId="5EC9E262">
      <w:pPr>
        <w:pStyle w:val="ListParagraph"/>
        <w:tabs>
          <w:tab w:val="left" w:pos="-720"/>
        </w:tabs>
        <w:suppressAutoHyphens/>
        <w:contextualSpacing w:val="0"/>
        <w:rPr>
          <w:rFonts w:ascii="Times New Roman" w:hAnsi="Times New Roman"/>
          <w:szCs w:val="24"/>
        </w:rPr>
      </w:pPr>
      <w:r w:rsidRPr="002743F1">
        <w:rPr>
          <w:rFonts w:ascii="Times New Roman" w:hAnsi="Times New Roman"/>
          <w:szCs w:val="24"/>
        </w:rPr>
        <w:t xml:space="preserve">States are required to submit the SPP/APR using the Department’s online APR reporting tool.  The online reporting system allows for </w:t>
      </w:r>
      <w:proofErr w:type="spellStart"/>
      <w:r w:rsidRPr="002743F1">
        <w:rPr>
          <w:rFonts w:ascii="Times New Roman" w:hAnsi="Times New Roman"/>
          <w:szCs w:val="24"/>
        </w:rPr>
        <w:t>prepopulation</w:t>
      </w:r>
      <w:proofErr w:type="spellEnd"/>
      <w:r w:rsidRPr="002743F1">
        <w:rPr>
          <w:rFonts w:ascii="Times New Roman" w:hAnsi="Times New Roman"/>
          <w:szCs w:val="24"/>
        </w:rPr>
        <w:t xml:space="preserve"> of data already submitted to the Department through other data collections, as well as preloading of the previous year’s SPP/APR data.  </w:t>
      </w:r>
    </w:p>
    <w:p w:rsidR="00AD381B" w:rsidP="00AD381B" w:rsidRDefault="00AD381B" w14:paraId="7BD21DA6" w14:textId="77777777">
      <w:pPr>
        <w:pStyle w:val="ListParagraph"/>
        <w:tabs>
          <w:tab w:val="left" w:pos="-720"/>
        </w:tabs>
        <w:suppressAutoHyphens/>
        <w:contextualSpacing w:val="0"/>
        <w:rPr>
          <w:rFonts w:ascii="Times New Roman" w:hAnsi="Times New Roman"/>
          <w:szCs w:val="24"/>
        </w:rPr>
      </w:pPr>
    </w:p>
    <w:p w:rsidR="00043C32" w:rsidP="00AD381B" w:rsidRDefault="00043C32" w14:paraId="03560D5F"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efforts to identify duplication.  Show specifically why any similar information already available cannot be used or modified for use for the purposes described in Item 2 above.</w:t>
      </w:r>
    </w:p>
    <w:p w:rsidR="00AD381B" w:rsidP="00314560" w:rsidRDefault="00AD381B" w14:paraId="1A84D411" w14:textId="15ED6997">
      <w:pPr>
        <w:tabs>
          <w:tab w:val="left" w:pos="-720"/>
        </w:tabs>
        <w:suppressAutoHyphens/>
        <w:ind w:firstLine="720"/>
        <w:rPr>
          <w:rFonts w:ascii="Times New Roman" w:hAnsi="Times New Roman"/>
          <w:b/>
          <w:szCs w:val="24"/>
        </w:rPr>
      </w:pPr>
    </w:p>
    <w:p w:rsidRPr="00314560" w:rsidR="00314560" w:rsidP="00314560" w:rsidRDefault="00314560" w14:paraId="2EE247F8" w14:textId="77777777">
      <w:pPr>
        <w:tabs>
          <w:tab w:val="left" w:pos="-720"/>
        </w:tabs>
        <w:suppressAutoHyphens/>
        <w:ind w:left="720"/>
        <w:rPr>
          <w:rFonts w:ascii="Times New Roman" w:hAnsi="Times New Roman"/>
          <w:bCs/>
          <w:szCs w:val="24"/>
        </w:rPr>
      </w:pPr>
      <w:r w:rsidRPr="00314560">
        <w:rPr>
          <w:rFonts w:ascii="Times New Roman" w:hAnsi="Times New Roman"/>
          <w:bCs/>
          <w:szCs w:val="24"/>
        </w:rPr>
        <w:t xml:space="preserve">Since 2005, all States have completed and submitted 13 APRs.  Beginning with the FFY 2013 SPP/APR submitted in February 2015, a combined Part B SPP/APR took the place of the previous SPP and APR. This change eliminated duplicate reporting in the SPP and in the APR on the State’s targets and its discussion of improvement activities completed.  In addition, the Department allowed States to use data already collected for other purposes whenever possible. </w:t>
      </w:r>
    </w:p>
    <w:p w:rsidRPr="00314560" w:rsidR="00314560" w:rsidP="00314560" w:rsidRDefault="00314560" w14:paraId="0D363C31" w14:textId="1A9A5CAE">
      <w:pPr>
        <w:tabs>
          <w:tab w:val="left" w:pos="-720"/>
        </w:tabs>
        <w:suppressAutoHyphens/>
        <w:ind w:left="720"/>
        <w:rPr>
          <w:rFonts w:ascii="Times New Roman" w:hAnsi="Times New Roman"/>
          <w:bCs/>
          <w:szCs w:val="24"/>
        </w:rPr>
      </w:pPr>
      <w:r w:rsidRPr="00314560">
        <w:rPr>
          <w:rFonts w:ascii="Times New Roman" w:hAnsi="Times New Roman"/>
          <w:bCs/>
          <w:szCs w:val="24"/>
        </w:rPr>
        <w:t xml:space="preserve"> </w:t>
      </w:r>
    </w:p>
    <w:p w:rsidR="00314560" w:rsidP="00314560" w:rsidRDefault="00314560" w14:paraId="4FF88DC9" w14:textId="42220181">
      <w:pPr>
        <w:tabs>
          <w:tab w:val="left" w:pos="-720"/>
        </w:tabs>
        <w:suppressAutoHyphens/>
        <w:ind w:left="720"/>
        <w:rPr>
          <w:rFonts w:ascii="Times New Roman" w:hAnsi="Times New Roman"/>
          <w:b/>
          <w:szCs w:val="24"/>
        </w:rPr>
      </w:pPr>
      <w:r w:rsidRPr="00314560">
        <w:rPr>
          <w:rFonts w:ascii="Times New Roman" w:hAnsi="Times New Roman"/>
          <w:bCs/>
          <w:szCs w:val="24"/>
        </w:rPr>
        <w:lastRenderedPageBreak/>
        <w:t xml:space="preserve">As explained below, the Department has already eliminated those reporting requirements where the information in the SPP/APR would duplicate another collection, and in cases where the Department can perform the necessary analysis without additional information from the State.  However, for the remaining indicators, the SPP/APR provides States an opportunity to analyze and explain data that the State is required to report annually under section 618 of the IDEA, e.g., data on educational environments, dispute resolution, assessment, and exiting.  During previous approval cycles, with stakeholder input, the Department determined that it was no longer necessary for States to report on </w:t>
      </w:r>
      <w:r w:rsidR="001B4C22">
        <w:rPr>
          <w:rFonts w:ascii="Times New Roman" w:hAnsi="Times New Roman"/>
          <w:bCs/>
          <w:szCs w:val="24"/>
        </w:rPr>
        <w:t xml:space="preserve">previous </w:t>
      </w:r>
      <w:r w:rsidRPr="00314560">
        <w:rPr>
          <w:rFonts w:ascii="Times New Roman" w:hAnsi="Times New Roman"/>
          <w:bCs/>
          <w:szCs w:val="24"/>
        </w:rPr>
        <w:t>Indicators 16 and 17 – the timeliness of State complaint and due process hearing decisions – as the Department is able to evaluate State performance on these indicators by using data collected through IDEA section 618 without having to require States to report this information through the SPP/APR collection.  The Department also eliminated</w:t>
      </w:r>
      <w:r w:rsidR="00E6684B">
        <w:rPr>
          <w:rFonts w:ascii="Times New Roman" w:hAnsi="Times New Roman"/>
          <w:bCs/>
          <w:szCs w:val="24"/>
        </w:rPr>
        <w:t xml:space="preserve"> previous</w:t>
      </w:r>
      <w:r w:rsidRPr="00314560">
        <w:rPr>
          <w:rFonts w:ascii="Times New Roman" w:hAnsi="Times New Roman"/>
          <w:bCs/>
          <w:szCs w:val="24"/>
        </w:rPr>
        <w:t xml:space="preserve"> Indicators 15 and 20 because, as with previous Indicators 16 and 17, the Department </w:t>
      </w:r>
      <w:proofErr w:type="gramStart"/>
      <w:r w:rsidRPr="00314560">
        <w:rPr>
          <w:rFonts w:ascii="Times New Roman" w:hAnsi="Times New Roman"/>
          <w:bCs/>
          <w:szCs w:val="24"/>
        </w:rPr>
        <w:t>is able to</w:t>
      </w:r>
      <w:proofErr w:type="gramEnd"/>
      <w:r w:rsidRPr="00314560">
        <w:rPr>
          <w:rFonts w:ascii="Times New Roman" w:hAnsi="Times New Roman"/>
          <w:bCs/>
          <w:szCs w:val="24"/>
        </w:rPr>
        <w:t xml:space="preserve"> evaluate State performance in these areas (monitoring and data collection) without the information provided in those indicators.</w:t>
      </w:r>
    </w:p>
    <w:p w:rsidR="00043C32" w:rsidP="00AD381B" w:rsidRDefault="00043C32" w14:paraId="03560D60"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rsidRDefault="00AD381B" w14:paraId="0323FFFB" w14:textId="1F30767C">
      <w:pPr>
        <w:pStyle w:val="ListParagraph"/>
        <w:contextualSpacing w:val="0"/>
        <w:rPr>
          <w:rFonts w:ascii="Times New Roman" w:hAnsi="Times New Roman"/>
          <w:szCs w:val="24"/>
        </w:rPr>
      </w:pPr>
    </w:p>
    <w:p w:rsidR="00507436" w:rsidP="00AD381B" w:rsidRDefault="004F4AAC" w14:paraId="213E361C" w14:textId="36D33E6E">
      <w:pPr>
        <w:pStyle w:val="ListParagraph"/>
        <w:contextualSpacing w:val="0"/>
        <w:rPr>
          <w:rFonts w:ascii="Times New Roman" w:hAnsi="Times New Roman"/>
          <w:szCs w:val="24"/>
        </w:rPr>
      </w:pPr>
      <w:r w:rsidRPr="004F4AAC">
        <w:rPr>
          <w:rFonts w:ascii="Times New Roman" w:hAnsi="Times New Roman"/>
          <w:szCs w:val="24"/>
        </w:rPr>
        <w:t>The information requested does not involve the collection of information from entities classified as small businesses or other small entities.</w:t>
      </w:r>
    </w:p>
    <w:p w:rsidR="00AD381B" w:rsidP="00AD381B" w:rsidRDefault="00AD381B" w14:paraId="627D16F2" w14:textId="77777777">
      <w:pPr>
        <w:pStyle w:val="ListParagraph"/>
        <w:contextualSpacing w:val="0"/>
        <w:rPr>
          <w:rFonts w:ascii="Times New Roman" w:hAnsi="Times New Roman"/>
          <w:szCs w:val="24"/>
        </w:rPr>
      </w:pPr>
    </w:p>
    <w:p w:rsidRPr="00AD381B" w:rsidR="00043C32" w:rsidP="00AD381B" w:rsidRDefault="00043C32" w14:paraId="03560D61"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AD381B" w:rsidP="00AD381B" w:rsidRDefault="00AD381B" w14:paraId="13239F66" w14:textId="0DAE163C">
      <w:pPr>
        <w:tabs>
          <w:tab w:val="left" w:pos="-720"/>
        </w:tabs>
        <w:suppressAutoHyphens/>
        <w:rPr>
          <w:rFonts w:ascii="Times New Roman" w:hAnsi="Times New Roman"/>
          <w:szCs w:val="24"/>
        </w:rPr>
      </w:pPr>
    </w:p>
    <w:p w:rsidRPr="00B8746E" w:rsidR="00B8746E" w:rsidP="00B8746E" w:rsidRDefault="00B8746E" w14:paraId="6A97BBDC" w14:textId="5B308917">
      <w:pPr>
        <w:tabs>
          <w:tab w:val="left" w:pos="-720"/>
        </w:tabs>
        <w:suppressAutoHyphens/>
        <w:ind w:left="720"/>
        <w:rPr>
          <w:rFonts w:ascii="Times New Roman" w:hAnsi="Times New Roman"/>
          <w:szCs w:val="24"/>
        </w:rPr>
      </w:pPr>
      <w:r w:rsidRPr="00B8746E">
        <w:rPr>
          <w:rFonts w:ascii="Times New Roman" w:hAnsi="Times New Roman"/>
        </w:rPr>
        <w:t xml:space="preserve">Activities described in answers A1 and A2 would not be completed, and the Department would be in violation of section 616 of the </w:t>
      </w:r>
      <w:proofErr w:type="gramStart"/>
      <w:r w:rsidRPr="00B8746E">
        <w:rPr>
          <w:rFonts w:ascii="Times New Roman" w:hAnsi="Times New Roman"/>
        </w:rPr>
        <w:t>IDEA, if</w:t>
      </w:r>
      <w:proofErr w:type="gramEnd"/>
      <w:r w:rsidRPr="00B8746E">
        <w:rPr>
          <w:rFonts w:ascii="Times New Roman" w:hAnsi="Times New Roman"/>
        </w:rPr>
        <w:t xml:space="preserve"> this collection was not conducted.</w:t>
      </w:r>
    </w:p>
    <w:p w:rsidRPr="00AD381B" w:rsidR="00AD381B" w:rsidP="00AD381B" w:rsidRDefault="00AD381B" w14:paraId="1219BE8B" w14:textId="77777777">
      <w:pPr>
        <w:tabs>
          <w:tab w:val="left" w:pos="-720"/>
        </w:tabs>
        <w:suppressAutoHyphens/>
        <w:rPr>
          <w:rFonts w:ascii="Times New Roman" w:hAnsi="Times New Roman"/>
          <w:szCs w:val="24"/>
        </w:rPr>
      </w:pPr>
    </w:p>
    <w:p w:rsidRPr="00AD381B" w:rsidR="00043C32" w:rsidP="00AD381B" w:rsidRDefault="00043C32" w14:paraId="03560D62"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AD381B" w:rsidRDefault="00043C32" w14:paraId="03560D63" w14:textId="77777777">
      <w:pPr>
        <w:tabs>
          <w:tab w:val="left" w:pos="-720"/>
        </w:tabs>
        <w:suppressAutoHyphens/>
        <w:rPr>
          <w:rFonts w:ascii="Times New Roman" w:hAnsi="Times New Roman"/>
          <w:b/>
          <w:szCs w:val="24"/>
        </w:rPr>
      </w:pPr>
    </w:p>
    <w:p w:rsidRPr="00AD381B" w:rsidR="00043C32" w:rsidP="00AD381B" w:rsidRDefault="00043C32" w14:paraId="03560D64"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proofErr w:type="gramStart"/>
      <w:r w:rsidRPr="00AD381B">
        <w:rPr>
          <w:rFonts w:ascii="Times New Roman" w:hAnsi="Times New Roman"/>
          <w:b/>
          <w:szCs w:val="24"/>
        </w:rPr>
        <w:t>quarterly;</w:t>
      </w:r>
      <w:proofErr w:type="gramEnd"/>
    </w:p>
    <w:p w:rsidRPr="00AD381B" w:rsidR="00043C32" w:rsidP="00AD381B" w:rsidRDefault="00043C32" w14:paraId="03560D65" w14:textId="77777777">
      <w:pPr>
        <w:numPr>
          <w:ilvl w:val="12"/>
          <w:numId w:val="0"/>
        </w:numPr>
        <w:tabs>
          <w:tab w:val="left" w:pos="-720"/>
        </w:tabs>
        <w:suppressAutoHyphens/>
        <w:ind w:left="340"/>
        <w:rPr>
          <w:rFonts w:ascii="Times New Roman" w:hAnsi="Times New Roman"/>
          <w:b/>
          <w:szCs w:val="24"/>
        </w:rPr>
      </w:pPr>
    </w:p>
    <w:p w:rsidRPr="00AD381B" w:rsidR="00043C32" w:rsidP="00AD381B" w:rsidRDefault="00043C32" w14:paraId="03560D66"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proofErr w:type="gramStart"/>
      <w:r w:rsidRPr="00AD381B">
        <w:rPr>
          <w:rFonts w:ascii="Times New Roman" w:hAnsi="Times New Roman"/>
          <w:b/>
          <w:szCs w:val="24"/>
        </w:rPr>
        <w:t>it;</w:t>
      </w:r>
      <w:proofErr w:type="gramEnd"/>
    </w:p>
    <w:p w:rsidRPr="00AD381B" w:rsidR="00043C32" w:rsidP="00AD381B" w:rsidRDefault="00043C32" w14:paraId="03560D67"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03560D68"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proofErr w:type="gramStart"/>
      <w:r w:rsidRPr="00AD381B">
        <w:rPr>
          <w:rFonts w:ascii="Times New Roman" w:hAnsi="Times New Roman"/>
          <w:b/>
          <w:szCs w:val="24"/>
        </w:rPr>
        <w:t>document;</w:t>
      </w:r>
      <w:proofErr w:type="gramEnd"/>
    </w:p>
    <w:p w:rsidRPr="00AD381B" w:rsidR="00043C32" w:rsidP="00AD381B" w:rsidRDefault="00043C32" w14:paraId="03560D69"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03560D6A"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proofErr w:type="gramStart"/>
      <w:r w:rsidRPr="00AD381B">
        <w:rPr>
          <w:rFonts w:ascii="Times New Roman" w:hAnsi="Times New Roman"/>
          <w:b/>
          <w:szCs w:val="24"/>
        </w:rPr>
        <w:t>years;</w:t>
      </w:r>
      <w:proofErr w:type="gramEnd"/>
    </w:p>
    <w:p w:rsidRPr="00AD381B" w:rsidR="00043C32" w:rsidP="00AD381B" w:rsidRDefault="00043C32" w14:paraId="03560D6B"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03560D6C"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proofErr w:type="gramStart"/>
      <w:r w:rsidRPr="00AD381B">
        <w:rPr>
          <w:rFonts w:ascii="Times New Roman" w:hAnsi="Times New Roman"/>
          <w:b/>
          <w:szCs w:val="24"/>
        </w:rPr>
        <w:t>study;</w:t>
      </w:r>
      <w:proofErr w:type="gramEnd"/>
    </w:p>
    <w:p w:rsidRPr="00AD381B" w:rsidR="00043C32" w:rsidP="00AD381B" w:rsidRDefault="00043C32" w14:paraId="03560D6D"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03560D6E"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proofErr w:type="gramStart"/>
      <w:r w:rsidRPr="00AD381B">
        <w:rPr>
          <w:rFonts w:ascii="Times New Roman" w:hAnsi="Times New Roman"/>
          <w:b/>
          <w:szCs w:val="24"/>
        </w:rPr>
        <w:t>OMB;</w:t>
      </w:r>
      <w:proofErr w:type="gramEnd"/>
    </w:p>
    <w:p w:rsidRPr="00AD381B" w:rsidR="00043C32" w:rsidP="00AD381B" w:rsidRDefault="00043C32" w14:paraId="03560D6F"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03560D70"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AD381B" w:rsidR="00043C32" w:rsidP="00AD381B" w:rsidRDefault="00043C32" w14:paraId="03560D71" w14:textId="77777777">
      <w:pPr>
        <w:numPr>
          <w:ilvl w:val="12"/>
          <w:numId w:val="0"/>
        </w:numPr>
        <w:tabs>
          <w:tab w:val="left" w:pos="-720"/>
        </w:tabs>
        <w:suppressAutoHyphens/>
        <w:rPr>
          <w:rFonts w:ascii="Times New Roman" w:hAnsi="Times New Roman"/>
          <w:b/>
          <w:szCs w:val="24"/>
        </w:rPr>
      </w:pPr>
    </w:p>
    <w:p w:rsidR="00043C32" w:rsidP="00AD381B" w:rsidRDefault="00043C32" w14:paraId="03560D72"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AD381B" w:rsidRDefault="00AD381B" w14:paraId="4144EC8B" w14:textId="4159CB0A">
      <w:pPr>
        <w:pStyle w:val="ListParagraph"/>
        <w:rPr>
          <w:rFonts w:ascii="Times New Roman" w:hAnsi="Times New Roman"/>
          <w:b/>
          <w:szCs w:val="24"/>
        </w:rPr>
      </w:pPr>
    </w:p>
    <w:p w:rsidR="00CD036E" w:rsidP="00AD381B" w:rsidRDefault="00CD036E" w14:paraId="2CCF06A4" w14:textId="6CCA6ABA">
      <w:pPr>
        <w:pStyle w:val="ListParagraph"/>
        <w:rPr>
          <w:rFonts w:ascii="Times New Roman" w:hAnsi="Times New Roman"/>
          <w:b/>
          <w:szCs w:val="24"/>
        </w:rPr>
      </w:pPr>
      <w:r w:rsidRPr="00CD036E">
        <w:rPr>
          <w:rFonts w:ascii="Times New Roman" w:hAnsi="Times New Roman"/>
          <w:szCs w:val="24"/>
        </w:rPr>
        <w:t>There are no special circumstances that would cause an information collection to be conducted as described in the bulleted items.</w:t>
      </w:r>
    </w:p>
    <w:p w:rsidRPr="00AD381B" w:rsidR="00AD381B" w:rsidP="00AD381B" w:rsidRDefault="00AD381B" w14:paraId="0C3363E5" w14:textId="77777777">
      <w:pPr>
        <w:tabs>
          <w:tab w:val="left" w:pos="-720"/>
        </w:tabs>
        <w:suppressAutoHyphens/>
        <w:rPr>
          <w:rFonts w:ascii="Times New Roman" w:hAnsi="Times New Roman"/>
          <w:szCs w:val="24"/>
        </w:rPr>
      </w:pPr>
    </w:p>
    <w:p w:rsidRPr="00AD381B" w:rsidR="00043C32" w:rsidP="00AD381B" w:rsidRDefault="00043C32" w14:paraId="03560D73"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AD381B" w:rsidR="00043C32" w:rsidP="00AD381B" w:rsidRDefault="00043C32" w14:paraId="03560D74" w14:textId="77777777">
      <w:pPr>
        <w:tabs>
          <w:tab w:val="left" w:pos="-720"/>
        </w:tabs>
        <w:suppressAutoHyphens/>
        <w:rPr>
          <w:rStyle w:val="a"/>
          <w:rFonts w:ascii="Times New Roman" w:hAnsi="Times New Roman"/>
          <w:b/>
          <w:szCs w:val="24"/>
        </w:rPr>
      </w:pPr>
    </w:p>
    <w:p w:rsidRPr="00AD381B" w:rsidR="00043C32" w:rsidP="00AD381B" w:rsidRDefault="00043C32" w14:paraId="03560D75"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AD381B" w:rsidRDefault="00043C32" w14:paraId="03560D76" w14:textId="77777777">
      <w:pPr>
        <w:tabs>
          <w:tab w:val="left" w:pos="-720"/>
        </w:tabs>
        <w:suppressAutoHyphens/>
        <w:rPr>
          <w:rStyle w:val="a"/>
          <w:rFonts w:ascii="Times New Roman" w:hAnsi="Times New Roman"/>
          <w:b/>
          <w:szCs w:val="24"/>
        </w:rPr>
      </w:pPr>
    </w:p>
    <w:p w:rsidR="00043C32" w:rsidP="00AD381B" w:rsidRDefault="00043C32" w14:paraId="03560D77"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AD381B" w:rsidRDefault="00AD381B" w14:paraId="5836F5CD" w14:textId="77777777">
      <w:pPr>
        <w:tabs>
          <w:tab w:val="left" w:pos="-720"/>
        </w:tabs>
        <w:suppressAutoHyphens/>
        <w:ind w:left="720"/>
        <w:rPr>
          <w:rFonts w:ascii="Times New Roman" w:hAnsi="Times New Roman"/>
          <w:b/>
          <w:szCs w:val="24"/>
        </w:rPr>
      </w:pPr>
    </w:p>
    <w:p w:rsidR="00D36C35" w:rsidP="02AD68AD" w:rsidRDefault="00337E04" w14:paraId="28CD1D52" w14:textId="3236AB5F">
      <w:pPr>
        <w:tabs>
          <w:tab w:val="left" w:pos="-720"/>
        </w:tabs>
        <w:suppressAutoHyphens/>
        <w:ind w:left="720"/>
        <w:rPr>
          <w:rFonts w:ascii="Times New Roman" w:hAnsi="Times New Roman"/>
        </w:rPr>
      </w:pPr>
      <w:r w:rsidRPr="78097D23">
        <w:rPr>
          <w:rFonts w:ascii="Times New Roman" w:hAnsi="Times New Roman"/>
        </w:rPr>
        <w:t xml:space="preserve">OSEP consulted with the field during the development of this revision.  Additionally, Information Collection 1820-0624 </w:t>
      </w:r>
      <w:r w:rsidRPr="78097D23" w:rsidR="3F7DF35E">
        <w:rPr>
          <w:rFonts w:ascii="Times New Roman" w:hAnsi="Times New Roman"/>
        </w:rPr>
        <w:t>was</w:t>
      </w:r>
      <w:r w:rsidRPr="78097D23">
        <w:rPr>
          <w:rFonts w:ascii="Times New Roman" w:hAnsi="Times New Roman"/>
        </w:rPr>
        <w:t xml:space="preserve"> placed in the Federal Register</w:t>
      </w:r>
      <w:r w:rsidRPr="78097D23" w:rsidR="624C938E">
        <w:rPr>
          <w:rFonts w:ascii="Times New Roman" w:hAnsi="Times New Roman"/>
        </w:rPr>
        <w:t xml:space="preserve"> for a 60-day</w:t>
      </w:r>
      <w:r w:rsidRPr="78097D23">
        <w:rPr>
          <w:rFonts w:ascii="Times New Roman" w:hAnsi="Times New Roman"/>
        </w:rPr>
        <w:t xml:space="preserve"> </w:t>
      </w:r>
      <w:r w:rsidRPr="78097D23" w:rsidR="0EA4CFF5">
        <w:rPr>
          <w:rFonts w:ascii="Times New Roman" w:hAnsi="Times New Roman"/>
        </w:rPr>
        <w:t xml:space="preserve">comment period </w:t>
      </w:r>
      <w:r w:rsidRPr="78097D23">
        <w:rPr>
          <w:rFonts w:ascii="Times New Roman" w:hAnsi="Times New Roman"/>
        </w:rPr>
        <w:t xml:space="preserve">as a part of this approval of the revision to an approved collection.  </w:t>
      </w:r>
      <w:r w:rsidRPr="78097D23" w:rsidR="55262C2F">
        <w:rPr>
          <w:rFonts w:ascii="Times New Roman" w:hAnsi="Times New Roman"/>
        </w:rPr>
        <w:t>This is the request for the 30</w:t>
      </w:r>
      <w:r w:rsidRPr="78097D23" w:rsidR="08D87770">
        <w:rPr>
          <w:rFonts w:ascii="Times New Roman" w:hAnsi="Times New Roman"/>
        </w:rPr>
        <w:t>-</w:t>
      </w:r>
      <w:r w:rsidRPr="78097D23" w:rsidR="55262C2F">
        <w:rPr>
          <w:rFonts w:ascii="Times New Roman" w:hAnsi="Times New Roman"/>
        </w:rPr>
        <w:t xml:space="preserve">day Federal Register notice inviting public comment.  OSEP’s </w:t>
      </w:r>
      <w:r w:rsidRPr="78097D23" w:rsidR="55262C2F">
        <w:rPr>
          <w:rFonts w:ascii="Times New Roman" w:hAnsi="Times New Roman"/>
        </w:rPr>
        <w:lastRenderedPageBreak/>
        <w:t xml:space="preserve">responses to the comments received during the 60-day comment period </w:t>
      </w:r>
      <w:r w:rsidR="00904A4A">
        <w:rPr>
          <w:rFonts w:ascii="Times New Roman" w:hAnsi="Times New Roman"/>
        </w:rPr>
        <w:t>were published with the 30-day FRN</w:t>
      </w:r>
      <w:r w:rsidR="005F5CB7">
        <w:rPr>
          <w:rFonts w:ascii="Times New Roman" w:hAnsi="Times New Roman"/>
        </w:rPr>
        <w:t>. OSEP is submitting its responses to the comments received on the 30-day FRN through ROCIS</w:t>
      </w:r>
      <w:r w:rsidR="00166404">
        <w:rPr>
          <w:rFonts w:ascii="Times New Roman" w:hAnsi="Times New Roman"/>
        </w:rPr>
        <w:t xml:space="preserve"> for OMB review.</w:t>
      </w:r>
      <w:r w:rsidRPr="78097D23" w:rsidR="55262C2F">
        <w:rPr>
          <w:rFonts w:ascii="Times New Roman" w:hAnsi="Times New Roman"/>
        </w:rPr>
        <w:t xml:space="preserve">  </w:t>
      </w:r>
    </w:p>
    <w:p w:rsidR="00E66550" w:rsidP="00AD381B" w:rsidRDefault="00E66550" w14:paraId="389D26FD" w14:textId="45FDB105">
      <w:pPr>
        <w:tabs>
          <w:tab w:val="left" w:pos="-720"/>
        </w:tabs>
        <w:suppressAutoHyphens/>
        <w:ind w:left="720"/>
        <w:rPr>
          <w:rFonts w:ascii="Times New Roman" w:hAnsi="Times New Roman"/>
          <w:szCs w:val="24"/>
        </w:rPr>
      </w:pPr>
    </w:p>
    <w:p w:rsidR="00043C32" w:rsidP="00AD381B" w:rsidRDefault="00043C32" w14:paraId="03560D78"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166404" w:rsidP="00920F63" w:rsidRDefault="00166404" w14:paraId="554FA72A" w14:textId="77777777">
      <w:pPr>
        <w:pStyle w:val="ListParagraph"/>
        <w:tabs>
          <w:tab w:val="left" w:pos="-720"/>
        </w:tabs>
        <w:suppressAutoHyphens/>
        <w:contextualSpacing w:val="0"/>
        <w:rPr>
          <w:rFonts w:ascii="Times New Roman" w:hAnsi="Times New Roman"/>
          <w:szCs w:val="24"/>
        </w:rPr>
      </w:pPr>
    </w:p>
    <w:p w:rsidR="00920F63" w:rsidP="00920F63" w:rsidRDefault="008E3985" w14:paraId="5DFFF2CC" w14:textId="76592790">
      <w:pPr>
        <w:pStyle w:val="ListParagraph"/>
        <w:tabs>
          <w:tab w:val="left" w:pos="-720"/>
        </w:tabs>
        <w:suppressAutoHyphens/>
        <w:contextualSpacing w:val="0"/>
        <w:rPr>
          <w:rFonts w:ascii="Times New Roman" w:hAnsi="Times New Roman"/>
          <w:b/>
          <w:szCs w:val="24"/>
        </w:rPr>
      </w:pPr>
      <w:r w:rsidRPr="008E3985">
        <w:rPr>
          <w:rFonts w:ascii="Times New Roman" w:hAnsi="Times New Roman"/>
          <w:szCs w:val="24"/>
        </w:rPr>
        <w:t>This collection does not require gifts or payments to be made to respondents.</w:t>
      </w:r>
    </w:p>
    <w:p w:rsidRPr="00920F63" w:rsidR="00920F63" w:rsidP="00920F63" w:rsidRDefault="00920F63" w14:paraId="3F126682" w14:textId="67F60FE6">
      <w:pPr>
        <w:pStyle w:val="ListParagraph"/>
        <w:tabs>
          <w:tab w:val="left" w:pos="-720"/>
        </w:tabs>
        <w:suppressAutoHyphens/>
        <w:contextualSpacing w:val="0"/>
        <w:rPr>
          <w:rFonts w:ascii="Times New Roman" w:hAnsi="Times New Roman"/>
          <w:szCs w:val="24"/>
        </w:rPr>
      </w:pPr>
    </w:p>
    <w:p w:rsidR="00043C32" w:rsidP="00AD381B" w:rsidRDefault="00043C32" w14:paraId="03560D79" w14:textId="28BB934C">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p>
    <w:p w:rsidR="00920F63" w:rsidP="00920F63" w:rsidRDefault="00920F63" w14:paraId="3F0E855B" w14:textId="77777777">
      <w:pPr>
        <w:tabs>
          <w:tab w:val="left" w:pos="-720"/>
        </w:tabs>
        <w:suppressAutoHyphens/>
        <w:rPr>
          <w:rFonts w:ascii="Times New Roman" w:hAnsi="Times New Roman"/>
          <w:b/>
          <w:szCs w:val="24"/>
        </w:rPr>
      </w:pPr>
    </w:p>
    <w:p w:rsidRPr="00920F63" w:rsidR="00920F63" w:rsidP="00574CD0" w:rsidRDefault="00574CD0" w14:paraId="6F26540C" w14:textId="30B862C0">
      <w:pPr>
        <w:tabs>
          <w:tab w:val="left" w:pos="-720"/>
        </w:tabs>
        <w:suppressAutoHyphens/>
        <w:ind w:left="720"/>
        <w:rPr>
          <w:rFonts w:ascii="Times New Roman" w:hAnsi="Times New Roman"/>
          <w:szCs w:val="24"/>
        </w:rPr>
      </w:pPr>
      <w:r w:rsidRPr="00574CD0">
        <w:rPr>
          <w:rFonts w:ascii="Times New Roman" w:hAnsi="Times New Roman"/>
          <w:szCs w:val="24"/>
        </w:rPr>
        <w:t>No assurance of confidentiality is provided to respondent States.  However, under 20 U.S.C. 1416(b)(2)(C)(iii), a State must not report to the public or the Secretary any information on performance that would result in the disclosure of personally-identifiable information about individual children or where the available data is insufficient to yield statistically reliable information.  All data required to be reported in the SPP/APR are aggregated at the State level.</w:t>
      </w:r>
    </w:p>
    <w:p w:rsidRPr="00920F63" w:rsidR="00920F63" w:rsidP="00E25EBC" w:rsidRDefault="00920F63" w14:paraId="335B86F2" w14:textId="77777777">
      <w:pPr>
        <w:tabs>
          <w:tab w:val="left" w:pos="-720"/>
        </w:tabs>
        <w:suppressAutoHyphens/>
        <w:rPr>
          <w:rFonts w:ascii="Times New Roman" w:hAnsi="Times New Roman"/>
          <w:szCs w:val="24"/>
        </w:rPr>
      </w:pPr>
    </w:p>
    <w:p w:rsidR="00043C32" w:rsidP="00AD381B" w:rsidRDefault="00043C32" w14:paraId="03560D7A"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920F63" w:rsidRDefault="00920F63" w14:paraId="2C7353A3" w14:textId="77777777">
      <w:pPr>
        <w:tabs>
          <w:tab w:val="left" w:pos="-720"/>
        </w:tabs>
        <w:suppressAutoHyphens/>
        <w:rPr>
          <w:rFonts w:ascii="Times New Roman" w:hAnsi="Times New Roman"/>
          <w:b/>
          <w:szCs w:val="24"/>
        </w:rPr>
      </w:pPr>
    </w:p>
    <w:p w:rsidR="00920F63" w:rsidP="00920F63" w:rsidRDefault="00574CD0" w14:paraId="01785621" w14:textId="33CFD34F">
      <w:pPr>
        <w:tabs>
          <w:tab w:val="left" w:pos="-720"/>
        </w:tabs>
        <w:suppressAutoHyphens/>
        <w:ind w:left="180"/>
        <w:rPr>
          <w:rFonts w:ascii="Times New Roman" w:hAnsi="Times New Roman"/>
          <w:szCs w:val="24"/>
        </w:rPr>
      </w:pPr>
      <w:r>
        <w:rPr>
          <w:rFonts w:ascii="Times New Roman" w:hAnsi="Times New Roman"/>
          <w:szCs w:val="24"/>
        </w:rPr>
        <w:tab/>
      </w:r>
      <w:r w:rsidR="00920F63">
        <w:rPr>
          <w:rFonts w:ascii="Times New Roman" w:hAnsi="Times New Roman"/>
          <w:szCs w:val="24"/>
        </w:rPr>
        <w:t>There are no questions of a sensitive nature.</w:t>
      </w:r>
    </w:p>
    <w:p w:rsidRPr="00920F63" w:rsidR="00920F63" w:rsidP="00920F63" w:rsidRDefault="00920F63" w14:paraId="008CD30F" w14:textId="77777777">
      <w:pPr>
        <w:tabs>
          <w:tab w:val="left" w:pos="-720"/>
        </w:tabs>
        <w:suppressAutoHyphens/>
        <w:ind w:left="180"/>
        <w:rPr>
          <w:rFonts w:ascii="Times New Roman" w:hAnsi="Times New Roman"/>
          <w:szCs w:val="24"/>
        </w:rPr>
      </w:pPr>
    </w:p>
    <w:p w:rsidRPr="00920F63" w:rsidR="00043C32" w:rsidP="00AD381B" w:rsidRDefault="00043C32" w14:paraId="03560D7B"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Provide estimates of the hour burden of the collection of information.  The statement should:</w:t>
      </w:r>
    </w:p>
    <w:p w:rsidRPr="00920F63" w:rsidR="00043C32" w:rsidP="00AD381B" w:rsidRDefault="00043C32" w14:paraId="03560D7C" w14:textId="77777777">
      <w:pPr>
        <w:tabs>
          <w:tab w:val="left" w:pos="-720"/>
        </w:tabs>
        <w:suppressAutoHyphens/>
        <w:rPr>
          <w:rStyle w:val="a"/>
          <w:rFonts w:ascii="Times New Roman" w:hAnsi="Times New Roman"/>
          <w:b/>
          <w:szCs w:val="24"/>
        </w:rPr>
      </w:pPr>
    </w:p>
    <w:p w:rsidRPr="00920F63" w:rsidR="00043C32" w:rsidP="00AD381B" w:rsidRDefault="00043C32" w14:paraId="03560D7D"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lastRenderedPageBreak/>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AD381B" w:rsidR="00043C32" w:rsidP="00AD381B" w:rsidRDefault="00043C32" w14:paraId="03560D7E" w14:textId="77777777">
      <w:pPr>
        <w:tabs>
          <w:tab w:val="left" w:pos="-720"/>
          <w:tab w:val="left" w:pos="1247"/>
        </w:tabs>
        <w:suppressAutoHyphens/>
        <w:ind w:left="700"/>
        <w:rPr>
          <w:rStyle w:val="a"/>
          <w:rFonts w:ascii="Times New Roman" w:hAnsi="Times New Roman"/>
          <w:szCs w:val="24"/>
        </w:rPr>
      </w:pPr>
    </w:p>
    <w:p w:rsidRPr="00920F63" w:rsidR="00043C32" w:rsidP="00AD381B" w:rsidRDefault="00043C32" w14:paraId="03560D7F"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w:t>
      </w:r>
      <w:proofErr w:type="gramStart"/>
      <w:r w:rsidRPr="00920F63">
        <w:rPr>
          <w:rStyle w:val="a"/>
          <w:rFonts w:ascii="Times New Roman" w:hAnsi="Times New Roman"/>
          <w:b/>
          <w:szCs w:val="24"/>
        </w:rPr>
        <w:t>form</w:t>
      </w:r>
      <w:proofErr w:type="gramEnd"/>
      <w:r w:rsidRPr="00920F63">
        <w:rPr>
          <w:rStyle w:val="a"/>
          <w:rFonts w:ascii="Times New Roman" w:hAnsi="Times New Roman"/>
          <w:b/>
          <w:szCs w:val="24"/>
        </w:rPr>
        <w:t xml:space="preserve"> and aggregate the hour burdens in the ROCIS IC Burden Analysis Table.  (The table should at minimum include Respondent types, IC activity, Respondent and Responses, Hours/Response, and Total Hours)</w:t>
      </w:r>
    </w:p>
    <w:p w:rsidRPr="00920F63" w:rsidR="00043C32" w:rsidP="00AD381B" w:rsidRDefault="00043C32" w14:paraId="03560D80" w14:textId="77777777">
      <w:pPr>
        <w:tabs>
          <w:tab w:val="left" w:pos="-720"/>
          <w:tab w:val="left" w:pos="1247"/>
        </w:tabs>
        <w:suppressAutoHyphens/>
        <w:ind w:left="700"/>
        <w:rPr>
          <w:rStyle w:val="a"/>
          <w:rFonts w:ascii="Times New Roman" w:hAnsi="Times New Roman"/>
          <w:b/>
          <w:szCs w:val="24"/>
        </w:rPr>
      </w:pPr>
    </w:p>
    <w:p w:rsidRPr="00AD381B" w:rsidR="00043C32" w:rsidP="00AD381B" w:rsidRDefault="00043C32" w14:paraId="03560D81" w14:textId="77777777">
      <w:pPr>
        <w:numPr>
          <w:ilvl w:val="0"/>
          <w:numId w:val="2"/>
        </w:numPr>
        <w:tabs>
          <w:tab w:val="left" w:pos="-720"/>
          <w:tab w:val="left" w:pos="1247"/>
        </w:tabs>
        <w:suppressAutoHyphens/>
        <w:ind w:left="1166"/>
        <w:rPr>
          <w:rFonts w:ascii="Times New Roman" w:hAnsi="Times New Roman"/>
          <w:szCs w:val="24"/>
        </w:rPr>
      </w:pPr>
      <w:r w:rsidRPr="00920F63">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920F63" w:rsidP="00920F63" w:rsidRDefault="00920F63" w14:paraId="7AEE75C0" w14:textId="77777777">
      <w:pPr>
        <w:pStyle w:val="ListParagraph"/>
        <w:tabs>
          <w:tab w:val="left" w:pos="-720"/>
        </w:tabs>
        <w:suppressAutoHyphens/>
        <w:rPr>
          <w:rStyle w:val="a"/>
          <w:rFonts w:ascii="Times New Roman" w:hAnsi="Times New Roman"/>
          <w:szCs w:val="24"/>
        </w:rPr>
      </w:pPr>
    </w:p>
    <w:p w:rsidR="00920F63" w:rsidP="00920F63" w:rsidRDefault="00920F63" w14:paraId="400E9725" w14:textId="77777777">
      <w:pPr>
        <w:pStyle w:val="ListParagraph"/>
        <w:tabs>
          <w:tab w:val="left" w:pos="-720"/>
        </w:tabs>
        <w:suppressAutoHyphens/>
        <w:rPr>
          <w:rStyle w:val="a"/>
          <w:rFonts w:ascii="Times New Roman" w:hAnsi="Times New Roman"/>
          <w:szCs w:val="24"/>
        </w:rPr>
      </w:pPr>
    </w:p>
    <w:p w:rsidRPr="00920F63" w:rsidR="00ED7195" w:rsidP="00ED7195" w:rsidRDefault="00920F63" w14:paraId="78B60277" w14:textId="3F4F92D5">
      <w:pPr>
        <w:pStyle w:val="Caption"/>
        <w:rPr>
          <w:rFonts w:ascii="Times New Roman" w:hAnsi="Times New Roman"/>
          <w:color w:val="000000" w:themeColor="text1"/>
          <w:sz w:val="24"/>
          <w:szCs w:val="24"/>
        </w:rPr>
      </w:pPr>
      <w:r w:rsidRPr="00920F63">
        <w:rPr>
          <w:rFonts w:ascii="Times New Roman" w:hAnsi="Times New Roman"/>
          <w:color w:val="000000" w:themeColor="text1"/>
          <w:sz w:val="24"/>
          <w:szCs w:val="24"/>
        </w:rPr>
        <w:t>Exhibit 1</w:t>
      </w:r>
      <w:r w:rsidR="00807D1A">
        <w:rPr>
          <w:rFonts w:ascii="Times New Roman" w:hAnsi="Times New Roman"/>
          <w:color w:val="000000" w:themeColor="text1"/>
          <w:sz w:val="24"/>
          <w:szCs w:val="24"/>
        </w:rPr>
        <w:t>:</w:t>
      </w:r>
      <w:r w:rsidRPr="00920F63" w:rsidR="00ED7195">
        <w:rPr>
          <w:rFonts w:ascii="Times New Roman" w:hAnsi="Times New Roman"/>
          <w:color w:val="000000" w:themeColor="text1"/>
          <w:sz w:val="24"/>
          <w:szCs w:val="24"/>
        </w:rPr>
        <w:t xml:space="preserve"> Estimated </w:t>
      </w:r>
      <w:r w:rsidR="007F6104">
        <w:rPr>
          <w:rFonts w:ascii="Times New Roman" w:hAnsi="Times New Roman"/>
          <w:color w:val="000000" w:themeColor="text1"/>
          <w:sz w:val="24"/>
          <w:szCs w:val="24"/>
        </w:rPr>
        <w:t>Burden and Respondent Costs</w:t>
      </w:r>
    </w:p>
    <w:tbl>
      <w:tblPr>
        <w:tblpPr w:leftFromText="180" w:rightFromText="180" w:vertAnchor="text" w:horzAnchor="margin" w:tblpXSpec="center" w:tblpY="174"/>
        <w:tblW w:w="11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35"/>
        <w:gridCol w:w="1170"/>
        <w:gridCol w:w="1170"/>
        <w:gridCol w:w="1260"/>
        <w:gridCol w:w="1080"/>
        <w:gridCol w:w="1260"/>
        <w:gridCol w:w="1080"/>
        <w:gridCol w:w="1170"/>
        <w:gridCol w:w="1710"/>
      </w:tblGrid>
      <w:tr w:rsidRPr="00442E07" w:rsidR="00C86713" w:rsidTr="2FCA6397" w14:paraId="68F995AF" w14:textId="77777777">
        <w:tc>
          <w:tcPr>
            <w:tcW w:w="1435" w:type="dxa"/>
            <w:shd w:val="clear" w:color="auto" w:fill="F2F2F2" w:themeFill="background1" w:themeFillShade="F2"/>
            <w:vAlign w:val="center"/>
          </w:tcPr>
          <w:p w:rsidR="00C86713" w:rsidP="00FE1BAE" w:rsidRDefault="00C86713" w14:paraId="5C138E9A" w14:textId="1CAF7438">
            <w:pPr>
              <w:jc w:val="center"/>
              <w:rPr>
                <w:rFonts w:ascii="Times New Roman" w:hAnsi="Times New Roman"/>
                <w:sz w:val="20"/>
              </w:rPr>
            </w:pPr>
          </w:p>
          <w:p w:rsidR="00C86713" w:rsidP="00FE1BAE" w:rsidRDefault="00C86713" w14:paraId="120A4603" w14:textId="77777777">
            <w:pPr>
              <w:jc w:val="center"/>
              <w:rPr>
                <w:rFonts w:ascii="Times New Roman" w:hAnsi="Times New Roman"/>
                <w:sz w:val="20"/>
              </w:rPr>
            </w:pPr>
          </w:p>
          <w:p w:rsidRPr="007F6104" w:rsidR="00C86713" w:rsidP="00FE1BAE" w:rsidRDefault="00C86713" w14:paraId="6342E08E" w14:textId="14E62484">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170" w:type="dxa"/>
            <w:shd w:val="clear" w:color="auto" w:fill="F2F2F2" w:themeFill="background1" w:themeFillShade="F2"/>
          </w:tcPr>
          <w:p w:rsidR="00C86713" w:rsidP="00FE1BAE" w:rsidRDefault="00C86713" w14:paraId="332D44DC" w14:textId="77777777">
            <w:pPr>
              <w:jc w:val="center"/>
              <w:rPr>
                <w:rFonts w:ascii="Times New Roman" w:hAnsi="Times New Roman"/>
                <w:sz w:val="20"/>
              </w:rPr>
            </w:pPr>
          </w:p>
          <w:p w:rsidR="00C86713" w:rsidP="00FE1BAE" w:rsidRDefault="00C86713" w14:paraId="5CB0FA6B" w14:textId="77777777">
            <w:pPr>
              <w:jc w:val="center"/>
              <w:rPr>
                <w:rFonts w:ascii="Times New Roman" w:hAnsi="Times New Roman"/>
                <w:sz w:val="20"/>
              </w:rPr>
            </w:pPr>
          </w:p>
          <w:p w:rsidRPr="007F6104" w:rsidR="00C86713" w:rsidP="00FE1BAE" w:rsidRDefault="00C86713" w14:paraId="5C32E8DC" w14:textId="1614B516">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170" w:type="dxa"/>
            <w:shd w:val="clear" w:color="auto" w:fill="F2F2F2" w:themeFill="background1" w:themeFillShade="F2"/>
          </w:tcPr>
          <w:p w:rsidR="00C86713" w:rsidP="00FE1BAE" w:rsidRDefault="00C86713" w14:paraId="5F3856D2" w14:textId="77777777">
            <w:pPr>
              <w:jc w:val="center"/>
              <w:rPr>
                <w:rFonts w:ascii="Times New Roman" w:hAnsi="Times New Roman"/>
                <w:sz w:val="20"/>
              </w:rPr>
            </w:pPr>
          </w:p>
          <w:p w:rsidR="00C86713" w:rsidP="00581C11" w:rsidRDefault="00C86713" w14:paraId="17D6BCB3" w14:textId="77777777">
            <w:pPr>
              <w:shd w:val="clear" w:color="auto" w:fill="F2F2F2" w:themeFill="background1" w:themeFillShade="F2"/>
              <w:jc w:val="center"/>
              <w:rPr>
                <w:rFonts w:ascii="Times New Roman" w:hAnsi="Times New Roman"/>
                <w:sz w:val="20"/>
              </w:rPr>
            </w:pPr>
          </w:p>
          <w:p w:rsidRPr="007F6104" w:rsidR="00C86713" w:rsidP="00581C11" w:rsidRDefault="00C86713" w14:paraId="646C182E" w14:textId="0F67AFFA">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60" w:type="dxa"/>
            <w:shd w:val="clear" w:color="auto" w:fill="F2F2F2" w:themeFill="background1" w:themeFillShade="F2"/>
            <w:vAlign w:val="center"/>
          </w:tcPr>
          <w:p w:rsidRPr="007F6104" w:rsidR="00C86713" w:rsidP="00FE1BAE" w:rsidRDefault="00C86713" w14:paraId="17AD919D" w14:textId="096F436F">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shd w:val="clear" w:color="auto" w:fill="F2F2F2" w:themeFill="background1" w:themeFillShade="F2"/>
          </w:tcPr>
          <w:p w:rsidR="00C86713" w:rsidP="00FE1BAE" w:rsidRDefault="00C86713" w14:paraId="6AE89699" w14:textId="77777777">
            <w:pPr>
              <w:jc w:val="center"/>
              <w:rPr>
                <w:rFonts w:ascii="Times New Roman" w:hAnsi="Times New Roman"/>
                <w:sz w:val="20"/>
              </w:rPr>
            </w:pPr>
          </w:p>
          <w:p w:rsidR="00C86713" w:rsidP="00FE1BAE" w:rsidRDefault="00C86713" w14:paraId="5AF1F822" w14:textId="0C83CC77">
            <w:pPr>
              <w:jc w:val="center"/>
              <w:rPr>
                <w:rFonts w:ascii="Times New Roman" w:hAnsi="Times New Roman"/>
                <w:sz w:val="20"/>
              </w:rPr>
            </w:pPr>
          </w:p>
          <w:p w:rsidRPr="007F6104" w:rsidR="00C86713" w:rsidP="00FE1BAE" w:rsidRDefault="00C86713" w14:paraId="77E66B42" w14:textId="4A6334EB">
            <w:pPr>
              <w:jc w:val="center"/>
              <w:rPr>
                <w:rFonts w:ascii="Times New Roman" w:hAnsi="Times New Roman"/>
                <w:sz w:val="20"/>
              </w:rPr>
            </w:pPr>
            <w:r w:rsidRPr="007F6104">
              <w:rPr>
                <w:rFonts w:ascii="Times New Roman" w:hAnsi="Times New Roman"/>
                <w:sz w:val="20"/>
              </w:rPr>
              <w:t>Number of Responses</w:t>
            </w:r>
          </w:p>
        </w:tc>
        <w:tc>
          <w:tcPr>
            <w:tcW w:w="1260" w:type="dxa"/>
            <w:shd w:val="clear" w:color="auto" w:fill="F2F2F2" w:themeFill="background1" w:themeFillShade="F2"/>
            <w:vAlign w:val="center"/>
          </w:tcPr>
          <w:p w:rsidR="00C86713" w:rsidP="00FE1BAE" w:rsidRDefault="00C86713" w14:paraId="2ECE6F93" w14:textId="77777777">
            <w:pPr>
              <w:jc w:val="center"/>
              <w:rPr>
                <w:rFonts w:ascii="Times New Roman" w:hAnsi="Times New Roman"/>
                <w:sz w:val="20"/>
              </w:rPr>
            </w:pPr>
          </w:p>
          <w:p w:rsidRPr="007F6104" w:rsidR="00C86713" w:rsidP="00FE1BAE" w:rsidRDefault="00C86713" w14:paraId="5DADB098" w14:textId="4762A7DC">
            <w:pPr>
              <w:jc w:val="center"/>
              <w:rPr>
                <w:rFonts w:ascii="Times New Roman" w:hAnsi="Times New Roman"/>
                <w:sz w:val="20"/>
              </w:rPr>
            </w:pPr>
            <w:r w:rsidRPr="007F6104">
              <w:rPr>
                <w:rFonts w:ascii="Times New Roman" w:hAnsi="Times New Roman"/>
                <w:sz w:val="20"/>
              </w:rPr>
              <w:t>Average Burden Hours per Response</w:t>
            </w:r>
          </w:p>
        </w:tc>
        <w:tc>
          <w:tcPr>
            <w:tcW w:w="1080" w:type="dxa"/>
            <w:shd w:val="clear" w:color="auto" w:fill="F2F2F2" w:themeFill="background1" w:themeFillShade="F2"/>
            <w:vAlign w:val="center"/>
          </w:tcPr>
          <w:p w:rsidRPr="007F6104" w:rsidR="00C86713" w:rsidP="00FE1BAE" w:rsidRDefault="00C86713" w14:paraId="6B5CAD87" w14:textId="4ED66F49">
            <w:pPr>
              <w:jc w:val="center"/>
              <w:rPr>
                <w:rFonts w:ascii="Times New Roman" w:hAnsi="Times New Roman"/>
                <w:sz w:val="20"/>
              </w:rPr>
            </w:pPr>
            <w:r w:rsidRPr="007F6104">
              <w:rPr>
                <w:rFonts w:ascii="Times New Roman" w:hAnsi="Times New Roman"/>
                <w:sz w:val="20"/>
              </w:rPr>
              <w:t>Total Burden Hours</w:t>
            </w:r>
          </w:p>
        </w:tc>
        <w:tc>
          <w:tcPr>
            <w:tcW w:w="1170" w:type="dxa"/>
            <w:shd w:val="clear" w:color="auto" w:fill="F2F2F2" w:themeFill="background1" w:themeFillShade="F2"/>
          </w:tcPr>
          <w:p w:rsidR="00C86713" w:rsidP="00FE1BAE" w:rsidRDefault="00C86713" w14:paraId="72AED583" w14:textId="77777777">
            <w:pPr>
              <w:jc w:val="center"/>
              <w:rPr>
                <w:rFonts w:ascii="Times New Roman" w:hAnsi="Times New Roman"/>
                <w:sz w:val="20"/>
              </w:rPr>
            </w:pPr>
          </w:p>
          <w:p w:rsidR="00C86713" w:rsidP="00FE1BAE" w:rsidRDefault="00C86713" w14:paraId="60CF2204" w14:textId="77777777">
            <w:pPr>
              <w:jc w:val="center"/>
              <w:rPr>
                <w:rFonts w:ascii="Times New Roman" w:hAnsi="Times New Roman"/>
                <w:sz w:val="20"/>
              </w:rPr>
            </w:pPr>
          </w:p>
          <w:p w:rsidRPr="007F6104" w:rsidR="00C86713" w:rsidP="00FE1BAE" w:rsidRDefault="00C86713" w14:paraId="5D7A0CFA" w14:textId="02DFDA87">
            <w:pPr>
              <w:jc w:val="center"/>
              <w:rPr>
                <w:rFonts w:ascii="Times New Roman" w:hAnsi="Times New Roman"/>
                <w:sz w:val="20"/>
              </w:rPr>
            </w:pPr>
            <w:r w:rsidRPr="00FE1BAE">
              <w:rPr>
                <w:rFonts w:ascii="Times New Roman" w:hAnsi="Times New Roman"/>
                <w:sz w:val="20"/>
              </w:rPr>
              <w:t>Estimated Respondent Average Hourly Wage</w:t>
            </w:r>
          </w:p>
        </w:tc>
        <w:tc>
          <w:tcPr>
            <w:tcW w:w="1710" w:type="dxa"/>
            <w:shd w:val="clear" w:color="auto" w:fill="F2F2F2" w:themeFill="background1" w:themeFillShade="F2"/>
          </w:tcPr>
          <w:p w:rsidR="00C86713" w:rsidP="00FE1BAE" w:rsidRDefault="00C86713" w14:paraId="29DA69F3" w14:textId="77777777">
            <w:pPr>
              <w:jc w:val="center"/>
              <w:rPr>
                <w:rFonts w:ascii="Times New Roman" w:hAnsi="Times New Roman"/>
                <w:sz w:val="20"/>
              </w:rPr>
            </w:pPr>
          </w:p>
          <w:p w:rsidR="00C86713" w:rsidP="00FE1BAE" w:rsidRDefault="00C86713" w14:paraId="65663295" w14:textId="77777777">
            <w:pPr>
              <w:jc w:val="center"/>
              <w:rPr>
                <w:rFonts w:ascii="Times New Roman" w:hAnsi="Times New Roman"/>
                <w:sz w:val="20"/>
              </w:rPr>
            </w:pPr>
          </w:p>
          <w:p w:rsidRPr="007F6104" w:rsidR="00C86713" w:rsidP="00FE1BAE" w:rsidRDefault="00C86713" w14:paraId="2E50B341" w14:textId="176C4B79">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C86713" w:rsidTr="2FCA6397" w14:paraId="266BA237" w14:textId="77777777">
        <w:tc>
          <w:tcPr>
            <w:tcW w:w="1435" w:type="dxa"/>
          </w:tcPr>
          <w:p w:rsidR="00C86713" w:rsidP="00FE1BAE" w:rsidRDefault="00DF4A91" w14:paraId="033950C9" w14:textId="77777777">
            <w:pPr>
              <w:rPr>
                <w:rFonts w:ascii="Times New Roman" w:hAnsi="Times New Roman"/>
                <w:szCs w:val="24"/>
              </w:rPr>
            </w:pPr>
            <w:r>
              <w:rPr>
                <w:rFonts w:ascii="Times New Roman" w:hAnsi="Times New Roman"/>
                <w:szCs w:val="24"/>
              </w:rPr>
              <w:t>1820-0624</w:t>
            </w:r>
          </w:p>
          <w:p w:rsidRPr="00442E07" w:rsidR="00DF4A91" w:rsidP="00FE1BAE" w:rsidRDefault="00DF4A91" w14:paraId="49F048F1" w14:textId="664F00D2">
            <w:pPr>
              <w:rPr>
                <w:rFonts w:ascii="Times New Roman" w:hAnsi="Times New Roman"/>
                <w:szCs w:val="24"/>
              </w:rPr>
            </w:pPr>
            <w:r>
              <w:rPr>
                <w:rFonts w:ascii="Times New Roman" w:hAnsi="Times New Roman"/>
                <w:szCs w:val="24"/>
              </w:rPr>
              <w:t>State Educational Agencies</w:t>
            </w:r>
          </w:p>
        </w:tc>
        <w:tc>
          <w:tcPr>
            <w:tcW w:w="1170" w:type="dxa"/>
          </w:tcPr>
          <w:p w:rsidRPr="00442E07" w:rsidR="00C86713" w:rsidP="00FE1BAE" w:rsidRDefault="00C86713" w14:paraId="4DAB6A45" w14:textId="77777777">
            <w:pPr>
              <w:rPr>
                <w:rFonts w:ascii="Times New Roman" w:hAnsi="Times New Roman"/>
                <w:szCs w:val="24"/>
              </w:rPr>
            </w:pPr>
          </w:p>
        </w:tc>
        <w:tc>
          <w:tcPr>
            <w:tcW w:w="1170" w:type="dxa"/>
          </w:tcPr>
          <w:p w:rsidRPr="00442E07" w:rsidR="00C86713" w:rsidP="00FE1BAE" w:rsidRDefault="00C86713" w14:paraId="72D01A93" w14:textId="77777777">
            <w:pPr>
              <w:rPr>
                <w:rFonts w:ascii="Times New Roman" w:hAnsi="Times New Roman"/>
                <w:szCs w:val="24"/>
              </w:rPr>
            </w:pPr>
          </w:p>
        </w:tc>
        <w:tc>
          <w:tcPr>
            <w:tcW w:w="1260" w:type="dxa"/>
          </w:tcPr>
          <w:p w:rsidRPr="00442E07" w:rsidR="00C86713" w:rsidP="00FE1BAE" w:rsidRDefault="003C304E" w14:paraId="222B34BF" w14:textId="7EE38655">
            <w:pPr>
              <w:rPr>
                <w:rFonts w:ascii="Times New Roman" w:hAnsi="Times New Roman"/>
                <w:szCs w:val="24"/>
              </w:rPr>
            </w:pPr>
            <w:r>
              <w:rPr>
                <w:rFonts w:ascii="Times New Roman" w:hAnsi="Times New Roman"/>
                <w:szCs w:val="24"/>
              </w:rPr>
              <w:t>60</w:t>
            </w:r>
          </w:p>
        </w:tc>
        <w:tc>
          <w:tcPr>
            <w:tcW w:w="1080" w:type="dxa"/>
          </w:tcPr>
          <w:p w:rsidRPr="00442E07" w:rsidR="00C86713" w:rsidP="00FE1BAE" w:rsidRDefault="003C304E" w14:paraId="23DCE93B" w14:textId="5C0F3F18">
            <w:pPr>
              <w:jc w:val="center"/>
              <w:rPr>
                <w:rFonts w:ascii="Times New Roman" w:hAnsi="Times New Roman"/>
                <w:szCs w:val="24"/>
              </w:rPr>
            </w:pPr>
            <w:r>
              <w:rPr>
                <w:rFonts w:ascii="Times New Roman" w:hAnsi="Times New Roman"/>
                <w:szCs w:val="24"/>
              </w:rPr>
              <w:t>60</w:t>
            </w:r>
          </w:p>
        </w:tc>
        <w:tc>
          <w:tcPr>
            <w:tcW w:w="1260" w:type="dxa"/>
          </w:tcPr>
          <w:p w:rsidRPr="00442E07" w:rsidR="00C86713" w:rsidP="2FCA6397" w:rsidRDefault="00BA0C92" w14:paraId="6CEC427D" w14:textId="43183881">
            <w:pPr>
              <w:jc w:val="center"/>
              <w:rPr>
                <w:rFonts w:ascii="Times New Roman" w:hAnsi="Times New Roman"/>
              </w:rPr>
            </w:pPr>
            <w:r w:rsidRPr="2FCA6397">
              <w:rPr>
                <w:rFonts w:ascii="Times New Roman" w:hAnsi="Times New Roman"/>
              </w:rPr>
              <w:t>1,</w:t>
            </w:r>
            <w:r w:rsidRPr="2FCA6397" w:rsidR="00A05986">
              <w:rPr>
                <w:rFonts w:ascii="Times New Roman" w:hAnsi="Times New Roman"/>
              </w:rPr>
              <w:t>7</w:t>
            </w:r>
            <w:r w:rsidRPr="2FCA6397" w:rsidR="3163F2EE">
              <w:rPr>
                <w:rFonts w:ascii="Times New Roman" w:hAnsi="Times New Roman"/>
              </w:rPr>
              <w:t>90</w:t>
            </w:r>
          </w:p>
        </w:tc>
        <w:tc>
          <w:tcPr>
            <w:tcW w:w="1080" w:type="dxa"/>
          </w:tcPr>
          <w:p w:rsidRPr="00442E07" w:rsidR="00C86713" w:rsidP="2FCA6397" w:rsidRDefault="00CD0877" w14:paraId="3EBFAF3E" w14:textId="6D3FD671">
            <w:pPr>
              <w:rPr>
                <w:rFonts w:ascii="Times New Roman" w:hAnsi="Times New Roman"/>
              </w:rPr>
            </w:pPr>
            <w:r w:rsidRPr="2FCA6397">
              <w:rPr>
                <w:rFonts w:ascii="Times New Roman" w:hAnsi="Times New Roman"/>
              </w:rPr>
              <w:t>10</w:t>
            </w:r>
            <w:r w:rsidRPr="2FCA6397" w:rsidR="00A05986">
              <w:rPr>
                <w:rFonts w:ascii="Times New Roman" w:hAnsi="Times New Roman"/>
              </w:rPr>
              <w:t>7</w:t>
            </w:r>
            <w:r w:rsidRPr="2FCA6397">
              <w:rPr>
                <w:rFonts w:ascii="Times New Roman" w:hAnsi="Times New Roman"/>
              </w:rPr>
              <w:t>,</w:t>
            </w:r>
            <w:r w:rsidRPr="2FCA6397" w:rsidR="582F4982">
              <w:rPr>
                <w:rFonts w:ascii="Times New Roman" w:hAnsi="Times New Roman"/>
              </w:rPr>
              <w:t>400</w:t>
            </w:r>
          </w:p>
        </w:tc>
        <w:tc>
          <w:tcPr>
            <w:tcW w:w="1170" w:type="dxa"/>
          </w:tcPr>
          <w:p w:rsidRPr="00442E07" w:rsidR="00C86713" w:rsidP="00FE1BAE" w:rsidRDefault="00CD0877" w14:paraId="5AB2C4D9" w14:textId="0DC9A51C">
            <w:pPr>
              <w:rPr>
                <w:rFonts w:ascii="Times New Roman" w:hAnsi="Times New Roman"/>
                <w:szCs w:val="24"/>
              </w:rPr>
            </w:pPr>
            <w:r>
              <w:rPr>
                <w:rFonts w:ascii="Times New Roman" w:hAnsi="Times New Roman"/>
                <w:szCs w:val="24"/>
              </w:rPr>
              <w:t>$</w:t>
            </w:r>
            <w:r w:rsidR="006C5772">
              <w:rPr>
                <w:rFonts w:ascii="Times New Roman" w:hAnsi="Times New Roman"/>
                <w:szCs w:val="24"/>
              </w:rPr>
              <w:t>31</w:t>
            </w:r>
          </w:p>
        </w:tc>
        <w:tc>
          <w:tcPr>
            <w:tcW w:w="1710" w:type="dxa"/>
          </w:tcPr>
          <w:p w:rsidRPr="00442E07" w:rsidR="00C86713" w:rsidP="2FCA6397" w:rsidRDefault="006C5772" w14:paraId="1736A52E" w14:textId="2668352C">
            <w:pPr>
              <w:rPr>
                <w:rFonts w:ascii="Times New Roman" w:hAnsi="Times New Roman"/>
              </w:rPr>
            </w:pPr>
            <w:r w:rsidRPr="2FCA6397">
              <w:rPr>
                <w:rFonts w:ascii="Times New Roman" w:hAnsi="Times New Roman"/>
              </w:rPr>
              <w:t>$3,</w:t>
            </w:r>
            <w:r w:rsidRPr="2FCA6397" w:rsidR="00A44709">
              <w:rPr>
                <w:rFonts w:ascii="Times New Roman" w:hAnsi="Times New Roman"/>
              </w:rPr>
              <w:t>3</w:t>
            </w:r>
            <w:r w:rsidRPr="2FCA6397" w:rsidR="00A05986">
              <w:rPr>
                <w:rFonts w:ascii="Times New Roman" w:hAnsi="Times New Roman"/>
              </w:rPr>
              <w:t>2</w:t>
            </w:r>
            <w:r w:rsidRPr="2FCA6397" w:rsidR="33EE956B">
              <w:rPr>
                <w:rFonts w:ascii="Times New Roman" w:hAnsi="Times New Roman"/>
              </w:rPr>
              <w:t>9</w:t>
            </w:r>
            <w:r w:rsidRPr="2FCA6397">
              <w:rPr>
                <w:rFonts w:ascii="Times New Roman" w:hAnsi="Times New Roman"/>
              </w:rPr>
              <w:t>,</w:t>
            </w:r>
            <w:r w:rsidRPr="2FCA6397" w:rsidR="1CD389A7">
              <w:rPr>
                <w:rFonts w:ascii="Times New Roman" w:hAnsi="Times New Roman"/>
              </w:rPr>
              <w:t>400</w:t>
            </w:r>
          </w:p>
        </w:tc>
      </w:tr>
    </w:tbl>
    <w:p w:rsidR="00920F63" w:rsidP="00920F63" w:rsidRDefault="00920F63" w14:paraId="6C31014C" w14:textId="77777777">
      <w:pPr>
        <w:pStyle w:val="ListParagraph"/>
        <w:tabs>
          <w:tab w:val="left" w:pos="-720"/>
        </w:tabs>
        <w:suppressAutoHyphens/>
        <w:rPr>
          <w:rStyle w:val="a"/>
          <w:rFonts w:ascii="Times New Roman" w:hAnsi="Times New Roman"/>
          <w:szCs w:val="24"/>
        </w:rPr>
      </w:pPr>
    </w:p>
    <w:p w:rsidRPr="000D522B" w:rsidR="000D522B" w:rsidP="02AD68AD" w:rsidRDefault="000D522B" w14:paraId="0F404183" w14:textId="6CC897CC">
      <w:pPr>
        <w:pStyle w:val="ListParagraph"/>
        <w:tabs>
          <w:tab w:val="left" w:pos="-720"/>
        </w:tabs>
        <w:suppressAutoHyphens/>
        <w:rPr>
          <w:rStyle w:val="a"/>
          <w:rFonts w:ascii="Times New Roman" w:hAnsi="Times New Roman"/>
        </w:rPr>
      </w:pPr>
      <w:r w:rsidRPr="57B1D63C">
        <w:rPr>
          <w:rStyle w:val="a"/>
          <w:rFonts w:ascii="Times New Roman" w:hAnsi="Times New Roman"/>
        </w:rPr>
        <w:t>Based on feedback received during the 60-day public comment period</w:t>
      </w:r>
      <w:r w:rsidRPr="57B1D63C" w:rsidR="4AD73184">
        <w:rPr>
          <w:rStyle w:val="a"/>
          <w:rFonts w:ascii="Times New Roman" w:hAnsi="Times New Roman"/>
        </w:rPr>
        <w:t>,</w:t>
      </w:r>
      <w:r w:rsidRPr="57B1D63C">
        <w:rPr>
          <w:rStyle w:val="a"/>
          <w:rFonts w:ascii="Times New Roman" w:hAnsi="Times New Roman"/>
        </w:rPr>
        <w:t xml:space="preserve"> the burden estimate was too low; the Department is proposing to nominally increase reporting burden. The Department believes that any burden associated with this increase is outweighed by the transparency and efforts to improve outcomes for children with disabilities gained by the additional analysis. The final proposed collection includes up to seven indicators that require States to engage with stakeholders to set targets based on </w:t>
      </w:r>
      <w:r w:rsidRPr="57B1D63C">
        <w:rPr>
          <w:rStyle w:val="a"/>
          <w:rFonts w:ascii="Times New Roman" w:hAnsi="Times New Roman"/>
        </w:rPr>
        <w:lastRenderedPageBreak/>
        <w:t xml:space="preserve">either a new measurement or data point for the first time. Some States may have to set </w:t>
      </w:r>
      <w:r w:rsidRPr="57B1D63C" w:rsidR="00A05986">
        <w:rPr>
          <w:rStyle w:val="a"/>
          <w:rFonts w:ascii="Times New Roman" w:hAnsi="Times New Roman"/>
        </w:rPr>
        <w:t xml:space="preserve">a new target for Indicator 2 and new </w:t>
      </w:r>
      <w:r w:rsidRPr="57B1D63C">
        <w:rPr>
          <w:rStyle w:val="a"/>
          <w:rFonts w:ascii="Times New Roman" w:hAnsi="Times New Roman"/>
        </w:rPr>
        <w:t xml:space="preserve">targets by grade level for Indicators 3A, 3B, and 3C. All States must set new targets for Indicators 1, 3D, and 6. States will set one target for Indicator 1, three targets for Indicator 3D, and either one or three targets for Indicator 6. This represents a net gain of up to 15 additional targets (one for Indicator 2, up to 12 targets for Indicator 3 and up to two for Indicator 6) for some States. It is estimated that it will take an average of 4 hours, i.e., the equivalent of a half-day meeting, of collaboration with stakeholders per indicator to establish the new targets, for a total of 60 hours. Additionally, as commenters noted, States are required to annually report against the established targets. It is estimated that States will spend, on average, 2 hours per the net gained 15 targets for a total of </w:t>
      </w:r>
      <w:r w:rsidRPr="57B1D63C" w:rsidR="00A05986">
        <w:rPr>
          <w:rStyle w:val="a"/>
          <w:rFonts w:ascii="Times New Roman" w:hAnsi="Times New Roman"/>
        </w:rPr>
        <w:t>30</w:t>
      </w:r>
      <w:r w:rsidRPr="57B1D63C">
        <w:rPr>
          <w:rStyle w:val="a"/>
          <w:rFonts w:ascii="Times New Roman" w:hAnsi="Times New Roman"/>
        </w:rPr>
        <w:t xml:space="preserve"> hours. Therefore, OSEP is revising the burden estimate to reflect an additional </w:t>
      </w:r>
      <w:r w:rsidRPr="57B1D63C" w:rsidR="00A05986">
        <w:rPr>
          <w:rStyle w:val="a"/>
          <w:rFonts w:ascii="Times New Roman" w:hAnsi="Times New Roman"/>
        </w:rPr>
        <w:t>90</w:t>
      </w:r>
      <w:r w:rsidRPr="57B1D63C">
        <w:rPr>
          <w:rStyle w:val="a"/>
          <w:rFonts w:ascii="Times New Roman" w:hAnsi="Times New Roman"/>
        </w:rPr>
        <w:t xml:space="preserve"> hours in burden per response.</w:t>
      </w:r>
    </w:p>
    <w:p w:rsidR="00F97E32" w:rsidP="000D522B" w:rsidRDefault="00F97E32" w14:paraId="2D7FDFAB" w14:textId="77777777">
      <w:pPr>
        <w:pStyle w:val="ListParagraph"/>
        <w:tabs>
          <w:tab w:val="left" w:pos="-720"/>
        </w:tabs>
        <w:suppressAutoHyphens/>
        <w:rPr>
          <w:rStyle w:val="a"/>
          <w:rFonts w:ascii="Times New Roman" w:hAnsi="Times New Roman"/>
          <w:szCs w:val="24"/>
        </w:rPr>
      </w:pPr>
    </w:p>
    <w:p w:rsidRPr="000D522B" w:rsidR="000D522B" w:rsidP="2FCA6397" w:rsidRDefault="000D522B" w14:paraId="2F1E02ED" w14:textId="66C8C9F4">
      <w:pPr>
        <w:pStyle w:val="ListParagraph"/>
        <w:tabs>
          <w:tab w:val="left" w:pos="-720"/>
        </w:tabs>
        <w:suppressAutoHyphens/>
        <w:rPr>
          <w:rStyle w:val="a"/>
          <w:rFonts w:ascii="Times New Roman" w:hAnsi="Times New Roman"/>
        </w:rPr>
      </w:pPr>
      <w:r w:rsidRPr="2FCA6397">
        <w:rPr>
          <w:rStyle w:val="a"/>
          <w:rFonts w:ascii="Times New Roman" w:hAnsi="Times New Roman"/>
        </w:rPr>
        <w:t>Total burden hours for the combined SPP/APR (submitted annually) will be 60 respondents times 1,7</w:t>
      </w:r>
      <w:r w:rsidRPr="2FCA6397" w:rsidR="6AD7C658">
        <w:rPr>
          <w:rStyle w:val="a"/>
          <w:rFonts w:ascii="Times New Roman" w:hAnsi="Times New Roman"/>
        </w:rPr>
        <w:t>90</w:t>
      </w:r>
      <w:r w:rsidRPr="2FCA6397" w:rsidR="00A05986">
        <w:rPr>
          <w:rStyle w:val="a"/>
          <w:rFonts w:ascii="Times New Roman" w:hAnsi="Times New Roman"/>
        </w:rPr>
        <w:t xml:space="preserve"> </w:t>
      </w:r>
      <w:r w:rsidRPr="2FCA6397">
        <w:rPr>
          <w:rStyle w:val="a"/>
          <w:rFonts w:ascii="Times New Roman" w:hAnsi="Times New Roman"/>
        </w:rPr>
        <w:t>hours (or an average of 10</w:t>
      </w:r>
      <w:r w:rsidRPr="2FCA6397" w:rsidR="00A05986">
        <w:rPr>
          <w:rStyle w:val="a"/>
          <w:rFonts w:ascii="Times New Roman" w:hAnsi="Times New Roman"/>
        </w:rPr>
        <w:t>5</w:t>
      </w:r>
      <w:r w:rsidRPr="2FCA6397">
        <w:rPr>
          <w:rStyle w:val="a"/>
          <w:rFonts w:ascii="Times New Roman" w:hAnsi="Times New Roman"/>
        </w:rPr>
        <w:t xml:space="preserve"> hours per indicator), which equals </w:t>
      </w:r>
      <w:r w:rsidRPr="2FCA6397" w:rsidR="00A05986">
        <w:rPr>
          <w:rStyle w:val="a"/>
          <w:rFonts w:ascii="Times New Roman" w:hAnsi="Times New Roman"/>
        </w:rPr>
        <w:t>107,</w:t>
      </w:r>
      <w:r w:rsidRPr="2FCA6397" w:rsidR="790B8714">
        <w:rPr>
          <w:rStyle w:val="a"/>
          <w:rFonts w:ascii="Times New Roman" w:hAnsi="Times New Roman"/>
        </w:rPr>
        <w:t>400</w:t>
      </w:r>
      <w:r w:rsidRPr="2FCA6397">
        <w:rPr>
          <w:rStyle w:val="a"/>
          <w:rFonts w:ascii="Times New Roman" w:hAnsi="Times New Roman"/>
        </w:rPr>
        <w:t xml:space="preserve"> hours.  Of the total 1,7</w:t>
      </w:r>
      <w:r w:rsidRPr="2FCA6397" w:rsidR="25AD232D">
        <w:rPr>
          <w:rStyle w:val="a"/>
          <w:rFonts w:ascii="Times New Roman" w:hAnsi="Times New Roman"/>
        </w:rPr>
        <w:t>90</w:t>
      </w:r>
      <w:r w:rsidRPr="2FCA6397">
        <w:rPr>
          <w:rStyle w:val="a"/>
          <w:rFonts w:ascii="Times New Roman" w:hAnsi="Times New Roman"/>
        </w:rPr>
        <w:t xml:space="preserve"> hours, it is estimated that 1,7</w:t>
      </w:r>
      <w:r w:rsidRPr="2FCA6397" w:rsidR="68C7BADE">
        <w:rPr>
          <w:rStyle w:val="a"/>
          <w:rFonts w:ascii="Times New Roman" w:hAnsi="Times New Roman"/>
        </w:rPr>
        <w:t>10</w:t>
      </w:r>
      <w:r w:rsidRPr="2FCA6397">
        <w:rPr>
          <w:rStyle w:val="a"/>
          <w:rFonts w:ascii="Times New Roman" w:hAnsi="Times New Roman"/>
        </w:rPr>
        <w:t xml:space="preserve"> hours will be spent planning the report, 40 hours will be spent writing the report, and 40 hours will be spent typing and compiling the report.</w:t>
      </w:r>
    </w:p>
    <w:p w:rsidR="00F97E32" w:rsidP="000D522B" w:rsidRDefault="00F97E32" w14:paraId="2D5EFB3E" w14:textId="77777777">
      <w:pPr>
        <w:pStyle w:val="ListParagraph"/>
        <w:tabs>
          <w:tab w:val="left" w:pos="-720"/>
        </w:tabs>
        <w:suppressAutoHyphens/>
        <w:rPr>
          <w:rStyle w:val="a"/>
          <w:rFonts w:ascii="Times New Roman" w:hAnsi="Times New Roman"/>
          <w:szCs w:val="24"/>
        </w:rPr>
      </w:pPr>
    </w:p>
    <w:p w:rsidR="00920F63" w:rsidP="2FCA6397" w:rsidRDefault="000D522B" w14:paraId="6D86E49F" w14:textId="3729DA6A">
      <w:pPr>
        <w:pStyle w:val="ListParagraph"/>
        <w:tabs>
          <w:tab w:val="left" w:pos="-720"/>
        </w:tabs>
        <w:suppressAutoHyphens/>
        <w:rPr>
          <w:rStyle w:val="a"/>
          <w:rFonts w:ascii="Times New Roman" w:hAnsi="Times New Roman"/>
        </w:rPr>
      </w:pPr>
      <w:r w:rsidRPr="2FCA6397">
        <w:rPr>
          <w:rStyle w:val="a"/>
          <w:rFonts w:ascii="Times New Roman" w:hAnsi="Times New Roman"/>
        </w:rPr>
        <w:t>The estimated cost burden to public agencies of preparing the SPP/APR is $3,3</w:t>
      </w:r>
      <w:r w:rsidRPr="2FCA6397" w:rsidR="00A05986">
        <w:rPr>
          <w:rStyle w:val="a"/>
          <w:rFonts w:ascii="Times New Roman" w:hAnsi="Times New Roman"/>
        </w:rPr>
        <w:t>2</w:t>
      </w:r>
      <w:r w:rsidRPr="2FCA6397" w:rsidR="35BBD571">
        <w:rPr>
          <w:rStyle w:val="a"/>
          <w:rFonts w:ascii="Times New Roman" w:hAnsi="Times New Roman"/>
        </w:rPr>
        <w:t>9</w:t>
      </w:r>
      <w:r w:rsidRPr="2FCA6397">
        <w:rPr>
          <w:rStyle w:val="a"/>
          <w:rFonts w:ascii="Times New Roman" w:hAnsi="Times New Roman"/>
        </w:rPr>
        <w:t>,</w:t>
      </w:r>
      <w:r w:rsidRPr="2FCA6397" w:rsidR="30D9A915">
        <w:rPr>
          <w:rStyle w:val="a"/>
          <w:rFonts w:ascii="Times New Roman" w:hAnsi="Times New Roman"/>
        </w:rPr>
        <w:t>400</w:t>
      </w:r>
      <w:r w:rsidRPr="2FCA6397">
        <w:rPr>
          <w:rStyle w:val="a"/>
          <w:rFonts w:ascii="Times New Roman" w:hAnsi="Times New Roman"/>
        </w:rPr>
        <w:t xml:space="preserve"> annually.  The estimated total cost burden is reached by multiplying the hours of response (1,7</w:t>
      </w:r>
      <w:r w:rsidRPr="2FCA6397" w:rsidR="69A36DBD">
        <w:rPr>
          <w:rStyle w:val="a"/>
          <w:rFonts w:ascii="Times New Roman" w:hAnsi="Times New Roman"/>
        </w:rPr>
        <w:t>90</w:t>
      </w:r>
      <w:r w:rsidRPr="2FCA6397">
        <w:rPr>
          <w:rStyle w:val="a"/>
          <w:rFonts w:ascii="Times New Roman" w:hAnsi="Times New Roman"/>
        </w:rPr>
        <w:t>) by the number of responses (60) and then multiplying the newly-obtained product by the average hourly pay rate ($31) of the staff preparing the report.</w:t>
      </w:r>
    </w:p>
    <w:p w:rsidR="000D522B" w:rsidP="00920F63" w:rsidRDefault="000D522B" w14:paraId="4ED2DFB4" w14:textId="77777777">
      <w:pPr>
        <w:pStyle w:val="ListParagraph"/>
        <w:tabs>
          <w:tab w:val="left" w:pos="-720"/>
        </w:tabs>
        <w:suppressAutoHyphens/>
        <w:rPr>
          <w:rStyle w:val="a"/>
          <w:rFonts w:ascii="Times New Roman" w:hAnsi="Times New Roman"/>
          <w:szCs w:val="24"/>
        </w:rPr>
      </w:pPr>
    </w:p>
    <w:p w:rsidRPr="00ED7195" w:rsidR="00043C32" w:rsidP="00AD381B" w:rsidRDefault="00043C32" w14:paraId="03560D82"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03560D84" w14:textId="77777777">
      <w:pPr>
        <w:tabs>
          <w:tab w:val="left" w:pos="-720"/>
        </w:tabs>
        <w:suppressAutoHyphens/>
        <w:rPr>
          <w:rFonts w:ascii="Times New Roman" w:hAnsi="Times New Roman"/>
          <w:b/>
          <w:szCs w:val="24"/>
        </w:rPr>
      </w:pPr>
    </w:p>
    <w:p w:rsidRPr="00ED7195" w:rsidR="00043C32" w:rsidP="00AD381B" w:rsidRDefault="00043C32" w14:paraId="03560D85"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ED7195">
        <w:rPr>
          <w:rFonts w:ascii="Times New Roman" w:hAnsi="Times New Roman"/>
          <w:b/>
          <w:szCs w:val="24"/>
        </w:rPr>
        <w:t>take into account</w:t>
      </w:r>
      <w:proofErr w:type="gramEnd"/>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ED7195">
        <w:rPr>
          <w:rFonts w:ascii="Times New Roman" w:hAnsi="Times New Roman"/>
          <w:b/>
          <w:szCs w:val="24"/>
        </w:rPr>
        <w:t>time period</w:t>
      </w:r>
      <w:proofErr w:type="gramEnd"/>
      <w:r w:rsidRPr="00ED7195">
        <w:rPr>
          <w:rFonts w:ascii="Times New Roman" w:hAnsi="Times New Roman"/>
          <w:b/>
          <w:szCs w:val="24"/>
        </w:rPr>
        <w:t xml:space="preserve"> over which costs will be incurred.  Capital and start-up costs include, among other items, preparations for collecting information such as purchasing computers and software; monitoring, sampling, </w:t>
      </w:r>
      <w:proofErr w:type="gramStart"/>
      <w:r w:rsidRPr="00ED7195">
        <w:rPr>
          <w:rFonts w:ascii="Times New Roman" w:hAnsi="Times New Roman"/>
          <w:b/>
          <w:szCs w:val="24"/>
        </w:rPr>
        <w:t>drilling</w:t>
      </w:r>
      <w:proofErr w:type="gramEnd"/>
      <w:r w:rsidRPr="00ED7195">
        <w:rPr>
          <w:rFonts w:ascii="Times New Roman" w:hAnsi="Times New Roman"/>
          <w:b/>
          <w:szCs w:val="24"/>
        </w:rPr>
        <w:t xml:space="preserve"> and testing equipment; and acquiring and maintaining record storage facilities.</w:t>
      </w:r>
    </w:p>
    <w:p w:rsidRPr="00AD381B" w:rsidR="00043C32" w:rsidP="00AD381B" w:rsidRDefault="00043C32" w14:paraId="03560D86" w14:textId="77777777">
      <w:pPr>
        <w:numPr>
          <w:ilvl w:val="12"/>
          <w:numId w:val="0"/>
        </w:numPr>
        <w:tabs>
          <w:tab w:val="left" w:pos="-720"/>
        </w:tabs>
        <w:suppressAutoHyphens/>
        <w:ind w:left="340"/>
        <w:rPr>
          <w:rFonts w:ascii="Times New Roman" w:hAnsi="Times New Roman"/>
          <w:szCs w:val="24"/>
        </w:rPr>
      </w:pPr>
    </w:p>
    <w:p w:rsidRPr="00ED7195" w:rsidR="00043C32" w:rsidP="00AD381B" w:rsidRDefault="00043C32" w14:paraId="03560D87"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w:t>
      </w:r>
      <w:r w:rsidRPr="00ED7195">
        <w:rPr>
          <w:rFonts w:ascii="Times New Roman" w:hAnsi="Times New Roman"/>
          <w:b/>
          <w:szCs w:val="24"/>
        </w:rPr>
        <w:lastRenderedPageBreak/>
        <w:t>public comment process and use existing economic or regulatory impact analysis associated with the rulemaking containing the information collection, as appropriate.</w:t>
      </w:r>
    </w:p>
    <w:p w:rsidRPr="00ED7195" w:rsidR="00043C32" w:rsidP="00AD381B" w:rsidRDefault="00043C32" w14:paraId="03560D88" w14:textId="77777777">
      <w:pPr>
        <w:tabs>
          <w:tab w:val="left" w:pos="-720"/>
          <w:tab w:val="left" w:pos="1247"/>
        </w:tabs>
        <w:suppressAutoHyphens/>
        <w:ind w:left="340"/>
        <w:rPr>
          <w:rFonts w:ascii="Times New Roman" w:hAnsi="Times New Roman"/>
          <w:b/>
          <w:szCs w:val="24"/>
        </w:rPr>
      </w:pPr>
    </w:p>
    <w:p w:rsidRPr="00ED7195" w:rsidR="00043C32" w:rsidP="00AD381B" w:rsidRDefault="00043C32" w14:paraId="03560D89"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p>
    <w:p w:rsidRPr="00ED7195" w:rsidR="00043C32" w:rsidP="00AD381B" w:rsidRDefault="00043C32" w14:paraId="03560D8A" w14:textId="77777777">
      <w:pPr>
        <w:tabs>
          <w:tab w:val="left" w:pos="-720"/>
        </w:tabs>
        <w:suppressAutoHyphens/>
        <w:rPr>
          <w:rFonts w:ascii="Times New Roman" w:hAnsi="Times New Roman"/>
          <w:b/>
          <w:szCs w:val="24"/>
        </w:rPr>
      </w:pPr>
    </w:p>
    <w:p w:rsidRPr="00ED7195" w:rsidR="00043C32" w:rsidP="00AD381B" w:rsidRDefault="00043C32" w14:paraId="03560D8B"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AD381B" w:rsidRDefault="00043C32" w14:paraId="03560D8C"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proofErr w:type="gramStart"/>
      <w:r w:rsidRPr="00ED7195">
        <w:rPr>
          <w:rFonts w:ascii="Times New Roman" w:hAnsi="Times New Roman"/>
          <w:b/>
          <w:szCs w:val="24"/>
        </w:rPr>
        <w:tab/>
        <w:t>:_</w:t>
      </w:r>
      <w:proofErr w:type="gramEnd"/>
      <w:r w:rsidRPr="00ED7195">
        <w:rPr>
          <w:rFonts w:ascii="Times New Roman" w:hAnsi="Times New Roman"/>
          <w:b/>
          <w:szCs w:val="24"/>
        </w:rPr>
        <w:t>___________________</w:t>
      </w:r>
    </w:p>
    <w:p w:rsidRPr="00ED7195" w:rsidR="00043C32" w:rsidP="00AD381B" w:rsidRDefault="00043C32" w14:paraId="03560D8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t>:</w:t>
      </w:r>
    </w:p>
    <w:p w:rsidR="00043C32" w:rsidP="00AD381B" w:rsidRDefault="00043C32" w14:paraId="03560D8E" w14:textId="010F66F4">
      <w:pPr>
        <w:tabs>
          <w:tab w:val="left" w:pos="-720"/>
        </w:tabs>
        <w:suppressAutoHyphens/>
        <w:rPr>
          <w:rFonts w:ascii="Times New Roman" w:hAnsi="Times New Roman"/>
          <w:szCs w:val="24"/>
        </w:rPr>
      </w:pPr>
    </w:p>
    <w:p w:rsidR="00730858" w:rsidP="00730858" w:rsidRDefault="00730858" w14:paraId="46ED5F74" w14:textId="15092AC6">
      <w:pPr>
        <w:tabs>
          <w:tab w:val="left" w:pos="-720"/>
        </w:tabs>
        <w:suppressAutoHyphens/>
        <w:ind w:left="720"/>
        <w:rPr>
          <w:rFonts w:ascii="Times New Roman" w:hAnsi="Times New Roman"/>
          <w:szCs w:val="24"/>
        </w:rPr>
      </w:pPr>
      <w:r w:rsidRPr="00730858">
        <w:rPr>
          <w:rFonts w:ascii="Times New Roman" w:hAnsi="Times New Roman"/>
          <w:szCs w:val="24"/>
        </w:rPr>
        <w:t>States have been preparing an APR for the past 13 years. Therefore, there are no start-up costs.  There are no anticipated costs for operation, maintenance, or purchase of services that are imposed on States by these requirements, other than those noted above.</w:t>
      </w:r>
    </w:p>
    <w:p w:rsidR="00534B4A" w:rsidP="00AD381B" w:rsidRDefault="00534B4A" w14:paraId="38A92C21" w14:textId="77777777">
      <w:pPr>
        <w:tabs>
          <w:tab w:val="left" w:pos="-720"/>
        </w:tabs>
        <w:suppressAutoHyphens/>
        <w:rPr>
          <w:rFonts w:ascii="Times New Roman" w:hAnsi="Times New Roman"/>
          <w:szCs w:val="24"/>
        </w:rPr>
      </w:pPr>
    </w:p>
    <w:p w:rsidRPr="00534B4A" w:rsidR="00043C32" w:rsidP="00AD381B" w:rsidRDefault="00043C32" w14:paraId="03560D8F"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34B4A" w:rsidRDefault="00534B4A" w14:paraId="1706E839" w14:textId="77777777">
      <w:pPr>
        <w:tabs>
          <w:tab w:val="left" w:pos="-720"/>
        </w:tabs>
        <w:suppressAutoHyphens/>
        <w:rPr>
          <w:rFonts w:ascii="Times New Roman" w:hAnsi="Times New Roman"/>
          <w:szCs w:val="24"/>
        </w:rPr>
      </w:pPr>
    </w:p>
    <w:p w:rsidR="00534B4A" w:rsidP="00534B4A" w:rsidRDefault="0035609D" w14:paraId="7F079457" w14:textId="0E4B2A01">
      <w:pPr>
        <w:pStyle w:val="ListParagraph"/>
        <w:tabs>
          <w:tab w:val="left" w:pos="-720"/>
        </w:tabs>
        <w:suppressAutoHyphens/>
        <w:ind w:left="907"/>
        <w:contextualSpacing w:val="0"/>
        <w:rPr>
          <w:rFonts w:ascii="Times New Roman" w:hAnsi="Times New Roman"/>
          <w:szCs w:val="24"/>
        </w:rPr>
      </w:pPr>
      <w:r w:rsidRPr="0035609D">
        <w:rPr>
          <w:rFonts w:ascii="Times New Roman" w:hAnsi="Times New Roman"/>
          <w:szCs w:val="24"/>
        </w:rPr>
        <w:t>The estimated cost to the Federal Government includes the staff time to review and analyze the reports.  It is estimated that it will take 10 hours of staff time to review each of the 60 responses, which equals 600 hours.  The 600 hours is multiplied by the average hourly rate of pay for each reviewer ($45), to equal an estimated cost to the Federal Government of $27,000.00.</w:t>
      </w:r>
    </w:p>
    <w:p w:rsidR="0035609D" w:rsidP="00534B4A" w:rsidRDefault="0035609D" w14:paraId="73834717" w14:textId="77777777">
      <w:pPr>
        <w:pStyle w:val="ListParagraph"/>
        <w:tabs>
          <w:tab w:val="left" w:pos="-720"/>
        </w:tabs>
        <w:suppressAutoHyphens/>
        <w:ind w:left="907"/>
        <w:contextualSpacing w:val="0"/>
        <w:rPr>
          <w:rFonts w:ascii="Times New Roman" w:hAnsi="Times New Roman"/>
          <w:szCs w:val="24"/>
        </w:rPr>
      </w:pPr>
    </w:p>
    <w:p w:rsidRPr="00534B4A" w:rsidR="00043C32" w:rsidP="00AD381B" w:rsidRDefault="00043C32" w14:paraId="03560D90" w14:textId="77777777">
      <w:pPr>
        <w:pStyle w:val="ListParagraph"/>
        <w:numPr>
          <w:ilvl w:val="0"/>
          <w:numId w:val="5"/>
        </w:numPr>
        <w:tabs>
          <w:tab w:val="left" w:pos="-720"/>
        </w:tabs>
        <w:suppressAutoHyphens/>
        <w:ind w:left="907" w:hanging="547"/>
        <w:contextualSpacing w:val="0"/>
        <w:rPr>
          <w:rFonts w:ascii="Times New Roman" w:hAnsi="Times New Roman"/>
          <w:b/>
          <w:szCs w:val="24"/>
        </w:rPr>
      </w:pPr>
      <w:r w:rsidRPr="00534B4A">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rsidR="00534B4A" w:rsidP="00534B4A" w:rsidRDefault="00534B4A" w14:paraId="60D2D24D" w14:textId="77777777">
      <w:pPr>
        <w:tabs>
          <w:tab w:val="left" w:pos="-720"/>
        </w:tabs>
        <w:suppressAutoHyphens/>
        <w:rPr>
          <w:rFonts w:ascii="Times New Roman" w:hAnsi="Times New Roman"/>
          <w:b/>
          <w:szCs w:val="24"/>
        </w:rPr>
      </w:pPr>
    </w:p>
    <w:p w:rsidRPr="00CA5EA9" w:rsidR="00534B4A" w:rsidP="6E35DF56" w:rsidRDefault="00CA5EA9" w14:paraId="6B91F205" w14:textId="2E62D416">
      <w:pPr>
        <w:tabs>
          <w:tab w:val="left" w:pos="-720"/>
        </w:tabs>
        <w:suppressAutoHyphens/>
        <w:ind w:left="720"/>
        <w:rPr>
          <w:rFonts w:ascii="Times New Roman" w:hAnsi="Times New Roman"/>
        </w:rPr>
      </w:pPr>
      <w:r w:rsidRPr="78097D23">
        <w:rPr>
          <w:rFonts w:ascii="Times New Roman" w:hAnsi="Times New Roman"/>
        </w:rPr>
        <w:lastRenderedPageBreak/>
        <w:t xml:space="preserve">The Department is </w:t>
      </w:r>
      <w:proofErr w:type="gramStart"/>
      <w:r w:rsidRPr="78097D23">
        <w:rPr>
          <w:rFonts w:ascii="Times New Roman" w:hAnsi="Times New Roman"/>
        </w:rPr>
        <w:t>mak</w:t>
      </w:r>
      <w:r w:rsidRPr="78097D23" w:rsidR="39F874F8">
        <w:rPr>
          <w:rFonts w:ascii="Times New Roman" w:hAnsi="Times New Roman"/>
        </w:rPr>
        <w:t>ing</w:t>
      </w:r>
      <w:r w:rsidRPr="78097D23">
        <w:rPr>
          <w:rFonts w:ascii="Times New Roman" w:hAnsi="Times New Roman"/>
        </w:rPr>
        <w:t xml:space="preserve"> revisions to</w:t>
      </w:r>
      <w:proofErr w:type="gramEnd"/>
      <w:r w:rsidRPr="78097D23">
        <w:rPr>
          <w:rFonts w:ascii="Times New Roman" w:hAnsi="Times New Roman"/>
        </w:rPr>
        <w:t xml:space="preserve"> the approved information collection, and to establish a new 6-year SPP cycle (FFY 2020 through FFY 2025).  The </w:t>
      </w:r>
      <w:r w:rsidRPr="78097D23" w:rsidR="4FD76956">
        <w:rPr>
          <w:rFonts w:ascii="Times New Roman" w:hAnsi="Times New Roman"/>
        </w:rPr>
        <w:t>program changes and subsequent</w:t>
      </w:r>
      <w:r w:rsidRPr="78097D23">
        <w:rPr>
          <w:rFonts w:ascii="Times New Roman" w:hAnsi="Times New Roman"/>
        </w:rPr>
        <w:t xml:space="preserve"> revisions to the Part B SPP/APR, which would go into effect with States’ FFY 2018 SPP/APR to be submitted in February 2022, are focused on ensuring improved outcomes for children with disabilities, and aligning the SPP/APR with the Secretary’s priorities, including elevating parent voice.</w:t>
      </w:r>
      <w:r w:rsidR="00165E4A">
        <w:rPr>
          <w:rFonts w:ascii="Times New Roman" w:hAnsi="Times New Roman"/>
        </w:rPr>
        <w:t xml:space="preserve"> The </w:t>
      </w:r>
      <w:r w:rsidR="00EA7619">
        <w:rPr>
          <w:rFonts w:ascii="Times New Roman" w:hAnsi="Times New Roman"/>
        </w:rPr>
        <w:t>burden is increased by 90 hours per response due to program changes</w:t>
      </w:r>
      <w:r w:rsidR="00520CA6">
        <w:rPr>
          <w:rFonts w:ascii="Times New Roman" w:hAnsi="Times New Roman"/>
        </w:rPr>
        <w:t xml:space="preserve"> due to agency discretion. </w:t>
      </w:r>
    </w:p>
    <w:p w:rsidRPr="00534B4A" w:rsidR="00A5345D" w:rsidP="00534B4A" w:rsidRDefault="00A5345D" w14:paraId="2B82CE02" w14:textId="77777777">
      <w:pPr>
        <w:tabs>
          <w:tab w:val="left" w:pos="-720"/>
        </w:tabs>
        <w:suppressAutoHyphens/>
        <w:rPr>
          <w:rFonts w:ascii="Times New Roman" w:hAnsi="Times New Roman"/>
          <w:szCs w:val="24"/>
        </w:rPr>
      </w:pPr>
    </w:p>
    <w:p w:rsidR="00043C32" w:rsidP="00AD381B" w:rsidRDefault="00043C32" w14:paraId="03560D91"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185711" w:rsidRDefault="00534B4A" w14:paraId="114E43B9" w14:textId="5BD6F190">
      <w:pPr>
        <w:tabs>
          <w:tab w:val="left" w:pos="-720"/>
        </w:tabs>
        <w:suppressAutoHyphens/>
        <w:ind w:left="806"/>
        <w:rPr>
          <w:rFonts w:ascii="Times New Roman" w:hAnsi="Times New Roman"/>
          <w:szCs w:val="24"/>
        </w:rPr>
      </w:pPr>
    </w:p>
    <w:p w:rsidRPr="00185711" w:rsidR="00185711" w:rsidP="00185711" w:rsidRDefault="00185711" w14:paraId="1A229A16" w14:textId="49BEB692">
      <w:pPr>
        <w:pStyle w:val="MediumGrid1-Accent21"/>
        <w:spacing w:before="240"/>
      </w:pPr>
      <w:r w:rsidRPr="00185711">
        <w:t>The collection of information does not require publication of the information or use of complex analytical techniques.</w:t>
      </w:r>
    </w:p>
    <w:p w:rsidR="00185711" w:rsidP="00534B4A" w:rsidRDefault="00185711" w14:paraId="4F03B22B" w14:textId="3C7E0626">
      <w:pPr>
        <w:tabs>
          <w:tab w:val="left" w:pos="-720"/>
        </w:tabs>
        <w:suppressAutoHyphens/>
        <w:rPr>
          <w:rFonts w:ascii="Times New Roman" w:hAnsi="Times New Roman"/>
          <w:szCs w:val="24"/>
        </w:rPr>
      </w:pPr>
    </w:p>
    <w:p w:rsidRPr="00534B4A" w:rsidR="00534B4A" w:rsidP="00534B4A" w:rsidRDefault="00534B4A" w14:paraId="7C8A1CDA" w14:textId="5C8B0B16">
      <w:pPr>
        <w:tabs>
          <w:tab w:val="left" w:pos="-720"/>
        </w:tabs>
        <w:suppressAutoHyphens/>
        <w:rPr>
          <w:rFonts w:ascii="Times New Roman" w:hAnsi="Times New Roman"/>
          <w:szCs w:val="24"/>
        </w:rPr>
      </w:pPr>
    </w:p>
    <w:p w:rsidRPr="00534B4A" w:rsidR="00043C32" w:rsidP="00AD381B" w:rsidRDefault="00043C32" w14:paraId="03560D92"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534B4A" w:rsidRDefault="00534B4A" w14:paraId="2AC065BD" w14:textId="77777777">
      <w:pPr>
        <w:tabs>
          <w:tab w:val="left" w:pos="-720"/>
        </w:tabs>
        <w:suppressAutoHyphens/>
        <w:ind w:left="360"/>
        <w:rPr>
          <w:rFonts w:ascii="Times New Roman" w:hAnsi="Times New Roman"/>
          <w:b/>
          <w:szCs w:val="24"/>
        </w:rPr>
      </w:pPr>
    </w:p>
    <w:p w:rsidRPr="00363B40" w:rsidR="00363B40" w:rsidP="00363B40" w:rsidRDefault="00363B40" w14:paraId="17E00984" w14:textId="40A2F329">
      <w:pPr>
        <w:spacing w:before="240"/>
        <w:ind w:left="720"/>
        <w:rPr>
          <w:rFonts w:ascii="Times New Roman" w:hAnsi="Times New Roman"/>
          <w:szCs w:val="24"/>
        </w:rPr>
      </w:pPr>
      <w:r w:rsidRPr="00363B40">
        <w:rPr>
          <w:rFonts w:ascii="Times New Roman" w:hAnsi="Times New Roman"/>
          <w:szCs w:val="24"/>
        </w:rPr>
        <w:t>There is no request to ask for an approval not to display the expiration date.</w:t>
      </w:r>
    </w:p>
    <w:p w:rsidR="00534B4A" w:rsidP="00534B4A" w:rsidRDefault="00534B4A" w14:paraId="1E9FBCD7" w14:textId="08D9D57D">
      <w:pPr>
        <w:tabs>
          <w:tab w:val="left" w:pos="-720"/>
        </w:tabs>
        <w:suppressAutoHyphens/>
        <w:ind w:left="360"/>
        <w:rPr>
          <w:rFonts w:ascii="Times New Roman" w:hAnsi="Times New Roman"/>
          <w:szCs w:val="24"/>
        </w:rPr>
      </w:pPr>
    </w:p>
    <w:p w:rsidRPr="00534B4A" w:rsidR="00534B4A" w:rsidP="00534B4A" w:rsidRDefault="00534B4A" w14:paraId="7F202C47" w14:textId="77777777">
      <w:pPr>
        <w:tabs>
          <w:tab w:val="left" w:pos="-720"/>
        </w:tabs>
        <w:suppressAutoHyphens/>
        <w:ind w:left="360"/>
        <w:rPr>
          <w:rFonts w:ascii="Times New Roman" w:hAnsi="Times New Roman"/>
          <w:szCs w:val="24"/>
        </w:rPr>
      </w:pPr>
    </w:p>
    <w:p w:rsidRPr="00534B4A" w:rsidR="00043C32" w:rsidP="00AD381B" w:rsidRDefault="00043C32" w14:paraId="03560D93" w14:textId="77777777">
      <w:pPr>
        <w:pStyle w:val="ListParagraph"/>
        <w:numPr>
          <w:ilvl w:val="0"/>
          <w:numId w:val="5"/>
        </w:numPr>
        <w:tabs>
          <w:tab w:val="left" w:pos="-720"/>
        </w:tabs>
        <w:suppressAutoHyphens/>
        <w:ind w:left="900" w:hanging="540"/>
        <w:rPr>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1C73C0" w:rsidP="00AD381B" w:rsidRDefault="001C73C0" w14:paraId="03560D94" w14:textId="0EDB6E5C">
      <w:pPr>
        <w:rPr>
          <w:rFonts w:ascii="Times New Roman" w:hAnsi="Times New Roman"/>
          <w:szCs w:val="24"/>
        </w:rPr>
      </w:pPr>
    </w:p>
    <w:p w:rsidRPr="00AD381B" w:rsidR="002E01B7" w:rsidP="002E01B7" w:rsidRDefault="002E01B7" w14:paraId="13258B05" w14:textId="569A4E98">
      <w:pPr>
        <w:ind w:left="720"/>
        <w:rPr>
          <w:rFonts w:ascii="Times New Roman" w:hAnsi="Times New Roman"/>
          <w:szCs w:val="24"/>
        </w:rPr>
      </w:pPr>
      <w:r w:rsidRPr="002E01B7">
        <w:rPr>
          <w:rFonts w:ascii="Times New Roman" w:hAnsi="Times New Roman"/>
          <w:szCs w:val="24"/>
        </w:rPr>
        <w:t>There are no proposed exceptions to the certifications.</w:t>
      </w:r>
    </w:p>
    <w:sectPr w:rsidRPr="00AD381B" w:rsidR="002E01B7" w:rsidSect="00043C32">
      <w:footerReference w:type="default" r:id="rId11"/>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8F10C" w14:textId="77777777" w:rsidR="00E94A62" w:rsidRDefault="00E94A62" w:rsidP="00043C32">
      <w:r>
        <w:separator/>
      </w:r>
    </w:p>
  </w:endnote>
  <w:endnote w:type="continuationSeparator" w:id="0">
    <w:p w14:paraId="094EA400" w14:textId="77777777" w:rsidR="00E94A62" w:rsidRDefault="00E94A62"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60D9C" w14:textId="77777777" w:rsidR="00386054" w:rsidRDefault="00060516">
    <w:pPr>
      <w:spacing w:before="140" w:line="100" w:lineRule="exact"/>
      <w:rPr>
        <w:sz w:val="10"/>
      </w:rPr>
    </w:pPr>
  </w:p>
  <w:p w14:paraId="03560D9D" w14:textId="77777777" w:rsidR="00386054" w:rsidRDefault="00060516">
    <w:pPr>
      <w:tabs>
        <w:tab w:val="left" w:pos="0"/>
      </w:tabs>
      <w:suppressAutoHyphens/>
    </w:pPr>
  </w:p>
  <w:p w14:paraId="03560D9E" w14:textId="77777777" w:rsidR="00386054" w:rsidRDefault="00043C32">
    <w:pPr>
      <w:tabs>
        <w:tab w:val="left" w:pos="0"/>
      </w:tabs>
      <w:suppressAutoHyphens/>
    </w:pPr>
    <w:r>
      <w:rPr>
        <w:noProof/>
      </w:rPr>
      <mc:AlternateContent>
        <mc:Choice Requires="wps">
          <w:drawing>
            <wp:inline distT="0" distB="0" distL="0" distR="0" wp14:anchorId="03560D9F" wp14:editId="03560DA0">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3560DA3"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03560D9F"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03560DA3"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1FD4C" w14:textId="77777777" w:rsidR="00E94A62" w:rsidRDefault="00E94A62" w:rsidP="00043C32">
      <w:r>
        <w:separator/>
      </w:r>
    </w:p>
  </w:footnote>
  <w:footnote w:type="continuationSeparator" w:id="0">
    <w:p w14:paraId="20E0C8D4" w14:textId="77777777" w:rsidR="00E94A62" w:rsidRDefault="00E94A62" w:rsidP="00043C32">
      <w:r>
        <w:continuationSeparator/>
      </w:r>
    </w:p>
  </w:footnote>
  <w:footnote w:id="1">
    <w:p w14:paraId="03560DA1" w14:textId="77777777" w:rsidR="00043C32" w:rsidRDefault="00043C32" w:rsidP="00043C32">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03560DA2"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12CD4"/>
    <w:rsid w:val="00043C32"/>
    <w:rsid w:val="00060516"/>
    <w:rsid w:val="00093017"/>
    <w:rsid w:val="000D522B"/>
    <w:rsid w:val="000E1DF0"/>
    <w:rsid w:val="000E5268"/>
    <w:rsid w:val="000F3939"/>
    <w:rsid w:val="00140BCE"/>
    <w:rsid w:val="00165E4A"/>
    <w:rsid w:val="00166404"/>
    <w:rsid w:val="00173E84"/>
    <w:rsid w:val="001824F3"/>
    <w:rsid w:val="00185711"/>
    <w:rsid w:val="001B4C22"/>
    <w:rsid w:val="001C73C0"/>
    <w:rsid w:val="002225CC"/>
    <w:rsid w:val="00224A3B"/>
    <w:rsid w:val="00240A39"/>
    <w:rsid w:val="00250100"/>
    <w:rsid w:val="00252194"/>
    <w:rsid w:val="00262A69"/>
    <w:rsid w:val="002743F1"/>
    <w:rsid w:val="002944B4"/>
    <w:rsid w:val="002E01B7"/>
    <w:rsid w:val="00305354"/>
    <w:rsid w:val="00314560"/>
    <w:rsid w:val="0032078A"/>
    <w:rsid w:val="00337E04"/>
    <w:rsid w:val="0035609D"/>
    <w:rsid w:val="00363B40"/>
    <w:rsid w:val="003B1545"/>
    <w:rsid w:val="003C304E"/>
    <w:rsid w:val="003C772D"/>
    <w:rsid w:val="00404FD9"/>
    <w:rsid w:val="00442E07"/>
    <w:rsid w:val="00462FFE"/>
    <w:rsid w:val="00472686"/>
    <w:rsid w:val="004F4AAC"/>
    <w:rsid w:val="00507436"/>
    <w:rsid w:val="00520CA6"/>
    <w:rsid w:val="0053003F"/>
    <w:rsid w:val="00534B4A"/>
    <w:rsid w:val="00574CD0"/>
    <w:rsid w:val="00581C11"/>
    <w:rsid w:val="005B1C11"/>
    <w:rsid w:val="005F5CB7"/>
    <w:rsid w:val="005F7911"/>
    <w:rsid w:val="00601B84"/>
    <w:rsid w:val="0064351D"/>
    <w:rsid w:val="0068567A"/>
    <w:rsid w:val="006A292A"/>
    <w:rsid w:val="006C5772"/>
    <w:rsid w:val="00730858"/>
    <w:rsid w:val="007344DD"/>
    <w:rsid w:val="00755D99"/>
    <w:rsid w:val="00790E3E"/>
    <w:rsid w:val="007F3623"/>
    <w:rsid w:val="007F6104"/>
    <w:rsid w:val="00807D1A"/>
    <w:rsid w:val="00814CF5"/>
    <w:rsid w:val="008B0C1F"/>
    <w:rsid w:val="008D0601"/>
    <w:rsid w:val="008E3985"/>
    <w:rsid w:val="008E5919"/>
    <w:rsid w:val="00903E5E"/>
    <w:rsid w:val="00904A4A"/>
    <w:rsid w:val="00905951"/>
    <w:rsid w:val="00912D2C"/>
    <w:rsid w:val="00920F63"/>
    <w:rsid w:val="00934185"/>
    <w:rsid w:val="00986D0A"/>
    <w:rsid w:val="00A05986"/>
    <w:rsid w:val="00A118A2"/>
    <w:rsid w:val="00A44709"/>
    <w:rsid w:val="00A5345D"/>
    <w:rsid w:val="00A7636D"/>
    <w:rsid w:val="00A9138E"/>
    <w:rsid w:val="00AD381B"/>
    <w:rsid w:val="00AE3320"/>
    <w:rsid w:val="00AF5B5B"/>
    <w:rsid w:val="00B017F9"/>
    <w:rsid w:val="00B07213"/>
    <w:rsid w:val="00B10A05"/>
    <w:rsid w:val="00B54167"/>
    <w:rsid w:val="00B60208"/>
    <w:rsid w:val="00B62E06"/>
    <w:rsid w:val="00B66E0A"/>
    <w:rsid w:val="00B8746E"/>
    <w:rsid w:val="00B9671B"/>
    <w:rsid w:val="00BA0C92"/>
    <w:rsid w:val="00BA1D31"/>
    <w:rsid w:val="00BD6B9B"/>
    <w:rsid w:val="00C164D3"/>
    <w:rsid w:val="00C86713"/>
    <w:rsid w:val="00CA5EA9"/>
    <w:rsid w:val="00CB5E8F"/>
    <w:rsid w:val="00CC2A72"/>
    <w:rsid w:val="00CD036E"/>
    <w:rsid w:val="00CD0877"/>
    <w:rsid w:val="00D34984"/>
    <w:rsid w:val="00D36C35"/>
    <w:rsid w:val="00D62498"/>
    <w:rsid w:val="00DA2F2D"/>
    <w:rsid w:val="00DB66A7"/>
    <w:rsid w:val="00DD4454"/>
    <w:rsid w:val="00DE4C20"/>
    <w:rsid w:val="00DF4A91"/>
    <w:rsid w:val="00E16ACD"/>
    <w:rsid w:val="00E17134"/>
    <w:rsid w:val="00E25EBC"/>
    <w:rsid w:val="00E66550"/>
    <w:rsid w:val="00E6684B"/>
    <w:rsid w:val="00E7373C"/>
    <w:rsid w:val="00E877BF"/>
    <w:rsid w:val="00E94A62"/>
    <w:rsid w:val="00EA1767"/>
    <w:rsid w:val="00EA7619"/>
    <w:rsid w:val="00EB0929"/>
    <w:rsid w:val="00EC01DD"/>
    <w:rsid w:val="00EC35E3"/>
    <w:rsid w:val="00ED7195"/>
    <w:rsid w:val="00EE08F9"/>
    <w:rsid w:val="00EE2559"/>
    <w:rsid w:val="00F0414F"/>
    <w:rsid w:val="00F73131"/>
    <w:rsid w:val="00F97E32"/>
    <w:rsid w:val="00FD4F0B"/>
    <w:rsid w:val="00FE1BAE"/>
    <w:rsid w:val="00FF2DC2"/>
    <w:rsid w:val="02AD68AD"/>
    <w:rsid w:val="08D87770"/>
    <w:rsid w:val="0B170960"/>
    <w:rsid w:val="0EA4CFF5"/>
    <w:rsid w:val="0F131CEA"/>
    <w:rsid w:val="1BD6A790"/>
    <w:rsid w:val="1CD389A7"/>
    <w:rsid w:val="1DF1535E"/>
    <w:rsid w:val="204787E1"/>
    <w:rsid w:val="21D39BCA"/>
    <w:rsid w:val="2581808A"/>
    <w:rsid w:val="25AD232D"/>
    <w:rsid w:val="2F054C7B"/>
    <w:rsid w:val="2FCA6397"/>
    <w:rsid w:val="30D9A915"/>
    <w:rsid w:val="3163F2EE"/>
    <w:rsid w:val="33EE956B"/>
    <w:rsid w:val="35BBD571"/>
    <w:rsid w:val="39F874F8"/>
    <w:rsid w:val="3CD23C16"/>
    <w:rsid w:val="3F7DF35E"/>
    <w:rsid w:val="476198ED"/>
    <w:rsid w:val="47E04041"/>
    <w:rsid w:val="4AD73184"/>
    <w:rsid w:val="4FD76956"/>
    <w:rsid w:val="510E3A83"/>
    <w:rsid w:val="55262C2F"/>
    <w:rsid w:val="55D56D87"/>
    <w:rsid w:val="57B1D63C"/>
    <w:rsid w:val="582F4982"/>
    <w:rsid w:val="5987783F"/>
    <w:rsid w:val="59E73609"/>
    <w:rsid w:val="5FD00AED"/>
    <w:rsid w:val="624C938E"/>
    <w:rsid w:val="655E2509"/>
    <w:rsid w:val="68C7BADE"/>
    <w:rsid w:val="68DFCBCD"/>
    <w:rsid w:val="69A36DBD"/>
    <w:rsid w:val="6AD7C658"/>
    <w:rsid w:val="6D881BF2"/>
    <w:rsid w:val="6E35DF56"/>
    <w:rsid w:val="77704029"/>
    <w:rsid w:val="78097D23"/>
    <w:rsid w:val="78D0DABF"/>
    <w:rsid w:val="790B8714"/>
    <w:rsid w:val="7BB16352"/>
    <w:rsid w:val="7F0F87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560D58"/>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paragraph" w:customStyle="1" w:styleId="MediumGrid1-Accent21">
    <w:name w:val="Medium Grid 1 - Accent 21"/>
    <w:basedOn w:val="Normal"/>
    <w:uiPriority w:val="34"/>
    <w:qFormat/>
    <w:rsid w:val="00185711"/>
    <w:pPr>
      <w:spacing w:before="120" w:after="120"/>
      <w:ind w:left="720"/>
    </w:pPr>
    <w:rPr>
      <w:rFonts w:ascii="Times New Roman" w:hAnsi="Times New Roman"/>
      <w:szCs w:val="24"/>
    </w:rPr>
  </w:style>
  <w:style w:type="paragraph" w:styleId="TOC4">
    <w:name w:val="toc 4"/>
    <w:basedOn w:val="Normal"/>
    <w:next w:val="Normal"/>
    <w:autoRedefine/>
    <w:uiPriority w:val="39"/>
    <w:semiHidden/>
    <w:unhideWhenUsed/>
    <w:rsid w:val="007F3623"/>
    <w:pPr>
      <w:spacing w:after="100"/>
      <w:ind w:left="720"/>
    </w:pPr>
  </w:style>
  <w:style w:type="paragraph" w:styleId="BalloonText">
    <w:name w:val="Balloon Text"/>
    <w:basedOn w:val="Normal"/>
    <w:link w:val="BalloonTextChar"/>
    <w:uiPriority w:val="99"/>
    <w:semiHidden/>
    <w:unhideWhenUsed/>
    <w:rsid w:val="003053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354"/>
    <w:rPr>
      <w:rFonts w:ascii="Segoe UI" w:hAnsi="Segoe UI" w:cs="Segoe UI"/>
      <w:sz w:val="18"/>
      <w:szCs w:val="18"/>
    </w:rPr>
  </w:style>
  <w:style w:type="character" w:styleId="CommentReference">
    <w:name w:val="annotation reference"/>
    <w:basedOn w:val="DefaultParagraphFont"/>
    <w:uiPriority w:val="99"/>
    <w:semiHidden/>
    <w:unhideWhenUsed/>
    <w:rsid w:val="003C772D"/>
    <w:rPr>
      <w:sz w:val="16"/>
      <w:szCs w:val="16"/>
    </w:rPr>
  </w:style>
  <w:style w:type="paragraph" w:styleId="CommentText">
    <w:name w:val="annotation text"/>
    <w:basedOn w:val="Normal"/>
    <w:link w:val="CommentTextChar"/>
    <w:uiPriority w:val="99"/>
    <w:semiHidden/>
    <w:unhideWhenUsed/>
    <w:rsid w:val="003C772D"/>
    <w:rPr>
      <w:sz w:val="20"/>
    </w:rPr>
  </w:style>
  <w:style w:type="character" w:customStyle="1" w:styleId="CommentTextChar">
    <w:name w:val="Comment Text Char"/>
    <w:basedOn w:val="DefaultParagraphFont"/>
    <w:link w:val="CommentText"/>
    <w:uiPriority w:val="99"/>
    <w:semiHidden/>
    <w:rsid w:val="003C772D"/>
    <w:rPr>
      <w:rFonts w:ascii="Courier" w:hAnsi="Courier"/>
    </w:rPr>
  </w:style>
  <w:style w:type="paragraph" w:styleId="CommentSubject">
    <w:name w:val="annotation subject"/>
    <w:basedOn w:val="CommentText"/>
    <w:next w:val="CommentText"/>
    <w:link w:val="CommentSubjectChar"/>
    <w:uiPriority w:val="99"/>
    <w:semiHidden/>
    <w:unhideWhenUsed/>
    <w:rsid w:val="003C772D"/>
    <w:rPr>
      <w:b/>
      <w:bCs/>
    </w:rPr>
  </w:style>
  <w:style w:type="character" w:customStyle="1" w:styleId="CommentSubjectChar">
    <w:name w:val="Comment Subject Char"/>
    <w:basedOn w:val="CommentTextChar"/>
    <w:link w:val="CommentSubject"/>
    <w:uiPriority w:val="99"/>
    <w:semiHidden/>
    <w:rsid w:val="003C772D"/>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BCA1E0-D818-4465-8327-85ABFE66B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89004B-7219-45B0-BD47-BBAB20D60BAC}">
  <ds:schemaRefs>
    <ds:schemaRef ds:uri="http://schemas.openxmlformats.org/officeDocument/2006/bibliography"/>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3617</Words>
  <Characters>20621</Characters>
  <Application>Microsoft Office Word</Application>
  <DocSecurity>4</DocSecurity>
  <Lines>171</Lines>
  <Paragraphs>48</Paragraphs>
  <ScaleCrop>false</ScaleCrop>
  <Company>U.S. Department of Education</Company>
  <LinksUpToDate>false</LinksUpToDate>
  <CharactersWithSpaces>24190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2020-09-10T14:24:00Z</dcterms:created>
  <dcterms:modified xsi:type="dcterms:W3CDTF">2020-09-10T14:24:00Z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