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1BB8" w:rsidR="00E14C63" w:rsidP="002A4142" w:rsidRDefault="00D350A8" w14:paraId="60ACE081" w14:textId="77777777">
      <w:pPr>
        <w:tabs>
          <w:tab w:val="left" w:pos="3320"/>
        </w:tabs>
        <w:spacing w:after="0" w:line="240" w:lineRule="auto"/>
        <w:jc w:val="center"/>
        <w:rPr>
          <w:rFonts w:ascii="Times New Roman" w:hAnsi="Times New Roman" w:cs="Times New Roman"/>
          <w:sz w:val="24"/>
          <w:szCs w:val="24"/>
        </w:rPr>
      </w:pPr>
      <w:r w:rsidRPr="00B51BB8">
        <w:rPr>
          <w:rFonts w:ascii="Times New Roman" w:hAnsi="Times New Roman" w:cs="Times New Roman"/>
          <w:sz w:val="24"/>
          <w:szCs w:val="24"/>
        </w:rPr>
        <w:t>Supporting Statement for</w:t>
      </w:r>
    </w:p>
    <w:p w:rsidR="00797852" w:rsidP="002A4142" w:rsidRDefault="00675A46" w14:paraId="632D9B37" w14:textId="5CACA487">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FERC-725B</w:t>
      </w:r>
      <w:r w:rsidRPr="00B51BB8" w:rsidR="00FA0F7B">
        <w:rPr>
          <w:rFonts w:ascii="Times New Roman" w:hAnsi="Times New Roman" w:cs="Times New Roman"/>
          <w:b/>
          <w:sz w:val="24"/>
          <w:szCs w:val="24"/>
        </w:rPr>
        <w:t xml:space="preserve"> </w:t>
      </w:r>
      <w:r w:rsidRPr="00B51BB8" w:rsidR="00A70D34">
        <w:rPr>
          <w:rFonts w:ascii="Times New Roman" w:hAnsi="Times New Roman" w:cs="Times New Roman"/>
          <w:b/>
          <w:sz w:val="24"/>
          <w:szCs w:val="24"/>
        </w:rPr>
        <w:t>(Mandatory Reliability Standards</w:t>
      </w:r>
      <w:r w:rsidR="00B50C45">
        <w:rPr>
          <w:rFonts w:ascii="Times New Roman" w:hAnsi="Times New Roman" w:cs="Times New Roman"/>
          <w:b/>
          <w:sz w:val="24"/>
          <w:szCs w:val="24"/>
        </w:rPr>
        <w:t xml:space="preserve"> for Critical Infrastructure Protection [CIP] Reliability Standards</w:t>
      </w:r>
      <w:r w:rsidRPr="00B51BB8" w:rsidR="00A70D34">
        <w:rPr>
          <w:rFonts w:ascii="Times New Roman" w:hAnsi="Times New Roman" w:cs="Times New Roman"/>
          <w:b/>
          <w:sz w:val="24"/>
          <w:szCs w:val="24"/>
        </w:rPr>
        <w:t>)</w:t>
      </w:r>
      <w:r w:rsidR="003A37A8">
        <w:rPr>
          <w:rFonts w:ascii="Times New Roman" w:hAnsi="Times New Roman" w:cs="Times New Roman"/>
          <w:b/>
          <w:sz w:val="24"/>
          <w:szCs w:val="24"/>
        </w:rPr>
        <w:t>,</w:t>
      </w:r>
    </w:p>
    <w:p w:rsidRPr="00B51BB8" w:rsidR="00D350A8" w:rsidP="002A4142" w:rsidRDefault="00717A1C" w14:paraId="67A86B77" w14:textId="6FD52F71">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as </w:t>
      </w:r>
      <w:r w:rsidR="00030744">
        <w:rPr>
          <w:rFonts w:ascii="Times New Roman" w:hAnsi="Times New Roman" w:cs="Times New Roman"/>
          <w:b/>
          <w:sz w:val="24"/>
          <w:szCs w:val="24"/>
        </w:rPr>
        <w:t>modifi</w:t>
      </w:r>
      <w:r w:rsidRPr="00B51BB8" w:rsidR="00030744">
        <w:rPr>
          <w:rFonts w:ascii="Times New Roman" w:hAnsi="Times New Roman" w:cs="Times New Roman"/>
          <w:b/>
          <w:sz w:val="24"/>
          <w:szCs w:val="24"/>
        </w:rPr>
        <w:t xml:space="preserve">ed </w:t>
      </w:r>
      <w:r w:rsidRPr="00B51BB8">
        <w:rPr>
          <w:rFonts w:ascii="Times New Roman" w:hAnsi="Times New Roman" w:cs="Times New Roman"/>
          <w:b/>
          <w:sz w:val="24"/>
          <w:szCs w:val="24"/>
        </w:rPr>
        <w:t xml:space="preserve">by </w:t>
      </w:r>
      <w:r w:rsidR="00936236">
        <w:rPr>
          <w:rFonts w:ascii="Times New Roman" w:hAnsi="Times New Roman" w:cs="Times New Roman"/>
          <w:b/>
          <w:sz w:val="24"/>
          <w:szCs w:val="24"/>
        </w:rPr>
        <w:t xml:space="preserve">the </w:t>
      </w:r>
      <w:r w:rsidR="00775ADE">
        <w:rPr>
          <w:rFonts w:ascii="Times New Roman" w:hAnsi="Times New Roman" w:cs="Times New Roman"/>
          <w:b/>
          <w:sz w:val="24"/>
          <w:szCs w:val="24"/>
        </w:rPr>
        <w:t>Final Rule</w:t>
      </w:r>
      <w:r w:rsidR="007502F1">
        <w:rPr>
          <w:rFonts w:ascii="Times New Roman" w:hAnsi="Times New Roman" w:cs="Times New Roman"/>
          <w:b/>
          <w:sz w:val="24"/>
          <w:szCs w:val="24"/>
        </w:rPr>
        <w:t xml:space="preserve"> in Docket </w:t>
      </w:r>
      <w:r w:rsidR="009C57F6">
        <w:rPr>
          <w:rFonts w:ascii="Times New Roman" w:hAnsi="Times New Roman" w:cs="Times New Roman"/>
          <w:b/>
          <w:sz w:val="24"/>
          <w:szCs w:val="24"/>
        </w:rPr>
        <w:t xml:space="preserve">No. </w:t>
      </w:r>
      <w:r w:rsidR="007502F1">
        <w:rPr>
          <w:rFonts w:ascii="Times New Roman" w:hAnsi="Times New Roman" w:cs="Times New Roman"/>
          <w:b/>
          <w:sz w:val="24"/>
          <w:szCs w:val="24"/>
        </w:rPr>
        <w:t>RM18-20</w:t>
      </w:r>
      <w:r w:rsidR="00CF14B3">
        <w:rPr>
          <w:rFonts w:ascii="Times New Roman" w:hAnsi="Times New Roman" w:cs="Times New Roman"/>
          <w:b/>
          <w:sz w:val="24"/>
          <w:szCs w:val="24"/>
        </w:rPr>
        <w:t>-000</w:t>
      </w:r>
    </w:p>
    <w:p w:rsidRPr="00B51BB8" w:rsidR="002A4142" w:rsidP="002A4142" w:rsidRDefault="002A4142" w14:paraId="432F8FF1" w14:textId="77777777">
      <w:pPr>
        <w:spacing w:after="0" w:line="240" w:lineRule="auto"/>
        <w:ind w:right="-180"/>
        <w:jc w:val="center"/>
        <w:rPr>
          <w:rFonts w:ascii="Times New Roman" w:hAnsi="Times New Roman" w:cs="Times New Roman"/>
          <w:b/>
          <w:sz w:val="24"/>
          <w:szCs w:val="24"/>
        </w:rPr>
      </w:pPr>
    </w:p>
    <w:p w:rsidR="00C4205B" w:rsidP="002A4142" w:rsidRDefault="00D350A8" w14:paraId="12B1F6FB" w14:textId="36AEE464">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 Federal Energy Regulatory Commission (Commission or FERC) requests that the Office of Management and</w:t>
      </w:r>
      <w:r w:rsidR="007502F1">
        <w:rPr>
          <w:rFonts w:ascii="Times New Roman" w:hAnsi="Times New Roman" w:cs="Times New Roman"/>
          <w:sz w:val="24"/>
          <w:szCs w:val="24"/>
        </w:rPr>
        <w:t xml:space="preserve"> Budget (OMB) review the revisions to</w:t>
      </w:r>
      <w:r w:rsidR="00376367">
        <w:rPr>
          <w:rFonts w:ascii="Times New Roman" w:hAnsi="Times New Roman" w:cs="Times New Roman"/>
          <w:sz w:val="24"/>
          <w:szCs w:val="24"/>
        </w:rPr>
        <w:t xml:space="preserve"> the</w:t>
      </w:r>
      <w:r w:rsidRPr="00B51BB8">
        <w:rPr>
          <w:rFonts w:ascii="Times New Roman" w:hAnsi="Times New Roman" w:cs="Times New Roman"/>
          <w:sz w:val="24"/>
          <w:szCs w:val="24"/>
        </w:rPr>
        <w:t xml:space="preserve"> </w:t>
      </w:r>
      <w:r w:rsidR="00675A46">
        <w:rPr>
          <w:rFonts w:ascii="Times New Roman" w:hAnsi="Times New Roman" w:cs="Times New Roman"/>
          <w:sz w:val="24"/>
          <w:szCs w:val="24"/>
        </w:rPr>
        <w:t>FERC-725B</w:t>
      </w:r>
      <w:r w:rsidRPr="00AD1139" w:rsidR="00612E67">
        <w:rPr>
          <w:rFonts w:ascii="Times New Roman" w:hAnsi="Times New Roman" w:cs="Times New Roman"/>
          <w:sz w:val="24"/>
          <w:szCs w:val="24"/>
          <w:vertAlign w:val="superscript"/>
        </w:rPr>
        <w:t xml:space="preserve"> </w:t>
      </w:r>
      <w:r w:rsidR="00376367">
        <w:rPr>
          <w:rFonts w:ascii="Times New Roman" w:hAnsi="Times New Roman" w:cs="Times New Roman"/>
          <w:sz w:val="24"/>
          <w:szCs w:val="24"/>
        </w:rPr>
        <w:t xml:space="preserve">information collection </w:t>
      </w:r>
      <w:r w:rsidRPr="00B51BB8" w:rsidR="00612E67">
        <w:rPr>
          <w:rFonts w:ascii="Times New Roman" w:hAnsi="Times New Roman" w:cs="Times New Roman"/>
          <w:sz w:val="24"/>
          <w:szCs w:val="24"/>
        </w:rPr>
        <w:t>(</w:t>
      </w:r>
      <w:r w:rsidRPr="00B50C45" w:rsidR="00B50C45">
        <w:rPr>
          <w:rFonts w:ascii="Times New Roman" w:hAnsi="Times New Roman" w:cs="Times New Roman"/>
          <w:sz w:val="24"/>
          <w:szCs w:val="24"/>
        </w:rPr>
        <w:t>Mandatory Reliability Standards for Critical Infrastructure Protection [CIP] Reliability Standards</w:t>
      </w:r>
      <w:r w:rsidR="000B4143">
        <w:rPr>
          <w:rFonts w:ascii="Times New Roman" w:hAnsi="Times New Roman" w:cs="Times New Roman"/>
          <w:sz w:val="24"/>
          <w:szCs w:val="24"/>
        </w:rPr>
        <w:t>)</w:t>
      </w:r>
      <w:r w:rsidR="00B50C45">
        <w:rPr>
          <w:rFonts w:ascii="Times New Roman" w:hAnsi="Times New Roman" w:cs="Times New Roman"/>
          <w:sz w:val="24"/>
          <w:szCs w:val="24"/>
        </w:rPr>
        <w:t xml:space="preserve"> </w:t>
      </w:r>
      <w:r w:rsidRPr="00B51BB8" w:rsidR="00606999">
        <w:rPr>
          <w:rFonts w:ascii="Times New Roman" w:hAnsi="Times New Roman" w:cs="Times New Roman"/>
          <w:sz w:val="24"/>
          <w:szCs w:val="24"/>
        </w:rPr>
        <w:t xml:space="preserve">as </w:t>
      </w:r>
      <w:r w:rsidR="009B0FA2">
        <w:rPr>
          <w:rFonts w:ascii="Times New Roman" w:hAnsi="Times New Roman" w:cs="Times New Roman"/>
          <w:sz w:val="24"/>
          <w:szCs w:val="24"/>
        </w:rPr>
        <w:t>implement</w:t>
      </w:r>
      <w:r w:rsidRPr="00B51BB8" w:rsidR="009B0FA2">
        <w:rPr>
          <w:rFonts w:ascii="Times New Roman" w:hAnsi="Times New Roman" w:cs="Times New Roman"/>
          <w:sz w:val="24"/>
          <w:szCs w:val="24"/>
        </w:rPr>
        <w:t xml:space="preserve">ed </w:t>
      </w:r>
      <w:r w:rsidRPr="00B51BB8" w:rsidR="00606999">
        <w:rPr>
          <w:rFonts w:ascii="Times New Roman" w:hAnsi="Times New Roman" w:cs="Times New Roman"/>
          <w:sz w:val="24"/>
          <w:szCs w:val="24"/>
        </w:rPr>
        <w:t xml:space="preserve">by the </w:t>
      </w:r>
      <w:r w:rsidR="009B0FA2">
        <w:rPr>
          <w:rFonts w:ascii="Times New Roman" w:hAnsi="Times New Roman" w:cs="Times New Roman"/>
          <w:sz w:val="24"/>
          <w:szCs w:val="24"/>
        </w:rPr>
        <w:t>Final Rule</w:t>
      </w:r>
      <w:r w:rsidRPr="00B51BB8" w:rsidR="008C747F">
        <w:rPr>
          <w:rFonts w:ascii="Times New Roman" w:hAnsi="Times New Roman" w:cs="Times New Roman"/>
          <w:sz w:val="24"/>
          <w:szCs w:val="24"/>
        </w:rPr>
        <w:t xml:space="preserve"> </w:t>
      </w:r>
      <w:r w:rsidR="002C531C">
        <w:rPr>
          <w:rFonts w:ascii="Times New Roman" w:hAnsi="Times New Roman" w:cs="Times New Roman"/>
          <w:sz w:val="24"/>
          <w:szCs w:val="24"/>
        </w:rPr>
        <w:t>(Order 866, issued 1/23/2020)</w:t>
      </w:r>
      <w:r w:rsidRPr="005D011E" w:rsidR="002C531C">
        <w:rPr>
          <w:rStyle w:val="FootnoteReference"/>
          <w:rFonts w:ascii="Times New Roman" w:hAnsi="Times New Roman" w:cs="Times New Roman"/>
          <w:sz w:val="24"/>
          <w:szCs w:val="24"/>
          <w:vertAlign w:val="superscript"/>
        </w:rPr>
        <w:footnoteReference w:id="2"/>
      </w:r>
      <w:r w:rsidR="002C531C">
        <w:rPr>
          <w:rFonts w:ascii="Times New Roman" w:hAnsi="Times New Roman" w:cs="Times New Roman"/>
          <w:sz w:val="24"/>
          <w:szCs w:val="24"/>
        </w:rPr>
        <w:t xml:space="preserve"> </w:t>
      </w:r>
      <w:r w:rsidRPr="00B51BB8" w:rsidR="00612E67">
        <w:rPr>
          <w:rFonts w:ascii="Times New Roman" w:hAnsi="Times New Roman" w:cs="Times New Roman"/>
          <w:sz w:val="24"/>
          <w:szCs w:val="24"/>
        </w:rPr>
        <w:t xml:space="preserve">in </w:t>
      </w:r>
      <w:r w:rsidR="009B0FA2">
        <w:rPr>
          <w:rFonts w:ascii="Times New Roman" w:hAnsi="Times New Roman" w:cs="Times New Roman"/>
          <w:sz w:val="24"/>
          <w:szCs w:val="24"/>
        </w:rPr>
        <w:t xml:space="preserve">Docket No. </w:t>
      </w:r>
      <w:r w:rsidR="007502F1">
        <w:rPr>
          <w:rFonts w:ascii="Times New Roman" w:hAnsi="Times New Roman" w:cs="Times New Roman"/>
          <w:sz w:val="24"/>
          <w:szCs w:val="24"/>
        </w:rPr>
        <w:t>RM18-20</w:t>
      </w:r>
      <w:r w:rsidR="00CF14B3">
        <w:rPr>
          <w:rFonts w:ascii="Times New Roman" w:hAnsi="Times New Roman" w:cs="Times New Roman"/>
          <w:sz w:val="24"/>
          <w:szCs w:val="24"/>
        </w:rPr>
        <w:t>-000</w:t>
      </w:r>
      <w:r w:rsidR="00774B70">
        <w:rPr>
          <w:rFonts w:ascii="Times New Roman" w:hAnsi="Times New Roman" w:cs="Times New Roman"/>
          <w:sz w:val="24"/>
          <w:szCs w:val="24"/>
        </w:rPr>
        <w:t>.</w:t>
      </w:r>
      <w:r w:rsidR="0038265B">
        <w:rPr>
          <w:rFonts w:ascii="Times New Roman" w:hAnsi="Times New Roman" w:cs="Times New Roman"/>
          <w:sz w:val="24"/>
          <w:szCs w:val="24"/>
        </w:rPr>
        <w:t xml:space="preserve"> </w:t>
      </w:r>
    </w:p>
    <w:p w:rsidRPr="00B51BB8" w:rsidR="002A4142" w:rsidP="002A4142" w:rsidRDefault="002A4142" w14:paraId="505CBA46" w14:textId="77777777">
      <w:pPr>
        <w:spacing w:after="0" w:line="240" w:lineRule="auto"/>
        <w:rPr>
          <w:rFonts w:ascii="Times New Roman" w:hAnsi="Times New Roman" w:cs="Times New Roman"/>
          <w:b/>
          <w:sz w:val="24"/>
          <w:szCs w:val="24"/>
        </w:rPr>
      </w:pPr>
    </w:p>
    <w:p w:rsidRPr="00B51BB8" w:rsidR="00C4205B" w:rsidP="007C39D3" w:rsidRDefault="00C4205B" w14:paraId="1062E706" w14:textId="77777777">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rsidRPr="00B51BB8" w:rsidR="00C4205B" w:rsidP="005E2448" w:rsidRDefault="00C4205B" w14:paraId="3D45919E" w14:textId="77777777">
      <w:pPr>
        <w:widowControl w:val="0"/>
        <w:autoSpaceDE w:val="0"/>
        <w:autoSpaceDN w:val="0"/>
        <w:adjustRightInd w:val="0"/>
        <w:spacing w:after="0" w:line="240" w:lineRule="auto"/>
        <w:ind w:left="360"/>
        <w:rPr>
          <w:rFonts w:ascii="Times New Roman" w:hAnsi="Times New Roman" w:cs="Times New Roman"/>
          <w:b/>
          <w:bCs/>
          <w:sz w:val="24"/>
          <w:szCs w:val="24"/>
        </w:rPr>
      </w:pPr>
    </w:p>
    <w:p w:rsidR="008B0895" w:rsidP="00AD1139" w:rsidRDefault="008B0895" w14:paraId="3D431832" w14:textId="3C1BC02D">
      <w:pPr>
        <w:spacing w:after="0" w:line="240" w:lineRule="auto"/>
        <w:rPr>
          <w:rFonts w:ascii="Times New Roman" w:hAnsi="Times New Roman" w:cs="Times New Roman"/>
          <w:sz w:val="24"/>
          <w:szCs w:val="24"/>
        </w:rPr>
      </w:pPr>
      <w:r>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w:t>
      </w:r>
      <w:r w:rsidRPr="0082752D">
        <w:rPr>
          <w:rFonts w:ascii="Times New Roman" w:hAnsi="Times New Roman" w:cs="Times New Roman"/>
          <w:b/>
          <w:sz w:val="24"/>
          <w:szCs w:val="24"/>
          <w:vertAlign w:val="superscript"/>
        </w:rPr>
        <w:footnoteReference w:id="3"/>
      </w:r>
      <w:r>
        <w:rPr>
          <w:rFonts w:ascii="Times New Roman" w:hAnsi="Times New Roman" w:cs="Times New Roman"/>
          <w:sz w:val="24"/>
          <w:szCs w:val="24"/>
        </w:rPr>
        <w:t xml:space="preserve">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Pr>
          <w:rStyle w:val="FootnoteReference"/>
          <w:rFonts w:ascii="Times New Roman" w:hAnsi="Times New Roman" w:cs="Times New Roman"/>
          <w:sz w:val="24"/>
          <w:szCs w:val="24"/>
          <w:vertAlign w:val="superscript"/>
        </w:rPr>
        <w:footnoteReference w:id="4"/>
      </w:r>
    </w:p>
    <w:p w:rsidR="008B0895" w:rsidP="0087017E" w:rsidRDefault="008B0895" w14:paraId="64CFCD35" w14:textId="77777777">
      <w:pPr>
        <w:spacing w:after="0" w:line="240" w:lineRule="auto"/>
        <w:rPr>
          <w:rFonts w:ascii="Times New Roman" w:hAnsi="Times New Roman" w:cs="Times New Roman"/>
          <w:sz w:val="24"/>
          <w:szCs w:val="24"/>
        </w:rPr>
      </w:pPr>
    </w:p>
    <w:p w:rsidRPr="00930579" w:rsidR="00930579" w:rsidP="00930579" w:rsidRDefault="00930579" w14:paraId="343E9A6B" w14:textId="35E87E71">
      <w:pPr>
        <w:spacing w:after="0" w:line="240" w:lineRule="auto"/>
        <w:rPr>
          <w:rFonts w:ascii="Times New Roman" w:hAnsi="Times New Roman" w:cs="Times New Roman"/>
          <w:sz w:val="24"/>
          <w:szCs w:val="24"/>
        </w:rPr>
      </w:pPr>
      <w:r w:rsidRPr="00930579">
        <w:rPr>
          <w:rFonts w:ascii="Times New Roman" w:hAnsi="Times New Roman" w:cs="Times New Roman"/>
          <w:sz w:val="24"/>
          <w:szCs w:val="24"/>
        </w:rPr>
        <w:t>Pursuant to section 215(d)(2) of the Federal Power Act (FPA),</w:t>
      </w:r>
      <w:r w:rsidRPr="00930579">
        <w:rPr>
          <w:rFonts w:ascii="Times New Roman" w:hAnsi="Times New Roman" w:cs="Times New Roman"/>
          <w:b/>
          <w:sz w:val="24"/>
          <w:szCs w:val="24"/>
          <w:vertAlign w:val="superscript"/>
        </w:rPr>
        <w:footnoteReference w:id="5"/>
      </w:r>
      <w:r w:rsidRPr="00930579">
        <w:rPr>
          <w:rFonts w:ascii="Times New Roman" w:hAnsi="Times New Roman" w:cs="Times New Roman"/>
          <w:sz w:val="24"/>
          <w:szCs w:val="24"/>
        </w:rPr>
        <w:t xml:space="preserve"> the Commission approve</w:t>
      </w:r>
      <w:r w:rsidR="007B1F68">
        <w:rPr>
          <w:rFonts w:ascii="Times New Roman" w:hAnsi="Times New Roman" w:cs="Times New Roman"/>
          <w:sz w:val="24"/>
          <w:szCs w:val="24"/>
        </w:rPr>
        <w:t>d</w:t>
      </w:r>
      <w:r w:rsidRPr="00930579">
        <w:rPr>
          <w:rFonts w:ascii="Times New Roman" w:hAnsi="Times New Roman" w:cs="Times New Roman"/>
          <w:sz w:val="24"/>
          <w:szCs w:val="24"/>
        </w:rPr>
        <w:t xml:space="preserve"> Reliability Standard CIP-012-1 (Cyber Security – Communications between Control Centers).  The North American Electric Reliability Corporation (NERC), the Commission-certified Electric Reliability Organization (ERO), submitted the proposed Reliability Standard for Commission approval in response to a Commission directive in Order No. 822.</w:t>
      </w:r>
      <w:r w:rsidRPr="00930579">
        <w:rPr>
          <w:rFonts w:ascii="Times New Roman" w:hAnsi="Times New Roman" w:cs="Times New Roman"/>
          <w:b/>
          <w:sz w:val="24"/>
          <w:szCs w:val="24"/>
          <w:vertAlign w:val="superscript"/>
        </w:rPr>
        <w:footnoteReference w:id="6"/>
      </w:r>
      <w:r w:rsidRPr="00930579">
        <w:rPr>
          <w:rFonts w:ascii="Times New Roman" w:hAnsi="Times New Roman" w:cs="Times New Roman"/>
          <w:sz w:val="24"/>
          <w:szCs w:val="24"/>
        </w:rPr>
        <w:t xml:space="preserve">  Specifically, pursuant to section 215(d)(5) of the FPA, the Commission directed NERC to develop modifications to require responsible entities to implement controls to protect, at a minimum, communications links and sensitive bulk electric system data communicated between bulk electric system Control Centers “in a manner that is appropriately tailored to address the risks posed to the bulk electric system by the assets being protected (i.e., high, medium, or low impact).”</w:t>
      </w:r>
      <w:r w:rsidRPr="00930579">
        <w:rPr>
          <w:rFonts w:ascii="Times New Roman" w:hAnsi="Times New Roman" w:cs="Times New Roman"/>
          <w:b/>
          <w:sz w:val="24"/>
          <w:szCs w:val="24"/>
          <w:vertAlign w:val="superscript"/>
        </w:rPr>
        <w:footnoteReference w:id="7"/>
      </w:r>
      <w:r w:rsidRPr="00930579">
        <w:rPr>
          <w:rFonts w:ascii="Times New Roman" w:hAnsi="Times New Roman" w:cs="Times New Roman"/>
          <w:sz w:val="24"/>
          <w:szCs w:val="24"/>
        </w:rPr>
        <w:t xml:space="preserve">  </w:t>
      </w:r>
    </w:p>
    <w:p w:rsidRPr="00675A46" w:rsidR="00675A46" w:rsidP="00675A46" w:rsidRDefault="00675A46" w14:paraId="0BE03D1C" w14:textId="77777777">
      <w:pPr>
        <w:spacing w:after="0" w:line="240" w:lineRule="auto"/>
        <w:rPr>
          <w:rFonts w:ascii="Times New Roman" w:hAnsi="Times New Roman" w:cs="Times New Roman"/>
          <w:sz w:val="24"/>
          <w:szCs w:val="24"/>
        </w:rPr>
      </w:pPr>
    </w:p>
    <w:p w:rsidRPr="00B51BB8" w:rsidR="00C4205B" w:rsidP="007C39D3" w:rsidRDefault="00C4205B" w14:paraId="349508F4" w14:textId="77777777">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lastRenderedPageBreak/>
        <w:t>HOW, BY WHOM, AND FOR WHAT PURPOSE THE INFORMATION IS TO BE USED AND THE CONSEQUENCES OF NOT COLLECTING THE INFORMATION</w:t>
      </w:r>
    </w:p>
    <w:p w:rsidRPr="00B51BB8" w:rsidR="004A1428" w:rsidP="005E2448" w:rsidRDefault="004A1428" w14:paraId="548551CE" w14:textId="77777777">
      <w:pPr>
        <w:widowControl w:val="0"/>
        <w:autoSpaceDE w:val="0"/>
        <w:autoSpaceDN w:val="0"/>
        <w:adjustRightInd w:val="0"/>
        <w:spacing w:after="0" w:line="240" w:lineRule="auto"/>
        <w:ind w:left="360"/>
        <w:rPr>
          <w:rFonts w:ascii="Times New Roman" w:hAnsi="Times New Roman" w:cs="Times New Roman"/>
          <w:b/>
          <w:bCs/>
          <w:sz w:val="24"/>
          <w:szCs w:val="24"/>
        </w:rPr>
      </w:pPr>
    </w:p>
    <w:p w:rsidR="00930579" w:rsidP="00930579" w:rsidRDefault="00930579" w14:paraId="06F12511" w14:textId="4E838ACB">
      <w:pPr>
        <w:spacing w:after="0" w:line="240" w:lineRule="auto"/>
        <w:rPr>
          <w:rFonts w:ascii="Times New Roman" w:hAnsi="Times New Roman" w:cs="Times New Roman"/>
          <w:sz w:val="24"/>
          <w:szCs w:val="24"/>
        </w:rPr>
      </w:pPr>
      <w:r w:rsidRPr="00930579">
        <w:rPr>
          <w:rFonts w:ascii="Times New Roman" w:hAnsi="Times New Roman" w:cs="Times New Roman"/>
          <w:sz w:val="24"/>
          <w:szCs w:val="24"/>
        </w:rPr>
        <w:t>Reliability Standard CIP-012-1 is intended to augment the currently-effective Critical Infrastructure Protection (CIP) Reliability Standards to mitigate cybersecurity risks associated with communications between bulk electric system Control Centers.</w:t>
      </w:r>
      <w:r w:rsidRPr="00930579">
        <w:rPr>
          <w:rFonts w:ascii="Times New Roman" w:hAnsi="Times New Roman" w:cs="Times New Roman"/>
          <w:b/>
          <w:sz w:val="24"/>
          <w:szCs w:val="24"/>
          <w:vertAlign w:val="superscript"/>
        </w:rPr>
        <w:footnoteReference w:id="8"/>
      </w:r>
      <w:r w:rsidRPr="00930579">
        <w:rPr>
          <w:rFonts w:ascii="Times New Roman" w:hAnsi="Times New Roman" w:cs="Times New Roman"/>
          <w:sz w:val="24"/>
          <w:szCs w:val="24"/>
        </w:rPr>
        <w:t xml:space="preserve">  Specifically, Reliability Standard CIP-012-1 supports situational awareness and reliable bulk electric system operations by requiring responsible entities to protect the confidentiality and integrity of Real-time Assessment and Real-time monitoring data transmitted between bulk electric system Control Centers.</w:t>
      </w:r>
      <w:r w:rsidRPr="00930579">
        <w:rPr>
          <w:rFonts w:ascii="Times New Roman" w:hAnsi="Times New Roman" w:cs="Times New Roman"/>
          <w:b/>
          <w:sz w:val="24"/>
          <w:szCs w:val="24"/>
          <w:vertAlign w:val="superscript"/>
        </w:rPr>
        <w:footnoteReference w:id="9"/>
      </w:r>
      <w:r w:rsidRPr="00930579">
        <w:rPr>
          <w:rFonts w:ascii="Times New Roman" w:hAnsi="Times New Roman" w:cs="Times New Roman"/>
          <w:sz w:val="24"/>
          <w:szCs w:val="24"/>
        </w:rPr>
        <w:t xml:space="preserve">   Accordingly, the Commission determine</w:t>
      </w:r>
      <w:r w:rsidR="007B1F68">
        <w:rPr>
          <w:rFonts w:ascii="Times New Roman" w:hAnsi="Times New Roman" w:cs="Times New Roman"/>
          <w:sz w:val="24"/>
          <w:szCs w:val="24"/>
        </w:rPr>
        <w:t>s</w:t>
      </w:r>
      <w:r w:rsidRPr="00930579">
        <w:rPr>
          <w:rFonts w:ascii="Times New Roman" w:hAnsi="Times New Roman" w:cs="Times New Roman"/>
          <w:sz w:val="24"/>
          <w:szCs w:val="24"/>
        </w:rPr>
        <w:t xml:space="preserve"> that Reliability Standard CIP-012-1 is largely responsive to the Commission’s directive in Order No. 822</w:t>
      </w:r>
      <w:r>
        <w:rPr>
          <w:rFonts w:ascii="Times New Roman" w:hAnsi="Times New Roman" w:cs="Times New Roman"/>
          <w:sz w:val="24"/>
          <w:szCs w:val="24"/>
        </w:rPr>
        <w:t>.</w:t>
      </w:r>
    </w:p>
    <w:p w:rsidR="007F5CAD" w:rsidP="00930579" w:rsidRDefault="007F5CAD" w14:paraId="27707034" w14:textId="00F5D8FF">
      <w:pPr>
        <w:spacing w:after="0" w:line="240" w:lineRule="auto"/>
        <w:rPr>
          <w:rFonts w:ascii="Times New Roman" w:hAnsi="Times New Roman" w:cs="Times New Roman"/>
          <w:sz w:val="24"/>
          <w:szCs w:val="24"/>
        </w:rPr>
      </w:pPr>
    </w:p>
    <w:p w:rsidRPr="003C4DC8" w:rsidR="00505E74" w:rsidP="003C4DC8" w:rsidRDefault="00505E74" w14:paraId="6E111FAC" w14:textId="713E638E">
      <w:pPr>
        <w:pStyle w:val="Default"/>
      </w:pPr>
      <w:r w:rsidRPr="002229D8">
        <w:t xml:space="preserve">Reliability Standard CIP-012-1, requires </w:t>
      </w:r>
      <w:r w:rsidR="00073AED">
        <w:t xml:space="preserve">a </w:t>
      </w:r>
      <w:r w:rsidRPr="0038265B">
        <w:t>responsible</w:t>
      </w:r>
      <w:r w:rsidRPr="003C4DC8">
        <w:t xml:space="preserve"> entity to implement a documented plan to mitigate the risks posed by unauthorized disclosure and unauthorized modification of Real-time  Assessment and Real-time monitoring data while being transmitted between any applicable Control Centers and include</w:t>
      </w:r>
      <w:r w:rsidR="00073AED">
        <w:t>:</w:t>
      </w:r>
      <w:r w:rsidRPr="003C4DC8">
        <w:t xml:space="preserve"> a) identification of the protection used, b) identification of the security protections is applied, and  c) </w:t>
      </w:r>
      <w:r w:rsidRPr="003C4DC8" w:rsidR="00D301EE">
        <w:t xml:space="preserve">if the Control Centers owned by different entities, identify the responsability of each party.  </w:t>
      </w:r>
      <w:r w:rsidR="00073AED">
        <w:t>S</w:t>
      </w:r>
      <w:r w:rsidRPr="00CB2897" w:rsidR="00073AED">
        <w:t>ince the documentation is a plan to protect</w:t>
      </w:r>
      <w:r w:rsidR="00073AED">
        <w:t>,</w:t>
      </w:r>
      <w:r w:rsidRPr="00CB2897" w:rsidR="00073AED">
        <w:t xml:space="preserve"> </w:t>
      </w:r>
      <w:r w:rsidR="00073AED">
        <w:t>n</w:t>
      </w:r>
      <w:r w:rsidRPr="003C4DC8" w:rsidR="00D301EE">
        <w:t xml:space="preserve">ot collecting the information </w:t>
      </w:r>
      <w:r w:rsidR="008A5616">
        <w:t>and</w:t>
      </w:r>
      <w:r w:rsidR="00073AED">
        <w:t xml:space="preserve"> </w:t>
      </w:r>
      <w:r w:rsidRPr="003C4DC8" w:rsidR="00D301EE">
        <w:t>not having a plan  will prevent the protection of Real-time  Assessment and Real-time monitoring data while being transmitted between Control Centers.</w:t>
      </w:r>
    </w:p>
    <w:p w:rsidR="00505E74" w:rsidP="00930579" w:rsidRDefault="00505E74" w14:paraId="10266802" w14:textId="2272E511">
      <w:pPr>
        <w:spacing w:after="0" w:line="240" w:lineRule="auto"/>
        <w:rPr>
          <w:rFonts w:ascii="Times New Roman" w:hAnsi="Times New Roman" w:cs="Times New Roman"/>
          <w:sz w:val="24"/>
          <w:szCs w:val="24"/>
        </w:rPr>
      </w:pPr>
    </w:p>
    <w:p w:rsidRPr="00930579" w:rsidR="007F5CAD" w:rsidP="00930579" w:rsidRDefault="00125D58" w14:paraId="54C6F998" w14:textId="2268FB4C">
      <w:pPr>
        <w:spacing w:after="0" w:line="240" w:lineRule="auto"/>
        <w:rPr>
          <w:rFonts w:ascii="Times New Roman" w:hAnsi="Times New Roman" w:cs="Times New Roman"/>
          <w:sz w:val="24"/>
          <w:szCs w:val="24"/>
        </w:rPr>
      </w:pPr>
      <w:r w:rsidRPr="003C4DC8">
        <w:rPr>
          <w:rFonts w:ascii="Times New Roman" w:hAnsi="Times New Roman" w:cs="Times New Roman"/>
          <w:i/>
          <w:iCs/>
          <w:sz w:val="24"/>
          <w:szCs w:val="24"/>
        </w:rPr>
        <w:t>Reporting and Recordkeeping Requirements.</w:t>
      </w:r>
      <w:r>
        <w:rPr>
          <w:rFonts w:ascii="Times New Roman" w:hAnsi="Times New Roman" w:cs="Times New Roman"/>
          <w:sz w:val="24"/>
          <w:szCs w:val="24"/>
        </w:rPr>
        <w:t xml:space="preserve">  </w:t>
      </w:r>
      <w:r w:rsidR="007F5CAD">
        <w:rPr>
          <w:rFonts w:ascii="Times New Roman" w:hAnsi="Times New Roman" w:cs="Times New Roman"/>
          <w:sz w:val="24"/>
          <w:szCs w:val="24"/>
        </w:rPr>
        <w:t>Reliability Standard CIP-012-1 [with the associated reporting and recordkeeping requirements</w:t>
      </w:r>
      <w:r>
        <w:rPr>
          <w:rFonts w:ascii="Times New Roman" w:hAnsi="Times New Roman" w:cs="Times New Roman"/>
          <w:sz w:val="24"/>
          <w:szCs w:val="24"/>
        </w:rPr>
        <w:t xml:space="preserve"> highlighted in gray</w:t>
      </w:r>
      <w:r w:rsidR="007F5CAD">
        <w:rPr>
          <w:rFonts w:ascii="Times New Roman" w:hAnsi="Times New Roman" w:cs="Times New Roman"/>
          <w:sz w:val="24"/>
          <w:szCs w:val="24"/>
        </w:rPr>
        <w:t xml:space="preserve">], excerpted from the NERC Petition, is </w:t>
      </w:r>
      <w:r>
        <w:rPr>
          <w:rFonts w:ascii="Times New Roman" w:hAnsi="Times New Roman" w:cs="Times New Roman"/>
          <w:sz w:val="24"/>
          <w:szCs w:val="24"/>
        </w:rPr>
        <w:t xml:space="preserve">provided at pages 9-end of this supporting statement (with highlighting added) and </w:t>
      </w:r>
      <w:r w:rsidR="007F5CAD">
        <w:rPr>
          <w:rFonts w:ascii="Times New Roman" w:hAnsi="Times New Roman" w:cs="Times New Roman"/>
          <w:sz w:val="24"/>
          <w:szCs w:val="24"/>
        </w:rPr>
        <w:t>available in Supplementary Documents in ROCIS and reginfo.gov</w:t>
      </w:r>
      <w:bookmarkStart w:name="_GoBack" w:id="0"/>
      <w:bookmarkEnd w:id="0"/>
      <w:r w:rsidR="007F5CAD">
        <w:rPr>
          <w:rFonts w:ascii="Times New Roman" w:hAnsi="Times New Roman" w:cs="Times New Roman"/>
          <w:sz w:val="24"/>
          <w:szCs w:val="24"/>
        </w:rPr>
        <w:t>.</w:t>
      </w:r>
    </w:p>
    <w:p w:rsidRPr="00B51BB8" w:rsidR="0086089D" w:rsidP="002A4142" w:rsidRDefault="0086089D" w14:paraId="7FDD9319" w14:textId="77777777">
      <w:pPr>
        <w:spacing w:after="0" w:line="240" w:lineRule="auto"/>
        <w:rPr>
          <w:rFonts w:ascii="Times New Roman" w:hAnsi="Times New Roman" w:cs="Times New Roman"/>
          <w:sz w:val="24"/>
          <w:szCs w:val="24"/>
        </w:rPr>
      </w:pPr>
    </w:p>
    <w:p w:rsidRPr="00B51BB8" w:rsidR="00C4205B" w:rsidP="007C39D3" w:rsidRDefault="00C4205B" w14:paraId="726125D5" w14:textId="77777777">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rsidRPr="00B51BB8" w:rsidR="004A1428" w:rsidP="005E2448" w:rsidRDefault="004A1428" w14:paraId="13F5510C" w14:textId="77777777">
      <w:pPr>
        <w:widowControl w:val="0"/>
        <w:autoSpaceDE w:val="0"/>
        <w:autoSpaceDN w:val="0"/>
        <w:adjustRightInd w:val="0"/>
        <w:spacing w:after="0" w:line="240" w:lineRule="auto"/>
        <w:ind w:left="360"/>
        <w:rPr>
          <w:rFonts w:ascii="Times New Roman" w:hAnsi="Times New Roman" w:cs="Times New Roman"/>
          <w:b/>
          <w:bCs/>
          <w:sz w:val="24"/>
          <w:szCs w:val="24"/>
        </w:rPr>
      </w:pPr>
    </w:p>
    <w:p w:rsidRPr="00B51BB8" w:rsidR="00055683" w:rsidP="002A4142" w:rsidRDefault="00DF1C8D" w14:paraId="4532E5CB" w14:textId="7B321A75">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 xml:space="preserve">The use of current or improved technology and the medium are not covered in Reliability Standards and are therefore left to the discretion of each respondent. We think that nearly all of the respondents are likely to make and keep related records in an electronic format.  The compliance portals allow documents developed by the registered entities to be attached and uploaded to the Regional Entity’s portal.  Compliance data can also be submitted by filling out </w:t>
      </w:r>
      <w:r w:rsidRPr="00DF1C8D">
        <w:rPr>
          <w:rFonts w:ascii="Times New Roman" w:hAnsi="Times New Roman" w:cs="Times New Roman"/>
          <w:sz w:val="24"/>
          <w:szCs w:val="24"/>
        </w:rPr>
        <w:lastRenderedPageBreak/>
        <w:t>data forms on the portals.  These portals are accessible through an internet browser pa</w:t>
      </w:r>
      <w:r>
        <w:rPr>
          <w:rFonts w:ascii="Times New Roman" w:hAnsi="Times New Roman" w:cs="Times New Roman"/>
          <w:sz w:val="24"/>
          <w:szCs w:val="24"/>
        </w:rPr>
        <w:t>ssword-protected user interface</w:t>
      </w:r>
      <w:r w:rsidRPr="00B51BB8" w:rsidR="0012731F">
        <w:rPr>
          <w:rFonts w:ascii="Times New Roman" w:hAnsi="Times New Roman" w:cs="Times New Roman"/>
          <w:sz w:val="24"/>
          <w:szCs w:val="24"/>
        </w:rPr>
        <w:t xml:space="preserve">.  </w:t>
      </w:r>
    </w:p>
    <w:p w:rsidRPr="00B51BB8" w:rsidR="00042D80" w:rsidP="002A4142" w:rsidRDefault="00042D80" w14:paraId="4CA66B92" w14:textId="77777777">
      <w:pPr>
        <w:spacing w:after="0" w:line="240" w:lineRule="auto"/>
        <w:rPr>
          <w:rFonts w:ascii="Times New Roman" w:hAnsi="Times New Roman" w:cs="Times New Roman"/>
          <w:b/>
          <w:bCs/>
          <w:sz w:val="24"/>
          <w:szCs w:val="24"/>
        </w:rPr>
      </w:pPr>
    </w:p>
    <w:p w:rsidRPr="00B51BB8" w:rsidR="00C4205B" w:rsidP="007C39D3" w:rsidRDefault="00C4205B" w14:paraId="27799D2D"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rsidRPr="00B51BB8" w:rsidR="00C4205B" w:rsidP="002A4142" w:rsidRDefault="00C4205B" w14:paraId="7F8F98B7" w14:textId="77777777">
      <w:pPr>
        <w:spacing w:after="0" w:line="240" w:lineRule="auto"/>
        <w:rPr>
          <w:rFonts w:ascii="Times New Roman" w:hAnsi="Times New Roman" w:cs="Times New Roman"/>
          <w:sz w:val="24"/>
          <w:szCs w:val="24"/>
        </w:rPr>
      </w:pPr>
    </w:p>
    <w:p w:rsidRPr="00DF1C8D" w:rsidR="00DF1C8D" w:rsidP="00DF1C8D" w:rsidRDefault="00DF1C8D" w14:paraId="42E2AEB9" w14:textId="77777777">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rsidRPr="00B51BB8" w:rsidR="00F64A6F" w:rsidP="002A4142" w:rsidRDefault="00F64A6F" w14:paraId="0D55CDFF" w14:textId="77777777">
      <w:pPr>
        <w:spacing w:after="0" w:line="240" w:lineRule="auto"/>
        <w:rPr>
          <w:rFonts w:ascii="Times New Roman" w:hAnsi="Times New Roman" w:cs="Times New Roman"/>
          <w:sz w:val="24"/>
          <w:szCs w:val="24"/>
        </w:rPr>
      </w:pPr>
    </w:p>
    <w:p w:rsidRPr="00B51BB8" w:rsidR="00C4205B" w:rsidP="007C39D3" w:rsidRDefault="00C4205B" w14:paraId="2FCC5A7F"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rsidRPr="00B51BB8" w:rsidR="00C4205B" w:rsidP="002A4142" w:rsidRDefault="00C4205B" w14:paraId="4DB89014" w14:textId="77777777">
      <w:pPr>
        <w:spacing w:after="0" w:line="240" w:lineRule="auto"/>
        <w:rPr>
          <w:rFonts w:ascii="Times New Roman" w:hAnsi="Times New Roman" w:cs="Times New Roman"/>
          <w:b/>
          <w:bCs/>
          <w:sz w:val="24"/>
          <w:szCs w:val="24"/>
        </w:rPr>
      </w:pPr>
    </w:p>
    <w:p w:rsidR="006C0F0B" w:rsidP="0086089D" w:rsidRDefault="00DF1C8D" w14:paraId="3C7C3638" w14:textId="0D336D92">
      <w:pPr>
        <w:spacing w:after="0" w:line="240" w:lineRule="auto"/>
        <w:rPr>
          <w:rFonts w:ascii="Times New Roman" w:hAnsi="Times New Roman" w:cs="Times New Roman"/>
          <w:bCs/>
          <w:sz w:val="24"/>
          <w:szCs w:val="24"/>
        </w:rPr>
      </w:pPr>
      <w:r w:rsidRPr="00DF1C8D">
        <w:rPr>
          <w:rFonts w:ascii="Times New Roman" w:hAnsi="Times New Roman" w:cs="Times New Roman"/>
          <w:bCs/>
          <w:sz w:val="24"/>
          <w:szCs w:val="24"/>
        </w:rPr>
        <w:t>The Commission estimates one-time</w:t>
      </w:r>
      <w:r w:rsidR="0044319A">
        <w:rPr>
          <w:rFonts w:ascii="Times New Roman" w:hAnsi="Times New Roman" w:cs="Times New Roman"/>
          <w:bCs/>
          <w:sz w:val="24"/>
          <w:szCs w:val="24"/>
        </w:rPr>
        <w:t xml:space="preserve"> and ongoing</w:t>
      </w:r>
      <w:r w:rsidRPr="00DF1C8D">
        <w:rPr>
          <w:rFonts w:ascii="Times New Roman" w:hAnsi="Times New Roman" w:cs="Times New Roman"/>
          <w:bCs/>
          <w:sz w:val="24"/>
          <w:szCs w:val="24"/>
        </w:rPr>
        <w:t xml:space="preserve"> increase</w:t>
      </w:r>
      <w:r w:rsidR="0044319A">
        <w:rPr>
          <w:rFonts w:ascii="Times New Roman" w:hAnsi="Times New Roman" w:cs="Times New Roman"/>
          <w:bCs/>
          <w:sz w:val="24"/>
          <w:szCs w:val="24"/>
        </w:rPr>
        <w:t xml:space="preserve">s </w:t>
      </w:r>
      <w:r w:rsidRPr="00DF1C8D">
        <w:rPr>
          <w:rFonts w:ascii="Times New Roman" w:hAnsi="Times New Roman" w:cs="Times New Roman"/>
          <w:bCs/>
          <w:sz w:val="24"/>
          <w:szCs w:val="24"/>
        </w:rPr>
        <w:t>in reporting</w:t>
      </w:r>
      <w:r w:rsidR="0044319A">
        <w:rPr>
          <w:rFonts w:ascii="Times New Roman" w:hAnsi="Times New Roman" w:cs="Times New Roman"/>
          <w:bCs/>
          <w:sz w:val="24"/>
          <w:szCs w:val="24"/>
        </w:rPr>
        <w:t xml:space="preserve"> burden on variety of NERC-registered entities (including Reliability Coordinators, Generator Operators, Generator Owners, Interchange Coordinators, Transmission Operators, Balancing Authorities, Transmission Owners)</w:t>
      </w:r>
      <w:r w:rsidRPr="00DF1C8D">
        <w:rPr>
          <w:rFonts w:ascii="Times New Roman" w:hAnsi="Times New Roman" w:cs="Times New Roman"/>
          <w:bCs/>
          <w:sz w:val="24"/>
          <w:szCs w:val="24"/>
        </w:rPr>
        <w:t xml:space="preserve"> due to the changes in t</w:t>
      </w:r>
      <w:r w:rsidR="0044319A">
        <w:rPr>
          <w:rFonts w:ascii="Times New Roman" w:hAnsi="Times New Roman" w:cs="Times New Roman"/>
          <w:bCs/>
          <w:sz w:val="24"/>
          <w:szCs w:val="24"/>
        </w:rPr>
        <w:t>he revised Reliability Standard</w:t>
      </w:r>
      <w:r w:rsidR="00CC1CAD">
        <w:rPr>
          <w:rFonts w:ascii="Times New Roman" w:hAnsi="Times New Roman" w:cs="Times New Roman"/>
          <w:bCs/>
          <w:sz w:val="24"/>
          <w:szCs w:val="24"/>
        </w:rPr>
        <w:t>s</w:t>
      </w:r>
      <w:r w:rsidRPr="00DF1C8D">
        <w:rPr>
          <w:rFonts w:ascii="Times New Roman" w:hAnsi="Times New Roman" w:cs="Times New Roman"/>
          <w:bCs/>
          <w:sz w:val="24"/>
          <w:szCs w:val="24"/>
        </w:rPr>
        <w:t>, with no other increase in the cost of compliance (when compared with the curre</w:t>
      </w:r>
      <w:r w:rsidR="0086089D">
        <w:rPr>
          <w:rFonts w:ascii="Times New Roman" w:hAnsi="Times New Roman" w:cs="Times New Roman"/>
          <w:bCs/>
          <w:sz w:val="24"/>
          <w:szCs w:val="24"/>
        </w:rPr>
        <w:t xml:space="preserve">nt standards).  Approximately </w:t>
      </w:r>
      <w:r w:rsidR="00930579">
        <w:rPr>
          <w:rFonts w:ascii="Times New Roman" w:hAnsi="Times New Roman" w:cs="Times New Roman"/>
          <w:bCs/>
          <w:sz w:val="24"/>
          <w:szCs w:val="24"/>
        </w:rPr>
        <w:t>585</w:t>
      </w:r>
      <w:r w:rsidRPr="00DF1C8D">
        <w:rPr>
          <w:rFonts w:ascii="Times New Roman" w:hAnsi="Times New Roman" w:cs="Times New Roman"/>
          <w:bCs/>
          <w:sz w:val="24"/>
          <w:szCs w:val="24"/>
        </w:rPr>
        <w:t xml:space="preserve"> of the </w:t>
      </w:r>
      <w:r w:rsidR="00930579">
        <w:rPr>
          <w:rFonts w:ascii="Times New Roman" w:hAnsi="Times New Roman" w:cs="Times New Roman"/>
          <w:bCs/>
          <w:sz w:val="24"/>
          <w:szCs w:val="24"/>
        </w:rPr>
        <w:t>714</w:t>
      </w:r>
      <w:r w:rsidR="00F83E37">
        <w:rPr>
          <w:rFonts w:ascii="Times New Roman" w:hAnsi="Times New Roman" w:cs="Times New Roman"/>
          <w:bCs/>
          <w:sz w:val="24"/>
          <w:szCs w:val="24"/>
        </w:rPr>
        <w:t xml:space="preserve"> </w:t>
      </w:r>
      <w:r w:rsidR="008B0895">
        <w:rPr>
          <w:rFonts w:ascii="Times New Roman" w:hAnsi="Times New Roman" w:cs="Times New Roman"/>
          <w:bCs/>
          <w:sz w:val="24"/>
          <w:szCs w:val="24"/>
        </w:rPr>
        <w:t>affected entities</w:t>
      </w:r>
      <w:r w:rsidRPr="00DF1C8D">
        <w:rPr>
          <w:rFonts w:ascii="Times New Roman" w:hAnsi="Times New Roman" w:cs="Times New Roman"/>
          <w:bCs/>
          <w:sz w:val="24"/>
          <w:szCs w:val="24"/>
        </w:rPr>
        <w:t xml:space="preserve"> are expected to meet the SBA’s </w:t>
      </w:r>
      <w:r w:rsidR="0044319A">
        <w:rPr>
          <w:rFonts w:ascii="Times New Roman" w:hAnsi="Times New Roman" w:cs="Times New Roman"/>
          <w:bCs/>
          <w:sz w:val="24"/>
          <w:szCs w:val="24"/>
        </w:rPr>
        <w:t>definition for a small entity.</w:t>
      </w:r>
      <w:r w:rsidRPr="00A52344" w:rsidR="00A52344">
        <w:rPr>
          <w:b/>
          <w:szCs w:val="26"/>
          <w:vertAlign w:val="superscript"/>
        </w:rPr>
        <w:t xml:space="preserve"> </w:t>
      </w:r>
      <w:r w:rsidRPr="004929F0" w:rsidR="00A52344">
        <w:rPr>
          <w:b/>
          <w:szCs w:val="26"/>
          <w:vertAlign w:val="superscript"/>
        </w:rPr>
        <w:footnoteReference w:id="10"/>
      </w:r>
    </w:p>
    <w:p w:rsidR="0044319A" w:rsidP="0086089D" w:rsidRDefault="0044319A" w14:paraId="0438CBDA" w14:textId="77777777">
      <w:pPr>
        <w:spacing w:after="0" w:line="240" w:lineRule="auto"/>
        <w:rPr>
          <w:rFonts w:ascii="Times New Roman" w:hAnsi="Times New Roman" w:cs="Times New Roman"/>
          <w:bCs/>
          <w:sz w:val="24"/>
          <w:szCs w:val="24"/>
        </w:rPr>
      </w:pPr>
    </w:p>
    <w:p w:rsidR="0044319A" w:rsidP="0086089D" w:rsidRDefault="0044319A" w14:paraId="11F124F1" w14:textId="278D1E4C">
      <w:pPr>
        <w:spacing w:after="0" w:line="240" w:lineRule="auto"/>
        <w:rPr>
          <w:rFonts w:ascii="Times New Roman" w:hAnsi="Times New Roman" w:cs="Times New Roman"/>
          <w:bCs/>
          <w:sz w:val="24"/>
          <w:szCs w:val="24"/>
        </w:rPr>
      </w:pPr>
      <w:r w:rsidRPr="0044319A">
        <w:rPr>
          <w:rFonts w:ascii="Times New Roman" w:hAnsi="Times New Roman" w:cs="Times New Roman"/>
          <w:bCs/>
          <w:sz w:val="24"/>
          <w:szCs w:val="24"/>
        </w:rPr>
        <w:t>Th</w:t>
      </w:r>
      <w:r w:rsidR="00135CDF">
        <w:rPr>
          <w:rFonts w:ascii="Times New Roman" w:hAnsi="Times New Roman" w:cs="Times New Roman"/>
          <w:bCs/>
          <w:sz w:val="24"/>
          <w:szCs w:val="24"/>
        </w:rPr>
        <w:t>e</w:t>
      </w:r>
      <w:r w:rsidRPr="0044319A">
        <w:rPr>
          <w:rFonts w:ascii="Times New Roman" w:hAnsi="Times New Roman" w:cs="Times New Roman"/>
          <w:bCs/>
          <w:sz w:val="24"/>
          <w:szCs w:val="24"/>
        </w:rPr>
        <w:t xml:space="preserve"> Reliability Standard</w:t>
      </w:r>
      <w:r w:rsidR="00135CDF">
        <w:rPr>
          <w:rFonts w:ascii="Times New Roman" w:hAnsi="Times New Roman" w:cs="Times New Roman"/>
          <w:bCs/>
          <w:sz w:val="24"/>
          <w:szCs w:val="24"/>
        </w:rPr>
        <w:t>s</w:t>
      </w:r>
      <w:r w:rsidRPr="0044319A">
        <w:rPr>
          <w:rFonts w:ascii="Times New Roman" w:hAnsi="Times New Roman" w:cs="Times New Roman"/>
          <w:bCs/>
          <w:sz w:val="24"/>
          <w:szCs w:val="24"/>
        </w:rPr>
        <w:t xml:space="preserve"> do not contain provisions for minimizing the burden of the collection for small entities.  All the requirements in the Reliability Standard</w:t>
      </w:r>
      <w:r w:rsidR="00135CDF">
        <w:rPr>
          <w:rFonts w:ascii="Times New Roman" w:hAnsi="Times New Roman" w:cs="Times New Roman"/>
          <w:bCs/>
          <w:sz w:val="24"/>
          <w:szCs w:val="24"/>
        </w:rPr>
        <w:t>s</w:t>
      </w:r>
      <w:r w:rsidRPr="0044319A">
        <w:rPr>
          <w:rFonts w:ascii="Times New Roman" w:hAnsi="Times New Roman" w:cs="Times New Roman"/>
          <w:bCs/>
          <w:sz w:val="24"/>
          <w:szCs w:val="24"/>
        </w:rPr>
        <w:t xml:space="preserve"> apply to every applicable entity. However, </w:t>
      </w:r>
      <w:r w:rsidR="00CD5A26">
        <w:rPr>
          <w:rFonts w:ascii="Times New Roman" w:hAnsi="Times New Roman" w:cs="Times New Roman"/>
          <w:bCs/>
          <w:sz w:val="24"/>
          <w:szCs w:val="24"/>
        </w:rPr>
        <w:t>s</w:t>
      </w:r>
      <w:r w:rsidRPr="0044319A">
        <w:rPr>
          <w:rFonts w:ascii="Times New Roman" w:hAnsi="Times New Roman" w:cs="Times New Roman"/>
          <w:bCs/>
          <w:sz w:val="24"/>
          <w:szCs w:val="24"/>
        </w:rPr>
        <w:t>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 1502, Paragraph 2, available at NERCs website</w:t>
      </w:r>
      <w:r>
        <w:rPr>
          <w:rFonts w:ascii="Times New Roman" w:hAnsi="Times New Roman" w:cs="Times New Roman"/>
          <w:bCs/>
          <w:sz w:val="24"/>
          <w:szCs w:val="24"/>
        </w:rPr>
        <w:t>.</w:t>
      </w:r>
    </w:p>
    <w:p w:rsidRPr="00B51BB8" w:rsidR="00DF1C8D" w:rsidP="00DF1C8D" w:rsidRDefault="00DF1C8D" w14:paraId="6B22F49C" w14:textId="77777777">
      <w:pPr>
        <w:spacing w:after="0" w:line="240" w:lineRule="auto"/>
        <w:rPr>
          <w:rFonts w:ascii="Times New Roman" w:hAnsi="Times New Roman" w:cs="Times New Roman"/>
          <w:bCs/>
          <w:sz w:val="24"/>
          <w:szCs w:val="24"/>
        </w:rPr>
      </w:pPr>
    </w:p>
    <w:p w:rsidRPr="00B51BB8" w:rsidR="00C4205B" w:rsidP="007C39D3" w:rsidRDefault="00C4205B" w14:paraId="370EF451"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rsidRPr="00B51BB8" w:rsidR="00C4205B" w:rsidP="005E2448" w:rsidRDefault="00C4205B" w14:paraId="53BF93C7" w14:textId="77777777">
      <w:pPr>
        <w:pStyle w:val="FERCparanumber"/>
        <w:widowControl/>
        <w:numPr>
          <w:ilvl w:val="0"/>
          <w:numId w:val="0"/>
        </w:numPr>
        <w:tabs>
          <w:tab w:val="left" w:pos="720"/>
        </w:tabs>
        <w:rPr>
          <w:rFonts w:ascii="Times New Roman" w:hAnsi="Times New Roman" w:cs="Times New Roman"/>
        </w:rPr>
      </w:pPr>
    </w:p>
    <w:p w:rsidRPr="00ED3360" w:rsidR="00AB3A07" w:rsidP="00673A39" w:rsidRDefault="00AB3A07" w14:paraId="06C98FB1" w14:textId="544D9FB9">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 xml:space="preserve">The consequences </w:t>
      </w:r>
      <w:r w:rsidR="00673A39">
        <w:rPr>
          <w:rFonts w:ascii="Times New Roman" w:hAnsi="Times New Roman" w:cs="Times New Roman"/>
          <w:sz w:val="24"/>
          <w:szCs w:val="24"/>
        </w:rPr>
        <w:t>of not collecting the data associated with the Reliability Standard</w:t>
      </w:r>
      <w:r w:rsidR="00723415">
        <w:rPr>
          <w:rFonts w:ascii="Times New Roman" w:hAnsi="Times New Roman" w:cs="Times New Roman"/>
          <w:sz w:val="24"/>
          <w:szCs w:val="24"/>
        </w:rPr>
        <w:t xml:space="preserve"> will result </w:t>
      </w:r>
      <w:r w:rsidR="0011241C">
        <w:rPr>
          <w:rFonts w:ascii="Times New Roman" w:hAnsi="Times New Roman" w:cs="Times New Roman"/>
          <w:sz w:val="24"/>
          <w:szCs w:val="24"/>
        </w:rPr>
        <w:t xml:space="preserve">in </w:t>
      </w:r>
      <w:r w:rsidR="00723415">
        <w:rPr>
          <w:rFonts w:ascii="Times New Roman" w:hAnsi="Times New Roman" w:cs="Times New Roman"/>
          <w:sz w:val="24"/>
          <w:szCs w:val="24"/>
        </w:rPr>
        <w:t xml:space="preserve">an unmitigated risk from </w:t>
      </w:r>
      <w:r w:rsidRPr="00A52344" w:rsidR="00A52344">
        <w:rPr>
          <w:rFonts w:ascii="Times New Roman" w:hAnsi="Times New Roman" w:cs="Times New Roman"/>
          <w:sz w:val="24"/>
          <w:szCs w:val="24"/>
        </w:rPr>
        <w:t>communications links and sensitive bulk electric system data communicated between bulk electric system Control Centers</w:t>
      </w:r>
      <w:r w:rsidR="00723415">
        <w:rPr>
          <w:rFonts w:ascii="Times New Roman" w:hAnsi="Times New Roman" w:cs="Times New Roman"/>
          <w:sz w:val="24"/>
          <w:szCs w:val="24"/>
        </w:rPr>
        <w:t xml:space="preserve"> of the NERC registered entities which operate the bulk electric system.</w:t>
      </w:r>
      <w:r w:rsidRPr="003C4DC8" w:rsidR="00D301EE">
        <w:rPr>
          <w:rFonts w:ascii="Times New Roman" w:hAnsi="Times New Roman" w:cs="Times New Roman"/>
          <w:sz w:val="24"/>
          <w:szCs w:val="24"/>
        </w:rPr>
        <w:t xml:space="preserve"> </w:t>
      </w:r>
      <w:r w:rsidRPr="003C4DC8" w:rsidR="00ED3360">
        <w:rPr>
          <w:rFonts w:ascii="Times New Roman" w:hAnsi="Times New Roman" w:cs="Times New Roman"/>
          <w:sz w:val="24"/>
          <w:szCs w:val="24"/>
        </w:rPr>
        <w:t xml:space="preserve"> Since the documentation is a plan to protect, n</w:t>
      </w:r>
      <w:r w:rsidRPr="003C4DC8" w:rsidR="00D301EE">
        <w:rPr>
          <w:rFonts w:ascii="Times New Roman" w:hAnsi="Times New Roman" w:cs="Times New Roman"/>
          <w:sz w:val="24"/>
          <w:szCs w:val="24"/>
        </w:rPr>
        <w:t xml:space="preserve">ot collecting the information </w:t>
      </w:r>
      <w:r w:rsidRPr="003C4DC8" w:rsidR="00ED3360">
        <w:rPr>
          <w:rFonts w:ascii="Times New Roman" w:hAnsi="Times New Roman" w:cs="Times New Roman"/>
          <w:sz w:val="24"/>
          <w:szCs w:val="24"/>
        </w:rPr>
        <w:t xml:space="preserve">and </w:t>
      </w:r>
      <w:r w:rsidRPr="003C4DC8" w:rsidR="00D301EE">
        <w:rPr>
          <w:rFonts w:ascii="Times New Roman" w:hAnsi="Times New Roman" w:cs="Times New Roman"/>
          <w:sz w:val="24"/>
          <w:szCs w:val="24"/>
        </w:rPr>
        <w:t xml:space="preserve">not having a plan  will </w:t>
      </w:r>
      <w:r w:rsidRPr="003C4DC8" w:rsidR="00D301EE">
        <w:rPr>
          <w:rFonts w:ascii="Times New Roman" w:hAnsi="Times New Roman" w:cs="Times New Roman"/>
          <w:sz w:val="24"/>
          <w:szCs w:val="24"/>
        </w:rPr>
        <w:lastRenderedPageBreak/>
        <w:t xml:space="preserve">prevent the protection of </w:t>
      </w:r>
      <w:r w:rsidRPr="003C4DC8" w:rsidR="00D301EE">
        <w:rPr>
          <w:rFonts w:ascii="Times New Roman" w:hAnsi="Times New Roman" w:cs="Times New Roman"/>
          <w:color w:val="000000"/>
          <w:sz w:val="24"/>
          <w:szCs w:val="24"/>
        </w:rPr>
        <w:t>Real-time</w:t>
      </w:r>
      <w:r w:rsidRPr="003C4DC8" w:rsidR="00D301EE">
        <w:rPr>
          <w:rFonts w:ascii="Times New Roman" w:hAnsi="Times New Roman" w:cs="Times New Roman"/>
          <w:sz w:val="24"/>
          <w:szCs w:val="24"/>
        </w:rPr>
        <w:t xml:space="preserve"> </w:t>
      </w:r>
      <w:r w:rsidRPr="003C4DC8" w:rsidR="00D301EE">
        <w:rPr>
          <w:rFonts w:ascii="Times New Roman" w:hAnsi="Times New Roman" w:cs="Times New Roman"/>
          <w:color w:val="000000"/>
          <w:sz w:val="24"/>
          <w:szCs w:val="24"/>
        </w:rPr>
        <w:t>Assessment and Real-time monitoring data while being transmitted</w:t>
      </w:r>
      <w:r w:rsidRPr="003C4DC8" w:rsidR="00D301EE">
        <w:rPr>
          <w:rFonts w:ascii="Times New Roman" w:hAnsi="Times New Roman" w:cs="Times New Roman"/>
          <w:sz w:val="24"/>
          <w:szCs w:val="24"/>
        </w:rPr>
        <w:t xml:space="preserve"> between Control Centers.</w:t>
      </w:r>
    </w:p>
    <w:p w:rsidRPr="00B51BB8" w:rsidR="006C0F0B" w:rsidP="002A4142" w:rsidRDefault="00AB3A07" w14:paraId="7D9A3C4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Pr="00B51BB8" w:rsidR="00C4205B" w:rsidP="007C39D3" w:rsidRDefault="00C4205B" w14:paraId="2107A532"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rsidRPr="00B51BB8" w:rsidR="00C4205B" w:rsidP="002A4142" w:rsidRDefault="00C4205B" w14:paraId="3D593F90" w14:textId="77777777">
      <w:pPr>
        <w:spacing w:after="0" w:line="240" w:lineRule="auto"/>
        <w:rPr>
          <w:rFonts w:ascii="Times New Roman" w:hAnsi="Times New Roman" w:cs="Times New Roman"/>
          <w:b/>
          <w:bCs/>
          <w:sz w:val="24"/>
          <w:szCs w:val="24"/>
        </w:rPr>
      </w:pPr>
    </w:p>
    <w:p w:rsidR="00115F24" w:rsidP="002A4142" w:rsidRDefault="00675A46" w14:paraId="23E84D55" w14:textId="1862A5A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FERC-725B</w:t>
      </w:r>
      <w:r w:rsidR="0044319A">
        <w:rPr>
          <w:rFonts w:ascii="Times New Roman" w:hAnsi="Times New Roman" w:eastAsia="Calibri" w:cs="Times New Roman"/>
          <w:sz w:val="24"/>
          <w:szCs w:val="24"/>
        </w:rPr>
        <w:t xml:space="preserve"> information collection</w:t>
      </w:r>
      <w:r w:rsidRPr="0044319A" w:rsidR="0044319A">
        <w:rPr>
          <w:rFonts w:ascii="Times New Roman" w:hAnsi="Times New Roman" w:eastAsia="Calibri" w:cs="Times New Roman"/>
          <w:sz w:val="24"/>
          <w:szCs w:val="24"/>
        </w:rPr>
        <w:t xml:space="preserve"> has</w:t>
      </w:r>
      <w:r w:rsidRPr="00CB0831" w:rsidR="00CB0831">
        <w:rPr>
          <w:rFonts w:ascii="Times New Roman" w:hAnsi="Times New Roman" w:eastAsia="Calibri" w:cs="Times New Roman"/>
          <w:sz w:val="24"/>
          <w:szCs w:val="24"/>
        </w:rPr>
        <w:t xml:space="preserve"> no special circumstances.  </w:t>
      </w:r>
    </w:p>
    <w:p w:rsidRPr="00B51BB8" w:rsidR="006C0F0B" w:rsidP="002A4142" w:rsidRDefault="006C0F0B" w14:paraId="21EB7D70" w14:textId="77777777">
      <w:pPr>
        <w:spacing w:after="0" w:line="240" w:lineRule="auto"/>
        <w:rPr>
          <w:rFonts w:ascii="Times New Roman" w:hAnsi="Times New Roman" w:cs="Times New Roman"/>
          <w:sz w:val="24"/>
          <w:szCs w:val="24"/>
        </w:rPr>
      </w:pPr>
    </w:p>
    <w:p w:rsidRPr="00B51BB8" w:rsidR="00C4205B" w:rsidP="007C39D3" w:rsidRDefault="00C4205B" w14:paraId="6237F712"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rsidRPr="00B51BB8" w:rsidR="00C4205B" w:rsidP="002A4142" w:rsidRDefault="00C4205B" w14:paraId="180E4F06" w14:textId="77777777">
      <w:pPr>
        <w:spacing w:after="0" w:line="240" w:lineRule="auto"/>
        <w:rPr>
          <w:rFonts w:ascii="Times New Roman" w:hAnsi="Times New Roman" w:cs="Times New Roman"/>
          <w:b/>
          <w:bCs/>
          <w:sz w:val="24"/>
          <w:szCs w:val="24"/>
        </w:rPr>
      </w:pPr>
    </w:p>
    <w:p w:rsidR="00B63F5D" w:rsidP="002A4142" w:rsidRDefault="00CB0831" w14:paraId="77FA58B7" w14:textId="13EE77DE">
      <w:pPr>
        <w:spacing w:after="0" w:line="240" w:lineRule="auto"/>
        <w:rPr>
          <w:rFonts w:ascii="Times New Roman" w:hAnsi="Times New Roman" w:cs="Times New Roman"/>
          <w:bCs/>
          <w:sz w:val="24"/>
          <w:szCs w:val="24"/>
        </w:rPr>
      </w:pPr>
      <w:r w:rsidRPr="00CB0831">
        <w:rPr>
          <w:rFonts w:ascii="Times New Roman" w:hAnsi="Times New Roman" w:cs="Times New Roman"/>
          <w:bCs/>
          <w:sz w:val="24"/>
          <w:szCs w:val="24"/>
        </w:rPr>
        <w:t>Each FERC rulemaking (both proposed and final rules) is published in the Federal Register thereby providing public utilities and licensees, state commissions, Federal agencies, and other interested parties an opportunity to submit data, views, comments or suggestion</w:t>
      </w:r>
      <w:r w:rsidR="005C3098">
        <w:rPr>
          <w:rFonts w:ascii="Times New Roman" w:hAnsi="Times New Roman" w:cs="Times New Roman"/>
          <w:bCs/>
          <w:sz w:val="24"/>
          <w:szCs w:val="24"/>
        </w:rPr>
        <w:t>s concerning the proposed</w:t>
      </w:r>
      <w:r w:rsidR="001755B4">
        <w:rPr>
          <w:rFonts w:ascii="Times New Roman" w:hAnsi="Times New Roman" w:cs="Times New Roman"/>
          <w:bCs/>
          <w:sz w:val="24"/>
          <w:szCs w:val="24"/>
        </w:rPr>
        <w:t xml:space="preserve"> collections of data.</w:t>
      </w:r>
    </w:p>
    <w:p w:rsidRPr="00B51BB8" w:rsidR="00543FCE" w:rsidP="002A4142" w:rsidRDefault="00543FCE" w14:paraId="5A2A65E1" w14:textId="77777777">
      <w:pPr>
        <w:spacing w:after="0" w:line="240" w:lineRule="auto"/>
        <w:rPr>
          <w:rFonts w:ascii="Times New Roman" w:hAnsi="Times New Roman" w:cs="Times New Roman"/>
          <w:sz w:val="24"/>
          <w:szCs w:val="24"/>
        </w:rPr>
      </w:pPr>
    </w:p>
    <w:p w:rsidR="00543FCE" w:rsidP="002A4142" w:rsidRDefault="00930579" w14:paraId="27935D41" w14:textId="4046C875">
      <w:pPr>
        <w:spacing w:after="0" w:line="240" w:lineRule="auto"/>
        <w:rPr>
          <w:rFonts w:ascii="Times New Roman" w:hAnsi="Times New Roman" w:cs="Times New Roman"/>
          <w:sz w:val="24"/>
          <w:szCs w:val="24"/>
        </w:rPr>
      </w:pPr>
      <w:r>
        <w:rPr>
          <w:rFonts w:ascii="Times New Roman" w:hAnsi="Times New Roman" w:cs="Times New Roman"/>
          <w:sz w:val="24"/>
          <w:szCs w:val="24"/>
        </w:rPr>
        <w:t>The NOPR</w:t>
      </w:r>
      <w:r w:rsidRPr="00B51BB8" w:rsidR="00543FCE">
        <w:rPr>
          <w:rFonts w:ascii="Times New Roman" w:hAnsi="Times New Roman" w:cs="Times New Roman"/>
          <w:sz w:val="24"/>
          <w:szCs w:val="24"/>
        </w:rPr>
        <w:t xml:space="preserve"> </w:t>
      </w:r>
      <w:r w:rsidR="00732818">
        <w:rPr>
          <w:rFonts w:ascii="Times New Roman" w:hAnsi="Times New Roman" w:cs="Times New Roman"/>
          <w:sz w:val="24"/>
          <w:szCs w:val="24"/>
        </w:rPr>
        <w:t xml:space="preserve">was </w:t>
      </w:r>
      <w:r w:rsidRPr="00B51BB8" w:rsidR="00543FCE">
        <w:rPr>
          <w:rFonts w:ascii="Times New Roman" w:hAnsi="Times New Roman" w:cs="Times New Roman"/>
          <w:sz w:val="24"/>
          <w:szCs w:val="24"/>
        </w:rPr>
        <w:t>published</w:t>
      </w:r>
      <w:r w:rsidRPr="00675A46" w:rsidR="00675A46">
        <w:rPr>
          <w:rStyle w:val="FootnoteReference"/>
          <w:rFonts w:ascii="Times New Roman" w:hAnsi="Times New Roman" w:cs="Times New Roman"/>
          <w:sz w:val="24"/>
          <w:szCs w:val="24"/>
          <w:vertAlign w:val="superscript"/>
        </w:rPr>
        <w:footnoteReference w:id="11"/>
      </w:r>
      <w:r w:rsidRPr="00675A46" w:rsidR="00543FCE">
        <w:rPr>
          <w:rFonts w:ascii="Times New Roman" w:hAnsi="Times New Roman" w:cs="Times New Roman"/>
          <w:sz w:val="24"/>
          <w:szCs w:val="24"/>
          <w:vertAlign w:val="superscript"/>
        </w:rPr>
        <w:t xml:space="preserve"> </w:t>
      </w:r>
      <w:r w:rsidRPr="00B51BB8" w:rsidR="00543FCE">
        <w:rPr>
          <w:rFonts w:ascii="Times New Roman" w:hAnsi="Times New Roman" w:cs="Times New Roman"/>
          <w:sz w:val="24"/>
          <w:szCs w:val="24"/>
        </w:rPr>
        <w:t>in th</w:t>
      </w:r>
      <w:r w:rsidR="00CB0831">
        <w:rPr>
          <w:rFonts w:ascii="Times New Roman" w:hAnsi="Times New Roman" w:cs="Times New Roman"/>
          <w:sz w:val="24"/>
          <w:szCs w:val="24"/>
        </w:rPr>
        <w:t xml:space="preserve">e </w:t>
      </w:r>
      <w:r w:rsidR="00115F24">
        <w:rPr>
          <w:rFonts w:ascii="Times New Roman" w:hAnsi="Times New Roman" w:cs="Times New Roman"/>
          <w:sz w:val="24"/>
          <w:szCs w:val="24"/>
        </w:rPr>
        <w:t xml:space="preserve">Federal Register </w:t>
      </w:r>
      <w:r w:rsidRPr="00675A46" w:rsidR="0044319A">
        <w:rPr>
          <w:rFonts w:ascii="Times New Roman" w:hAnsi="Times New Roman" w:cs="Times New Roman"/>
          <w:sz w:val="24"/>
          <w:szCs w:val="24"/>
        </w:rPr>
        <w:t xml:space="preserve">on </w:t>
      </w:r>
      <w:r w:rsidRPr="003702E7">
        <w:rPr>
          <w:rFonts w:ascii="Times New Roman" w:hAnsi="Times New Roman" w:cs="Times New Roman"/>
          <w:sz w:val="24"/>
          <w:szCs w:val="24"/>
        </w:rPr>
        <w:t>4</w:t>
      </w:r>
      <w:r w:rsidRPr="003702E7" w:rsidR="00005F2F">
        <w:rPr>
          <w:rFonts w:ascii="Times New Roman" w:hAnsi="Times New Roman" w:cs="Times New Roman"/>
          <w:sz w:val="24"/>
          <w:szCs w:val="24"/>
        </w:rPr>
        <w:t>/</w:t>
      </w:r>
      <w:r w:rsidRPr="003702E7" w:rsidR="00FB7355">
        <w:rPr>
          <w:rFonts w:ascii="Times New Roman" w:hAnsi="Times New Roman" w:cs="Times New Roman"/>
          <w:sz w:val="24"/>
          <w:szCs w:val="24"/>
        </w:rPr>
        <w:t>24</w:t>
      </w:r>
      <w:r w:rsidRPr="003702E7" w:rsidR="00CB0831">
        <w:rPr>
          <w:rFonts w:ascii="Times New Roman" w:hAnsi="Times New Roman" w:cs="Times New Roman"/>
          <w:sz w:val="24"/>
          <w:szCs w:val="24"/>
        </w:rPr>
        <w:t>/201</w:t>
      </w:r>
      <w:r w:rsidRPr="003702E7">
        <w:rPr>
          <w:rFonts w:ascii="Times New Roman" w:hAnsi="Times New Roman" w:cs="Times New Roman"/>
          <w:sz w:val="24"/>
          <w:szCs w:val="24"/>
        </w:rPr>
        <w:t>9</w:t>
      </w:r>
      <w:r w:rsidRPr="00675A46" w:rsidR="00543FCE">
        <w:rPr>
          <w:rFonts w:ascii="Times New Roman" w:hAnsi="Times New Roman" w:cs="Times New Roman"/>
          <w:sz w:val="24"/>
          <w:szCs w:val="24"/>
        </w:rPr>
        <w:t>.</w:t>
      </w:r>
      <w:r w:rsidR="009C57F6">
        <w:rPr>
          <w:rFonts w:ascii="Times New Roman" w:hAnsi="Times New Roman" w:cs="Times New Roman"/>
          <w:sz w:val="24"/>
          <w:szCs w:val="24"/>
        </w:rPr>
        <w:t xml:space="preserve">  No public comments on issues related to the Paperwork Reduction Act were submitted</w:t>
      </w:r>
      <w:r w:rsidR="00567B0B">
        <w:rPr>
          <w:rFonts w:ascii="Times New Roman" w:hAnsi="Times New Roman" w:cs="Times New Roman"/>
          <w:sz w:val="24"/>
          <w:szCs w:val="24"/>
        </w:rPr>
        <w:t xml:space="preserve"> in response to the NOPR</w:t>
      </w:r>
      <w:r w:rsidR="009C57F6">
        <w:rPr>
          <w:rFonts w:ascii="Times New Roman" w:hAnsi="Times New Roman" w:cs="Times New Roman"/>
          <w:sz w:val="24"/>
          <w:szCs w:val="24"/>
        </w:rPr>
        <w:t>.</w:t>
      </w:r>
    </w:p>
    <w:p w:rsidR="00B15CBB" w:rsidP="002A4142" w:rsidRDefault="00B15CBB" w14:paraId="47F8C4C2" w14:textId="5981851C">
      <w:pPr>
        <w:spacing w:after="0" w:line="240" w:lineRule="auto"/>
        <w:rPr>
          <w:rFonts w:ascii="Times New Roman" w:hAnsi="Times New Roman" w:cs="Times New Roman"/>
          <w:sz w:val="24"/>
          <w:szCs w:val="24"/>
        </w:rPr>
      </w:pPr>
    </w:p>
    <w:p w:rsidRPr="00B51BB8" w:rsidR="00B15CBB" w:rsidP="002A4142" w:rsidRDefault="00B15CBB" w14:paraId="58DC7224" w14:textId="2F16114B">
      <w:pPr>
        <w:spacing w:after="0" w:line="240" w:lineRule="auto"/>
        <w:rPr>
          <w:rFonts w:ascii="Times New Roman" w:hAnsi="Times New Roman" w:cs="Times New Roman"/>
          <w:sz w:val="24"/>
          <w:szCs w:val="24"/>
        </w:rPr>
      </w:pPr>
      <w:r>
        <w:rPr>
          <w:rFonts w:ascii="Times New Roman" w:hAnsi="Times New Roman" w:cs="Times New Roman"/>
          <w:sz w:val="24"/>
          <w:szCs w:val="24"/>
        </w:rPr>
        <w:t>The Final Rule was published in the Federal Register on 2/7/2020 (85 FR 7197).</w:t>
      </w:r>
    </w:p>
    <w:p w:rsidRPr="00B51BB8" w:rsidR="006C0F0B" w:rsidP="002A4142" w:rsidRDefault="006C0F0B" w14:paraId="5B6D4B65" w14:textId="77777777">
      <w:pPr>
        <w:spacing w:after="0" w:line="240" w:lineRule="auto"/>
        <w:ind w:firstLine="360"/>
        <w:rPr>
          <w:rFonts w:ascii="Times New Roman" w:hAnsi="Times New Roman" w:cs="Times New Roman"/>
          <w:sz w:val="24"/>
          <w:szCs w:val="24"/>
        </w:rPr>
      </w:pPr>
    </w:p>
    <w:p w:rsidRPr="00B51BB8" w:rsidR="00C4205B" w:rsidP="00F64A6F" w:rsidRDefault="00C4205B" w14:paraId="0AF25828"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rsidRPr="00B51BB8" w:rsidR="00C4205B" w:rsidP="00F26A37" w:rsidRDefault="00C4205B" w14:paraId="0E2CB0AE" w14:textId="77777777">
      <w:pPr>
        <w:spacing w:after="0" w:line="240" w:lineRule="auto"/>
        <w:rPr>
          <w:rFonts w:ascii="Times New Roman" w:hAnsi="Times New Roman" w:cs="Times New Roman"/>
          <w:b/>
          <w:bCs/>
          <w:sz w:val="24"/>
          <w:szCs w:val="24"/>
        </w:rPr>
      </w:pPr>
    </w:p>
    <w:p w:rsidRPr="00B51BB8" w:rsidR="00C4205B" w:rsidP="00F26A37" w:rsidRDefault="00C4205B" w14:paraId="6382B4E3"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rsidRPr="00B51BB8" w:rsidR="00391060" w:rsidP="00F26A37" w:rsidRDefault="00391060" w14:paraId="286252B7" w14:textId="77777777">
      <w:pPr>
        <w:spacing w:after="0" w:line="240" w:lineRule="auto"/>
        <w:rPr>
          <w:rFonts w:ascii="Times New Roman" w:hAnsi="Times New Roman" w:cs="Times New Roman"/>
          <w:sz w:val="24"/>
          <w:szCs w:val="24"/>
        </w:rPr>
      </w:pPr>
    </w:p>
    <w:p w:rsidRPr="00B51BB8" w:rsidR="00C4205B" w:rsidP="007C39D3" w:rsidRDefault="00C4205B" w14:paraId="5F0BFFAF"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rsidRPr="00B51BB8" w:rsidR="00C4205B" w:rsidP="00F26A37" w:rsidRDefault="00C4205B" w14:paraId="6A5CC82B" w14:textId="77777777">
      <w:pPr>
        <w:spacing w:after="0" w:line="240" w:lineRule="auto"/>
        <w:rPr>
          <w:rFonts w:ascii="Times New Roman" w:hAnsi="Times New Roman" w:cs="Times New Roman"/>
          <w:b/>
          <w:bCs/>
          <w:sz w:val="24"/>
          <w:szCs w:val="24"/>
        </w:rPr>
      </w:pPr>
    </w:p>
    <w:p w:rsidRPr="00B51BB8" w:rsidR="00F14924" w:rsidP="002A4142" w:rsidRDefault="00F14924" w14:paraId="04781389" w14:textId="77777777">
      <w:pPr>
        <w:spacing w:line="240" w:lineRule="auto"/>
        <w:rPr>
          <w:rFonts w:ascii="Times New Roman" w:hAnsi="Times New Roman" w:cs="Times New Roman"/>
          <w:bCs/>
          <w:sz w:val="24"/>
          <w:szCs w:val="24"/>
        </w:rPr>
      </w:pPr>
      <w:r w:rsidRPr="00B51BB8">
        <w:rPr>
          <w:rFonts w:ascii="Times New Roman" w:hAnsi="Times New Roman" w:cs="Times New Roman"/>
          <w:bCs/>
          <w:sz w:val="24"/>
          <w:szCs w:val="24"/>
        </w:rPr>
        <w:t>According to the NERC Rules of Procedure</w:t>
      </w:r>
      <w:r w:rsidRPr="00B51BB8">
        <w:rPr>
          <w:rFonts w:ascii="Times New Roman" w:hAnsi="Times New Roman" w:cs="Times New Roman"/>
          <w:bCs/>
          <w:sz w:val="24"/>
          <w:szCs w:val="24"/>
          <w:vertAlign w:val="superscript"/>
        </w:rPr>
        <w:footnoteReference w:id="12"/>
      </w:r>
      <w:r w:rsidRPr="00B51BB8">
        <w:rPr>
          <w:rFonts w:ascii="Times New Roman" w:hAnsi="Times New Roman" w:cs="Times New Roman"/>
          <w:bCs/>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B51BB8" w:rsidR="00F14924" w:rsidP="002A4142" w:rsidRDefault="00F14924" w14:paraId="0D921031" w14:textId="77777777">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 the region</w:t>
      </w:r>
      <w:r w:rsidRPr="00B51BB8" w:rsidR="00522521">
        <w:rPr>
          <w:rFonts w:ascii="Times New Roman" w:hAnsi="Times New Roman" w:cs="Times New Roman"/>
          <w:bCs/>
          <w:sz w:val="24"/>
          <w:szCs w:val="24"/>
        </w:rPr>
        <w:t>al entitie</w:t>
      </w:r>
      <w:r w:rsidRPr="00B51BB8">
        <w:rPr>
          <w:rFonts w:ascii="Times New Roman" w:hAnsi="Times New Roman" w:cs="Times New Roman"/>
          <w:bCs/>
          <w:sz w:val="24"/>
          <w:szCs w:val="24"/>
        </w:rPr>
        <w:t>s, or maintain it internally.  Since there are no submissions made to FERC, FERC provides no specific provisions in ord</w:t>
      </w:r>
      <w:r w:rsidR="00115F24">
        <w:rPr>
          <w:rFonts w:ascii="Times New Roman" w:hAnsi="Times New Roman" w:cs="Times New Roman"/>
          <w:bCs/>
          <w:sz w:val="24"/>
          <w:szCs w:val="24"/>
        </w:rPr>
        <w:t>er to protect confidentiality.</w:t>
      </w:r>
    </w:p>
    <w:p w:rsidRPr="00B51BB8" w:rsidR="00C4205B" w:rsidP="002A4142" w:rsidRDefault="00C4205B" w14:paraId="3783DBBA" w14:textId="77777777">
      <w:pPr>
        <w:spacing w:after="0" w:line="240" w:lineRule="auto"/>
        <w:ind w:firstLine="720"/>
        <w:rPr>
          <w:rFonts w:ascii="Times New Roman" w:hAnsi="Times New Roman" w:cs="Times New Roman"/>
          <w:sz w:val="24"/>
          <w:szCs w:val="24"/>
        </w:rPr>
      </w:pPr>
    </w:p>
    <w:p w:rsidR="00C4205B" w:rsidP="002A4142" w:rsidRDefault="00C4205B" w14:paraId="589143B0"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Pr="00B51BB8" w:rsidR="00E0001D">
        <w:rPr>
          <w:rFonts w:ascii="Times New Roman" w:hAnsi="Times New Roman" w:cs="Times New Roman"/>
          <w:b/>
          <w:bCs/>
          <w:sz w:val="24"/>
          <w:szCs w:val="24"/>
        </w:rPr>
        <w:t xml:space="preserve">, SUCH AS SEXUAL BEHAVIOR AND ATTITUDES, RELIGIOUS BELIEFS, AND OTHER MATTERS THAT ARE COMMONLY </w:t>
      </w:r>
      <w:r w:rsidRPr="00B51BB8" w:rsidR="00E0001D">
        <w:rPr>
          <w:rFonts w:ascii="Times New Roman" w:hAnsi="Times New Roman" w:cs="Times New Roman"/>
          <w:b/>
          <w:bCs/>
          <w:sz w:val="24"/>
          <w:szCs w:val="24"/>
        </w:rPr>
        <w:lastRenderedPageBreak/>
        <w:t>CONSIDERED PRIVATE</w:t>
      </w:r>
    </w:p>
    <w:p w:rsidRPr="00115F24" w:rsidR="00115F24" w:rsidP="00115F24" w:rsidRDefault="00115F24" w14:paraId="57DE9DF6"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Pr="00115F24" w:rsidR="003C19D0" w:rsidP="002A4142" w:rsidRDefault="00BC7A8C" w14:paraId="125EDD35" w14:textId="48C3EE71">
      <w:pPr>
        <w:spacing w:line="240" w:lineRule="auto"/>
        <w:rPr>
          <w:rFonts w:ascii="Times New Roman" w:hAnsi="Times New Roman" w:cs="Times New Roman"/>
          <w:sz w:val="24"/>
          <w:szCs w:val="24"/>
        </w:rPr>
      </w:pPr>
      <w:r>
        <w:rPr>
          <w:rFonts w:ascii="Times New Roman" w:hAnsi="Times New Roman" w:cs="Times New Roman"/>
          <w:sz w:val="24"/>
          <w:szCs w:val="24"/>
        </w:rPr>
        <w:t>This</w:t>
      </w:r>
      <w:r w:rsidRPr="00B51BB8">
        <w:rPr>
          <w:rFonts w:ascii="Times New Roman" w:hAnsi="Times New Roman" w:cs="Times New Roman"/>
          <w:sz w:val="24"/>
          <w:szCs w:val="24"/>
        </w:rPr>
        <w:t xml:space="preserve"> </w:t>
      </w:r>
      <w:r w:rsidRPr="00B51BB8" w:rsidR="00F14924">
        <w:rPr>
          <w:rFonts w:ascii="Times New Roman" w:hAnsi="Times New Roman" w:cs="Times New Roman"/>
          <w:sz w:val="24"/>
          <w:szCs w:val="24"/>
        </w:rPr>
        <w:t>collection do</w:t>
      </w:r>
      <w:r>
        <w:rPr>
          <w:rFonts w:ascii="Times New Roman" w:hAnsi="Times New Roman" w:cs="Times New Roman"/>
          <w:sz w:val="24"/>
          <w:szCs w:val="24"/>
        </w:rPr>
        <w:t>es</w:t>
      </w:r>
      <w:r w:rsidRPr="00B51BB8" w:rsidR="00F14924">
        <w:rPr>
          <w:rFonts w:ascii="Times New Roman" w:hAnsi="Times New Roman" w:cs="Times New Roman"/>
          <w:sz w:val="24"/>
          <w:szCs w:val="24"/>
        </w:rPr>
        <w:t xml:space="preserve"> not contain any qu</w:t>
      </w:r>
      <w:r w:rsidR="00115F24">
        <w:rPr>
          <w:rFonts w:ascii="Times New Roman" w:hAnsi="Times New Roman" w:cs="Times New Roman"/>
          <w:sz w:val="24"/>
          <w:szCs w:val="24"/>
        </w:rPr>
        <w:t>estions of a sensitive nature.</w:t>
      </w:r>
    </w:p>
    <w:p w:rsidRPr="00B51BB8" w:rsidR="00C4205B" w:rsidP="007C39D3" w:rsidRDefault="00C4205B" w14:paraId="5C58F0E0"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rsidRPr="00B51BB8" w:rsidR="00FC11BA" w:rsidP="005E2448" w:rsidRDefault="00FC11BA" w14:paraId="5B1DAB2C"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Pr="00CB0831" w:rsidR="00CB0831" w:rsidP="00CB0831" w:rsidRDefault="00CB0831" w14:paraId="1C3CA31C" w14:textId="2ACA71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NERC’s</w:t>
      </w:r>
      <w:r w:rsidR="00236FF2">
        <w:rPr>
          <w:rFonts w:ascii="Times New Roman" w:hAnsi="Times New Roman" w:cs="Times New Roman"/>
          <w:sz w:val="24"/>
          <w:szCs w:val="24"/>
        </w:rPr>
        <w:t xml:space="preserve"> Reliability Standard</w:t>
      </w:r>
      <w:r w:rsidRPr="00CB0831">
        <w:rPr>
          <w:rFonts w:ascii="Times New Roman" w:hAnsi="Times New Roman" w:cs="Times New Roman"/>
          <w:sz w:val="24"/>
          <w:szCs w:val="24"/>
        </w:rPr>
        <w:t xml:space="preserve"> </w:t>
      </w:r>
      <w:r w:rsidR="00236FF2">
        <w:rPr>
          <w:rFonts w:ascii="Times New Roman" w:hAnsi="Times New Roman" w:cs="Times New Roman"/>
          <w:sz w:val="24"/>
          <w:szCs w:val="24"/>
        </w:rPr>
        <w:t>CIP-</w:t>
      </w:r>
      <w:r w:rsidR="00930579">
        <w:rPr>
          <w:rFonts w:ascii="Times New Roman" w:hAnsi="Times New Roman" w:cs="Times New Roman"/>
          <w:sz w:val="24"/>
          <w:szCs w:val="24"/>
        </w:rPr>
        <w:t xml:space="preserve">012-1 </w:t>
      </w:r>
      <w:r w:rsidR="00236FF2">
        <w:rPr>
          <w:rFonts w:ascii="Times New Roman" w:hAnsi="Times New Roman" w:cs="Times New Roman"/>
          <w:sz w:val="24"/>
          <w:szCs w:val="24"/>
        </w:rPr>
        <w:t>result</w:t>
      </w:r>
      <w:r w:rsidR="00B15CBB">
        <w:rPr>
          <w:rFonts w:ascii="Times New Roman" w:hAnsi="Times New Roman" w:cs="Times New Roman"/>
          <w:sz w:val="24"/>
          <w:szCs w:val="24"/>
        </w:rPr>
        <w:t>s</w:t>
      </w:r>
      <w:r w:rsidR="00236FF2">
        <w:rPr>
          <w:rFonts w:ascii="Times New Roman" w:hAnsi="Times New Roman" w:cs="Times New Roman"/>
          <w:sz w:val="24"/>
          <w:szCs w:val="24"/>
        </w:rPr>
        <w:t xml:space="preserve"> in one-time and </w:t>
      </w:r>
      <w:r w:rsidRPr="00CB0831">
        <w:rPr>
          <w:rFonts w:ascii="Times New Roman" w:hAnsi="Times New Roman" w:cs="Times New Roman"/>
          <w:sz w:val="24"/>
          <w:szCs w:val="24"/>
        </w:rPr>
        <w:t>ongoing increase</w:t>
      </w:r>
      <w:r w:rsidR="00236FF2">
        <w:rPr>
          <w:rFonts w:ascii="Times New Roman" w:hAnsi="Times New Roman" w:cs="Times New Roman"/>
          <w:sz w:val="24"/>
          <w:szCs w:val="24"/>
        </w:rPr>
        <w:t>s to burden</w:t>
      </w:r>
      <w:r w:rsidRPr="00CB0831">
        <w:rPr>
          <w:rFonts w:ascii="Times New Roman" w:hAnsi="Times New Roman" w:cs="Times New Roman"/>
          <w:sz w:val="24"/>
          <w:szCs w:val="24"/>
        </w:rPr>
        <w:t xml:space="preserve"> in the rep</w:t>
      </w:r>
      <w:r w:rsidR="00236FF2">
        <w:rPr>
          <w:rFonts w:ascii="Times New Roman" w:hAnsi="Times New Roman" w:cs="Times New Roman"/>
          <w:sz w:val="24"/>
          <w:szCs w:val="24"/>
        </w:rPr>
        <w:t>orting requirements imposed on</w:t>
      </w:r>
      <w:r w:rsidR="00236FF2">
        <w:rPr>
          <w:rFonts w:ascii="Times New Roman" w:hAnsi="Times New Roman" w:cs="Times New Roman"/>
          <w:bCs/>
          <w:sz w:val="24"/>
          <w:szCs w:val="24"/>
        </w:rPr>
        <w:t xml:space="preserve"> Reliability Coordinators, Generator Operators, Generator Owners, Interchange Coordinators/Authorities, Transmission Operators, Balancing Authorities, </w:t>
      </w:r>
      <w:r w:rsidR="009864F8">
        <w:rPr>
          <w:rFonts w:ascii="Times New Roman" w:hAnsi="Times New Roman" w:cs="Times New Roman"/>
          <w:bCs/>
          <w:sz w:val="24"/>
          <w:szCs w:val="24"/>
        </w:rPr>
        <w:t xml:space="preserve">and </w:t>
      </w:r>
      <w:r w:rsidR="00236FF2">
        <w:rPr>
          <w:rFonts w:ascii="Times New Roman" w:hAnsi="Times New Roman" w:cs="Times New Roman"/>
          <w:bCs/>
          <w:sz w:val="24"/>
          <w:szCs w:val="24"/>
        </w:rPr>
        <w:t>Transmission Owners</w:t>
      </w:r>
      <w:r w:rsidR="009864F8">
        <w:rPr>
          <w:rFonts w:ascii="Times New Roman" w:hAnsi="Times New Roman" w:cs="Times New Roman"/>
          <w:bCs/>
          <w:sz w:val="24"/>
          <w:szCs w:val="24"/>
        </w:rPr>
        <w:t>.</w:t>
      </w:r>
    </w:p>
    <w:p w:rsidR="005B7001" w:rsidP="00695620" w:rsidRDefault="005B7001" w14:paraId="33455D2D" w14:textId="77777777">
      <w:pPr>
        <w:pStyle w:val="FERCparanumber"/>
        <w:numPr>
          <w:ilvl w:val="0"/>
          <w:numId w:val="0"/>
        </w:numPr>
        <w:tabs>
          <w:tab w:val="left" w:pos="720"/>
        </w:tabs>
        <w:rPr>
          <w:rFonts w:ascii="Times New Roman" w:hAnsi="Times New Roman" w:cs="Times New Roman"/>
        </w:rPr>
      </w:pPr>
    </w:p>
    <w:p w:rsidRPr="00297207" w:rsidR="009C2264" w:rsidP="00297207" w:rsidRDefault="009C2264" w14:paraId="0DD9E27C" w14:textId="1A766E48">
      <w:pPr>
        <w:spacing w:after="0" w:line="240" w:lineRule="auto"/>
        <w:rPr>
          <w:rFonts w:ascii="Times New Roman" w:hAnsi="Times New Roman" w:eastAsia="Times New Roman" w:cs="Times New Roman"/>
          <w:sz w:val="24"/>
          <w:szCs w:val="24"/>
        </w:rPr>
      </w:pPr>
      <w:r w:rsidRPr="00297207">
        <w:rPr>
          <w:rFonts w:ascii="Times New Roman" w:hAnsi="Times New Roman" w:eastAsia="Times New Roman" w:cs="Times New Roman"/>
          <w:sz w:val="24"/>
          <w:szCs w:val="24"/>
        </w:rPr>
        <w:t xml:space="preserve">The NERC Compliance Registry, as of December 2019, identifies approximately 1,482 unique U.S. entities that are subject to mandatory compliance with Reliability Standards.  Of this total, we estimate that 719 entities will face an increased paperwork burden under Reliability Standard CIP-012-1.  Based on these assumptions, we estimate the following reporting burden: </w:t>
      </w:r>
    </w:p>
    <w:tbl>
      <w:tblPr>
        <w:tblW w:w="5821" w:type="pct"/>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7"/>
        <w:gridCol w:w="1530"/>
        <w:gridCol w:w="1439"/>
        <w:gridCol w:w="1439"/>
        <w:gridCol w:w="1798"/>
        <w:gridCol w:w="2162"/>
      </w:tblGrid>
      <w:tr w:rsidRPr="009C2264" w:rsidR="009C2264" w:rsidTr="003C4DC8" w14:paraId="733A4A70" w14:textId="77777777">
        <w:trPr>
          <w:cantSplit/>
          <w:trHeight w:val="368"/>
          <w:tblHeader/>
        </w:trPr>
        <w:tc>
          <w:tcPr>
            <w:tcW w:w="5000" w:type="pct"/>
            <w:gridSpan w:val="6"/>
            <w:tcBorders>
              <w:bottom w:val="single" w:color="auto" w:sz="4" w:space="0"/>
            </w:tcBorders>
            <w:shd w:val="clear" w:color="auto" w:fill="D9D9D9"/>
            <w:vAlign w:val="center"/>
          </w:tcPr>
          <w:p w:rsidRPr="00A94A09" w:rsidR="009C2264" w:rsidP="00A94A09" w:rsidRDefault="009C2264" w14:paraId="7AD25CAD" w14:textId="77777777">
            <w:pPr>
              <w:spacing w:after="0" w:line="480" w:lineRule="auto"/>
              <w:ind w:left="270"/>
              <w:jc w:val="center"/>
              <w:rPr>
                <w:rFonts w:ascii="Times New Roman" w:hAnsi="Times New Roman" w:eastAsia="Times New Roman" w:cs="Times New Roman"/>
                <w:b/>
                <w:sz w:val="24"/>
                <w:szCs w:val="24"/>
              </w:rPr>
            </w:pPr>
            <w:r w:rsidRPr="00A94A09">
              <w:rPr>
                <w:rFonts w:ascii="Times New Roman" w:hAnsi="Times New Roman" w:eastAsia="Times New Roman" w:cs="Times New Roman"/>
                <w:b/>
                <w:sz w:val="24"/>
                <w:szCs w:val="24"/>
              </w:rPr>
              <w:lastRenderedPageBreak/>
              <w:t>FERC-725B, Modifications Due to the Final Rule in Docket No. RM18-20-000</w:t>
            </w:r>
          </w:p>
        </w:tc>
      </w:tr>
      <w:tr w:rsidRPr="009C2264" w:rsidR="00A94A09" w:rsidTr="003C4DC8" w14:paraId="4277BB93" w14:textId="77777777">
        <w:trPr>
          <w:cantSplit/>
          <w:trHeight w:val="1259"/>
          <w:tblHeader/>
        </w:trPr>
        <w:tc>
          <w:tcPr>
            <w:tcW w:w="1156" w:type="pct"/>
            <w:shd w:val="clear" w:color="auto" w:fill="D9D9D9"/>
          </w:tcPr>
          <w:p w:rsidRPr="00A94A09" w:rsidR="009C2264" w:rsidP="009C2264" w:rsidRDefault="009C2264" w14:paraId="1E46929E" w14:textId="77777777">
            <w:pPr>
              <w:spacing w:after="0" w:line="240" w:lineRule="auto"/>
              <w:jc w:val="center"/>
              <w:rPr>
                <w:rFonts w:ascii="Times New Roman" w:hAnsi="Times New Roman" w:eastAsia="Times New Roman" w:cs="Times New Roman"/>
                <w:b/>
                <w:sz w:val="24"/>
                <w:szCs w:val="24"/>
              </w:rPr>
            </w:pPr>
          </w:p>
        </w:tc>
        <w:tc>
          <w:tcPr>
            <w:tcW w:w="703" w:type="pct"/>
            <w:shd w:val="clear" w:color="auto" w:fill="D9D9D9"/>
            <w:vAlign w:val="center"/>
          </w:tcPr>
          <w:p w:rsidRPr="00A94A09" w:rsidR="009C2264" w:rsidP="00A94A09" w:rsidRDefault="009C2264" w14:paraId="1473687B" w14:textId="77777777">
            <w:pPr>
              <w:spacing w:after="0" w:line="240" w:lineRule="auto"/>
              <w:jc w:val="center"/>
              <w:rPr>
                <w:rFonts w:ascii="Times New Roman" w:hAnsi="Times New Roman" w:eastAsia="Times New Roman" w:cs="Times New Roman"/>
                <w:b/>
                <w:sz w:val="24"/>
                <w:szCs w:val="24"/>
              </w:rPr>
            </w:pPr>
            <w:r w:rsidRPr="00A94A09">
              <w:rPr>
                <w:rFonts w:ascii="Times New Roman" w:hAnsi="Times New Roman" w:eastAsia="Times New Roman" w:cs="Times New Roman"/>
                <w:b/>
                <w:sz w:val="24"/>
                <w:szCs w:val="24"/>
              </w:rPr>
              <w:t>No. of Respondents</w:t>
            </w:r>
          </w:p>
          <w:p w:rsidRPr="00A94A09" w:rsidR="009C2264" w:rsidP="00A94A09" w:rsidRDefault="009C2264" w14:paraId="2A7BE930" w14:textId="77777777">
            <w:pPr>
              <w:spacing w:after="0" w:line="240" w:lineRule="auto"/>
              <w:jc w:val="center"/>
              <w:rPr>
                <w:rFonts w:ascii="Times New Roman" w:hAnsi="Times New Roman" w:eastAsia="Times New Roman" w:cs="Times New Roman"/>
                <w:b/>
                <w:sz w:val="24"/>
                <w:szCs w:val="24"/>
              </w:rPr>
            </w:pPr>
            <w:r w:rsidRPr="00A94A09">
              <w:rPr>
                <w:rFonts w:ascii="Times New Roman" w:hAnsi="Times New Roman" w:eastAsia="Times New Roman" w:cs="Times New Roman"/>
                <w:b/>
                <w:sz w:val="24"/>
                <w:szCs w:val="24"/>
              </w:rPr>
              <w:t>(1)</w:t>
            </w:r>
          </w:p>
        </w:tc>
        <w:tc>
          <w:tcPr>
            <w:tcW w:w="661" w:type="pct"/>
            <w:shd w:val="clear" w:color="auto" w:fill="D9D9D9"/>
            <w:vAlign w:val="center"/>
          </w:tcPr>
          <w:p w:rsidRPr="003C4DC8" w:rsidR="009C2264" w:rsidP="00A94A09" w:rsidRDefault="009C2264" w14:paraId="6EAD9A3F" w14:textId="77777777">
            <w:pPr>
              <w:spacing w:after="0" w:line="240" w:lineRule="auto"/>
              <w:jc w:val="center"/>
              <w:rPr>
                <w:rFonts w:ascii="Times New Roman" w:hAnsi="Times New Roman" w:eastAsia="Times New Roman" w:cs="Times New Roman"/>
                <w:b/>
                <w:sz w:val="24"/>
                <w:szCs w:val="24"/>
              </w:rPr>
            </w:pPr>
            <w:r w:rsidRPr="00A94A09">
              <w:rPr>
                <w:rFonts w:ascii="Times New Roman" w:hAnsi="Times New Roman" w:eastAsia="Times New Roman" w:cs="Times New Roman"/>
                <w:b/>
                <w:sz w:val="24"/>
                <w:szCs w:val="24"/>
              </w:rPr>
              <w:t>No. of Responses</w:t>
            </w:r>
            <w:r w:rsidRPr="00A94A09">
              <w:rPr>
                <w:rFonts w:ascii="Times New Roman" w:hAnsi="Times New Roman" w:eastAsia="Times New Roman" w:cs="Times New Roman"/>
                <w:b/>
                <w:sz w:val="24"/>
                <w:szCs w:val="24"/>
                <w:vertAlign w:val="superscript"/>
              </w:rPr>
              <w:footnoteReference w:id="13"/>
            </w:r>
            <w:r w:rsidRPr="003C4DC8">
              <w:rPr>
                <w:rFonts w:ascii="Times New Roman" w:hAnsi="Times New Roman" w:eastAsia="Times New Roman" w:cs="Times New Roman"/>
                <w:b/>
                <w:sz w:val="24"/>
                <w:szCs w:val="24"/>
              </w:rPr>
              <w:t xml:space="preserve"> per Respondent</w:t>
            </w:r>
          </w:p>
          <w:p w:rsidRPr="003C4DC8" w:rsidR="009C2264" w:rsidP="00A94A09" w:rsidRDefault="009C2264" w14:paraId="15034B7D" w14:textId="77777777">
            <w:pPr>
              <w:spacing w:after="0" w:line="240" w:lineRule="auto"/>
              <w:jc w:val="center"/>
              <w:rPr>
                <w:rFonts w:ascii="Times New Roman" w:hAnsi="Times New Roman" w:eastAsia="Times New Roman" w:cs="Times New Roman"/>
                <w:b/>
                <w:sz w:val="24"/>
                <w:szCs w:val="24"/>
              </w:rPr>
            </w:pPr>
            <w:r w:rsidRPr="003C4DC8">
              <w:rPr>
                <w:rFonts w:ascii="Times New Roman" w:hAnsi="Times New Roman" w:eastAsia="Times New Roman" w:cs="Times New Roman"/>
                <w:b/>
                <w:sz w:val="24"/>
                <w:szCs w:val="24"/>
              </w:rPr>
              <w:t>(2)</w:t>
            </w:r>
          </w:p>
        </w:tc>
        <w:tc>
          <w:tcPr>
            <w:tcW w:w="661" w:type="pct"/>
            <w:shd w:val="clear" w:color="auto" w:fill="D9D9D9"/>
            <w:vAlign w:val="center"/>
          </w:tcPr>
          <w:p w:rsidRPr="003C4DC8" w:rsidR="009C2264" w:rsidP="00A94A09" w:rsidRDefault="009C2264" w14:paraId="3A73C3C4" w14:textId="77777777">
            <w:pPr>
              <w:spacing w:after="0" w:line="240" w:lineRule="auto"/>
              <w:jc w:val="center"/>
              <w:rPr>
                <w:rFonts w:ascii="Times New Roman" w:hAnsi="Times New Roman" w:eastAsia="Times New Roman" w:cs="Times New Roman"/>
                <w:b/>
                <w:sz w:val="24"/>
                <w:szCs w:val="24"/>
              </w:rPr>
            </w:pPr>
            <w:r w:rsidRPr="003C4DC8">
              <w:rPr>
                <w:rFonts w:ascii="Times New Roman" w:hAnsi="Times New Roman" w:eastAsia="Times New Roman" w:cs="Times New Roman"/>
                <w:b/>
                <w:sz w:val="24"/>
                <w:szCs w:val="24"/>
              </w:rPr>
              <w:t>Total No. of Responses</w:t>
            </w:r>
          </w:p>
          <w:p w:rsidRPr="003C4DC8" w:rsidR="009C2264" w:rsidP="00A94A09" w:rsidRDefault="009C2264" w14:paraId="062A0961" w14:textId="77777777">
            <w:pPr>
              <w:spacing w:after="0" w:line="240" w:lineRule="auto"/>
              <w:jc w:val="center"/>
              <w:rPr>
                <w:rFonts w:ascii="Times New Roman" w:hAnsi="Times New Roman" w:eastAsia="Times New Roman" w:cs="Times New Roman"/>
                <w:b/>
                <w:sz w:val="24"/>
                <w:szCs w:val="24"/>
              </w:rPr>
            </w:pPr>
            <w:r w:rsidRPr="003C4DC8">
              <w:rPr>
                <w:rFonts w:ascii="Times New Roman" w:hAnsi="Times New Roman" w:eastAsia="Times New Roman" w:cs="Times New Roman"/>
                <w:b/>
                <w:sz w:val="24"/>
                <w:szCs w:val="24"/>
              </w:rPr>
              <w:t>(1)X(2)=(3)</w:t>
            </w:r>
          </w:p>
        </w:tc>
        <w:tc>
          <w:tcPr>
            <w:tcW w:w="826" w:type="pct"/>
            <w:shd w:val="clear" w:color="auto" w:fill="D9D9D9"/>
            <w:vAlign w:val="center"/>
          </w:tcPr>
          <w:p w:rsidRPr="003C4DC8" w:rsidR="009C2264" w:rsidP="00A94A09" w:rsidRDefault="009C2264" w14:paraId="136D743F" w14:textId="4CB44790">
            <w:pPr>
              <w:spacing w:after="0" w:line="240" w:lineRule="auto"/>
              <w:jc w:val="center"/>
              <w:rPr>
                <w:rFonts w:ascii="Times New Roman" w:hAnsi="Times New Roman" w:eastAsia="Times New Roman" w:cs="Times New Roman"/>
                <w:b/>
                <w:sz w:val="24"/>
                <w:szCs w:val="24"/>
              </w:rPr>
            </w:pPr>
            <w:r w:rsidRPr="003C4DC8">
              <w:rPr>
                <w:rFonts w:ascii="Times New Roman" w:hAnsi="Times New Roman" w:eastAsia="Times New Roman" w:cs="Times New Roman"/>
                <w:b/>
                <w:sz w:val="24"/>
                <w:szCs w:val="24"/>
              </w:rPr>
              <w:t>Avg. Burden Hrs. &amp; Cost</w:t>
            </w:r>
            <w:r w:rsidRPr="003C4DC8" w:rsidR="00C260C0">
              <w:rPr>
                <w:rFonts w:ascii="Times New Roman" w:hAnsi="Times New Roman" w:eastAsia="Times New Roman" w:cs="Times New Roman"/>
                <w:b/>
                <w:sz w:val="24"/>
                <w:szCs w:val="24"/>
              </w:rPr>
              <w:t xml:space="preserve"> </w:t>
            </w:r>
            <w:r w:rsidRPr="003C4DC8">
              <w:rPr>
                <w:rFonts w:ascii="Times New Roman" w:hAnsi="Times New Roman" w:eastAsia="Times New Roman" w:cs="Times New Roman"/>
                <w:b/>
                <w:sz w:val="24"/>
                <w:szCs w:val="24"/>
              </w:rPr>
              <w:t xml:space="preserve"> Per Response</w:t>
            </w:r>
            <w:r w:rsidRPr="003C4DC8">
              <w:rPr>
                <w:rFonts w:ascii="Times New Roman" w:hAnsi="Times New Roman" w:eastAsia="Times New Roman" w:cs="Times New Roman"/>
                <w:b/>
                <w:sz w:val="24"/>
                <w:szCs w:val="24"/>
                <w:vertAlign w:val="superscript"/>
              </w:rPr>
              <w:footnoteReference w:id="14"/>
            </w:r>
          </w:p>
          <w:p w:rsidRPr="003C4DC8" w:rsidR="009C2264" w:rsidP="00A94A09" w:rsidRDefault="009C2264" w14:paraId="691141C4" w14:textId="77777777">
            <w:pPr>
              <w:spacing w:after="0" w:line="240" w:lineRule="auto"/>
              <w:jc w:val="center"/>
              <w:rPr>
                <w:rFonts w:ascii="Times New Roman" w:hAnsi="Times New Roman" w:eastAsia="Times New Roman" w:cs="Times New Roman"/>
                <w:b/>
                <w:sz w:val="24"/>
                <w:szCs w:val="24"/>
              </w:rPr>
            </w:pPr>
            <w:r w:rsidRPr="003C4DC8">
              <w:rPr>
                <w:rFonts w:ascii="Times New Roman" w:hAnsi="Times New Roman" w:eastAsia="Times New Roman" w:cs="Times New Roman"/>
                <w:b/>
                <w:sz w:val="24"/>
                <w:szCs w:val="24"/>
              </w:rPr>
              <w:t>(4)</w:t>
            </w:r>
          </w:p>
        </w:tc>
        <w:tc>
          <w:tcPr>
            <w:tcW w:w="993" w:type="pct"/>
            <w:shd w:val="clear" w:color="auto" w:fill="D9D9D9"/>
            <w:vAlign w:val="center"/>
          </w:tcPr>
          <w:p w:rsidRPr="003C4DC8" w:rsidR="009C2264" w:rsidP="00A94A09" w:rsidRDefault="009C2264" w14:paraId="5614F4D6" w14:textId="3B2A3F4C">
            <w:pPr>
              <w:spacing w:after="0" w:line="240" w:lineRule="auto"/>
              <w:jc w:val="center"/>
              <w:rPr>
                <w:rFonts w:ascii="Times New Roman" w:hAnsi="Times New Roman" w:eastAsia="Times New Roman" w:cs="Times New Roman"/>
                <w:b/>
                <w:sz w:val="24"/>
                <w:szCs w:val="24"/>
              </w:rPr>
            </w:pPr>
            <w:r w:rsidRPr="003C4DC8">
              <w:rPr>
                <w:rFonts w:ascii="Times New Roman" w:hAnsi="Times New Roman" w:eastAsia="Times New Roman" w:cs="Times New Roman"/>
                <w:b/>
                <w:sz w:val="24"/>
                <w:szCs w:val="24"/>
              </w:rPr>
              <w:t>Total Annual Burden Hours &amp; Total Annual Cost</w:t>
            </w:r>
            <w:r w:rsidRPr="003C4DC8" w:rsidR="00C260C0">
              <w:rPr>
                <w:rFonts w:ascii="Times New Roman" w:hAnsi="Times New Roman" w:eastAsia="Times New Roman" w:cs="Times New Roman"/>
                <w:b/>
                <w:sz w:val="24"/>
                <w:szCs w:val="24"/>
              </w:rPr>
              <w:t xml:space="preserve"> </w:t>
            </w:r>
          </w:p>
          <w:p w:rsidRPr="003C4DC8" w:rsidR="009C2264" w:rsidP="00A94A09" w:rsidRDefault="009C2264" w14:paraId="7D01A083" w14:textId="77777777">
            <w:pPr>
              <w:spacing w:after="0" w:line="240" w:lineRule="auto"/>
              <w:jc w:val="center"/>
              <w:rPr>
                <w:rFonts w:ascii="Times New Roman" w:hAnsi="Times New Roman" w:eastAsia="Times New Roman" w:cs="Times New Roman"/>
                <w:b/>
                <w:sz w:val="24"/>
                <w:szCs w:val="24"/>
              </w:rPr>
            </w:pPr>
            <w:r w:rsidRPr="003C4DC8">
              <w:rPr>
                <w:rFonts w:ascii="Times New Roman" w:hAnsi="Times New Roman" w:eastAsia="Times New Roman" w:cs="Times New Roman"/>
                <w:b/>
                <w:sz w:val="24"/>
                <w:szCs w:val="24"/>
              </w:rPr>
              <w:t>(3)X(4)=5</w:t>
            </w:r>
          </w:p>
        </w:tc>
      </w:tr>
      <w:tr w:rsidRPr="009C2264" w:rsidR="00A94A09" w:rsidTr="003C4DC8" w14:paraId="7C5E4856" w14:textId="77777777">
        <w:trPr>
          <w:cantSplit/>
          <w:trHeight w:val="241"/>
          <w:tblHeader/>
        </w:trPr>
        <w:tc>
          <w:tcPr>
            <w:tcW w:w="1156" w:type="pct"/>
          </w:tcPr>
          <w:p w:rsidRPr="00A94A09" w:rsidR="009C2264" w:rsidP="009C2264" w:rsidRDefault="009C2264" w14:paraId="0663C528" w14:textId="77777777">
            <w:pPr>
              <w:spacing w:after="0" w:line="240" w:lineRule="auto"/>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Implementation of Documented Plan(s) (Requirement R1)</w:t>
            </w:r>
            <w:bookmarkStart w:name="_Ref31955534" w:id="1"/>
            <w:r w:rsidRPr="00A94A09">
              <w:rPr>
                <w:rFonts w:ascii="Times New Roman" w:hAnsi="Times New Roman" w:eastAsia="Times New Roman" w:cs="Times New Roman"/>
                <w:b/>
                <w:sz w:val="24"/>
                <w:szCs w:val="24"/>
                <w:vertAlign w:val="superscript"/>
              </w:rPr>
              <w:footnoteReference w:id="15"/>
            </w:r>
            <w:bookmarkEnd w:id="1"/>
          </w:p>
        </w:tc>
        <w:tc>
          <w:tcPr>
            <w:tcW w:w="703" w:type="pct"/>
            <w:vAlign w:val="center"/>
          </w:tcPr>
          <w:p w:rsidRPr="00A94A09" w:rsidR="009C2264" w:rsidP="00A94A09" w:rsidRDefault="009C2264" w14:paraId="3C8F3F56"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719</w:t>
            </w:r>
          </w:p>
        </w:tc>
        <w:tc>
          <w:tcPr>
            <w:tcW w:w="661" w:type="pct"/>
            <w:vAlign w:val="center"/>
          </w:tcPr>
          <w:p w:rsidRPr="00A94A09" w:rsidR="009C2264" w:rsidP="00A94A09" w:rsidRDefault="009C2264" w14:paraId="5E7D9BBC"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w:t>
            </w:r>
          </w:p>
        </w:tc>
        <w:tc>
          <w:tcPr>
            <w:tcW w:w="661" w:type="pct"/>
            <w:vAlign w:val="center"/>
          </w:tcPr>
          <w:p w:rsidRPr="00A94A09" w:rsidR="009C2264" w:rsidP="00A94A09" w:rsidRDefault="009C2264" w14:paraId="13CC5ECE"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719</w:t>
            </w:r>
          </w:p>
        </w:tc>
        <w:tc>
          <w:tcPr>
            <w:tcW w:w="826" w:type="pct"/>
            <w:vAlign w:val="center"/>
          </w:tcPr>
          <w:p w:rsidRPr="00A94A09" w:rsidR="009C2264" w:rsidP="00A94A09" w:rsidRDefault="009C2264" w14:paraId="225DC0B5"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128 hrs.;</w:t>
            </w:r>
          </w:p>
          <w:p w:rsidRPr="00A94A09" w:rsidR="009C2264" w:rsidP="00A94A09" w:rsidRDefault="009C2264" w14:paraId="01B69841"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$11,776</w:t>
            </w:r>
          </w:p>
        </w:tc>
        <w:tc>
          <w:tcPr>
            <w:tcW w:w="993" w:type="pct"/>
            <w:vAlign w:val="center"/>
          </w:tcPr>
          <w:p w:rsidRPr="00A94A09" w:rsidR="009C2264" w:rsidP="00A94A09" w:rsidRDefault="009C2264" w14:paraId="54FBA771"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92,032 hrs.;</w:t>
            </w:r>
          </w:p>
          <w:p w:rsidRPr="00A94A09" w:rsidR="009C2264" w:rsidP="00A94A09" w:rsidRDefault="009C2264" w14:paraId="55536BE0"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$8,466,944</w:t>
            </w:r>
          </w:p>
        </w:tc>
      </w:tr>
      <w:tr w:rsidRPr="009C2264" w:rsidR="00A94A09" w:rsidTr="003C4DC8" w14:paraId="4E078EF9" w14:textId="77777777">
        <w:trPr>
          <w:cantSplit/>
          <w:trHeight w:val="241"/>
          <w:tblHeader/>
        </w:trPr>
        <w:tc>
          <w:tcPr>
            <w:tcW w:w="1156" w:type="pct"/>
          </w:tcPr>
          <w:p w:rsidRPr="00A94A09" w:rsidR="009C2264" w:rsidP="009C2264" w:rsidRDefault="009C2264" w14:paraId="480A14E3" w14:textId="25BB1456">
            <w:pPr>
              <w:spacing w:after="0" w:line="240" w:lineRule="auto"/>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Document Identification of Security Protection (Requirement R1.1)</w:t>
            </w:r>
            <w:r w:rsidRPr="00A94A09" w:rsidR="00074A25">
              <w:rPr>
                <w:rFonts w:ascii="Times New Roman" w:hAnsi="Times New Roman" w:eastAsia="Times New Roman" w:cs="Times New Roman"/>
                <w:sz w:val="24"/>
                <w:szCs w:val="24"/>
              </w:rPr>
              <w:t xml:space="preserve"> </w:t>
            </w:r>
            <w:r w:rsidRPr="00A94A09" w:rsidR="003B279C">
              <w:rPr>
                <w:rFonts w:ascii="Times New Roman" w:hAnsi="Times New Roman" w:eastAsia="Times New Roman" w:cs="Times New Roman"/>
                <w:sz w:val="24"/>
                <w:szCs w:val="24"/>
                <w:vertAlign w:val="superscript"/>
              </w:rPr>
              <w:fldChar w:fldCharType="begin"/>
            </w:r>
            <w:r w:rsidRPr="00A94A09" w:rsidR="003B279C">
              <w:rPr>
                <w:rFonts w:ascii="Times New Roman" w:hAnsi="Times New Roman" w:eastAsia="Times New Roman" w:cs="Times New Roman"/>
                <w:sz w:val="24"/>
                <w:szCs w:val="24"/>
                <w:vertAlign w:val="superscript"/>
              </w:rPr>
              <w:instrText xml:space="preserve"> NOTEREF _Ref31955534 \h </w:instrText>
            </w:r>
            <w:r w:rsidRPr="00A94A09" w:rsidR="00A94A09">
              <w:rPr>
                <w:rFonts w:ascii="Times New Roman" w:hAnsi="Times New Roman" w:eastAsia="Times New Roman" w:cs="Times New Roman"/>
                <w:sz w:val="24"/>
                <w:szCs w:val="24"/>
                <w:vertAlign w:val="superscript"/>
              </w:rPr>
              <w:instrText xml:space="preserve"> \* MERGEFORMAT </w:instrText>
            </w:r>
            <w:r w:rsidRPr="00A94A09" w:rsidR="003B279C">
              <w:rPr>
                <w:rFonts w:ascii="Times New Roman" w:hAnsi="Times New Roman" w:eastAsia="Times New Roman" w:cs="Times New Roman"/>
                <w:sz w:val="24"/>
                <w:szCs w:val="24"/>
                <w:vertAlign w:val="superscript"/>
              </w:rPr>
            </w:r>
            <w:r w:rsidRPr="00A94A09" w:rsidR="003B279C">
              <w:rPr>
                <w:rFonts w:ascii="Times New Roman" w:hAnsi="Times New Roman" w:eastAsia="Times New Roman" w:cs="Times New Roman"/>
                <w:sz w:val="24"/>
                <w:szCs w:val="24"/>
                <w:vertAlign w:val="superscript"/>
              </w:rPr>
              <w:fldChar w:fldCharType="separate"/>
            </w:r>
            <w:r w:rsidRPr="00A94A09" w:rsidR="00E1295A">
              <w:rPr>
                <w:rFonts w:ascii="Times New Roman" w:hAnsi="Times New Roman" w:eastAsia="Times New Roman" w:cs="Times New Roman"/>
                <w:sz w:val="24"/>
                <w:szCs w:val="24"/>
                <w:vertAlign w:val="superscript"/>
              </w:rPr>
              <w:t>14</w:t>
            </w:r>
            <w:r w:rsidRPr="00A94A09" w:rsidR="003B279C">
              <w:rPr>
                <w:rFonts w:ascii="Times New Roman" w:hAnsi="Times New Roman" w:eastAsia="Times New Roman" w:cs="Times New Roman"/>
                <w:sz w:val="24"/>
                <w:szCs w:val="24"/>
                <w:vertAlign w:val="superscript"/>
              </w:rPr>
              <w:fldChar w:fldCharType="end"/>
            </w:r>
          </w:p>
        </w:tc>
        <w:tc>
          <w:tcPr>
            <w:tcW w:w="703" w:type="pct"/>
            <w:vAlign w:val="center"/>
          </w:tcPr>
          <w:p w:rsidRPr="00A94A09" w:rsidR="009C2264" w:rsidP="00A94A09" w:rsidRDefault="009C2264" w14:paraId="45D015DE"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719</w:t>
            </w:r>
          </w:p>
        </w:tc>
        <w:tc>
          <w:tcPr>
            <w:tcW w:w="661" w:type="pct"/>
            <w:vAlign w:val="center"/>
          </w:tcPr>
          <w:p w:rsidRPr="00A94A09" w:rsidR="009C2264" w:rsidP="00A94A09" w:rsidRDefault="009C2264" w14:paraId="5AE3B179"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w:t>
            </w:r>
          </w:p>
        </w:tc>
        <w:tc>
          <w:tcPr>
            <w:tcW w:w="661" w:type="pct"/>
            <w:vAlign w:val="center"/>
          </w:tcPr>
          <w:p w:rsidRPr="00A94A09" w:rsidR="009C2264" w:rsidP="00A94A09" w:rsidRDefault="009C2264" w14:paraId="6C1C6843"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719</w:t>
            </w:r>
          </w:p>
        </w:tc>
        <w:tc>
          <w:tcPr>
            <w:tcW w:w="826" w:type="pct"/>
            <w:vAlign w:val="center"/>
          </w:tcPr>
          <w:p w:rsidRPr="00A94A09" w:rsidR="009C2264" w:rsidP="00A94A09" w:rsidRDefault="009C2264" w14:paraId="18D8D578"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40 hrs.;</w:t>
            </w:r>
          </w:p>
          <w:p w:rsidRPr="00A94A09" w:rsidR="009C2264" w:rsidP="00A94A09" w:rsidRDefault="009C2264" w14:paraId="51820B46"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$3,680</w:t>
            </w:r>
          </w:p>
        </w:tc>
        <w:tc>
          <w:tcPr>
            <w:tcW w:w="993" w:type="pct"/>
            <w:vAlign w:val="center"/>
          </w:tcPr>
          <w:p w:rsidRPr="00A94A09" w:rsidR="009C2264" w:rsidP="00A94A09" w:rsidRDefault="00173D5C" w14:paraId="04F75C7E" w14:textId="052C6BA3">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28,760</w:t>
            </w:r>
            <w:r w:rsidRPr="00A94A09" w:rsidR="009C2264">
              <w:rPr>
                <w:rFonts w:ascii="Times New Roman" w:hAnsi="Times New Roman" w:eastAsia="Times New Roman" w:cs="Times New Roman"/>
                <w:sz w:val="24"/>
                <w:szCs w:val="24"/>
              </w:rPr>
              <w:t xml:space="preserve"> hrs.</w:t>
            </w:r>
            <w:r w:rsidRPr="00A94A09" w:rsidR="00EF50B8">
              <w:rPr>
                <w:rStyle w:val="FootnoteReference"/>
                <w:rFonts w:ascii="Times New Roman" w:hAnsi="Times New Roman" w:eastAsia="Times New Roman" w:cs="Times New Roman"/>
                <w:sz w:val="24"/>
                <w:szCs w:val="24"/>
                <w:vertAlign w:val="superscript"/>
              </w:rPr>
              <w:footnoteReference w:id="16"/>
            </w:r>
            <w:r w:rsidRPr="00A94A09" w:rsidR="009C2264">
              <w:rPr>
                <w:rFonts w:ascii="Times New Roman" w:hAnsi="Times New Roman" w:eastAsia="Times New Roman" w:cs="Times New Roman"/>
                <w:sz w:val="24"/>
                <w:szCs w:val="24"/>
              </w:rPr>
              <w:t>;</w:t>
            </w:r>
          </w:p>
          <w:p w:rsidRPr="00A94A09" w:rsidR="009C2264" w:rsidP="00A94A09" w:rsidRDefault="009C2264" w14:paraId="20A3FC02"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$2,645,920</w:t>
            </w:r>
          </w:p>
        </w:tc>
      </w:tr>
      <w:tr w:rsidRPr="009C2264" w:rsidR="00A94A09" w:rsidTr="003C4DC8" w14:paraId="6E9707B8" w14:textId="77777777">
        <w:trPr>
          <w:cantSplit/>
          <w:trHeight w:val="179"/>
          <w:tblHeader/>
        </w:trPr>
        <w:tc>
          <w:tcPr>
            <w:tcW w:w="1156" w:type="pct"/>
          </w:tcPr>
          <w:p w:rsidRPr="00A94A09" w:rsidR="009C2264" w:rsidP="009C2264" w:rsidRDefault="009C2264" w14:paraId="1304D3C8" w14:textId="1507EB35">
            <w:pPr>
              <w:spacing w:after="0" w:line="240" w:lineRule="auto"/>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Identification of Security Protection Application (if owned by same Responsible Entity) (Requirement R1.2)</w:t>
            </w:r>
            <w:r w:rsidRPr="00A94A09" w:rsidR="00074A25">
              <w:rPr>
                <w:rFonts w:ascii="Times New Roman" w:hAnsi="Times New Roman" w:eastAsia="Times New Roman" w:cs="Times New Roman"/>
                <w:sz w:val="24"/>
                <w:szCs w:val="24"/>
              </w:rPr>
              <w:t xml:space="preserve"> </w:t>
            </w:r>
            <w:r w:rsidRPr="00A94A09" w:rsidR="003B279C">
              <w:rPr>
                <w:rFonts w:ascii="Times New Roman" w:hAnsi="Times New Roman" w:eastAsia="Times New Roman" w:cs="Times New Roman"/>
                <w:sz w:val="24"/>
                <w:szCs w:val="24"/>
                <w:vertAlign w:val="superscript"/>
              </w:rPr>
              <w:fldChar w:fldCharType="begin"/>
            </w:r>
            <w:r w:rsidRPr="00A94A09" w:rsidR="003B279C">
              <w:rPr>
                <w:rFonts w:ascii="Times New Roman" w:hAnsi="Times New Roman" w:eastAsia="Times New Roman" w:cs="Times New Roman"/>
                <w:sz w:val="24"/>
                <w:szCs w:val="24"/>
                <w:vertAlign w:val="superscript"/>
              </w:rPr>
              <w:instrText xml:space="preserve"> NOTEREF _Ref31955534 \h </w:instrText>
            </w:r>
            <w:r w:rsidRPr="00A94A09" w:rsidR="00A94A09">
              <w:rPr>
                <w:rFonts w:ascii="Times New Roman" w:hAnsi="Times New Roman" w:eastAsia="Times New Roman" w:cs="Times New Roman"/>
                <w:sz w:val="24"/>
                <w:szCs w:val="24"/>
                <w:vertAlign w:val="superscript"/>
              </w:rPr>
              <w:instrText xml:space="preserve"> \* MERGEFORMAT </w:instrText>
            </w:r>
            <w:r w:rsidRPr="00A94A09" w:rsidR="003B279C">
              <w:rPr>
                <w:rFonts w:ascii="Times New Roman" w:hAnsi="Times New Roman" w:eastAsia="Times New Roman" w:cs="Times New Roman"/>
                <w:sz w:val="24"/>
                <w:szCs w:val="24"/>
                <w:vertAlign w:val="superscript"/>
              </w:rPr>
            </w:r>
            <w:r w:rsidRPr="00A94A09" w:rsidR="003B279C">
              <w:rPr>
                <w:rFonts w:ascii="Times New Roman" w:hAnsi="Times New Roman" w:eastAsia="Times New Roman" w:cs="Times New Roman"/>
                <w:sz w:val="24"/>
                <w:szCs w:val="24"/>
                <w:vertAlign w:val="superscript"/>
              </w:rPr>
              <w:fldChar w:fldCharType="separate"/>
            </w:r>
            <w:r w:rsidRPr="00A94A09" w:rsidR="00E1295A">
              <w:rPr>
                <w:rFonts w:ascii="Times New Roman" w:hAnsi="Times New Roman" w:eastAsia="Times New Roman" w:cs="Times New Roman"/>
                <w:sz w:val="24"/>
                <w:szCs w:val="24"/>
                <w:vertAlign w:val="superscript"/>
              </w:rPr>
              <w:t>14</w:t>
            </w:r>
            <w:r w:rsidRPr="00A94A09" w:rsidR="003B279C">
              <w:rPr>
                <w:rFonts w:ascii="Times New Roman" w:hAnsi="Times New Roman" w:eastAsia="Times New Roman" w:cs="Times New Roman"/>
                <w:sz w:val="24"/>
                <w:szCs w:val="24"/>
                <w:vertAlign w:val="superscript"/>
              </w:rPr>
              <w:fldChar w:fldCharType="end"/>
            </w:r>
          </w:p>
        </w:tc>
        <w:tc>
          <w:tcPr>
            <w:tcW w:w="703" w:type="pct"/>
            <w:vAlign w:val="center"/>
          </w:tcPr>
          <w:p w:rsidRPr="00A94A09" w:rsidR="009C2264" w:rsidP="00A94A09" w:rsidRDefault="009C2264" w14:paraId="3B3D53A8"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719</w:t>
            </w:r>
          </w:p>
        </w:tc>
        <w:tc>
          <w:tcPr>
            <w:tcW w:w="661" w:type="pct"/>
            <w:vAlign w:val="center"/>
          </w:tcPr>
          <w:p w:rsidRPr="00A94A09" w:rsidR="009C2264" w:rsidP="00A94A09" w:rsidRDefault="009C2264" w14:paraId="3ABF301E"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w:t>
            </w:r>
          </w:p>
        </w:tc>
        <w:tc>
          <w:tcPr>
            <w:tcW w:w="661" w:type="pct"/>
            <w:vAlign w:val="center"/>
          </w:tcPr>
          <w:p w:rsidRPr="00A94A09" w:rsidR="009C2264" w:rsidP="00A94A09" w:rsidRDefault="009C2264" w14:paraId="53A5D1CE"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719</w:t>
            </w:r>
          </w:p>
        </w:tc>
        <w:tc>
          <w:tcPr>
            <w:tcW w:w="826" w:type="pct"/>
            <w:vAlign w:val="center"/>
          </w:tcPr>
          <w:p w:rsidRPr="00A94A09" w:rsidR="009C2264" w:rsidP="00A94A09" w:rsidRDefault="009C2264" w14:paraId="1B6E9CB0"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20 hrs.; $1,840</w:t>
            </w:r>
          </w:p>
        </w:tc>
        <w:tc>
          <w:tcPr>
            <w:tcW w:w="993" w:type="pct"/>
            <w:vAlign w:val="center"/>
          </w:tcPr>
          <w:p w:rsidRPr="00A94A09" w:rsidR="009C2264" w:rsidP="00A94A09" w:rsidRDefault="002B3EBF" w14:paraId="7D7DBF09" w14:textId="2B540EB0">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14,380</w:t>
            </w:r>
            <w:r w:rsidRPr="00A94A09" w:rsidR="009C2264">
              <w:rPr>
                <w:rFonts w:ascii="Times New Roman" w:hAnsi="Times New Roman" w:eastAsia="Times New Roman" w:cs="Times New Roman"/>
                <w:sz w:val="24"/>
                <w:szCs w:val="24"/>
              </w:rPr>
              <w:t xml:space="preserve"> hrs.</w:t>
            </w:r>
            <w:r w:rsidRPr="00A94A09" w:rsidR="00EF50B8">
              <w:rPr>
                <w:rStyle w:val="FootnoteReference"/>
                <w:rFonts w:ascii="Times New Roman" w:hAnsi="Times New Roman" w:eastAsia="Times New Roman" w:cs="Times New Roman"/>
                <w:sz w:val="24"/>
                <w:szCs w:val="24"/>
                <w:vertAlign w:val="superscript"/>
              </w:rPr>
              <w:footnoteReference w:id="17"/>
            </w:r>
            <w:r w:rsidRPr="00A94A09" w:rsidR="009C2264">
              <w:rPr>
                <w:rFonts w:ascii="Times New Roman" w:hAnsi="Times New Roman" w:eastAsia="Times New Roman" w:cs="Times New Roman"/>
                <w:sz w:val="24"/>
                <w:szCs w:val="24"/>
              </w:rPr>
              <w:t>;</w:t>
            </w:r>
          </w:p>
          <w:p w:rsidRPr="00A94A09" w:rsidR="009C2264" w:rsidP="00A94A09" w:rsidRDefault="009C2264" w14:paraId="5C16B7D3"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$1,322,960</w:t>
            </w:r>
          </w:p>
        </w:tc>
      </w:tr>
      <w:tr w:rsidRPr="009C2264" w:rsidR="00A94A09" w:rsidTr="003C4DC8" w14:paraId="22CD6786" w14:textId="77777777">
        <w:trPr>
          <w:cantSplit/>
          <w:trHeight w:val="179"/>
          <w:tblHeader/>
        </w:trPr>
        <w:tc>
          <w:tcPr>
            <w:tcW w:w="1156" w:type="pct"/>
          </w:tcPr>
          <w:p w:rsidRPr="00A94A09" w:rsidR="009C2264" w:rsidP="009C2264" w:rsidRDefault="009C2264" w14:paraId="33101787" w14:textId="6BD6FA10">
            <w:pPr>
              <w:spacing w:after="0" w:line="240" w:lineRule="auto"/>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 xml:space="preserve">Identification of Security Protection Application (if </w:t>
            </w:r>
            <w:r w:rsidRPr="00A94A09">
              <w:rPr>
                <w:rFonts w:ascii="Times New Roman" w:hAnsi="Times New Roman" w:eastAsia="Times New Roman" w:cs="Times New Roman"/>
                <w:sz w:val="24"/>
                <w:szCs w:val="24"/>
                <w:u w:val="single"/>
              </w:rPr>
              <w:t>not</w:t>
            </w:r>
            <w:r w:rsidRPr="00A94A09">
              <w:rPr>
                <w:rFonts w:ascii="Times New Roman" w:hAnsi="Times New Roman" w:eastAsia="Times New Roman" w:cs="Times New Roman"/>
                <w:sz w:val="24"/>
                <w:szCs w:val="24"/>
              </w:rPr>
              <w:t xml:space="preserve"> owned by same Responsible Entity) (Requirement R1.3)</w:t>
            </w:r>
            <w:r w:rsidRPr="00A94A09" w:rsidR="00074A25">
              <w:rPr>
                <w:rFonts w:ascii="Times New Roman" w:hAnsi="Times New Roman" w:eastAsia="Times New Roman" w:cs="Times New Roman"/>
                <w:sz w:val="24"/>
                <w:szCs w:val="24"/>
              </w:rPr>
              <w:t xml:space="preserve"> </w:t>
            </w:r>
            <w:r w:rsidRPr="00A94A09" w:rsidR="003B279C">
              <w:rPr>
                <w:rFonts w:ascii="Times New Roman" w:hAnsi="Times New Roman" w:eastAsia="Times New Roman" w:cs="Times New Roman"/>
                <w:sz w:val="24"/>
                <w:szCs w:val="24"/>
                <w:vertAlign w:val="superscript"/>
              </w:rPr>
              <w:fldChar w:fldCharType="begin"/>
            </w:r>
            <w:r w:rsidRPr="00A94A09" w:rsidR="003B279C">
              <w:rPr>
                <w:rFonts w:ascii="Times New Roman" w:hAnsi="Times New Roman" w:eastAsia="Times New Roman" w:cs="Times New Roman"/>
                <w:sz w:val="24"/>
                <w:szCs w:val="24"/>
                <w:vertAlign w:val="superscript"/>
              </w:rPr>
              <w:instrText xml:space="preserve"> NOTEREF _Ref31955534 \h </w:instrText>
            </w:r>
            <w:r w:rsidRPr="00A94A09" w:rsidR="00A94A09">
              <w:rPr>
                <w:rFonts w:ascii="Times New Roman" w:hAnsi="Times New Roman" w:eastAsia="Times New Roman" w:cs="Times New Roman"/>
                <w:sz w:val="24"/>
                <w:szCs w:val="24"/>
                <w:vertAlign w:val="superscript"/>
              </w:rPr>
              <w:instrText xml:space="preserve"> \* MERGEFORMAT </w:instrText>
            </w:r>
            <w:r w:rsidRPr="00A94A09" w:rsidR="003B279C">
              <w:rPr>
                <w:rFonts w:ascii="Times New Roman" w:hAnsi="Times New Roman" w:eastAsia="Times New Roman" w:cs="Times New Roman"/>
                <w:sz w:val="24"/>
                <w:szCs w:val="24"/>
                <w:vertAlign w:val="superscript"/>
              </w:rPr>
            </w:r>
            <w:r w:rsidRPr="00A94A09" w:rsidR="003B279C">
              <w:rPr>
                <w:rFonts w:ascii="Times New Roman" w:hAnsi="Times New Roman" w:eastAsia="Times New Roman" w:cs="Times New Roman"/>
                <w:sz w:val="24"/>
                <w:szCs w:val="24"/>
                <w:vertAlign w:val="superscript"/>
              </w:rPr>
              <w:fldChar w:fldCharType="separate"/>
            </w:r>
            <w:r w:rsidRPr="00A94A09" w:rsidR="00E1295A">
              <w:rPr>
                <w:rFonts w:ascii="Times New Roman" w:hAnsi="Times New Roman" w:eastAsia="Times New Roman" w:cs="Times New Roman"/>
                <w:sz w:val="24"/>
                <w:szCs w:val="24"/>
                <w:vertAlign w:val="superscript"/>
              </w:rPr>
              <w:t>14</w:t>
            </w:r>
            <w:r w:rsidRPr="00A94A09" w:rsidR="003B279C">
              <w:rPr>
                <w:rFonts w:ascii="Times New Roman" w:hAnsi="Times New Roman" w:eastAsia="Times New Roman" w:cs="Times New Roman"/>
                <w:sz w:val="24"/>
                <w:szCs w:val="24"/>
                <w:vertAlign w:val="superscript"/>
              </w:rPr>
              <w:fldChar w:fldCharType="end"/>
            </w:r>
          </w:p>
        </w:tc>
        <w:tc>
          <w:tcPr>
            <w:tcW w:w="703" w:type="pct"/>
            <w:vAlign w:val="center"/>
          </w:tcPr>
          <w:p w:rsidRPr="00A94A09" w:rsidR="009C2264" w:rsidP="00A94A09" w:rsidRDefault="009C2264" w14:paraId="0B636F49"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719</w:t>
            </w:r>
          </w:p>
        </w:tc>
        <w:tc>
          <w:tcPr>
            <w:tcW w:w="661" w:type="pct"/>
            <w:vAlign w:val="center"/>
          </w:tcPr>
          <w:p w:rsidRPr="00A94A09" w:rsidR="009C2264" w:rsidP="00A94A09" w:rsidRDefault="009C2264" w14:paraId="00B103D0"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w:t>
            </w:r>
          </w:p>
        </w:tc>
        <w:tc>
          <w:tcPr>
            <w:tcW w:w="661" w:type="pct"/>
            <w:vAlign w:val="center"/>
          </w:tcPr>
          <w:p w:rsidRPr="00A94A09" w:rsidR="009C2264" w:rsidP="00A94A09" w:rsidRDefault="009C2264" w14:paraId="21EBF032"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719</w:t>
            </w:r>
          </w:p>
        </w:tc>
        <w:tc>
          <w:tcPr>
            <w:tcW w:w="826" w:type="pct"/>
            <w:vAlign w:val="center"/>
          </w:tcPr>
          <w:p w:rsidRPr="00A94A09" w:rsidR="009C2264" w:rsidP="00A94A09" w:rsidRDefault="009C2264" w14:paraId="736A7964"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160 hrs.;</w:t>
            </w:r>
          </w:p>
          <w:p w:rsidRPr="00A94A09" w:rsidR="009C2264" w:rsidP="00A94A09" w:rsidRDefault="009C2264" w14:paraId="56BFE4C1"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$14,720</w:t>
            </w:r>
          </w:p>
        </w:tc>
        <w:tc>
          <w:tcPr>
            <w:tcW w:w="993" w:type="pct"/>
            <w:vAlign w:val="center"/>
          </w:tcPr>
          <w:p w:rsidRPr="00A94A09" w:rsidR="009C2264" w:rsidP="00A94A09" w:rsidRDefault="00336CEE" w14:paraId="1AB7A63E" w14:textId="52C44775">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115,040</w:t>
            </w:r>
            <w:r w:rsidRPr="00A94A09" w:rsidR="009C2264">
              <w:rPr>
                <w:rFonts w:ascii="Times New Roman" w:hAnsi="Times New Roman" w:eastAsia="Times New Roman" w:cs="Times New Roman"/>
                <w:sz w:val="24"/>
                <w:szCs w:val="24"/>
              </w:rPr>
              <w:t xml:space="preserve"> hrs.</w:t>
            </w:r>
            <w:r w:rsidRPr="00A94A09" w:rsidR="00E94A62">
              <w:rPr>
                <w:rStyle w:val="FootnoteReference"/>
                <w:rFonts w:ascii="Times New Roman" w:hAnsi="Times New Roman" w:eastAsia="Times New Roman" w:cs="Times New Roman"/>
                <w:sz w:val="24"/>
                <w:szCs w:val="24"/>
                <w:vertAlign w:val="superscript"/>
              </w:rPr>
              <w:footnoteReference w:id="18"/>
            </w:r>
            <w:r w:rsidRPr="00A94A09" w:rsidR="009C2264">
              <w:rPr>
                <w:rFonts w:ascii="Times New Roman" w:hAnsi="Times New Roman" w:eastAsia="Times New Roman" w:cs="Times New Roman"/>
                <w:sz w:val="24"/>
                <w:szCs w:val="24"/>
              </w:rPr>
              <w:t>;</w:t>
            </w:r>
          </w:p>
          <w:p w:rsidRPr="00A94A09" w:rsidR="009C2264" w:rsidP="00A94A09" w:rsidRDefault="009C2264" w14:paraId="1271621B"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$10,583,680</w:t>
            </w:r>
          </w:p>
        </w:tc>
      </w:tr>
      <w:tr w:rsidRPr="009C2264" w:rsidR="00A94A09" w:rsidTr="003C4DC8" w14:paraId="446B07A6" w14:textId="77777777">
        <w:trPr>
          <w:cantSplit/>
          <w:trHeight w:val="179"/>
          <w:tblHeader/>
        </w:trPr>
        <w:tc>
          <w:tcPr>
            <w:tcW w:w="1156" w:type="pct"/>
          </w:tcPr>
          <w:p w:rsidRPr="00A94A09" w:rsidR="009C2264" w:rsidP="009C2264" w:rsidRDefault="009C2264" w14:paraId="3D093E9F" w14:textId="77777777">
            <w:pPr>
              <w:spacing w:after="0" w:line="240" w:lineRule="auto"/>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Maintaining Compliance (ongoing, starting in Year 2)</w:t>
            </w:r>
          </w:p>
        </w:tc>
        <w:tc>
          <w:tcPr>
            <w:tcW w:w="703" w:type="pct"/>
            <w:vAlign w:val="center"/>
          </w:tcPr>
          <w:p w:rsidRPr="00A94A09" w:rsidR="009C2264" w:rsidP="00A94A09" w:rsidRDefault="009C2264" w14:paraId="26B4236B"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719</w:t>
            </w:r>
          </w:p>
        </w:tc>
        <w:tc>
          <w:tcPr>
            <w:tcW w:w="661" w:type="pct"/>
            <w:vAlign w:val="center"/>
          </w:tcPr>
          <w:p w:rsidRPr="00A94A09" w:rsidR="009C2264" w:rsidP="00A94A09" w:rsidRDefault="009C2264" w14:paraId="67BF888D"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1</w:t>
            </w:r>
          </w:p>
        </w:tc>
        <w:tc>
          <w:tcPr>
            <w:tcW w:w="661" w:type="pct"/>
            <w:vAlign w:val="center"/>
          </w:tcPr>
          <w:p w:rsidRPr="00A94A09" w:rsidR="009C2264" w:rsidP="00A94A09" w:rsidRDefault="009C2264" w14:paraId="39E66A68"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719</w:t>
            </w:r>
          </w:p>
        </w:tc>
        <w:tc>
          <w:tcPr>
            <w:tcW w:w="826" w:type="pct"/>
            <w:vAlign w:val="center"/>
          </w:tcPr>
          <w:p w:rsidRPr="00A94A09" w:rsidR="009C2264" w:rsidP="00A94A09" w:rsidRDefault="009C2264" w14:paraId="578CE1CF"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83 hrs.;</w:t>
            </w:r>
          </w:p>
          <w:p w:rsidRPr="00A94A09" w:rsidR="009C2264" w:rsidP="00A94A09" w:rsidRDefault="009C2264" w14:paraId="52BFADB8"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$7,636</w:t>
            </w:r>
          </w:p>
        </w:tc>
        <w:tc>
          <w:tcPr>
            <w:tcW w:w="993" w:type="pct"/>
            <w:vAlign w:val="center"/>
          </w:tcPr>
          <w:p w:rsidRPr="00A94A09" w:rsidR="009C2264" w:rsidP="00A94A09" w:rsidRDefault="009C2264" w14:paraId="1E785EC9"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59,677 hrs.;</w:t>
            </w:r>
          </w:p>
          <w:p w:rsidRPr="00A94A09" w:rsidR="009C2264" w:rsidP="00A94A09" w:rsidRDefault="009C2264" w14:paraId="0AD910ED" w14:textId="77777777">
            <w:pPr>
              <w:spacing w:after="0" w:line="240" w:lineRule="auto"/>
              <w:jc w:val="right"/>
              <w:rPr>
                <w:rFonts w:ascii="Times New Roman" w:hAnsi="Times New Roman" w:eastAsia="Times New Roman" w:cs="Times New Roman"/>
                <w:sz w:val="24"/>
                <w:szCs w:val="24"/>
              </w:rPr>
            </w:pPr>
            <w:r w:rsidRPr="00A94A09">
              <w:rPr>
                <w:rFonts w:ascii="Times New Roman" w:hAnsi="Times New Roman" w:eastAsia="Times New Roman" w:cs="Times New Roman"/>
                <w:sz w:val="24"/>
                <w:szCs w:val="24"/>
              </w:rPr>
              <w:t>$5,490,284</w:t>
            </w:r>
          </w:p>
        </w:tc>
      </w:tr>
      <w:tr w:rsidRPr="009C2264" w:rsidR="00A94A09" w:rsidTr="00A94A09" w14:paraId="1D9DD664" w14:textId="77777777">
        <w:trPr>
          <w:cantSplit/>
          <w:trHeight w:val="179"/>
          <w:tblHeader/>
        </w:trPr>
        <w:tc>
          <w:tcPr>
            <w:tcW w:w="1156" w:type="pct"/>
          </w:tcPr>
          <w:p w:rsidRPr="003C4DC8" w:rsidR="009C2264" w:rsidP="009C2264" w:rsidRDefault="009C2264" w14:paraId="591143F2" w14:textId="77777777">
            <w:pPr>
              <w:spacing w:after="0" w:line="240" w:lineRule="auto"/>
              <w:rPr>
                <w:rFonts w:ascii="Times New Roman" w:hAnsi="Times New Roman" w:eastAsia="Times New Roman" w:cs="Times New Roman"/>
                <w:b/>
                <w:sz w:val="24"/>
                <w:szCs w:val="24"/>
              </w:rPr>
            </w:pPr>
            <w:r w:rsidRPr="003C4DC8">
              <w:rPr>
                <w:rFonts w:ascii="Times New Roman" w:hAnsi="Times New Roman" w:eastAsia="Times New Roman" w:cs="Times New Roman"/>
                <w:b/>
                <w:sz w:val="24"/>
                <w:szCs w:val="24"/>
              </w:rPr>
              <w:t>Total (one-time, in Year 1)</w:t>
            </w:r>
          </w:p>
        </w:tc>
        <w:tc>
          <w:tcPr>
            <w:tcW w:w="1364" w:type="pct"/>
            <w:gridSpan w:val="2"/>
            <w:shd w:val="clear" w:color="auto" w:fill="BFBFBF" w:themeFill="background1" w:themeFillShade="BF"/>
            <w:vAlign w:val="center"/>
          </w:tcPr>
          <w:p w:rsidRPr="003C4DC8" w:rsidR="009C2264" w:rsidP="00A94A09" w:rsidRDefault="009C2264" w14:paraId="06687030" w14:textId="77777777">
            <w:pPr>
              <w:spacing w:after="0" w:line="240" w:lineRule="auto"/>
              <w:jc w:val="right"/>
              <w:rPr>
                <w:rFonts w:ascii="Times New Roman" w:hAnsi="Times New Roman" w:eastAsia="Times New Roman" w:cs="Times New Roman"/>
                <w:sz w:val="24"/>
                <w:szCs w:val="24"/>
              </w:rPr>
            </w:pPr>
          </w:p>
        </w:tc>
        <w:tc>
          <w:tcPr>
            <w:tcW w:w="661" w:type="pct"/>
            <w:vAlign w:val="center"/>
          </w:tcPr>
          <w:p w:rsidRPr="003C4DC8" w:rsidR="009C2264" w:rsidP="00A94A09" w:rsidRDefault="009C2264" w14:paraId="6FA489AC" w14:textId="77777777">
            <w:pPr>
              <w:spacing w:after="0" w:line="240" w:lineRule="auto"/>
              <w:jc w:val="right"/>
              <w:rPr>
                <w:rFonts w:ascii="Times New Roman" w:hAnsi="Times New Roman" w:eastAsia="Times New Roman" w:cs="Times New Roman"/>
                <w:sz w:val="24"/>
                <w:szCs w:val="24"/>
              </w:rPr>
            </w:pPr>
            <w:r w:rsidRPr="003C4DC8">
              <w:rPr>
                <w:rFonts w:ascii="Times New Roman" w:hAnsi="Times New Roman" w:eastAsia="Times New Roman" w:cs="Times New Roman"/>
                <w:sz w:val="24"/>
                <w:szCs w:val="24"/>
              </w:rPr>
              <w:t>2,876</w:t>
            </w:r>
          </w:p>
        </w:tc>
        <w:tc>
          <w:tcPr>
            <w:tcW w:w="826" w:type="pct"/>
            <w:shd w:val="clear" w:color="auto" w:fill="BFBFBF" w:themeFill="background1" w:themeFillShade="BF"/>
            <w:vAlign w:val="center"/>
          </w:tcPr>
          <w:p w:rsidRPr="003C4DC8" w:rsidR="009C2264" w:rsidP="00A94A09" w:rsidRDefault="009C2264" w14:paraId="16427A15" w14:textId="77777777">
            <w:pPr>
              <w:spacing w:after="0" w:line="240" w:lineRule="auto"/>
              <w:jc w:val="right"/>
              <w:rPr>
                <w:rFonts w:ascii="Times New Roman" w:hAnsi="Times New Roman" w:eastAsia="Times New Roman" w:cs="Times New Roman"/>
                <w:sz w:val="24"/>
                <w:szCs w:val="24"/>
              </w:rPr>
            </w:pPr>
          </w:p>
        </w:tc>
        <w:tc>
          <w:tcPr>
            <w:tcW w:w="993" w:type="pct"/>
            <w:vAlign w:val="center"/>
          </w:tcPr>
          <w:p w:rsidRPr="003C4DC8" w:rsidR="009C2264" w:rsidP="00A94A09" w:rsidRDefault="009C2264" w14:paraId="0F522F01" w14:textId="77777777">
            <w:pPr>
              <w:spacing w:after="0" w:line="240" w:lineRule="auto"/>
              <w:jc w:val="right"/>
              <w:rPr>
                <w:rFonts w:ascii="Times New Roman" w:hAnsi="Times New Roman" w:eastAsia="Times New Roman" w:cs="Times New Roman"/>
                <w:sz w:val="24"/>
                <w:szCs w:val="24"/>
              </w:rPr>
            </w:pPr>
            <w:r w:rsidRPr="003C4DC8">
              <w:rPr>
                <w:rFonts w:ascii="Times New Roman" w:hAnsi="Times New Roman" w:eastAsia="Times New Roman" w:cs="Times New Roman"/>
                <w:sz w:val="24"/>
                <w:szCs w:val="24"/>
              </w:rPr>
              <w:t>250,212 hrs.;</w:t>
            </w:r>
          </w:p>
          <w:p w:rsidRPr="003C4DC8" w:rsidR="009C2264" w:rsidP="00A94A09" w:rsidRDefault="009C2264" w14:paraId="5EE1F5C1" w14:textId="77777777">
            <w:pPr>
              <w:spacing w:after="0" w:line="240" w:lineRule="auto"/>
              <w:jc w:val="right"/>
              <w:rPr>
                <w:rFonts w:ascii="Times New Roman" w:hAnsi="Times New Roman" w:eastAsia="Times New Roman" w:cs="Times New Roman"/>
                <w:sz w:val="24"/>
                <w:szCs w:val="24"/>
              </w:rPr>
            </w:pPr>
            <w:r w:rsidRPr="003C4DC8">
              <w:rPr>
                <w:rFonts w:ascii="Times New Roman" w:hAnsi="Times New Roman" w:eastAsia="Times New Roman" w:cs="Times New Roman"/>
                <w:sz w:val="24"/>
                <w:szCs w:val="24"/>
              </w:rPr>
              <w:t>$23,019,504</w:t>
            </w:r>
          </w:p>
        </w:tc>
      </w:tr>
      <w:tr w:rsidRPr="009C2264" w:rsidR="00A94A09" w:rsidTr="00A94A09" w14:paraId="2B54EE04" w14:textId="77777777">
        <w:trPr>
          <w:cantSplit/>
          <w:trHeight w:val="179"/>
          <w:tblHeader/>
        </w:trPr>
        <w:tc>
          <w:tcPr>
            <w:tcW w:w="1156" w:type="pct"/>
          </w:tcPr>
          <w:p w:rsidRPr="003C4DC8" w:rsidR="009C2264" w:rsidP="009C2264" w:rsidRDefault="009C2264" w14:paraId="4B3675AC" w14:textId="77777777">
            <w:pPr>
              <w:spacing w:after="0" w:line="240" w:lineRule="auto"/>
              <w:rPr>
                <w:rFonts w:ascii="Times New Roman" w:hAnsi="Times New Roman" w:eastAsia="Times New Roman" w:cs="Times New Roman"/>
                <w:b/>
                <w:sz w:val="24"/>
                <w:szCs w:val="24"/>
              </w:rPr>
            </w:pPr>
            <w:r w:rsidRPr="003C4DC8">
              <w:rPr>
                <w:rFonts w:ascii="Times New Roman" w:hAnsi="Times New Roman" w:eastAsia="Times New Roman" w:cs="Times New Roman"/>
                <w:b/>
                <w:sz w:val="24"/>
                <w:szCs w:val="24"/>
              </w:rPr>
              <w:t>Total (ongoing, starting in Year 2)</w:t>
            </w:r>
          </w:p>
        </w:tc>
        <w:tc>
          <w:tcPr>
            <w:tcW w:w="1364" w:type="pct"/>
            <w:gridSpan w:val="2"/>
            <w:shd w:val="clear" w:color="auto" w:fill="BFBFBF" w:themeFill="background1" w:themeFillShade="BF"/>
            <w:vAlign w:val="center"/>
          </w:tcPr>
          <w:p w:rsidRPr="003C4DC8" w:rsidR="009C2264" w:rsidP="00A94A09" w:rsidRDefault="009C2264" w14:paraId="034D1BEF" w14:textId="77777777">
            <w:pPr>
              <w:spacing w:after="0" w:line="240" w:lineRule="auto"/>
              <w:jc w:val="right"/>
              <w:rPr>
                <w:rFonts w:ascii="Times New Roman" w:hAnsi="Times New Roman" w:eastAsia="Times New Roman" w:cs="Times New Roman"/>
                <w:sz w:val="24"/>
                <w:szCs w:val="24"/>
              </w:rPr>
            </w:pPr>
          </w:p>
        </w:tc>
        <w:tc>
          <w:tcPr>
            <w:tcW w:w="661" w:type="pct"/>
            <w:vAlign w:val="center"/>
          </w:tcPr>
          <w:p w:rsidRPr="003C4DC8" w:rsidR="009C2264" w:rsidP="00A94A09" w:rsidRDefault="009C2264" w14:paraId="40354823" w14:textId="77777777">
            <w:pPr>
              <w:spacing w:after="0" w:line="240" w:lineRule="auto"/>
              <w:jc w:val="right"/>
              <w:rPr>
                <w:rFonts w:ascii="Times New Roman" w:hAnsi="Times New Roman" w:eastAsia="Times New Roman" w:cs="Times New Roman"/>
                <w:sz w:val="24"/>
                <w:szCs w:val="24"/>
              </w:rPr>
            </w:pPr>
            <w:r w:rsidRPr="003C4DC8">
              <w:rPr>
                <w:rFonts w:ascii="Times New Roman" w:hAnsi="Times New Roman" w:eastAsia="Times New Roman" w:cs="Times New Roman"/>
                <w:sz w:val="24"/>
                <w:szCs w:val="24"/>
              </w:rPr>
              <w:t>719</w:t>
            </w:r>
          </w:p>
        </w:tc>
        <w:tc>
          <w:tcPr>
            <w:tcW w:w="826" w:type="pct"/>
            <w:shd w:val="clear" w:color="auto" w:fill="BFBFBF" w:themeFill="background1" w:themeFillShade="BF"/>
            <w:vAlign w:val="center"/>
          </w:tcPr>
          <w:p w:rsidRPr="003C4DC8" w:rsidR="009C2264" w:rsidP="00A94A09" w:rsidRDefault="009C2264" w14:paraId="571D35EA" w14:textId="77777777">
            <w:pPr>
              <w:spacing w:after="0" w:line="240" w:lineRule="auto"/>
              <w:jc w:val="right"/>
              <w:rPr>
                <w:rFonts w:ascii="Times New Roman" w:hAnsi="Times New Roman" w:eastAsia="Times New Roman" w:cs="Times New Roman"/>
                <w:sz w:val="24"/>
                <w:szCs w:val="24"/>
              </w:rPr>
            </w:pPr>
          </w:p>
        </w:tc>
        <w:tc>
          <w:tcPr>
            <w:tcW w:w="993" w:type="pct"/>
            <w:vAlign w:val="center"/>
          </w:tcPr>
          <w:p w:rsidRPr="003C4DC8" w:rsidR="009C2264" w:rsidP="00A94A09" w:rsidRDefault="009C2264" w14:paraId="16AA42A1" w14:textId="77777777">
            <w:pPr>
              <w:spacing w:after="0" w:line="240" w:lineRule="auto"/>
              <w:jc w:val="right"/>
              <w:rPr>
                <w:rFonts w:ascii="Times New Roman" w:hAnsi="Times New Roman" w:eastAsia="Times New Roman" w:cs="Times New Roman"/>
                <w:sz w:val="24"/>
                <w:szCs w:val="24"/>
              </w:rPr>
            </w:pPr>
            <w:r w:rsidRPr="003C4DC8">
              <w:rPr>
                <w:rFonts w:ascii="Times New Roman" w:hAnsi="Times New Roman" w:eastAsia="Times New Roman" w:cs="Times New Roman"/>
                <w:sz w:val="24"/>
                <w:szCs w:val="24"/>
              </w:rPr>
              <w:t>59,677 hrs.;</w:t>
            </w:r>
          </w:p>
          <w:p w:rsidRPr="003C4DC8" w:rsidR="009C2264" w:rsidP="00A94A09" w:rsidRDefault="009C2264" w14:paraId="1CCACE31" w14:textId="77777777">
            <w:pPr>
              <w:spacing w:after="0" w:line="240" w:lineRule="auto"/>
              <w:jc w:val="right"/>
              <w:rPr>
                <w:rFonts w:ascii="Times New Roman" w:hAnsi="Times New Roman" w:eastAsia="Times New Roman" w:cs="Times New Roman"/>
                <w:sz w:val="24"/>
                <w:szCs w:val="24"/>
              </w:rPr>
            </w:pPr>
            <w:r w:rsidRPr="003C4DC8">
              <w:rPr>
                <w:rFonts w:ascii="Times New Roman" w:hAnsi="Times New Roman" w:eastAsia="Times New Roman" w:cs="Times New Roman"/>
                <w:sz w:val="24"/>
                <w:szCs w:val="24"/>
              </w:rPr>
              <w:t>$5,490,284</w:t>
            </w:r>
          </w:p>
        </w:tc>
      </w:tr>
    </w:tbl>
    <w:p w:rsidRPr="009C2264" w:rsidR="009C2264" w:rsidP="00297207" w:rsidRDefault="009C2264" w14:paraId="7AF5549A" w14:textId="77777777">
      <w:pPr>
        <w:spacing w:after="0" w:line="240" w:lineRule="auto"/>
        <w:rPr>
          <w:rFonts w:ascii="Times New Roman" w:hAnsi="Times New Roman" w:eastAsia="Times New Roman" w:cs="Times New Roman"/>
          <w:sz w:val="26"/>
          <w:szCs w:val="24"/>
        </w:rPr>
      </w:pPr>
    </w:p>
    <w:p w:rsidR="00AB7108" w:rsidP="00297207" w:rsidRDefault="00AB7108" w14:paraId="3A16887D" w14:textId="44F1B8C0">
      <w:pPr>
        <w:tabs>
          <w:tab w:val="num" w:pos="990"/>
        </w:tabs>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In Year 1, we estimate 2,876 responses and 250,212 burden hours (one-time).  For Year 2 and Year 3, we estimate 719 responses and 59,677 burden hours (ongoing) each.  Averaging the responses and burden hours over Years 1-3, we get </w:t>
      </w:r>
      <w:r w:rsidR="00770A7C">
        <w:rPr>
          <w:rFonts w:ascii="Times New Roman" w:hAnsi="Times New Roman" w:eastAsia="Calibri" w:cs="Times New Roman"/>
          <w:sz w:val="24"/>
          <w:szCs w:val="24"/>
        </w:rPr>
        <w:t xml:space="preserve">estimated </w:t>
      </w:r>
      <w:r>
        <w:rPr>
          <w:rFonts w:ascii="Times New Roman" w:hAnsi="Times New Roman" w:eastAsia="Calibri" w:cs="Times New Roman"/>
          <w:sz w:val="24"/>
          <w:szCs w:val="24"/>
        </w:rPr>
        <w:t>annual averages of:</w:t>
      </w:r>
    </w:p>
    <w:p w:rsidR="00AB7108" w:rsidP="00AB7108" w:rsidRDefault="00AB7108" w14:paraId="04FFC173" w14:textId="44E29A15">
      <w:pPr>
        <w:pStyle w:val="ListParagraph"/>
        <w:numPr>
          <w:ilvl w:val="0"/>
          <w:numId w:val="29"/>
        </w:num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1,438 responses [(2,876+719+719)/3] per year</w:t>
      </w:r>
    </w:p>
    <w:p w:rsidR="00AB7108" w:rsidP="00AB7108" w:rsidRDefault="00AB7108" w14:paraId="321726EA" w14:textId="06B9ED9C">
      <w:pPr>
        <w:pStyle w:val="ListParagraph"/>
        <w:numPr>
          <w:ilvl w:val="0"/>
          <w:numId w:val="29"/>
        </w:num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123,188.67 burden hours [(250,212+59,677+59,677)/3] per year.</w:t>
      </w:r>
    </w:p>
    <w:p w:rsidRPr="004474E2" w:rsidR="00AB7108" w:rsidP="004474E2" w:rsidRDefault="00AB7108" w14:paraId="7735AA58" w14:textId="40AD2FA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These average annual figures over Years 1-3 will be used in ROCIS and reginfo.gov.</w:t>
      </w:r>
    </w:p>
    <w:p w:rsidR="00AB7108" w:rsidP="00297207" w:rsidRDefault="00AB7108" w14:paraId="5BCDB849" w14:textId="77777777">
      <w:pPr>
        <w:tabs>
          <w:tab w:val="num" w:pos="990"/>
        </w:tabs>
        <w:spacing w:after="0" w:line="240" w:lineRule="auto"/>
        <w:rPr>
          <w:rFonts w:ascii="Times New Roman" w:hAnsi="Times New Roman" w:eastAsia="Calibri" w:cs="Times New Roman"/>
          <w:sz w:val="24"/>
          <w:szCs w:val="24"/>
        </w:rPr>
      </w:pPr>
    </w:p>
    <w:p w:rsidRPr="004320D5" w:rsidR="00E2173D" w:rsidP="00E2173D" w:rsidRDefault="00E2173D" w14:paraId="2AF93B66" w14:textId="77777777">
      <w:pPr>
        <w:spacing w:after="0"/>
        <w:rPr>
          <w:rFonts w:ascii="Times New Roman" w:hAnsi="Times New Roman" w:eastAsia="Times New Roman" w:cs="Times New Roman"/>
          <w:sz w:val="24"/>
          <w:szCs w:val="24"/>
        </w:rPr>
      </w:pPr>
    </w:p>
    <w:p w:rsidRPr="009864F8" w:rsidR="0015264C" w:rsidP="004474E2" w:rsidRDefault="009864F8" w14:paraId="0936A624" w14:textId="5ECB143C">
      <w:pPr>
        <w:pStyle w:val="FERCparanumber"/>
        <w:widowControl/>
        <w:numPr>
          <w:ilvl w:val="0"/>
          <w:numId w:val="0"/>
        </w:numPr>
        <w:tabs>
          <w:tab w:val="left" w:pos="720"/>
        </w:tabs>
        <w:rPr>
          <w:rFonts w:ascii="Times New Roman" w:hAnsi="Times New Roman" w:cs="Times New Roman"/>
        </w:rPr>
      </w:pPr>
      <w:r w:rsidRPr="004320D5">
        <w:rPr>
          <w:rFonts w:ascii="Times New Roman" w:hAnsi="Times New Roman" w:eastAsia="Times New Roman" w:cs="Times New Roman"/>
        </w:rPr>
        <w:t xml:space="preserve">The paperwork burden estimate includes costs associated with the initial development of a policy to address requirements relating to:  (1) developing the </w:t>
      </w:r>
      <w:r w:rsidR="00A52344">
        <w:rPr>
          <w:rFonts w:ascii="Times New Roman" w:hAnsi="Times New Roman" w:eastAsia="Times New Roman" w:cs="Times New Roman"/>
        </w:rPr>
        <w:t>d</w:t>
      </w:r>
      <w:r w:rsidRPr="00A52344" w:rsidR="00A52344">
        <w:rPr>
          <w:rFonts w:ascii="Times New Roman" w:hAnsi="Times New Roman" w:eastAsia="Times New Roman" w:cs="Times New Roman"/>
        </w:rPr>
        <w:t xml:space="preserve">ocumented </w:t>
      </w:r>
      <w:r w:rsidR="00A52344">
        <w:rPr>
          <w:rFonts w:ascii="Times New Roman" w:hAnsi="Times New Roman" w:eastAsia="Times New Roman" w:cs="Times New Roman"/>
        </w:rPr>
        <w:t>p</w:t>
      </w:r>
      <w:r w:rsidRPr="00A52344" w:rsidR="00A52344">
        <w:rPr>
          <w:rFonts w:ascii="Times New Roman" w:hAnsi="Times New Roman" w:eastAsia="Times New Roman" w:cs="Times New Roman"/>
        </w:rPr>
        <w:t>lan</w:t>
      </w:r>
      <w:r w:rsidR="00A52344">
        <w:rPr>
          <w:rFonts w:ascii="Times New Roman" w:hAnsi="Times New Roman" w:eastAsia="Times New Roman" w:cs="Times New Roman"/>
        </w:rPr>
        <w:t xml:space="preserve">s to protect the </w:t>
      </w:r>
      <w:r w:rsidRPr="00A52344" w:rsidR="00A52344">
        <w:rPr>
          <w:rFonts w:ascii="Times New Roman" w:hAnsi="Times New Roman" w:eastAsia="Times New Roman" w:cs="Times New Roman"/>
        </w:rPr>
        <w:t>communications</w:t>
      </w:r>
      <w:r w:rsidRPr="00A52344" w:rsidR="00A52344">
        <w:rPr>
          <w:rFonts w:ascii="Times New Roman" w:hAnsi="Times New Roman" w:cs="Times New Roman"/>
        </w:rPr>
        <w:t xml:space="preserve"> links and sensitive bulk electric system data communicated between bulk electric system Control Centers</w:t>
      </w:r>
      <w:r w:rsidRPr="004320D5">
        <w:rPr>
          <w:rFonts w:ascii="Times New Roman" w:hAnsi="Times New Roman" w:eastAsia="Times New Roman" w:cs="Times New Roman"/>
        </w:rPr>
        <w:t xml:space="preserve">; (2) </w:t>
      </w:r>
      <w:r w:rsidRPr="004320D5" w:rsidR="00A52344">
        <w:rPr>
          <w:rFonts w:ascii="Times New Roman" w:hAnsi="Times New Roman" w:eastAsia="Times New Roman" w:cs="Times New Roman"/>
        </w:rPr>
        <w:t xml:space="preserve">developing </w:t>
      </w:r>
      <w:r w:rsidR="00D56FB6">
        <w:rPr>
          <w:rFonts w:ascii="Times New Roman" w:hAnsi="Times New Roman" w:eastAsia="Times New Roman" w:cs="Times New Roman"/>
        </w:rPr>
        <w:t xml:space="preserve">and documenting </w:t>
      </w:r>
      <w:r w:rsidRPr="004320D5" w:rsidR="00A52344">
        <w:rPr>
          <w:rFonts w:ascii="Times New Roman" w:hAnsi="Times New Roman" w:eastAsia="Times New Roman" w:cs="Times New Roman"/>
        </w:rPr>
        <w:t>the</w:t>
      </w:r>
      <w:r w:rsidR="00A52344">
        <w:rPr>
          <w:rFonts w:ascii="Times New Roman" w:hAnsi="Times New Roman" w:eastAsia="Times New Roman" w:cs="Times New Roman"/>
        </w:rPr>
        <w:t xml:space="preserve"> </w:t>
      </w:r>
      <w:r w:rsidR="00D56FB6">
        <w:rPr>
          <w:rFonts w:ascii="Times New Roman" w:hAnsi="Times New Roman" w:eastAsia="Times New Roman" w:cs="Times New Roman"/>
        </w:rPr>
        <w:t>i</w:t>
      </w:r>
      <w:r w:rsidRPr="00D56FB6" w:rsidR="00D56FB6">
        <w:rPr>
          <w:rFonts w:ascii="Times New Roman" w:hAnsi="Times New Roman" w:eastAsia="Times New Roman" w:cs="Times New Roman"/>
        </w:rPr>
        <w:t xml:space="preserve">dentification of </w:t>
      </w:r>
      <w:r w:rsidR="00D56FB6">
        <w:rPr>
          <w:rFonts w:ascii="Times New Roman" w:hAnsi="Times New Roman" w:eastAsia="Times New Roman" w:cs="Times New Roman"/>
        </w:rPr>
        <w:t>s</w:t>
      </w:r>
      <w:r w:rsidRPr="00D56FB6" w:rsidR="00D56FB6">
        <w:rPr>
          <w:rFonts w:ascii="Times New Roman" w:hAnsi="Times New Roman" w:eastAsia="Times New Roman" w:cs="Times New Roman"/>
        </w:rPr>
        <w:t xml:space="preserve">ecurity </w:t>
      </w:r>
      <w:r w:rsidR="00D56FB6">
        <w:rPr>
          <w:rFonts w:ascii="Times New Roman" w:hAnsi="Times New Roman" w:eastAsia="Times New Roman" w:cs="Times New Roman"/>
        </w:rPr>
        <w:t>p</w:t>
      </w:r>
      <w:r w:rsidRPr="00D56FB6" w:rsidR="00D56FB6">
        <w:rPr>
          <w:rFonts w:ascii="Times New Roman" w:hAnsi="Times New Roman" w:eastAsia="Times New Roman" w:cs="Times New Roman"/>
        </w:rPr>
        <w:t xml:space="preserve">rotection </w:t>
      </w:r>
      <w:r w:rsidR="005255E2">
        <w:rPr>
          <w:rFonts w:ascii="Times New Roman" w:hAnsi="Times New Roman" w:eastAsia="Times New Roman" w:cs="Times New Roman"/>
        </w:rPr>
        <w:t>;</w:t>
      </w:r>
      <w:r w:rsidRPr="004320D5">
        <w:rPr>
          <w:rFonts w:ascii="Times New Roman" w:hAnsi="Times New Roman" w:eastAsia="Times New Roman" w:cs="Times New Roman"/>
        </w:rPr>
        <w:t xml:space="preserve"> (3</w:t>
      </w:r>
      <w:r w:rsidRPr="00D56FB6" w:rsidR="00D56FB6">
        <w:rPr>
          <w:rFonts w:ascii="Times New Roman" w:hAnsi="Times New Roman" w:eastAsia="Times New Roman" w:cs="Times New Roman"/>
        </w:rPr>
        <w:t xml:space="preserve"> </w:t>
      </w:r>
      <w:r w:rsidRPr="004320D5" w:rsidR="00D56FB6">
        <w:rPr>
          <w:rFonts w:ascii="Times New Roman" w:hAnsi="Times New Roman" w:eastAsia="Times New Roman" w:cs="Times New Roman"/>
        </w:rPr>
        <w:t xml:space="preserve">developing </w:t>
      </w:r>
      <w:r w:rsidR="00D56FB6">
        <w:rPr>
          <w:rFonts w:ascii="Times New Roman" w:hAnsi="Times New Roman" w:eastAsia="Times New Roman" w:cs="Times New Roman"/>
        </w:rPr>
        <w:t>and documenting</w:t>
      </w:r>
      <w:r w:rsidRPr="00D56FB6" w:rsidR="00D56FB6">
        <w:t xml:space="preserve"> </w:t>
      </w:r>
      <w:r w:rsidR="00D56FB6">
        <w:t>m</w:t>
      </w:r>
      <w:r w:rsidRPr="00D56FB6" w:rsidR="00D56FB6">
        <w:rPr>
          <w:rFonts w:ascii="Times New Roman" w:hAnsi="Times New Roman" w:eastAsia="Times New Roman" w:cs="Times New Roman"/>
        </w:rPr>
        <w:t xml:space="preserve">aintaining </w:t>
      </w:r>
      <w:r w:rsidR="00D56FB6">
        <w:rPr>
          <w:rFonts w:ascii="Times New Roman" w:hAnsi="Times New Roman" w:eastAsia="Times New Roman" w:cs="Times New Roman"/>
        </w:rPr>
        <w:t>c</w:t>
      </w:r>
      <w:r w:rsidRPr="00D56FB6" w:rsidR="00D56FB6">
        <w:rPr>
          <w:rFonts w:ascii="Times New Roman" w:hAnsi="Times New Roman" w:eastAsia="Times New Roman" w:cs="Times New Roman"/>
        </w:rPr>
        <w:t>ompliance</w:t>
      </w:r>
      <w:r w:rsidRPr="004320D5">
        <w:rPr>
          <w:rFonts w:ascii="Times New Roman" w:hAnsi="Times New Roman" w:eastAsia="Times New Roman" w:cs="Times New Roman"/>
        </w:rPr>
        <w:t xml:space="preserve">.  Further, the estimate reflects the assumption that costs incurred in year 1 will pertain to plan and procedure development, while costs in years 2 and 3 will reflect the burden associated with maintaining the </w:t>
      </w:r>
      <w:r w:rsidR="00D56FB6">
        <w:rPr>
          <w:rFonts w:ascii="Times New Roman" w:hAnsi="Times New Roman" w:eastAsia="Times New Roman" w:cs="Times New Roman"/>
        </w:rPr>
        <w:t xml:space="preserve">protection of the </w:t>
      </w:r>
      <w:r w:rsidRPr="00A52344" w:rsidR="00D56FB6">
        <w:rPr>
          <w:rFonts w:ascii="Times New Roman" w:hAnsi="Times New Roman" w:eastAsia="Times New Roman" w:cs="Times New Roman"/>
        </w:rPr>
        <w:t>communications</w:t>
      </w:r>
      <w:r w:rsidRPr="00A52344" w:rsidR="00D56FB6">
        <w:rPr>
          <w:rFonts w:ascii="Times New Roman" w:hAnsi="Times New Roman" w:cs="Times New Roman"/>
        </w:rPr>
        <w:t xml:space="preserve"> links and sensitive bulk electric system data </w:t>
      </w:r>
      <w:r w:rsidRPr="009864F8">
        <w:rPr>
          <w:rFonts w:ascii="Times New Roman" w:hAnsi="Times New Roman" w:cs="Times New Roman"/>
        </w:rPr>
        <w:t>.</w:t>
      </w:r>
    </w:p>
    <w:p w:rsidRPr="00B51BB8" w:rsidR="00800420" w:rsidP="00A83705" w:rsidRDefault="00800420" w14:paraId="0E762A5D" w14:textId="77777777">
      <w:pPr>
        <w:pStyle w:val="FERCparanumber"/>
        <w:widowControl/>
        <w:numPr>
          <w:ilvl w:val="0"/>
          <w:numId w:val="0"/>
        </w:numPr>
        <w:tabs>
          <w:tab w:val="left" w:pos="720"/>
        </w:tabs>
        <w:rPr>
          <w:rFonts w:ascii="Times New Roman" w:hAnsi="Times New Roman" w:cs="Times New Roman"/>
        </w:rPr>
      </w:pPr>
    </w:p>
    <w:p w:rsidRPr="00B51BB8" w:rsidR="00C4205B" w:rsidP="005E2448" w:rsidRDefault="00C4205B" w14:paraId="6643FAFD"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rsidRPr="00B51BB8" w:rsidR="002359F6" w:rsidP="002A4142" w:rsidRDefault="002359F6" w14:paraId="5900A782" w14:textId="77777777">
      <w:pPr>
        <w:spacing w:after="0" w:line="240" w:lineRule="auto"/>
        <w:rPr>
          <w:rFonts w:ascii="Times New Roman" w:hAnsi="Times New Roman" w:cs="Times New Roman"/>
          <w:sz w:val="24"/>
          <w:szCs w:val="24"/>
        </w:rPr>
      </w:pPr>
    </w:p>
    <w:p w:rsidRPr="00B51BB8" w:rsidR="002359F6" w:rsidP="002A4142" w:rsidRDefault="002359F6" w14:paraId="0926F9C6"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p>
    <w:p w:rsidRPr="00B51BB8" w:rsidR="002359F6" w:rsidP="002A4142" w:rsidRDefault="002359F6" w14:paraId="3748E8B6" w14:textId="77777777">
      <w:pPr>
        <w:spacing w:after="0" w:line="240" w:lineRule="auto"/>
        <w:rPr>
          <w:rFonts w:ascii="Times New Roman" w:hAnsi="Times New Roman" w:cs="Times New Roman"/>
          <w:sz w:val="24"/>
          <w:szCs w:val="24"/>
        </w:rPr>
      </w:pPr>
    </w:p>
    <w:p w:rsidRPr="00B51BB8" w:rsidR="002359F6" w:rsidP="002A4142" w:rsidRDefault="002359F6" w14:paraId="03146869" w14:textId="77777777">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rsidRPr="00B51BB8" w:rsidR="002359F6" w:rsidP="002A4142" w:rsidRDefault="002359F6" w14:paraId="40F632E6" w14:textId="77777777">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rsidRPr="00B51BB8" w:rsidR="002359F6" w:rsidP="002A4142" w:rsidRDefault="002359F6" w14:paraId="400B8895" w14:textId="77777777">
      <w:pPr>
        <w:spacing w:after="0" w:line="240" w:lineRule="auto"/>
        <w:rPr>
          <w:rFonts w:ascii="Times New Roman" w:hAnsi="Times New Roman" w:cs="Times New Roman"/>
          <w:sz w:val="24"/>
          <w:szCs w:val="24"/>
        </w:rPr>
      </w:pPr>
    </w:p>
    <w:p w:rsidRPr="00B51BB8" w:rsidR="002359F6" w:rsidP="002A4142" w:rsidRDefault="00675A46" w14:paraId="1583A39C" w14:textId="7348D7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of the costs </w:t>
      </w:r>
      <w:r w:rsidR="005F55AB">
        <w:rPr>
          <w:rFonts w:ascii="Times New Roman" w:hAnsi="Times New Roman" w:cs="Times New Roman"/>
          <w:sz w:val="24"/>
          <w:szCs w:val="24"/>
        </w:rPr>
        <w:t>due to this Final Rule</w:t>
      </w:r>
      <w:r w:rsidRPr="00B51BB8" w:rsidR="005F55AB">
        <w:rPr>
          <w:rFonts w:ascii="Times New Roman" w:hAnsi="Times New Roman" w:cs="Times New Roman"/>
          <w:sz w:val="24"/>
          <w:szCs w:val="24"/>
        </w:rPr>
        <w:t xml:space="preserve"> </w:t>
      </w:r>
      <w:r w:rsidRPr="00B51BB8" w:rsidR="002359F6">
        <w:rPr>
          <w:rFonts w:ascii="Times New Roman" w:hAnsi="Times New Roman" w:cs="Times New Roman"/>
          <w:sz w:val="24"/>
          <w:szCs w:val="24"/>
        </w:rPr>
        <w:t xml:space="preserve">are associated with burden hours (labor) and described in Questions #12 and #15 in this supporting statement. </w:t>
      </w:r>
    </w:p>
    <w:p w:rsidRPr="00B51BB8" w:rsidR="003C19D0" w:rsidP="005D011E" w:rsidRDefault="003C19D0" w14:paraId="7628453A" w14:textId="77777777">
      <w:pPr>
        <w:spacing w:after="0" w:line="240" w:lineRule="auto"/>
        <w:rPr>
          <w:rFonts w:ascii="Times New Roman" w:hAnsi="Times New Roman" w:cs="Times New Roman"/>
          <w:sz w:val="24"/>
          <w:szCs w:val="24"/>
        </w:rPr>
      </w:pPr>
    </w:p>
    <w:p w:rsidRPr="00B51BB8" w:rsidR="00C4205B" w:rsidP="007C39D3" w:rsidRDefault="00C4205B" w14:paraId="01F4ACB3"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rsidRPr="00B51BB8" w:rsidR="00C4205B" w:rsidP="0007783F" w:rsidRDefault="00C4205B" w14:paraId="2291EE6D" w14:textId="77777777">
      <w:pPr>
        <w:spacing w:after="0" w:line="240" w:lineRule="auto"/>
        <w:rPr>
          <w:rFonts w:ascii="Times New Roman" w:hAnsi="Times New Roman" w:cs="Times New Roman"/>
          <w:b/>
          <w:bCs/>
          <w:sz w:val="24"/>
          <w:szCs w:val="24"/>
        </w:rPr>
      </w:pPr>
    </w:p>
    <w:p w:rsidR="009922B2" w:rsidP="0007783F" w:rsidRDefault="005F55AB" w14:paraId="53748332" w14:textId="6C724500">
      <w:pPr>
        <w:spacing w:after="0" w:line="240" w:lineRule="auto"/>
        <w:rPr>
          <w:rFonts w:ascii="Times New Roman" w:hAnsi="Times New Roman" w:cs="Times New Roman"/>
          <w:sz w:val="24"/>
          <w:szCs w:val="24"/>
        </w:rPr>
      </w:pPr>
      <w:r w:rsidRPr="005F55AB">
        <w:rPr>
          <w:rFonts w:ascii="Times New Roman" w:hAnsi="Times New Roman" w:cs="Times New Roman"/>
          <w:sz w:val="24"/>
          <w:szCs w:val="24"/>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r w:rsidRPr="009922B2" w:rsidR="009922B2">
        <w:rPr>
          <w:rFonts w:ascii="Times New Roman" w:hAnsi="Times New Roman" w:cs="Times New Roman"/>
          <w:sz w:val="24"/>
          <w:szCs w:val="24"/>
        </w:rPr>
        <w:t>The d</w:t>
      </w:r>
      <w:r w:rsidR="00797852">
        <w:rPr>
          <w:rFonts w:ascii="Times New Roman" w:hAnsi="Times New Roman" w:cs="Times New Roman"/>
          <w:sz w:val="24"/>
          <w:szCs w:val="24"/>
        </w:rPr>
        <w:t>ata are not submitted to FERC.</w:t>
      </w:r>
    </w:p>
    <w:p w:rsidRPr="009922B2" w:rsidR="009922B2" w:rsidP="0007783F" w:rsidRDefault="009922B2" w14:paraId="37D9FD77" w14:textId="77777777">
      <w:pPr>
        <w:spacing w:after="0" w:line="240" w:lineRule="auto"/>
        <w:rPr>
          <w:rFonts w:ascii="Times New Roman" w:hAnsi="Times New Roman" w:cs="Times New Roman"/>
          <w:sz w:val="24"/>
          <w:szCs w:val="24"/>
        </w:rPr>
      </w:pPr>
    </w:p>
    <w:p w:rsidR="002359F6" w:rsidP="0007783F" w:rsidRDefault="00BC3F97" w14:paraId="40DD9213" w14:textId="7CB7A394">
      <w:pPr>
        <w:spacing w:after="0" w:line="240" w:lineRule="auto"/>
        <w:rPr>
          <w:rFonts w:ascii="Times New Roman" w:hAnsi="Times New Roman" w:cs="Times New Roman"/>
          <w:sz w:val="24"/>
          <w:szCs w:val="24"/>
        </w:rPr>
      </w:pPr>
      <w:r w:rsidRPr="00BC3F97">
        <w:rPr>
          <w:rFonts w:ascii="Times New Roman" w:hAnsi="Times New Roman" w:cs="Times New Roman"/>
          <w:sz w:val="24"/>
          <w:szCs w:val="24"/>
        </w:rPr>
        <w:t>The Commission does incur the costs associated with obtai</w:t>
      </w:r>
      <w:r>
        <w:rPr>
          <w:rFonts w:ascii="Times New Roman" w:hAnsi="Times New Roman" w:cs="Times New Roman"/>
          <w:sz w:val="24"/>
          <w:szCs w:val="24"/>
        </w:rPr>
        <w:t xml:space="preserve">ning OMB clearance </w:t>
      </w:r>
      <w:r w:rsidRPr="00BC3F97">
        <w:rPr>
          <w:rFonts w:ascii="Times New Roman" w:hAnsi="Times New Roman" w:cs="Times New Roman"/>
          <w:sz w:val="24"/>
          <w:szCs w:val="24"/>
        </w:rPr>
        <w:t xml:space="preserve">under the Paperwork Reduction Act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w:t>
      </w:r>
      <w:r w:rsidRPr="00BC3F97">
        <w:rPr>
          <w:rFonts w:ascii="Times New Roman" w:hAnsi="Times New Roman" w:cs="Times New Roman"/>
          <w:sz w:val="24"/>
          <w:szCs w:val="24"/>
        </w:rPr>
        <w:lastRenderedPageBreak/>
        <w:t xml:space="preserve">rulemakings and orders, other changes to the collection, and associated publications in the Federal Register. </w:t>
      </w:r>
    </w:p>
    <w:p w:rsidRPr="00B51BB8" w:rsidR="00BC3F97" w:rsidP="0007783F" w:rsidRDefault="00BC3F97" w14:paraId="0F39C68F" w14:textId="77777777">
      <w:pPr>
        <w:spacing w:after="0" w:line="240" w:lineRule="auto"/>
        <w:rPr>
          <w:rFonts w:ascii="Times New Roman" w:hAnsi="Times New Roman" w:cs="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B51BB8" w:rsidR="002359F6" w:rsidTr="002359F6" w14:paraId="74760D27" w14:textId="77777777">
        <w:tc>
          <w:tcPr>
            <w:tcW w:w="3182" w:type="dxa"/>
            <w:tcBorders>
              <w:top w:val="single" w:color="auto" w:sz="4" w:space="0"/>
              <w:left w:val="single" w:color="auto" w:sz="4" w:space="0"/>
              <w:bottom w:val="single" w:color="auto" w:sz="4" w:space="0"/>
              <w:right w:val="single" w:color="auto" w:sz="4" w:space="0"/>
            </w:tcBorders>
            <w:shd w:val="clear" w:color="auto" w:fill="CCCCCC"/>
            <w:hideMark/>
          </w:tcPr>
          <w:p w:rsidRPr="00B51BB8" w:rsidR="002359F6" w:rsidP="007C39D3" w:rsidRDefault="00675A46" w14:paraId="368325C1" w14:textId="74DC5114">
            <w:pPr>
              <w:spacing w:after="0" w:line="240" w:lineRule="auto"/>
              <w:rPr>
                <w:rFonts w:ascii="Times New Roman" w:hAnsi="Times New Roman" w:cs="Times New Roman"/>
                <w:b/>
                <w:sz w:val="24"/>
                <w:szCs w:val="24"/>
              </w:rPr>
            </w:pPr>
            <w:r>
              <w:rPr>
                <w:rFonts w:ascii="Times New Roman" w:hAnsi="Times New Roman" w:cs="Times New Roman"/>
                <w:b/>
                <w:sz w:val="24"/>
                <w:szCs w:val="24"/>
              </w:rPr>
              <w:t>FERC-725B</w:t>
            </w: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B51BB8" w:rsidR="002359F6" w:rsidP="005E2448" w:rsidRDefault="002359F6" w14:paraId="604C33BB"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B51BB8" w:rsidR="002359F6" w:rsidP="002A4142" w:rsidRDefault="002359F6" w14:paraId="666965DF"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Pr="00B51BB8" w:rsidR="002359F6" w:rsidTr="002359F6" w14:paraId="3E7BA932" w14:textId="77777777">
        <w:tc>
          <w:tcPr>
            <w:tcW w:w="3182" w:type="dxa"/>
            <w:tcBorders>
              <w:top w:val="single" w:color="auto" w:sz="4" w:space="0"/>
              <w:left w:val="single" w:color="auto" w:sz="4" w:space="0"/>
              <w:bottom w:val="single" w:color="auto" w:sz="4" w:space="0"/>
              <w:right w:val="single" w:color="auto" w:sz="4" w:space="0"/>
            </w:tcBorders>
            <w:hideMark/>
          </w:tcPr>
          <w:p w:rsidRPr="00B51BB8" w:rsidR="002359F6" w:rsidP="00E66667" w:rsidRDefault="002359F6" w14:paraId="6FE375A5" w14:textId="01D52A7A">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Analysis </w:t>
            </w:r>
            <w:r w:rsidR="005F55AB">
              <w:rPr>
                <w:rFonts w:ascii="Times New Roman" w:hAnsi="Times New Roman" w:cs="Times New Roman"/>
                <w:sz w:val="24"/>
                <w:szCs w:val="24"/>
              </w:rPr>
              <w:t xml:space="preserve">and Processing </w:t>
            </w:r>
            <w:r w:rsidR="00E66667">
              <w:rPr>
                <w:rFonts w:ascii="Times New Roman" w:hAnsi="Times New Roman" w:cs="Times New Roman"/>
                <w:sz w:val="24"/>
                <w:szCs w:val="24"/>
              </w:rPr>
              <w:t>of F</w:t>
            </w:r>
            <w:r w:rsidRPr="00B51BB8">
              <w:rPr>
                <w:rFonts w:ascii="Times New Roman" w:hAnsi="Times New Roman" w:cs="Times New Roman"/>
                <w:sz w:val="24"/>
                <w:szCs w:val="24"/>
              </w:rPr>
              <w:t>ilings</w:t>
            </w:r>
          </w:p>
        </w:tc>
        <w:tc>
          <w:tcPr>
            <w:tcW w:w="3201" w:type="dxa"/>
            <w:tcBorders>
              <w:top w:val="single" w:color="auto" w:sz="4" w:space="0"/>
              <w:left w:val="single" w:color="auto" w:sz="4" w:space="0"/>
              <w:bottom w:val="single" w:color="auto" w:sz="4" w:space="0"/>
              <w:right w:val="single" w:color="auto" w:sz="4" w:space="0"/>
            </w:tcBorders>
            <w:vAlign w:val="center"/>
            <w:hideMark/>
          </w:tcPr>
          <w:p w:rsidRPr="00B51BB8" w:rsidR="002359F6" w:rsidP="005E2448" w:rsidRDefault="002359F6" w14:paraId="04252B1D" w14:textId="7777777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color="auto" w:sz="4" w:space="0"/>
              <w:left w:val="single" w:color="auto" w:sz="4" w:space="0"/>
              <w:bottom w:val="single" w:color="auto" w:sz="4" w:space="0"/>
              <w:right w:val="single" w:color="auto" w:sz="4" w:space="0"/>
            </w:tcBorders>
            <w:vAlign w:val="center"/>
            <w:hideMark/>
          </w:tcPr>
          <w:p w:rsidRPr="00B51BB8" w:rsidR="002359F6" w:rsidP="002A4142" w:rsidRDefault="002359F6" w14:paraId="20F3A7DE" w14:textId="7777777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Pr="00B51BB8" w:rsidR="002359F6" w:rsidTr="002359F6" w14:paraId="453A7B37" w14:textId="77777777">
        <w:tc>
          <w:tcPr>
            <w:tcW w:w="3182" w:type="dxa"/>
            <w:tcBorders>
              <w:top w:val="single" w:color="auto" w:sz="4" w:space="0"/>
              <w:left w:val="single" w:color="auto" w:sz="4" w:space="0"/>
              <w:bottom w:val="single" w:color="auto" w:sz="4" w:space="0"/>
              <w:right w:val="single" w:color="auto" w:sz="4" w:space="0"/>
            </w:tcBorders>
            <w:hideMark/>
          </w:tcPr>
          <w:p w:rsidRPr="00B51BB8" w:rsidR="002359F6" w:rsidP="0099517B" w:rsidRDefault="002359F6" w14:paraId="69B8A50D" w14:textId="01302C64">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51BB8" w:rsidR="002359F6" w:rsidP="005E2448" w:rsidRDefault="002359F6" w14:paraId="6BA0C2F4" w14:textId="77777777">
            <w:pPr>
              <w:spacing w:after="0" w:line="240" w:lineRule="auto"/>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B51BB8" w:rsidR="002359F6" w:rsidP="002A4142" w:rsidRDefault="00AF50F8" w14:paraId="116405AD" w14:textId="55FAA2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801E1B" w:rsidR="00801E1B">
              <w:rPr>
                <w:rFonts w:ascii="Times New Roman" w:hAnsi="Times New Roman" w:cs="Times New Roman"/>
                <w:sz w:val="24"/>
                <w:szCs w:val="24"/>
              </w:rPr>
              <w:t>4,832</w:t>
            </w:r>
          </w:p>
        </w:tc>
      </w:tr>
      <w:tr w:rsidRPr="00B51BB8" w:rsidR="002359F6" w:rsidTr="002359F6" w14:paraId="2F75250A" w14:textId="77777777">
        <w:tc>
          <w:tcPr>
            <w:tcW w:w="3182" w:type="dxa"/>
            <w:tcBorders>
              <w:top w:val="single" w:color="auto" w:sz="4" w:space="0"/>
              <w:left w:val="single" w:color="auto" w:sz="4" w:space="0"/>
              <w:bottom w:val="single" w:color="auto" w:sz="4" w:space="0"/>
              <w:right w:val="single" w:color="auto" w:sz="4" w:space="0"/>
            </w:tcBorders>
            <w:hideMark/>
          </w:tcPr>
          <w:p w:rsidRPr="00B51BB8" w:rsidR="002359F6" w:rsidP="007C39D3" w:rsidRDefault="002359F6" w14:paraId="6F95BDC0"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51BB8" w:rsidR="002359F6" w:rsidP="005E2448" w:rsidRDefault="002359F6" w14:paraId="5E9D679C" w14:textId="77777777">
            <w:pPr>
              <w:spacing w:after="0" w:line="240" w:lineRule="auto"/>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B51BB8" w:rsidR="002359F6" w:rsidP="002A4142" w:rsidRDefault="00801E1B" w14:paraId="579CA50F" w14:textId="0B3E0748">
            <w:pPr>
              <w:spacing w:after="0" w:line="240" w:lineRule="auto"/>
              <w:jc w:val="right"/>
              <w:rPr>
                <w:rFonts w:ascii="Times New Roman" w:hAnsi="Times New Roman" w:cs="Times New Roman"/>
                <w:sz w:val="24"/>
                <w:szCs w:val="24"/>
              </w:rPr>
            </w:pPr>
            <w:r w:rsidRPr="00801E1B">
              <w:rPr>
                <w:rFonts w:ascii="Times New Roman" w:hAnsi="Times New Roman" w:cs="Times New Roman"/>
                <w:sz w:val="24"/>
                <w:szCs w:val="24"/>
              </w:rPr>
              <w:t>$4,832</w:t>
            </w:r>
          </w:p>
        </w:tc>
      </w:tr>
    </w:tbl>
    <w:p w:rsidRPr="00B51BB8" w:rsidR="009922B2" w:rsidP="002A4142" w:rsidRDefault="009922B2" w14:paraId="3C1ABC63" w14:textId="77777777">
      <w:pPr>
        <w:spacing w:line="240" w:lineRule="auto"/>
        <w:rPr>
          <w:rFonts w:ascii="Times New Roman" w:hAnsi="Times New Roman" w:cs="Times New Roman"/>
          <w:sz w:val="24"/>
          <w:szCs w:val="24"/>
        </w:rPr>
      </w:pPr>
    </w:p>
    <w:p w:rsidRPr="009922B2" w:rsidR="00C4205B" w:rsidP="007C39D3" w:rsidRDefault="00C4205B" w14:paraId="68B9EDF1"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rsidR="009922B2" w:rsidP="009922B2" w:rsidRDefault="009922B2" w14:paraId="3FEA176F" w14:textId="77777777">
      <w:pPr>
        <w:widowControl w:val="0"/>
        <w:autoSpaceDE w:val="0"/>
        <w:autoSpaceDN w:val="0"/>
        <w:adjustRightInd w:val="0"/>
        <w:spacing w:after="0" w:line="240" w:lineRule="auto"/>
        <w:rPr>
          <w:rFonts w:ascii="Times New Roman" w:hAnsi="Times New Roman" w:cs="Times New Roman"/>
          <w:sz w:val="24"/>
          <w:szCs w:val="24"/>
        </w:rPr>
      </w:pPr>
    </w:p>
    <w:p w:rsidRPr="003702E7" w:rsidR="00E0279C" w:rsidP="009922B2" w:rsidRDefault="00E0279C" w14:paraId="286F6F49" w14:textId="2EC926C2">
      <w:pPr>
        <w:widowControl w:val="0"/>
        <w:autoSpaceDE w:val="0"/>
        <w:autoSpaceDN w:val="0"/>
        <w:adjustRightInd w:val="0"/>
        <w:spacing w:after="0" w:line="240" w:lineRule="auto"/>
        <w:rPr>
          <w:rFonts w:ascii="Times New Roman" w:hAnsi="Times New Roman" w:cs="Times New Roman"/>
          <w:sz w:val="24"/>
          <w:szCs w:val="24"/>
        </w:rPr>
      </w:pPr>
      <w:r w:rsidRPr="003702E7">
        <w:rPr>
          <w:rFonts w:ascii="Times New Roman" w:hAnsi="Times New Roman" w:cs="Times New Roman"/>
          <w:sz w:val="24"/>
          <w:szCs w:val="24"/>
        </w:rPr>
        <w:t>In Order No. 822, the</w:t>
      </w:r>
      <w:r w:rsidR="00FB7355">
        <w:rPr>
          <w:rFonts w:ascii="Times New Roman" w:hAnsi="Times New Roman" w:cs="Times New Roman"/>
          <w:sz w:val="24"/>
          <w:szCs w:val="24"/>
        </w:rPr>
        <w:t xml:space="preserve"> Commission</w:t>
      </w:r>
      <w:r w:rsidRPr="003702E7">
        <w:rPr>
          <w:rFonts w:ascii="Times New Roman" w:hAnsi="Times New Roman" w:cs="Times New Roman"/>
          <w:sz w:val="24"/>
          <w:szCs w:val="24"/>
        </w:rPr>
        <w:t xml:space="preserve"> directed NERC to, among other things, develop modifications to the CIP Reliability Standards to require responsible entities to implement controls to protect, at a minimum, communications links and sensitive bulk electric system data communicated between bulk electric system Control Centers “in a manner that is appropriately tailored to address the risks posed to the bulk electric system by the assets being protected (i.e., high, medium, or low impact).”</w:t>
      </w:r>
      <w:r>
        <w:rPr>
          <w:rFonts w:ascii="Times New Roman" w:hAnsi="Times New Roman" w:cs="Times New Roman"/>
          <w:sz w:val="24"/>
          <w:szCs w:val="24"/>
        </w:rPr>
        <w:t xml:space="preserve">  </w:t>
      </w:r>
      <w:r w:rsidRPr="003702E7">
        <w:rPr>
          <w:rFonts w:ascii="Times New Roman" w:hAnsi="Times New Roman" w:cs="Times New Roman"/>
          <w:sz w:val="24"/>
          <w:szCs w:val="24"/>
        </w:rPr>
        <w:t xml:space="preserve">The Commission explained that Control Centers associated with responsible entities, including reliability </w:t>
      </w:r>
      <w:r w:rsidRPr="00F74220">
        <w:rPr>
          <w:rFonts w:ascii="Times New Roman" w:hAnsi="Times New Roman" w:cs="Times New Roman"/>
          <w:sz w:val="24"/>
          <w:szCs w:val="24"/>
        </w:rPr>
        <w:t>coordinators, balancing authorities, and transmission operators, must be capable of receiving and storing a variety of bulk electric system data from their interconnected entities in order to adequately perform their reliability functio</w:t>
      </w:r>
      <w:r w:rsidRPr="003702E7">
        <w:rPr>
          <w:rFonts w:ascii="Times New Roman" w:hAnsi="Times New Roman" w:cs="Times New Roman"/>
          <w:sz w:val="24"/>
          <w:szCs w:val="24"/>
        </w:rPr>
        <w:t xml:space="preserve">ns.  The Commission, therefore, determined that “additional measures to protect both the integrity and availability of sensitive bulk electric system data are warranted.”  </w:t>
      </w:r>
    </w:p>
    <w:p w:rsidRPr="003702E7" w:rsidR="00E0279C" w:rsidP="009922B2" w:rsidRDefault="00E0279C" w14:paraId="4DD07F40" w14:textId="77777777">
      <w:pPr>
        <w:widowControl w:val="0"/>
        <w:autoSpaceDE w:val="0"/>
        <w:autoSpaceDN w:val="0"/>
        <w:adjustRightInd w:val="0"/>
        <w:spacing w:after="0" w:line="240" w:lineRule="auto"/>
        <w:rPr>
          <w:rFonts w:ascii="Times New Roman" w:hAnsi="Times New Roman" w:cs="Times New Roman"/>
          <w:sz w:val="24"/>
          <w:szCs w:val="24"/>
        </w:rPr>
      </w:pPr>
    </w:p>
    <w:p w:rsidR="004C537D" w:rsidP="009922B2" w:rsidRDefault="00C24573" w14:paraId="7C63B23B" w14:textId="672FBEB7">
      <w:pPr>
        <w:widowControl w:val="0"/>
        <w:autoSpaceDE w:val="0"/>
        <w:autoSpaceDN w:val="0"/>
        <w:adjustRightInd w:val="0"/>
        <w:spacing w:after="0" w:line="240" w:lineRule="auto"/>
        <w:rPr>
          <w:rFonts w:ascii="Times New Roman" w:hAnsi="Times New Roman" w:cs="Times New Roman"/>
          <w:sz w:val="24"/>
          <w:szCs w:val="24"/>
        </w:rPr>
      </w:pPr>
      <w:r w:rsidRPr="003702E7">
        <w:rPr>
          <w:rFonts w:ascii="Times New Roman" w:hAnsi="Times New Roman" w:cs="Times New Roman"/>
          <w:sz w:val="24"/>
          <w:szCs w:val="24"/>
        </w:rPr>
        <w:t>NERC posits that</w:t>
      </w:r>
      <w:r w:rsidR="00055F3B">
        <w:rPr>
          <w:rFonts w:ascii="Times New Roman" w:hAnsi="Times New Roman" w:cs="Times New Roman"/>
          <w:sz w:val="24"/>
          <w:szCs w:val="24"/>
        </w:rPr>
        <w:t xml:space="preserve"> the proposed </w:t>
      </w:r>
      <w:r w:rsidRPr="003702E7" w:rsidR="00E0279C">
        <w:rPr>
          <w:rFonts w:ascii="Times New Roman" w:hAnsi="Times New Roman" w:cs="Times New Roman"/>
          <w:sz w:val="24"/>
          <w:szCs w:val="24"/>
        </w:rPr>
        <w:t xml:space="preserve">Reliability Standard CIP-012-1 “requires Responsible Entities to develop and implement a plan to address the risks posed by unauthorized disclosure (confidentiality) and unauthorized modification (integrity) of Real-time Assessment and Real-time monitoring data while being transmitted between applicable Control Centers.”  </w:t>
      </w:r>
      <w:r>
        <w:rPr>
          <w:rFonts w:ascii="Times New Roman" w:hAnsi="Times New Roman" w:cs="Times New Roman"/>
          <w:sz w:val="24"/>
          <w:szCs w:val="24"/>
        </w:rPr>
        <w:t>T</w:t>
      </w:r>
      <w:r w:rsidRPr="003702E7" w:rsidR="00E0279C">
        <w:rPr>
          <w:rFonts w:ascii="Times New Roman" w:hAnsi="Times New Roman" w:cs="Times New Roman"/>
          <w:sz w:val="24"/>
          <w:szCs w:val="24"/>
        </w:rPr>
        <w:t>he required plan must include the following:  (1) identification of security protections; (2) identification of where the protections are applied; and (3) identification of the responsibilities of each entity in case a Control Center is owned or operated by different responsible entities.</w:t>
      </w:r>
    </w:p>
    <w:p w:rsidR="002E108D" w:rsidP="009922B2" w:rsidRDefault="002E108D" w14:paraId="2DB45251" w14:textId="554A2753">
      <w:pPr>
        <w:widowControl w:val="0"/>
        <w:autoSpaceDE w:val="0"/>
        <w:autoSpaceDN w:val="0"/>
        <w:adjustRightInd w:val="0"/>
        <w:spacing w:after="0" w:line="240" w:lineRule="auto"/>
        <w:rPr>
          <w:rFonts w:ascii="Times New Roman" w:hAnsi="Times New Roman" w:cs="Times New Roman"/>
          <w:sz w:val="24"/>
          <w:szCs w:val="24"/>
        </w:rPr>
      </w:pPr>
    </w:p>
    <w:p w:rsidR="002E108D" w:rsidP="009922B2" w:rsidRDefault="002E108D" w14:paraId="6E7B4060" w14:textId="678D822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 stated in Commission Order 866, paragraph 2:</w:t>
      </w:r>
    </w:p>
    <w:p w:rsidRPr="00E0279C" w:rsidR="002E108D" w:rsidP="006D7EB9" w:rsidRDefault="002E108D" w14:paraId="18D378E4" w14:textId="6FAD82AE">
      <w:pPr>
        <w:widowControl w:val="0"/>
        <w:autoSpaceDE w:val="0"/>
        <w:autoSpaceDN w:val="0"/>
        <w:adjustRightInd w:val="0"/>
        <w:spacing w:after="0" w:line="240" w:lineRule="auto"/>
        <w:ind w:left="720"/>
        <w:rPr>
          <w:rFonts w:ascii="Times New Roman" w:hAnsi="Times New Roman" w:cs="Times New Roman"/>
          <w:sz w:val="24"/>
          <w:szCs w:val="24"/>
        </w:rPr>
      </w:pPr>
      <w:r w:rsidRPr="002E108D">
        <w:rPr>
          <w:rFonts w:ascii="Times New Roman" w:hAnsi="Times New Roman" w:cs="Times New Roman"/>
          <w:sz w:val="24"/>
          <w:szCs w:val="24"/>
        </w:rPr>
        <w:t xml:space="preserve">Consistent with the directive in </w:t>
      </w:r>
      <w:r>
        <w:rPr>
          <w:rFonts w:ascii="Times New Roman" w:hAnsi="Times New Roman" w:cs="Times New Roman"/>
          <w:sz w:val="24"/>
          <w:szCs w:val="24"/>
        </w:rPr>
        <w:t xml:space="preserve">Commission </w:t>
      </w:r>
      <w:r w:rsidRPr="002E108D">
        <w:rPr>
          <w:rFonts w:ascii="Times New Roman" w:hAnsi="Times New Roman" w:cs="Times New Roman"/>
          <w:sz w:val="24"/>
          <w:szCs w:val="24"/>
        </w:rPr>
        <w:t xml:space="preserve">Order No. 822, Reliability Standard CIP-012-1 improves upon the currently-effective Critical Infrastructure Protection (CIP) Reliability Standards to mitigate cyber security risks associated with communications between bulk electric system Control Centers.  Specifically, Reliability Standard CIP-012-1 supports situational awareness and reliable bulk electric system operations by requiring responsible entities to protect the confidentiality and integrity of Real-time Assessment  and Real-time monitoring data transmitted between bulk electric system Control Centers.  Accordingly, the Commission approves Reliability Standard CIP-012-1 </w:t>
      </w:r>
      <w:r w:rsidRPr="002E108D">
        <w:rPr>
          <w:rFonts w:ascii="Times New Roman" w:hAnsi="Times New Roman" w:cs="Times New Roman"/>
          <w:sz w:val="24"/>
          <w:szCs w:val="24"/>
        </w:rPr>
        <w:lastRenderedPageBreak/>
        <w:t>because it is largely responsive to the Commission’s directive in Order No. 822 and improves the cyber security posture of responsible entities.  We also approve the associated violation risk factors and violation severity levels, implementation plan, and effective date.</w:t>
      </w:r>
    </w:p>
    <w:p w:rsidRPr="00B51BB8" w:rsidR="004C537D" w:rsidP="009922B2" w:rsidRDefault="004C537D" w14:paraId="54F5AB00" w14:textId="77777777">
      <w:pPr>
        <w:widowControl w:val="0"/>
        <w:autoSpaceDE w:val="0"/>
        <w:autoSpaceDN w:val="0"/>
        <w:adjustRightInd w:val="0"/>
        <w:spacing w:after="0" w:line="240" w:lineRule="auto"/>
        <w:rPr>
          <w:rFonts w:ascii="Times New Roman" w:hAnsi="Times New Roman" w:cs="Times New Roman"/>
          <w:sz w:val="24"/>
          <w:szCs w:val="24"/>
        </w:rPr>
      </w:pPr>
    </w:p>
    <w:p w:rsidRPr="002025A8" w:rsidR="00C4205B" w:rsidP="007A560D" w:rsidRDefault="00AF12C4" w14:paraId="53971EE3" w14:textId="7C2B1DD8">
      <w:pPr>
        <w:rPr>
          <w:rFonts w:ascii="Times New Roman" w:hAnsi="Times New Roman" w:cs="Times New Roman"/>
          <w:bCs/>
          <w:sz w:val="24"/>
          <w:szCs w:val="24"/>
        </w:rPr>
      </w:pPr>
      <w:r>
        <w:rPr>
          <w:rFonts w:ascii="Times New Roman" w:hAnsi="Times New Roman" w:cs="Times New Roman"/>
          <w:bCs/>
          <w:sz w:val="24"/>
          <w:szCs w:val="24"/>
        </w:rPr>
        <w:t>A summary of the burden</w:t>
      </w:r>
      <w:r w:rsidR="0082752D">
        <w:rPr>
          <w:rFonts w:ascii="Times New Roman" w:hAnsi="Times New Roman" w:cs="Times New Roman"/>
          <w:bCs/>
          <w:sz w:val="24"/>
          <w:szCs w:val="24"/>
        </w:rPr>
        <w:t xml:space="preserve"> </w:t>
      </w:r>
      <w:r>
        <w:rPr>
          <w:rFonts w:ascii="Times New Roman" w:hAnsi="Times New Roman" w:cs="Times New Roman"/>
          <w:bCs/>
          <w:sz w:val="24"/>
          <w:szCs w:val="24"/>
        </w:rPr>
        <w:t xml:space="preserve">added </w:t>
      </w:r>
      <w:r w:rsidR="0082752D">
        <w:rPr>
          <w:rFonts w:ascii="Times New Roman" w:hAnsi="Times New Roman" w:cs="Times New Roman"/>
          <w:bCs/>
          <w:sz w:val="24"/>
          <w:szCs w:val="24"/>
        </w:rPr>
        <w:t xml:space="preserve">to FERC-725B information collection </w:t>
      </w:r>
      <w:r w:rsidR="00B30099">
        <w:rPr>
          <w:rFonts w:ascii="Times New Roman" w:hAnsi="Times New Roman" w:cs="Times New Roman"/>
          <w:bCs/>
          <w:sz w:val="24"/>
          <w:szCs w:val="24"/>
        </w:rPr>
        <w:t xml:space="preserve">due to the </w:t>
      </w:r>
      <w:r w:rsidR="007B1F68">
        <w:rPr>
          <w:rFonts w:ascii="Times New Roman" w:hAnsi="Times New Roman" w:cs="Times New Roman"/>
          <w:bCs/>
          <w:sz w:val="24"/>
          <w:szCs w:val="24"/>
        </w:rPr>
        <w:t xml:space="preserve">Final Rule </w:t>
      </w:r>
      <w:r w:rsidR="00B30099">
        <w:rPr>
          <w:rFonts w:ascii="Times New Roman" w:hAnsi="Times New Roman" w:cs="Times New Roman"/>
          <w:bCs/>
          <w:sz w:val="24"/>
          <w:szCs w:val="24"/>
        </w:rPr>
        <w:t>in RM18-20</w:t>
      </w:r>
      <w:r w:rsidR="00BB0A16">
        <w:rPr>
          <w:rFonts w:ascii="Times New Roman" w:hAnsi="Times New Roman" w:cs="Times New Roman"/>
          <w:bCs/>
          <w:sz w:val="24"/>
          <w:szCs w:val="24"/>
        </w:rPr>
        <w:t>-000</w:t>
      </w:r>
      <w:r w:rsidR="0082752D">
        <w:rPr>
          <w:rFonts w:ascii="Times New Roman" w:hAnsi="Times New Roman" w:cs="Times New Roman"/>
          <w:bCs/>
          <w:sz w:val="24"/>
          <w:szCs w:val="24"/>
        </w:rPr>
        <w:t xml:space="preserve"> follows:</w:t>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2025A8" w:rsidR="002025A8" w:rsidTr="00A41279" w14:paraId="29A4FB99" w14:textId="77777777">
        <w:trPr>
          <w:trHeight w:val="1205"/>
        </w:trPr>
        <w:tc>
          <w:tcPr>
            <w:tcW w:w="267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847F18" w:rsidRDefault="008D4025" w14:paraId="6788D336" w14:textId="4E81CB0A">
            <w:pPr>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F</w:t>
            </w:r>
            <w:r w:rsidR="00E66667">
              <w:rPr>
                <w:rFonts w:ascii="Times New Roman" w:hAnsi="Times New Roman" w:eastAsia="Calibri" w:cs="Times New Roman"/>
                <w:b/>
                <w:bCs/>
                <w:sz w:val="24"/>
                <w:szCs w:val="24"/>
              </w:rPr>
              <w:t>ERC-725B</w:t>
            </w:r>
          </w:p>
        </w:tc>
        <w:tc>
          <w:tcPr>
            <w:tcW w:w="146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847F18" w:rsidRDefault="002025A8" w14:paraId="071BBC47" w14:textId="77777777">
            <w:pPr>
              <w:spacing w:after="0" w:line="240" w:lineRule="auto"/>
              <w:jc w:val="center"/>
              <w:rPr>
                <w:rFonts w:ascii="Times New Roman" w:hAnsi="Times New Roman" w:eastAsia="Calibri" w:cs="Times New Roman"/>
                <w:b/>
                <w:bCs/>
                <w:sz w:val="24"/>
                <w:szCs w:val="24"/>
              </w:rPr>
            </w:pPr>
            <w:r w:rsidRPr="002025A8">
              <w:rPr>
                <w:rFonts w:ascii="Times New Roman" w:hAnsi="Times New Roman" w:eastAsia="Calibri" w:cs="Times New Roman"/>
                <w:b/>
                <w:bCs/>
                <w:sz w:val="24"/>
                <w:szCs w:val="24"/>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847F18" w:rsidRDefault="002025A8" w14:paraId="4E12945C" w14:textId="77777777">
            <w:pPr>
              <w:spacing w:after="0" w:line="240" w:lineRule="auto"/>
              <w:jc w:val="center"/>
              <w:rPr>
                <w:rFonts w:ascii="Times New Roman" w:hAnsi="Times New Roman" w:eastAsia="Calibri" w:cs="Times New Roman"/>
                <w:b/>
                <w:bCs/>
                <w:sz w:val="24"/>
                <w:szCs w:val="24"/>
              </w:rPr>
            </w:pPr>
            <w:r w:rsidRPr="002025A8">
              <w:rPr>
                <w:rFonts w:ascii="Times New Roman" w:hAnsi="Times New Roman" w:eastAsia="Calibri" w:cs="Times New Roman"/>
                <w:b/>
                <w:bCs/>
                <w:sz w:val="24"/>
                <w:szCs w:val="24"/>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847F18" w:rsidRDefault="002025A8" w14:paraId="39D2597A" w14:textId="77777777">
            <w:pPr>
              <w:spacing w:after="0" w:line="240" w:lineRule="auto"/>
              <w:jc w:val="center"/>
              <w:rPr>
                <w:rFonts w:ascii="Times New Roman" w:hAnsi="Times New Roman" w:eastAsia="Calibri" w:cs="Times New Roman"/>
                <w:b/>
                <w:bCs/>
                <w:sz w:val="24"/>
                <w:szCs w:val="24"/>
              </w:rPr>
            </w:pPr>
            <w:r w:rsidRPr="002025A8">
              <w:rPr>
                <w:rFonts w:ascii="Times New Roman" w:hAnsi="Times New Roman" w:eastAsia="Calibri" w:cs="Times New Roman"/>
                <w:b/>
                <w:bCs/>
                <w:sz w:val="24"/>
                <w:szCs w:val="24"/>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2025A8" w:rsidR="002025A8" w:rsidP="00847F18" w:rsidRDefault="002025A8" w14:paraId="55BF5ECF" w14:textId="77777777">
            <w:pPr>
              <w:spacing w:after="0" w:line="240" w:lineRule="auto"/>
              <w:jc w:val="center"/>
              <w:rPr>
                <w:rFonts w:ascii="Times New Roman" w:hAnsi="Times New Roman" w:eastAsia="Calibri" w:cs="Times New Roman"/>
                <w:b/>
                <w:bCs/>
                <w:sz w:val="24"/>
                <w:szCs w:val="24"/>
              </w:rPr>
            </w:pPr>
            <w:r w:rsidRPr="002025A8">
              <w:rPr>
                <w:rFonts w:ascii="Times New Roman" w:hAnsi="Times New Roman" w:eastAsia="Calibri" w:cs="Times New Roman"/>
                <w:b/>
                <w:bCs/>
                <w:sz w:val="24"/>
                <w:szCs w:val="24"/>
              </w:rPr>
              <w:t>Change Due to Agency Discretion</w:t>
            </w:r>
          </w:p>
        </w:tc>
      </w:tr>
      <w:tr w:rsidRPr="002025A8" w:rsidR="002025A8" w:rsidTr="00A41279" w14:paraId="530412C2" w14:textId="77777777">
        <w:trPr>
          <w:trHeight w:val="591"/>
        </w:trPr>
        <w:tc>
          <w:tcPr>
            <w:tcW w:w="2679" w:type="dxa"/>
            <w:tcBorders>
              <w:top w:val="single" w:color="auto" w:sz="4" w:space="0"/>
              <w:left w:val="single" w:color="auto" w:sz="4" w:space="0"/>
              <w:bottom w:val="single" w:color="auto" w:sz="4" w:space="0"/>
              <w:right w:val="single" w:color="auto" w:sz="4" w:space="0"/>
            </w:tcBorders>
            <w:hideMark/>
          </w:tcPr>
          <w:p w:rsidRPr="002025A8" w:rsidR="002025A8" w:rsidP="00AA2A0C" w:rsidRDefault="002025A8" w14:paraId="3954F29A" w14:textId="77777777">
            <w:pPr>
              <w:spacing w:after="0" w:line="240" w:lineRule="auto"/>
              <w:jc w:val="center"/>
              <w:rPr>
                <w:rFonts w:ascii="Times New Roman" w:hAnsi="Times New Roman" w:eastAsia="Calibri" w:cs="Times New Roman"/>
                <w:bCs/>
                <w:sz w:val="24"/>
                <w:szCs w:val="24"/>
              </w:rPr>
            </w:pPr>
            <w:r w:rsidRPr="002025A8">
              <w:rPr>
                <w:rFonts w:ascii="Times New Roman" w:hAnsi="Times New Roman" w:eastAsia="Calibri" w:cs="Times New Roman"/>
                <w:bCs/>
                <w:sz w:val="24"/>
                <w:szCs w:val="24"/>
              </w:rPr>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7F129D" w14:paraId="0AEBC581" w14:textId="7FECC24E">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224,800</w:t>
            </w:r>
          </w:p>
        </w:tc>
        <w:tc>
          <w:tcPr>
            <w:tcW w:w="162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585915" w14:paraId="1204AB40" w14:textId="29684C90">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223,362</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847F18" w14:paraId="582A715E" w14:textId="77777777">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7F129D" w14:paraId="6F4C090C" w14:textId="181B3917">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1,438</w:t>
            </w:r>
          </w:p>
        </w:tc>
      </w:tr>
      <w:tr w:rsidRPr="002025A8" w:rsidR="002025A8" w:rsidTr="00A41279" w14:paraId="6F0004C2" w14:textId="77777777">
        <w:trPr>
          <w:trHeight w:val="107"/>
        </w:trPr>
        <w:tc>
          <w:tcPr>
            <w:tcW w:w="2679" w:type="dxa"/>
            <w:tcBorders>
              <w:top w:val="single" w:color="auto" w:sz="4" w:space="0"/>
              <w:left w:val="single" w:color="auto" w:sz="4" w:space="0"/>
              <w:bottom w:val="single" w:color="auto" w:sz="4" w:space="0"/>
              <w:right w:val="single" w:color="auto" w:sz="4" w:space="0"/>
            </w:tcBorders>
            <w:hideMark/>
          </w:tcPr>
          <w:p w:rsidRPr="002025A8" w:rsidR="002025A8" w:rsidP="00AA2A0C" w:rsidRDefault="00847F18" w14:paraId="5E5090FD" w14:textId="4AC628B0">
            <w:pPr>
              <w:spacing w:after="0" w:line="240" w:lineRule="auto"/>
              <w:jc w:val="center"/>
              <w:rPr>
                <w:rFonts w:ascii="Times New Roman" w:hAnsi="Times New Roman" w:eastAsia="Calibri" w:cs="Times New Roman"/>
                <w:bCs/>
                <w:sz w:val="24"/>
                <w:szCs w:val="24"/>
              </w:rPr>
            </w:pPr>
            <w:r>
              <w:rPr>
                <w:rFonts w:ascii="Times New Roman" w:hAnsi="Times New Roman" w:eastAsia="Calibri" w:cs="Times New Roman"/>
                <w:bCs/>
                <w:sz w:val="24"/>
                <w:szCs w:val="24"/>
              </w:rPr>
              <w:t>Annual Time Burden</w:t>
            </w:r>
            <w:bookmarkStart w:name="_Ref493840875" w:id="3"/>
            <w:r w:rsidR="005F55AB">
              <w:rPr>
                <w:rFonts w:ascii="Times New Roman" w:hAnsi="Times New Roman" w:eastAsia="Calibri" w:cs="Times New Roman"/>
                <w:bCs/>
                <w:sz w:val="24"/>
                <w:szCs w:val="24"/>
              </w:rPr>
              <w:t xml:space="preserve"> (Hrs.)</w:t>
            </w:r>
            <w:r w:rsidRPr="001301E0" w:rsidDel="005F55AB" w:rsidR="005F55AB">
              <w:rPr>
                <w:rStyle w:val="FootnoteReference"/>
                <w:rFonts w:ascii="Times New Roman" w:hAnsi="Times New Roman" w:eastAsia="Calibri" w:cs="Times New Roman"/>
                <w:bCs/>
                <w:sz w:val="24"/>
                <w:szCs w:val="24"/>
                <w:vertAlign w:val="superscript"/>
              </w:rPr>
              <w:t xml:space="preserve"> </w:t>
            </w:r>
            <w:bookmarkEnd w:id="3"/>
          </w:p>
        </w:tc>
        <w:tc>
          <w:tcPr>
            <w:tcW w:w="1461"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7F129D" w14:paraId="53D7250F" w14:textId="6769D5A9">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2,119,709</w:t>
            </w:r>
          </w:p>
        </w:tc>
        <w:tc>
          <w:tcPr>
            <w:tcW w:w="162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585915" w14:paraId="7FB5808B" w14:textId="17509C2A">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1,996,520</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847F18" w14:paraId="71115B5D" w14:textId="77777777">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7F129D" w14:paraId="41EAFD30" w14:textId="623697F9">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123,189</w:t>
            </w:r>
          </w:p>
        </w:tc>
      </w:tr>
      <w:tr w:rsidRPr="002025A8" w:rsidR="002025A8" w:rsidTr="00A41279" w14:paraId="4C9773D7" w14:textId="77777777">
        <w:trPr>
          <w:trHeight w:val="295"/>
        </w:trPr>
        <w:tc>
          <w:tcPr>
            <w:tcW w:w="2679" w:type="dxa"/>
            <w:tcBorders>
              <w:top w:val="single" w:color="auto" w:sz="4" w:space="0"/>
              <w:left w:val="single" w:color="auto" w:sz="4" w:space="0"/>
              <w:bottom w:val="single" w:color="auto" w:sz="4" w:space="0"/>
              <w:right w:val="single" w:color="auto" w:sz="4" w:space="0"/>
            </w:tcBorders>
            <w:hideMark/>
          </w:tcPr>
          <w:p w:rsidRPr="002025A8" w:rsidR="002025A8" w:rsidP="00AA2A0C" w:rsidRDefault="002025A8" w14:paraId="6EC37D03" w14:textId="77777777">
            <w:pPr>
              <w:spacing w:after="0" w:line="240" w:lineRule="auto"/>
              <w:jc w:val="center"/>
              <w:rPr>
                <w:rFonts w:ascii="Times New Roman" w:hAnsi="Times New Roman" w:eastAsia="Calibri" w:cs="Times New Roman"/>
                <w:bCs/>
                <w:sz w:val="24"/>
                <w:szCs w:val="24"/>
              </w:rPr>
            </w:pPr>
            <w:r w:rsidRPr="002025A8">
              <w:rPr>
                <w:rFonts w:ascii="Times New Roman" w:hAnsi="Times New Roman" w:eastAsia="Calibri" w:cs="Times New Roman"/>
                <w:bCs/>
                <w:sz w:val="24"/>
                <w:szCs w:val="24"/>
              </w:rPr>
              <w:t>Annual Cost Burden ($)</w:t>
            </w:r>
          </w:p>
        </w:tc>
        <w:tc>
          <w:tcPr>
            <w:tcW w:w="1461"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47703B" w14:paraId="5C9FC3B7" w14:textId="0B952F54">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62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47703B" w14:paraId="78242569" w14:textId="7F1084D5">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847F18" w14:paraId="1DBC167F" w14:textId="77777777">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$0</w:t>
            </w:r>
          </w:p>
        </w:tc>
        <w:tc>
          <w:tcPr>
            <w:tcW w:w="1800" w:type="dxa"/>
            <w:tcBorders>
              <w:top w:val="single" w:color="auto" w:sz="4" w:space="0"/>
              <w:left w:val="single" w:color="auto" w:sz="4" w:space="0"/>
              <w:bottom w:val="single" w:color="auto" w:sz="4" w:space="0"/>
              <w:right w:val="single" w:color="auto" w:sz="4" w:space="0"/>
            </w:tcBorders>
            <w:vAlign w:val="bottom"/>
          </w:tcPr>
          <w:p w:rsidRPr="002025A8" w:rsidR="002025A8" w:rsidP="00AA2A0C" w:rsidRDefault="007A560D" w14:paraId="53B7C899" w14:textId="77777777">
            <w:pPr>
              <w:spacing w:after="0" w:line="240" w:lineRule="auto"/>
              <w:jc w:val="right"/>
              <w:rPr>
                <w:rFonts w:ascii="Times New Roman" w:hAnsi="Times New Roman" w:eastAsia="Calibri" w:cs="Times New Roman"/>
                <w:bCs/>
                <w:sz w:val="24"/>
                <w:szCs w:val="24"/>
              </w:rPr>
            </w:pPr>
            <w:r>
              <w:rPr>
                <w:rFonts w:ascii="Times New Roman" w:hAnsi="Times New Roman" w:eastAsia="Calibri" w:cs="Times New Roman"/>
                <w:bCs/>
                <w:sz w:val="24"/>
                <w:szCs w:val="24"/>
              </w:rPr>
              <w:t>$</w:t>
            </w:r>
            <w:r w:rsidR="00E616F0">
              <w:rPr>
                <w:rFonts w:ascii="Times New Roman" w:hAnsi="Times New Roman" w:eastAsia="Calibri" w:cs="Times New Roman"/>
                <w:bCs/>
                <w:sz w:val="24"/>
                <w:szCs w:val="24"/>
              </w:rPr>
              <w:t>0</w:t>
            </w:r>
          </w:p>
        </w:tc>
      </w:tr>
    </w:tbl>
    <w:p w:rsidRPr="00B51BB8" w:rsidR="00275760" w:rsidP="002A4142" w:rsidRDefault="00275760" w14:paraId="6943EC46" w14:textId="77777777">
      <w:pPr>
        <w:spacing w:line="240" w:lineRule="auto"/>
        <w:rPr>
          <w:rFonts w:ascii="Times New Roman" w:hAnsi="Times New Roman" w:cs="Times New Roman"/>
          <w:sz w:val="24"/>
          <w:szCs w:val="24"/>
        </w:rPr>
      </w:pPr>
    </w:p>
    <w:p w:rsidRPr="00B51BB8" w:rsidR="00C4205B" w:rsidP="007C39D3" w:rsidRDefault="00C4205B" w14:paraId="6DCC2C38"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rsidRPr="00B51BB8" w:rsidR="00C4205B" w:rsidP="00485D08" w:rsidRDefault="00C4205B" w14:paraId="4CC944AC" w14:textId="77777777">
      <w:pPr>
        <w:spacing w:after="0" w:line="240" w:lineRule="auto"/>
        <w:rPr>
          <w:rFonts w:ascii="Times New Roman" w:hAnsi="Times New Roman" w:cs="Times New Roman"/>
          <w:b/>
          <w:bCs/>
          <w:sz w:val="24"/>
          <w:szCs w:val="24"/>
        </w:rPr>
      </w:pPr>
    </w:p>
    <w:p w:rsidRPr="00B51BB8" w:rsidR="00042D80" w:rsidP="005768DB" w:rsidRDefault="004F3F84" w14:paraId="605C5CB7" w14:textId="59DF9DF8">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tabulating, statistical or publication plans</w:t>
      </w:r>
      <w:r w:rsidR="00AA2A0C">
        <w:rPr>
          <w:rFonts w:ascii="Times New Roman" w:hAnsi="Times New Roman" w:cs="Times New Roman"/>
          <w:sz w:val="24"/>
          <w:szCs w:val="24"/>
        </w:rPr>
        <w:t>.</w:t>
      </w:r>
    </w:p>
    <w:p w:rsidRPr="00B51BB8" w:rsidR="00C4205B" w:rsidP="002A4142" w:rsidRDefault="00C4205B" w14:paraId="525DB757" w14:textId="77777777">
      <w:pPr>
        <w:spacing w:after="0" w:line="240" w:lineRule="auto"/>
        <w:rPr>
          <w:rFonts w:ascii="Times New Roman" w:hAnsi="Times New Roman" w:cs="Times New Roman"/>
          <w:sz w:val="24"/>
          <w:szCs w:val="24"/>
        </w:rPr>
      </w:pPr>
    </w:p>
    <w:p w:rsidRPr="00B51BB8" w:rsidR="00C4205B" w:rsidP="007C39D3" w:rsidRDefault="00C4205B" w14:paraId="704F5CCB"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rsidRPr="00B51BB8" w:rsidR="00C4205B" w:rsidP="00485D08" w:rsidRDefault="00C4205B" w14:paraId="2FA7CFEF" w14:textId="77777777">
      <w:pPr>
        <w:spacing w:after="0" w:line="240" w:lineRule="auto"/>
        <w:rPr>
          <w:rFonts w:ascii="Times New Roman" w:hAnsi="Times New Roman" w:cs="Times New Roman"/>
          <w:b/>
          <w:bCs/>
          <w:sz w:val="24"/>
          <w:szCs w:val="24"/>
        </w:rPr>
      </w:pPr>
    </w:p>
    <w:p w:rsidR="00C4205B" w:rsidP="00485D08" w:rsidRDefault="008D20D4" w14:paraId="53E0C4C9" w14:textId="524300BD">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w:history="1" r:id="rId13">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rsidRPr="00B51BB8" w:rsidR="00774B70" w:rsidP="00485D08" w:rsidRDefault="00774B70" w14:paraId="70EA3F5D" w14:textId="77777777">
      <w:pPr>
        <w:spacing w:after="0" w:line="240" w:lineRule="auto"/>
        <w:rPr>
          <w:rFonts w:ascii="Times New Roman" w:hAnsi="Times New Roman" w:cs="Times New Roman"/>
          <w:sz w:val="24"/>
          <w:szCs w:val="24"/>
        </w:rPr>
      </w:pPr>
    </w:p>
    <w:p w:rsidRPr="00B51BB8" w:rsidR="00C4205B" w:rsidP="007C39D3" w:rsidRDefault="00C4205B" w14:paraId="658DC5A6"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rsidRPr="00B51BB8" w:rsidR="00C4205B" w:rsidP="00485D08" w:rsidRDefault="00C4205B" w14:paraId="0AE45CAE" w14:textId="77777777">
      <w:pPr>
        <w:spacing w:after="0" w:line="240" w:lineRule="auto"/>
        <w:rPr>
          <w:rFonts w:ascii="Times New Roman" w:hAnsi="Times New Roman" w:cs="Times New Roman"/>
          <w:sz w:val="24"/>
          <w:szCs w:val="24"/>
        </w:rPr>
      </w:pPr>
    </w:p>
    <w:p w:rsidR="00D350A8" w:rsidP="007A560D" w:rsidRDefault="004F3F84" w14:paraId="75C43DD9" w14:textId="75761279">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Pr="00B51BB8" w:rsidR="009766A2">
        <w:rPr>
          <w:rFonts w:ascii="Times New Roman" w:hAnsi="Times New Roman" w:cs="Times New Roman"/>
          <w:sz w:val="24"/>
          <w:szCs w:val="24"/>
        </w:rPr>
        <w:t>re are no exceptions.</w:t>
      </w:r>
    </w:p>
    <w:p w:rsidR="006D515F" w:rsidRDefault="006D515F" w14:paraId="50DE30E7" w14:textId="77777777">
      <w:pPr>
        <w:rPr>
          <w:rFonts w:ascii="Times New Roman" w:hAnsi="Times New Roman" w:cs="Times New Roman"/>
          <w:sz w:val="24"/>
          <w:szCs w:val="24"/>
        </w:rPr>
      </w:pPr>
      <w:r>
        <w:rPr>
          <w:rFonts w:ascii="Times New Roman" w:hAnsi="Times New Roman" w:cs="Times New Roman"/>
          <w:sz w:val="24"/>
          <w:szCs w:val="24"/>
        </w:rPr>
        <w:br w:type="page"/>
      </w:r>
    </w:p>
    <w:p w:rsidRPr="005D011E" w:rsidR="007F5CAD" w:rsidP="007F5CAD" w:rsidRDefault="007F5CAD" w14:paraId="70607253" w14:textId="5E0EF060">
      <w:pPr>
        <w:jc w:val="center"/>
        <w:rPr>
          <w:rFonts w:ascii="Times New Roman" w:hAnsi="Times New Roman" w:cs="Times New Roman"/>
          <w:b/>
          <w:bCs/>
          <w:sz w:val="24"/>
          <w:szCs w:val="24"/>
        </w:rPr>
      </w:pPr>
      <w:bookmarkStart w:name="Exhibit_A_-_CIP-012-1" w:id="4"/>
      <w:bookmarkEnd w:id="4"/>
      <w:r w:rsidRPr="005D011E">
        <w:rPr>
          <w:rFonts w:ascii="Times New Roman" w:hAnsi="Times New Roman" w:cs="Times New Roman"/>
          <w:b/>
          <w:bCs/>
          <w:sz w:val="24"/>
          <w:szCs w:val="24"/>
          <w:highlight w:val="lightGray"/>
        </w:rPr>
        <w:lastRenderedPageBreak/>
        <w:t xml:space="preserve">The standard </w:t>
      </w:r>
      <w:r w:rsidR="008B3E1C">
        <w:rPr>
          <w:rFonts w:ascii="Times New Roman" w:hAnsi="Times New Roman" w:cs="Times New Roman"/>
          <w:b/>
          <w:bCs/>
          <w:sz w:val="24"/>
          <w:szCs w:val="24"/>
          <w:highlight w:val="lightGray"/>
        </w:rPr>
        <w:t xml:space="preserve">[highlighting added] </w:t>
      </w:r>
      <w:r w:rsidRPr="005D011E">
        <w:rPr>
          <w:rFonts w:ascii="Times New Roman" w:hAnsi="Times New Roman" w:cs="Times New Roman"/>
          <w:b/>
          <w:bCs/>
          <w:sz w:val="24"/>
          <w:szCs w:val="24"/>
          <w:highlight w:val="lightGray"/>
        </w:rPr>
        <w:t>as proposed by NERC in its Petition</w:t>
      </w:r>
    </w:p>
    <w:p w:rsidR="00B60FD5" w:rsidP="005D011E" w:rsidRDefault="00B60FD5" w14:paraId="0BAF0D59" w14:textId="77777777">
      <w:pPr>
        <w:jc w:val="center"/>
        <w:rPr>
          <w:rFonts w:ascii="Times New Roman" w:hAnsi="Times New Roman" w:cs="Times New Roman"/>
          <w:b/>
          <w:bCs/>
          <w:i/>
          <w:sz w:val="24"/>
          <w:szCs w:val="24"/>
        </w:rPr>
      </w:pPr>
    </w:p>
    <w:p w:rsidRPr="007F5CAD" w:rsidR="007F5CAD" w:rsidP="007F5CAD" w:rsidRDefault="007F5CAD" w14:paraId="586C20EF" w14:textId="1F5C006F">
      <w:pPr>
        <w:rPr>
          <w:rFonts w:ascii="Times New Roman" w:hAnsi="Times New Roman" w:cs="Times New Roman"/>
          <w:b/>
          <w:bCs/>
          <w:sz w:val="24"/>
          <w:szCs w:val="24"/>
        </w:rPr>
      </w:pPr>
      <w:r w:rsidRPr="007F5CAD">
        <w:rPr>
          <w:rFonts w:ascii="Times New Roman" w:hAnsi="Times New Roman" w:cs="Times New Roman"/>
          <w:b/>
          <w:bCs/>
          <w:sz w:val="24"/>
          <w:szCs w:val="24"/>
        </w:rPr>
        <w:t>CIP-012-1 – Cyber Security – Communications between Control Centers</w:t>
      </w:r>
    </w:p>
    <w:p w:rsidRPr="007F5CAD" w:rsidR="007F5CAD" w:rsidP="007F5CAD" w:rsidRDefault="007F5CAD" w14:paraId="58FF061D" w14:textId="77777777">
      <w:pPr>
        <w:numPr>
          <w:ilvl w:val="0"/>
          <w:numId w:val="28"/>
        </w:numPr>
        <w:rPr>
          <w:rFonts w:ascii="Times New Roman" w:hAnsi="Times New Roman" w:cs="Times New Roman"/>
          <w:b/>
          <w:bCs/>
          <w:sz w:val="24"/>
          <w:szCs w:val="24"/>
        </w:rPr>
      </w:pPr>
      <w:r w:rsidRPr="007F5CAD">
        <w:rPr>
          <w:rFonts w:ascii="Times New Roman" w:hAnsi="Times New Roman" w:cs="Times New Roman"/>
          <w:b/>
          <w:bCs/>
          <w:sz w:val="24"/>
          <w:szCs w:val="24"/>
        </w:rPr>
        <w:t>Introduction</w:t>
      </w:r>
    </w:p>
    <w:p w:rsidRPr="007F5CAD" w:rsidR="007F5CAD" w:rsidP="007F5CAD" w:rsidRDefault="007F5CAD" w14:paraId="4A9A6D1D" w14:textId="77777777">
      <w:pPr>
        <w:numPr>
          <w:ilvl w:val="1"/>
          <w:numId w:val="28"/>
        </w:numPr>
        <w:rPr>
          <w:rFonts w:ascii="Times New Roman" w:hAnsi="Times New Roman" w:cs="Times New Roman"/>
          <w:sz w:val="24"/>
          <w:szCs w:val="24"/>
        </w:rPr>
      </w:pPr>
      <w:r w:rsidRPr="007F5CAD">
        <w:rPr>
          <w:rFonts w:ascii="Times New Roman" w:hAnsi="Times New Roman" w:cs="Times New Roman"/>
          <w:b/>
          <w:bCs/>
          <w:sz w:val="24"/>
          <w:szCs w:val="24"/>
        </w:rPr>
        <w:t xml:space="preserve">Title: </w:t>
      </w:r>
      <w:r w:rsidRPr="007F5CAD">
        <w:rPr>
          <w:rFonts w:ascii="Times New Roman" w:hAnsi="Times New Roman" w:cs="Times New Roman"/>
          <w:sz w:val="24"/>
          <w:szCs w:val="24"/>
        </w:rPr>
        <w:t>Cyber Security – Communications between Control Centers</w:t>
      </w:r>
    </w:p>
    <w:p w:rsidRPr="007F5CAD" w:rsidR="007F5CAD" w:rsidP="007F5CAD" w:rsidRDefault="007F5CAD" w14:paraId="2158BE90" w14:textId="77777777">
      <w:pPr>
        <w:numPr>
          <w:ilvl w:val="1"/>
          <w:numId w:val="28"/>
        </w:numPr>
        <w:rPr>
          <w:rFonts w:ascii="Times New Roman" w:hAnsi="Times New Roman" w:cs="Times New Roman"/>
          <w:sz w:val="24"/>
          <w:szCs w:val="24"/>
        </w:rPr>
      </w:pPr>
      <w:r w:rsidRPr="007F5CAD">
        <w:rPr>
          <w:rFonts w:ascii="Times New Roman" w:hAnsi="Times New Roman" w:cs="Times New Roman"/>
          <w:b/>
          <w:bCs/>
          <w:sz w:val="24"/>
          <w:szCs w:val="24"/>
        </w:rPr>
        <w:t xml:space="preserve">Number: </w:t>
      </w:r>
      <w:r w:rsidRPr="007F5CAD">
        <w:rPr>
          <w:rFonts w:ascii="Times New Roman" w:hAnsi="Times New Roman" w:cs="Times New Roman"/>
          <w:sz w:val="24"/>
          <w:szCs w:val="24"/>
        </w:rPr>
        <w:t>CIP-012-1</w:t>
      </w:r>
    </w:p>
    <w:p w:rsidRPr="007F5CAD" w:rsidR="007F5CAD" w:rsidP="007F5CAD" w:rsidRDefault="007F5CAD" w14:paraId="649369A9" w14:textId="77777777">
      <w:pPr>
        <w:numPr>
          <w:ilvl w:val="1"/>
          <w:numId w:val="28"/>
        </w:numPr>
        <w:rPr>
          <w:rFonts w:ascii="Times New Roman" w:hAnsi="Times New Roman" w:cs="Times New Roman"/>
          <w:sz w:val="24"/>
          <w:szCs w:val="24"/>
        </w:rPr>
      </w:pPr>
      <w:r w:rsidRPr="007F5CAD">
        <w:rPr>
          <w:rFonts w:ascii="Times New Roman" w:hAnsi="Times New Roman" w:cs="Times New Roman"/>
          <w:b/>
          <w:bCs/>
          <w:sz w:val="24"/>
          <w:szCs w:val="24"/>
        </w:rPr>
        <w:t xml:space="preserve">Purpose: </w:t>
      </w:r>
      <w:r w:rsidRPr="007F5CAD">
        <w:rPr>
          <w:rFonts w:ascii="Times New Roman" w:hAnsi="Times New Roman" w:cs="Times New Roman"/>
          <w:sz w:val="24"/>
          <w:szCs w:val="24"/>
        </w:rPr>
        <w:t>To protect the confidentiality and integrity of Real-time Assessment and Real-time monitoring data transmitted between Control Centers.</w:t>
      </w:r>
    </w:p>
    <w:p w:rsidRPr="007F5CAD" w:rsidR="007F5CAD" w:rsidP="007F5CAD" w:rsidRDefault="007F5CAD" w14:paraId="06495FF3" w14:textId="77777777">
      <w:pPr>
        <w:numPr>
          <w:ilvl w:val="1"/>
          <w:numId w:val="28"/>
        </w:numPr>
        <w:rPr>
          <w:rFonts w:ascii="Times New Roman" w:hAnsi="Times New Roman" w:cs="Times New Roman"/>
          <w:b/>
          <w:bCs/>
          <w:sz w:val="24"/>
          <w:szCs w:val="24"/>
        </w:rPr>
      </w:pPr>
      <w:r w:rsidRPr="007F5CAD">
        <w:rPr>
          <w:rFonts w:ascii="Times New Roman" w:hAnsi="Times New Roman" w:cs="Times New Roman"/>
          <w:b/>
          <w:bCs/>
          <w:sz w:val="24"/>
          <w:szCs w:val="24"/>
        </w:rPr>
        <w:t>Applicability:</w:t>
      </w:r>
    </w:p>
    <w:p w:rsidRPr="007F5CAD" w:rsidR="007F5CAD" w:rsidP="007F5CAD" w:rsidRDefault="007F5CAD" w14:paraId="47F2A1CD" w14:textId="77777777">
      <w:pPr>
        <w:numPr>
          <w:ilvl w:val="2"/>
          <w:numId w:val="28"/>
        </w:numPr>
        <w:rPr>
          <w:rFonts w:ascii="Times New Roman" w:hAnsi="Times New Roman" w:cs="Times New Roman"/>
          <w:sz w:val="24"/>
          <w:szCs w:val="24"/>
        </w:rPr>
      </w:pPr>
      <w:r w:rsidRPr="007F5CAD">
        <w:rPr>
          <w:rFonts w:ascii="Times New Roman" w:hAnsi="Times New Roman" w:cs="Times New Roman"/>
          <w:b/>
          <w:bCs/>
          <w:sz w:val="24"/>
          <w:szCs w:val="24"/>
        </w:rPr>
        <w:t xml:space="preserve">Functional Entities: </w:t>
      </w:r>
      <w:r w:rsidRPr="007F5CAD">
        <w:rPr>
          <w:rFonts w:ascii="Times New Roman" w:hAnsi="Times New Roman" w:cs="Times New Roman"/>
          <w:sz w:val="24"/>
          <w:szCs w:val="24"/>
        </w:rPr>
        <w:t>The requirements in this standard apply to the following functional entities, referred to as “Responsible Entities,” that own or operate a Control Center.</w:t>
      </w:r>
    </w:p>
    <w:p w:rsidRPr="007F5CAD" w:rsidR="007F5CAD" w:rsidP="007F5CAD" w:rsidRDefault="007F5CAD" w14:paraId="42361BFA" w14:textId="77777777">
      <w:pPr>
        <w:numPr>
          <w:ilvl w:val="3"/>
          <w:numId w:val="28"/>
        </w:numPr>
        <w:rPr>
          <w:rFonts w:ascii="Times New Roman" w:hAnsi="Times New Roman" w:cs="Times New Roman"/>
          <w:b/>
          <w:bCs/>
          <w:sz w:val="24"/>
          <w:szCs w:val="24"/>
        </w:rPr>
      </w:pPr>
      <w:r w:rsidRPr="007F5CAD">
        <w:rPr>
          <w:rFonts w:ascii="Times New Roman" w:hAnsi="Times New Roman" w:cs="Times New Roman"/>
          <w:b/>
          <w:bCs/>
          <w:sz w:val="24"/>
          <w:szCs w:val="24"/>
        </w:rPr>
        <w:t>Balancing Authority</w:t>
      </w:r>
    </w:p>
    <w:p w:rsidRPr="007F5CAD" w:rsidR="007F5CAD" w:rsidP="007F5CAD" w:rsidRDefault="007F5CAD" w14:paraId="30DC0BE1" w14:textId="77777777">
      <w:pPr>
        <w:numPr>
          <w:ilvl w:val="3"/>
          <w:numId w:val="28"/>
        </w:numPr>
        <w:rPr>
          <w:rFonts w:ascii="Times New Roman" w:hAnsi="Times New Roman" w:cs="Times New Roman"/>
          <w:b/>
          <w:bCs/>
          <w:sz w:val="24"/>
          <w:szCs w:val="24"/>
        </w:rPr>
      </w:pPr>
      <w:r w:rsidRPr="007F5CAD">
        <w:rPr>
          <w:rFonts w:ascii="Times New Roman" w:hAnsi="Times New Roman" w:cs="Times New Roman"/>
          <w:b/>
          <w:bCs/>
          <w:sz w:val="24"/>
          <w:szCs w:val="24"/>
        </w:rPr>
        <w:t>Generator Operator</w:t>
      </w:r>
    </w:p>
    <w:p w:rsidRPr="007F5CAD" w:rsidR="007F5CAD" w:rsidP="007F5CAD" w:rsidRDefault="007F5CAD" w14:paraId="04C08A36" w14:textId="77777777">
      <w:pPr>
        <w:numPr>
          <w:ilvl w:val="3"/>
          <w:numId w:val="28"/>
        </w:numPr>
        <w:rPr>
          <w:rFonts w:ascii="Times New Roman" w:hAnsi="Times New Roman" w:cs="Times New Roman"/>
          <w:b/>
          <w:bCs/>
          <w:sz w:val="24"/>
          <w:szCs w:val="24"/>
        </w:rPr>
      </w:pPr>
      <w:r w:rsidRPr="007F5CAD">
        <w:rPr>
          <w:rFonts w:ascii="Times New Roman" w:hAnsi="Times New Roman" w:cs="Times New Roman"/>
          <w:b/>
          <w:bCs/>
          <w:sz w:val="24"/>
          <w:szCs w:val="24"/>
        </w:rPr>
        <w:t>Generator Owner</w:t>
      </w:r>
    </w:p>
    <w:p w:rsidRPr="007F5CAD" w:rsidR="007F5CAD" w:rsidP="007F5CAD" w:rsidRDefault="007F5CAD" w14:paraId="6982FA6E" w14:textId="77777777">
      <w:pPr>
        <w:numPr>
          <w:ilvl w:val="3"/>
          <w:numId w:val="28"/>
        </w:numPr>
        <w:rPr>
          <w:rFonts w:ascii="Times New Roman" w:hAnsi="Times New Roman" w:cs="Times New Roman"/>
          <w:b/>
          <w:bCs/>
          <w:sz w:val="24"/>
          <w:szCs w:val="24"/>
        </w:rPr>
      </w:pPr>
      <w:r w:rsidRPr="007F5CAD">
        <w:rPr>
          <w:rFonts w:ascii="Times New Roman" w:hAnsi="Times New Roman" w:cs="Times New Roman"/>
          <w:b/>
          <w:bCs/>
          <w:sz w:val="24"/>
          <w:szCs w:val="24"/>
        </w:rPr>
        <w:t>Reliability Coordinator</w:t>
      </w:r>
    </w:p>
    <w:p w:rsidRPr="007F5CAD" w:rsidR="007F5CAD" w:rsidP="007F5CAD" w:rsidRDefault="007F5CAD" w14:paraId="60CE2C5E" w14:textId="77777777">
      <w:pPr>
        <w:numPr>
          <w:ilvl w:val="3"/>
          <w:numId w:val="28"/>
        </w:numPr>
        <w:rPr>
          <w:rFonts w:ascii="Times New Roman" w:hAnsi="Times New Roman" w:cs="Times New Roman"/>
          <w:b/>
          <w:bCs/>
          <w:sz w:val="24"/>
          <w:szCs w:val="24"/>
        </w:rPr>
      </w:pPr>
      <w:r w:rsidRPr="007F5CAD">
        <w:rPr>
          <w:rFonts w:ascii="Times New Roman" w:hAnsi="Times New Roman" w:cs="Times New Roman"/>
          <w:b/>
          <w:bCs/>
          <w:sz w:val="24"/>
          <w:szCs w:val="24"/>
        </w:rPr>
        <w:t>Transmission Operator</w:t>
      </w:r>
    </w:p>
    <w:p w:rsidRPr="007F5CAD" w:rsidR="007F5CAD" w:rsidP="007F5CAD" w:rsidRDefault="007F5CAD" w14:paraId="60890D41" w14:textId="77777777">
      <w:pPr>
        <w:numPr>
          <w:ilvl w:val="3"/>
          <w:numId w:val="28"/>
        </w:numPr>
        <w:rPr>
          <w:rFonts w:ascii="Times New Roman" w:hAnsi="Times New Roman" w:cs="Times New Roman"/>
          <w:b/>
          <w:bCs/>
          <w:sz w:val="24"/>
          <w:szCs w:val="24"/>
        </w:rPr>
      </w:pPr>
      <w:r w:rsidRPr="007F5CAD">
        <w:rPr>
          <w:rFonts w:ascii="Times New Roman" w:hAnsi="Times New Roman" w:cs="Times New Roman"/>
          <w:b/>
          <w:bCs/>
          <w:sz w:val="24"/>
          <w:szCs w:val="24"/>
        </w:rPr>
        <w:t>Transmission Owner</w:t>
      </w:r>
    </w:p>
    <w:p w:rsidRPr="007F5CAD" w:rsidR="007F5CAD" w:rsidP="007F5CAD" w:rsidRDefault="007F5CAD" w14:paraId="04CE612A" w14:textId="77777777">
      <w:pPr>
        <w:numPr>
          <w:ilvl w:val="2"/>
          <w:numId w:val="28"/>
        </w:numPr>
        <w:rPr>
          <w:rFonts w:ascii="Times New Roman" w:hAnsi="Times New Roman" w:cs="Times New Roman"/>
          <w:sz w:val="24"/>
          <w:szCs w:val="24"/>
        </w:rPr>
      </w:pPr>
      <w:r w:rsidRPr="007F5CAD">
        <w:rPr>
          <w:rFonts w:ascii="Times New Roman" w:hAnsi="Times New Roman" w:cs="Times New Roman"/>
          <w:b/>
          <w:bCs/>
          <w:sz w:val="24"/>
          <w:szCs w:val="24"/>
        </w:rPr>
        <w:t xml:space="preserve">Exemptions: </w:t>
      </w:r>
      <w:r w:rsidRPr="007F5CAD">
        <w:rPr>
          <w:rFonts w:ascii="Times New Roman" w:hAnsi="Times New Roman" w:cs="Times New Roman"/>
          <w:sz w:val="24"/>
          <w:szCs w:val="24"/>
        </w:rPr>
        <w:t>The following are exempt from Reliability Standard CIP-012-1:</w:t>
      </w:r>
    </w:p>
    <w:p w:rsidRPr="007F5CAD" w:rsidR="007F5CAD" w:rsidP="007F5CAD" w:rsidRDefault="007F5CAD" w14:paraId="7C7246F8" w14:textId="77777777">
      <w:pPr>
        <w:numPr>
          <w:ilvl w:val="3"/>
          <w:numId w:val="28"/>
        </w:numPr>
        <w:rPr>
          <w:rFonts w:ascii="Times New Roman" w:hAnsi="Times New Roman" w:cs="Times New Roman"/>
          <w:sz w:val="24"/>
          <w:szCs w:val="24"/>
        </w:rPr>
      </w:pPr>
      <w:r w:rsidRPr="007F5CAD">
        <w:rPr>
          <w:rFonts w:ascii="Times New Roman" w:hAnsi="Times New Roman" w:cs="Times New Roman"/>
          <w:sz w:val="24"/>
          <w:szCs w:val="24"/>
        </w:rPr>
        <w:t>Cyber Assets at Facilities regulated by the Canadian Nuclear Safety Commission.</w:t>
      </w:r>
    </w:p>
    <w:p w:rsidRPr="007F5CAD" w:rsidR="007F5CAD" w:rsidP="007F5CAD" w:rsidRDefault="007F5CAD" w14:paraId="47199992" w14:textId="77777777">
      <w:pPr>
        <w:numPr>
          <w:ilvl w:val="3"/>
          <w:numId w:val="28"/>
        </w:numPr>
        <w:rPr>
          <w:rFonts w:ascii="Times New Roman" w:hAnsi="Times New Roman" w:cs="Times New Roman"/>
          <w:sz w:val="24"/>
          <w:szCs w:val="24"/>
        </w:rPr>
      </w:pPr>
      <w:r w:rsidRPr="007F5CAD">
        <w:rPr>
          <w:rFonts w:ascii="Times New Roman" w:hAnsi="Times New Roman" w:cs="Times New Roman"/>
          <w:sz w:val="24"/>
          <w:szCs w:val="24"/>
        </w:rPr>
        <w:t>The systems, structures, and components that are regulated by the Nuclear Regulatory Commission under a cyber security plan pursuant to 10 C.F.R. Section 73.54.</w:t>
      </w:r>
    </w:p>
    <w:p w:rsidRPr="007F5CAD" w:rsidR="007F5CAD" w:rsidP="007F5CAD" w:rsidRDefault="007F5CAD" w14:paraId="3C254B15" w14:textId="77777777">
      <w:pPr>
        <w:numPr>
          <w:ilvl w:val="3"/>
          <w:numId w:val="28"/>
        </w:numPr>
        <w:rPr>
          <w:rFonts w:ascii="Times New Roman" w:hAnsi="Times New Roman" w:cs="Times New Roman"/>
          <w:sz w:val="24"/>
          <w:szCs w:val="24"/>
        </w:rPr>
      </w:pPr>
      <w:r w:rsidRPr="007F5CAD">
        <w:rPr>
          <w:rFonts w:ascii="Times New Roman" w:hAnsi="Times New Roman" w:cs="Times New Roman"/>
          <w:sz w:val="24"/>
          <w:szCs w:val="24"/>
        </w:rPr>
        <w:t xml:space="preserve">A Control Center that transmits to another Control Center Real-time Assessment or Real-time monitoring data pertaining only to the </w:t>
      </w:r>
      <w:r w:rsidRPr="007F5CAD">
        <w:rPr>
          <w:rFonts w:ascii="Times New Roman" w:hAnsi="Times New Roman" w:cs="Times New Roman"/>
          <w:sz w:val="24"/>
          <w:szCs w:val="24"/>
        </w:rPr>
        <w:lastRenderedPageBreak/>
        <w:t>generation resource or Transmission station or substation co-located with the transmitting Control Center.</w:t>
      </w:r>
    </w:p>
    <w:p w:rsidRPr="007F5CAD" w:rsidR="007F5CAD" w:rsidP="007F5CAD" w:rsidRDefault="007F5CAD" w14:paraId="7DBE44AF" w14:textId="77777777">
      <w:pPr>
        <w:numPr>
          <w:ilvl w:val="1"/>
          <w:numId w:val="28"/>
        </w:numPr>
        <w:rPr>
          <w:rFonts w:ascii="Times New Roman" w:hAnsi="Times New Roman" w:cs="Times New Roman"/>
          <w:sz w:val="24"/>
          <w:szCs w:val="24"/>
        </w:rPr>
      </w:pPr>
      <w:r w:rsidRPr="007F5CAD">
        <w:rPr>
          <w:rFonts w:ascii="Times New Roman" w:hAnsi="Times New Roman" w:cs="Times New Roman"/>
          <w:b/>
          <w:bCs/>
          <w:sz w:val="24"/>
          <w:szCs w:val="24"/>
        </w:rPr>
        <w:t xml:space="preserve">Effective Date: </w:t>
      </w:r>
      <w:r w:rsidRPr="007F5CAD">
        <w:rPr>
          <w:rFonts w:ascii="Times New Roman" w:hAnsi="Times New Roman" w:cs="Times New Roman"/>
          <w:sz w:val="24"/>
          <w:szCs w:val="24"/>
        </w:rPr>
        <w:t>See Implementation Plan for CIP-012-1.</w:t>
      </w:r>
    </w:p>
    <w:p w:rsidRPr="007F5CAD" w:rsidR="007F5CAD" w:rsidP="007F5CAD" w:rsidRDefault="007F5CAD" w14:paraId="38AE8618" w14:textId="77777777">
      <w:pPr>
        <w:numPr>
          <w:ilvl w:val="0"/>
          <w:numId w:val="28"/>
        </w:numPr>
        <w:rPr>
          <w:rFonts w:ascii="Times New Roman" w:hAnsi="Times New Roman" w:cs="Times New Roman"/>
          <w:b/>
          <w:bCs/>
          <w:sz w:val="24"/>
          <w:szCs w:val="24"/>
        </w:rPr>
      </w:pPr>
      <w:r w:rsidRPr="007F5CAD">
        <w:rPr>
          <w:rFonts w:ascii="Times New Roman" w:hAnsi="Times New Roman" w:cs="Times New Roman"/>
          <w:b/>
          <w:bCs/>
          <w:sz w:val="24"/>
          <w:szCs w:val="24"/>
        </w:rPr>
        <w:t>Requirements and Measures</w:t>
      </w:r>
    </w:p>
    <w:p w:rsidRPr="007F5CAD" w:rsidR="007F5CAD" w:rsidP="007F5CAD" w:rsidRDefault="007F5CAD" w14:paraId="1A5B14A6" w14:textId="77777777">
      <w:pPr>
        <w:rPr>
          <w:rFonts w:ascii="Times New Roman" w:hAnsi="Times New Roman" w:cs="Times New Roman"/>
          <w:i/>
          <w:iCs/>
          <w:sz w:val="24"/>
          <w:szCs w:val="24"/>
        </w:rPr>
      </w:pPr>
      <w:r w:rsidRPr="007F5CAD">
        <w:rPr>
          <w:rFonts w:ascii="Times New Roman" w:hAnsi="Times New Roman" w:cs="Times New Roman"/>
          <w:b/>
          <w:bCs/>
          <w:sz w:val="24"/>
          <w:szCs w:val="24"/>
        </w:rPr>
        <w:t xml:space="preserve">R1. </w:t>
      </w:r>
      <w:r w:rsidRPr="007F5CAD">
        <w:rPr>
          <w:rFonts w:ascii="Times New Roman" w:hAnsi="Times New Roman" w:cs="Times New Roman"/>
          <w:sz w:val="24"/>
          <w:szCs w:val="24"/>
        </w:rPr>
        <w:t xml:space="preserve">The Responsible Entity shall implement, except under CIP Exceptional Circumstances, one or more documented plan(s) to mitigate the risks posed by unauthorized disclosure and unauthorized modification of Real-time Assessment and Real-time monitoring data while being transmitted between any applicable Control Centers. The Responsible Entity is not required to include oral communications in its plan. The plan shall include: </w:t>
      </w:r>
      <w:r w:rsidRPr="007F5CAD">
        <w:rPr>
          <w:rFonts w:ascii="Times New Roman" w:hAnsi="Times New Roman" w:cs="Times New Roman"/>
          <w:i/>
          <w:iCs/>
          <w:sz w:val="24"/>
          <w:szCs w:val="24"/>
        </w:rPr>
        <w:t>[Violation Risk Factor: Medium] [Time Horizon: Operations Planning]</w:t>
      </w:r>
    </w:p>
    <w:p w:rsidRPr="007F5CAD" w:rsidR="007F5CAD" w:rsidP="007F5CAD" w:rsidRDefault="007F5CAD" w14:paraId="323C733C" w14:textId="77777777">
      <w:pPr>
        <w:numPr>
          <w:ilvl w:val="1"/>
          <w:numId w:val="27"/>
        </w:numPr>
        <w:rPr>
          <w:rFonts w:ascii="Times New Roman" w:hAnsi="Times New Roman" w:cs="Times New Roman"/>
          <w:sz w:val="24"/>
          <w:szCs w:val="24"/>
        </w:rPr>
      </w:pPr>
      <w:r w:rsidRPr="007F5CAD">
        <w:rPr>
          <w:rFonts w:ascii="Times New Roman" w:hAnsi="Times New Roman" w:cs="Times New Roman"/>
          <w:sz w:val="24"/>
          <w:szCs w:val="24"/>
        </w:rPr>
        <w:t>Identification of security protection used to mitigate the risks posed by unauthorized disclosure and unauthorized modification of Real-time Assessment and Real-time monitoring data while being transmitted between Control Centers;</w:t>
      </w:r>
    </w:p>
    <w:p w:rsidRPr="007F5CAD" w:rsidR="007F5CAD" w:rsidP="007F5CAD" w:rsidRDefault="007F5CAD" w14:paraId="541D9665" w14:textId="77777777">
      <w:pPr>
        <w:numPr>
          <w:ilvl w:val="1"/>
          <w:numId w:val="27"/>
        </w:numPr>
        <w:rPr>
          <w:rFonts w:ascii="Times New Roman" w:hAnsi="Times New Roman" w:cs="Times New Roman"/>
          <w:sz w:val="24"/>
          <w:szCs w:val="24"/>
        </w:rPr>
      </w:pPr>
      <w:r w:rsidRPr="007F5CAD">
        <w:rPr>
          <w:rFonts w:ascii="Times New Roman" w:hAnsi="Times New Roman" w:cs="Times New Roman"/>
          <w:sz w:val="24"/>
          <w:szCs w:val="24"/>
        </w:rPr>
        <w:t>Identification of where the Responsible Entity applied security protection for transmitting Real-time Assessment and Real-time monitoring data between Control Centers; and</w:t>
      </w:r>
    </w:p>
    <w:p w:rsidRPr="007F5CAD" w:rsidR="007F5CAD" w:rsidP="007F5CAD" w:rsidRDefault="007F5CAD" w14:paraId="0E1F731E" w14:textId="77777777">
      <w:pPr>
        <w:numPr>
          <w:ilvl w:val="1"/>
          <w:numId w:val="27"/>
        </w:numPr>
        <w:rPr>
          <w:rFonts w:ascii="Times New Roman" w:hAnsi="Times New Roman" w:cs="Times New Roman"/>
          <w:sz w:val="24"/>
          <w:szCs w:val="24"/>
        </w:rPr>
      </w:pPr>
      <w:r w:rsidRPr="007F5CAD">
        <w:rPr>
          <w:rFonts w:ascii="Times New Roman" w:hAnsi="Times New Roman" w:cs="Times New Roman"/>
          <w:sz w:val="24"/>
          <w:szCs w:val="24"/>
        </w:rPr>
        <w:t>If the Control Centers are owned or operated by different Responsible Entities, identification of the responsibilities of each Responsible Entity for applying security protection to the transmission of Real-time Assessment and Real-time monitoring data between those Control Centers.</w:t>
      </w:r>
    </w:p>
    <w:p w:rsidRPr="007F5CAD" w:rsidR="007F5CAD" w:rsidP="007F5CAD" w:rsidRDefault="007F5CAD" w14:paraId="678FF1E1" w14:textId="77777777">
      <w:pPr>
        <w:rPr>
          <w:rFonts w:ascii="Times New Roman" w:hAnsi="Times New Roman" w:cs="Times New Roman"/>
          <w:sz w:val="24"/>
          <w:szCs w:val="24"/>
        </w:rPr>
      </w:pPr>
      <w:r w:rsidRPr="003C4DC8">
        <w:rPr>
          <w:rFonts w:ascii="Times New Roman" w:hAnsi="Times New Roman" w:cs="Times New Roman"/>
          <w:b/>
          <w:bCs/>
          <w:sz w:val="24"/>
          <w:szCs w:val="24"/>
          <w:highlight w:val="lightGray"/>
        </w:rPr>
        <w:t xml:space="preserve">M1. </w:t>
      </w:r>
      <w:r w:rsidRPr="003C4DC8">
        <w:rPr>
          <w:rFonts w:ascii="Times New Roman" w:hAnsi="Times New Roman" w:cs="Times New Roman"/>
          <w:sz w:val="24"/>
          <w:szCs w:val="24"/>
          <w:highlight w:val="lightGray"/>
        </w:rPr>
        <w:t>Evidence may include, but is not limited to, documented plan(s) that meet the security objective of Requirement R1 and documentation demonstrating the implementation of the plan(s).</w:t>
      </w:r>
    </w:p>
    <w:p w:rsidRPr="007F5CAD" w:rsidR="007F5CAD" w:rsidP="007F5CAD" w:rsidRDefault="007F5CAD" w14:paraId="4C19DC2F" w14:textId="77777777">
      <w:pPr>
        <w:rPr>
          <w:rFonts w:ascii="Times New Roman" w:hAnsi="Times New Roman" w:cs="Times New Roman"/>
          <w:b/>
          <w:bCs/>
          <w:sz w:val="24"/>
          <w:szCs w:val="24"/>
        </w:rPr>
      </w:pPr>
      <w:r w:rsidRPr="007F5CAD">
        <w:rPr>
          <w:rFonts w:ascii="Times New Roman" w:hAnsi="Times New Roman" w:cs="Times New Roman"/>
          <w:b/>
          <w:bCs/>
          <w:sz w:val="24"/>
          <w:szCs w:val="24"/>
        </w:rPr>
        <w:t>C. Compliance</w:t>
      </w:r>
    </w:p>
    <w:p w:rsidRPr="007F5CAD" w:rsidR="007F5CAD" w:rsidP="007F5CAD" w:rsidRDefault="007F5CAD" w14:paraId="1720C634" w14:textId="77777777">
      <w:pPr>
        <w:numPr>
          <w:ilvl w:val="0"/>
          <w:numId w:val="26"/>
        </w:numPr>
        <w:rPr>
          <w:rFonts w:ascii="Times New Roman" w:hAnsi="Times New Roman" w:cs="Times New Roman"/>
          <w:b/>
          <w:bCs/>
          <w:sz w:val="24"/>
          <w:szCs w:val="24"/>
        </w:rPr>
      </w:pPr>
      <w:r w:rsidRPr="007F5CAD">
        <w:rPr>
          <w:rFonts w:ascii="Times New Roman" w:hAnsi="Times New Roman" w:cs="Times New Roman"/>
          <w:b/>
          <w:bCs/>
          <w:sz w:val="24"/>
          <w:szCs w:val="24"/>
        </w:rPr>
        <w:t>Compliance Monitoring Process</w:t>
      </w:r>
    </w:p>
    <w:p w:rsidRPr="007F5CAD" w:rsidR="007F5CAD" w:rsidP="007F5CAD" w:rsidRDefault="007F5CAD" w14:paraId="5F60652C" w14:textId="77777777">
      <w:pPr>
        <w:numPr>
          <w:ilvl w:val="1"/>
          <w:numId w:val="26"/>
        </w:numPr>
        <w:rPr>
          <w:rFonts w:ascii="Times New Roman" w:hAnsi="Times New Roman" w:cs="Times New Roman"/>
          <w:sz w:val="24"/>
          <w:szCs w:val="24"/>
        </w:rPr>
      </w:pPr>
      <w:r w:rsidRPr="007F5CAD">
        <w:rPr>
          <w:rFonts w:ascii="Times New Roman" w:hAnsi="Times New Roman" w:cs="Times New Roman"/>
          <w:b/>
          <w:bCs/>
          <w:sz w:val="24"/>
          <w:szCs w:val="24"/>
        </w:rPr>
        <w:t xml:space="preserve">Compliance Enforcement Authority: </w:t>
      </w:r>
      <w:r w:rsidRPr="007F5CAD">
        <w:rPr>
          <w:rFonts w:ascii="Times New Roman" w:hAnsi="Times New Roman" w:cs="Times New Roman"/>
          <w:sz w:val="24"/>
          <w:szCs w:val="24"/>
        </w:rPr>
        <w:t>“Compliance Enforcement Authority” (CEA) means NERC, the Regional Entity, or any entity as otherwise designated by an Applicable Governmental Authority, in their respective roles of monitoring and/or enforcing compliance with mandatory and enforceable Reliability Standards in their respective jurisdictions.</w:t>
      </w:r>
    </w:p>
    <w:p w:rsidRPr="003C4DC8" w:rsidR="007F5CAD" w:rsidP="007F5CAD" w:rsidRDefault="007F5CAD" w14:paraId="1016303D" w14:textId="77777777">
      <w:pPr>
        <w:numPr>
          <w:ilvl w:val="1"/>
          <w:numId w:val="26"/>
        </w:numPr>
        <w:rPr>
          <w:rFonts w:ascii="Times New Roman" w:hAnsi="Times New Roman" w:cs="Times New Roman"/>
          <w:sz w:val="24"/>
          <w:szCs w:val="24"/>
          <w:highlight w:val="lightGray"/>
        </w:rPr>
      </w:pPr>
      <w:r w:rsidRPr="003C4DC8">
        <w:rPr>
          <w:rFonts w:ascii="Times New Roman" w:hAnsi="Times New Roman" w:cs="Times New Roman"/>
          <w:b/>
          <w:bCs/>
          <w:sz w:val="24"/>
          <w:szCs w:val="24"/>
          <w:highlight w:val="lightGray"/>
        </w:rPr>
        <w:lastRenderedPageBreak/>
        <w:t xml:space="preserve">Evidence Retention: </w:t>
      </w:r>
      <w:r w:rsidRPr="003C4DC8">
        <w:rPr>
          <w:rFonts w:ascii="Times New Roman" w:hAnsi="Times New Roman" w:cs="Times New Roman"/>
          <w:sz w:val="24"/>
          <w:szCs w:val="24"/>
          <w:highlight w:val="lightGray"/>
        </w:rPr>
        <w:t>The following evidence retention period(s) identify the period of time an entity is required to retain specific evidence to demonstrate compliance. For instances where the evidence retention period specified below is shorter than the time since the last audit, the CEA may ask an entity to provide other evidence to show that it was compliant for the full-time period since the last audit.</w:t>
      </w:r>
    </w:p>
    <w:p w:rsidRPr="003C4DC8" w:rsidR="007F5CAD" w:rsidP="007F5CAD" w:rsidRDefault="007F5CAD" w14:paraId="3E45532D" w14:textId="77777777">
      <w:pPr>
        <w:rPr>
          <w:rFonts w:ascii="Times New Roman" w:hAnsi="Times New Roman" w:cs="Times New Roman"/>
          <w:sz w:val="24"/>
          <w:szCs w:val="24"/>
          <w:highlight w:val="lightGray"/>
        </w:rPr>
      </w:pPr>
      <w:r w:rsidRPr="003C4DC8">
        <w:rPr>
          <w:rFonts w:ascii="Times New Roman" w:hAnsi="Times New Roman" w:cs="Times New Roman"/>
          <w:sz w:val="24"/>
          <w:szCs w:val="24"/>
          <w:highlight w:val="lightGray"/>
        </w:rPr>
        <w:t>The Responsible Entity shall keep data or evidence to show compliance as identified below unless directed by its CEA to retain specific evidence for a longer period of time as part of an investigation.</w:t>
      </w:r>
    </w:p>
    <w:p w:rsidRPr="003C4DC8" w:rsidR="007F5CAD" w:rsidP="007F5CAD" w:rsidRDefault="007F5CAD" w14:paraId="0494B5F9" w14:textId="77777777">
      <w:pPr>
        <w:numPr>
          <w:ilvl w:val="2"/>
          <w:numId w:val="26"/>
        </w:numPr>
        <w:rPr>
          <w:rFonts w:ascii="Times New Roman" w:hAnsi="Times New Roman" w:cs="Times New Roman"/>
          <w:sz w:val="24"/>
          <w:szCs w:val="24"/>
          <w:highlight w:val="lightGray"/>
        </w:rPr>
      </w:pPr>
      <w:r w:rsidRPr="003C4DC8">
        <w:rPr>
          <w:rFonts w:ascii="Times New Roman" w:hAnsi="Times New Roman" w:cs="Times New Roman"/>
          <w:sz w:val="24"/>
          <w:szCs w:val="24"/>
          <w:highlight w:val="lightGray"/>
        </w:rPr>
        <w:t>The Responsible Entities shall keep data or evidence of each Requirement in this Reliability Standard for three calendar years.</w:t>
      </w:r>
    </w:p>
    <w:p w:rsidRPr="003C4DC8" w:rsidR="007F5CAD" w:rsidP="007F5CAD" w:rsidRDefault="007F5CAD" w14:paraId="5815D604" w14:textId="77777777">
      <w:pPr>
        <w:numPr>
          <w:ilvl w:val="2"/>
          <w:numId w:val="26"/>
        </w:numPr>
        <w:rPr>
          <w:rFonts w:ascii="Times New Roman" w:hAnsi="Times New Roman" w:cs="Times New Roman"/>
          <w:sz w:val="24"/>
          <w:szCs w:val="24"/>
          <w:highlight w:val="lightGray"/>
        </w:rPr>
      </w:pPr>
      <w:r w:rsidRPr="003C4DC8">
        <w:rPr>
          <w:rFonts w:ascii="Times New Roman" w:hAnsi="Times New Roman" w:cs="Times New Roman"/>
          <w:sz w:val="24"/>
          <w:szCs w:val="24"/>
          <w:highlight w:val="lightGray"/>
        </w:rPr>
        <w:t>If a Responsible Entity is found non-compliant, it shall keep information related to the non-compliance until mitigation is complete and approved or for the time specified above, whichever is longer.</w:t>
      </w:r>
    </w:p>
    <w:p w:rsidRPr="003C4DC8" w:rsidR="007F5CAD" w:rsidP="007F5CAD" w:rsidRDefault="007F5CAD" w14:paraId="58C03902" w14:textId="77777777">
      <w:pPr>
        <w:numPr>
          <w:ilvl w:val="2"/>
          <w:numId w:val="26"/>
        </w:numPr>
        <w:rPr>
          <w:rFonts w:ascii="Times New Roman" w:hAnsi="Times New Roman" w:cs="Times New Roman"/>
          <w:sz w:val="24"/>
          <w:szCs w:val="24"/>
          <w:highlight w:val="lightGray"/>
        </w:rPr>
      </w:pPr>
      <w:r w:rsidRPr="003C4DC8">
        <w:rPr>
          <w:rFonts w:ascii="Times New Roman" w:hAnsi="Times New Roman" w:cs="Times New Roman"/>
          <w:sz w:val="24"/>
          <w:szCs w:val="24"/>
          <w:highlight w:val="lightGray"/>
        </w:rPr>
        <w:t>The CEA shall keep the last audit records and all requested and submitted subsequent audit records.</w:t>
      </w:r>
    </w:p>
    <w:p w:rsidRPr="007F5CAD" w:rsidR="007F5CAD" w:rsidP="007F5CAD" w:rsidRDefault="007F5CAD" w14:paraId="63F5187A" w14:textId="77777777">
      <w:pPr>
        <w:rPr>
          <w:rFonts w:ascii="Times New Roman" w:hAnsi="Times New Roman" w:cs="Times New Roman"/>
          <w:sz w:val="24"/>
          <w:szCs w:val="24"/>
        </w:rPr>
      </w:pPr>
      <w:r w:rsidRPr="007F5CAD">
        <w:rPr>
          <w:rFonts w:ascii="Times New Roman" w:hAnsi="Times New Roman" w:cs="Times New Roman"/>
          <w:b/>
          <w:bCs/>
          <w:sz w:val="24"/>
          <w:szCs w:val="24"/>
        </w:rPr>
        <w:t xml:space="preserve">1.3. Compliance Monitoring and Enforcement Program: </w:t>
      </w:r>
      <w:r w:rsidRPr="007F5CAD">
        <w:rPr>
          <w:rFonts w:ascii="Times New Roman" w:hAnsi="Times New Roman" w:cs="Times New Roman"/>
          <w:sz w:val="24"/>
          <w:szCs w:val="24"/>
        </w:rPr>
        <w:t>As defined in the NERC</w:t>
      </w:r>
    </w:p>
    <w:p w:rsidRPr="007A560D" w:rsidR="006D515F" w:rsidP="005D011E" w:rsidRDefault="007F5CAD" w14:paraId="4DAF9AA0" w14:textId="5395D542">
      <w:pPr>
        <w:rPr>
          <w:rFonts w:ascii="Times New Roman" w:hAnsi="Times New Roman" w:cs="Times New Roman"/>
          <w:sz w:val="24"/>
          <w:szCs w:val="24"/>
        </w:rPr>
      </w:pPr>
      <w:r w:rsidRPr="007F5CAD">
        <w:rPr>
          <w:rFonts w:ascii="Times New Roman" w:hAnsi="Times New Roman" w:cs="Times New Roman"/>
          <w:sz w:val="24"/>
          <w:szCs w:val="24"/>
        </w:rPr>
        <w:t>Rules of Procedure, “Compliance Monitoring and Enforcement Program” refers to the identification of the processes that will be used to evaluate data or information for the purpose of assessing performance or outcomes with the</w:t>
      </w:r>
      <w:r>
        <w:rPr>
          <w:rFonts w:ascii="Times New Roman" w:hAnsi="Times New Roman" w:cs="Times New Roman"/>
          <w:sz w:val="24"/>
          <w:szCs w:val="24"/>
        </w:rPr>
        <w:t xml:space="preserve"> </w:t>
      </w:r>
      <w:r w:rsidRPr="007F5CAD">
        <w:rPr>
          <w:rFonts w:ascii="Times New Roman" w:hAnsi="Times New Roman" w:cs="Times New Roman"/>
          <w:sz w:val="24"/>
          <w:szCs w:val="24"/>
        </w:rPr>
        <w:t>associated Reliability Standard.</w:t>
      </w:r>
    </w:p>
    <w:sectPr w:rsidRPr="007A560D" w:rsidR="006D515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6312A" w14:textId="77777777" w:rsidR="001F4069" w:rsidRDefault="001F4069" w:rsidP="00D350A8">
      <w:pPr>
        <w:spacing w:after="0" w:line="240" w:lineRule="auto"/>
      </w:pPr>
      <w:r>
        <w:separator/>
      </w:r>
    </w:p>
  </w:endnote>
  <w:endnote w:type="continuationSeparator" w:id="0">
    <w:p w14:paraId="341D527B" w14:textId="77777777" w:rsidR="001F4069" w:rsidRDefault="001F4069" w:rsidP="00D350A8">
      <w:pPr>
        <w:spacing w:after="0" w:line="240" w:lineRule="auto"/>
      </w:pPr>
      <w:r>
        <w:continuationSeparator/>
      </w:r>
    </w:p>
  </w:endnote>
  <w:endnote w:type="continuationNotice" w:id="1">
    <w:p w14:paraId="56C0A73E" w14:textId="77777777" w:rsidR="001F4069" w:rsidRDefault="001F4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398D" w14:textId="77777777" w:rsidR="00F97210" w:rsidRDefault="00F97210">
    <w:pPr>
      <w:pStyle w:val="Footer"/>
    </w:pPr>
  </w:p>
  <w:p w14:paraId="54030611" w14:textId="77777777" w:rsidR="00E63496" w:rsidRDefault="00E634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793893"/>
      <w:docPartObj>
        <w:docPartGallery w:val="Page Numbers (Bottom of Page)"/>
        <w:docPartUnique/>
      </w:docPartObj>
    </w:sdtPr>
    <w:sdtEndPr>
      <w:rPr>
        <w:noProof/>
      </w:rPr>
    </w:sdtEndPr>
    <w:sdtContent>
      <w:p w14:paraId="07EB7F9D" w14:textId="7CF6D8D3" w:rsidR="00C55457" w:rsidRDefault="00C55457">
        <w:pPr>
          <w:pStyle w:val="Footer"/>
          <w:jc w:val="right"/>
        </w:pPr>
        <w:r>
          <w:fldChar w:fldCharType="begin"/>
        </w:r>
        <w:r>
          <w:instrText xml:space="preserve"> PAGE   \* MERGEFORMAT </w:instrText>
        </w:r>
        <w:r>
          <w:fldChar w:fldCharType="separate"/>
        </w:r>
        <w:r w:rsidR="000F3EBB">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8EB09" w14:textId="77777777" w:rsidR="003E28B1" w:rsidRDefault="003E2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9C87C" w14:textId="77777777" w:rsidR="001F4069" w:rsidRDefault="001F4069" w:rsidP="00D350A8">
      <w:pPr>
        <w:spacing w:after="0" w:line="240" w:lineRule="auto"/>
      </w:pPr>
      <w:r>
        <w:separator/>
      </w:r>
    </w:p>
  </w:footnote>
  <w:footnote w:type="continuationSeparator" w:id="0">
    <w:p w14:paraId="3224B817" w14:textId="77777777" w:rsidR="001F4069" w:rsidRDefault="001F4069" w:rsidP="00D350A8">
      <w:pPr>
        <w:spacing w:after="0" w:line="240" w:lineRule="auto"/>
      </w:pPr>
      <w:r>
        <w:continuationSeparator/>
      </w:r>
    </w:p>
  </w:footnote>
  <w:footnote w:type="continuationNotice" w:id="1">
    <w:p w14:paraId="1D19EDAB" w14:textId="77777777" w:rsidR="001F4069" w:rsidRDefault="001F4069">
      <w:pPr>
        <w:spacing w:after="0" w:line="240" w:lineRule="auto"/>
      </w:pPr>
    </w:p>
  </w:footnote>
  <w:footnote w:id="2">
    <w:p w14:paraId="6A14E119" w14:textId="6F802D3F" w:rsidR="002C531C" w:rsidRDefault="002C531C">
      <w:pPr>
        <w:pStyle w:val="FootnoteText"/>
      </w:pPr>
      <w:r>
        <w:rPr>
          <w:rStyle w:val="FootnoteReference"/>
        </w:rPr>
        <w:footnoteRef/>
      </w:r>
      <w:r>
        <w:t xml:space="preserve"> The Order is posted in FERC’s eLibrary at </w:t>
      </w:r>
      <w:hyperlink r:id="rId1" w:history="1">
        <w:r w:rsidRPr="009B1B80">
          <w:rPr>
            <w:rStyle w:val="Hyperlink"/>
          </w:rPr>
          <w:t>https://elibrary.ferc.gov/idmws/common/opennat.asp?fileID=15449122</w:t>
        </w:r>
      </w:hyperlink>
      <w:r>
        <w:t xml:space="preserve">. </w:t>
      </w:r>
    </w:p>
  </w:footnote>
  <w:footnote w:id="3">
    <w:p w14:paraId="0FA86408" w14:textId="77777777" w:rsidR="008B0895" w:rsidRDefault="008B0895" w:rsidP="008B0895">
      <w:pPr>
        <w:pStyle w:val="FootnoteText"/>
      </w:pPr>
      <w:r>
        <w:rPr>
          <w:rStyle w:val="FootnoteReference"/>
        </w:rPr>
        <w:footnoteRef/>
      </w:r>
      <w:r>
        <w:t xml:space="preserve"> 16 U.S.C. 824o. </w:t>
      </w:r>
    </w:p>
  </w:footnote>
  <w:footnote w:id="4">
    <w:p w14:paraId="52040536" w14:textId="77777777" w:rsidR="008B0895" w:rsidRDefault="008B0895" w:rsidP="008B0895">
      <w:pPr>
        <w:pStyle w:val="FootnoteText"/>
      </w:pPr>
      <w:r>
        <w:rPr>
          <w:rStyle w:val="FootnoteReference"/>
        </w:rPr>
        <w:footnoteRef/>
      </w:r>
      <w:r>
        <w:t xml:space="preserve"> </w:t>
      </w:r>
      <w:r>
        <w:rPr>
          <w:i/>
          <w:iCs/>
        </w:rPr>
        <w:t>North American Electric Reliability Corp.</w:t>
      </w:r>
      <w:r>
        <w:t xml:space="preserve">, 116 FERC ¶ 61,062, </w:t>
      </w:r>
      <w:r>
        <w:rPr>
          <w:i/>
          <w:iCs/>
        </w:rPr>
        <w:t>order on reh’g &amp; compliance</w:t>
      </w:r>
      <w:r>
        <w:t xml:space="preserve">, 117 FERC ¶ 61,126 (2006), </w:t>
      </w:r>
      <w:r>
        <w:rPr>
          <w:i/>
        </w:rPr>
        <w:t xml:space="preserve">aff’d </w:t>
      </w:r>
      <w:r>
        <w:rPr>
          <w:i/>
          <w:iCs/>
        </w:rPr>
        <w:t>sub nom. Alcoa, Inc. v. FERC</w:t>
      </w:r>
      <w:r>
        <w:t xml:space="preserve">, 564 F.3d 1342 (D.C. Cir. 2009).  </w:t>
      </w:r>
    </w:p>
  </w:footnote>
  <w:footnote w:id="5">
    <w:p w14:paraId="60B6D934" w14:textId="77777777" w:rsidR="00930579" w:rsidRDefault="00930579" w:rsidP="00930579">
      <w:pPr>
        <w:pStyle w:val="FootnoteText"/>
      </w:pPr>
      <w:r>
        <w:rPr>
          <w:rStyle w:val="FootnoteReference"/>
        </w:rPr>
        <w:footnoteRef/>
      </w:r>
      <w:r>
        <w:t xml:space="preserve"> 16 U.S.C. 824o(d)(2). </w:t>
      </w:r>
    </w:p>
  </w:footnote>
  <w:footnote w:id="6">
    <w:p w14:paraId="61B79407" w14:textId="77777777" w:rsidR="00930579" w:rsidRDefault="00930579" w:rsidP="00930579">
      <w:pPr>
        <w:pStyle w:val="FootnoteText"/>
      </w:pPr>
      <w:r>
        <w:rPr>
          <w:rStyle w:val="FootnoteReference"/>
        </w:rPr>
        <w:footnoteRef/>
      </w:r>
      <w:r>
        <w:t xml:space="preserve"> </w:t>
      </w:r>
      <w:r w:rsidRPr="00EF6CA2">
        <w:rPr>
          <w:i/>
          <w:szCs w:val="26"/>
        </w:rPr>
        <w:t>Revised Critical Infrastructure Protection Reliability Standards</w:t>
      </w:r>
      <w:r w:rsidRPr="00EF6CA2">
        <w:rPr>
          <w:szCs w:val="26"/>
        </w:rPr>
        <w:t xml:space="preserve">, </w:t>
      </w:r>
      <w:r>
        <w:rPr>
          <w:szCs w:val="26"/>
        </w:rPr>
        <w:t xml:space="preserve">Order No. 822, 154 FERC ¶ 61,037, at P 53, </w:t>
      </w:r>
      <w:r>
        <w:rPr>
          <w:i/>
          <w:szCs w:val="26"/>
        </w:rPr>
        <w:t>order denying reh’g</w:t>
      </w:r>
      <w:r>
        <w:rPr>
          <w:szCs w:val="26"/>
        </w:rPr>
        <w:t>, Order No. 822-A, 156 FERC ¶ 61,052</w:t>
      </w:r>
      <w:r w:rsidRPr="00EF6CA2">
        <w:rPr>
          <w:szCs w:val="26"/>
        </w:rPr>
        <w:t xml:space="preserve"> (2016)</w:t>
      </w:r>
      <w:r>
        <w:t>.</w:t>
      </w:r>
      <w:r w:rsidRPr="00EF6CA2">
        <w:rPr>
          <w:szCs w:val="26"/>
        </w:rPr>
        <w:t xml:space="preserve">  </w:t>
      </w:r>
    </w:p>
  </w:footnote>
  <w:footnote w:id="7">
    <w:p w14:paraId="5AB6BF36" w14:textId="77777777" w:rsidR="00930579" w:rsidRPr="001B5E78" w:rsidRDefault="00930579" w:rsidP="00930579">
      <w:pPr>
        <w:pStyle w:val="FootnoteText"/>
      </w:pPr>
      <w:r>
        <w:rPr>
          <w:rStyle w:val="FootnoteReference"/>
        </w:rPr>
        <w:footnoteRef/>
      </w:r>
      <w:r>
        <w:t xml:space="preserve"> 16 U.S.C. 824o(d)(5); </w:t>
      </w:r>
      <w:r>
        <w:rPr>
          <w:szCs w:val="26"/>
        </w:rPr>
        <w:t>Order No. 822, 154 FERC ¶ 61,037 at P 53</w:t>
      </w:r>
      <w:r>
        <w:t>.</w:t>
      </w:r>
    </w:p>
  </w:footnote>
  <w:footnote w:id="8">
    <w:p w14:paraId="51E6D1F4" w14:textId="2FD42288" w:rsidR="00930579" w:rsidRDefault="00930579" w:rsidP="00930579">
      <w:pPr>
        <w:pStyle w:val="FootnoteText"/>
      </w:pPr>
      <w:r>
        <w:rPr>
          <w:rStyle w:val="FootnoteReference"/>
        </w:rPr>
        <w:footnoteRef/>
      </w:r>
      <w:r>
        <w:t xml:space="preserve"> </w:t>
      </w:r>
      <w:r w:rsidR="00DD194D">
        <w:t>Control Center</w:t>
      </w:r>
      <w:r>
        <w:t xml:space="preserve"> is defined as </w:t>
      </w:r>
      <w:r w:rsidR="00BF0501">
        <w:t>o</w:t>
      </w:r>
      <w:r w:rsidR="00DD194D" w:rsidRPr="00DD194D">
        <w:t>ne or more facilities hosting operating personnel that monitor and control the Bulk Electric System (BES) in real-time to perform the reliability tasks, including their associated data centers, of: 1) a Reliability Coordinator, 2) a Balancing Authority, 3) a Transmission Operator for transmission Facilities at two or more locations, or 4) a Generator Operator for generation Facilities at two or more locations.</w:t>
      </w:r>
      <w:r w:rsidRPr="00A36B52">
        <w:t>.</w:t>
      </w:r>
      <w:r>
        <w:t xml:space="preserve">”  </w:t>
      </w:r>
      <w:r w:rsidRPr="004D2C03">
        <w:t>Glossary of Terms Used in NERC Reliability Standards</w:t>
      </w:r>
      <w:r>
        <w:t xml:space="preserve"> (NERC Glossary), </w:t>
      </w:r>
      <w:hyperlink r:id="rId2" w:history="1">
        <w:r w:rsidRPr="006C3963">
          <w:rPr>
            <w:rStyle w:val="Hyperlink"/>
          </w:rPr>
          <w:t>http://www.nerc.com/files/glossary_of_terms.pdf</w:t>
        </w:r>
      </w:hyperlink>
      <w:r w:rsidRPr="006C3963">
        <w:t xml:space="preserve">.  </w:t>
      </w:r>
      <w:r>
        <w:t>The acronym BES refers to the bulk electric system.</w:t>
      </w:r>
    </w:p>
  </w:footnote>
  <w:footnote w:id="9">
    <w:p w14:paraId="1F11602C" w14:textId="6D0637C7" w:rsidR="00930579" w:rsidRDefault="00930579" w:rsidP="00930579">
      <w:pPr>
        <w:pStyle w:val="FootnoteText"/>
      </w:pPr>
      <w:r>
        <w:rPr>
          <w:rStyle w:val="FootnoteReference"/>
        </w:rPr>
        <w:footnoteRef/>
      </w:r>
      <w:r>
        <w:t xml:space="preserve"> Real-time Assessment is defined in the NERC Glossary while Real-time monitoring is not.</w:t>
      </w:r>
    </w:p>
  </w:footnote>
  <w:footnote w:id="10">
    <w:p w14:paraId="37FA0235" w14:textId="783D81FC" w:rsidR="00A52344" w:rsidRDefault="00A52344" w:rsidP="00A52344">
      <w:pPr>
        <w:pStyle w:val="FootnoteText"/>
      </w:pPr>
      <w:r>
        <w:rPr>
          <w:rStyle w:val="FootnoteReference"/>
        </w:rPr>
        <w:footnoteRef/>
      </w:r>
      <w:r>
        <w:t xml:space="preserve"> </w:t>
      </w:r>
      <w:r w:rsidRPr="00342FA3">
        <w:t xml:space="preserve">Public utilities may fall under one of several different categories, each with a size threshold based on the company’s number of employees, including affiliates, the parent company, and subsidiaries.  </w:t>
      </w:r>
      <w:r w:rsidRPr="00640D5A">
        <w:t xml:space="preserve">For the analysis in this </w:t>
      </w:r>
      <w:r w:rsidR="00E16C2F">
        <w:t>Final Rule</w:t>
      </w:r>
      <w:r w:rsidRPr="00640D5A">
        <w:t>, we are using a 500</w:t>
      </w:r>
      <w:r w:rsidR="002648F4">
        <w:t>-</w:t>
      </w:r>
      <w:r w:rsidRPr="00640D5A">
        <w:t xml:space="preserve">employee threshold </w:t>
      </w:r>
      <w:r>
        <w:t xml:space="preserve">due to each affected entity falling </w:t>
      </w:r>
      <w:r w:rsidR="007B1F68">
        <w:t xml:space="preserve">in </w:t>
      </w:r>
      <w:r>
        <w:t>the role of Electric Bulk Power Transm</w:t>
      </w:r>
      <w:r w:rsidR="003702E7">
        <w:t>ission and Control (NAISC Code:</w:t>
      </w:r>
      <w:r>
        <w:t xml:space="preserve"> 221121)</w:t>
      </w:r>
      <w:r w:rsidRPr="00175D3A">
        <w:t>.</w:t>
      </w:r>
    </w:p>
  </w:footnote>
  <w:footnote w:id="11">
    <w:p w14:paraId="01F71874" w14:textId="7DC3528D" w:rsidR="00675A46" w:rsidRDefault="00675A46">
      <w:pPr>
        <w:pStyle w:val="FootnoteText"/>
      </w:pPr>
      <w:r>
        <w:rPr>
          <w:rStyle w:val="FootnoteReference"/>
        </w:rPr>
        <w:footnoteRef/>
      </w:r>
      <w:r w:rsidR="001C7872">
        <w:t xml:space="preserve"> 8</w:t>
      </w:r>
      <w:r w:rsidR="00FB7355">
        <w:t>4</w:t>
      </w:r>
      <w:r w:rsidR="001C7872">
        <w:t xml:space="preserve"> FR </w:t>
      </w:r>
      <w:r w:rsidR="00FB7355">
        <w:t>17105</w:t>
      </w:r>
    </w:p>
  </w:footnote>
  <w:footnote w:id="12">
    <w:p w14:paraId="7F71BE54" w14:textId="77777777" w:rsidR="00C55457" w:rsidRPr="00CB0831" w:rsidRDefault="00C55457" w:rsidP="00F14924">
      <w:pPr>
        <w:pStyle w:val="FootnoteText"/>
      </w:pPr>
      <w:r w:rsidRPr="00CB0831">
        <w:rPr>
          <w:rStyle w:val="FootnoteReference"/>
        </w:rPr>
        <w:footnoteRef/>
      </w:r>
      <w:r w:rsidRPr="00CB0831">
        <w:t xml:space="preserve"> Section 1502, Paragraph 2, available at NERCs website</w:t>
      </w:r>
    </w:p>
  </w:footnote>
  <w:footnote w:id="13">
    <w:p w14:paraId="289EEEC3" w14:textId="77777777" w:rsidR="009C2264" w:rsidRPr="00D30BDB" w:rsidRDefault="009C2264" w:rsidP="009C2264">
      <w:pPr>
        <w:pStyle w:val="FootnoteText"/>
      </w:pPr>
      <w:r w:rsidRPr="00D30BDB">
        <w:rPr>
          <w:rStyle w:val="FootnoteReference"/>
        </w:rPr>
        <w:footnoteRef/>
      </w:r>
      <w:r w:rsidRPr="00D30BDB">
        <w:t xml:space="preserve"> We consider the filing of an application to be a “response.” </w:t>
      </w:r>
    </w:p>
  </w:footnote>
  <w:footnote w:id="14">
    <w:p w14:paraId="743A6FE1" w14:textId="04922049" w:rsidR="009C2264" w:rsidRDefault="009C2264" w:rsidP="009C2264">
      <w:pPr>
        <w:pStyle w:val="FootnoteText"/>
        <w:rPr>
          <w:szCs w:val="26"/>
        </w:rPr>
      </w:pPr>
      <w:r w:rsidRPr="00357340">
        <w:rPr>
          <w:rStyle w:val="FootnoteReference"/>
        </w:rPr>
        <w:footnoteRef/>
      </w:r>
      <w:r>
        <w:rPr>
          <w:szCs w:val="26"/>
        </w:rPr>
        <w:t xml:space="preserve"> </w:t>
      </w:r>
      <w:r>
        <w:t>The hourly cost for wages plus benefits is based on the average of the occupational categories for 2018 found on the Bureau of Labor Statistics website</w:t>
      </w:r>
      <w:r>
        <w:rPr>
          <w:szCs w:val="26"/>
        </w:rPr>
        <w:t xml:space="preserve"> </w:t>
      </w:r>
      <w:r w:rsidRPr="006C3963">
        <w:rPr>
          <w:szCs w:val="26"/>
        </w:rPr>
        <w:t>(</w:t>
      </w:r>
      <w:hyperlink r:id="rId3" w:history="1">
        <w:r w:rsidRPr="006C3963">
          <w:rPr>
            <w:rStyle w:val="Hyperlink"/>
          </w:rPr>
          <w:t>http://www.bls.gov/oes/current/naics2_22.htm</w:t>
        </w:r>
      </w:hyperlink>
      <w:r w:rsidRPr="006C3963">
        <w:rPr>
          <w:szCs w:val="26"/>
        </w:rPr>
        <w:t>):</w:t>
      </w:r>
    </w:p>
    <w:p w14:paraId="00E2EEB2" w14:textId="637114A8" w:rsidR="009C2264" w:rsidRDefault="009C2264" w:rsidP="00297207">
      <w:pPr>
        <w:pStyle w:val="FootnoteText"/>
        <w:ind w:left="720"/>
        <w:rPr>
          <w:szCs w:val="26"/>
        </w:rPr>
      </w:pPr>
      <w:r>
        <w:t>Information Security Analysts (Occupation Code: 15-1122): $61.49</w:t>
      </w:r>
    </w:p>
    <w:p w14:paraId="1CEBE221" w14:textId="77777777" w:rsidR="009C2264" w:rsidRDefault="009C2264" w:rsidP="00297207">
      <w:pPr>
        <w:pStyle w:val="FootnoteText"/>
        <w:ind w:left="720"/>
        <w:rPr>
          <w:szCs w:val="26"/>
        </w:rPr>
      </w:pPr>
      <w:r>
        <w:t>Computer and Mathematical (Occupation Code: 15-0000): $63.54</w:t>
      </w:r>
    </w:p>
    <w:p w14:paraId="204EE010" w14:textId="77777777" w:rsidR="009C2264" w:rsidRDefault="009C2264" w:rsidP="00297207">
      <w:pPr>
        <w:pStyle w:val="FootnoteText"/>
        <w:ind w:left="720"/>
        <w:rPr>
          <w:szCs w:val="26"/>
        </w:rPr>
      </w:pPr>
      <w:r>
        <w:t>Legal (Occupation Code: 23-0000): $142.86</w:t>
      </w:r>
    </w:p>
    <w:p w14:paraId="0CF67D27" w14:textId="77777777" w:rsidR="009C2264" w:rsidRDefault="009C2264" w:rsidP="00297207">
      <w:pPr>
        <w:pStyle w:val="FootnoteText"/>
        <w:ind w:left="720"/>
        <w:rPr>
          <w:szCs w:val="26"/>
        </w:rPr>
      </w:pPr>
      <w:r>
        <w:t>Computer and Information Systems Managers (Occupation Code: 11-3021): $98.81.</w:t>
      </w:r>
    </w:p>
    <w:p w14:paraId="672BE6E4" w14:textId="04324BC6" w:rsidR="009C2264" w:rsidRPr="00357340" w:rsidRDefault="009C2264" w:rsidP="009C2264">
      <w:pPr>
        <w:pStyle w:val="FootnoteText"/>
        <w:rPr>
          <w:szCs w:val="26"/>
        </w:rPr>
      </w:pPr>
      <w:r>
        <w:t>These various occupational categories’ wage figures are averaged as follows: $61.49/hour + $63.54/hour + $142.86/hour + $98.81/hour) ÷ 4 = $91.70/hour.  The resulting wage figure is rounded to $92.00/hour for use in calculating wage figures in the Final Rule in Docket No. RM18-20-000.</w:t>
      </w:r>
    </w:p>
  </w:footnote>
  <w:footnote w:id="15">
    <w:p w14:paraId="1A45B759" w14:textId="77777777" w:rsidR="009C2264" w:rsidRDefault="009C2264" w:rsidP="009C2264">
      <w:pPr>
        <w:pStyle w:val="FootnoteText"/>
      </w:pPr>
      <w:r>
        <w:rPr>
          <w:rStyle w:val="FootnoteReference"/>
        </w:rPr>
        <w:footnoteRef/>
      </w:r>
      <w:r>
        <w:t xml:space="preserve"> </w:t>
      </w:r>
      <w:r w:rsidRPr="001A28D0">
        <w:t xml:space="preserve">This includes the record retention costs </w:t>
      </w:r>
      <w:r>
        <w:t xml:space="preserve">for </w:t>
      </w:r>
      <w:r w:rsidRPr="001A28D0">
        <w:t>the one-time and the on-going reporting documents.</w:t>
      </w:r>
    </w:p>
  </w:footnote>
  <w:footnote w:id="16">
    <w:p w14:paraId="0E949A4E" w14:textId="59E4990E" w:rsidR="00EF50B8" w:rsidRDefault="00EF50B8">
      <w:pPr>
        <w:pStyle w:val="FootnoteText"/>
      </w:pPr>
      <w:r>
        <w:rPr>
          <w:rStyle w:val="FootnoteReference"/>
        </w:rPr>
        <w:footnoteRef/>
      </w:r>
      <w:r>
        <w:t xml:space="preserve"> </w:t>
      </w:r>
      <w:bookmarkStart w:id="2" w:name="_Hlk32386429"/>
      <w:r>
        <w:t>The Final Rule inadvertently says “28,560 hrs.,” but that figure is corrected here.</w:t>
      </w:r>
      <w:bookmarkEnd w:id="2"/>
    </w:p>
  </w:footnote>
  <w:footnote w:id="17">
    <w:p w14:paraId="340F57C3" w14:textId="536CF10E" w:rsidR="00EF50B8" w:rsidRDefault="00EF50B8">
      <w:pPr>
        <w:pStyle w:val="FootnoteText"/>
      </w:pPr>
      <w:r>
        <w:rPr>
          <w:rStyle w:val="FootnoteReference"/>
        </w:rPr>
        <w:footnoteRef/>
      </w:r>
      <w:r>
        <w:t xml:space="preserve"> </w:t>
      </w:r>
      <w:r w:rsidRPr="00EF50B8">
        <w:t>The Final Rule inadvertently says “</w:t>
      </w:r>
      <w:r>
        <w:t>14,280</w:t>
      </w:r>
      <w:r w:rsidRPr="00EF50B8">
        <w:t xml:space="preserve"> hrs.,” but that figure is corrected here.</w:t>
      </w:r>
    </w:p>
  </w:footnote>
  <w:footnote w:id="18">
    <w:p w14:paraId="1142E82B" w14:textId="2B86EDE8" w:rsidR="00E94A62" w:rsidRDefault="00E94A62">
      <w:pPr>
        <w:pStyle w:val="FootnoteText"/>
      </w:pPr>
      <w:r>
        <w:rPr>
          <w:rStyle w:val="FootnoteReference"/>
        </w:rPr>
        <w:footnoteRef/>
      </w:r>
      <w:r>
        <w:t xml:space="preserve"> </w:t>
      </w:r>
      <w:r w:rsidRPr="00E94A62">
        <w:t>The Final Rule inadvertently says “</w:t>
      </w:r>
      <w:r>
        <w:t>14,240</w:t>
      </w:r>
      <w:r w:rsidRPr="00E94A62">
        <w:t xml:space="preserve"> hrs.,” but that figure is corrected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CF65" w14:textId="77777777" w:rsidR="00F97210" w:rsidRDefault="00F97210">
    <w:pPr>
      <w:pStyle w:val="Header"/>
    </w:pPr>
  </w:p>
  <w:p w14:paraId="05CCD040" w14:textId="77777777" w:rsidR="00E63496" w:rsidRDefault="00E634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C44C" w14:textId="17EE7F43" w:rsidR="00C55457" w:rsidRPr="00B51BB8" w:rsidRDefault="00E66667" w:rsidP="002A414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936236">
      <w:rPr>
        <w:rFonts w:ascii="Times New Roman" w:hAnsi="Times New Roman" w:cs="Times New Roman"/>
        <w:sz w:val="24"/>
        <w:szCs w:val="24"/>
      </w:rPr>
      <w:t xml:space="preserve"> (OMB Control No. 1902-0248</w:t>
    </w:r>
    <w:r w:rsidR="00C55457" w:rsidRPr="00B51BB8">
      <w:rPr>
        <w:rFonts w:ascii="Times New Roman" w:hAnsi="Times New Roman" w:cs="Times New Roman"/>
        <w:sz w:val="24"/>
        <w:szCs w:val="24"/>
      </w:rPr>
      <w:t xml:space="preserve">) </w:t>
    </w:r>
  </w:p>
  <w:p w14:paraId="13DC6E01" w14:textId="27822E72" w:rsidR="00C55457" w:rsidRDefault="00775ADE" w:rsidP="002A4142">
    <w:pPr>
      <w:pStyle w:val="Header"/>
      <w:rPr>
        <w:rFonts w:ascii="Times New Roman" w:hAnsi="Times New Roman" w:cs="Times New Roman"/>
        <w:bCs/>
        <w:sz w:val="24"/>
        <w:szCs w:val="24"/>
      </w:rPr>
    </w:pPr>
    <w:r w:rsidRPr="009C2264">
      <w:rPr>
        <w:rFonts w:ascii="Times New Roman" w:hAnsi="Times New Roman" w:cs="Times New Roman"/>
        <w:bCs/>
        <w:sz w:val="24"/>
        <w:szCs w:val="24"/>
      </w:rPr>
      <w:t>Final Rule</w:t>
    </w:r>
    <w:r w:rsidR="00B50C45" w:rsidRPr="009C2264">
      <w:rPr>
        <w:rFonts w:ascii="Times New Roman" w:hAnsi="Times New Roman" w:cs="Times New Roman"/>
        <w:bCs/>
        <w:sz w:val="24"/>
        <w:szCs w:val="24"/>
      </w:rPr>
      <w:t xml:space="preserve"> (</w:t>
    </w:r>
    <w:r w:rsidR="00C55457" w:rsidRPr="00297207">
      <w:rPr>
        <w:rFonts w:ascii="Times New Roman" w:hAnsi="Times New Roman" w:cs="Times New Roman"/>
        <w:bCs/>
        <w:sz w:val="24"/>
        <w:szCs w:val="24"/>
      </w:rPr>
      <w:t>iss</w:t>
    </w:r>
    <w:r w:rsidR="00695620" w:rsidRPr="00297207">
      <w:rPr>
        <w:rFonts w:ascii="Times New Roman" w:hAnsi="Times New Roman" w:cs="Times New Roman"/>
        <w:bCs/>
        <w:sz w:val="24"/>
        <w:szCs w:val="24"/>
      </w:rPr>
      <w:t xml:space="preserve">ued </w:t>
    </w:r>
    <w:r w:rsidR="009C2264" w:rsidRPr="00297207">
      <w:rPr>
        <w:rFonts w:ascii="Times New Roman" w:hAnsi="Times New Roman" w:cs="Times New Roman"/>
        <w:bCs/>
        <w:sz w:val="24"/>
        <w:szCs w:val="24"/>
      </w:rPr>
      <w:t>1/23/2020)</w:t>
    </w:r>
    <w:r w:rsidR="009C2264" w:rsidRPr="009C2264">
      <w:rPr>
        <w:rFonts w:ascii="Times New Roman" w:hAnsi="Times New Roman" w:cs="Times New Roman"/>
        <w:bCs/>
        <w:sz w:val="24"/>
        <w:szCs w:val="24"/>
      </w:rPr>
      <w:t xml:space="preserve"> </w:t>
    </w:r>
    <w:r w:rsidR="00695620" w:rsidRPr="009C2264">
      <w:rPr>
        <w:rFonts w:ascii="Times New Roman" w:hAnsi="Times New Roman" w:cs="Times New Roman"/>
        <w:bCs/>
        <w:sz w:val="24"/>
        <w:szCs w:val="24"/>
      </w:rPr>
      <w:t>in Docket</w:t>
    </w:r>
    <w:r w:rsidR="00695620">
      <w:rPr>
        <w:rFonts w:ascii="Times New Roman" w:hAnsi="Times New Roman" w:cs="Times New Roman"/>
        <w:bCs/>
        <w:sz w:val="24"/>
        <w:szCs w:val="24"/>
      </w:rPr>
      <w:t xml:space="preserve"> </w:t>
    </w:r>
    <w:r>
      <w:rPr>
        <w:rFonts w:ascii="Times New Roman" w:hAnsi="Times New Roman" w:cs="Times New Roman"/>
        <w:bCs/>
        <w:sz w:val="24"/>
        <w:szCs w:val="24"/>
      </w:rPr>
      <w:t xml:space="preserve">No. </w:t>
    </w:r>
    <w:r w:rsidR="00695620">
      <w:rPr>
        <w:rFonts w:ascii="Times New Roman" w:hAnsi="Times New Roman" w:cs="Times New Roman"/>
        <w:bCs/>
        <w:sz w:val="24"/>
        <w:szCs w:val="24"/>
      </w:rPr>
      <w:t>RM18-20</w:t>
    </w:r>
    <w:r w:rsidR="00C55457">
      <w:rPr>
        <w:rFonts w:ascii="Times New Roman" w:hAnsi="Times New Roman" w:cs="Times New Roman"/>
        <w:bCs/>
        <w:sz w:val="24"/>
        <w:szCs w:val="24"/>
      </w:rPr>
      <w:t>-000</w:t>
    </w:r>
  </w:p>
  <w:p w14:paraId="0A74E067" w14:textId="70E0A0FC" w:rsidR="00C55457" w:rsidRDefault="00C55457" w:rsidP="002A4142">
    <w:pPr>
      <w:pStyle w:val="Header"/>
      <w:rPr>
        <w:rFonts w:ascii="Times New Roman" w:hAnsi="Times New Roman" w:cs="Times New Roman"/>
        <w:bCs/>
        <w:sz w:val="24"/>
        <w:szCs w:val="24"/>
      </w:rPr>
    </w:pPr>
    <w:r w:rsidRPr="00774B70">
      <w:rPr>
        <w:rFonts w:ascii="Times New Roman" w:hAnsi="Times New Roman" w:cs="Times New Roman"/>
        <w:bCs/>
        <w:sz w:val="24"/>
        <w:szCs w:val="24"/>
      </w:rPr>
      <w:t>RIN:</w:t>
    </w:r>
    <w:r w:rsidR="003542F8" w:rsidRPr="00774B70">
      <w:rPr>
        <w:rFonts w:ascii="Times New Roman" w:hAnsi="Times New Roman" w:cs="Times New Roman"/>
        <w:bCs/>
        <w:sz w:val="24"/>
        <w:szCs w:val="24"/>
      </w:rPr>
      <w:t xml:space="preserve"> </w:t>
    </w:r>
    <w:r w:rsidR="003702E7">
      <w:rPr>
        <w:rFonts w:ascii="Times New Roman" w:hAnsi="Times New Roman" w:cs="Times New Roman"/>
        <w:bCs/>
        <w:sz w:val="24"/>
        <w:szCs w:val="24"/>
      </w:rPr>
      <w:t>1902-AF64</w:t>
    </w:r>
  </w:p>
  <w:p w14:paraId="74F95324" w14:textId="686EFD74" w:rsidR="00E63496" w:rsidRDefault="003E28B1" w:rsidP="003E28B1">
    <w:pPr>
      <w:spacing w:after="0" w:line="240" w:lineRule="auto"/>
      <w:rPr>
        <w:rFonts w:ascii="Times New Roman" w:hAnsi="Times New Roman" w:cs="Times New Roman"/>
        <w:sz w:val="24"/>
        <w:szCs w:val="24"/>
      </w:rPr>
    </w:pPr>
    <w:r w:rsidRPr="003C4DC8">
      <w:rPr>
        <w:rFonts w:ascii="Times New Roman" w:hAnsi="Times New Roman" w:cs="Times New Roman"/>
        <w:sz w:val="24"/>
        <w:szCs w:val="24"/>
      </w:rPr>
      <w:t>(updated 3/30/2020)</w:t>
    </w:r>
  </w:p>
  <w:p w14:paraId="04FE3278" w14:textId="77777777" w:rsidR="003E28B1" w:rsidRPr="003C4DC8" w:rsidRDefault="003E28B1" w:rsidP="003C4DC8">
    <w:pPr>
      <w:spacing w:after="0" w:line="240" w:lineRule="auto"/>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45944" w14:textId="77777777" w:rsidR="003E28B1" w:rsidRDefault="003E2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499" w:hanging="360"/>
      </w:pPr>
      <w:rPr>
        <w:rFonts w:ascii="Tahoma" w:hAnsi="Tahoma" w:cs="Tahoma"/>
        <w:b/>
        <w:bCs/>
        <w:color w:val="204C81"/>
        <w:spacing w:val="-1"/>
        <w:w w:val="100"/>
        <w:sz w:val="28"/>
        <w:szCs w:val="28"/>
      </w:rPr>
    </w:lvl>
    <w:lvl w:ilvl="1">
      <w:start w:val="1"/>
      <w:numFmt w:val="decimal"/>
      <w:lvlText w:val="%2."/>
      <w:lvlJc w:val="left"/>
      <w:pPr>
        <w:ind w:left="1040" w:hanging="540"/>
      </w:pPr>
      <w:rPr>
        <w:rFonts w:ascii="Calibri" w:hAnsi="Calibri" w:cs="Calibri"/>
        <w:b/>
        <w:bCs/>
        <w:spacing w:val="-27"/>
        <w:w w:val="100"/>
        <w:sz w:val="24"/>
        <w:szCs w:val="24"/>
      </w:rPr>
    </w:lvl>
    <w:lvl w:ilvl="2">
      <w:start w:val="1"/>
      <w:numFmt w:val="decimal"/>
      <w:lvlText w:val="%2.%3."/>
      <w:lvlJc w:val="left"/>
      <w:pPr>
        <w:ind w:left="1812" w:hanging="502"/>
      </w:pPr>
      <w:rPr>
        <w:rFonts w:ascii="Calibri" w:hAnsi="Calibri" w:cs="Calibri"/>
        <w:b/>
        <w:bCs/>
        <w:spacing w:val="-4"/>
        <w:w w:val="100"/>
        <w:sz w:val="24"/>
        <w:szCs w:val="24"/>
      </w:rPr>
    </w:lvl>
    <w:lvl w:ilvl="3">
      <w:start w:val="1"/>
      <w:numFmt w:val="decimal"/>
      <w:lvlText w:val="%2.%3.%4."/>
      <w:lvlJc w:val="left"/>
      <w:pPr>
        <w:ind w:left="2571" w:hanging="720"/>
      </w:pPr>
      <w:rPr>
        <w:rFonts w:ascii="Calibri" w:hAnsi="Calibri" w:cs="Calibri"/>
        <w:b/>
        <w:bCs/>
        <w:spacing w:val="-2"/>
        <w:w w:val="100"/>
        <w:sz w:val="24"/>
        <w:szCs w:val="24"/>
      </w:rPr>
    </w:lvl>
    <w:lvl w:ilvl="4">
      <w:numFmt w:val="bullet"/>
      <w:lvlText w:val="•"/>
      <w:lvlJc w:val="left"/>
      <w:pPr>
        <w:ind w:left="3631" w:hanging="720"/>
      </w:pPr>
    </w:lvl>
    <w:lvl w:ilvl="5">
      <w:numFmt w:val="bullet"/>
      <w:lvlText w:val="•"/>
      <w:lvlJc w:val="left"/>
      <w:pPr>
        <w:ind w:left="4682" w:hanging="720"/>
      </w:pPr>
    </w:lvl>
    <w:lvl w:ilvl="6">
      <w:numFmt w:val="bullet"/>
      <w:lvlText w:val="•"/>
      <w:lvlJc w:val="left"/>
      <w:pPr>
        <w:ind w:left="5734" w:hanging="720"/>
      </w:pPr>
    </w:lvl>
    <w:lvl w:ilvl="7">
      <w:numFmt w:val="bullet"/>
      <w:lvlText w:val="•"/>
      <w:lvlJc w:val="left"/>
      <w:pPr>
        <w:ind w:left="6785" w:hanging="720"/>
      </w:pPr>
    </w:lvl>
    <w:lvl w:ilvl="8">
      <w:numFmt w:val="bullet"/>
      <w:lvlText w:val="•"/>
      <w:lvlJc w:val="left"/>
      <w:pPr>
        <w:ind w:left="7837" w:hanging="720"/>
      </w:pPr>
    </w:lvl>
  </w:abstractNum>
  <w:abstractNum w:abstractNumId="1" w15:restartNumberingAfterBreak="0">
    <w:nsid w:val="00000403"/>
    <w:multiLevelType w:val="multilevel"/>
    <w:tmpl w:val="00000886"/>
    <w:lvl w:ilvl="0">
      <w:start w:val="1"/>
      <w:numFmt w:val="decimal"/>
      <w:lvlText w:val="%1"/>
      <w:lvlJc w:val="left"/>
      <w:pPr>
        <w:ind w:left="1580" w:hanging="504"/>
      </w:pPr>
    </w:lvl>
    <w:lvl w:ilvl="1">
      <w:start w:val="1"/>
      <w:numFmt w:val="decimal"/>
      <w:lvlText w:val="%1.%2."/>
      <w:lvlJc w:val="left"/>
      <w:pPr>
        <w:ind w:left="1580" w:hanging="504"/>
      </w:pPr>
      <w:rPr>
        <w:rFonts w:ascii="Calibri" w:hAnsi="Calibri" w:cs="Calibri"/>
        <w:b/>
        <w:bCs/>
        <w:spacing w:val="-3"/>
        <w:w w:val="100"/>
        <w:sz w:val="24"/>
        <w:szCs w:val="24"/>
      </w:rPr>
    </w:lvl>
    <w:lvl w:ilvl="2">
      <w:numFmt w:val="bullet"/>
      <w:lvlText w:val="•"/>
      <w:lvlJc w:val="left"/>
      <w:pPr>
        <w:ind w:left="3252" w:hanging="504"/>
      </w:pPr>
    </w:lvl>
    <w:lvl w:ilvl="3">
      <w:numFmt w:val="bullet"/>
      <w:lvlText w:val="•"/>
      <w:lvlJc w:val="left"/>
      <w:pPr>
        <w:ind w:left="4088" w:hanging="504"/>
      </w:pPr>
    </w:lvl>
    <w:lvl w:ilvl="4">
      <w:numFmt w:val="bullet"/>
      <w:lvlText w:val="•"/>
      <w:lvlJc w:val="left"/>
      <w:pPr>
        <w:ind w:left="4924" w:hanging="504"/>
      </w:pPr>
    </w:lvl>
    <w:lvl w:ilvl="5">
      <w:numFmt w:val="bullet"/>
      <w:lvlText w:val="•"/>
      <w:lvlJc w:val="left"/>
      <w:pPr>
        <w:ind w:left="5760" w:hanging="504"/>
      </w:pPr>
    </w:lvl>
    <w:lvl w:ilvl="6">
      <w:numFmt w:val="bullet"/>
      <w:lvlText w:val="•"/>
      <w:lvlJc w:val="left"/>
      <w:pPr>
        <w:ind w:left="6596" w:hanging="504"/>
      </w:pPr>
    </w:lvl>
    <w:lvl w:ilvl="7">
      <w:numFmt w:val="bullet"/>
      <w:lvlText w:val="•"/>
      <w:lvlJc w:val="left"/>
      <w:pPr>
        <w:ind w:left="7432" w:hanging="504"/>
      </w:pPr>
    </w:lvl>
    <w:lvl w:ilvl="8">
      <w:numFmt w:val="bullet"/>
      <w:lvlText w:val="•"/>
      <w:lvlJc w:val="left"/>
      <w:pPr>
        <w:ind w:left="8268" w:hanging="504"/>
      </w:pPr>
    </w:lvl>
  </w:abstractNum>
  <w:abstractNum w:abstractNumId="2" w15:restartNumberingAfterBreak="0">
    <w:nsid w:val="00000404"/>
    <w:multiLevelType w:val="multilevel"/>
    <w:tmpl w:val="00000887"/>
    <w:lvl w:ilvl="0">
      <w:start w:val="1"/>
      <w:numFmt w:val="decimal"/>
      <w:lvlText w:val="%1."/>
      <w:lvlJc w:val="left"/>
      <w:pPr>
        <w:ind w:left="1040" w:hanging="540"/>
      </w:pPr>
      <w:rPr>
        <w:rFonts w:ascii="Calibri" w:hAnsi="Calibri" w:cs="Calibri"/>
        <w:b/>
        <w:bCs/>
        <w:spacing w:val="-27"/>
        <w:w w:val="100"/>
        <w:sz w:val="24"/>
        <w:szCs w:val="24"/>
      </w:rPr>
    </w:lvl>
    <w:lvl w:ilvl="1">
      <w:start w:val="1"/>
      <w:numFmt w:val="decimal"/>
      <w:lvlText w:val="%1.%2."/>
      <w:lvlJc w:val="left"/>
      <w:pPr>
        <w:ind w:left="1580" w:hanging="540"/>
      </w:pPr>
      <w:rPr>
        <w:rFonts w:ascii="Calibri" w:hAnsi="Calibri" w:cs="Calibri"/>
        <w:b/>
        <w:bCs/>
        <w:spacing w:val="-4"/>
        <w:w w:val="100"/>
        <w:sz w:val="24"/>
        <w:szCs w:val="24"/>
      </w:rPr>
    </w:lvl>
    <w:lvl w:ilvl="2">
      <w:numFmt w:val="bullet"/>
      <w:lvlText w:val=""/>
      <w:lvlJc w:val="left"/>
      <w:pPr>
        <w:ind w:left="1940" w:hanging="360"/>
      </w:pPr>
      <w:rPr>
        <w:rFonts w:ascii="Symbol" w:hAnsi="Symbol" w:cs="Symbol"/>
        <w:b w:val="0"/>
        <w:bCs w:val="0"/>
        <w:w w:val="100"/>
        <w:sz w:val="24"/>
        <w:szCs w:val="24"/>
      </w:rPr>
    </w:lvl>
    <w:lvl w:ilvl="3">
      <w:numFmt w:val="bullet"/>
      <w:lvlText w:val="•"/>
      <w:lvlJc w:val="left"/>
      <w:pPr>
        <w:ind w:left="1940" w:hanging="360"/>
      </w:pPr>
    </w:lvl>
    <w:lvl w:ilvl="4">
      <w:numFmt w:val="bullet"/>
      <w:lvlText w:val="•"/>
      <w:lvlJc w:val="left"/>
      <w:pPr>
        <w:ind w:left="3082" w:hanging="360"/>
      </w:pPr>
    </w:lvl>
    <w:lvl w:ilvl="5">
      <w:numFmt w:val="bullet"/>
      <w:lvlText w:val="•"/>
      <w:lvlJc w:val="left"/>
      <w:pPr>
        <w:ind w:left="4225" w:hanging="360"/>
      </w:pPr>
    </w:lvl>
    <w:lvl w:ilvl="6">
      <w:numFmt w:val="bullet"/>
      <w:lvlText w:val="•"/>
      <w:lvlJc w:val="left"/>
      <w:pPr>
        <w:ind w:left="5368" w:hanging="360"/>
      </w:pPr>
    </w:lvl>
    <w:lvl w:ilvl="7">
      <w:numFmt w:val="bullet"/>
      <w:lvlText w:val="•"/>
      <w:lvlJc w:val="left"/>
      <w:pPr>
        <w:ind w:left="6511" w:hanging="360"/>
      </w:pPr>
    </w:lvl>
    <w:lvl w:ilvl="8">
      <w:numFmt w:val="bullet"/>
      <w:lvlText w:val="•"/>
      <w:lvlJc w:val="left"/>
      <w:pPr>
        <w:ind w:left="7654" w:hanging="360"/>
      </w:pPr>
    </w:lvl>
  </w:abstractNum>
  <w:abstractNum w:abstractNumId="3" w15:restartNumberingAfterBreak="0">
    <w:nsid w:val="00612578"/>
    <w:multiLevelType w:val="hybridMultilevel"/>
    <w:tmpl w:val="3D94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61F65"/>
    <w:multiLevelType w:val="hybridMultilevel"/>
    <w:tmpl w:val="57BE72F6"/>
    <w:lvl w:ilvl="0" w:tplc="D0FE2956">
      <w:start w:val="1"/>
      <w:numFmt w:val="decimal"/>
      <w:lvlText w:val="%1."/>
      <w:lvlJc w:val="left"/>
      <w:pPr>
        <w:tabs>
          <w:tab w:val="num" w:pos="360"/>
        </w:tabs>
        <w:ind w:left="360" w:hanging="360"/>
      </w:pPr>
      <w:rPr>
        <w:b w:val="0"/>
        <w:sz w:val="26"/>
        <w:szCs w:val="26"/>
      </w:rPr>
    </w:lvl>
    <w:lvl w:ilvl="1" w:tplc="04090001">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0738210B"/>
    <w:multiLevelType w:val="hybridMultilevel"/>
    <w:tmpl w:val="D8EA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767A8"/>
    <w:multiLevelType w:val="hybridMultilevel"/>
    <w:tmpl w:val="39A03072"/>
    <w:lvl w:ilvl="0" w:tplc="5D8C2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868DA"/>
    <w:multiLevelType w:val="hybridMultilevel"/>
    <w:tmpl w:val="2E66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809F4"/>
    <w:multiLevelType w:val="hybridMultilevel"/>
    <w:tmpl w:val="162E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1B16E6"/>
    <w:multiLevelType w:val="hybridMultilevel"/>
    <w:tmpl w:val="7456763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1EA72978"/>
    <w:multiLevelType w:val="hybridMultilevel"/>
    <w:tmpl w:val="1644A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F7652"/>
    <w:multiLevelType w:val="hybridMultilevel"/>
    <w:tmpl w:val="31D0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C2180"/>
    <w:multiLevelType w:val="hybridMultilevel"/>
    <w:tmpl w:val="C80A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4764B"/>
    <w:multiLevelType w:val="hybridMultilevel"/>
    <w:tmpl w:val="BBE8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93485"/>
    <w:multiLevelType w:val="hybridMultilevel"/>
    <w:tmpl w:val="3FAA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6" w15:restartNumberingAfterBreak="0">
    <w:nsid w:val="3AB86776"/>
    <w:multiLevelType w:val="hybridMultilevel"/>
    <w:tmpl w:val="E74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92D3B"/>
    <w:multiLevelType w:val="hybridMultilevel"/>
    <w:tmpl w:val="B592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0C01AF5"/>
    <w:multiLevelType w:val="hybridMultilevel"/>
    <w:tmpl w:val="5BD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D2EE9"/>
    <w:multiLevelType w:val="hybridMultilevel"/>
    <w:tmpl w:val="A64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30912B1"/>
    <w:multiLevelType w:val="hybridMultilevel"/>
    <w:tmpl w:val="6BDE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553FAE"/>
    <w:multiLevelType w:val="hybridMultilevel"/>
    <w:tmpl w:val="8BE082EC"/>
    <w:lvl w:ilvl="0" w:tplc="AA949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7F1972"/>
    <w:multiLevelType w:val="hybridMultilevel"/>
    <w:tmpl w:val="DFC6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2"/>
  </w:num>
  <w:num w:numId="5">
    <w:abstractNumId w:val="4"/>
  </w:num>
  <w:num w:numId="6">
    <w:abstractNumId w:val="15"/>
  </w:num>
  <w:num w:numId="7">
    <w:abstractNumId w:val="26"/>
  </w:num>
  <w:num w:numId="8">
    <w:abstractNumId w:val="18"/>
  </w:num>
  <w:num w:numId="9">
    <w:abstractNumId w:val="16"/>
  </w:num>
  <w:num w:numId="10">
    <w:abstractNumId w:val="24"/>
  </w:num>
  <w:num w:numId="11">
    <w:abstractNumId w:val="17"/>
  </w:num>
  <w:num w:numId="12">
    <w:abstractNumId w:val="5"/>
  </w:num>
  <w:num w:numId="13">
    <w:abstractNumId w:val="12"/>
  </w:num>
  <w:num w:numId="14">
    <w:abstractNumId w:val="20"/>
  </w:num>
  <w:num w:numId="15">
    <w:abstractNumId w:val="25"/>
  </w:num>
  <w:num w:numId="16">
    <w:abstractNumId w:val="19"/>
  </w:num>
  <w:num w:numId="17">
    <w:abstractNumId w:val="13"/>
  </w:num>
  <w:num w:numId="18">
    <w:abstractNumId w:val="10"/>
  </w:num>
  <w:num w:numId="19">
    <w:abstractNumId w:val="6"/>
  </w:num>
  <w:num w:numId="20">
    <w:abstractNumId w:val="3"/>
  </w:num>
  <w:num w:numId="21">
    <w:abstractNumId w:val="8"/>
  </w:num>
  <w:num w:numId="22">
    <w:abstractNumId w:val="23"/>
  </w:num>
  <w:num w:numId="23">
    <w:abstractNumId w:val="9"/>
  </w:num>
  <w:num w:numId="24">
    <w:abstractNumId w:val="7"/>
  </w:num>
  <w:num w:numId="25">
    <w:abstractNumId w:val="11"/>
  </w:num>
  <w:num w:numId="26">
    <w:abstractNumId w:val="2"/>
  </w:num>
  <w:num w:numId="27">
    <w:abstractNumId w:val="1"/>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visionView w:formatting="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212"/>
    <w:rsid w:val="0000037F"/>
    <w:rsid w:val="000027B8"/>
    <w:rsid w:val="00005289"/>
    <w:rsid w:val="00005F2F"/>
    <w:rsid w:val="000151A0"/>
    <w:rsid w:val="00017D46"/>
    <w:rsid w:val="00021D22"/>
    <w:rsid w:val="00026087"/>
    <w:rsid w:val="000302F1"/>
    <w:rsid w:val="00030744"/>
    <w:rsid w:val="000347AE"/>
    <w:rsid w:val="00034D83"/>
    <w:rsid w:val="0004133D"/>
    <w:rsid w:val="000428A5"/>
    <w:rsid w:val="00042D80"/>
    <w:rsid w:val="00050740"/>
    <w:rsid w:val="00053805"/>
    <w:rsid w:val="00054FA4"/>
    <w:rsid w:val="00055683"/>
    <w:rsid w:val="00055F3B"/>
    <w:rsid w:val="000723A8"/>
    <w:rsid w:val="000728C5"/>
    <w:rsid w:val="00073AED"/>
    <w:rsid w:val="00074A25"/>
    <w:rsid w:val="0007589B"/>
    <w:rsid w:val="0007783F"/>
    <w:rsid w:val="00087336"/>
    <w:rsid w:val="00092114"/>
    <w:rsid w:val="00094D36"/>
    <w:rsid w:val="00094D4F"/>
    <w:rsid w:val="000A1388"/>
    <w:rsid w:val="000B4143"/>
    <w:rsid w:val="000C1902"/>
    <w:rsid w:val="000C1EE9"/>
    <w:rsid w:val="000E5E73"/>
    <w:rsid w:val="000F03BB"/>
    <w:rsid w:val="000F341C"/>
    <w:rsid w:val="000F3EBB"/>
    <w:rsid w:val="000F73BF"/>
    <w:rsid w:val="00100229"/>
    <w:rsid w:val="00100D18"/>
    <w:rsid w:val="00102F1A"/>
    <w:rsid w:val="00105164"/>
    <w:rsid w:val="001062F8"/>
    <w:rsid w:val="0011241C"/>
    <w:rsid w:val="00115F24"/>
    <w:rsid w:val="00125D58"/>
    <w:rsid w:val="0012731F"/>
    <w:rsid w:val="001301E0"/>
    <w:rsid w:val="00131470"/>
    <w:rsid w:val="00135CDF"/>
    <w:rsid w:val="00137551"/>
    <w:rsid w:val="0014705F"/>
    <w:rsid w:val="00150D8D"/>
    <w:rsid w:val="001513E7"/>
    <w:rsid w:val="0015264C"/>
    <w:rsid w:val="00155323"/>
    <w:rsid w:val="0015640F"/>
    <w:rsid w:val="001647E7"/>
    <w:rsid w:val="00167C8E"/>
    <w:rsid w:val="00173D5C"/>
    <w:rsid w:val="00174279"/>
    <w:rsid w:val="001755B4"/>
    <w:rsid w:val="00181C6A"/>
    <w:rsid w:val="00183FE9"/>
    <w:rsid w:val="00185B93"/>
    <w:rsid w:val="00191849"/>
    <w:rsid w:val="001936B6"/>
    <w:rsid w:val="001967A9"/>
    <w:rsid w:val="001976E0"/>
    <w:rsid w:val="001A03C2"/>
    <w:rsid w:val="001A5842"/>
    <w:rsid w:val="001A76A3"/>
    <w:rsid w:val="001A786F"/>
    <w:rsid w:val="001B79BD"/>
    <w:rsid w:val="001C7872"/>
    <w:rsid w:val="001D6A97"/>
    <w:rsid w:val="001D7EB6"/>
    <w:rsid w:val="001E06BD"/>
    <w:rsid w:val="001E11E7"/>
    <w:rsid w:val="001F1D83"/>
    <w:rsid w:val="001F4069"/>
    <w:rsid w:val="002025A8"/>
    <w:rsid w:val="00213195"/>
    <w:rsid w:val="002229D8"/>
    <w:rsid w:val="002329FB"/>
    <w:rsid w:val="002359F6"/>
    <w:rsid w:val="00235C09"/>
    <w:rsid w:val="00236FF2"/>
    <w:rsid w:val="002370E2"/>
    <w:rsid w:val="00240C3A"/>
    <w:rsid w:val="0024309E"/>
    <w:rsid w:val="002522F6"/>
    <w:rsid w:val="00257FBE"/>
    <w:rsid w:val="0026021C"/>
    <w:rsid w:val="00260F6F"/>
    <w:rsid w:val="0026236C"/>
    <w:rsid w:val="002648F4"/>
    <w:rsid w:val="00270184"/>
    <w:rsid w:val="00271EC6"/>
    <w:rsid w:val="00275760"/>
    <w:rsid w:val="0029048F"/>
    <w:rsid w:val="00290ACC"/>
    <w:rsid w:val="00291A94"/>
    <w:rsid w:val="00297207"/>
    <w:rsid w:val="002A4142"/>
    <w:rsid w:val="002A45D0"/>
    <w:rsid w:val="002A4B6B"/>
    <w:rsid w:val="002A5BA5"/>
    <w:rsid w:val="002A7EF0"/>
    <w:rsid w:val="002B0CC8"/>
    <w:rsid w:val="002B3B00"/>
    <w:rsid w:val="002B3EBF"/>
    <w:rsid w:val="002C4849"/>
    <w:rsid w:val="002C531C"/>
    <w:rsid w:val="002C536B"/>
    <w:rsid w:val="002C70B7"/>
    <w:rsid w:val="002D4CD4"/>
    <w:rsid w:val="002D4FFD"/>
    <w:rsid w:val="002D6C88"/>
    <w:rsid w:val="002E0A22"/>
    <w:rsid w:val="002E108D"/>
    <w:rsid w:val="002E1E40"/>
    <w:rsid w:val="002F3DB9"/>
    <w:rsid w:val="00300EBE"/>
    <w:rsid w:val="00302F75"/>
    <w:rsid w:val="00314EBE"/>
    <w:rsid w:val="00315F04"/>
    <w:rsid w:val="0033288D"/>
    <w:rsid w:val="003329AF"/>
    <w:rsid w:val="00332A43"/>
    <w:rsid w:val="00336CEE"/>
    <w:rsid w:val="00340456"/>
    <w:rsid w:val="003542F8"/>
    <w:rsid w:val="003542FD"/>
    <w:rsid w:val="0035608B"/>
    <w:rsid w:val="00360F81"/>
    <w:rsid w:val="00361094"/>
    <w:rsid w:val="003702E7"/>
    <w:rsid w:val="003745F7"/>
    <w:rsid w:val="00374A3F"/>
    <w:rsid w:val="00375F53"/>
    <w:rsid w:val="00376367"/>
    <w:rsid w:val="003771D0"/>
    <w:rsid w:val="00380310"/>
    <w:rsid w:val="0038265B"/>
    <w:rsid w:val="00391060"/>
    <w:rsid w:val="00394FC5"/>
    <w:rsid w:val="003976CA"/>
    <w:rsid w:val="003A37A8"/>
    <w:rsid w:val="003A536E"/>
    <w:rsid w:val="003B279C"/>
    <w:rsid w:val="003B6534"/>
    <w:rsid w:val="003C19D0"/>
    <w:rsid w:val="003C1A02"/>
    <w:rsid w:val="003C4DC8"/>
    <w:rsid w:val="003D09FB"/>
    <w:rsid w:val="003E28B1"/>
    <w:rsid w:val="003E599C"/>
    <w:rsid w:val="003F77BD"/>
    <w:rsid w:val="00401B62"/>
    <w:rsid w:val="0040637D"/>
    <w:rsid w:val="00410870"/>
    <w:rsid w:val="004137F1"/>
    <w:rsid w:val="00416DFC"/>
    <w:rsid w:val="004270C2"/>
    <w:rsid w:val="004320D5"/>
    <w:rsid w:val="00433A3A"/>
    <w:rsid w:val="0044319A"/>
    <w:rsid w:val="004474E2"/>
    <w:rsid w:val="00452265"/>
    <w:rsid w:val="00471C82"/>
    <w:rsid w:val="00471C95"/>
    <w:rsid w:val="0047703B"/>
    <w:rsid w:val="004845D0"/>
    <w:rsid w:val="00485D08"/>
    <w:rsid w:val="004A1428"/>
    <w:rsid w:val="004A49D5"/>
    <w:rsid w:val="004B33F1"/>
    <w:rsid w:val="004B624E"/>
    <w:rsid w:val="004B6FC2"/>
    <w:rsid w:val="004C0226"/>
    <w:rsid w:val="004C0981"/>
    <w:rsid w:val="004C2BD7"/>
    <w:rsid w:val="004C334C"/>
    <w:rsid w:val="004C510E"/>
    <w:rsid w:val="004C537D"/>
    <w:rsid w:val="004E6159"/>
    <w:rsid w:val="004F3F84"/>
    <w:rsid w:val="00501F21"/>
    <w:rsid w:val="00503BD5"/>
    <w:rsid w:val="00505E74"/>
    <w:rsid w:val="00506164"/>
    <w:rsid w:val="00511A94"/>
    <w:rsid w:val="00516258"/>
    <w:rsid w:val="00522521"/>
    <w:rsid w:val="00524C44"/>
    <w:rsid w:val="005255E2"/>
    <w:rsid w:val="00526F2F"/>
    <w:rsid w:val="00527AE1"/>
    <w:rsid w:val="0053499F"/>
    <w:rsid w:val="005368DE"/>
    <w:rsid w:val="00543FCE"/>
    <w:rsid w:val="00550405"/>
    <w:rsid w:val="00555094"/>
    <w:rsid w:val="005558F8"/>
    <w:rsid w:val="005575ED"/>
    <w:rsid w:val="00565F74"/>
    <w:rsid w:val="00566DAE"/>
    <w:rsid w:val="00567B0B"/>
    <w:rsid w:val="005768DB"/>
    <w:rsid w:val="005774B1"/>
    <w:rsid w:val="00581E3E"/>
    <w:rsid w:val="00582804"/>
    <w:rsid w:val="005853F1"/>
    <w:rsid w:val="00585915"/>
    <w:rsid w:val="005908AC"/>
    <w:rsid w:val="00597658"/>
    <w:rsid w:val="005A465A"/>
    <w:rsid w:val="005A779D"/>
    <w:rsid w:val="005B07A1"/>
    <w:rsid w:val="005B253C"/>
    <w:rsid w:val="005B2D2D"/>
    <w:rsid w:val="005B3351"/>
    <w:rsid w:val="005B7001"/>
    <w:rsid w:val="005C0FD7"/>
    <w:rsid w:val="005C28A8"/>
    <w:rsid w:val="005C297F"/>
    <w:rsid w:val="005C2C89"/>
    <w:rsid w:val="005C3098"/>
    <w:rsid w:val="005D011E"/>
    <w:rsid w:val="005D017F"/>
    <w:rsid w:val="005D054F"/>
    <w:rsid w:val="005D4423"/>
    <w:rsid w:val="005D4796"/>
    <w:rsid w:val="005D4947"/>
    <w:rsid w:val="005D6E4D"/>
    <w:rsid w:val="005E2448"/>
    <w:rsid w:val="005F447E"/>
    <w:rsid w:val="005F55AB"/>
    <w:rsid w:val="00602096"/>
    <w:rsid w:val="00603960"/>
    <w:rsid w:val="00604FC5"/>
    <w:rsid w:val="00606999"/>
    <w:rsid w:val="00612E67"/>
    <w:rsid w:val="006151D8"/>
    <w:rsid w:val="0061754A"/>
    <w:rsid w:val="00635A43"/>
    <w:rsid w:val="0063704B"/>
    <w:rsid w:val="00637613"/>
    <w:rsid w:val="00642CE9"/>
    <w:rsid w:val="00642D33"/>
    <w:rsid w:val="006524CA"/>
    <w:rsid w:val="006564E7"/>
    <w:rsid w:val="0065657B"/>
    <w:rsid w:val="0067059B"/>
    <w:rsid w:val="006717E6"/>
    <w:rsid w:val="00673A39"/>
    <w:rsid w:val="00675A46"/>
    <w:rsid w:val="00675E52"/>
    <w:rsid w:val="00684FC0"/>
    <w:rsid w:val="00694503"/>
    <w:rsid w:val="00695620"/>
    <w:rsid w:val="0069654D"/>
    <w:rsid w:val="006A32B8"/>
    <w:rsid w:val="006A7418"/>
    <w:rsid w:val="006A76FD"/>
    <w:rsid w:val="006B0E50"/>
    <w:rsid w:val="006B2709"/>
    <w:rsid w:val="006B5EEB"/>
    <w:rsid w:val="006B7C3B"/>
    <w:rsid w:val="006C0F0B"/>
    <w:rsid w:val="006D185D"/>
    <w:rsid w:val="006D515F"/>
    <w:rsid w:val="006D7EB9"/>
    <w:rsid w:val="006F04F8"/>
    <w:rsid w:val="006F199F"/>
    <w:rsid w:val="006F2091"/>
    <w:rsid w:val="00703213"/>
    <w:rsid w:val="0070345D"/>
    <w:rsid w:val="00707A85"/>
    <w:rsid w:val="00712E32"/>
    <w:rsid w:val="00717A1C"/>
    <w:rsid w:val="00723415"/>
    <w:rsid w:val="00732818"/>
    <w:rsid w:val="00732A2F"/>
    <w:rsid w:val="00734A9C"/>
    <w:rsid w:val="00737581"/>
    <w:rsid w:val="0074093F"/>
    <w:rsid w:val="0074583F"/>
    <w:rsid w:val="007502F1"/>
    <w:rsid w:val="0075669D"/>
    <w:rsid w:val="00765358"/>
    <w:rsid w:val="00766152"/>
    <w:rsid w:val="00770A7C"/>
    <w:rsid w:val="00774B70"/>
    <w:rsid w:val="0077581C"/>
    <w:rsid w:val="00775ADE"/>
    <w:rsid w:val="00783250"/>
    <w:rsid w:val="0078329B"/>
    <w:rsid w:val="00793598"/>
    <w:rsid w:val="00794A5A"/>
    <w:rsid w:val="00797852"/>
    <w:rsid w:val="007A0C62"/>
    <w:rsid w:val="007A560D"/>
    <w:rsid w:val="007A5C2A"/>
    <w:rsid w:val="007A6365"/>
    <w:rsid w:val="007B1F68"/>
    <w:rsid w:val="007B7CCA"/>
    <w:rsid w:val="007C39D3"/>
    <w:rsid w:val="007D29A0"/>
    <w:rsid w:val="007D3F11"/>
    <w:rsid w:val="007D71CE"/>
    <w:rsid w:val="007E67E9"/>
    <w:rsid w:val="007E757F"/>
    <w:rsid w:val="007F129D"/>
    <w:rsid w:val="007F1EC9"/>
    <w:rsid w:val="007F5CAD"/>
    <w:rsid w:val="007F5D80"/>
    <w:rsid w:val="00800420"/>
    <w:rsid w:val="00800E3F"/>
    <w:rsid w:val="00801E1B"/>
    <w:rsid w:val="00803E7C"/>
    <w:rsid w:val="00810BF9"/>
    <w:rsid w:val="00812D76"/>
    <w:rsid w:val="00814779"/>
    <w:rsid w:val="00820929"/>
    <w:rsid w:val="00826CB4"/>
    <w:rsid w:val="0082752D"/>
    <w:rsid w:val="00835E0A"/>
    <w:rsid w:val="0084600F"/>
    <w:rsid w:val="00847F18"/>
    <w:rsid w:val="0086089D"/>
    <w:rsid w:val="00860A1F"/>
    <w:rsid w:val="00866048"/>
    <w:rsid w:val="0087017E"/>
    <w:rsid w:val="00870506"/>
    <w:rsid w:val="008738D6"/>
    <w:rsid w:val="008778CC"/>
    <w:rsid w:val="008815BC"/>
    <w:rsid w:val="008932AA"/>
    <w:rsid w:val="008A1478"/>
    <w:rsid w:val="008A5616"/>
    <w:rsid w:val="008A5C5C"/>
    <w:rsid w:val="008B0895"/>
    <w:rsid w:val="008B1F7E"/>
    <w:rsid w:val="008B3E1C"/>
    <w:rsid w:val="008B5399"/>
    <w:rsid w:val="008B5C52"/>
    <w:rsid w:val="008B5E47"/>
    <w:rsid w:val="008C0EA4"/>
    <w:rsid w:val="008C255C"/>
    <w:rsid w:val="008C747F"/>
    <w:rsid w:val="008D20D4"/>
    <w:rsid w:val="008D4025"/>
    <w:rsid w:val="008D6AED"/>
    <w:rsid w:val="008E1DEE"/>
    <w:rsid w:val="008E2021"/>
    <w:rsid w:val="008E309A"/>
    <w:rsid w:val="008E605D"/>
    <w:rsid w:val="008E6B70"/>
    <w:rsid w:val="008F25ED"/>
    <w:rsid w:val="008F6579"/>
    <w:rsid w:val="008F76CB"/>
    <w:rsid w:val="00900C36"/>
    <w:rsid w:val="00905C29"/>
    <w:rsid w:val="00907AB7"/>
    <w:rsid w:val="00912E58"/>
    <w:rsid w:val="0092421E"/>
    <w:rsid w:val="00924C6E"/>
    <w:rsid w:val="009257C8"/>
    <w:rsid w:val="00930579"/>
    <w:rsid w:val="00930C74"/>
    <w:rsid w:val="00931AED"/>
    <w:rsid w:val="009329DB"/>
    <w:rsid w:val="0093400C"/>
    <w:rsid w:val="00936236"/>
    <w:rsid w:val="009420DE"/>
    <w:rsid w:val="00944392"/>
    <w:rsid w:val="00945360"/>
    <w:rsid w:val="00950542"/>
    <w:rsid w:val="009508FC"/>
    <w:rsid w:val="00952695"/>
    <w:rsid w:val="00960411"/>
    <w:rsid w:val="00960BCF"/>
    <w:rsid w:val="00960D41"/>
    <w:rsid w:val="00967D2F"/>
    <w:rsid w:val="00970428"/>
    <w:rsid w:val="00973364"/>
    <w:rsid w:val="009766A2"/>
    <w:rsid w:val="00976B33"/>
    <w:rsid w:val="00980815"/>
    <w:rsid w:val="009809EA"/>
    <w:rsid w:val="009864F8"/>
    <w:rsid w:val="009922B2"/>
    <w:rsid w:val="0099517B"/>
    <w:rsid w:val="00995A69"/>
    <w:rsid w:val="00995B75"/>
    <w:rsid w:val="009B04FD"/>
    <w:rsid w:val="009B0FA2"/>
    <w:rsid w:val="009B6A77"/>
    <w:rsid w:val="009C0D97"/>
    <w:rsid w:val="009C1020"/>
    <w:rsid w:val="009C2264"/>
    <w:rsid w:val="009C2A3E"/>
    <w:rsid w:val="009C57F6"/>
    <w:rsid w:val="009E4A19"/>
    <w:rsid w:val="009E782D"/>
    <w:rsid w:val="009F0908"/>
    <w:rsid w:val="009F0B95"/>
    <w:rsid w:val="009F1EA4"/>
    <w:rsid w:val="00A024F1"/>
    <w:rsid w:val="00A13DFB"/>
    <w:rsid w:val="00A14713"/>
    <w:rsid w:val="00A21CB4"/>
    <w:rsid w:val="00A2591A"/>
    <w:rsid w:val="00A25A61"/>
    <w:rsid w:val="00A301A2"/>
    <w:rsid w:val="00A41279"/>
    <w:rsid w:val="00A52344"/>
    <w:rsid w:val="00A52FD4"/>
    <w:rsid w:val="00A56ED0"/>
    <w:rsid w:val="00A7099E"/>
    <w:rsid w:val="00A70D34"/>
    <w:rsid w:val="00A7121F"/>
    <w:rsid w:val="00A71D80"/>
    <w:rsid w:val="00A7469A"/>
    <w:rsid w:val="00A74C35"/>
    <w:rsid w:val="00A83705"/>
    <w:rsid w:val="00A844EC"/>
    <w:rsid w:val="00A858C8"/>
    <w:rsid w:val="00A86E73"/>
    <w:rsid w:val="00A94A09"/>
    <w:rsid w:val="00A971CF"/>
    <w:rsid w:val="00AA2A0C"/>
    <w:rsid w:val="00AB3A07"/>
    <w:rsid w:val="00AB5CBF"/>
    <w:rsid w:val="00AB7108"/>
    <w:rsid w:val="00AC22EB"/>
    <w:rsid w:val="00AD1139"/>
    <w:rsid w:val="00AD21A4"/>
    <w:rsid w:val="00AD7A4B"/>
    <w:rsid w:val="00AE3131"/>
    <w:rsid w:val="00AF12C4"/>
    <w:rsid w:val="00AF29FC"/>
    <w:rsid w:val="00AF50F8"/>
    <w:rsid w:val="00B00671"/>
    <w:rsid w:val="00B01AAB"/>
    <w:rsid w:val="00B065DF"/>
    <w:rsid w:val="00B123DB"/>
    <w:rsid w:val="00B15CBB"/>
    <w:rsid w:val="00B231D4"/>
    <w:rsid w:val="00B26E4A"/>
    <w:rsid w:val="00B2778A"/>
    <w:rsid w:val="00B27B98"/>
    <w:rsid w:val="00B30099"/>
    <w:rsid w:val="00B34A73"/>
    <w:rsid w:val="00B404A4"/>
    <w:rsid w:val="00B46310"/>
    <w:rsid w:val="00B50485"/>
    <w:rsid w:val="00B50C45"/>
    <w:rsid w:val="00B51BB8"/>
    <w:rsid w:val="00B52592"/>
    <w:rsid w:val="00B53FEB"/>
    <w:rsid w:val="00B60FD5"/>
    <w:rsid w:val="00B61FB5"/>
    <w:rsid w:val="00B6240F"/>
    <w:rsid w:val="00B63850"/>
    <w:rsid w:val="00B63F5D"/>
    <w:rsid w:val="00B67EB1"/>
    <w:rsid w:val="00B7228F"/>
    <w:rsid w:val="00B75373"/>
    <w:rsid w:val="00B762A7"/>
    <w:rsid w:val="00B820C3"/>
    <w:rsid w:val="00B82C39"/>
    <w:rsid w:val="00B85D31"/>
    <w:rsid w:val="00B94978"/>
    <w:rsid w:val="00B9626B"/>
    <w:rsid w:val="00B962D6"/>
    <w:rsid w:val="00B96B00"/>
    <w:rsid w:val="00BB0A16"/>
    <w:rsid w:val="00BB2766"/>
    <w:rsid w:val="00BB5287"/>
    <w:rsid w:val="00BB58BE"/>
    <w:rsid w:val="00BB7093"/>
    <w:rsid w:val="00BB799B"/>
    <w:rsid w:val="00BC132D"/>
    <w:rsid w:val="00BC2243"/>
    <w:rsid w:val="00BC26CE"/>
    <w:rsid w:val="00BC3F97"/>
    <w:rsid w:val="00BC4817"/>
    <w:rsid w:val="00BC5463"/>
    <w:rsid w:val="00BC7A8C"/>
    <w:rsid w:val="00BD1C65"/>
    <w:rsid w:val="00BD4E24"/>
    <w:rsid w:val="00BE0F87"/>
    <w:rsid w:val="00BF0501"/>
    <w:rsid w:val="00C00BD5"/>
    <w:rsid w:val="00C00F67"/>
    <w:rsid w:val="00C02C35"/>
    <w:rsid w:val="00C04E2E"/>
    <w:rsid w:val="00C04E75"/>
    <w:rsid w:val="00C114F4"/>
    <w:rsid w:val="00C17928"/>
    <w:rsid w:val="00C24573"/>
    <w:rsid w:val="00C260C0"/>
    <w:rsid w:val="00C315D8"/>
    <w:rsid w:val="00C360B7"/>
    <w:rsid w:val="00C41676"/>
    <w:rsid w:val="00C4205B"/>
    <w:rsid w:val="00C430BB"/>
    <w:rsid w:val="00C453FF"/>
    <w:rsid w:val="00C46FF0"/>
    <w:rsid w:val="00C55457"/>
    <w:rsid w:val="00C677AE"/>
    <w:rsid w:val="00C80058"/>
    <w:rsid w:val="00C82332"/>
    <w:rsid w:val="00C858AB"/>
    <w:rsid w:val="00C86748"/>
    <w:rsid w:val="00C869E3"/>
    <w:rsid w:val="00C87970"/>
    <w:rsid w:val="00CA022C"/>
    <w:rsid w:val="00CA4590"/>
    <w:rsid w:val="00CA6406"/>
    <w:rsid w:val="00CB0831"/>
    <w:rsid w:val="00CC1CAD"/>
    <w:rsid w:val="00CC2775"/>
    <w:rsid w:val="00CC7B18"/>
    <w:rsid w:val="00CD5A26"/>
    <w:rsid w:val="00CF14B3"/>
    <w:rsid w:val="00CF172C"/>
    <w:rsid w:val="00CF61D3"/>
    <w:rsid w:val="00D1124F"/>
    <w:rsid w:val="00D12E12"/>
    <w:rsid w:val="00D13727"/>
    <w:rsid w:val="00D16C3A"/>
    <w:rsid w:val="00D1703C"/>
    <w:rsid w:val="00D17BB7"/>
    <w:rsid w:val="00D215A2"/>
    <w:rsid w:val="00D23C0A"/>
    <w:rsid w:val="00D26084"/>
    <w:rsid w:val="00D273EF"/>
    <w:rsid w:val="00D27D95"/>
    <w:rsid w:val="00D301EE"/>
    <w:rsid w:val="00D30BDF"/>
    <w:rsid w:val="00D31EFC"/>
    <w:rsid w:val="00D350A8"/>
    <w:rsid w:val="00D400ED"/>
    <w:rsid w:val="00D408BF"/>
    <w:rsid w:val="00D51DDF"/>
    <w:rsid w:val="00D56FB6"/>
    <w:rsid w:val="00D6422E"/>
    <w:rsid w:val="00D7509C"/>
    <w:rsid w:val="00D9225F"/>
    <w:rsid w:val="00DA12D2"/>
    <w:rsid w:val="00DA4D6E"/>
    <w:rsid w:val="00DA70EE"/>
    <w:rsid w:val="00DB2930"/>
    <w:rsid w:val="00DB3452"/>
    <w:rsid w:val="00DD194D"/>
    <w:rsid w:val="00DD30E8"/>
    <w:rsid w:val="00DD4144"/>
    <w:rsid w:val="00DD749B"/>
    <w:rsid w:val="00DF0E06"/>
    <w:rsid w:val="00DF1C8D"/>
    <w:rsid w:val="00DF4AE5"/>
    <w:rsid w:val="00E0001D"/>
    <w:rsid w:val="00E0279C"/>
    <w:rsid w:val="00E03872"/>
    <w:rsid w:val="00E11A60"/>
    <w:rsid w:val="00E1295A"/>
    <w:rsid w:val="00E14C63"/>
    <w:rsid w:val="00E14FDA"/>
    <w:rsid w:val="00E16C2F"/>
    <w:rsid w:val="00E2173D"/>
    <w:rsid w:val="00E25814"/>
    <w:rsid w:val="00E33E65"/>
    <w:rsid w:val="00E454EA"/>
    <w:rsid w:val="00E50F0A"/>
    <w:rsid w:val="00E616F0"/>
    <w:rsid w:val="00E63496"/>
    <w:rsid w:val="00E66667"/>
    <w:rsid w:val="00E94A62"/>
    <w:rsid w:val="00E9729B"/>
    <w:rsid w:val="00EA3968"/>
    <w:rsid w:val="00EB3C9A"/>
    <w:rsid w:val="00EC7882"/>
    <w:rsid w:val="00ED3152"/>
    <w:rsid w:val="00ED3179"/>
    <w:rsid w:val="00ED3360"/>
    <w:rsid w:val="00ED6908"/>
    <w:rsid w:val="00EE076B"/>
    <w:rsid w:val="00EE1D2C"/>
    <w:rsid w:val="00EE22CC"/>
    <w:rsid w:val="00EE4195"/>
    <w:rsid w:val="00EF3586"/>
    <w:rsid w:val="00EF4AD6"/>
    <w:rsid w:val="00EF4E3E"/>
    <w:rsid w:val="00EF50B8"/>
    <w:rsid w:val="00EF650C"/>
    <w:rsid w:val="00F11DCD"/>
    <w:rsid w:val="00F14924"/>
    <w:rsid w:val="00F15A69"/>
    <w:rsid w:val="00F23DF8"/>
    <w:rsid w:val="00F23E3F"/>
    <w:rsid w:val="00F26A37"/>
    <w:rsid w:val="00F26E15"/>
    <w:rsid w:val="00F34A7A"/>
    <w:rsid w:val="00F34C98"/>
    <w:rsid w:val="00F473FF"/>
    <w:rsid w:val="00F5267C"/>
    <w:rsid w:val="00F61FC9"/>
    <w:rsid w:val="00F62917"/>
    <w:rsid w:val="00F63E0D"/>
    <w:rsid w:val="00F64A6F"/>
    <w:rsid w:val="00F72A8A"/>
    <w:rsid w:val="00F74220"/>
    <w:rsid w:val="00F839F8"/>
    <w:rsid w:val="00F83E37"/>
    <w:rsid w:val="00F97210"/>
    <w:rsid w:val="00F97E14"/>
    <w:rsid w:val="00FA00E5"/>
    <w:rsid w:val="00FA0F7B"/>
    <w:rsid w:val="00FA26F3"/>
    <w:rsid w:val="00FA717D"/>
    <w:rsid w:val="00FB4A38"/>
    <w:rsid w:val="00FB7355"/>
    <w:rsid w:val="00FC11BA"/>
    <w:rsid w:val="00FC30A2"/>
    <w:rsid w:val="00FC3EE7"/>
    <w:rsid w:val="00FC6722"/>
    <w:rsid w:val="00FD349F"/>
    <w:rsid w:val="00FF36D8"/>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D9CEC6"/>
  <w15:docId w15:val="{4E7724F0-8AE4-4A2D-8C09-272671AF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2C531C"/>
    <w:rPr>
      <w:color w:val="605E5C"/>
      <w:shd w:val="clear" w:color="auto" w:fill="E1DFDD"/>
    </w:rPr>
  </w:style>
  <w:style w:type="character" w:styleId="FollowedHyperlink">
    <w:name w:val="FollowedHyperlink"/>
    <w:basedOn w:val="DefaultParagraphFont"/>
    <w:uiPriority w:val="99"/>
    <w:semiHidden/>
    <w:unhideWhenUsed/>
    <w:rsid w:val="007458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081029329">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54663301">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 w:id="2026665229">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nerc.com/files/glossary_of_terms.pdf" TargetMode="External"/><Relationship Id="rId1" Type="http://schemas.openxmlformats.org/officeDocument/2006/relationships/hyperlink" Target="https://elibrary.ferc.gov/idmws/common/opennat.asp?fileID=15449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725B</_x0031__x002e__x0020_Collection_x0020_Number>
    <Date xmlns="d6eefc7d-9817-4fa6-84d5-3bc009be21b8">2020-03-31T04:00:00+00:00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RM18-20</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2.xml><?xml version="1.0" encoding="utf-8"?>
<ds:datastoreItem xmlns:ds="http://schemas.openxmlformats.org/officeDocument/2006/customXml" ds:itemID="{341DE3BC-F762-4B72-A076-563524F1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4.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5.xml><?xml version="1.0" encoding="utf-8"?>
<ds:datastoreItem xmlns:ds="http://schemas.openxmlformats.org/officeDocument/2006/customXml" ds:itemID="{05E70F4A-87E6-4221-8D2C-3B3AA38C81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customXml/itemProps6.xml><?xml version="1.0" encoding="utf-8"?>
<ds:datastoreItem xmlns:ds="http://schemas.openxmlformats.org/officeDocument/2006/customXml" ds:itemID="{F179F236-E12D-4B74-8D47-F42EB05E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RM18-20 NOPR supporting statement</vt:lpstr>
    </vt:vector>
  </TitlesOfParts>
  <Company>Federal Energy Regulatory Commission</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RM18-20 NOPR supporting statement</dc:title>
  <dc:subject/>
  <dc:creator>anthony.may@ferc.gov</dc:creator>
  <cp:keywords/>
  <cp:lastModifiedBy>Ellen Brown</cp:lastModifiedBy>
  <cp:revision>5</cp:revision>
  <cp:lastPrinted>2020-02-11T22:33:00Z</cp:lastPrinted>
  <dcterms:created xsi:type="dcterms:W3CDTF">2020-03-30T20:41:00Z</dcterms:created>
  <dcterms:modified xsi:type="dcterms:W3CDTF">2020-03-31T13:46:00Z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