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1375A" w:rsidR="002D133A" w:rsidP="0041375A" w:rsidRDefault="002D133A" w14:paraId="6EFB0826" w14:textId="77777777">
      <w:pPr>
        <w:suppressAutoHyphens/>
        <w:rPr>
          <w:rFonts w:ascii="Times New Roman" w:hAnsi="Times New Roman"/>
          <w:szCs w:val="24"/>
        </w:rPr>
      </w:pPr>
      <w:r w:rsidRPr="0041375A">
        <w:rPr>
          <w:rFonts w:ascii="Times New Roman" w:hAnsi="Times New Roman"/>
          <w:szCs w:val="24"/>
        </w:rPr>
        <w:t>SUPPORTING STATEMENT FOR NEW AND REVISED INFORMATION COLLECTIONS</w:t>
      </w:r>
      <w:r w:rsidRPr="0041375A" w:rsidR="00B16D87">
        <w:rPr>
          <w:rFonts w:ascii="Times New Roman" w:hAnsi="Times New Roman"/>
          <w:szCs w:val="24"/>
        </w:rPr>
        <w:fldChar w:fldCharType="begin"/>
      </w:r>
      <w:r w:rsidRPr="0041375A">
        <w:rPr>
          <w:rFonts w:ascii="Times New Roman" w:hAnsi="Times New Roman"/>
          <w:szCs w:val="24"/>
        </w:rPr>
        <w:instrText xml:space="preserve">PRIVATE </w:instrText>
      </w:r>
      <w:r w:rsidRPr="0041375A" w:rsidR="00B16D87">
        <w:rPr>
          <w:rFonts w:ascii="Times New Roman" w:hAnsi="Times New Roman"/>
          <w:szCs w:val="24"/>
        </w:rPr>
        <w:fldChar w:fldCharType="end"/>
      </w:r>
    </w:p>
    <w:p w:rsidRPr="0041375A" w:rsidR="002D133A" w:rsidP="0041375A" w:rsidRDefault="002D133A" w14:paraId="2F748434" w14:textId="77777777">
      <w:pPr>
        <w:suppressAutoHyphens/>
        <w:rPr>
          <w:rFonts w:ascii="Times New Roman" w:hAnsi="Times New Roman"/>
          <w:szCs w:val="24"/>
        </w:rPr>
      </w:pPr>
    </w:p>
    <w:p w:rsidRPr="0041375A" w:rsidR="002D133A" w:rsidP="0041375A" w:rsidRDefault="002D133A" w14:paraId="24009609" w14:textId="77777777">
      <w:pPr>
        <w:tabs>
          <w:tab w:val="center" w:pos="4680"/>
        </w:tabs>
        <w:suppressAutoHyphens/>
        <w:rPr>
          <w:rFonts w:ascii="Times New Roman" w:hAnsi="Times New Roman"/>
          <w:szCs w:val="24"/>
        </w:rPr>
      </w:pPr>
      <w:r w:rsidRPr="0041375A">
        <w:rPr>
          <w:rFonts w:ascii="Times New Roman" w:hAnsi="Times New Roman"/>
          <w:szCs w:val="24"/>
        </w:rPr>
        <w:tab/>
        <w:t>OMB CONTROL NUMBER 3038-</w:t>
      </w:r>
      <w:r w:rsidRPr="0041375A" w:rsidR="00A64548">
        <w:rPr>
          <w:rFonts w:ascii="Times New Roman" w:hAnsi="Times New Roman"/>
          <w:szCs w:val="24"/>
        </w:rPr>
        <w:t>0055</w:t>
      </w:r>
    </w:p>
    <w:p w:rsidRPr="0041375A" w:rsidR="002D133A" w:rsidP="0041375A" w:rsidRDefault="002D133A" w14:paraId="45889443" w14:textId="77777777">
      <w:pPr>
        <w:tabs>
          <w:tab w:val="left" w:pos="-720"/>
        </w:tabs>
        <w:suppressAutoHyphens/>
        <w:rPr>
          <w:rFonts w:ascii="Times New Roman" w:hAnsi="Times New Roman"/>
          <w:szCs w:val="24"/>
        </w:rPr>
      </w:pPr>
    </w:p>
    <w:p w:rsidRPr="0041375A" w:rsidR="002D133A" w:rsidP="0041375A" w:rsidRDefault="002D133A" w14:paraId="23ACA2A3" w14:textId="77777777">
      <w:pPr>
        <w:tabs>
          <w:tab w:val="left" w:pos="-720"/>
        </w:tabs>
        <w:suppressAutoHyphens/>
        <w:rPr>
          <w:rFonts w:ascii="Times New Roman" w:hAnsi="Times New Roman"/>
          <w:szCs w:val="24"/>
        </w:rPr>
      </w:pPr>
      <w:r w:rsidRPr="0041375A">
        <w:rPr>
          <w:rFonts w:ascii="Times New Roman" w:hAnsi="Times New Roman"/>
          <w:szCs w:val="24"/>
          <w:u w:val="single"/>
        </w:rPr>
        <w:t>Justification</w:t>
      </w:r>
    </w:p>
    <w:p w:rsidRPr="0041375A" w:rsidR="002D133A" w:rsidP="0041375A" w:rsidRDefault="002D133A" w14:paraId="30E807F4" w14:textId="77777777">
      <w:pPr>
        <w:tabs>
          <w:tab w:val="left" w:pos="-720"/>
        </w:tabs>
        <w:suppressAutoHyphens/>
        <w:rPr>
          <w:rFonts w:ascii="Times New Roman" w:hAnsi="Times New Roman"/>
          <w:szCs w:val="24"/>
        </w:rPr>
      </w:pPr>
    </w:p>
    <w:p w:rsidRPr="0041375A" w:rsidR="002D133A" w:rsidP="0041375A" w:rsidRDefault="002D133A" w14:paraId="5085F315" w14:textId="77777777">
      <w:pPr>
        <w:tabs>
          <w:tab w:val="left" w:pos="-720"/>
          <w:tab w:val="left" w:pos="0"/>
        </w:tabs>
        <w:suppressAutoHyphens/>
        <w:ind w:left="720" w:hanging="720"/>
        <w:rPr>
          <w:rFonts w:ascii="Times New Roman" w:hAnsi="Times New Roman"/>
          <w:szCs w:val="24"/>
        </w:rPr>
      </w:pPr>
      <w:r w:rsidRPr="0041375A">
        <w:rPr>
          <w:rFonts w:ascii="Times New Roman" w:hAnsi="Times New Roman"/>
          <w:szCs w:val="24"/>
        </w:rPr>
        <w:t>1.</w:t>
      </w:r>
      <w:r w:rsidRPr="0041375A">
        <w:rPr>
          <w:rFonts w:ascii="Times New Roman" w:hAnsi="Times New Roman"/>
          <w:szCs w:val="24"/>
        </w:rPr>
        <w:tab/>
      </w:r>
      <w:r w:rsidRPr="0041375A">
        <w:rPr>
          <w:rFonts w:ascii="Times New Roman" w:hAnsi="Times New Roman"/>
          <w:szCs w:val="24"/>
          <w:u w:val="single"/>
        </w:rPr>
        <w:t>Explain the circumstances that make the coll</w:t>
      </w:r>
      <w:r w:rsidRPr="0041375A" w:rsidR="009B7A95">
        <w:rPr>
          <w:rFonts w:ascii="Times New Roman" w:hAnsi="Times New Roman"/>
          <w:szCs w:val="24"/>
          <w:u w:val="single"/>
        </w:rPr>
        <w:t>ection of information necessary</w:t>
      </w:r>
      <w:r w:rsidRPr="0041375A">
        <w:rPr>
          <w:rFonts w:ascii="Times New Roman" w:hAnsi="Times New Roman"/>
          <w:szCs w:val="24"/>
          <w:u w:val="single"/>
        </w:rPr>
        <w:t>.  Identify any legal or administrative requirements that necessitate the collection.  Attach a copy of the appropriate section of each statute and regulation mandating or authorizing the collection of information</w:t>
      </w:r>
      <w:r w:rsidRPr="0041375A">
        <w:rPr>
          <w:rFonts w:ascii="Times New Roman" w:hAnsi="Times New Roman"/>
          <w:szCs w:val="24"/>
        </w:rPr>
        <w:t>.</w:t>
      </w:r>
    </w:p>
    <w:p w:rsidRPr="00C54A34" w:rsidR="0041375A" w:rsidP="00C54A34" w:rsidRDefault="004C2994" w14:paraId="2A2A2C0F" w14:textId="77777777">
      <w:pPr>
        <w:tabs>
          <w:tab w:val="left" w:pos="-720"/>
        </w:tabs>
        <w:suppressAutoHyphens/>
        <w:rPr>
          <w:rFonts w:ascii="Times New Roman" w:hAnsi="Times New Roman"/>
          <w:szCs w:val="24"/>
        </w:rPr>
      </w:pPr>
      <w:r w:rsidRPr="0041375A">
        <w:rPr>
          <w:rFonts w:ascii="Times New Roman" w:hAnsi="Times New Roman"/>
          <w:szCs w:val="24"/>
        </w:rPr>
        <w:tab/>
      </w:r>
    </w:p>
    <w:p w:rsidRPr="00C54A34" w:rsidR="002D133A" w:rsidP="0041375A" w:rsidRDefault="009042CC" w14:paraId="0AAAEC51" w14:textId="0B8ED39A">
      <w:pPr>
        <w:tabs>
          <w:tab w:val="left" w:pos="-720"/>
        </w:tabs>
        <w:suppressAutoHyphens/>
        <w:rPr>
          <w:rFonts w:ascii="Times New Roman" w:hAnsi="Times New Roman"/>
          <w:szCs w:val="24"/>
        </w:rPr>
      </w:pPr>
      <w:r>
        <w:rPr>
          <w:rFonts w:ascii="Times New Roman" w:hAnsi="Times New Roman"/>
          <w:szCs w:val="24"/>
        </w:rPr>
        <w:tab/>
      </w:r>
      <w:r w:rsidRPr="00C54A34" w:rsidR="0041375A">
        <w:rPr>
          <w:rFonts w:ascii="Times New Roman" w:hAnsi="Times New Roman"/>
          <w:szCs w:val="24"/>
        </w:rPr>
        <w:t>Section 124 of the Commodity Futures Modernization Act of 2000</w:t>
      </w:r>
      <w:r w:rsidRPr="00C54A34" w:rsidR="0041375A">
        <w:rPr>
          <w:rStyle w:val="FootnoteReference"/>
          <w:rFonts w:ascii="Times New Roman" w:hAnsi="Times New Roman"/>
          <w:szCs w:val="24"/>
        </w:rPr>
        <w:footnoteReference w:id="2"/>
      </w:r>
      <w:r w:rsidRPr="00C54A34" w:rsidR="0041375A">
        <w:rPr>
          <w:rFonts w:ascii="Times New Roman" w:hAnsi="Times New Roman"/>
          <w:szCs w:val="24"/>
        </w:rPr>
        <w:t xml:space="preserve"> </w:t>
      </w:r>
      <w:r w:rsidR="000F55FB">
        <w:rPr>
          <w:rFonts w:ascii="Times New Roman" w:hAnsi="Times New Roman"/>
          <w:szCs w:val="24"/>
        </w:rPr>
        <w:t xml:space="preserve">(“CFMA”) </w:t>
      </w:r>
      <w:r w:rsidRPr="00C54A34" w:rsidR="0041375A">
        <w:rPr>
          <w:rFonts w:ascii="Times New Roman" w:hAnsi="Times New Roman"/>
          <w:szCs w:val="24"/>
        </w:rPr>
        <w:t>amended the Commodity Exchange Act (the “Act”) and added a new Section 5g</w:t>
      </w:r>
      <w:r w:rsidRPr="00C54A34" w:rsidR="0041375A">
        <w:rPr>
          <w:rStyle w:val="FootnoteReference"/>
          <w:rFonts w:ascii="Times New Roman" w:hAnsi="Times New Roman"/>
          <w:szCs w:val="24"/>
        </w:rPr>
        <w:footnoteReference w:id="3"/>
      </w:r>
      <w:r w:rsidRPr="00C54A34" w:rsidR="0041375A">
        <w:rPr>
          <w:rFonts w:ascii="Times New Roman" w:hAnsi="Times New Roman"/>
          <w:szCs w:val="24"/>
        </w:rPr>
        <w:t xml:space="preserve"> to the Act to (i) add that futures commission merchants, commodity trading advisors, commodity pool operators, and introducing brokers that are subject to CFTC jurisdiction with respect to any financial activity shall be treated as a financial institution for purposes of Title V, Subtitle A of the Gramm-Leach-Bliley Act (“GLB Act”), (ii) treat the Commission as a Federal functional regulator for purposes of applying the provisions of the GLB Act, and (iii) direct the Commission to prescribe regulations under Title V of the GLB Act.  The Commission adopted regulations for these entities under part 160 and later extended them to retail foreign exchange dealers, swap dealers, and major swap participants.</w:t>
      </w:r>
      <w:r w:rsidRPr="00C54A34" w:rsidR="0041375A">
        <w:rPr>
          <w:rStyle w:val="FootnoteReference"/>
          <w:rFonts w:ascii="Times New Roman" w:hAnsi="Times New Roman"/>
          <w:szCs w:val="24"/>
        </w:rPr>
        <w:footnoteReference w:id="4"/>
      </w:r>
      <w:r w:rsidRPr="00C54A34" w:rsidR="0041375A">
        <w:rPr>
          <w:rFonts w:ascii="Times New Roman" w:hAnsi="Times New Roman"/>
          <w:szCs w:val="24"/>
        </w:rPr>
        <w:t xml:space="preserve">  Part 160 requires those subject to the regulations, among other things, to provide privacy and opt out notices to customers and to adopt appropriate policies and procedures to safeguard customer records and information.</w:t>
      </w:r>
    </w:p>
    <w:p w:rsidRPr="00C54A34" w:rsidR="006F0590" w:rsidRDefault="006F0590" w14:paraId="4A903540" w14:textId="62942A54">
      <w:pPr>
        <w:tabs>
          <w:tab w:val="left" w:pos="-720"/>
        </w:tabs>
        <w:suppressAutoHyphens/>
        <w:rPr>
          <w:rFonts w:ascii="Times New Roman" w:hAnsi="Times New Roman"/>
          <w:szCs w:val="24"/>
        </w:rPr>
      </w:pPr>
      <w:r w:rsidRPr="00C54A34">
        <w:rPr>
          <w:rFonts w:ascii="Times New Roman" w:hAnsi="Times New Roman"/>
          <w:szCs w:val="24"/>
        </w:rPr>
        <w:t xml:space="preserve"> </w:t>
      </w:r>
    </w:p>
    <w:p w:rsidRPr="00C54A34" w:rsidR="00E1260A" w:rsidRDefault="00E1260A" w14:paraId="1957AA86" w14:textId="77777777">
      <w:pPr>
        <w:tabs>
          <w:tab w:val="left" w:pos="-720"/>
        </w:tabs>
        <w:suppressAutoHyphens/>
        <w:rPr>
          <w:rFonts w:ascii="Times New Roman" w:hAnsi="Times New Roman"/>
          <w:szCs w:val="24"/>
        </w:rPr>
      </w:pPr>
    </w:p>
    <w:p w:rsidRPr="00C54A34" w:rsidR="002D133A" w:rsidRDefault="002D133A" w14:paraId="53359B17" w14:textId="77777777">
      <w:pPr>
        <w:tabs>
          <w:tab w:val="left" w:pos="-720"/>
        </w:tabs>
        <w:suppressAutoHyphens/>
        <w:ind w:left="720" w:hanging="720"/>
        <w:rPr>
          <w:rFonts w:ascii="Times New Roman" w:hAnsi="Times New Roman"/>
          <w:szCs w:val="24"/>
        </w:rPr>
      </w:pPr>
      <w:r w:rsidRPr="00C54A34">
        <w:rPr>
          <w:rFonts w:ascii="Times New Roman" w:hAnsi="Times New Roman"/>
          <w:szCs w:val="24"/>
        </w:rPr>
        <w:t>2.</w:t>
      </w:r>
      <w:r w:rsidRPr="00C54A34">
        <w:rPr>
          <w:rFonts w:ascii="Times New Roman" w:hAnsi="Times New Roman"/>
          <w:szCs w:val="24"/>
        </w:rPr>
        <w:tab/>
      </w:r>
      <w:r w:rsidRPr="00C54A34">
        <w:rPr>
          <w:rFonts w:ascii="Times New Roman" w:hAnsi="Times New Roman"/>
          <w:szCs w:val="24"/>
          <w:u w:val="single"/>
        </w:rPr>
        <w:t>Indicate how, by whom, and for what purpose the dat</w:t>
      </w:r>
      <w:r w:rsidRPr="00C54A34" w:rsidR="00650C51">
        <w:rPr>
          <w:rFonts w:ascii="Times New Roman" w:hAnsi="Times New Roman"/>
          <w:szCs w:val="24"/>
          <w:u w:val="single"/>
        </w:rPr>
        <w:t>a</w:t>
      </w:r>
      <w:r w:rsidRPr="00C54A34">
        <w:rPr>
          <w:rFonts w:ascii="Times New Roman" w:hAnsi="Times New Roman"/>
          <w:szCs w:val="24"/>
          <w:u w:val="single"/>
        </w:rPr>
        <w:t xml:space="preserve"> would be used.  Except for a new collection, indicate the actual use the agency has made of the information received from the current collection</w:t>
      </w:r>
      <w:r w:rsidRPr="00C54A34">
        <w:rPr>
          <w:rFonts w:ascii="Times New Roman" w:hAnsi="Times New Roman"/>
          <w:szCs w:val="24"/>
        </w:rPr>
        <w:t>.</w:t>
      </w:r>
    </w:p>
    <w:p w:rsidRPr="00C54A34" w:rsidR="006F0590" w:rsidRDefault="006F0590" w14:paraId="4A8B94FA" w14:textId="77777777">
      <w:pPr>
        <w:tabs>
          <w:tab w:val="left" w:pos="-720"/>
        </w:tabs>
        <w:suppressAutoHyphens/>
        <w:ind w:left="720" w:hanging="720"/>
        <w:rPr>
          <w:rFonts w:ascii="Times New Roman" w:hAnsi="Times New Roman"/>
          <w:szCs w:val="24"/>
        </w:rPr>
      </w:pPr>
    </w:p>
    <w:p w:rsidRPr="0041375A" w:rsidR="002D133A" w:rsidRDefault="002D133A" w14:paraId="67DF0991" w14:textId="063832FD">
      <w:pPr>
        <w:tabs>
          <w:tab w:val="left" w:pos="-720"/>
        </w:tabs>
        <w:suppressAutoHyphens/>
        <w:rPr>
          <w:rFonts w:ascii="Times New Roman" w:hAnsi="Times New Roman"/>
          <w:szCs w:val="24"/>
        </w:rPr>
      </w:pPr>
      <w:r w:rsidRPr="00C54A34">
        <w:rPr>
          <w:rFonts w:ascii="Times New Roman" w:hAnsi="Times New Roman"/>
          <w:szCs w:val="24"/>
        </w:rPr>
        <w:tab/>
      </w:r>
      <w:r w:rsidRPr="00C54A34" w:rsidR="003233A6">
        <w:rPr>
          <w:rFonts w:ascii="Times New Roman" w:hAnsi="Times New Roman"/>
          <w:szCs w:val="24"/>
        </w:rPr>
        <w:t xml:space="preserve">The financial institutions covered by these regulations must prepare and provide the initial privacy notice to all current and all new customers at the time of establishing a customer relationship.  Subsequently, </w:t>
      </w:r>
      <w:r w:rsidRPr="00C54A34" w:rsidR="007A6613">
        <w:rPr>
          <w:rFonts w:ascii="Times New Roman" w:hAnsi="Times New Roman"/>
          <w:szCs w:val="24"/>
        </w:rPr>
        <w:t xml:space="preserve">subject to </w:t>
      </w:r>
      <w:r w:rsidR="0041375A">
        <w:rPr>
          <w:rFonts w:ascii="Times New Roman" w:hAnsi="Times New Roman"/>
          <w:szCs w:val="24"/>
        </w:rPr>
        <w:t xml:space="preserve">a limited </w:t>
      </w:r>
      <w:r w:rsidRPr="0041375A" w:rsidR="007A6613">
        <w:rPr>
          <w:rFonts w:ascii="Times New Roman" w:hAnsi="Times New Roman"/>
          <w:szCs w:val="24"/>
        </w:rPr>
        <w:t xml:space="preserve">exception, </w:t>
      </w:r>
      <w:r w:rsidRPr="0041375A" w:rsidR="003233A6">
        <w:rPr>
          <w:rFonts w:ascii="Times New Roman" w:hAnsi="Times New Roman"/>
          <w:szCs w:val="24"/>
        </w:rPr>
        <w:t>an annual notice must be provided to all cu</w:t>
      </w:r>
      <w:r w:rsidRPr="0041375A" w:rsidR="00B64B15">
        <w:rPr>
          <w:rFonts w:ascii="Times New Roman" w:hAnsi="Times New Roman"/>
          <w:szCs w:val="24"/>
        </w:rPr>
        <w:t>stomers at least once during a 12</w:t>
      </w:r>
      <w:r w:rsidRPr="0041375A" w:rsidR="003233A6">
        <w:rPr>
          <w:rFonts w:ascii="Times New Roman" w:hAnsi="Times New Roman"/>
          <w:szCs w:val="24"/>
        </w:rPr>
        <w:t>–month period during the continuation of the customer relationship.  The initial notice and opt out notice must be provided to a consumer prior to disclosing nonpublic personal information to certain nonaffiliated third parties.</w:t>
      </w:r>
      <w:r w:rsidR="0041375A">
        <w:rPr>
          <w:rFonts w:ascii="Times New Roman" w:hAnsi="Times New Roman"/>
          <w:szCs w:val="24"/>
        </w:rPr>
        <w:t xml:space="preserve">  The financial institutions must also have policies and procedures to safeguard customer records and information.</w:t>
      </w:r>
    </w:p>
    <w:p w:rsidRPr="00A56714" w:rsidR="003233A6" w:rsidRDefault="003233A6" w14:paraId="727EFC34" w14:textId="77777777">
      <w:pPr>
        <w:tabs>
          <w:tab w:val="left" w:pos="-720"/>
        </w:tabs>
        <w:suppressAutoHyphens/>
        <w:rPr>
          <w:rFonts w:ascii="Times New Roman" w:hAnsi="Times New Roman"/>
          <w:szCs w:val="24"/>
        </w:rPr>
      </w:pPr>
    </w:p>
    <w:p w:rsidRPr="00C54A34" w:rsidR="002D133A" w:rsidRDefault="002D133A" w14:paraId="0C9E52C0" w14:textId="77777777">
      <w:pPr>
        <w:tabs>
          <w:tab w:val="left" w:pos="-720"/>
          <w:tab w:val="left" w:pos="0"/>
        </w:tabs>
        <w:suppressAutoHyphens/>
        <w:ind w:left="720" w:hanging="720"/>
        <w:rPr>
          <w:rFonts w:ascii="Times New Roman" w:hAnsi="Times New Roman"/>
          <w:szCs w:val="24"/>
          <w:u w:val="single"/>
        </w:rPr>
      </w:pPr>
      <w:r w:rsidRPr="005F58D1">
        <w:rPr>
          <w:rFonts w:ascii="Times New Roman" w:hAnsi="Times New Roman"/>
          <w:szCs w:val="24"/>
        </w:rPr>
        <w:lastRenderedPageBreak/>
        <w:t>3.</w:t>
      </w:r>
      <w:r w:rsidRPr="005F58D1">
        <w:rPr>
          <w:rFonts w:ascii="Times New Roman" w:hAnsi="Times New Roman"/>
          <w:szCs w:val="24"/>
        </w:rPr>
        <w:tab/>
      </w:r>
      <w:r w:rsidRPr="005F58D1">
        <w:rPr>
          <w:rFonts w:ascii="Times New Roman" w:hAnsi="Times New Roman"/>
          <w:szCs w:val="24"/>
          <w:u w:val="single"/>
        </w:rPr>
        <w:t xml:space="preserve">Describe whether, and to what extent, the collection of information involves the use of automated, electronic, mechanical, or </w:t>
      </w:r>
      <w:r w:rsidRPr="00A9574B">
        <w:rPr>
          <w:rFonts w:ascii="Times New Roman" w:hAnsi="Times New Roman"/>
          <w:szCs w:val="24"/>
          <w:u w:val="single"/>
        </w:rPr>
        <w:t>other technological collection techniques or other forms of information technology, e.g. permitting electronic submission of respo</w:t>
      </w:r>
      <w:r w:rsidRPr="000F55FB">
        <w:rPr>
          <w:rFonts w:ascii="Times New Roman" w:hAnsi="Times New Roman"/>
          <w:szCs w:val="24"/>
          <w:u w:val="single"/>
        </w:rPr>
        <w:t>nses, and the basis for the decision for adopting this means of collection.  Also describe any consideration of using information technology to reduce burden.</w:t>
      </w:r>
    </w:p>
    <w:p w:rsidRPr="00C54A34" w:rsidR="003233A6" w:rsidRDefault="003233A6" w14:paraId="30D94CF8" w14:textId="77777777">
      <w:pPr>
        <w:tabs>
          <w:tab w:val="left" w:pos="-720"/>
          <w:tab w:val="left" w:pos="0"/>
        </w:tabs>
        <w:suppressAutoHyphens/>
        <w:ind w:left="720" w:hanging="720"/>
        <w:rPr>
          <w:rFonts w:ascii="Times New Roman" w:hAnsi="Times New Roman"/>
          <w:szCs w:val="24"/>
        </w:rPr>
      </w:pPr>
    </w:p>
    <w:p w:rsidRPr="00C54A34" w:rsidR="003233A6" w:rsidRDefault="008B790B" w14:paraId="1B6A88EF" w14:textId="77777777">
      <w:pPr>
        <w:tabs>
          <w:tab w:val="left" w:pos="-720"/>
          <w:tab w:val="left" w:pos="0"/>
        </w:tabs>
        <w:suppressAutoHyphens/>
        <w:rPr>
          <w:rFonts w:ascii="Times New Roman" w:hAnsi="Times New Roman"/>
          <w:szCs w:val="24"/>
        </w:rPr>
      </w:pPr>
      <w:r w:rsidRPr="00C54A34">
        <w:rPr>
          <w:rFonts w:ascii="Times New Roman" w:hAnsi="Times New Roman"/>
          <w:szCs w:val="24"/>
        </w:rPr>
        <w:tab/>
      </w:r>
      <w:r w:rsidRPr="00C54A34" w:rsidR="003233A6">
        <w:rPr>
          <w:rFonts w:ascii="Times New Roman" w:hAnsi="Times New Roman"/>
          <w:szCs w:val="24"/>
        </w:rPr>
        <w:t xml:space="preserve">The required privacy notices may be distributed to consumers electronically </w:t>
      </w:r>
      <w:r w:rsidRPr="00C54A34">
        <w:rPr>
          <w:rFonts w:ascii="Times New Roman" w:hAnsi="Times New Roman"/>
          <w:szCs w:val="24"/>
        </w:rPr>
        <w:t>upon the consumer’s consent.  Therefore, a financial institution may reasonably expect that a customer who uses the institution’s website to obtain financial products and services will receive actual notice of the annual privacy notice if the customer has agreed to accept notices at the institution’s website and the institution continuously posts a current notice of its privacy policies and practices in a clear and conspicuous manner on the website.  In addition, the regulations provide that an institution may provide an electronic mail address as a reasonable means for the consumer to opt out of the institutions’ information sharing practices with non-affiliated third parties.</w:t>
      </w:r>
    </w:p>
    <w:p w:rsidRPr="00C54A34" w:rsidR="002D133A" w:rsidRDefault="002D133A" w14:paraId="6113ED33" w14:textId="77777777">
      <w:pPr>
        <w:tabs>
          <w:tab w:val="left" w:pos="-720"/>
        </w:tabs>
        <w:suppressAutoHyphens/>
        <w:rPr>
          <w:rFonts w:ascii="Times New Roman" w:hAnsi="Times New Roman"/>
          <w:szCs w:val="24"/>
        </w:rPr>
      </w:pPr>
    </w:p>
    <w:p w:rsidRPr="00C54A34" w:rsidR="002D133A" w:rsidRDefault="002D133A" w14:paraId="547F9617"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4.</w:t>
      </w:r>
      <w:r w:rsidRPr="00C54A34">
        <w:rPr>
          <w:rFonts w:ascii="Times New Roman" w:hAnsi="Times New Roman"/>
          <w:szCs w:val="24"/>
        </w:rPr>
        <w:tab/>
      </w:r>
      <w:r w:rsidRPr="00C54A34">
        <w:rPr>
          <w:rFonts w:ascii="Times New Roman" w:hAnsi="Times New Roman"/>
          <w:szCs w:val="24"/>
          <w:u w:val="single"/>
        </w:rPr>
        <w:t>Describe efforts to identify duplication.  Show specifically why any similar information already available cannot be used or modified for use for the purposes described in Item 2 above</w:t>
      </w:r>
      <w:r w:rsidRPr="00C54A34">
        <w:rPr>
          <w:rFonts w:ascii="Times New Roman" w:hAnsi="Times New Roman"/>
          <w:szCs w:val="24"/>
        </w:rPr>
        <w:t>.</w:t>
      </w:r>
    </w:p>
    <w:p w:rsidRPr="00C54A34" w:rsidR="002D133A" w:rsidRDefault="002D133A" w14:paraId="3DADE505" w14:textId="77777777">
      <w:pPr>
        <w:tabs>
          <w:tab w:val="left" w:pos="-720"/>
        </w:tabs>
        <w:suppressAutoHyphens/>
        <w:rPr>
          <w:rFonts w:ascii="Times New Roman" w:hAnsi="Times New Roman"/>
          <w:szCs w:val="24"/>
        </w:rPr>
      </w:pPr>
    </w:p>
    <w:p w:rsidRPr="00C54A34" w:rsidR="008B790B" w:rsidRDefault="008B790B" w14:paraId="5337C389" w14:textId="77777777">
      <w:pPr>
        <w:tabs>
          <w:tab w:val="left" w:pos="-720"/>
        </w:tabs>
        <w:suppressAutoHyphens/>
        <w:rPr>
          <w:rFonts w:ascii="Times New Roman" w:hAnsi="Times New Roman"/>
          <w:szCs w:val="24"/>
        </w:rPr>
      </w:pPr>
      <w:r w:rsidRPr="00C54A34">
        <w:rPr>
          <w:rFonts w:ascii="Times New Roman" w:hAnsi="Times New Roman"/>
          <w:szCs w:val="24"/>
        </w:rPr>
        <w:tab/>
        <w:t>The type of information required to be collected under the regulation is not currently collected nor is the information available for public disclosure through any other source.</w:t>
      </w:r>
    </w:p>
    <w:p w:rsidRPr="00C54A34" w:rsidR="008B790B" w:rsidRDefault="008B790B" w14:paraId="1D554CFE" w14:textId="77777777">
      <w:pPr>
        <w:tabs>
          <w:tab w:val="left" w:pos="-720"/>
        </w:tabs>
        <w:suppressAutoHyphens/>
        <w:rPr>
          <w:rFonts w:ascii="Times New Roman" w:hAnsi="Times New Roman"/>
          <w:szCs w:val="24"/>
        </w:rPr>
      </w:pPr>
    </w:p>
    <w:p w:rsidRPr="00C54A34" w:rsidR="002D133A" w:rsidRDefault="002D133A" w14:paraId="6C77672A"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5.</w:t>
      </w:r>
      <w:r w:rsidRPr="00C54A34">
        <w:rPr>
          <w:rFonts w:ascii="Times New Roman" w:hAnsi="Times New Roman"/>
          <w:szCs w:val="24"/>
        </w:rPr>
        <w:tab/>
      </w:r>
      <w:r w:rsidRPr="00C54A34">
        <w:rPr>
          <w:rFonts w:ascii="Times New Roman" w:hAnsi="Times New Roman"/>
          <w:szCs w:val="24"/>
          <w:u w:val="single"/>
        </w:rPr>
        <w:t>If the collection of information involves small business or other small entities (Item 5 of OMB From 83-I), describe the methods used to minimize burden</w:t>
      </w:r>
      <w:r w:rsidRPr="00C54A34">
        <w:rPr>
          <w:rFonts w:ascii="Times New Roman" w:hAnsi="Times New Roman"/>
          <w:szCs w:val="24"/>
        </w:rPr>
        <w:t>.</w:t>
      </w:r>
    </w:p>
    <w:p w:rsidRPr="00C54A34" w:rsidR="008B790B" w:rsidRDefault="008B790B" w14:paraId="3BBDAD9F" w14:textId="77777777">
      <w:pPr>
        <w:tabs>
          <w:tab w:val="left" w:pos="-720"/>
          <w:tab w:val="left" w:pos="0"/>
        </w:tabs>
        <w:suppressAutoHyphens/>
        <w:ind w:left="720" w:hanging="720"/>
        <w:rPr>
          <w:rFonts w:ascii="Times New Roman" w:hAnsi="Times New Roman"/>
          <w:szCs w:val="24"/>
        </w:rPr>
      </w:pPr>
    </w:p>
    <w:p w:rsidRPr="0041375A" w:rsidR="008B790B" w:rsidRDefault="008B790B" w14:paraId="76BA6DDF" w14:textId="6137C313">
      <w:pPr>
        <w:tabs>
          <w:tab w:val="left" w:pos="-720"/>
          <w:tab w:val="left" w:pos="0"/>
        </w:tabs>
        <w:suppressAutoHyphens/>
        <w:rPr>
          <w:rFonts w:ascii="Times New Roman" w:hAnsi="Times New Roman"/>
          <w:szCs w:val="24"/>
        </w:rPr>
      </w:pPr>
      <w:r w:rsidRPr="00C54A34">
        <w:rPr>
          <w:rFonts w:ascii="Times New Roman" w:hAnsi="Times New Roman"/>
          <w:szCs w:val="24"/>
        </w:rPr>
        <w:tab/>
      </w:r>
      <w:r w:rsidR="000F55FB">
        <w:rPr>
          <w:rFonts w:ascii="Times New Roman" w:hAnsi="Times New Roman"/>
        </w:rPr>
        <w:t>The requirements of these regulations are mandated by the GLB Act and the CFMA and, therefore, the Commission does not grant any exceptions to small entities from the requirements at this time.  The regulations provide substantial flexibility, however, that financial institutions may tailor their practices to their individual needs, such as financial institutions providing joint notices if the notice applies to all institutions covered by the notice.</w:t>
      </w:r>
    </w:p>
    <w:p w:rsidRPr="00A56714" w:rsidR="002D133A" w:rsidRDefault="002D133A" w14:paraId="6915FE4B" w14:textId="77777777">
      <w:pPr>
        <w:tabs>
          <w:tab w:val="left" w:pos="-720"/>
        </w:tabs>
        <w:suppressAutoHyphens/>
        <w:rPr>
          <w:rFonts w:ascii="Times New Roman" w:hAnsi="Times New Roman"/>
          <w:szCs w:val="24"/>
        </w:rPr>
      </w:pPr>
    </w:p>
    <w:p w:rsidRPr="00A9574B" w:rsidR="002D133A" w:rsidRDefault="002D133A" w14:paraId="0BC96DDF" w14:textId="77777777">
      <w:pPr>
        <w:tabs>
          <w:tab w:val="left" w:pos="-720"/>
          <w:tab w:val="left" w:pos="0"/>
        </w:tabs>
        <w:suppressAutoHyphens/>
        <w:ind w:left="720" w:hanging="720"/>
        <w:rPr>
          <w:rFonts w:ascii="Times New Roman" w:hAnsi="Times New Roman"/>
          <w:szCs w:val="24"/>
        </w:rPr>
      </w:pPr>
      <w:r w:rsidRPr="005F58D1">
        <w:rPr>
          <w:rFonts w:ascii="Times New Roman" w:hAnsi="Times New Roman"/>
          <w:szCs w:val="24"/>
        </w:rPr>
        <w:t>6.</w:t>
      </w:r>
      <w:r w:rsidRPr="005F58D1">
        <w:rPr>
          <w:rFonts w:ascii="Times New Roman" w:hAnsi="Times New Roman"/>
          <w:szCs w:val="24"/>
        </w:rPr>
        <w:tab/>
      </w:r>
      <w:r w:rsidRPr="005F58D1">
        <w:rPr>
          <w:rFonts w:ascii="Times New Roman" w:hAnsi="Times New Roman"/>
          <w:szCs w:val="24"/>
          <w:u w:val="single"/>
        </w:rPr>
        <w:t xml:space="preserve">Describe the consequence to the Federal Program or policy </w:t>
      </w:r>
      <w:r w:rsidRPr="005F58D1">
        <w:rPr>
          <w:rFonts w:ascii="Times New Roman" w:hAnsi="Times New Roman"/>
          <w:szCs w:val="24"/>
        </w:rPr>
        <w:tab/>
      </w:r>
      <w:r w:rsidRPr="005F58D1">
        <w:rPr>
          <w:rFonts w:ascii="Times New Roman" w:hAnsi="Times New Roman"/>
          <w:szCs w:val="24"/>
          <w:u w:val="single"/>
        </w:rPr>
        <w:t>activities if the collection were conducted less frequently as well as any technical or legal obstacles to reducing burden</w:t>
      </w:r>
      <w:r w:rsidRPr="00A9574B">
        <w:rPr>
          <w:rFonts w:ascii="Times New Roman" w:hAnsi="Times New Roman"/>
          <w:szCs w:val="24"/>
        </w:rPr>
        <w:t>.</w:t>
      </w:r>
    </w:p>
    <w:p w:rsidRPr="000F55FB" w:rsidR="00F23052" w:rsidRDefault="00F23052" w14:paraId="4988C9B2" w14:textId="77777777">
      <w:pPr>
        <w:tabs>
          <w:tab w:val="left" w:pos="-720"/>
          <w:tab w:val="left" w:pos="0"/>
        </w:tabs>
        <w:suppressAutoHyphens/>
        <w:ind w:left="720" w:hanging="720"/>
        <w:rPr>
          <w:rFonts w:ascii="Times New Roman" w:hAnsi="Times New Roman"/>
          <w:szCs w:val="24"/>
        </w:rPr>
      </w:pPr>
    </w:p>
    <w:p w:rsidRPr="0041375A" w:rsidR="00F23052" w:rsidRDefault="00B64B15" w14:paraId="1FAE88A8" w14:textId="12998421">
      <w:pPr>
        <w:tabs>
          <w:tab w:val="left" w:pos="-720"/>
          <w:tab w:val="left" w:pos="0"/>
        </w:tabs>
        <w:suppressAutoHyphens/>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 xml:space="preserve">The GLB Act mandates that </w:t>
      </w:r>
      <w:r w:rsidRPr="00C54A34" w:rsidR="00A679CE">
        <w:rPr>
          <w:rFonts w:ascii="Times New Roman" w:hAnsi="Times New Roman"/>
          <w:szCs w:val="24"/>
        </w:rPr>
        <w:t xml:space="preserve">initial and </w:t>
      </w:r>
      <w:r w:rsidRPr="00C54A34" w:rsidR="00F23052">
        <w:rPr>
          <w:rFonts w:ascii="Times New Roman" w:hAnsi="Times New Roman"/>
          <w:szCs w:val="24"/>
        </w:rPr>
        <w:t>annual priv</w:t>
      </w:r>
      <w:r w:rsidRPr="00C54A34" w:rsidR="000751BE">
        <w:rPr>
          <w:rFonts w:ascii="Times New Roman" w:hAnsi="Times New Roman"/>
          <w:szCs w:val="24"/>
        </w:rPr>
        <w:t xml:space="preserve">acy notices must be provided by </w:t>
      </w:r>
      <w:r w:rsidRPr="00C54A34" w:rsidR="00F23052">
        <w:rPr>
          <w:rFonts w:ascii="Times New Roman" w:hAnsi="Times New Roman"/>
          <w:szCs w:val="24"/>
        </w:rPr>
        <w:t>financial institutions to consumers with whom the financial institution has a customer relationship</w:t>
      </w:r>
      <w:r w:rsidR="000F55FB">
        <w:rPr>
          <w:rFonts w:ascii="Times New Roman" w:hAnsi="Times New Roman"/>
          <w:szCs w:val="24"/>
        </w:rPr>
        <w:t xml:space="preserve"> and that the CFTC, </w:t>
      </w:r>
      <w:r w:rsidR="00077656">
        <w:rPr>
          <w:rFonts w:ascii="Times New Roman" w:hAnsi="Times New Roman"/>
          <w:szCs w:val="24"/>
        </w:rPr>
        <w:t xml:space="preserve">among other agencies, </w:t>
      </w:r>
      <w:r w:rsidRPr="000F55FB" w:rsidR="000F55FB">
        <w:rPr>
          <w:rFonts w:ascii="Times New Roman" w:hAnsi="Times New Roman"/>
          <w:szCs w:val="24"/>
        </w:rPr>
        <w:t>establish appropriate safeguards for the financial institutions subject to their jurisdiction relating to administrative, technical and physical safeguards—(1) to insure the security and confidentiality of customer records and information; (2) to protect against any anticipated threats or hazards to the security or integrity of such records; and (3) to protect against unauthorized access to or use of such records or information which could result in substantial harm or inconvenience to any customer</w:t>
      </w:r>
      <w:r w:rsidRPr="000F55FB" w:rsidR="00F23052">
        <w:rPr>
          <w:rFonts w:ascii="Times New Roman" w:hAnsi="Times New Roman"/>
          <w:szCs w:val="24"/>
        </w:rPr>
        <w:t>.</w:t>
      </w:r>
      <w:r w:rsidR="0041375A">
        <w:rPr>
          <w:rFonts w:ascii="Times New Roman" w:hAnsi="Times New Roman"/>
          <w:szCs w:val="24"/>
        </w:rPr>
        <w:t xml:space="preserve"> </w:t>
      </w:r>
    </w:p>
    <w:p w:rsidRPr="00A56714" w:rsidR="002D133A" w:rsidRDefault="002D133A" w14:paraId="05BD6A74" w14:textId="77777777">
      <w:pPr>
        <w:tabs>
          <w:tab w:val="left" w:pos="-720"/>
        </w:tabs>
        <w:suppressAutoHyphens/>
        <w:rPr>
          <w:rFonts w:ascii="Times New Roman" w:hAnsi="Times New Roman"/>
          <w:szCs w:val="24"/>
        </w:rPr>
      </w:pPr>
    </w:p>
    <w:p w:rsidRPr="005F58D1" w:rsidR="002D133A" w:rsidRDefault="002D133A" w14:paraId="4EA99A50" w14:textId="77777777">
      <w:pPr>
        <w:tabs>
          <w:tab w:val="left" w:pos="-720"/>
        </w:tabs>
        <w:suppressAutoHyphens/>
        <w:ind w:left="720" w:hanging="720"/>
        <w:rPr>
          <w:rFonts w:ascii="Times New Roman" w:hAnsi="Times New Roman"/>
          <w:szCs w:val="24"/>
        </w:rPr>
      </w:pPr>
      <w:r w:rsidRPr="005F58D1">
        <w:rPr>
          <w:rFonts w:ascii="Times New Roman" w:hAnsi="Times New Roman"/>
          <w:szCs w:val="24"/>
        </w:rPr>
        <w:t xml:space="preserve"> 7.</w:t>
      </w:r>
      <w:r w:rsidRPr="005F58D1">
        <w:rPr>
          <w:rFonts w:ascii="Times New Roman" w:hAnsi="Times New Roman"/>
          <w:szCs w:val="24"/>
        </w:rPr>
        <w:tab/>
      </w:r>
      <w:r w:rsidRPr="005F58D1">
        <w:rPr>
          <w:rFonts w:ascii="Times New Roman" w:hAnsi="Times New Roman"/>
          <w:szCs w:val="24"/>
          <w:u w:val="single"/>
        </w:rPr>
        <w:t>Explain any special circumstances that require the collection to be conducted in a manner</w:t>
      </w:r>
      <w:r w:rsidRPr="005F58D1">
        <w:rPr>
          <w:rFonts w:ascii="Times New Roman" w:hAnsi="Times New Roman"/>
          <w:szCs w:val="24"/>
        </w:rPr>
        <w:t>:</w:t>
      </w:r>
    </w:p>
    <w:p w:rsidRPr="00A9574B" w:rsidR="002D133A" w:rsidRDefault="002D133A" w14:paraId="5B91D56A" w14:textId="77777777">
      <w:pPr>
        <w:tabs>
          <w:tab w:val="left" w:pos="-720"/>
        </w:tabs>
        <w:suppressAutoHyphens/>
        <w:rPr>
          <w:rFonts w:ascii="Times New Roman" w:hAnsi="Times New Roman"/>
          <w:szCs w:val="24"/>
        </w:rPr>
      </w:pPr>
    </w:p>
    <w:p w:rsidRPr="000F55FB" w:rsidR="002D133A" w:rsidRDefault="002D133A" w14:paraId="04B521FF" w14:textId="77777777">
      <w:pPr>
        <w:tabs>
          <w:tab w:val="left" w:pos="-720"/>
          <w:tab w:val="left" w:pos="0"/>
          <w:tab w:val="left" w:pos="720"/>
        </w:tabs>
        <w:suppressAutoHyphens/>
        <w:ind w:left="1440" w:hanging="1440"/>
        <w:rPr>
          <w:rFonts w:ascii="Times New Roman" w:hAnsi="Times New Roman"/>
          <w:szCs w:val="24"/>
        </w:rPr>
      </w:pPr>
      <w:r w:rsidRPr="000F55FB">
        <w:rPr>
          <w:rFonts w:ascii="Times New Roman" w:hAnsi="Times New Roman"/>
          <w:szCs w:val="24"/>
        </w:rPr>
        <w:tab/>
        <w:t>-</w:t>
      </w:r>
      <w:r w:rsidRPr="000F55FB">
        <w:rPr>
          <w:rFonts w:ascii="Times New Roman" w:hAnsi="Times New Roman"/>
          <w:szCs w:val="24"/>
        </w:rPr>
        <w:tab/>
      </w:r>
      <w:proofErr w:type="gramStart"/>
      <w:r w:rsidRPr="000F55FB">
        <w:rPr>
          <w:rFonts w:ascii="Times New Roman" w:hAnsi="Times New Roman"/>
          <w:szCs w:val="24"/>
          <w:u w:val="single"/>
        </w:rPr>
        <w:t>requiring</w:t>
      </w:r>
      <w:proofErr w:type="gramEnd"/>
      <w:r w:rsidRPr="000F55FB">
        <w:rPr>
          <w:rFonts w:ascii="Times New Roman" w:hAnsi="Times New Roman"/>
          <w:szCs w:val="24"/>
          <w:u w:val="single"/>
        </w:rPr>
        <w:t xml:space="preserve"> respondents to report information to the agency more often than quarterly;</w:t>
      </w:r>
    </w:p>
    <w:p w:rsidRPr="00C54A34" w:rsidR="002D133A" w:rsidRDefault="002D133A" w14:paraId="33E5E8FD" w14:textId="77777777">
      <w:pPr>
        <w:tabs>
          <w:tab w:val="left" w:pos="-720"/>
        </w:tabs>
        <w:suppressAutoHyphens/>
        <w:rPr>
          <w:rFonts w:ascii="Times New Roman" w:hAnsi="Times New Roman"/>
          <w:szCs w:val="24"/>
        </w:rPr>
      </w:pPr>
    </w:p>
    <w:p w:rsidRPr="0041375A" w:rsidR="00F23052" w:rsidRDefault="002607C6" w14:paraId="1627F1FA" w14:textId="7654F8F1">
      <w:pPr>
        <w:tabs>
          <w:tab w:val="left" w:pos="-720"/>
        </w:tabs>
        <w:suppressAutoHyphens/>
        <w:rPr>
          <w:rFonts w:ascii="Times New Roman" w:hAnsi="Times New Roman"/>
          <w:szCs w:val="24"/>
        </w:rPr>
      </w:pPr>
      <w:r w:rsidRPr="00C54A34">
        <w:rPr>
          <w:rFonts w:ascii="Times New Roman" w:hAnsi="Times New Roman"/>
          <w:szCs w:val="24"/>
        </w:rPr>
        <w:tab/>
      </w:r>
      <w:r w:rsidR="0041375A">
        <w:rPr>
          <w:rFonts w:ascii="Times New Roman" w:hAnsi="Times New Roman"/>
          <w:szCs w:val="24"/>
        </w:rPr>
        <w:t>The collections</w:t>
      </w:r>
      <w:r w:rsidRPr="0041375A" w:rsidR="0041375A">
        <w:rPr>
          <w:rFonts w:ascii="Times New Roman" w:hAnsi="Times New Roman"/>
          <w:szCs w:val="24"/>
        </w:rPr>
        <w:t xml:space="preserve"> </w:t>
      </w:r>
      <w:r w:rsidRPr="0041375A" w:rsidR="00F23052">
        <w:rPr>
          <w:rFonts w:ascii="Times New Roman" w:hAnsi="Times New Roman"/>
          <w:szCs w:val="24"/>
        </w:rPr>
        <w:t xml:space="preserve">required by these </w:t>
      </w:r>
      <w:r w:rsidRPr="0041375A">
        <w:rPr>
          <w:rFonts w:ascii="Times New Roman" w:hAnsi="Times New Roman"/>
          <w:szCs w:val="24"/>
        </w:rPr>
        <w:t xml:space="preserve">proposed </w:t>
      </w:r>
      <w:r w:rsidRPr="0041375A" w:rsidR="00F23052">
        <w:rPr>
          <w:rFonts w:ascii="Times New Roman" w:hAnsi="Times New Roman"/>
          <w:szCs w:val="24"/>
        </w:rPr>
        <w:t xml:space="preserve">regulations are not required to be </w:t>
      </w:r>
      <w:r w:rsidR="0041375A">
        <w:rPr>
          <w:rFonts w:ascii="Times New Roman" w:hAnsi="Times New Roman"/>
          <w:szCs w:val="24"/>
        </w:rPr>
        <w:t>reported</w:t>
      </w:r>
      <w:r w:rsidRPr="0041375A" w:rsidR="0041375A">
        <w:rPr>
          <w:rFonts w:ascii="Times New Roman" w:hAnsi="Times New Roman"/>
          <w:szCs w:val="24"/>
        </w:rPr>
        <w:t xml:space="preserve"> </w:t>
      </w:r>
      <w:r w:rsidRPr="0041375A" w:rsidR="00F23052">
        <w:rPr>
          <w:rFonts w:ascii="Times New Roman" w:hAnsi="Times New Roman"/>
          <w:szCs w:val="24"/>
        </w:rPr>
        <w:t>to the Commission.</w:t>
      </w:r>
    </w:p>
    <w:p w:rsidRPr="00A56714" w:rsidR="00F23052" w:rsidRDefault="00F23052" w14:paraId="157AC2EA" w14:textId="77777777">
      <w:pPr>
        <w:tabs>
          <w:tab w:val="left" w:pos="-720"/>
        </w:tabs>
        <w:suppressAutoHyphens/>
        <w:rPr>
          <w:rFonts w:ascii="Times New Roman" w:hAnsi="Times New Roman"/>
          <w:szCs w:val="24"/>
        </w:rPr>
      </w:pPr>
    </w:p>
    <w:p w:rsidRPr="00A9574B" w:rsidR="002D133A" w:rsidRDefault="002D133A" w14:paraId="21943C3D" w14:textId="77777777">
      <w:pPr>
        <w:tabs>
          <w:tab w:val="left" w:pos="-720"/>
          <w:tab w:val="left" w:pos="0"/>
          <w:tab w:val="left" w:pos="720"/>
        </w:tabs>
        <w:suppressAutoHyphens/>
        <w:ind w:left="1440" w:hanging="1440"/>
        <w:rPr>
          <w:rFonts w:ascii="Times New Roman" w:hAnsi="Times New Roman"/>
          <w:szCs w:val="24"/>
          <w:u w:val="single"/>
        </w:rPr>
      </w:pPr>
      <w:r w:rsidRPr="005F58D1">
        <w:rPr>
          <w:rFonts w:ascii="Times New Roman" w:hAnsi="Times New Roman"/>
          <w:szCs w:val="24"/>
        </w:rPr>
        <w:tab/>
        <w:t>-</w:t>
      </w:r>
      <w:r w:rsidRPr="005F58D1">
        <w:rPr>
          <w:rFonts w:ascii="Times New Roman" w:hAnsi="Times New Roman"/>
          <w:szCs w:val="24"/>
        </w:rPr>
        <w:tab/>
      </w:r>
      <w:r w:rsidRPr="005F58D1">
        <w:rPr>
          <w:rFonts w:ascii="Times New Roman" w:hAnsi="Times New Roman"/>
          <w:szCs w:val="24"/>
          <w:u w:val="single"/>
        </w:rPr>
        <w:t>requiring respondents to prepare a written response to a collection of information in fewer than 30 days after receipt of it:</w:t>
      </w:r>
    </w:p>
    <w:p w:rsidRPr="000F55FB" w:rsidR="00F23052" w:rsidRDefault="00F23052" w14:paraId="4ED7B099" w14:textId="77777777">
      <w:pPr>
        <w:tabs>
          <w:tab w:val="left" w:pos="-720"/>
          <w:tab w:val="left" w:pos="0"/>
          <w:tab w:val="left" w:pos="720"/>
        </w:tabs>
        <w:suppressAutoHyphens/>
        <w:ind w:left="1440" w:hanging="1440"/>
        <w:rPr>
          <w:rFonts w:ascii="Times New Roman" w:hAnsi="Times New Roman"/>
          <w:szCs w:val="24"/>
          <w:u w:val="single"/>
        </w:rPr>
      </w:pPr>
    </w:p>
    <w:p w:rsidRPr="00C54A34" w:rsidR="00F23052" w:rsidRDefault="002607C6" w14:paraId="439EBF83"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This does not apply.</w:t>
      </w:r>
    </w:p>
    <w:p w:rsidRPr="00C54A34" w:rsidR="002D133A" w:rsidRDefault="002D133A" w14:paraId="3C25EDF1" w14:textId="77777777">
      <w:pPr>
        <w:tabs>
          <w:tab w:val="left" w:pos="-720"/>
        </w:tabs>
        <w:suppressAutoHyphens/>
        <w:rPr>
          <w:rFonts w:ascii="Times New Roman" w:hAnsi="Times New Roman"/>
          <w:szCs w:val="24"/>
        </w:rPr>
      </w:pPr>
    </w:p>
    <w:p w:rsidRPr="00C54A34" w:rsidR="002D133A" w:rsidRDefault="002D133A" w14:paraId="1625F8DD"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C54A34">
        <w:rPr>
          <w:rFonts w:ascii="Times New Roman" w:hAnsi="Times New Roman"/>
          <w:szCs w:val="24"/>
          <w:u w:val="single"/>
        </w:rPr>
        <w:t>requiring respondents to submit more that an original and two copies of any document</w:t>
      </w:r>
      <w:r w:rsidRPr="00C54A34">
        <w:rPr>
          <w:rFonts w:ascii="Times New Roman" w:hAnsi="Times New Roman"/>
          <w:szCs w:val="24"/>
        </w:rPr>
        <w:t>;</w:t>
      </w:r>
    </w:p>
    <w:p w:rsidRPr="00C54A34" w:rsidR="002D133A" w:rsidRDefault="002D133A" w14:paraId="49C9069C" w14:textId="77777777">
      <w:pPr>
        <w:tabs>
          <w:tab w:val="left" w:pos="-720"/>
        </w:tabs>
        <w:suppressAutoHyphens/>
        <w:rPr>
          <w:rFonts w:ascii="Times New Roman" w:hAnsi="Times New Roman"/>
          <w:szCs w:val="24"/>
        </w:rPr>
      </w:pPr>
    </w:p>
    <w:p w:rsidRPr="00C54A34" w:rsidR="00F23052" w:rsidRDefault="002607C6" w14:paraId="400F5DB9" w14:textId="77777777">
      <w:pPr>
        <w:tabs>
          <w:tab w:val="left" w:pos="-720"/>
        </w:tabs>
        <w:suppressAutoHyphens/>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This does not apply.</w:t>
      </w:r>
    </w:p>
    <w:p w:rsidRPr="00C54A34" w:rsidR="002607C6" w:rsidRDefault="002607C6" w14:paraId="288B4DE3" w14:textId="77777777">
      <w:pPr>
        <w:tabs>
          <w:tab w:val="left" w:pos="-720"/>
        </w:tabs>
        <w:suppressAutoHyphens/>
        <w:rPr>
          <w:rFonts w:ascii="Times New Roman" w:hAnsi="Times New Roman"/>
          <w:szCs w:val="24"/>
        </w:rPr>
      </w:pPr>
    </w:p>
    <w:p w:rsidRPr="00C54A34" w:rsidR="002D133A" w:rsidRDefault="002D133A" w14:paraId="0337C27A"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C54A34">
        <w:rPr>
          <w:rFonts w:ascii="Times New Roman" w:hAnsi="Times New Roman"/>
          <w:szCs w:val="24"/>
          <w:u w:val="single"/>
        </w:rPr>
        <w:t>requiring respondents to retain records other than health, medical, government contract, grant-in-aid, or tax records, for more than three years</w:t>
      </w:r>
      <w:r w:rsidRPr="00C54A34">
        <w:rPr>
          <w:rFonts w:ascii="Times New Roman" w:hAnsi="Times New Roman"/>
          <w:szCs w:val="24"/>
        </w:rPr>
        <w:t>;</w:t>
      </w:r>
    </w:p>
    <w:p w:rsidRPr="00C54A34" w:rsidR="002D133A" w:rsidRDefault="002D133A" w14:paraId="0D2C80F7" w14:textId="77777777">
      <w:pPr>
        <w:tabs>
          <w:tab w:val="left" w:pos="-720"/>
        </w:tabs>
        <w:suppressAutoHyphens/>
        <w:rPr>
          <w:rFonts w:ascii="Times New Roman" w:hAnsi="Times New Roman"/>
          <w:szCs w:val="24"/>
        </w:rPr>
      </w:pPr>
    </w:p>
    <w:p w:rsidRPr="0041375A" w:rsidR="00F23052" w:rsidRDefault="002607C6" w14:paraId="7F5C3183" w14:textId="38F100BD">
      <w:pPr>
        <w:tabs>
          <w:tab w:val="left" w:pos="-720"/>
        </w:tabs>
        <w:suppressAutoHyphens/>
        <w:rPr>
          <w:rFonts w:ascii="Times New Roman" w:hAnsi="Times New Roman"/>
          <w:szCs w:val="24"/>
        </w:rPr>
      </w:pPr>
      <w:r w:rsidRPr="00C54A34">
        <w:rPr>
          <w:rFonts w:ascii="Times New Roman" w:hAnsi="Times New Roman"/>
          <w:szCs w:val="24"/>
        </w:rPr>
        <w:tab/>
      </w:r>
      <w:r w:rsidRPr="005F58D1" w:rsidR="005F58D1">
        <w:rPr>
          <w:rFonts w:ascii="Times New Roman" w:hAnsi="Times New Roman"/>
          <w:szCs w:val="24"/>
        </w:rPr>
        <w:t>Commission regulation 1.31(b) expressly requires that books and records required to be kept by the Commodity Exchange Act (“CEA”) or Commission regulations be retained for certain specified periods.  Other than with respect to oral communications, the shortest of these periods is five years from the date of creation.</w:t>
      </w:r>
    </w:p>
    <w:p w:rsidRPr="00A56714" w:rsidR="00F23052" w:rsidRDefault="00F23052" w14:paraId="0EE45EC0" w14:textId="77777777">
      <w:pPr>
        <w:tabs>
          <w:tab w:val="left" w:pos="-720"/>
        </w:tabs>
        <w:suppressAutoHyphens/>
        <w:rPr>
          <w:rFonts w:ascii="Times New Roman" w:hAnsi="Times New Roman"/>
          <w:szCs w:val="24"/>
        </w:rPr>
      </w:pPr>
    </w:p>
    <w:p w:rsidRPr="005F58D1" w:rsidR="002D133A" w:rsidRDefault="002D133A" w14:paraId="6A13B328" w14:textId="77777777">
      <w:pPr>
        <w:tabs>
          <w:tab w:val="left" w:pos="-720"/>
          <w:tab w:val="left" w:pos="0"/>
          <w:tab w:val="left" w:pos="720"/>
        </w:tabs>
        <w:suppressAutoHyphens/>
        <w:ind w:left="1440" w:hanging="1440"/>
        <w:rPr>
          <w:rFonts w:ascii="Times New Roman" w:hAnsi="Times New Roman"/>
          <w:szCs w:val="24"/>
        </w:rPr>
      </w:pPr>
      <w:r w:rsidRPr="00A56714">
        <w:rPr>
          <w:rFonts w:ascii="Times New Roman" w:hAnsi="Times New Roman"/>
          <w:szCs w:val="24"/>
        </w:rPr>
        <w:tab/>
        <w:t>-</w:t>
      </w:r>
      <w:r w:rsidRPr="00A56714">
        <w:rPr>
          <w:rFonts w:ascii="Times New Roman" w:hAnsi="Times New Roman"/>
          <w:szCs w:val="24"/>
        </w:rPr>
        <w:tab/>
      </w:r>
      <w:proofErr w:type="gramStart"/>
      <w:r w:rsidRPr="00A56714">
        <w:rPr>
          <w:rFonts w:ascii="Times New Roman" w:hAnsi="Times New Roman"/>
          <w:szCs w:val="24"/>
          <w:u w:val="single"/>
        </w:rPr>
        <w:t>in</w:t>
      </w:r>
      <w:proofErr w:type="gramEnd"/>
      <w:r w:rsidRPr="00A56714">
        <w:rPr>
          <w:rFonts w:ascii="Times New Roman" w:hAnsi="Times New Roman"/>
          <w:szCs w:val="24"/>
          <w:u w:val="single"/>
        </w:rPr>
        <w:t xml:space="preserve"> connection with a statistical survey, that is not designed to produce valid and reliable results that can be generalized to the universe of study</w:t>
      </w:r>
      <w:r w:rsidRPr="005F58D1">
        <w:rPr>
          <w:rFonts w:ascii="Times New Roman" w:hAnsi="Times New Roman"/>
          <w:szCs w:val="24"/>
        </w:rPr>
        <w:t xml:space="preserve">; </w:t>
      </w:r>
    </w:p>
    <w:p w:rsidRPr="00A9574B" w:rsidR="002D133A" w:rsidRDefault="002D133A" w14:paraId="10CCE358" w14:textId="77777777">
      <w:pPr>
        <w:tabs>
          <w:tab w:val="left" w:pos="-720"/>
        </w:tabs>
        <w:suppressAutoHyphens/>
        <w:rPr>
          <w:rFonts w:ascii="Times New Roman" w:hAnsi="Times New Roman"/>
          <w:szCs w:val="24"/>
        </w:rPr>
      </w:pPr>
    </w:p>
    <w:p w:rsidRPr="000F55FB" w:rsidR="00F23052" w:rsidRDefault="002607C6" w14:paraId="1F3A6A55" w14:textId="77777777">
      <w:pPr>
        <w:tabs>
          <w:tab w:val="left" w:pos="-720"/>
        </w:tabs>
        <w:suppressAutoHyphens/>
        <w:rPr>
          <w:rFonts w:ascii="Times New Roman" w:hAnsi="Times New Roman"/>
          <w:szCs w:val="24"/>
        </w:rPr>
      </w:pPr>
      <w:r w:rsidRPr="000F55FB">
        <w:rPr>
          <w:rFonts w:ascii="Times New Roman" w:hAnsi="Times New Roman"/>
          <w:szCs w:val="24"/>
        </w:rPr>
        <w:tab/>
      </w:r>
      <w:r w:rsidRPr="000F55FB" w:rsidR="00F23052">
        <w:rPr>
          <w:rFonts w:ascii="Times New Roman" w:hAnsi="Times New Roman"/>
          <w:szCs w:val="24"/>
        </w:rPr>
        <w:t xml:space="preserve">The </w:t>
      </w:r>
      <w:r w:rsidRPr="000F55FB">
        <w:rPr>
          <w:rFonts w:ascii="Times New Roman" w:hAnsi="Times New Roman"/>
          <w:szCs w:val="24"/>
        </w:rPr>
        <w:t xml:space="preserve">proposed </w:t>
      </w:r>
      <w:r w:rsidRPr="000F55FB" w:rsidR="00F23052">
        <w:rPr>
          <w:rFonts w:ascii="Times New Roman" w:hAnsi="Times New Roman"/>
          <w:szCs w:val="24"/>
        </w:rPr>
        <w:t>regulations do not involve a statistical survey.</w:t>
      </w:r>
    </w:p>
    <w:p w:rsidRPr="00C54A34" w:rsidR="00F23052" w:rsidRDefault="00F23052" w14:paraId="1F0DFDAC" w14:textId="77777777">
      <w:pPr>
        <w:tabs>
          <w:tab w:val="left" w:pos="-720"/>
        </w:tabs>
        <w:suppressAutoHyphens/>
        <w:rPr>
          <w:rFonts w:ascii="Times New Roman" w:hAnsi="Times New Roman"/>
          <w:szCs w:val="24"/>
        </w:rPr>
      </w:pPr>
    </w:p>
    <w:p w:rsidRPr="00C54A34" w:rsidR="002D133A" w:rsidRDefault="002D133A" w14:paraId="76C96B33"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C54A34">
        <w:rPr>
          <w:rFonts w:ascii="Times New Roman" w:hAnsi="Times New Roman"/>
          <w:szCs w:val="24"/>
          <w:u w:val="single"/>
        </w:rPr>
        <w:t>requiring the use of a statistical data classification that has not been reviewed and approved by OMB</w:t>
      </w:r>
      <w:r w:rsidRPr="00C54A34">
        <w:rPr>
          <w:rFonts w:ascii="Times New Roman" w:hAnsi="Times New Roman"/>
          <w:szCs w:val="24"/>
        </w:rPr>
        <w:t>;</w:t>
      </w:r>
    </w:p>
    <w:p w:rsidRPr="00C54A34" w:rsidR="002D133A" w:rsidRDefault="002D133A" w14:paraId="28227AD1" w14:textId="77777777">
      <w:pPr>
        <w:tabs>
          <w:tab w:val="left" w:pos="-720"/>
        </w:tabs>
        <w:suppressAutoHyphens/>
        <w:rPr>
          <w:rFonts w:ascii="Times New Roman" w:hAnsi="Times New Roman"/>
          <w:szCs w:val="24"/>
        </w:rPr>
      </w:pPr>
    </w:p>
    <w:p w:rsidRPr="00C54A34" w:rsidR="00F23052" w:rsidRDefault="002607C6" w14:paraId="4DCE5DFF" w14:textId="77777777">
      <w:pPr>
        <w:tabs>
          <w:tab w:val="left" w:pos="-720"/>
        </w:tabs>
        <w:suppressAutoHyphens/>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 xml:space="preserve">The </w:t>
      </w:r>
      <w:r w:rsidRPr="00C54A34">
        <w:rPr>
          <w:rFonts w:ascii="Times New Roman" w:hAnsi="Times New Roman"/>
          <w:szCs w:val="24"/>
        </w:rPr>
        <w:t xml:space="preserve">proposed </w:t>
      </w:r>
      <w:r w:rsidRPr="00C54A34" w:rsidR="00F23052">
        <w:rPr>
          <w:rFonts w:ascii="Times New Roman" w:hAnsi="Times New Roman"/>
          <w:szCs w:val="24"/>
        </w:rPr>
        <w:t>regulation</w:t>
      </w:r>
      <w:r w:rsidRPr="00C54A34">
        <w:rPr>
          <w:rFonts w:ascii="Times New Roman" w:hAnsi="Times New Roman"/>
          <w:szCs w:val="24"/>
        </w:rPr>
        <w:t>s</w:t>
      </w:r>
      <w:r w:rsidRPr="00C54A34" w:rsidR="00F23052">
        <w:rPr>
          <w:rFonts w:ascii="Times New Roman" w:hAnsi="Times New Roman"/>
          <w:szCs w:val="24"/>
        </w:rPr>
        <w:t xml:space="preserve"> do not involve the use of statistical data.</w:t>
      </w:r>
    </w:p>
    <w:p w:rsidRPr="00C54A34" w:rsidR="00F23052" w:rsidRDefault="00F23052" w14:paraId="00F8D0B7" w14:textId="77777777">
      <w:pPr>
        <w:tabs>
          <w:tab w:val="left" w:pos="-720"/>
        </w:tabs>
        <w:suppressAutoHyphens/>
        <w:rPr>
          <w:rFonts w:ascii="Times New Roman" w:hAnsi="Times New Roman"/>
          <w:szCs w:val="24"/>
        </w:rPr>
      </w:pPr>
    </w:p>
    <w:p w:rsidRPr="00C54A34" w:rsidR="002D133A" w:rsidRDefault="002D133A" w14:paraId="646B9E1F"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C54A34">
        <w:rPr>
          <w:rFonts w:ascii="Times New Roman" w:hAnsi="Times New Roman"/>
          <w:szCs w:val="24"/>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C54A34" w:rsidR="002D133A" w:rsidRDefault="002D133A" w14:paraId="0F9DFA76" w14:textId="77777777">
      <w:pPr>
        <w:tabs>
          <w:tab w:val="left" w:pos="-720"/>
        </w:tabs>
        <w:suppressAutoHyphens/>
        <w:rPr>
          <w:rFonts w:ascii="Times New Roman" w:hAnsi="Times New Roman"/>
          <w:szCs w:val="24"/>
        </w:rPr>
      </w:pPr>
    </w:p>
    <w:p w:rsidRPr="00C54A34" w:rsidR="00F23052" w:rsidRDefault="002607C6" w14:paraId="3A9E2EB9" w14:textId="77777777">
      <w:pPr>
        <w:tabs>
          <w:tab w:val="left" w:pos="-720"/>
        </w:tabs>
        <w:suppressAutoHyphens/>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This does not apply.</w:t>
      </w:r>
    </w:p>
    <w:p w:rsidRPr="00C54A34" w:rsidR="00F23052" w:rsidRDefault="00F23052" w14:paraId="61734F57" w14:textId="77777777">
      <w:pPr>
        <w:tabs>
          <w:tab w:val="left" w:pos="-720"/>
        </w:tabs>
        <w:suppressAutoHyphens/>
        <w:rPr>
          <w:rFonts w:ascii="Times New Roman" w:hAnsi="Times New Roman"/>
          <w:szCs w:val="24"/>
        </w:rPr>
      </w:pPr>
    </w:p>
    <w:p w:rsidRPr="00C54A34" w:rsidR="002D133A" w:rsidRDefault="002D133A" w14:paraId="1FB7982C"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r>
      <w:r w:rsidRPr="00C54A34">
        <w:rPr>
          <w:rFonts w:ascii="Times New Roman" w:hAnsi="Times New Roman"/>
          <w:szCs w:val="24"/>
          <w:u w:val="single"/>
        </w:rPr>
        <w:t>requiring respondents to submit proprietary trade secrets, or other confidential information unless the agency can demonstrate that it has instituted procedures to protect the information's confidentiality to the extent permitted by law</w:t>
      </w:r>
      <w:r w:rsidRPr="00C54A34">
        <w:rPr>
          <w:rFonts w:ascii="Times New Roman" w:hAnsi="Times New Roman"/>
          <w:szCs w:val="24"/>
        </w:rPr>
        <w:t>.</w:t>
      </w:r>
    </w:p>
    <w:p w:rsidRPr="00C54A34" w:rsidR="002D133A" w:rsidRDefault="002D133A" w14:paraId="6155821C" w14:textId="77777777">
      <w:pPr>
        <w:tabs>
          <w:tab w:val="left" w:pos="-720"/>
        </w:tabs>
        <w:suppressAutoHyphens/>
        <w:rPr>
          <w:rFonts w:ascii="Times New Roman" w:hAnsi="Times New Roman"/>
          <w:szCs w:val="24"/>
        </w:rPr>
      </w:pPr>
    </w:p>
    <w:p w:rsidRPr="00C54A34" w:rsidR="00F23052" w:rsidRDefault="000F3F59" w14:paraId="286D59DE" w14:textId="77777777">
      <w:pPr>
        <w:tabs>
          <w:tab w:val="left" w:pos="-720"/>
        </w:tabs>
        <w:suppressAutoHyphens/>
        <w:rPr>
          <w:rFonts w:ascii="Times New Roman" w:hAnsi="Times New Roman"/>
          <w:szCs w:val="24"/>
        </w:rPr>
      </w:pPr>
      <w:r w:rsidRPr="00C54A34">
        <w:rPr>
          <w:rFonts w:ascii="Times New Roman" w:hAnsi="Times New Roman"/>
          <w:szCs w:val="24"/>
        </w:rPr>
        <w:tab/>
      </w:r>
      <w:r w:rsidRPr="00C54A34" w:rsidR="00F23052">
        <w:rPr>
          <w:rFonts w:ascii="Times New Roman" w:hAnsi="Times New Roman"/>
          <w:szCs w:val="24"/>
        </w:rPr>
        <w:t>This does not apply.</w:t>
      </w:r>
    </w:p>
    <w:p w:rsidRPr="00C54A34" w:rsidR="000F3F59" w:rsidRDefault="000F3F59" w14:paraId="061D707F" w14:textId="77777777">
      <w:pPr>
        <w:tabs>
          <w:tab w:val="left" w:pos="-720"/>
        </w:tabs>
        <w:suppressAutoHyphens/>
        <w:rPr>
          <w:rFonts w:ascii="Times New Roman" w:hAnsi="Times New Roman"/>
          <w:szCs w:val="24"/>
        </w:rPr>
      </w:pPr>
    </w:p>
    <w:p w:rsidRPr="00C54A34" w:rsidR="002D133A" w:rsidRDefault="002D133A" w14:paraId="32715942"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8.</w:t>
      </w:r>
      <w:r w:rsidRPr="00C54A34">
        <w:rPr>
          <w:rFonts w:ascii="Times New Roman" w:hAnsi="Times New Roman"/>
          <w:szCs w:val="24"/>
        </w:rPr>
        <w:tab/>
      </w:r>
      <w:r w:rsidRPr="00C54A34">
        <w:rPr>
          <w:rFonts w:ascii="Times New Roman" w:hAnsi="Times New Roman"/>
          <w:szCs w:val="24"/>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54A34" w:rsidR="002D133A" w:rsidRDefault="002D133A" w14:paraId="4179F764" w14:textId="77777777">
      <w:pPr>
        <w:tabs>
          <w:tab w:val="left" w:pos="-720"/>
        </w:tabs>
        <w:suppressAutoHyphens/>
        <w:rPr>
          <w:rFonts w:ascii="Times New Roman" w:hAnsi="Times New Roman"/>
          <w:szCs w:val="24"/>
        </w:rPr>
      </w:pPr>
    </w:p>
    <w:p w:rsidRPr="0041375A" w:rsidR="00A22DF4" w:rsidRDefault="00A3539D" w14:paraId="7F149CED" w14:textId="0B42E2FF">
      <w:pPr>
        <w:tabs>
          <w:tab w:val="left" w:pos="-720"/>
        </w:tabs>
        <w:suppressAutoHyphens/>
        <w:rPr>
          <w:rFonts w:ascii="Times New Roman" w:hAnsi="Times New Roman"/>
          <w:szCs w:val="24"/>
        </w:rPr>
      </w:pPr>
      <w:r w:rsidRPr="00C54A34">
        <w:rPr>
          <w:rFonts w:ascii="Times New Roman" w:hAnsi="Times New Roman"/>
          <w:szCs w:val="24"/>
        </w:rPr>
        <w:tab/>
      </w:r>
      <w:r w:rsidRPr="0041375A" w:rsidR="0041375A">
        <w:rPr>
          <w:rFonts w:ascii="Times New Roman" w:hAnsi="Times New Roman"/>
          <w:szCs w:val="24"/>
        </w:rPr>
        <w:t xml:space="preserve">A copy of the Federal Register notice soliciting comments on this information collection was published on </w:t>
      </w:r>
      <w:r w:rsidR="009042CC">
        <w:rPr>
          <w:rFonts w:ascii="Times New Roman" w:hAnsi="Times New Roman"/>
          <w:szCs w:val="24"/>
        </w:rPr>
        <w:t>December 11, 2019</w:t>
      </w:r>
      <w:r w:rsidRPr="0041375A" w:rsidR="0041375A">
        <w:rPr>
          <w:rFonts w:ascii="Times New Roman" w:hAnsi="Times New Roman"/>
          <w:szCs w:val="24"/>
        </w:rPr>
        <w:t xml:space="preserve"> (</w:t>
      </w:r>
      <w:r w:rsidR="009042CC">
        <w:rPr>
          <w:rFonts w:ascii="Times New Roman" w:hAnsi="Times New Roman"/>
          <w:szCs w:val="24"/>
        </w:rPr>
        <w:t>84 FR 67724</w:t>
      </w:r>
      <w:r w:rsidRPr="0041375A" w:rsidR="0041375A">
        <w:rPr>
          <w:rFonts w:ascii="Times New Roman" w:hAnsi="Times New Roman"/>
          <w:szCs w:val="24"/>
        </w:rPr>
        <w:t>).  No relevant</w:t>
      </w:r>
      <w:r w:rsidR="00954D8A">
        <w:rPr>
          <w:rFonts w:ascii="Times New Roman" w:hAnsi="Times New Roman"/>
          <w:szCs w:val="24"/>
        </w:rPr>
        <w:t xml:space="preserve"> </w:t>
      </w:r>
      <w:r w:rsidRPr="0041375A" w:rsidR="0041375A">
        <w:rPr>
          <w:rFonts w:ascii="Times New Roman" w:hAnsi="Times New Roman"/>
          <w:szCs w:val="24"/>
        </w:rPr>
        <w:t>comments were received.</w:t>
      </w:r>
      <w:r w:rsidRPr="0041375A" w:rsidR="00FB4EB3">
        <w:rPr>
          <w:rFonts w:ascii="Times New Roman" w:hAnsi="Times New Roman"/>
          <w:szCs w:val="24"/>
        </w:rPr>
        <w:t xml:space="preserve">  </w:t>
      </w:r>
    </w:p>
    <w:p w:rsidRPr="00A56714" w:rsidR="00A64548" w:rsidRDefault="00A64548" w14:paraId="54D53BFD" w14:textId="77777777">
      <w:pPr>
        <w:tabs>
          <w:tab w:val="left" w:pos="-720"/>
        </w:tabs>
        <w:suppressAutoHyphens/>
        <w:rPr>
          <w:rFonts w:ascii="Times New Roman" w:hAnsi="Times New Roman"/>
          <w:szCs w:val="24"/>
        </w:rPr>
      </w:pPr>
    </w:p>
    <w:p w:rsidRPr="000F55FB" w:rsidR="002D133A" w:rsidRDefault="002D133A" w14:paraId="136B378C" w14:textId="77777777">
      <w:pPr>
        <w:tabs>
          <w:tab w:val="left" w:pos="-720"/>
          <w:tab w:val="left" w:pos="0"/>
        </w:tabs>
        <w:suppressAutoHyphens/>
        <w:ind w:left="720" w:hanging="720"/>
        <w:rPr>
          <w:rFonts w:ascii="Times New Roman" w:hAnsi="Times New Roman"/>
          <w:szCs w:val="24"/>
          <w:u w:val="single"/>
        </w:rPr>
      </w:pPr>
      <w:r w:rsidRPr="005F58D1">
        <w:rPr>
          <w:rFonts w:ascii="Times New Roman" w:hAnsi="Times New Roman"/>
          <w:szCs w:val="24"/>
        </w:rPr>
        <w:tab/>
      </w:r>
      <w:r w:rsidRPr="005F58D1">
        <w:rPr>
          <w:rFonts w:ascii="Times New Roman" w:hAnsi="Times New Roman"/>
          <w:szCs w:val="24"/>
          <w:u w:val="single"/>
        </w:rPr>
        <w:t>Describe efforts to consult with persons outside the agency to obtain their views on the availability of data, frequency of collection, the clarity of instructions and recordkeeping disclosure, or reporting format (if any, and on the data ele</w:t>
      </w:r>
      <w:r w:rsidRPr="00A9574B">
        <w:rPr>
          <w:rFonts w:ascii="Times New Roman" w:hAnsi="Times New Roman"/>
          <w:szCs w:val="24"/>
          <w:u w:val="single"/>
        </w:rPr>
        <w:t>ments to be recorded, disclosed, or reported.</w:t>
      </w:r>
    </w:p>
    <w:p w:rsidRPr="00C54A34" w:rsidR="002D133A" w:rsidRDefault="002D133A" w14:paraId="133EB926" w14:textId="77777777">
      <w:pPr>
        <w:tabs>
          <w:tab w:val="left" w:pos="-720"/>
        </w:tabs>
        <w:suppressAutoHyphens/>
        <w:rPr>
          <w:rFonts w:ascii="Times New Roman" w:hAnsi="Times New Roman"/>
          <w:szCs w:val="24"/>
          <w:u w:val="single"/>
        </w:rPr>
      </w:pPr>
    </w:p>
    <w:p w:rsidRPr="00A56714" w:rsidR="00A3539D" w:rsidRDefault="00A3539D" w14:paraId="68519EA0" w14:textId="628AE163">
      <w:pPr>
        <w:tabs>
          <w:tab w:val="left" w:pos="-720"/>
        </w:tabs>
        <w:suppressAutoHyphens/>
        <w:rPr>
          <w:rFonts w:ascii="Times New Roman" w:hAnsi="Times New Roman"/>
          <w:szCs w:val="24"/>
        </w:rPr>
      </w:pPr>
      <w:r w:rsidRPr="00C54A34">
        <w:rPr>
          <w:rFonts w:ascii="Times New Roman" w:hAnsi="Times New Roman"/>
          <w:szCs w:val="24"/>
        </w:rPr>
        <w:tab/>
        <w:t>The Commission consulted the National Futures Association when the Part 160 regulations were initially published to determine the availability of data, frequency of collection and the clarity of instructions and recordkeeping disclosure and on the data elements to be recorded, disclosed, or reported.</w:t>
      </w:r>
      <w:r w:rsidRPr="00C54A34" w:rsidR="00BC23DA">
        <w:rPr>
          <w:rFonts w:ascii="Times New Roman" w:hAnsi="Times New Roman"/>
          <w:szCs w:val="24"/>
        </w:rPr>
        <w:t xml:space="preserve"> </w:t>
      </w:r>
      <w:r w:rsidRPr="00C54A34" w:rsidR="00FB4EB3">
        <w:rPr>
          <w:rFonts w:ascii="Times New Roman" w:hAnsi="Times New Roman"/>
          <w:szCs w:val="24"/>
        </w:rPr>
        <w:t xml:space="preserve"> </w:t>
      </w:r>
      <w:r w:rsidR="00077656">
        <w:rPr>
          <w:rFonts w:ascii="Times New Roman" w:hAnsi="Times New Roman"/>
          <w:szCs w:val="24"/>
        </w:rPr>
        <w:t>In addition, the Commission has taken into account public comments on its proposed PRA calculations relating to Part 160.</w:t>
      </w:r>
    </w:p>
    <w:p w:rsidRPr="005F58D1" w:rsidR="00A3539D" w:rsidRDefault="00A3539D" w14:paraId="1E3F4654" w14:textId="77777777">
      <w:pPr>
        <w:tabs>
          <w:tab w:val="left" w:pos="-720"/>
        </w:tabs>
        <w:suppressAutoHyphens/>
        <w:rPr>
          <w:rFonts w:ascii="Times New Roman" w:hAnsi="Times New Roman"/>
          <w:szCs w:val="24"/>
          <w:u w:val="single"/>
        </w:rPr>
      </w:pPr>
    </w:p>
    <w:p w:rsidRPr="00C54A34" w:rsidR="002D133A" w:rsidRDefault="002D133A" w14:paraId="7C79D50F" w14:textId="77777777">
      <w:pPr>
        <w:tabs>
          <w:tab w:val="left" w:pos="-720"/>
          <w:tab w:val="left" w:pos="0"/>
        </w:tabs>
        <w:suppressAutoHyphens/>
        <w:ind w:left="720" w:hanging="720"/>
        <w:rPr>
          <w:rFonts w:ascii="Times New Roman" w:hAnsi="Times New Roman"/>
          <w:szCs w:val="24"/>
        </w:rPr>
      </w:pPr>
      <w:r w:rsidRPr="00A9574B">
        <w:rPr>
          <w:rFonts w:ascii="Times New Roman" w:hAnsi="Times New Roman"/>
          <w:szCs w:val="24"/>
        </w:rPr>
        <w:tab/>
      </w:r>
      <w:r w:rsidRPr="000F55FB">
        <w:rPr>
          <w:rFonts w:ascii="Times New Roman" w:hAnsi="Times New Roman"/>
          <w:szCs w:val="24"/>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w:t>
      </w:r>
      <w:r w:rsidRPr="00C54A34">
        <w:rPr>
          <w:rFonts w:ascii="Times New Roman" w:hAnsi="Times New Roman"/>
          <w:szCs w:val="24"/>
          <w:u w:val="single"/>
        </w:rPr>
        <w:t xml:space="preserve"> that may preclude consultation in a specific situation.  These circumstances should be explained</w:t>
      </w:r>
      <w:r w:rsidRPr="00C54A34">
        <w:rPr>
          <w:rFonts w:ascii="Times New Roman" w:hAnsi="Times New Roman"/>
          <w:szCs w:val="24"/>
        </w:rPr>
        <w:t>.</w:t>
      </w:r>
    </w:p>
    <w:p w:rsidRPr="00C54A34" w:rsidR="002D133A" w:rsidRDefault="002D133A" w14:paraId="68EFAAC4" w14:textId="77777777">
      <w:pPr>
        <w:tabs>
          <w:tab w:val="left" w:pos="-720"/>
        </w:tabs>
        <w:suppressAutoHyphens/>
        <w:rPr>
          <w:rFonts w:ascii="Times New Roman" w:hAnsi="Times New Roman"/>
          <w:szCs w:val="24"/>
        </w:rPr>
      </w:pPr>
    </w:p>
    <w:p w:rsidRPr="00C54A34" w:rsidR="00A3539D" w:rsidRDefault="00A3539D" w14:paraId="4D7706E1" w14:textId="77777777">
      <w:pPr>
        <w:tabs>
          <w:tab w:val="left" w:pos="-720"/>
        </w:tabs>
        <w:suppressAutoHyphens/>
        <w:rPr>
          <w:rFonts w:ascii="Times New Roman" w:hAnsi="Times New Roman"/>
          <w:szCs w:val="24"/>
        </w:rPr>
      </w:pPr>
      <w:r w:rsidRPr="00C54A34">
        <w:rPr>
          <w:rFonts w:ascii="Times New Roman" w:hAnsi="Times New Roman"/>
          <w:szCs w:val="24"/>
        </w:rPr>
        <w:tab/>
        <w:t>This question does not apply.</w:t>
      </w:r>
    </w:p>
    <w:p w:rsidRPr="00C54A34" w:rsidR="00A3539D" w:rsidRDefault="00A3539D" w14:paraId="6A4FD23B" w14:textId="77777777">
      <w:pPr>
        <w:tabs>
          <w:tab w:val="left" w:pos="-720"/>
        </w:tabs>
        <w:suppressAutoHyphens/>
        <w:rPr>
          <w:rFonts w:ascii="Times New Roman" w:hAnsi="Times New Roman"/>
          <w:szCs w:val="24"/>
        </w:rPr>
      </w:pPr>
    </w:p>
    <w:p w:rsidRPr="00C54A34" w:rsidR="002D133A" w:rsidRDefault="002D133A" w14:paraId="1341223D"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9.</w:t>
      </w:r>
      <w:r w:rsidRPr="00C54A34">
        <w:rPr>
          <w:rFonts w:ascii="Times New Roman" w:hAnsi="Times New Roman"/>
          <w:szCs w:val="24"/>
        </w:rPr>
        <w:tab/>
      </w:r>
      <w:r w:rsidRPr="00C54A34">
        <w:rPr>
          <w:rFonts w:ascii="Times New Roman" w:hAnsi="Times New Roman"/>
          <w:szCs w:val="24"/>
          <w:u w:val="single"/>
        </w:rPr>
        <w:t>Explain any decision to provide any payment or gift to respondents, other than remuneration of contractors or grantees</w:t>
      </w:r>
      <w:r w:rsidRPr="00C54A34">
        <w:rPr>
          <w:rFonts w:ascii="Times New Roman" w:hAnsi="Times New Roman"/>
          <w:szCs w:val="24"/>
        </w:rPr>
        <w:t>.</w:t>
      </w:r>
    </w:p>
    <w:p w:rsidRPr="00C54A34" w:rsidR="00A3539D" w:rsidRDefault="00A3539D" w14:paraId="44CB3ADA" w14:textId="77777777">
      <w:pPr>
        <w:tabs>
          <w:tab w:val="left" w:pos="-720"/>
        </w:tabs>
        <w:suppressAutoHyphens/>
        <w:rPr>
          <w:rFonts w:ascii="Times New Roman" w:hAnsi="Times New Roman"/>
          <w:szCs w:val="24"/>
        </w:rPr>
      </w:pPr>
      <w:r w:rsidRPr="00C54A34">
        <w:rPr>
          <w:rFonts w:ascii="Times New Roman" w:hAnsi="Times New Roman"/>
          <w:szCs w:val="24"/>
        </w:rPr>
        <w:tab/>
      </w:r>
    </w:p>
    <w:p w:rsidRPr="00C54A34" w:rsidR="002D133A" w:rsidRDefault="00A3539D" w14:paraId="439D9BFB" w14:textId="77777777">
      <w:pPr>
        <w:tabs>
          <w:tab w:val="left" w:pos="-720"/>
        </w:tabs>
        <w:suppressAutoHyphens/>
        <w:rPr>
          <w:rFonts w:ascii="Times New Roman" w:hAnsi="Times New Roman"/>
          <w:szCs w:val="24"/>
        </w:rPr>
      </w:pPr>
      <w:r w:rsidRPr="00C54A34">
        <w:rPr>
          <w:rFonts w:ascii="Times New Roman" w:hAnsi="Times New Roman"/>
          <w:szCs w:val="24"/>
        </w:rPr>
        <w:tab/>
        <w:t>This question does not apply.</w:t>
      </w:r>
    </w:p>
    <w:p w:rsidRPr="00C54A34" w:rsidR="002D133A" w:rsidRDefault="002D133A" w14:paraId="1075BD69" w14:textId="77777777">
      <w:pPr>
        <w:tabs>
          <w:tab w:val="left" w:pos="-720"/>
        </w:tabs>
        <w:suppressAutoHyphens/>
        <w:rPr>
          <w:rFonts w:ascii="Times New Roman" w:hAnsi="Times New Roman"/>
          <w:szCs w:val="24"/>
        </w:rPr>
      </w:pPr>
      <w:r w:rsidRPr="00C54A34">
        <w:rPr>
          <w:rFonts w:ascii="Times New Roman" w:hAnsi="Times New Roman"/>
          <w:szCs w:val="24"/>
        </w:rPr>
        <w:t xml:space="preserve">  </w:t>
      </w:r>
    </w:p>
    <w:p w:rsidRPr="00C54A34" w:rsidR="002D133A" w:rsidRDefault="002D133A" w14:paraId="0FF014BA"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10.</w:t>
      </w:r>
      <w:r w:rsidRPr="00C54A34">
        <w:rPr>
          <w:rFonts w:ascii="Times New Roman" w:hAnsi="Times New Roman"/>
          <w:szCs w:val="24"/>
        </w:rPr>
        <w:tab/>
      </w:r>
      <w:r w:rsidRPr="00C54A34">
        <w:rPr>
          <w:rFonts w:ascii="Times New Roman" w:hAnsi="Times New Roman"/>
          <w:szCs w:val="24"/>
          <w:u w:val="single"/>
        </w:rPr>
        <w:t>Describe any assurance of confidentiality provided to respondents and the basis for the assurance in statute, regulations, or agency policy</w:t>
      </w:r>
      <w:r w:rsidRPr="00C54A34">
        <w:rPr>
          <w:rFonts w:ascii="Times New Roman" w:hAnsi="Times New Roman"/>
          <w:szCs w:val="24"/>
        </w:rPr>
        <w:t>.</w:t>
      </w:r>
    </w:p>
    <w:p w:rsidRPr="00C54A34" w:rsidR="002D133A" w:rsidRDefault="002D133A" w14:paraId="0857E42A" w14:textId="77777777">
      <w:pPr>
        <w:tabs>
          <w:tab w:val="left" w:pos="-720"/>
        </w:tabs>
        <w:suppressAutoHyphens/>
        <w:rPr>
          <w:rFonts w:ascii="Times New Roman" w:hAnsi="Times New Roman"/>
          <w:szCs w:val="24"/>
        </w:rPr>
      </w:pPr>
      <w:r w:rsidRPr="00C54A34">
        <w:rPr>
          <w:rFonts w:ascii="Times New Roman" w:hAnsi="Times New Roman"/>
          <w:szCs w:val="24"/>
        </w:rPr>
        <w:tab/>
      </w:r>
    </w:p>
    <w:p w:rsidRPr="00C54A34" w:rsidR="00957AF3" w:rsidRDefault="00A3539D" w14:paraId="2ED8C267" w14:textId="77777777">
      <w:pPr>
        <w:tabs>
          <w:tab w:val="left" w:pos="-720"/>
        </w:tabs>
        <w:suppressAutoHyphens/>
        <w:rPr>
          <w:rFonts w:ascii="Times New Roman" w:hAnsi="Times New Roman"/>
          <w:szCs w:val="24"/>
        </w:rPr>
      </w:pPr>
      <w:r w:rsidRPr="00C54A34">
        <w:rPr>
          <w:rFonts w:ascii="Times New Roman" w:hAnsi="Times New Roman"/>
          <w:szCs w:val="24"/>
        </w:rPr>
        <w:tab/>
      </w:r>
      <w:r w:rsidRPr="00C54A34" w:rsidR="00AD66F5">
        <w:rPr>
          <w:rFonts w:ascii="Times New Roman" w:hAnsi="Times New Roman"/>
          <w:szCs w:val="24"/>
        </w:rPr>
        <w:t xml:space="preserve">The Commission does not provide respondents with an assurance of confidentiality, only to the extent provided by law. The Commission fully complies with section 8(a)(1) of the CEA, which strictly prohibits the Commission, unless specifically authorized by the CEA, from making public “data and information that would separately disclose the business transactions or market positions of any person and trade secrets or names of customers.”  </w:t>
      </w:r>
    </w:p>
    <w:p w:rsidRPr="00C54A34" w:rsidR="00A3539D" w:rsidRDefault="00A3539D" w14:paraId="4CA6A429" w14:textId="77777777">
      <w:pPr>
        <w:tabs>
          <w:tab w:val="left" w:pos="-720"/>
        </w:tabs>
        <w:suppressAutoHyphens/>
        <w:rPr>
          <w:rFonts w:ascii="Times New Roman" w:hAnsi="Times New Roman"/>
          <w:szCs w:val="24"/>
        </w:rPr>
      </w:pPr>
    </w:p>
    <w:p w:rsidRPr="00C54A34" w:rsidR="002D133A" w:rsidRDefault="002D133A" w14:paraId="2FF4A252" w14:textId="77777777">
      <w:pPr>
        <w:tabs>
          <w:tab w:val="left" w:pos="-720"/>
        </w:tabs>
        <w:suppressAutoHyphens/>
        <w:ind w:left="720" w:hanging="720"/>
        <w:rPr>
          <w:rFonts w:ascii="Times New Roman" w:hAnsi="Times New Roman"/>
          <w:szCs w:val="24"/>
        </w:rPr>
      </w:pPr>
      <w:r w:rsidRPr="00C54A34">
        <w:rPr>
          <w:rFonts w:ascii="Times New Roman" w:hAnsi="Times New Roman"/>
          <w:szCs w:val="24"/>
        </w:rPr>
        <w:t>11.</w:t>
      </w:r>
      <w:r w:rsidRPr="00C54A34">
        <w:rPr>
          <w:rFonts w:ascii="Times New Roman" w:hAnsi="Times New Roman"/>
          <w:szCs w:val="24"/>
        </w:rPr>
        <w:tab/>
      </w:r>
      <w:r w:rsidRPr="00C54A34">
        <w:rPr>
          <w:rFonts w:ascii="Times New Roman" w:hAnsi="Times New Roman"/>
          <w:szCs w:val="24"/>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54A34">
        <w:rPr>
          <w:rFonts w:ascii="Times New Roman" w:hAnsi="Times New Roman"/>
          <w:szCs w:val="24"/>
        </w:rPr>
        <w:t>.</w:t>
      </w:r>
    </w:p>
    <w:p w:rsidRPr="00C54A34" w:rsidR="002D133A" w:rsidRDefault="002D133A" w14:paraId="5703ED11" w14:textId="77777777">
      <w:pPr>
        <w:tabs>
          <w:tab w:val="left" w:pos="-720"/>
        </w:tabs>
        <w:suppressAutoHyphens/>
        <w:rPr>
          <w:rFonts w:ascii="Times New Roman" w:hAnsi="Times New Roman"/>
          <w:szCs w:val="24"/>
        </w:rPr>
      </w:pPr>
    </w:p>
    <w:p w:rsidRPr="00C54A34" w:rsidR="00A3539D" w:rsidRDefault="00A3539D" w14:paraId="4CAA97BE" w14:textId="77777777">
      <w:pPr>
        <w:tabs>
          <w:tab w:val="left" w:pos="-720"/>
        </w:tabs>
        <w:suppressAutoHyphens/>
        <w:rPr>
          <w:rFonts w:ascii="Times New Roman" w:hAnsi="Times New Roman"/>
          <w:szCs w:val="24"/>
        </w:rPr>
      </w:pPr>
      <w:r w:rsidRPr="00C54A34">
        <w:rPr>
          <w:rFonts w:ascii="Times New Roman" w:hAnsi="Times New Roman"/>
          <w:szCs w:val="24"/>
        </w:rPr>
        <w:tab/>
        <w:t>The proposed regulation</w:t>
      </w:r>
      <w:r w:rsidRPr="00C54A34" w:rsidR="000F3F59">
        <w:rPr>
          <w:rFonts w:ascii="Times New Roman" w:hAnsi="Times New Roman"/>
          <w:szCs w:val="24"/>
        </w:rPr>
        <w:t>s</w:t>
      </w:r>
      <w:r w:rsidRPr="00C54A34">
        <w:rPr>
          <w:rFonts w:ascii="Times New Roman" w:hAnsi="Times New Roman"/>
          <w:szCs w:val="24"/>
        </w:rPr>
        <w:t xml:space="preserve"> do not require the giving of sensitive information, as that term is used in Question 11.</w:t>
      </w:r>
    </w:p>
    <w:p w:rsidRPr="00C54A34" w:rsidR="00A3539D" w:rsidRDefault="00A3539D" w14:paraId="478C2373" w14:textId="77777777">
      <w:pPr>
        <w:tabs>
          <w:tab w:val="left" w:pos="-720"/>
        </w:tabs>
        <w:suppressAutoHyphens/>
        <w:rPr>
          <w:rFonts w:ascii="Times New Roman" w:hAnsi="Times New Roman"/>
          <w:szCs w:val="24"/>
        </w:rPr>
      </w:pPr>
    </w:p>
    <w:p w:rsidRPr="00C54A34" w:rsidR="002D133A" w:rsidRDefault="002D133A" w14:paraId="6638BAEE"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12.</w:t>
      </w:r>
      <w:r w:rsidRPr="00C54A34">
        <w:rPr>
          <w:rFonts w:ascii="Times New Roman" w:hAnsi="Times New Roman"/>
          <w:szCs w:val="24"/>
        </w:rPr>
        <w:tab/>
      </w:r>
      <w:r w:rsidRPr="00C54A34">
        <w:rPr>
          <w:rFonts w:ascii="Times New Roman" w:hAnsi="Times New Roman"/>
          <w:szCs w:val="24"/>
          <w:u w:val="single"/>
        </w:rPr>
        <w:t>Provide estimates of the hour burden of the collection of information.  The Statement should</w:t>
      </w:r>
      <w:r w:rsidRPr="00C54A34">
        <w:rPr>
          <w:rFonts w:ascii="Times New Roman" w:hAnsi="Times New Roman"/>
          <w:szCs w:val="24"/>
        </w:rPr>
        <w:t>:</w:t>
      </w:r>
    </w:p>
    <w:p w:rsidRPr="00C54A34" w:rsidR="002D133A" w:rsidRDefault="002D133A" w14:paraId="29683998" w14:textId="77777777">
      <w:pPr>
        <w:tabs>
          <w:tab w:val="left" w:pos="-720"/>
        </w:tabs>
        <w:suppressAutoHyphens/>
        <w:rPr>
          <w:rFonts w:ascii="Times New Roman" w:hAnsi="Times New Roman"/>
          <w:szCs w:val="24"/>
        </w:rPr>
      </w:pPr>
    </w:p>
    <w:p w:rsidRPr="00C54A34" w:rsidR="002D133A" w:rsidRDefault="002D133A" w14:paraId="1E763CBC"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C54A34" w:rsidR="002D133A" w:rsidRDefault="002D133A" w14:paraId="3904BAD5" w14:textId="77777777">
      <w:pPr>
        <w:tabs>
          <w:tab w:val="left" w:pos="-720"/>
        </w:tabs>
        <w:suppressAutoHyphens/>
        <w:rPr>
          <w:rFonts w:ascii="Times New Roman" w:hAnsi="Times New Roman"/>
          <w:szCs w:val="24"/>
        </w:rPr>
      </w:pPr>
    </w:p>
    <w:p w:rsidRPr="00C54A34" w:rsidR="002D133A" w:rsidRDefault="002D133A" w14:paraId="0580629C"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If the request for approval covers more than one form, provide separate hour burden estimates for each form and aggregate the hour burdens in Item 13 of OMB Form 83-I.</w:t>
      </w:r>
    </w:p>
    <w:p w:rsidRPr="00C54A34" w:rsidR="002D133A" w:rsidRDefault="002D133A" w14:paraId="2953BD5C" w14:textId="77777777">
      <w:pPr>
        <w:tabs>
          <w:tab w:val="left" w:pos="-720"/>
        </w:tabs>
        <w:suppressAutoHyphens/>
        <w:rPr>
          <w:rFonts w:ascii="Times New Roman" w:hAnsi="Times New Roman"/>
          <w:szCs w:val="24"/>
        </w:rPr>
      </w:pPr>
    </w:p>
    <w:p w:rsidRPr="00C54A34" w:rsidR="002D133A" w:rsidRDefault="002D133A" w14:paraId="0C943F3A"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Provide estimates of annualized cost to respondents for the hours burdens for collections of information, identifying and using appropriate wage rate categories.  The cost of contracting ou</w:t>
      </w:r>
      <w:r w:rsidRPr="00C54A34" w:rsidR="00755A68">
        <w:rPr>
          <w:rFonts w:ascii="Times New Roman" w:hAnsi="Times New Roman"/>
          <w:szCs w:val="24"/>
        </w:rPr>
        <w:t>t</w:t>
      </w:r>
      <w:r w:rsidRPr="00C54A34">
        <w:rPr>
          <w:rFonts w:ascii="Times New Roman" w:hAnsi="Times New Roman"/>
          <w:szCs w:val="24"/>
        </w:rPr>
        <w:t xml:space="preserve"> or paying outside parties for information collection activities should not be included here.  Instead, this cost should be included in Item 13.</w:t>
      </w:r>
    </w:p>
    <w:p w:rsidRPr="00C54A34" w:rsidR="002D133A" w:rsidRDefault="002D133A" w14:paraId="2E4A4E84" w14:textId="77777777">
      <w:pPr>
        <w:tabs>
          <w:tab w:val="left" w:pos="-720"/>
        </w:tabs>
        <w:suppressAutoHyphens/>
        <w:rPr>
          <w:rFonts w:ascii="Times New Roman" w:hAnsi="Times New Roman"/>
          <w:szCs w:val="24"/>
        </w:rPr>
      </w:pPr>
    </w:p>
    <w:p w:rsidRPr="00C54A34" w:rsidR="00A3539D" w:rsidRDefault="00A3539D" w14:paraId="73B2EB80" w14:textId="77777777">
      <w:pPr>
        <w:tabs>
          <w:tab w:val="left" w:pos="-720"/>
        </w:tabs>
        <w:suppressAutoHyphens/>
        <w:rPr>
          <w:rFonts w:ascii="Times New Roman" w:hAnsi="Times New Roman"/>
          <w:szCs w:val="24"/>
        </w:rPr>
      </w:pPr>
      <w:r w:rsidRPr="00C54A34">
        <w:rPr>
          <w:rFonts w:ascii="Times New Roman" w:hAnsi="Times New Roman"/>
          <w:szCs w:val="24"/>
        </w:rPr>
        <w:tab/>
        <w:t>See Attachment A.</w:t>
      </w:r>
    </w:p>
    <w:p w:rsidRPr="00C54A34" w:rsidR="00A3539D" w:rsidRDefault="00A3539D" w14:paraId="32018DA1" w14:textId="77777777">
      <w:pPr>
        <w:tabs>
          <w:tab w:val="left" w:pos="-720"/>
        </w:tabs>
        <w:suppressAutoHyphens/>
        <w:rPr>
          <w:rFonts w:ascii="Times New Roman" w:hAnsi="Times New Roman"/>
          <w:szCs w:val="24"/>
        </w:rPr>
      </w:pPr>
    </w:p>
    <w:p w:rsidRPr="00C54A34" w:rsidR="002D133A" w:rsidRDefault="002D133A" w14:paraId="00A32432"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13.</w:t>
      </w:r>
      <w:r w:rsidRPr="00C54A34">
        <w:rPr>
          <w:rFonts w:ascii="Times New Roman" w:hAnsi="Times New Roman"/>
          <w:szCs w:val="24"/>
        </w:rPr>
        <w:tab/>
      </w:r>
      <w:r w:rsidRPr="00C54A34">
        <w:rPr>
          <w:rFonts w:ascii="Times New Roman" w:hAnsi="Times New Roman"/>
          <w:szCs w:val="24"/>
          <w:u w:val="single"/>
        </w:rPr>
        <w:t xml:space="preserve">Provide an estimate of the total annual cost burden to respondents or recordkeepers resulting </w:t>
      </w:r>
      <w:r w:rsidRPr="00C54A34" w:rsidR="000F3F59">
        <w:rPr>
          <w:rFonts w:ascii="Times New Roman" w:hAnsi="Times New Roman"/>
          <w:szCs w:val="24"/>
          <w:u w:val="single"/>
        </w:rPr>
        <w:t>from</w:t>
      </w:r>
      <w:r w:rsidRPr="00C54A34">
        <w:rPr>
          <w:rFonts w:ascii="Times New Roman" w:hAnsi="Times New Roman"/>
          <w:szCs w:val="24"/>
          <w:u w:val="single"/>
        </w:rPr>
        <w:t xml:space="preserve"> the collection of information.  (Do not include the cost of any hour burden shown in Items 12 and 14)</w:t>
      </w:r>
      <w:r w:rsidRPr="00C54A34">
        <w:rPr>
          <w:rFonts w:ascii="Times New Roman" w:hAnsi="Times New Roman"/>
          <w:szCs w:val="24"/>
        </w:rPr>
        <w:t>.</w:t>
      </w:r>
    </w:p>
    <w:p w:rsidRPr="00C54A34" w:rsidR="002D133A" w:rsidRDefault="002D133A" w14:paraId="0DB04951" w14:textId="77777777">
      <w:pPr>
        <w:tabs>
          <w:tab w:val="left" w:pos="-720"/>
        </w:tabs>
        <w:suppressAutoHyphens/>
        <w:rPr>
          <w:rFonts w:ascii="Times New Roman" w:hAnsi="Times New Roman"/>
          <w:szCs w:val="24"/>
        </w:rPr>
      </w:pPr>
    </w:p>
    <w:p w:rsidRPr="00C54A34" w:rsidR="002D133A" w:rsidRDefault="002D133A" w14:paraId="3EF94FEA"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54A34" w:rsidR="002D133A" w:rsidRDefault="002D133A" w14:paraId="7D7B9EC8" w14:textId="77777777">
      <w:pPr>
        <w:tabs>
          <w:tab w:val="left" w:pos="-720"/>
        </w:tabs>
        <w:suppressAutoHyphens/>
        <w:rPr>
          <w:rFonts w:ascii="Times New Roman" w:hAnsi="Times New Roman"/>
          <w:szCs w:val="24"/>
        </w:rPr>
      </w:pPr>
    </w:p>
    <w:p w:rsidRPr="00C54A34" w:rsidR="002D133A" w:rsidRDefault="002D133A" w14:paraId="0A874DEE"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C54A34" w:rsidR="002D133A" w:rsidRDefault="002D133A" w14:paraId="03C54CE6" w14:textId="77777777">
      <w:pPr>
        <w:tabs>
          <w:tab w:val="left" w:pos="-720"/>
        </w:tabs>
        <w:suppressAutoHyphens/>
        <w:rPr>
          <w:rFonts w:ascii="Times New Roman" w:hAnsi="Times New Roman"/>
          <w:szCs w:val="24"/>
        </w:rPr>
      </w:pPr>
    </w:p>
    <w:p w:rsidRPr="00C54A34" w:rsidR="002D133A" w:rsidRDefault="002D133A" w14:paraId="4323D830" w14:textId="77777777">
      <w:pPr>
        <w:tabs>
          <w:tab w:val="left" w:pos="-720"/>
          <w:tab w:val="left" w:pos="0"/>
          <w:tab w:val="left" w:pos="720"/>
        </w:tabs>
        <w:suppressAutoHyphens/>
        <w:ind w:left="1440" w:hanging="1440"/>
        <w:rPr>
          <w:rFonts w:ascii="Times New Roman" w:hAnsi="Times New Roman"/>
          <w:szCs w:val="24"/>
        </w:rPr>
      </w:pPr>
      <w:r w:rsidRPr="00C54A34">
        <w:rPr>
          <w:rFonts w:ascii="Times New Roman" w:hAnsi="Times New Roman"/>
          <w:szCs w:val="24"/>
        </w:rPr>
        <w:tab/>
        <w:t>-</w:t>
      </w:r>
      <w:r w:rsidRPr="00C54A34">
        <w:rPr>
          <w:rFonts w:ascii="Times New Roman" w:hAnsi="Times New Roman"/>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C54A34" w:rsidR="000F3F59">
        <w:rPr>
          <w:rFonts w:ascii="Times New Roman" w:hAnsi="Times New Roman"/>
          <w:szCs w:val="24"/>
        </w:rPr>
        <w:t>government</w:t>
      </w:r>
      <w:r w:rsidRPr="00C54A34">
        <w:rPr>
          <w:rFonts w:ascii="Times New Roman" w:hAnsi="Times New Roman"/>
          <w:szCs w:val="24"/>
        </w:rPr>
        <w:t xml:space="preserve"> or (4) as part of customary and usual business or private practices.</w:t>
      </w:r>
    </w:p>
    <w:p w:rsidRPr="00C54A34" w:rsidR="002D133A" w:rsidRDefault="002D133A" w14:paraId="512991F6" w14:textId="77777777">
      <w:pPr>
        <w:tabs>
          <w:tab w:val="left" w:pos="-720"/>
        </w:tabs>
        <w:suppressAutoHyphens/>
        <w:rPr>
          <w:rFonts w:ascii="Times New Roman" w:hAnsi="Times New Roman"/>
          <w:szCs w:val="24"/>
        </w:rPr>
      </w:pPr>
    </w:p>
    <w:p w:rsidRPr="00C54A34" w:rsidR="00A17B53" w:rsidRDefault="00AB5AFD" w14:paraId="42D1731E" w14:textId="77777777">
      <w:pPr>
        <w:tabs>
          <w:tab w:val="left" w:pos="-720"/>
        </w:tabs>
        <w:suppressAutoHyphens/>
        <w:rPr>
          <w:rFonts w:ascii="Times New Roman" w:hAnsi="Times New Roman"/>
          <w:szCs w:val="24"/>
        </w:rPr>
      </w:pPr>
      <w:r w:rsidRPr="00C54A34">
        <w:rPr>
          <w:rFonts w:ascii="Times New Roman" w:hAnsi="Times New Roman"/>
          <w:szCs w:val="24"/>
        </w:rPr>
        <w:tab/>
        <w:t>The proposed regulations covered by this collection require no new start-up or operations and maintenance costs.</w:t>
      </w:r>
    </w:p>
    <w:p w:rsidRPr="00C54A34" w:rsidR="00AB5AFD" w:rsidRDefault="00AB5AFD" w14:paraId="783A1D30" w14:textId="77777777">
      <w:pPr>
        <w:tabs>
          <w:tab w:val="left" w:pos="-720"/>
        </w:tabs>
        <w:suppressAutoHyphens/>
        <w:rPr>
          <w:rFonts w:ascii="Times New Roman" w:hAnsi="Times New Roman"/>
          <w:szCs w:val="24"/>
        </w:rPr>
      </w:pPr>
    </w:p>
    <w:p w:rsidRPr="00C54A34" w:rsidR="002D133A" w:rsidRDefault="002D133A" w14:paraId="687EABBA" w14:textId="77777777">
      <w:pPr>
        <w:tabs>
          <w:tab w:val="left" w:pos="-720"/>
        </w:tabs>
        <w:suppressAutoHyphens/>
        <w:ind w:left="720" w:hanging="720"/>
        <w:rPr>
          <w:rFonts w:ascii="Times New Roman" w:hAnsi="Times New Roman"/>
          <w:szCs w:val="24"/>
        </w:rPr>
      </w:pPr>
      <w:r w:rsidRPr="00C54A34">
        <w:rPr>
          <w:rFonts w:ascii="Times New Roman" w:hAnsi="Times New Roman"/>
          <w:szCs w:val="24"/>
        </w:rPr>
        <w:t>14.</w:t>
      </w:r>
      <w:r w:rsidRPr="00C54A34">
        <w:rPr>
          <w:rFonts w:ascii="Times New Roman" w:hAnsi="Times New Roman"/>
          <w:szCs w:val="24"/>
        </w:rPr>
        <w:tab/>
      </w:r>
      <w:r w:rsidRPr="00C54A34">
        <w:rPr>
          <w:rFonts w:ascii="Times New Roman" w:hAnsi="Times New Roman"/>
          <w:szCs w:val="24"/>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C54A34">
        <w:rPr>
          <w:rFonts w:ascii="Times New Roman" w:hAnsi="Times New Roman"/>
          <w:szCs w:val="24"/>
        </w:rPr>
        <w:t xml:space="preserve">  </w:t>
      </w:r>
    </w:p>
    <w:p w:rsidRPr="00C54A34" w:rsidR="002D133A" w:rsidRDefault="002D133A" w14:paraId="5E8EF0FC" w14:textId="77777777">
      <w:pPr>
        <w:tabs>
          <w:tab w:val="left" w:pos="-720"/>
        </w:tabs>
        <w:suppressAutoHyphens/>
        <w:rPr>
          <w:rFonts w:ascii="Times New Roman" w:hAnsi="Times New Roman"/>
          <w:szCs w:val="24"/>
        </w:rPr>
      </w:pPr>
    </w:p>
    <w:p w:rsidRPr="00A56714" w:rsidR="00A17B53" w:rsidRDefault="00A17B53" w14:paraId="2CBFDB66" w14:textId="04F56DEF">
      <w:pPr>
        <w:tabs>
          <w:tab w:val="left" w:pos="-720"/>
        </w:tabs>
        <w:suppressAutoHyphens/>
        <w:rPr>
          <w:rFonts w:ascii="Times New Roman" w:hAnsi="Times New Roman"/>
          <w:szCs w:val="24"/>
        </w:rPr>
      </w:pPr>
      <w:r w:rsidRPr="00C54A34">
        <w:rPr>
          <w:rFonts w:ascii="Times New Roman" w:hAnsi="Times New Roman"/>
          <w:szCs w:val="24"/>
        </w:rPr>
        <w:tab/>
        <w:t xml:space="preserve">Financial institutions are not required to provide copies of </w:t>
      </w:r>
      <w:r w:rsidR="00A56714">
        <w:rPr>
          <w:rFonts w:ascii="Times New Roman" w:hAnsi="Times New Roman"/>
          <w:szCs w:val="24"/>
        </w:rPr>
        <w:t>the related</w:t>
      </w:r>
      <w:r w:rsidRPr="00A56714" w:rsidR="00A56714">
        <w:rPr>
          <w:rFonts w:ascii="Times New Roman" w:hAnsi="Times New Roman"/>
          <w:szCs w:val="24"/>
        </w:rPr>
        <w:t xml:space="preserve"> </w:t>
      </w:r>
      <w:r w:rsidRPr="00A56714">
        <w:rPr>
          <w:rFonts w:ascii="Times New Roman" w:hAnsi="Times New Roman"/>
          <w:szCs w:val="24"/>
        </w:rPr>
        <w:t>notices to the Commission, and the Commission is not required to review each institution’s privacy policies.  Consequently, the annualized cost to the Commission should be minimal, except in cases where the Commission initiates an enforcement proceeding against an institution for non-compliance with the rule.</w:t>
      </w:r>
    </w:p>
    <w:p w:rsidRPr="005F58D1" w:rsidR="00A17B53" w:rsidRDefault="00A17B53" w14:paraId="5750A874" w14:textId="77777777">
      <w:pPr>
        <w:tabs>
          <w:tab w:val="left" w:pos="-720"/>
        </w:tabs>
        <w:suppressAutoHyphens/>
        <w:rPr>
          <w:rFonts w:ascii="Times New Roman" w:hAnsi="Times New Roman"/>
          <w:szCs w:val="24"/>
        </w:rPr>
      </w:pPr>
    </w:p>
    <w:p w:rsidRPr="000F55FB" w:rsidR="002D133A" w:rsidRDefault="002D133A" w14:paraId="4C5B4028" w14:textId="77777777">
      <w:pPr>
        <w:tabs>
          <w:tab w:val="left" w:pos="-720"/>
          <w:tab w:val="left" w:pos="0"/>
        </w:tabs>
        <w:suppressAutoHyphens/>
        <w:ind w:left="720" w:hanging="720"/>
        <w:rPr>
          <w:rFonts w:ascii="Times New Roman" w:hAnsi="Times New Roman"/>
          <w:szCs w:val="24"/>
        </w:rPr>
      </w:pPr>
      <w:r w:rsidRPr="00A9574B">
        <w:rPr>
          <w:rFonts w:ascii="Times New Roman" w:hAnsi="Times New Roman"/>
          <w:szCs w:val="24"/>
        </w:rPr>
        <w:t>15.</w:t>
      </w:r>
      <w:r w:rsidRPr="00A9574B">
        <w:rPr>
          <w:rFonts w:ascii="Times New Roman" w:hAnsi="Times New Roman"/>
          <w:szCs w:val="24"/>
        </w:rPr>
        <w:tab/>
      </w:r>
      <w:r w:rsidRPr="00A9574B">
        <w:rPr>
          <w:rFonts w:ascii="Times New Roman" w:hAnsi="Times New Roman"/>
          <w:szCs w:val="24"/>
          <w:u w:val="single"/>
        </w:rPr>
        <w:t>Explain the reasons for any program changes or adjustments reported in Items 13 or 14 of the OMB Form 83-I</w:t>
      </w:r>
      <w:r w:rsidRPr="000F55FB">
        <w:rPr>
          <w:rFonts w:ascii="Times New Roman" w:hAnsi="Times New Roman"/>
          <w:szCs w:val="24"/>
        </w:rPr>
        <w:t>.</w:t>
      </w:r>
    </w:p>
    <w:p w:rsidRPr="00C54A34" w:rsidR="002D133A" w:rsidRDefault="002D133A" w14:paraId="63B92C73" w14:textId="77777777">
      <w:pPr>
        <w:tabs>
          <w:tab w:val="left" w:pos="-720"/>
        </w:tabs>
        <w:suppressAutoHyphens/>
        <w:rPr>
          <w:rFonts w:ascii="Times New Roman" w:hAnsi="Times New Roman"/>
          <w:szCs w:val="24"/>
        </w:rPr>
      </w:pPr>
    </w:p>
    <w:p w:rsidRPr="00C54A34" w:rsidR="00A17B53" w:rsidRDefault="00A17B53" w14:paraId="51EB2386" w14:textId="756F4AAD">
      <w:pPr>
        <w:tabs>
          <w:tab w:val="left" w:pos="-720"/>
        </w:tabs>
        <w:suppressAutoHyphens/>
        <w:rPr>
          <w:rFonts w:ascii="Times New Roman" w:hAnsi="Times New Roman"/>
          <w:szCs w:val="24"/>
        </w:rPr>
      </w:pPr>
      <w:r w:rsidRPr="00C54A34">
        <w:rPr>
          <w:rFonts w:ascii="Times New Roman" w:hAnsi="Times New Roman"/>
          <w:szCs w:val="24"/>
        </w:rPr>
        <w:tab/>
      </w:r>
      <w:r w:rsidRPr="00775896" w:rsidR="00077656">
        <w:rPr>
          <w:rFonts w:ascii="Times New Roman" w:hAnsi="Times New Roman"/>
          <w:szCs w:val="24"/>
        </w:rPr>
        <w:t>This question does not apply.</w:t>
      </w:r>
      <w:r w:rsidRPr="00C54A34">
        <w:rPr>
          <w:rFonts w:ascii="Times New Roman" w:hAnsi="Times New Roman"/>
          <w:szCs w:val="24"/>
        </w:rPr>
        <w:t xml:space="preserve"> </w:t>
      </w:r>
    </w:p>
    <w:p w:rsidRPr="00C54A34" w:rsidR="00A17B53" w:rsidRDefault="00A17B53" w14:paraId="44BEAD29" w14:textId="77777777">
      <w:pPr>
        <w:tabs>
          <w:tab w:val="left" w:pos="-720"/>
        </w:tabs>
        <w:suppressAutoHyphens/>
        <w:rPr>
          <w:rFonts w:ascii="Times New Roman" w:hAnsi="Times New Roman"/>
          <w:szCs w:val="24"/>
        </w:rPr>
      </w:pPr>
    </w:p>
    <w:p w:rsidRPr="00C54A34" w:rsidR="002D133A" w:rsidRDefault="002D133A" w14:paraId="6205E3CC"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16.</w:t>
      </w:r>
      <w:r w:rsidRPr="00C54A34">
        <w:rPr>
          <w:rFonts w:ascii="Times New Roman" w:hAnsi="Times New Roman"/>
          <w:szCs w:val="24"/>
        </w:rPr>
        <w:tab/>
      </w:r>
      <w:r w:rsidRPr="00C54A34">
        <w:rPr>
          <w:rFonts w:ascii="Times New Roman" w:hAnsi="Times New Roman"/>
          <w:szCs w:val="24"/>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C54A34">
        <w:rPr>
          <w:rFonts w:ascii="Times New Roman" w:hAnsi="Times New Roman"/>
          <w:szCs w:val="24"/>
        </w:rPr>
        <w:t>.</w:t>
      </w:r>
    </w:p>
    <w:p w:rsidRPr="00C54A34" w:rsidR="002D133A" w:rsidRDefault="002D133A" w14:paraId="1700E426" w14:textId="77777777">
      <w:pPr>
        <w:tabs>
          <w:tab w:val="left" w:pos="-720"/>
        </w:tabs>
        <w:suppressAutoHyphens/>
        <w:rPr>
          <w:rFonts w:ascii="Times New Roman" w:hAnsi="Times New Roman"/>
          <w:szCs w:val="24"/>
        </w:rPr>
      </w:pPr>
    </w:p>
    <w:p w:rsidRPr="00C54A34" w:rsidR="00A17B53" w:rsidRDefault="00A17B53" w14:paraId="183D53E2" w14:textId="77777777">
      <w:pPr>
        <w:tabs>
          <w:tab w:val="left" w:pos="-720"/>
        </w:tabs>
        <w:suppressAutoHyphens/>
        <w:rPr>
          <w:rFonts w:ascii="Times New Roman" w:hAnsi="Times New Roman"/>
          <w:szCs w:val="24"/>
        </w:rPr>
      </w:pPr>
      <w:r w:rsidRPr="00C54A34">
        <w:rPr>
          <w:rFonts w:ascii="Times New Roman" w:hAnsi="Times New Roman"/>
          <w:szCs w:val="24"/>
        </w:rPr>
        <w:tab/>
        <w:t>This question does not apply.</w:t>
      </w:r>
    </w:p>
    <w:p w:rsidRPr="00C54A34" w:rsidR="00A17B53" w:rsidRDefault="00A17B53" w14:paraId="03C7C2EC" w14:textId="77777777">
      <w:pPr>
        <w:tabs>
          <w:tab w:val="left" w:pos="-720"/>
        </w:tabs>
        <w:suppressAutoHyphens/>
        <w:rPr>
          <w:rFonts w:ascii="Times New Roman" w:hAnsi="Times New Roman"/>
          <w:szCs w:val="24"/>
        </w:rPr>
      </w:pPr>
    </w:p>
    <w:p w:rsidRPr="00C54A34" w:rsidR="002D133A" w:rsidRDefault="002D133A" w14:paraId="218D8598"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17.</w:t>
      </w:r>
      <w:r w:rsidRPr="00C54A34">
        <w:rPr>
          <w:rFonts w:ascii="Times New Roman" w:hAnsi="Times New Roman"/>
          <w:szCs w:val="24"/>
        </w:rPr>
        <w:tab/>
      </w:r>
      <w:r w:rsidRPr="00C54A34">
        <w:rPr>
          <w:rFonts w:ascii="Times New Roman" w:hAnsi="Times New Roman"/>
          <w:szCs w:val="24"/>
          <w:u w:val="single"/>
        </w:rPr>
        <w:t>If seeking approval to not display the expiration date for OMB approval of the information collection, explain the reasons that display would be inappropriate</w:t>
      </w:r>
      <w:r w:rsidRPr="00C54A34">
        <w:rPr>
          <w:rFonts w:ascii="Times New Roman" w:hAnsi="Times New Roman"/>
          <w:szCs w:val="24"/>
        </w:rPr>
        <w:t>.</w:t>
      </w:r>
    </w:p>
    <w:p w:rsidRPr="00C54A34" w:rsidR="00A17B53" w:rsidRDefault="00A17B53" w14:paraId="4D4AD1FD" w14:textId="77777777">
      <w:pPr>
        <w:tabs>
          <w:tab w:val="left" w:pos="-720"/>
        </w:tabs>
        <w:suppressAutoHyphens/>
        <w:rPr>
          <w:rFonts w:ascii="Times New Roman" w:hAnsi="Times New Roman"/>
          <w:szCs w:val="24"/>
        </w:rPr>
      </w:pPr>
      <w:r w:rsidRPr="00C54A34">
        <w:rPr>
          <w:rFonts w:ascii="Times New Roman" w:hAnsi="Times New Roman"/>
          <w:szCs w:val="24"/>
        </w:rPr>
        <w:tab/>
      </w:r>
    </w:p>
    <w:p w:rsidRPr="00C54A34" w:rsidR="002D133A" w:rsidRDefault="00A17B53" w14:paraId="4A66B279" w14:textId="77777777">
      <w:pPr>
        <w:tabs>
          <w:tab w:val="left" w:pos="-720"/>
        </w:tabs>
        <w:suppressAutoHyphens/>
        <w:rPr>
          <w:rFonts w:ascii="Times New Roman" w:hAnsi="Times New Roman"/>
          <w:szCs w:val="24"/>
        </w:rPr>
      </w:pPr>
      <w:r w:rsidRPr="00C54A34">
        <w:rPr>
          <w:rFonts w:ascii="Times New Roman" w:hAnsi="Times New Roman"/>
          <w:szCs w:val="24"/>
        </w:rPr>
        <w:tab/>
        <w:t>This question does not apply.</w:t>
      </w:r>
    </w:p>
    <w:p w:rsidRPr="00C54A34" w:rsidR="00A17B53" w:rsidRDefault="00A17B53" w14:paraId="60D9A472" w14:textId="77777777">
      <w:pPr>
        <w:tabs>
          <w:tab w:val="left" w:pos="-720"/>
        </w:tabs>
        <w:suppressAutoHyphens/>
        <w:rPr>
          <w:rFonts w:ascii="Times New Roman" w:hAnsi="Times New Roman"/>
          <w:szCs w:val="24"/>
        </w:rPr>
      </w:pPr>
    </w:p>
    <w:p w:rsidRPr="00C54A34" w:rsidR="002D133A" w:rsidRDefault="002D133A" w14:paraId="1886971D" w14:textId="77777777">
      <w:pPr>
        <w:tabs>
          <w:tab w:val="left" w:pos="-720"/>
          <w:tab w:val="left" w:pos="0"/>
        </w:tabs>
        <w:suppressAutoHyphens/>
        <w:ind w:left="720" w:hanging="720"/>
        <w:rPr>
          <w:rFonts w:ascii="Times New Roman" w:hAnsi="Times New Roman"/>
          <w:szCs w:val="24"/>
        </w:rPr>
      </w:pPr>
      <w:r w:rsidRPr="00C54A34">
        <w:rPr>
          <w:rFonts w:ascii="Times New Roman" w:hAnsi="Times New Roman"/>
          <w:szCs w:val="24"/>
        </w:rPr>
        <w:t>18.</w:t>
      </w:r>
      <w:r w:rsidRPr="00C54A34">
        <w:rPr>
          <w:rFonts w:ascii="Times New Roman" w:hAnsi="Times New Roman"/>
          <w:szCs w:val="24"/>
        </w:rPr>
        <w:tab/>
      </w:r>
      <w:r w:rsidRPr="00C54A34">
        <w:rPr>
          <w:rFonts w:ascii="Times New Roman" w:hAnsi="Times New Roman"/>
          <w:szCs w:val="24"/>
          <w:u w:val="single"/>
        </w:rPr>
        <w:t>Explain each exception to the certification statement identified in Item 19, "Certification for Paperwork Reduction Act Submissions," of OMB Form 83-I</w:t>
      </w:r>
      <w:r w:rsidRPr="00C54A34">
        <w:rPr>
          <w:rFonts w:ascii="Times New Roman" w:hAnsi="Times New Roman"/>
          <w:szCs w:val="24"/>
        </w:rPr>
        <w:t>.</w:t>
      </w:r>
    </w:p>
    <w:p w:rsidRPr="00C54A34" w:rsidR="002D133A" w:rsidRDefault="002D133A" w14:paraId="7E5FE403" w14:textId="77777777">
      <w:pPr>
        <w:tabs>
          <w:tab w:val="left" w:pos="-720"/>
        </w:tabs>
        <w:suppressAutoHyphens/>
        <w:rPr>
          <w:rFonts w:ascii="Times New Roman" w:hAnsi="Times New Roman"/>
          <w:szCs w:val="24"/>
        </w:rPr>
      </w:pPr>
    </w:p>
    <w:p w:rsidRPr="00C54A34" w:rsidR="002D133A" w:rsidRDefault="00A17B53" w14:paraId="3FBB34EF" w14:textId="77777777">
      <w:pPr>
        <w:tabs>
          <w:tab w:val="left" w:pos="-720"/>
        </w:tabs>
        <w:suppressAutoHyphens/>
        <w:rPr>
          <w:rFonts w:ascii="Times New Roman" w:hAnsi="Times New Roman"/>
          <w:szCs w:val="24"/>
        </w:rPr>
      </w:pPr>
      <w:r w:rsidRPr="00C54A34">
        <w:rPr>
          <w:rFonts w:ascii="Times New Roman" w:hAnsi="Times New Roman"/>
          <w:szCs w:val="24"/>
        </w:rPr>
        <w:tab/>
        <w:t>This question does not apply.</w:t>
      </w:r>
      <w:r w:rsidRPr="00C54A34" w:rsidR="002D133A">
        <w:rPr>
          <w:rFonts w:ascii="Times New Roman" w:hAnsi="Times New Roman"/>
          <w:szCs w:val="24"/>
        </w:rPr>
        <w:tab/>
      </w:r>
    </w:p>
    <w:p w:rsidRPr="00C54A34" w:rsidR="005600D1" w:rsidRDefault="005600D1" w14:paraId="0BEA999B" w14:textId="77777777">
      <w:pPr>
        <w:rPr>
          <w:rFonts w:ascii="Times New Roman" w:hAnsi="Times New Roman"/>
          <w:szCs w:val="24"/>
        </w:rPr>
      </w:pPr>
      <w:r w:rsidRPr="00C54A34">
        <w:rPr>
          <w:rFonts w:ascii="Times New Roman" w:hAnsi="Times New Roman"/>
          <w:szCs w:val="24"/>
        </w:rPr>
        <w:br w:type="page"/>
      </w:r>
    </w:p>
    <w:p w:rsidRPr="0041375A" w:rsidR="005600D1" w:rsidRDefault="005600D1" w14:paraId="42138E8C" w14:textId="77777777">
      <w:pPr>
        <w:pStyle w:val="BodyTextIndent"/>
        <w:jc w:val="center"/>
      </w:pPr>
      <w:r w:rsidRPr="0041375A">
        <w:t>Attachment A</w:t>
      </w:r>
    </w:p>
    <w:p w:rsidRPr="0041375A" w:rsidR="005600D1" w:rsidRDefault="005600D1" w14:paraId="03507664" w14:textId="77777777">
      <w:pPr>
        <w:pStyle w:val="BodyTextIndent"/>
        <w:jc w:val="both"/>
      </w:pPr>
    </w:p>
    <w:p w:rsidRPr="0041375A" w:rsidR="005600D1" w:rsidRDefault="005600D1" w14:paraId="40DA9286" w14:textId="77777777">
      <w:pPr>
        <w:pStyle w:val="BodyTextIndent"/>
        <w:jc w:val="both"/>
      </w:pPr>
    </w:p>
    <w:p w:rsidRPr="0041375A" w:rsidR="005600D1" w:rsidRDefault="005600D1" w14:paraId="1C34015D" w14:textId="77777777">
      <w:pPr>
        <w:pStyle w:val="BodyTextIndent"/>
        <w:jc w:val="both"/>
      </w:pPr>
    </w:p>
    <w:p w:rsidRPr="0041375A" w:rsidR="005600D1" w:rsidRDefault="005600D1" w14:paraId="12251FBC" w14:textId="77777777">
      <w:pPr>
        <w:pStyle w:val="BodyTextIndent"/>
        <w:jc w:val="center"/>
      </w:pPr>
      <w:r w:rsidRPr="0041375A">
        <w:t>Part 160</w:t>
      </w:r>
    </w:p>
    <w:p w:rsidRPr="0041375A" w:rsidR="005600D1" w:rsidRDefault="005600D1" w14:paraId="353F25B2" w14:textId="77777777">
      <w:pPr>
        <w:pStyle w:val="BodyTextIndent"/>
        <w:jc w:val="center"/>
      </w:pPr>
      <w:r w:rsidRPr="0041375A">
        <w:t>Privacy of Consumer Financial Information</w:t>
      </w:r>
    </w:p>
    <w:p w:rsidRPr="0041375A" w:rsidR="005600D1" w:rsidRDefault="005600D1" w14:paraId="5295F28F" w14:textId="77777777">
      <w:pPr>
        <w:pStyle w:val="BodyTextIndent"/>
        <w:jc w:val="center"/>
      </w:pPr>
    </w:p>
    <w:p w:rsidRPr="0041375A" w:rsidR="005600D1" w:rsidRDefault="005600D1" w14:paraId="5D872A12" w14:textId="77777777">
      <w:pPr>
        <w:pStyle w:val="BodyTextIndent"/>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1800"/>
        <w:gridCol w:w="1710"/>
        <w:gridCol w:w="2275"/>
      </w:tblGrid>
      <w:tr w:rsidRPr="0041375A" w:rsidR="00077656" w:rsidTr="00757D0B" w14:paraId="05239D4D" w14:textId="77777777">
        <w:trPr>
          <w:jc w:val="center"/>
        </w:trPr>
        <w:tc>
          <w:tcPr>
            <w:tcW w:w="1800" w:type="dxa"/>
          </w:tcPr>
          <w:p w:rsidRPr="00A56714" w:rsidR="00077656" w:rsidP="0041375A" w:rsidRDefault="00077656" w14:paraId="4A1605E5" w14:textId="77DEADFC">
            <w:pPr>
              <w:pStyle w:val="BodyTextIndent"/>
              <w:ind w:left="0" w:firstLine="0"/>
            </w:pPr>
            <w:r w:rsidRPr="0041375A">
              <w:t xml:space="preserve">Estimated # of </w:t>
            </w:r>
            <w:r w:rsidRPr="00A56714">
              <w:t>Respondents</w:t>
            </w:r>
          </w:p>
        </w:tc>
        <w:tc>
          <w:tcPr>
            <w:tcW w:w="1710" w:type="dxa"/>
          </w:tcPr>
          <w:p w:rsidRPr="0041375A" w:rsidR="00077656" w:rsidRDefault="00077656" w14:paraId="26732F37" w14:textId="77777777">
            <w:pPr>
              <w:pStyle w:val="BodyTextIndent"/>
              <w:ind w:left="0" w:firstLine="0"/>
              <w:jc w:val="center"/>
            </w:pPr>
            <w:r w:rsidRPr="0041375A">
              <w:t>Total Annual Responses</w:t>
            </w:r>
          </w:p>
          <w:p w:rsidRPr="0041375A" w:rsidR="00077656" w:rsidP="00C54A34" w:rsidRDefault="00077656" w14:paraId="2BE70EF3" w14:textId="41413B32">
            <w:pPr>
              <w:pStyle w:val="BodyTextIndent"/>
              <w:ind w:left="0" w:firstLine="0"/>
              <w:jc w:val="center"/>
              <w:rPr>
                <w:b/>
              </w:rPr>
            </w:pPr>
            <w:r w:rsidRPr="0041375A">
              <w:rPr>
                <w:b/>
              </w:rPr>
              <w:t xml:space="preserve"> </w:t>
            </w:r>
          </w:p>
        </w:tc>
        <w:tc>
          <w:tcPr>
            <w:tcW w:w="2275" w:type="dxa"/>
          </w:tcPr>
          <w:p w:rsidRPr="0041375A" w:rsidR="00077656" w:rsidRDefault="00077656" w14:paraId="23569646" w14:textId="77777777">
            <w:pPr>
              <w:pStyle w:val="BodyTextIndent"/>
              <w:ind w:left="0" w:firstLine="0"/>
              <w:jc w:val="center"/>
            </w:pPr>
            <w:r w:rsidRPr="0041375A">
              <w:t>Estimated Total Number of Hours of Annual Burden in a Fiscal Year</w:t>
            </w:r>
          </w:p>
          <w:p w:rsidRPr="0041375A" w:rsidR="00077656" w:rsidP="00C54A34" w:rsidRDefault="00077656" w14:paraId="7DF39838" w14:textId="77777777">
            <w:pPr>
              <w:pStyle w:val="BodyTextIndent"/>
              <w:ind w:left="0" w:firstLine="0"/>
              <w:jc w:val="center"/>
            </w:pPr>
          </w:p>
        </w:tc>
      </w:tr>
      <w:tr w:rsidRPr="0041375A" w:rsidR="00077656" w:rsidTr="00757D0B" w14:paraId="2FFD020B" w14:textId="77777777">
        <w:trPr>
          <w:jc w:val="center"/>
        </w:trPr>
        <w:tc>
          <w:tcPr>
            <w:tcW w:w="1800" w:type="dxa"/>
          </w:tcPr>
          <w:p w:rsidRPr="00A56714" w:rsidR="00077656" w:rsidP="0041375A" w:rsidRDefault="00077656" w14:paraId="2452746F" w14:textId="73639B3C">
            <w:pPr>
              <w:pStyle w:val="BodyTextIndent"/>
              <w:ind w:left="0" w:firstLine="0"/>
              <w:rPr>
                <w:b/>
              </w:rPr>
            </w:pPr>
            <w:r w:rsidRPr="00A56714">
              <w:rPr>
                <w:b/>
              </w:rPr>
              <w:t>2,789</w:t>
            </w:r>
            <w:r w:rsidR="003D1507">
              <w:rPr>
                <w:rStyle w:val="FootnoteReference"/>
                <w:b/>
              </w:rPr>
              <w:footnoteReference w:id="5"/>
            </w:r>
          </w:p>
        </w:tc>
        <w:tc>
          <w:tcPr>
            <w:tcW w:w="1710" w:type="dxa"/>
          </w:tcPr>
          <w:p w:rsidRPr="0041375A" w:rsidR="00077656" w:rsidRDefault="00077656" w14:paraId="421A04E4" w14:textId="22191B64">
            <w:pPr>
              <w:pStyle w:val="BodyTextIndent"/>
              <w:ind w:left="0" w:firstLine="0"/>
              <w:jc w:val="center"/>
              <w:rPr>
                <w:b/>
              </w:rPr>
            </w:pPr>
            <w:r w:rsidRPr="0041375A">
              <w:rPr>
                <w:b/>
              </w:rPr>
              <w:t>264,955</w:t>
            </w:r>
          </w:p>
        </w:tc>
        <w:tc>
          <w:tcPr>
            <w:tcW w:w="2275" w:type="dxa"/>
          </w:tcPr>
          <w:p w:rsidRPr="0041375A" w:rsidR="00077656" w:rsidRDefault="00077656" w14:paraId="0E3F5DC5" w14:textId="722D164F">
            <w:pPr>
              <w:pStyle w:val="BodyTextIndent"/>
              <w:ind w:left="0" w:firstLine="0"/>
              <w:jc w:val="center"/>
              <w:rPr>
                <w:b/>
              </w:rPr>
            </w:pPr>
            <w:r w:rsidRPr="0041375A">
              <w:rPr>
                <w:b/>
              </w:rPr>
              <w:t>8,45</w:t>
            </w:r>
            <w:r w:rsidR="0000598A">
              <w:rPr>
                <w:b/>
              </w:rPr>
              <w:t>8</w:t>
            </w:r>
          </w:p>
        </w:tc>
      </w:tr>
    </w:tbl>
    <w:p w:rsidRPr="0041375A" w:rsidR="005600D1" w:rsidP="0041375A" w:rsidRDefault="005600D1" w14:paraId="184431AC" w14:textId="77777777">
      <w:pPr>
        <w:pStyle w:val="BodyTextIndent"/>
      </w:pPr>
    </w:p>
    <w:p w:rsidRPr="00A56714" w:rsidR="005600D1" w:rsidP="00A56714" w:rsidRDefault="005600D1" w14:paraId="0B324684" w14:textId="77777777">
      <w:pPr>
        <w:pStyle w:val="BodyTextIndent"/>
        <w:jc w:val="center"/>
      </w:pPr>
    </w:p>
    <w:p w:rsidRPr="0041375A" w:rsidR="005600D1" w:rsidRDefault="005600D1" w14:paraId="22C7DDD1" w14:textId="77777777">
      <w:pPr>
        <w:pStyle w:val="BodyTextIndent"/>
        <w:jc w:val="center"/>
      </w:pPr>
    </w:p>
    <w:p w:rsidRPr="0041375A" w:rsidR="001E27F4" w:rsidRDefault="001E27F4" w14:paraId="40E82B52" w14:textId="05FE175C">
      <w:pPr>
        <w:pStyle w:val="BodyTextIndent"/>
        <w:ind w:left="0" w:firstLine="0"/>
      </w:pPr>
    </w:p>
    <w:p w:rsidRPr="0041375A" w:rsidR="00224C64" w:rsidRDefault="00224C64" w14:paraId="20B55558" w14:textId="77777777">
      <w:pPr>
        <w:pStyle w:val="BodyTextIndent"/>
      </w:pPr>
    </w:p>
    <w:p w:rsidRPr="0041375A" w:rsidR="009C394B" w:rsidRDefault="009C394B" w14:paraId="47E19259" w14:textId="77777777">
      <w:pPr>
        <w:pStyle w:val="BodyTextIndent"/>
        <w:ind w:firstLine="0"/>
      </w:pPr>
    </w:p>
    <w:p w:rsidRPr="0041375A" w:rsidR="00C73A8B" w:rsidRDefault="00C73A8B" w14:paraId="3E79D1B3" w14:textId="77777777">
      <w:pPr>
        <w:pStyle w:val="BodyTextIndent"/>
        <w:ind w:firstLine="0"/>
      </w:pPr>
    </w:p>
    <w:p w:rsidRPr="0041375A" w:rsidR="00C73A8B" w:rsidRDefault="00C73A8B" w14:paraId="626E8F00" w14:textId="77777777">
      <w:pPr>
        <w:pStyle w:val="BodyTextIndent"/>
        <w:ind w:firstLine="0"/>
      </w:pPr>
      <w:bookmarkStart w:name="_GoBack" w:id="0"/>
      <w:bookmarkEnd w:id="0"/>
    </w:p>
    <w:sectPr w:rsidRPr="0041375A" w:rsidR="00C73A8B" w:rsidSect="00C57E76">
      <w:head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D42568" w14:textId="77777777" w:rsidR="00F87745" w:rsidRDefault="00F87745">
      <w:pPr>
        <w:spacing w:line="20" w:lineRule="exact"/>
      </w:pPr>
    </w:p>
  </w:endnote>
  <w:endnote w:type="continuationSeparator" w:id="0">
    <w:p w14:paraId="4DA75E86" w14:textId="77777777" w:rsidR="00F87745" w:rsidRDefault="00F87745">
      <w:r>
        <w:t xml:space="preserve"> </w:t>
      </w:r>
    </w:p>
  </w:endnote>
  <w:endnote w:type="continuationNotice" w:id="1">
    <w:p w14:paraId="033D0F5F" w14:textId="77777777" w:rsidR="00F87745" w:rsidRDefault="00F8774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1CEB7" w14:textId="77777777" w:rsidR="00F87745" w:rsidRDefault="00F87745">
      <w:r>
        <w:separator/>
      </w:r>
    </w:p>
  </w:footnote>
  <w:footnote w:type="continuationSeparator" w:id="0">
    <w:p w14:paraId="1411EB45" w14:textId="77777777" w:rsidR="00F87745" w:rsidRDefault="00F87745">
      <w:r>
        <w:t>(..</w:t>
      </w:r>
      <w:proofErr w:type="gramStart"/>
      <w:r>
        <w:t>continued</w:t>
      </w:r>
      <w:proofErr w:type="gramEnd"/>
      <w:r>
        <w:t>)</w:t>
      </w:r>
    </w:p>
  </w:footnote>
  <w:footnote w:type="continuationNotice" w:id="1">
    <w:p w14:paraId="4CC98BE4" w14:textId="77777777" w:rsidR="00F87745" w:rsidRDefault="00F87745"/>
  </w:footnote>
  <w:footnote w:id="2">
    <w:p w14:paraId="20555550" w14:textId="77777777" w:rsidR="0041375A" w:rsidRPr="009042CC" w:rsidRDefault="0041375A" w:rsidP="0041375A">
      <w:pPr>
        <w:pStyle w:val="FootnoteText"/>
        <w:rPr>
          <w:rFonts w:ascii="Times New Roman" w:hAnsi="Times New Roman"/>
          <w:sz w:val="20"/>
        </w:rPr>
      </w:pPr>
      <w:r w:rsidRPr="009042CC">
        <w:rPr>
          <w:rStyle w:val="FootnoteReference"/>
          <w:rFonts w:ascii="Times New Roman" w:hAnsi="Times New Roman"/>
          <w:sz w:val="20"/>
        </w:rPr>
        <w:footnoteRef/>
      </w:r>
      <w:r w:rsidRPr="009042CC">
        <w:rPr>
          <w:rFonts w:ascii="Times New Roman" w:hAnsi="Times New Roman"/>
          <w:sz w:val="20"/>
        </w:rPr>
        <w:t xml:space="preserve"> </w:t>
      </w:r>
      <w:proofErr w:type="gramStart"/>
      <w:r w:rsidRPr="009042CC">
        <w:rPr>
          <w:rFonts w:ascii="Times New Roman" w:hAnsi="Times New Roman"/>
          <w:sz w:val="20"/>
        </w:rPr>
        <w:t>Section 124, Appendix E of Pub.</w:t>
      </w:r>
      <w:proofErr w:type="gramEnd"/>
      <w:r w:rsidRPr="009042CC">
        <w:rPr>
          <w:rFonts w:ascii="Times New Roman" w:hAnsi="Times New Roman"/>
          <w:sz w:val="20"/>
        </w:rPr>
        <w:t xml:space="preserve"> L. 106-554, 114 Stat. 2763 (2000).</w:t>
      </w:r>
    </w:p>
  </w:footnote>
  <w:footnote w:id="3">
    <w:p w14:paraId="04B69883" w14:textId="77777777" w:rsidR="0041375A" w:rsidRPr="009042CC" w:rsidRDefault="0041375A" w:rsidP="0041375A">
      <w:pPr>
        <w:pStyle w:val="FootnoteText"/>
        <w:rPr>
          <w:rFonts w:ascii="Times New Roman" w:hAnsi="Times New Roman"/>
          <w:sz w:val="20"/>
        </w:rPr>
      </w:pPr>
      <w:r w:rsidRPr="009042CC">
        <w:rPr>
          <w:rStyle w:val="FootnoteReference"/>
          <w:rFonts w:ascii="Times New Roman" w:hAnsi="Times New Roman"/>
          <w:sz w:val="20"/>
        </w:rPr>
        <w:footnoteRef/>
      </w:r>
      <w:r w:rsidRPr="009042CC">
        <w:rPr>
          <w:rFonts w:ascii="Times New Roman" w:hAnsi="Times New Roman"/>
          <w:sz w:val="20"/>
        </w:rPr>
        <w:t xml:space="preserve"> </w:t>
      </w:r>
      <w:proofErr w:type="gramStart"/>
      <w:r w:rsidRPr="009042CC">
        <w:rPr>
          <w:rFonts w:ascii="Times New Roman" w:hAnsi="Times New Roman"/>
          <w:sz w:val="20"/>
        </w:rPr>
        <w:t>7 U.S.C. 7b-2.</w:t>
      </w:r>
      <w:proofErr w:type="gramEnd"/>
    </w:p>
  </w:footnote>
  <w:footnote w:id="4">
    <w:p w14:paraId="6C0580C6" w14:textId="77777777" w:rsidR="0041375A" w:rsidRPr="00C54A34" w:rsidRDefault="0041375A" w:rsidP="0041375A">
      <w:pPr>
        <w:pStyle w:val="FootnoteText"/>
        <w:rPr>
          <w:rFonts w:ascii="Times New Roman" w:hAnsi="Times New Roman"/>
          <w:szCs w:val="24"/>
        </w:rPr>
      </w:pPr>
      <w:r w:rsidRPr="009042CC">
        <w:rPr>
          <w:rStyle w:val="FootnoteReference"/>
          <w:rFonts w:ascii="Times New Roman" w:hAnsi="Times New Roman"/>
          <w:sz w:val="20"/>
        </w:rPr>
        <w:footnoteRef/>
      </w:r>
      <w:r w:rsidRPr="009042CC">
        <w:rPr>
          <w:rFonts w:ascii="Times New Roman" w:hAnsi="Times New Roman"/>
          <w:sz w:val="20"/>
        </w:rPr>
        <w:t xml:space="preserve"> 17 CFR </w:t>
      </w:r>
      <w:proofErr w:type="gramStart"/>
      <w:r w:rsidRPr="009042CC">
        <w:rPr>
          <w:rFonts w:ascii="Times New Roman" w:hAnsi="Times New Roman"/>
          <w:sz w:val="20"/>
        </w:rPr>
        <w:t>Part</w:t>
      </w:r>
      <w:proofErr w:type="gramEnd"/>
      <w:r w:rsidRPr="009042CC">
        <w:rPr>
          <w:rFonts w:ascii="Times New Roman" w:hAnsi="Times New Roman"/>
          <w:sz w:val="20"/>
        </w:rPr>
        <w:t xml:space="preserve"> 160.  See Privacy of Customer Information, 66 FR 21235 (April 27, 2001); Regulation of Off-Exchange Retail Foreign Exchange Transactions and Intermediaries, 75 FR 55409 (Sept. 10, 2010); and Privacy of Consumer Financial Information; Conforming Amendments </w:t>
      </w:r>
      <w:proofErr w:type="gramStart"/>
      <w:r w:rsidRPr="009042CC">
        <w:rPr>
          <w:rFonts w:ascii="Times New Roman" w:hAnsi="Times New Roman"/>
          <w:sz w:val="20"/>
        </w:rPr>
        <w:t>Under</w:t>
      </w:r>
      <w:proofErr w:type="gramEnd"/>
      <w:r w:rsidRPr="009042CC">
        <w:rPr>
          <w:rFonts w:ascii="Times New Roman" w:hAnsi="Times New Roman"/>
          <w:sz w:val="20"/>
        </w:rPr>
        <w:t xml:space="preserve"> Dodd-Frank Act, 76 FR 43874 (July 22, 2011).</w:t>
      </w:r>
    </w:p>
  </w:footnote>
  <w:footnote w:id="5">
    <w:p w14:paraId="4F474EB9" w14:textId="5EAA79D6" w:rsidR="003D1507" w:rsidRPr="001869F7" w:rsidRDefault="003D1507">
      <w:pPr>
        <w:pStyle w:val="FootnoteText"/>
        <w:rPr>
          <w:rFonts w:ascii="Times New Roman" w:hAnsi="Times New Roman"/>
          <w:sz w:val="20"/>
        </w:rPr>
      </w:pPr>
      <w:r>
        <w:rPr>
          <w:rStyle w:val="FootnoteReference"/>
        </w:rPr>
        <w:footnoteRef/>
      </w:r>
      <w:r>
        <w:t xml:space="preserve"> </w:t>
      </w:r>
      <w:r w:rsidRPr="001869F7">
        <w:rPr>
          <w:rFonts w:ascii="Times New Roman" w:hAnsi="Times New Roman"/>
          <w:sz w:val="20"/>
        </w:rPr>
        <w:t>2,789 Respondents x 3.0326 (the average burden hours per Respondent) = 8,458.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B6BAE" w14:textId="56BD41CE" w:rsidR="0041375A" w:rsidRPr="0041375A" w:rsidRDefault="0041375A" w:rsidP="004137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6C64"/>
    <w:rsid w:val="0000598A"/>
    <w:rsid w:val="00016AC2"/>
    <w:rsid w:val="00030C7F"/>
    <w:rsid w:val="00030D98"/>
    <w:rsid w:val="000329DB"/>
    <w:rsid w:val="000376FB"/>
    <w:rsid w:val="00072DCF"/>
    <w:rsid w:val="000751BE"/>
    <w:rsid w:val="00077656"/>
    <w:rsid w:val="000B6B87"/>
    <w:rsid w:val="000E4542"/>
    <w:rsid w:val="000E6EDB"/>
    <w:rsid w:val="000F3F59"/>
    <w:rsid w:val="000F55FB"/>
    <w:rsid w:val="000F7121"/>
    <w:rsid w:val="001008C0"/>
    <w:rsid w:val="00112C86"/>
    <w:rsid w:val="00132D9A"/>
    <w:rsid w:val="0016775F"/>
    <w:rsid w:val="001869F7"/>
    <w:rsid w:val="001A0615"/>
    <w:rsid w:val="001B28B1"/>
    <w:rsid w:val="001E27F4"/>
    <w:rsid w:val="001E7F5A"/>
    <w:rsid w:val="001F43B9"/>
    <w:rsid w:val="00214BA8"/>
    <w:rsid w:val="00223B2A"/>
    <w:rsid w:val="00224C64"/>
    <w:rsid w:val="00250E6C"/>
    <w:rsid w:val="002607C6"/>
    <w:rsid w:val="00263450"/>
    <w:rsid w:val="00266732"/>
    <w:rsid w:val="00280FC1"/>
    <w:rsid w:val="00292786"/>
    <w:rsid w:val="002C4BC5"/>
    <w:rsid w:val="002D133A"/>
    <w:rsid w:val="002D6CC7"/>
    <w:rsid w:val="003174F0"/>
    <w:rsid w:val="003233A6"/>
    <w:rsid w:val="00344B90"/>
    <w:rsid w:val="00362FAA"/>
    <w:rsid w:val="003A122E"/>
    <w:rsid w:val="003A7E43"/>
    <w:rsid w:val="003D1507"/>
    <w:rsid w:val="003D1ACD"/>
    <w:rsid w:val="0040373E"/>
    <w:rsid w:val="0041375A"/>
    <w:rsid w:val="0047397D"/>
    <w:rsid w:val="00493088"/>
    <w:rsid w:val="004B5F70"/>
    <w:rsid w:val="004C2994"/>
    <w:rsid w:val="004C754E"/>
    <w:rsid w:val="004F17D2"/>
    <w:rsid w:val="005016FF"/>
    <w:rsid w:val="005026F7"/>
    <w:rsid w:val="00516162"/>
    <w:rsid w:val="00546D96"/>
    <w:rsid w:val="00556B6B"/>
    <w:rsid w:val="005600D1"/>
    <w:rsid w:val="005A0CEE"/>
    <w:rsid w:val="005A23DC"/>
    <w:rsid w:val="005A608D"/>
    <w:rsid w:val="005E2AD6"/>
    <w:rsid w:val="005E62EF"/>
    <w:rsid w:val="005F4226"/>
    <w:rsid w:val="005F58D1"/>
    <w:rsid w:val="00650C51"/>
    <w:rsid w:val="006857BF"/>
    <w:rsid w:val="00686419"/>
    <w:rsid w:val="006A6215"/>
    <w:rsid w:val="006B0D6D"/>
    <w:rsid w:val="006B319D"/>
    <w:rsid w:val="006F0590"/>
    <w:rsid w:val="006F3707"/>
    <w:rsid w:val="007203FD"/>
    <w:rsid w:val="00721118"/>
    <w:rsid w:val="00755A68"/>
    <w:rsid w:val="00757D0B"/>
    <w:rsid w:val="007648BD"/>
    <w:rsid w:val="00787541"/>
    <w:rsid w:val="007A6613"/>
    <w:rsid w:val="007B4692"/>
    <w:rsid w:val="007D54F2"/>
    <w:rsid w:val="007E5737"/>
    <w:rsid w:val="00802661"/>
    <w:rsid w:val="00835A56"/>
    <w:rsid w:val="0086765D"/>
    <w:rsid w:val="0087009D"/>
    <w:rsid w:val="00895106"/>
    <w:rsid w:val="008A7ED8"/>
    <w:rsid w:val="008B790B"/>
    <w:rsid w:val="008B7E22"/>
    <w:rsid w:val="008E738C"/>
    <w:rsid w:val="008F77C3"/>
    <w:rsid w:val="009042CC"/>
    <w:rsid w:val="009313E8"/>
    <w:rsid w:val="00934362"/>
    <w:rsid w:val="00954D8A"/>
    <w:rsid w:val="009560AE"/>
    <w:rsid w:val="00957AF3"/>
    <w:rsid w:val="00973EA6"/>
    <w:rsid w:val="009866EB"/>
    <w:rsid w:val="009A0DA8"/>
    <w:rsid w:val="009B3367"/>
    <w:rsid w:val="009B7A95"/>
    <w:rsid w:val="009C1C00"/>
    <w:rsid w:val="009C394B"/>
    <w:rsid w:val="009C4A0B"/>
    <w:rsid w:val="009E79F1"/>
    <w:rsid w:val="00A17B53"/>
    <w:rsid w:val="00A22DF4"/>
    <w:rsid w:val="00A3539D"/>
    <w:rsid w:val="00A54294"/>
    <w:rsid w:val="00A56714"/>
    <w:rsid w:val="00A64548"/>
    <w:rsid w:val="00A679CE"/>
    <w:rsid w:val="00A87240"/>
    <w:rsid w:val="00A9574B"/>
    <w:rsid w:val="00AB5AFD"/>
    <w:rsid w:val="00AD66F5"/>
    <w:rsid w:val="00B01AA3"/>
    <w:rsid w:val="00B16D87"/>
    <w:rsid w:val="00B30958"/>
    <w:rsid w:val="00B33266"/>
    <w:rsid w:val="00B64B15"/>
    <w:rsid w:val="00B75D65"/>
    <w:rsid w:val="00B8024B"/>
    <w:rsid w:val="00B82327"/>
    <w:rsid w:val="00B84428"/>
    <w:rsid w:val="00BC23DA"/>
    <w:rsid w:val="00BC46AC"/>
    <w:rsid w:val="00BD1665"/>
    <w:rsid w:val="00BD1F92"/>
    <w:rsid w:val="00BD4579"/>
    <w:rsid w:val="00BD70F7"/>
    <w:rsid w:val="00BF27A2"/>
    <w:rsid w:val="00C00DD4"/>
    <w:rsid w:val="00C02BB3"/>
    <w:rsid w:val="00C54A34"/>
    <w:rsid w:val="00C561BF"/>
    <w:rsid w:val="00C57E76"/>
    <w:rsid w:val="00C73A8B"/>
    <w:rsid w:val="00C944DB"/>
    <w:rsid w:val="00D01079"/>
    <w:rsid w:val="00D16860"/>
    <w:rsid w:val="00D7662D"/>
    <w:rsid w:val="00DD48C6"/>
    <w:rsid w:val="00E05333"/>
    <w:rsid w:val="00E1260A"/>
    <w:rsid w:val="00E574AC"/>
    <w:rsid w:val="00E655F6"/>
    <w:rsid w:val="00E75AB7"/>
    <w:rsid w:val="00E87DE6"/>
    <w:rsid w:val="00E9419D"/>
    <w:rsid w:val="00EB04AB"/>
    <w:rsid w:val="00ED1A78"/>
    <w:rsid w:val="00ED6C64"/>
    <w:rsid w:val="00EE7CBE"/>
    <w:rsid w:val="00EF3A01"/>
    <w:rsid w:val="00F1200B"/>
    <w:rsid w:val="00F12D82"/>
    <w:rsid w:val="00F23052"/>
    <w:rsid w:val="00F34FEB"/>
    <w:rsid w:val="00F52721"/>
    <w:rsid w:val="00F84BF2"/>
    <w:rsid w:val="00F87745"/>
    <w:rsid w:val="00FB4EB3"/>
    <w:rsid w:val="00FC3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semiHidden/>
    <w:rsid w:val="00C57E76"/>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qFormat/>
    <w:rsid w:val="00C57E76"/>
  </w:style>
  <w:style w:type="character" w:styleId="FootnoteReference">
    <w:name w:val="footnote reference"/>
    <w:aliases w:val="fr,Style 19,Style 16,Style 35,Style 39,Style 14,12,Nota,Footnote symbol,Footnote,Appel note de bas de p,BVI fnr,SUPERS,Footnote Reference Superscript,(Footnote Reference),Footnote reference number,note TESI,EN Footnote Reference"/>
    <w:uiPriority w:val="99"/>
    <w:qFormat/>
    <w:rsid w:val="00C57E76"/>
    <w:rPr>
      <w:vertAlign w:val="superscript"/>
    </w:rPr>
  </w:style>
  <w:style w:type="character" w:customStyle="1" w:styleId="Document8">
    <w:name w:val="Document 8"/>
    <w:basedOn w:val="DefaultParagraphFont"/>
    <w:rsid w:val="00C57E76"/>
  </w:style>
  <w:style w:type="character" w:customStyle="1" w:styleId="Document4">
    <w:name w:val="Document 4"/>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rsid w:val="00C57E76"/>
    <w:rPr>
      <w:rFonts w:ascii="Courier" w:hAnsi="Courier"/>
      <w:noProof w:val="0"/>
      <w:sz w:val="24"/>
      <w:lang w:val="en-US"/>
    </w:rPr>
  </w:style>
  <w:style w:type="character" w:customStyle="1" w:styleId="Technical3">
    <w:name w:val="Technical 3"/>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link w:val="BodyTextIndent"/>
    <w:rsid w:val="005600D1"/>
    <w:rPr>
      <w:sz w:val="24"/>
      <w:szCs w:val="24"/>
    </w:rPr>
  </w:style>
  <w:style w:type="character" w:styleId="CommentReference">
    <w:name w:val="annotation reference"/>
    <w:uiPriority w:val="99"/>
    <w:semiHidden/>
    <w:unhideWhenUsed/>
    <w:rsid w:val="000751BE"/>
    <w:rPr>
      <w:sz w:val="16"/>
      <w:szCs w:val="16"/>
    </w:rPr>
  </w:style>
  <w:style w:type="paragraph" w:styleId="CommentText">
    <w:name w:val="annotation text"/>
    <w:basedOn w:val="Normal"/>
    <w:link w:val="CommentTextChar"/>
    <w:uiPriority w:val="99"/>
    <w:semiHidden/>
    <w:unhideWhenUsed/>
    <w:rsid w:val="000751BE"/>
    <w:rPr>
      <w:sz w:val="20"/>
    </w:rPr>
  </w:style>
  <w:style w:type="character" w:customStyle="1" w:styleId="CommentTextChar">
    <w:name w:val="Comment Text Char"/>
    <w:link w:val="CommentText"/>
    <w:uiPriority w:val="99"/>
    <w:semiHidden/>
    <w:rsid w:val="000751BE"/>
    <w:rPr>
      <w:rFonts w:ascii="Courier" w:hAnsi="Courier"/>
    </w:rPr>
  </w:style>
  <w:style w:type="paragraph" w:styleId="CommentSubject">
    <w:name w:val="annotation subject"/>
    <w:basedOn w:val="CommentText"/>
    <w:next w:val="CommentText"/>
    <w:link w:val="CommentSubjectChar"/>
    <w:uiPriority w:val="99"/>
    <w:semiHidden/>
    <w:unhideWhenUsed/>
    <w:rsid w:val="000751BE"/>
    <w:rPr>
      <w:b/>
      <w:bCs/>
    </w:rPr>
  </w:style>
  <w:style w:type="character" w:customStyle="1" w:styleId="CommentSubjectChar">
    <w:name w:val="Comment Subject Char"/>
    <w:link w:val="CommentSubject"/>
    <w:uiPriority w:val="99"/>
    <w:semiHidden/>
    <w:rsid w:val="000751BE"/>
    <w:rPr>
      <w:rFonts w:ascii="Courier" w:hAnsi="Courier"/>
      <w:b/>
      <w:bCs/>
    </w:rPr>
  </w:style>
  <w:style w:type="paragraph" w:styleId="BalloonText">
    <w:name w:val="Balloon Text"/>
    <w:basedOn w:val="Normal"/>
    <w:link w:val="BalloonTextChar"/>
    <w:uiPriority w:val="99"/>
    <w:semiHidden/>
    <w:unhideWhenUsed/>
    <w:rsid w:val="000751BE"/>
    <w:rPr>
      <w:rFonts w:ascii="Tahoma" w:hAnsi="Tahoma" w:cs="Tahoma"/>
      <w:sz w:val="16"/>
      <w:szCs w:val="16"/>
    </w:rPr>
  </w:style>
  <w:style w:type="character" w:customStyle="1" w:styleId="BalloonTextChar">
    <w:name w:val="Balloon Text Char"/>
    <w:link w:val="BalloonText"/>
    <w:uiPriority w:val="99"/>
    <w:semiHidden/>
    <w:rsid w:val="000751BE"/>
    <w:rPr>
      <w:rFonts w:ascii="Tahoma" w:hAnsi="Tahoma" w:cs="Tahoma"/>
      <w:sz w:val="16"/>
      <w:szCs w:val="16"/>
    </w:rPr>
  </w:style>
  <w:style w:type="character" w:styleId="Hyperlink">
    <w:name w:val="Hyperlink"/>
    <w:uiPriority w:val="99"/>
    <w:unhideWhenUsed/>
    <w:rsid w:val="00F84BF2"/>
    <w:rPr>
      <w:color w:val="0000FF"/>
      <w:u w:val="single"/>
    </w:rPr>
  </w:style>
  <w:style w:type="character" w:styleId="FollowedHyperlink">
    <w:name w:val="FollowedHyperlink"/>
    <w:uiPriority w:val="99"/>
    <w:semiHidden/>
    <w:unhideWhenUsed/>
    <w:rsid w:val="008E738C"/>
    <w:rPr>
      <w:color w:val="800080"/>
      <w:u w:val="single"/>
    </w:rPr>
  </w:style>
  <w:style w:type="paragraph" w:styleId="Revision">
    <w:name w:val="Revision"/>
    <w:hidden/>
    <w:uiPriority w:val="99"/>
    <w:semiHidden/>
    <w:rsid w:val="00E655F6"/>
    <w:rPr>
      <w:rFonts w:ascii="Courier" w:hAnsi="Courier"/>
      <w:sz w:val="24"/>
    </w:rPr>
  </w:style>
  <w:style w:type="paragraph" w:styleId="Header">
    <w:name w:val="header"/>
    <w:basedOn w:val="Normal"/>
    <w:link w:val="HeaderChar"/>
    <w:uiPriority w:val="99"/>
    <w:unhideWhenUsed/>
    <w:rsid w:val="00F87745"/>
    <w:pPr>
      <w:tabs>
        <w:tab w:val="center" w:pos="4680"/>
        <w:tab w:val="right" w:pos="9360"/>
      </w:tabs>
    </w:pPr>
  </w:style>
  <w:style w:type="character" w:customStyle="1" w:styleId="HeaderChar">
    <w:name w:val="Header Char"/>
    <w:basedOn w:val="DefaultParagraphFont"/>
    <w:link w:val="Header"/>
    <w:uiPriority w:val="99"/>
    <w:rsid w:val="00F87745"/>
    <w:rPr>
      <w:rFonts w:ascii="Courier" w:hAnsi="Courier"/>
      <w:sz w:val="24"/>
    </w:rPr>
  </w:style>
  <w:style w:type="paragraph" w:styleId="Footer">
    <w:name w:val="footer"/>
    <w:basedOn w:val="Normal"/>
    <w:link w:val="FooterChar"/>
    <w:uiPriority w:val="99"/>
    <w:unhideWhenUsed/>
    <w:rsid w:val="00F87745"/>
    <w:pPr>
      <w:tabs>
        <w:tab w:val="center" w:pos="4680"/>
        <w:tab w:val="right" w:pos="9360"/>
      </w:tabs>
    </w:pPr>
  </w:style>
  <w:style w:type="character" w:customStyle="1" w:styleId="FooterChar">
    <w:name w:val="Footer Char"/>
    <w:basedOn w:val="DefaultParagraphFont"/>
    <w:link w:val="Footer"/>
    <w:uiPriority w:val="99"/>
    <w:rsid w:val="00F87745"/>
    <w:rPr>
      <w:rFonts w:ascii="Courier" w:hAnsi="Courier"/>
      <w:sz w:val="24"/>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41375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E76"/>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57E76"/>
  </w:style>
  <w:style w:type="character" w:styleId="EndnoteReference">
    <w:name w:val="endnote reference"/>
    <w:semiHidden/>
    <w:rsid w:val="00C57E76"/>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qFormat/>
    <w:rsid w:val="00C57E76"/>
  </w:style>
  <w:style w:type="character" w:styleId="FootnoteReference">
    <w:name w:val="footnote reference"/>
    <w:aliases w:val="fr,Style 19,Style 16,Style 35,Style 39,Style 14,12,Nota,Footnote symbol,Footnote,Appel note de bas de p,BVI fnr,SUPERS,Footnote Reference Superscript,(Footnote Reference),Footnote reference number,note TESI,EN Footnote Reference"/>
    <w:uiPriority w:val="99"/>
    <w:qFormat/>
    <w:rsid w:val="00C57E76"/>
    <w:rPr>
      <w:vertAlign w:val="superscript"/>
    </w:rPr>
  </w:style>
  <w:style w:type="character" w:customStyle="1" w:styleId="Document8">
    <w:name w:val="Document 8"/>
    <w:basedOn w:val="DefaultParagraphFont"/>
    <w:rsid w:val="00C57E76"/>
  </w:style>
  <w:style w:type="character" w:customStyle="1" w:styleId="Document4">
    <w:name w:val="Document 4"/>
    <w:rsid w:val="00C57E76"/>
    <w:rPr>
      <w:b/>
      <w:i/>
      <w:sz w:val="24"/>
    </w:rPr>
  </w:style>
  <w:style w:type="character" w:customStyle="1" w:styleId="Document6">
    <w:name w:val="Document 6"/>
    <w:basedOn w:val="DefaultParagraphFont"/>
    <w:rsid w:val="00C57E76"/>
  </w:style>
  <w:style w:type="character" w:customStyle="1" w:styleId="Document5">
    <w:name w:val="Document 5"/>
    <w:basedOn w:val="DefaultParagraphFont"/>
    <w:rsid w:val="00C57E76"/>
  </w:style>
  <w:style w:type="character" w:customStyle="1" w:styleId="Document2">
    <w:name w:val="Document 2"/>
    <w:rsid w:val="00C57E76"/>
    <w:rPr>
      <w:rFonts w:ascii="Courier" w:hAnsi="Courier"/>
      <w:noProof w:val="0"/>
      <w:sz w:val="24"/>
      <w:lang w:val="en-US"/>
    </w:rPr>
  </w:style>
  <w:style w:type="character" w:customStyle="1" w:styleId="Document7">
    <w:name w:val="Document 7"/>
    <w:basedOn w:val="DefaultParagraphFont"/>
    <w:rsid w:val="00C57E76"/>
  </w:style>
  <w:style w:type="character" w:customStyle="1" w:styleId="Bibliogrphy">
    <w:name w:val="Bibliogrphy"/>
    <w:basedOn w:val="DefaultParagraphFont"/>
    <w:rsid w:val="00C57E76"/>
  </w:style>
  <w:style w:type="paragraph" w:customStyle="1" w:styleId="RightPar1">
    <w:name w:val="Right Par 1"/>
    <w:rsid w:val="00C57E76"/>
    <w:pPr>
      <w:tabs>
        <w:tab w:val="left" w:pos="-720"/>
        <w:tab w:val="left" w:pos="0"/>
        <w:tab w:val="decimal" w:pos="720"/>
      </w:tabs>
      <w:suppressAutoHyphens/>
      <w:ind w:left="720"/>
    </w:pPr>
    <w:rPr>
      <w:rFonts w:ascii="Courier" w:hAnsi="Courier"/>
      <w:sz w:val="24"/>
    </w:rPr>
  </w:style>
  <w:style w:type="paragraph" w:customStyle="1" w:styleId="RightPar2">
    <w:name w:val="Right Par 2"/>
    <w:rsid w:val="00C57E76"/>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sid w:val="00C57E76"/>
    <w:rPr>
      <w:rFonts w:ascii="Courier" w:hAnsi="Courier"/>
      <w:noProof w:val="0"/>
      <w:sz w:val="24"/>
      <w:lang w:val="en-US"/>
    </w:rPr>
  </w:style>
  <w:style w:type="paragraph" w:customStyle="1" w:styleId="RightPar3">
    <w:name w:val="Right Par 3"/>
    <w:rsid w:val="00C57E76"/>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C57E76"/>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C57E76"/>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C57E7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C57E76"/>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C57E76"/>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C57E76"/>
    <w:pPr>
      <w:keepNext/>
      <w:keepLines/>
      <w:tabs>
        <w:tab w:val="left" w:pos="-720"/>
      </w:tabs>
      <w:suppressAutoHyphens/>
    </w:pPr>
    <w:rPr>
      <w:rFonts w:ascii="Courier" w:hAnsi="Courier"/>
      <w:sz w:val="24"/>
    </w:rPr>
  </w:style>
  <w:style w:type="character" w:customStyle="1" w:styleId="DocInit">
    <w:name w:val="Doc Init"/>
    <w:basedOn w:val="DefaultParagraphFont"/>
    <w:rsid w:val="00C57E76"/>
  </w:style>
  <w:style w:type="character" w:customStyle="1" w:styleId="TechInit">
    <w:name w:val="Tech Init"/>
    <w:rsid w:val="00C57E76"/>
    <w:rPr>
      <w:rFonts w:ascii="Courier" w:hAnsi="Courier"/>
      <w:noProof w:val="0"/>
      <w:sz w:val="24"/>
      <w:lang w:val="en-US"/>
    </w:rPr>
  </w:style>
  <w:style w:type="paragraph" w:customStyle="1" w:styleId="Technical5">
    <w:name w:val="Technical 5"/>
    <w:rsid w:val="00C57E76"/>
    <w:pPr>
      <w:tabs>
        <w:tab w:val="left" w:pos="-720"/>
      </w:tabs>
      <w:suppressAutoHyphens/>
      <w:ind w:firstLine="720"/>
    </w:pPr>
    <w:rPr>
      <w:rFonts w:ascii="Courier" w:hAnsi="Courier"/>
      <w:b/>
      <w:sz w:val="24"/>
    </w:rPr>
  </w:style>
  <w:style w:type="paragraph" w:customStyle="1" w:styleId="Technical6">
    <w:name w:val="Technical 6"/>
    <w:rsid w:val="00C57E76"/>
    <w:pPr>
      <w:tabs>
        <w:tab w:val="left" w:pos="-720"/>
      </w:tabs>
      <w:suppressAutoHyphens/>
      <w:ind w:firstLine="720"/>
    </w:pPr>
    <w:rPr>
      <w:rFonts w:ascii="Courier" w:hAnsi="Courier"/>
      <w:b/>
      <w:sz w:val="24"/>
    </w:rPr>
  </w:style>
  <w:style w:type="character" w:customStyle="1" w:styleId="Technical2">
    <w:name w:val="Technical 2"/>
    <w:rsid w:val="00C57E76"/>
    <w:rPr>
      <w:rFonts w:ascii="Courier" w:hAnsi="Courier"/>
      <w:noProof w:val="0"/>
      <w:sz w:val="24"/>
      <w:lang w:val="en-US"/>
    </w:rPr>
  </w:style>
  <w:style w:type="character" w:customStyle="1" w:styleId="Technical3">
    <w:name w:val="Technical 3"/>
    <w:rsid w:val="00C57E76"/>
    <w:rPr>
      <w:rFonts w:ascii="Courier" w:hAnsi="Courier"/>
      <w:noProof w:val="0"/>
      <w:sz w:val="24"/>
      <w:lang w:val="en-US"/>
    </w:rPr>
  </w:style>
  <w:style w:type="paragraph" w:customStyle="1" w:styleId="Technical4">
    <w:name w:val="Technical 4"/>
    <w:rsid w:val="00C57E76"/>
    <w:pPr>
      <w:tabs>
        <w:tab w:val="left" w:pos="-720"/>
      </w:tabs>
      <w:suppressAutoHyphens/>
    </w:pPr>
    <w:rPr>
      <w:rFonts w:ascii="Courier" w:hAnsi="Courier"/>
      <w:b/>
      <w:sz w:val="24"/>
    </w:rPr>
  </w:style>
  <w:style w:type="character" w:customStyle="1" w:styleId="Technical1">
    <w:name w:val="Technical 1"/>
    <w:rsid w:val="00C57E76"/>
    <w:rPr>
      <w:rFonts w:ascii="Courier" w:hAnsi="Courier"/>
      <w:noProof w:val="0"/>
      <w:sz w:val="24"/>
      <w:lang w:val="en-US"/>
    </w:rPr>
  </w:style>
  <w:style w:type="paragraph" w:customStyle="1" w:styleId="Technical7">
    <w:name w:val="Technical 7"/>
    <w:rsid w:val="00C57E76"/>
    <w:pPr>
      <w:tabs>
        <w:tab w:val="left" w:pos="-720"/>
      </w:tabs>
      <w:suppressAutoHyphens/>
      <w:ind w:firstLine="720"/>
    </w:pPr>
    <w:rPr>
      <w:rFonts w:ascii="Courier" w:hAnsi="Courier"/>
      <w:b/>
      <w:sz w:val="24"/>
    </w:rPr>
  </w:style>
  <w:style w:type="paragraph" w:customStyle="1" w:styleId="Technical8">
    <w:name w:val="Technical 8"/>
    <w:rsid w:val="00C57E76"/>
    <w:pPr>
      <w:tabs>
        <w:tab w:val="left" w:pos="-720"/>
      </w:tabs>
      <w:suppressAutoHyphens/>
      <w:ind w:firstLine="720"/>
    </w:pPr>
    <w:rPr>
      <w:rFonts w:ascii="Courier" w:hAnsi="Courier"/>
      <w:b/>
      <w:sz w:val="24"/>
    </w:rPr>
  </w:style>
  <w:style w:type="paragraph" w:styleId="TOC1">
    <w:name w:val="toc 1"/>
    <w:basedOn w:val="Normal"/>
    <w:next w:val="Normal"/>
    <w:semiHidden/>
    <w:rsid w:val="00C57E76"/>
    <w:pPr>
      <w:tabs>
        <w:tab w:val="right" w:leader="dot" w:pos="9360"/>
      </w:tabs>
      <w:suppressAutoHyphens/>
      <w:spacing w:before="480"/>
      <w:ind w:left="720" w:right="720" w:hanging="720"/>
    </w:pPr>
  </w:style>
  <w:style w:type="paragraph" w:styleId="TOC2">
    <w:name w:val="toc 2"/>
    <w:basedOn w:val="Normal"/>
    <w:next w:val="Normal"/>
    <w:semiHidden/>
    <w:rsid w:val="00C57E76"/>
    <w:pPr>
      <w:tabs>
        <w:tab w:val="right" w:leader="dot" w:pos="9360"/>
      </w:tabs>
      <w:suppressAutoHyphens/>
      <w:ind w:left="1440" w:right="720" w:hanging="720"/>
    </w:pPr>
  </w:style>
  <w:style w:type="paragraph" w:styleId="TOC3">
    <w:name w:val="toc 3"/>
    <w:basedOn w:val="Normal"/>
    <w:next w:val="Normal"/>
    <w:semiHidden/>
    <w:rsid w:val="00C57E76"/>
    <w:pPr>
      <w:tabs>
        <w:tab w:val="right" w:leader="dot" w:pos="9360"/>
      </w:tabs>
      <w:suppressAutoHyphens/>
      <w:ind w:left="2160" w:right="720" w:hanging="720"/>
    </w:pPr>
  </w:style>
  <w:style w:type="paragraph" w:styleId="TOC4">
    <w:name w:val="toc 4"/>
    <w:basedOn w:val="Normal"/>
    <w:next w:val="Normal"/>
    <w:semiHidden/>
    <w:rsid w:val="00C57E76"/>
    <w:pPr>
      <w:tabs>
        <w:tab w:val="right" w:leader="dot" w:pos="9360"/>
      </w:tabs>
      <w:suppressAutoHyphens/>
      <w:ind w:left="2880" w:right="720" w:hanging="720"/>
    </w:pPr>
  </w:style>
  <w:style w:type="paragraph" w:styleId="TOC5">
    <w:name w:val="toc 5"/>
    <w:basedOn w:val="Normal"/>
    <w:next w:val="Normal"/>
    <w:semiHidden/>
    <w:rsid w:val="00C57E76"/>
    <w:pPr>
      <w:tabs>
        <w:tab w:val="right" w:leader="dot" w:pos="9360"/>
      </w:tabs>
      <w:suppressAutoHyphens/>
      <w:ind w:left="3600" w:right="720" w:hanging="720"/>
    </w:pPr>
  </w:style>
  <w:style w:type="paragraph" w:styleId="TOC6">
    <w:name w:val="toc 6"/>
    <w:basedOn w:val="Normal"/>
    <w:next w:val="Normal"/>
    <w:semiHidden/>
    <w:rsid w:val="00C57E76"/>
    <w:pPr>
      <w:tabs>
        <w:tab w:val="right" w:pos="9360"/>
      </w:tabs>
      <w:suppressAutoHyphens/>
      <w:ind w:left="720" w:hanging="720"/>
    </w:pPr>
  </w:style>
  <w:style w:type="paragraph" w:styleId="TOC7">
    <w:name w:val="toc 7"/>
    <w:basedOn w:val="Normal"/>
    <w:next w:val="Normal"/>
    <w:semiHidden/>
    <w:rsid w:val="00C57E76"/>
    <w:pPr>
      <w:suppressAutoHyphens/>
      <w:ind w:left="720" w:hanging="720"/>
    </w:pPr>
  </w:style>
  <w:style w:type="paragraph" w:styleId="TOC8">
    <w:name w:val="toc 8"/>
    <w:basedOn w:val="Normal"/>
    <w:next w:val="Normal"/>
    <w:semiHidden/>
    <w:rsid w:val="00C57E76"/>
    <w:pPr>
      <w:tabs>
        <w:tab w:val="right" w:pos="9360"/>
      </w:tabs>
      <w:suppressAutoHyphens/>
      <w:ind w:left="720" w:hanging="720"/>
    </w:pPr>
  </w:style>
  <w:style w:type="paragraph" w:styleId="TOC9">
    <w:name w:val="toc 9"/>
    <w:basedOn w:val="Normal"/>
    <w:next w:val="Normal"/>
    <w:semiHidden/>
    <w:rsid w:val="00C57E76"/>
    <w:pPr>
      <w:tabs>
        <w:tab w:val="right" w:leader="dot" w:pos="9360"/>
      </w:tabs>
      <w:suppressAutoHyphens/>
      <w:ind w:left="720" w:hanging="720"/>
    </w:pPr>
  </w:style>
  <w:style w:type="paragraph" w:styleId="Index1">
    <w:name w:val="index 1"/>
    <w:basedOn w:val="Normal"/>
    <w:next w:val="Normal"/>
    <w:semiHidden/>
    <w:rsid w:val="00C57E76"/>
    <w:pPr>
      <w:tabs>
        <w:tab w:val="right" w:leader="dot" w:pos="9360"/>
      </w:tabs>
      <w:suppressAutoHyphens/>
      <w:ind w:left="1440" w:right="720" w:hanging="1440"/>
    </w:pPr>
  </w:style>
  <w:style w:type="paragraph" w:styleId="Index2">
    <w:name w:val="index 2"/>
    <w:basedOn w:val="Normal"/>
    <w:next w:val="Normal"/>
    <w:semiHidden/>
    <w:rsid w:val="00C57E76"/>
    <w:pPr>
      <w:tabs>
        <w:tab w:val="right" w:leader="dot" w:pos="9360"/>
      </w:tabs>
      <w:suppressAutoHyphens/>
      <w:ind w:left="1440" w:right="720" w:hanging="720"/>
    </w:pPr>
  </w:style>
  <w:style w:type="paragraph" w:styleId="TOAHeading">
    <w:name w:val="toa heading"/>
    <w:basedOn w:val="Normal"/>
    <w:next w:val="Normal"/>
    <w:semiHidden/>
    <w:rsid w:val="00C57E76"/>
    <w:pPr>
      <w:tabs>
        <w:tab w:val="right" w:pos="9360"/>
      </w:tabs>
      <w:suppressAutoHyphens/>
    </w:pPr>
  </w:style>
  <w:style w:type="paragraph" w:styleId="Caption">
    <w:name w:val="caption"/>
    <w:basedOn w:val="Normal"/>
    <w:next w:val="Normal"/>
    <w:qFormat/>
    <w:rsid w:val="00C57E76"/>
  </w:style>
  <w:style w:type="character" w:customStyle="1" w:styleId="EquationCaption">
    <w:name w:val="_Equation Caption"/>
    <w:rsid w:val="00C57E76"/>
  </w:style>
  <w:style w:type="paragraph" w:styleId="BodyTextIndent">
    <w:name w:val="Body Text Indent"/>
    <w:basedOn w:val="Normal"/>
    <w:link w:val="BodyTextIndentChar"/>
    <w:rsid w:val="005600D1"/>
    <w:pPr>
      <w:ind w:left="720" w:hanging="720"/>
    </w:pPr>
    <w:rPr>
      <w:rFonts w:ascii="Times New Roman" w:hAnsi="Times New Roman"/>
      <w:szCs w:val="24"/>
    </w:rPr>
  </w:style>
  <w:style w:type="character" w:customStyle="1" w:styleId="BodyTextIndentChar">
    <w:name w:val="Body Text Indent Char"/>
    <w:link w:val="BodyTextIndent"/>
    <w:rsid w:val="005600D1"/>
    <w:rPr>
      <w:sz w:val="24"/>
      <w:szCs w:val="24"/>
    </w:rPr>
  </w:style>
  <w:style w:type="character" w:styleId="CommentReference">
    <w:name w:val="annotation reference"/>
    <w:uiPriority w:val="99"/>
    <w:semiHidden/>
    <w:unhideWhenUsed/>
    <w:rsid w:val="000751BE"/>
    <w:rPr>
      <w:sz w:val="16"/>
      <w:szCs w:val="16"/>
    </w:rPr>
  </w:style>
  <w:style w:type="paragraph" w:styleId="CommentText">
    <w:name w:val="annotation text"/>
    <w:basedOn w:val="Normal"/>
    <w:link w:val="CommentTextChar"/>
    <w:uiPriority w:val="99"/>
    <w:semiHidden/>
    <w:unhideWhenUsed/>
    <w:rsid w:val="000751BE"/>
    <w:rPr>
      <w:sz w:val="20"/>
    </w:rPr>
  </w:style>
  <w:style w:type="character" w:customStyle="1" w:styleId="CommentTextChar">
    <w:name w:val="Comment Text Char"/>
    <w:link w:val="CommentText"/>
    <w:uiPriority w:val="99"/>
    <w:semiHidden/>
    <w:rsid w:val="000751BE"/>
    <w:rPr>
      <w:rFonts w:ascii="Courier" w:hAnsi="Courier"/>
    </w:rPr>
  </w:style>
  <w:style w:type="paragraph" w:styleId="CommentSubject">
    <w:name w:val="annotation subject"/>
    <w:basedOn w:val="CommentText"/>
    <w:next w:val="CommentText"/>
    <w:link w:val="CommentSubjectChar"/>
    <w:uiPriority w:val="99"/>
    <w:semiHidden/>
    <w:unhideWhenUsed/>
    <w:rsid w:val="000751BE"/>
    <w:rPr>
      <w:b/>
      <w:bCs/>
    </w:rPr>
  </w:style>
  <w:style w:type="character" w:customStyle="1" w:styleId="CommentSubjectChar">
    <w:name w:val="Comment Subject Char"/>
    <w:link w:val="CommentSubject"/>
    <w:uiPriority w:val="99"/>
    <w:semiHidden/>
    <w:rsid w:val="000751BE"/>
    <w:rPr>
      <w:rFonts w:ascii="Courier" w:hAnsi="Courier"/>
      <w:b/>
      <w:bCs/>
    </w:rPr>
  </w:style>
  <w:style w:type="paragraph" w:styleId="BalloonText">
    <w:name w:val="Balloon Text"/>
    <w:basedOn w:val="Normal"/>
    <w:link w:val="BalloonTextChar"/>
    <w:uiPriority w:val="99"/>
    <w:semiHidden/>
    <w:unhideWhenUsed/>
    <w:rsid w:val="000751BE"/>
    <w:rPr>
      <w:rFonts w:ascii="Tahoma" w:hAnsi="Tahoma" w:cs="Tahoma"/>
      <w:sz w:val="16"/>
      <w:szCs w:val="16"/>
    </w:rPr>
  </w:style>
  <w:style w:type="character" w:customStyle="1" w:styleId="BalloonTextChar">
    <w:name w:val="Balloon Text Char"/>
    <w:link w:val="BalloonText"/>
    <w:uiPriority w:val="99"/>
    <w:semiHidden/>
    <w:rsid w:val="000751BE"/>
    <w:rPr>
      <w:rFonts w:ascii="Tahoma" w:hAnsi="Tahoma" w:cs="Tahoma"/>
      <w:sz w:val="16"/>
      <w:szCs w:val="16"/>
    </w:rPr>
  </w:style>
  <w:style w:type="character" w:styleId="Hyperlink">
    <w:name w:val="Hyperlink"/>
    <w:uiPriority w:val="99"/>
    <w:unhideWhenUsed/>
    <w:rsid w:val="00F84BF2"/>
    <w:rPr>
      <w:color w:val="0000FF"/>
      <w:u w:val="single"/>
    </w:rPr>
  </w:style>
  <w:style w:type="character" w:styleId="FollowedHyperlink">
    <w:name w:val="FollowedHyperlink"/>
    <w:uiPriority w:val="99"/>
    <w:semiHidden/>
    <w:unhideWhenUsed/>
    <w:rsid w:val="008E738C"/>
    <w:rPr>
      <w:color w:val="800080"/>
      <w:u w:val="single"/>
    </w:rPr>
  </w:style>
  <w:style w:type="paragraph" w:styleId="Revision">
    <w:name w:val="Revision"/>
    <w:hidden/>
    <w:uiPriority w:val="99"/>
    <w:semiHidden/>
    <w:rsid w:val="00E655F6"/>
    <w:rPr>
      <w:rFonts w:ascii="Courier" w:hAnsi="Courier"/>
      <w:sz w:val="24"/>
    </w:rPr>
  </w:style>
  <w:style w:type="paragraph" w:styleId="Header">
    <w:name w:val="header"/>
    <w:basedOn w:val="Normal"/>
    <w:link w:val="HeaderChar"/>
    <w:uiPriority w:val="99"/>
    <w:unhideWhenUsed/>
    <w:rsid w:val="00F87745"/>
    <w:pPr>
      <w:tabs>
        <w:tab w:val="center" w:pos="4680"/>
        <w:tab w:val="right" w:pos="9360"/>
      </w:tabs>
    </w:pPr>
  </w:style>
  <w:style w:type="character" w:customStyle="1" w:styleId="HeaderChar">
    <w:name w:val="Header Char"/>
    <w:basedOn w:val="DefaultParagraphFont"/>
    <w:link w:val="Header"/>
    <w:uiPriority w:val="99"/>
    <w:rsid w:val="00F87745"/>
    <w:rPr>
      <w:rFonts w:ascii="Courier" w:hAnsi="Courier"/>
      <w:sz w:val="24"/>
    </w:rPr>
  </w:style>
  <w:style w:type="paragraph" w:styleId="Footer">
    <w:name w:val="footer"/>
    <w:basedOn w:val="Normal"/>
    <w:link w:val="FooterChar"/>
    <w:uiPriority w:val="99"/>
    <w:unhideWhenUsed/>
    <w:rsid w:val="00F87745"/>
    <w:pPr>
      <w:tabs>
        <w:tab w:val="center" w:pos="4680"/>
        <w:tab w:val="right" w:pos="9360"/>
      </w:tabs>
    </w:pPr>
  </w:style>
  <w:style w:type="character" w:customStyle="1" w:styleId="FooterChar">
    <w:name w:val="Footer Char"/>
    <w:basedOn w:val="DefaultParagraphFont"/>
    <w:link w:val="Footer"/>
    <w:uiPriority w:val="99"/>
    <w:rsid w:val="00F87745"/>
    <w:rPr>
      <w:rFonts w:ascii="Courier" w:hAnsi="Courier"/>
      <w:sz w:val="24"/>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41375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FC0AC-7C77-4B4E-B378-5FACC877F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15860</CharactersWithSpaces>
  <SharedDoc>false</SharedDoc>
  <HLinks>
    <vt:vector size="6" baseType="variant">
      <vt:variant>
        <vt:i4>1572971</vt:i4>
      </vt:variant>
      <vt:variant>
        <vt:i4>0</vt:i4>
      </vt:variant>
      <vt:variant>
        <vt:i4>0</vt:i4>
      </vt:variant>
      <vt:variant>
        <vt:i4>5</vt:i4>
      </vt:variant>
      <vt:variant>
        <vt:lpwstr>https://www.reginfo.gov/public/do/PRAViewICR?ref_nbr=201709-3038-001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OGC</cp:lastModifiedBy>
  <cp:revision>2</cp:revision>
  <cp:lastPrinted>2014-10-14T18:09:00Z</cp:lastPrinted>
  <dcterms:created xsi:type="dcterms:W3CDTF">2020-02-11T17:52:00Z</dcterms:created>
  <dcterms:modified xsi:type="dcterms:W3CDTF">2020-02-11T17:52:00Z</dcterms:modified>
</cp:coreProperties>
</file>