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3366" w:rsidR="00034F1E" w:rsidP="00FB2322" w:rsidRDefault="001B6AC1" w14:paraId="38E5CF24" w14:textId="77777777">
      <w:pPr>
        <w:autoSpaceDE w:val="0"/>
        <w:autoSpaceDN w:val="0"/>
        <w:adjustRightInd w:val="0"/>
        <w:spacing w:line="360" w:lineRule="auto"/>
        <w:jc w:val="center"/>
        <w:rPr>
          <w:b/>
        </w:rPr>
      </w:pPr>
      <w:r w:rsidRPr="00813366">
        <w:rPr>
          <w:b/>
        </w:rPr>
        <w:t>S</w:t>
      </w:r>
      <w:r w:rsidRPr="00813366" w:rsidR="00A77E4E">
        <w:rPr>
          <w:b/>
        </w:rPr>
        <w:t xml:space="preserve">upporting Statement </w:t>
      </w:r>
      <w:r w:rsidR="002C6F95">
        <w:rPr>
          <w:b/>
        </w:rPr>
        <w:t>A</w:t>
      </w:r>
    </w:p>
    <w:p w:rsidRPr="00813366" w:rsidR="00034F1E" w:rsidP="00FB2322" w:rsidRDefault="00A77E4E" w14:paraId="63486B3F" w14:textId="77777777">
      <w:pPr>
        <w:autoSpaceDE w:val="0"/>
        <w:autoSpaceDN w:val="0"/>
        <w:adjustRightInd w:val="0"/>
        <w:spacing w:line="360" w:lineRule="auto"/>
        <w:jc w:val="center"/>
        <w:rPr>
          <w:b/>
        </w:rPr>
      </w:pPr>
      <w:r w:rsidRPr="00813366">
        <w:rPr>
          <w:b/>
        </w:rPr>
        <w:t xml:space="preserve"> </w:t>
      </w:r>
      <w:r w:rsidRPr="00813366" w:rsidR="00034F1E">
        <w:rPr>
          <w:b/>
        </w:rPr>
        <w:t>Recordkeeping and Reporting Requirements for</w:t>
      </w:r>
    </w:p>
    <w:p w:rsidRPr="00813366" w:rsidR="00EC2AE0" w:rsidP="00FB2322" w:rsidRDefault="003F3E71" w14:paraId="6C47418D" w14:textId="77777777">
      <w:pPr>
        <w:autoSpaceDE w:val="0"/>
        <w:autoSpaceDN w:val="0"/>
        <w:adjustRightInd w:val="0"/>
        <w:spacing w:line="360" w:lineRule="auto"/>
        <w:jc w:val="center"/>
        <w:rPr>
          <w:b/>
          <w:bCs/>
        </w:rPr>
      </w:pPr>
      <w:r w:rsidRPr="00813366">
        <w:rPr>
          <w:b/>
        </w:rPr>
        <w:t>Employer Information Report (</w:t>
      </w:r>
      <w:r w:rsidR="000878FC">
        <w:rPr>
          <w:b/>
        </w:rPr>
        <w:t xml:space="preserve">Component 1 </w:t>
      </w:r>
      <w:r w:rsidRPr="00813366">
        <w:rPr>
          <w:b/>
        </w:rPr>
        <w:t xml:space="preserve">EEO-1) </w:t>
      </w:r>
      <w:r w:rsidRPr="00813366" w:rsidR="005333C5">
        <w:rPr>
          <w:b/>
          <w:bCs/>
        </w:rPr>
        <w:t xml:space="preserve"> </w:t>
      </w:r>
    </w:p>
    <w:p w:rsidRPr="00813366" w:rsidR="00595D22" w:rsidP="00FB2322" w:rsidRDefault="00595D22" w14:paraId="04AAAD1F" w14:textId="77777777">
      <w:pPr>
        <w:autoSpaceDE w:val="0"/>
        <w:autoSpaceDN w:val="0"/>
        <w:adjustRightInd w:val="0"/>
        <w:spacing w:line="360" w:lineRule="auto"/>
        <w:jc w:val="center"/>
        <w:rPr>
          <w:b/>
          <w:bCs/>
        </w:rPr>
      </w:pPr>
      <w:r w:rsidRPr="00813366">
        <w:rPr>
          <w:b/>
          <w:bCs/>
        </w:rPr>
        <w:t>OMB Control No. 3046-</w:t>
      </w:r>
      <w:r w:rsidR="00F725F7">
        <w:rPr>
          <w:b/>
          <w:bCs/>
        </w:rPr>
        <w:t>XXXX (formerly 3046-0007)</w:t>
      </w:r>
    </w:p>
    <w:p w:rsidRPr="00E159FD" w:rsidR="001B6AC1" w:rsidP="000B732F" w:rsidRDefault="001B6AC1" w14:paraId="22C02B25" w14:textId="77777777">
      <w:pPr>
        <w:pStyle w:val="Heading3"/>
        <w:spacing w:before="0" w:after="0"/>
        <w:jc w:val="center"/>
        <w:rPr>
          <w:rFonts w:ascii="Times New Roman" w:hAnsi="Times New Roman" w:cs="Times New Roman"/>
          <w:b w:val="0"/>
          <w:sz w:val="24"/>
          <w:szCs w:val="24"/>
        </w:rPr>
      </w:pPr>
    </w:p>
    <w:p w:rsidRPr="00E159FD" w:rsidR="001B6AC1" w:rsidP="000B732F" w:rsidRDefault="001B6AC1" w14:paraId="4143FCB7" w14:textId="77777777">
      <w:pPr>
        <w:autoSpaceDE w:val="0"/>
        <w:autoSpaceDN w:val="0"/>
        <w:adjustRightInd w:val="0"/>
        <w:rPr>
          <w:b/>
          <w:bCs/>
        </w:rPr>
      </w:pPr>
      <w:r w:rsidRPr="00E159FD">
        <w:rPr>
          <w:b/>
          <w:bCs/>
        </w:rPr>
        <w:t>A. Justification</w:t>
      </w:r>
    </w:p>
    <w:p w:rsidR="00EC2AE0" w:rsidP="006D40B6" w:rsidRDefault="00EC2AE0" w14:paraId="6842BCE3" w14:textId="77777777">
      <w:pPr>
        <w:autoSpaceDE w:val="0"/>
        <w:autoSpaceDN w:val="0"/>
        <w:adjustRightInd w:val="0"/>
        <w:rPr>
          <w:b/>
          <w:bCs/>
        </w:rPr>
      </w:pPr>
    </w:p>
    <w:p w:rsidR="0032232F" w:rsidRDefault="0032232F" w14:paraId="63554A72" w14:textId="77777777">
      <w:r>
        <w:t>1.</w:t>
      </w:r>
      <w:r>
        <w:tab/>
      </w:r>
      <w:r w:rsidRPr="009C2C25" w:rsidR="00AB062D">
        <w:rPr>
          <w:u w:val="single"/>
        </w:rPr>
        <w:t>Need for</w:t>
      </w:r>
      <w:r w:rsidRPr="009C2C25">
        <w:rPr>
          <w:u w:val="single"/>
        </w:rPr>
        <w:t xml:space="preserve"> the information collection</w:t>
      </w:r>
    </w:p>
    <w:p w:rsidR="006D40B6" w:rsidRDefault="00315090" w14:paraId="5A15EC87" w14:textId="77777777">
      <w:pPr>
        <w:rPr>
          <w:lang w:val="en"/>
        </w:rPr>
      </w:pPr>
      <w:r>
        <w:t>The Equal Employment Opportunity Commission (EEOC</w:t>
      </w:r>
      <w:r w:rsidR="00371436">
        <w:t xml:space="preserve"> or Commission</w:t>
      </w:r>
      <w:r>
        <w:t>) is</w:t>
      </w:r>
      <w:r w:rsidR="00A45E96">
        <w:t xml:space="preserve"> </w:t>
      </w:r>
      <w:r>
        <w:t xml:space="preserve">seeking approval </w:t>
      </w:r>
      <w:r w:rsidR="00F97CB9">
        <w:t xml:space="preserve">to continue </w:t>
      </w:r>
      <w:r w:rsidR="00EC1F3D">
        <w:t>collection of</w:t>
      </w:r>
      <w:r w:rsidR="005D7026">
        <w:t xml:space="preserve"> the historic EEO-1 report, or the</w:t>
      </w:r>
      <w:r w:rsidR="00EC1F3D">
        <w:t xml:space="preserve"> “Component 1” </w:t>
      </w:r>
      <w:r w:rsidR="005D7026">
        <w:t>data collection</w:t>
      </w:r>
      <w:r w:rsidR="00EC1F3D">
        <w:t xml:space="preserve">. </w:t>
      </w:r>
      <w:r w:rsidR="0051384D">
        <w:t xml:space="preserve"> </w:t>
      </w:r>
      <w:r w:rsidR="00F71F8D">
        <w:t xml:space="preserve">Under </w:t>
      </w:r>
      <w:r w:rsidRPr="00A45E96" w:rsidR="00F71F8D">
        <w:t>Section 709(c) of Title VII of the Civil Rights Act of 1964, as amended</w:t>
      </w:r>
      <w:r w:rsidR="00C346C0">
        <w:t xml:space="preserve"> (Title VII)</w:t>
      </w:r>
      <w:r w:rsidRPr="00A45E96" w:rsidR="00F71F8D">
        <w:t>, 42 U.S.C.</w:t>
      </w:r>
      <w:r w:rsidRPr="00961A96" w:rsidR="00961A96">
        <w:rPr>
          <w:lang w:val="en"/>
        </w:rPr>
        <w:t xml:space="preserve"> </w:t>
      </w:r>
      <w:r w:rsidRPr="00A45E96" w:rsidR="00961A96">
        <w:rPr>
          <w:lang w:val="en"/>
        </w:rPr>
        <w:t>§</w:t>
      </w:r>
      <w:r w:rsidRPr="00A45E96" w:rsidR="00F71F8D">
        <w:t xml:space="preserve"> 2000e-8(c)</w:t>
      </w:r>
      <w:r w:rsidR="00AB0A97">
        <w:t>(Section 709(c))</w:t>
      </w:r>
      <w:r w:rsidRPr="00A45E96" w:rsidR="00F71F8D">
        <w:t>,</w:t>
      </w:r>
      <w:r w:rsidR="00F71F8D">
        <w:rPr>
          <w:color w:val="0070C0"/>
          <w:sz w:val="20"/>
          <w:szCs w:val="20"/>
        </w:rPr>
        <w:t xml:space="preserve"> </w:t>
      </w:r>
      <w:r w:rsidR="00F71F8D">
        <w:t>t</w:t>
      </w:r>
      <w:r w:rsidRPr="00684D6B" w:rsidR="00684D6B">
        <w:t xml:space="preserve">he EEOC </w:t>
      </w:r>
      <w:r w:rsidR="005D7026">
        <w:t>has</w:t>
      </w:r>
      <w:r w:rsidRPr="00684D6B" w:rsidR="00684D6B">
        <w:t xml:space="preserve"> </w:t>
      </w:r>
      <w:r w:rsidR="00F71F8D">
        <w:t xml:space="preserve">the </w:t>
      </w:r>
      <w:r w:rsidR="00684D6B">
        <w:t>legal authority to collect</w:t>
      </w:r>
      <w:r w:rsidR="00F24A43">
        <w:t xml:space="preserve"> EEO-1 data</w:t>
      </w:r>
      <w:r w:rsidR="00A45E96">
        <w:t xml:space="preserve"> </w:t>
      </w:r>
      <w:r w:rsidR="00AB0A97">
        <w:t>(</w:t>
      </w:r>
      <w:r w:rsidRPr="00231365" w:rsidR="0054003F">
        <w:t>“[e</w:t>
      </w:r>
      <w:r w:rsidRPr="00231365" w:rsidR="0054003F">
        <w:rPr>
          <w:lang w:val="en"/>
        </w:rPr>
        <w:t>]very employer, employment agency, and labor organization subject to this subchapter shall (1) make and keep such records relevant to the determinations of whether unlawful employment practices have been or are being committed, (2) preserve such records for such periods, and (3) make such reports therefrom as the Commission shall prescribe by regulation or order. . .</w:t>
      </w:r>
      <w:r w:rsidR="0054003F">
        <w:rPr>
          <w:lang w:val="en"/>
        </w:rPr>
        <w:t xml:space="preserve"> .</w:t>
      </w:r>
      <w:r w:rsidRPr="00231365" w:rsidR="0054003F">
        <w:rPr>
          <w:lang w:val="en"/>
        </w:rPr>
        <w:t>”</w:t>
      </w:r>
      <w:r w:rsidR="00967157">
        <w:rPr>
          <w:lang w:val="en"/>
        </w:rPr>
        <w:t>)</w:t>
      </w:r>
      <w:r w:rsidR="00854512">
        <w:t xml:space="preserve"> </w:t>
      </w:r>
      <w:r w:rsidR="00386E32">
        <w:t xml:space="preserve"> </w:t>
      </w:r>
      <w:bookmarkStart w:name="_Hlk27501580" w:id="0"/>
      <w:r w:rsidR="00AB0A97">
        <w:t xml:space="preserve">The </w:t>
      </w:r>
      <w:r w:rsidR="00894E4E">
        <w:t>EEOC</w:t>
      </w:r>
      <w:r w:rsidR="00AB0A97">
        <w:t>’s</w:t>
      </w:r>
      <w:r w:rsidR="00894E4E">
        <w:t xml:space="preserve"> r</w:t>
      </w:r>
      <w:r w:rsidR="00854512">
        <w:t>egulation</w:t>
      </w:r>
      <w:r w:rsidR="00151E7B">
        <w:t>s</w:t>
      </w:r>
      <w:r w:rsidR="00854512">
        <w:t xml:space="preserve"> </w:t>
      </w:r>
      <w:r w:rsidR="00894E4E">
        <w:t>a</w:t>
      </w:r>
      <w:r w:rsidR="00E607F0">
        <w:t xml:space="preserve">t </w:t>
      </w:r>
      <w:r w:rsidRPr="00A45E96" w:rsidR="002D5183">
        <w:rPr>
          <w:lang w:val="en"/>
        </w:rPr>
        <w:t>29 C.F.R. §</w:t>
      </w:r>
      <w:r w:rsidR="008E4D00">
        <w:rPr>
          <w:lang w:val="en"/>
        </w:rPr>
        <w:t xml:space="preserve"> </w:t>
      </w:r>
      <w:r w:rsidRPr="00A45E96" w:rsidR="002D5183">
        <w:rPr>
          <w:lang w:val="en"/>
        </w:rPr>
        <w:t>1602.7</w:t>
      </w:r>
      <w:r w:rsidR="000C43FC">
        <w:rPr>
          <w:rStyle w:val="FootnoteReference"/>
          <w:lang w:val="en"/>
        </w:rPr>
        <w:footnoteReference w:id="2"/>
      </w:r>
      <w:r w:rsidRPr="00E9215F" w:rsidR="008E0595">
        <w:t xml:space="preserve"> </w:t>
      </w:r>
      <w:r w:rsidR="006D40B6">
        <w:t xml:space="preserve">and </w:t>
      </w:r>
      <w:r w:rsidR="00E607F0">
        <w:t xml:space="preserve">Office of Federal Contract Compliance Programs, Department of Labor (OFCCP) regulations at </w:t>
      </w:r>
      <w:r w:rsidR="006D40B6">
        <w:t>41 CFR §</w:t>
      </w:r>
      <w:r w:rsidR="008E4D00">
        <w:t xml:space="preserve"> </w:t>
      </w:r>
      <w:r w:rsidR="006D40B6">
        <w:t>60-1.7(a)</w:t>
      </w:r>
      <w:r w:rsidR="002314D0">
        <w:t>,</w:t>
      </w:r>
      <w:r w:rsidR="00F62A50">
        <w:rPr>
          <w:rStyle w:val="FootnoteReference"/>
          <w:bCs/>
          <w:lang w:val="en"/>
        </w:rPr>
        <w:footnoteReference w:id="3"/>
      </w:r>
      <w:r w:rsidR="002314D0">
        <w:t xml:space="preserve"> </w:t>
      </w:r>
      <w:r w:rsidR="006D40B6">
        <w:t xml:space="preserve">which </w:t>
      </w:r>
      <w:r w:rsidR="00961A96">
        <w:t xml:space="preserve">are </w:t>
      </w:r>
      <w:r w:rsidR="006D40B6">
        <w:t xml:space="preserve">based on Executive Order 11246, </w:t>
      </w:r>
      <w:r w:rsidR="00961A96">
        <w:t xml:space="preserve">codify </w:t>
      </w:r>
      <w:r w:rsidR="006D40B6">
        <w:t>the EEO-1 recordkeeping and reporting requirement</w:t>
      </w:r>
      <w:r w:rsidR="0072296D">
        <w:t>s</w:t>
      </w:r>
      <w:r w:rsidR="006D40B6">
        <w:t xml:space="preserve"> </w:t>
      </w:r>
      <w:r w:rsidR="006D40B6">
        <w:rPr>
          <w:lang w:val="en"/>
        </w:rPr>
        <w:t xml:space="preserve">for </w:t>
      </w:r>
      <w:r w:rsidR="000C43FC">
        <w:rPr>
          <w:lang w:val="en"/>
        </w:rPr>
        <w:t xml:space="preserve">private employers with 100 or more employees and for federal contractors who have 50 or more employees and meet certain criteria. </w:t>
      </w:r>
      <w:bookmarkEnd w:id="0"/>
      <w:r w:rsidR="00961A96">
        <w:rPr>
          <w:lang w:val="en"/>
        </w:rPr>
        <w:t xml:space="preserve"> </w:t>
      </w:r>
      <w:r w:rsidR="0072296D">
        <w:rPr>
          <w:lang w:val="en"/>
        </w:rPr>
        <w:t>F</w:t>
      </w:r>
      <w:r w:rsidR="006D40B6">
        <w:rPr>
          <w:lang w:val="en"/>
        </w:rPr>
        <w:t xml:space="preserve">ederal contractors and subcontractors </w:t>
      </w:r>
      <w:r w:rsidR="001F7A5C">
        <w:rPr>
          <w:lang w:val="en"/>
        </w:rPr>
        <w:t xml:space="preserve">subject to the EEO-1 reporting requirement </w:t>
      </w:r>
      <w:r w:rsidR="006D40B6">
        <w:rPr>
          <w:lang w:val="en"/>
        </w:rPr>
        <w:t>are referred to as “federal contractors” in this supporting statement.</w:t>
      </w:r>
    </w:p>
    <w:p w:rsidR="0072296D" w:rsidP="00A45E96" w:rsidRDefault="0072296D" w14:paraId="161FCD37" w14:textId="77777777">
      <w:pPr>
        <w:rPr>
          <w:lang w:val="en"/>
        </w:rPr>
      </w:pPr>
    </w:p>
    <w:p w:rsidR="005350D9" w:rsidRDefault="002D5183" w14:paraId="5D10661C" w14:textId="77777777">
      <w:r w:rsidRPr="00A45E96">
        <w:t>The</w:t>
      </w:r>
      <w:r w:rsidR="00DF0035">
        <w:t xml:space="preserve"> EEOC’s</w:t>
      </w:r>
      <w:r w:rsidRPr="00A45E96">
        <w:t xml:space="preserve"> </w:t>
      </w:r>
      <w:r w:rsidR="00F71F8D">
        <w:t>Office of Enterprise Data and Analytics (OEDA)</w:t>
      </w:r>
      <w:r>
        <w:t xml:space="preserve"> collects Component 1 data on behalf of the EEOC</w:t>
      </w:r>
      <w:r w:rsidR="008C7731">
        <w:t xml:space="preserve"> and OFCCP</w:t>
      </w:r>
      <w:r>
        <w:t xml:space="preserve">, </w:t>
      </w:r>
      <w:r>
        <w:lastRenderedPageBreak/>
        <w:t>and the</w:t>
      </w:r>
      <w:r w:rsidR="005350D9">
        <w:t xml:space="preserve"> EEOC is responsible for </w:t>
      </w:r>
      <w:r w:rsidR="00502E2C">
        <w:t xml:space="preserve">obtaining </w:t>
      </w:r>
      <w:r w:rsidR="00371436">
        <w:t>Paperwork Reduction Act (</w:t>
      </w:r>
      <w:r w:rsidR="00543B24">
        <w:t>PRA</w:t>
      </w:r>
      <w:r w:rsidR="00371436">
        <w:t>)</w:t>
      </w:r>
      <w:r w:rsidR="00543B24">
        <w:t xml:space="preserve"> </w:t>
      </w:r>
      <w:r w:rsidR="009C29AD">
        <w:t>clearance</w:t>
      </w:r>
      <w:r w:rsidR="005350D9">
        <w:t xml:space="preserve"> for the EEO-1.</w:t>
      </w:r>
    </w:p>
    <w:p w:rsidR="005350D9" w:rsidRDefault="005350D9" w14:paraId="592A23AD" w14:textId="77777777"/>
    <w:p w:rsidR="003C7F00" w:rsidRDefault="003C7F00" w14:paraId="40A78614" w14:textId="2EF604EE">
      <w:r w:rsidRPr="007D62EB">
        <w:t xml:space="preserve">On September 12, 2019, the Commission published a Notice in the </w:t>
      </w:r>
      <w:r w:rsidRPr="007D62EB">
        <w:rPr>
          <w:i/>
        </w:rPr>
        <w:t>Federal Register</w:t>
      </w:r>
      <w:r w:rsidRPr="007D62EB">
        <w:t xml:space="preserve"> </w:t>
      </w:r>
      <w:r w:rsidR="00E261C6">
        <w:t xml:space="preserve">(60-Day Notice) </w:t>
      </w:r>
      <w:r w:rsidRPr="007D62EB">
        <w:t xml:space="preserve">announcing its intention pursuant to the PRA to seek OMB approval for a three-year extension of PRA authorization to collect EEO-1 Component 1 data from covered employers; the Notice also stated the Commission’s intention to </w:t>
      </w:r>
      <w:r>
        <w:t>request that</w:t>
      </w:r>
      <w:r w:rsidRPr="007D62EB">
        <w:t xml:space="preserve"> OMB </w:t>
      </w:r>
      <w:r>
        <w:t>remove</w:t>
      </w:r>
      <w:r w:rsidRPr="007D62EB">
        <w:t xml:space="preserve"> Component 1 from OMB control number 3046-0007 and </w:t>
      </w:r>
      <w:r>
        <w:t>approve this PRA extension</w:t>
      </w:r>
      <w:r w:rsidRPr="007D62EB">
        <w:t xml:space="preserve"> under a new control number.</w:t>
      </w:r>
      <w:r w:rsidRPr="007D62EB">
        <w:rPr>
          <w:vertAlign w:val="superscript"/>
        </w:rPr>
        <w:footnoteReference w:id="4"/>
      </w:r>
      <w:r w:rsidRPr="007D62EB">
        <w:t xml:space="preserve">  In the same Notice, the Commission announced that it </w:t>
      </w:r>
      <w:r>
        <w:t xml:space="preserve">also </w:t>
      </w:r>
      <w:r w:rsidRPr="007D62EB">
        <w:t>did not intend to seek OMB</w:t>
      </w:r>
      <w:r>
        <w:t xml:space="preserve"> </w:t>
      </w:r>
      <w:r w:rsidRPr="007D62EB">
        <w:t xml:space="preserve">renewal of PRA authorization for Component 2 </w:t>
      </w:r>
      <w:r w:rsidR="006848B9">
        <w:t>(</w:t>
      </w:r>
      <w:r w:rsidR="00F449F5">
        <w:t xml:space="preserve">the summary </w:t>
      </w:r>
      <w:r w:rsidR="006848B9">
        <w:t>pay data</w:t>
      </w:r>
      <w:r w:rsidR="00F449F5">
        <w:t xml:space="preserve"> component</w:t>
      </w:r>
      <w:r w:rsidR="006848B9">
        <w:t xml:space="preserve">) </w:t>
      </w:r>
      <w:r w:rsidRPr="007D62EB">
        <w:t>of the EEO-1</w:t>
      </w:r>
      <w:r w:rsidR="00967157">
        <w:t>,</w:t>
      </w:r>
      <w:r w:rsidRPr="00961A96" w:rsidR="00961A96">
        <w:t xml:space="preserve"> </w:t>
      </w:r>
      <w:r w:rsidR="00961A96">
        <w:t xml:space="preserve">which the EEOC sought and </w:t>
      </w:r>
      <w:r w:rsidR="00C14DE8">
        <w:t>received clearance</w:t>
      </w:r>
      <w:r w:rsidR="00961A96">
        <w:t xml:space="preserve"> to collect for the first time in 2016</w:t>
      </w:r>
      <w:r w:rsidRPr="007D62EB">
        <w:t xml:space="preserve">.  Urging the public to focus on how data utility balances PRA burden, </w:t>
      </w:r>
      <w:r>
        <w:t xml:space="preserve">which is the central charge of the PRA, </w:t>
      </w:r>
      <w:r w:rsidRPr="007D62EB">
        <w:t xml:space="preserve">the Commission requested </w:t>
      </w:r>
      <w:r>
        <w:t xml:space="preserve">public </w:t>
      </w:r>
      <w:r w:rsidRPr="007D62EB">
        <w:t>comments during a sixty-day period ending November 12, 2019</w:t>
      </w:r>
      <w:r>
        <w:t>.</w:t>
      </w:r>
      <w:r w:rsidRPr="007D62EB">
        <w:t xml:space="preserve"> </w:t>
      </w:r>
      <w:r w:rsidR="00386E32">
        <w:t xml:space="preserve"> </w:t>
      </w:r>
      <w:r w:rsidR="001D6222">
        <w:t>In addition, o</w:t>
      </w:r>
      <w:r w:rsidRPr="007D62EB">
        <w:t xml:space="preserve">n November 20, 2019, the Commission held a public hearing and </w:t>
      </w:r>
      <w:r>
        <w:t xml:space="preserve">considered the testimony of </w:t>
      </w:r>
      <w:r w:rsidRPr="007D62EB">
        <w:t>six witnesses representing a range of stakeholders including employers, employees, and economists.</w:t>
      </w:r>
      <w:r w:rsidRPr="007D62EB">
        <w:rPr>
          <w:vertAlign w:val="superscript"/>
        </w:rPr>
        <w:footnoteReference w:id="5"/>
      </w:r>
    </w:p>
    <w:p w:rsidR="00CD2622" w:rsidP="00A45E96" w:rsidRDefault="00CD2622" w14:paraId="3D1746D3" w14:textId="77777777"/>
    <w:p w:rsidR="00E43366" w:rsidP="00A45E96" w:rsidRDefault="00214AC2" w14:paraId="4104D495" w14:textId="7E736B95">
      <w:r>
        <w:t>T</w:t>
      </w:r>
      <w:r w:rsidR="00A31C80">
        <w:t xml:space="preserve">he </w:t>
      </w:r>
      <w:r w:rsidR="00CD2622">
        <w:t xml:space="preserve">EEOC published </w:t>
      </w:r>
      <w:r w:rsidRPr="007D62EB" w:rsidR="00046BA4">
        <w:t xml:space="preserve">a Notice in the </w:t>
      </w:r>
      <w:r w:rsidRPr="007D62EB" w:rsidR="00046BA4">
        <w:rPr>
          <w:i/>
        </w:rPr>
        <w:t>Federal Register</w:t>
      </w:r>
      <w:r w:rsidR="00A31C80">
        <w:t xml:space="preserve"> on </w:t>
      </w:r>
      <w:r w:rsidR="00C11979">
        <w:t>March 23</w:t>
      </w:r>
      <w:r w:rsidR="00A31C80">
        <w:t xml:space="preserve">, 2020 </w:t>
      </w:r>
      <w:r w:rsidR="00046BA4">
        <w:t xml:space="preserve">(30-Day Notice) </w:t>
      </w:r>
      <w:r w:rsidRPr="007D62EB" w:rsidR="00046BA4">
        <w:t>a</w:t>
      </w:r>
      <w:bookmarkStart w:name="_GoBack" w:id="2"/>
      <w:bookmarkEnd w:id="2"/>
      <w:r w:rsidRPr="007D62EB" w:rsidR="00046BA4">
        <w:t xml:space="preserve">nnouncing its </w:t>
      </w:r>
      <w:r w:rsidR="00046BA4">
        <w:t>decision</w:t>
      </w:r>
      <w:r w:rsidRPr="007D62EB" w:rsidR="00046BA4">
        <w:t xml:space="preserve"> pursuant to the PRA to seek OMB approval for a three-year extension of PRA authorization to collect EEO-1 Component 1 data from covered employers</w:t>
      </w:r>
      <w:r w:rsidR="00EE358A">
        <w:t>.</w:t>
      </w:r>
      <w:r w:rsidR="007922D1">
        <w:rPr>
          <w:rStyle w:val="FootnoteReference"/>
        </w:rPr>
        <w:footnoteReference w:id="6"/>
      </w:r>
      <w:r w:rsidR="00EE358A">
        <w:t xml:space="preserve">  The 30-Day </w:t>
      </w:r>
      <w:r w:rsidRPr="007D62EB" w:rsidR="00046BA4">
        <w:t xml:space="preserve">Notice also </w:t>
      </w:r>
      <w:r w:rsidR="00EE358A">
        <w:t xml:space="preserve">announced the </w:t>
      </w:r>
      <w:r w:rsidRPr="007D62EB" w:rsidR="00046BA4">
        <w:t xml:space="preserve">Commission’s </w:t>
      </w:r>
      <w:r w:rsidR="00EE358A">
        <w:t>decision</w:t>
      </w:r>
      <w:r w:rsidR="00335974">
        <w:t xml:space="preserve"> </w:t>
      </w:r>
      <w:r w:rsidRPr="007D62EB" w:rsidR="00046BA4">
        <w:t xml:space="preserve">to </w:t>
      </w:r>
      <w:r w:rsidR="00046BA4">
        <w:t>request that</w:t>
      </w:r>
      <w:r w:rsidRPr="007D62EB" w:rsidR="00046BA4">
        <w:t xml:space="preserve"> OMB </w:t>
      </w:r>
      <w:r w:rsidR="00046BA4">
        <w:t>remove</w:t>
      </w:r>
      <w:r w:rsidRPr="007D62EB" w:rsidR="00046BA4">
        <w:t xml:space="preserve"> Component 1 from OMB control number 3046-0007 and </w:t>
      </w:r>
      <w:r w:rsidR="00046BA4">
        <w:t>approve this PRA extension</w:t>
      </w:r>
      <w:r w:rsidRPr="007D62EB" w:rsidR="00046BA4">
        <w:t xml:space="preserve"> under a new control number.</w:t>
      </w:r>
      <w:r w:rsidRPr="007D62EB" w:rsidR="00046BA4">
        <w:rPr>
          <w:vertAlign w:val="superscript"/>
        </w:rPr>
        <w:footnoteReference w:id="7"/>
      </w:r>
      <w:r w:rsidR="00335974">
        <w:t xml:space="preserve">  </w:t>
      </w:r>
      <w:bookmarkStart w:name="_Hlk34376826" w:id="4"/>
      <w:r w:rsidRPr="007D62EB" w:rsidR="00CD2622">
        <w:t xml:space="preserve">The Commission </w:t>
      </w:r>
      <w:r w:rsidR="00CD2622">
        <w:t xml:space="preserve">reached </w:t>
      </w:r>
      <w:r w:rsidR="00335974">
        <w:t>its</w:t>
      </w:r>
      <w:r w:rsidR="00CD2622">
        <w:t xml:space="preserve"> decision to renew Component 1 but not Component 2 based </w:t>
      </w:r>
      <w:r w:rsidRPr="00726099" w:rsidR="00CD2622">
        <w:t xml:space="preserve">on its assessment of the </w:t>
      </w:r>
      <w:r w:rsidRPr="00726099" w:rsidR="00726099">
        <w:t xml:space="preserve">significant practical </w:t>
      </w:r>
      <w:r w:rsidRPr="00726099" w:rsidR="00CD2622">
        <w:t xml:space="preserve">utility of Component 1 data and the </w:t>
      </w:r>
      <w:r w:rsidR="00C06115">
        <w:t xml:space="preserve">uncertain </w:t>
      </w:r>
      <w:r w:rsidRPr="00726099" w:rsidR="00CD2622">
        <w:t>utility</w:t>
      </w:r>
      <w:r w:rsidRPr="007D62EB" w:rsidR="00CD2622">
        <w:t xml:space="preserve"> of </w:t>
      </w:r>
      <w:r w:rsidR="00CD2622">
        <w:t xml:space="preserve">Component </w:t>
      </w:r>
      <w:r w:rsidRPr="00793B60" w:rsidR="00CD2622">
        <w:t>2 data</w:t>
      </w:r>
      <w:bookmarkEnd w:id="4"/>
      <w:r w:rsidRPr="006364C8" w:rsidR="00CD2622">
        <w:t xml:space="preserve">, balanced </w:t>
      </w:r>
      <w:bookmarkStart w:name="_Hlk34376939" w:id="5"/>
      <w:r w:rsidR="00CD2622">
        <w:t>against</w:t>
      </w:r>
      <w:r w:rsidRPr="006364C8" w:rsidR="00CD2622">
        <w:t xml:space="preserve"> </w:t>
      </w:r>
      <w:r w:rsidRPr="007D62EB" w:rsidR="00CD2622">
        <w:t xml:space="preserve">updated </w:t>
      </w:r>
      <w:r w:rsidRPr="007D62EB" w:rsidR="00CD2622">
        <w:lastRenderedPageBreak/>
        <w:t xml:space="preserve">calculations of the burden </w:t>
      </w:r>
      <w:r w:rsidR="000F003F">
        <w:t>(</w:t>
      </w:r>
      <w:r w:rsidR="00CD2622">
        <w:t>as defined by the PRA</w:t>
      </w:r>
      <w:r w:rsidR="000F003F">
        <w:t>) that</w:t>
      </w:r>
      <w:r w:rsidR="00CD2622">
        <w:t xml:space="preserve"> </w:t>
      </w:r>
      <w:r w:rsidRPr="007D62EB" w:rsidR="00CD2622">
        <w:t>Component</w:t>
      </w:r>
      <w:r w:rsidR="00CD2622">
        <w:t>s 1 and</w:t>
      </w:r>
      <w:r w:rsidRPr="007D62EB" w:rsidR="00CD2622">
        <w:t xml:space="preserve"> 2 would impose on covered employers</w:t>
      </w:r>
      <w:bookmarkEnd w:id="5"/>
      <w:r w:rsidRPr="007D62EB" w:rsidR="00CD2622">
        <w:t>.</w:t>
      </w:r>
    </w:p>
    <w:p w:rsidRPr="00F725F7" w:rsidR="004905FE" w:rsidP="00A45E96" w:rsidRDefault="004905FE" w14:paraId="715C405A" w14:textId="77777777"/>
    <w:p w:rsidR="0032232F" w:rsidP="00A45E96" w:rsidRDefault="001E636E" w14:paraId="7B1DAFEF" w14:textId="77777777">
      <w:r w:rsidRPr="003F0C11">
        <w:t>2.</w:t>
      </w:r>
      <w:r w:rsidRPr="003F0C11">
        <w:tab/>
      </w:r>
      <w:bookmarkStart w:name="_Hlk26886346" w:id="6"/>
      <w:r w:rsidRPr="00813366" w:rsidR="00AB1F4A">
        <w:rPr>
          <w:u w:val="single"/>
        </w:rPr>
        <w:t>Use of collected information</w:t>
      </w:r>
    </w:p>
    <w:p w:rsidR="00227CA2" w:rsidP="00A45E96" w:rsidRDefault="00840F4F" w14:paraId="3CF34BC0" w14:textId="77777777">
      <w:r>
        <w:t xml:space="preserve">The EEOC uses data from the EEO-1 </w:t>
      </w:r>
      <w:r w:rsidR="000813B3">
        <w:t xml:space="preserve">for enforcement </w:t>
      </w:r>
      <w:r w:rsidR="00613F27">
        <w:t xml:space="preserve">purposes </w:t>
      </w:r>
      <w:r w:rsidR="000813B3">
        <w:t xml:space="preserve">and </w:t>
      </w:r>
      <w:r w:rsidR="00613F27">
        <w:t xml:space="preserve">for </w:t>
      </w:r>
      <w:r w:rsidR="000813B3">
        <w:t>statistical purposes</w:t>
      </w:r>
      <w:r>
        <w:t xml:space="preserve">.  </w:t>
      </w:r>
    </w:p>
    <w:p w:rsidR="00227CA2" w:rsidP="00A45E96" w:rsidRDefault="00227CA2" w14:paraId="5CADDC31" w14:textId="77777777"/>
    <w:p w:rsidRPr="00227CA2" w:rsidR="00227CA2" w:rsidP="00E3068C" w:rsidRDefault="00227CA2" w14:paraId="14E51CAB" w14:textId="77777777">
      <w:pPr>
        <w:keepNext/>
        <w:rPr>
          <w:i/>
        </w:rPr>
      </w:pPr>
      <w:r w:rsidRPr="00227CA2">
        <w:rPr>
          <w:i/>
        </w:rPr>
        <w:t>Enforcement Uses</w:t>
      </w:r>
    </w:p>
    <w:p w:rsidR="00A37D72" w:rsidP="00A45E96" w:rsidRDefault="00E77DB5" w14:paraId="34898FEF" w14:textId="77777777">
      <w:r w:rsidRPr="00E159FD">
        <w:t xml:space="preserve">EEO-1 data </w:t>
      </w:r>
      <w:r>
        <w:t>are</w:t>
      </w:r>
      <w:r w:rsidRPr="00E159FD">
        <w:t xml:space="preserve"> used by </w:t>
      </w:r>
      <w:r w:rsidR="0045500A">
        <w:t xml:space="preserve">the </w:t>
      </w:r>
      <w:r w:rsidRPr="00E159FD">
        <w:t xml:space="preserve">EEOC to investigate charges of employment discrimination against employers in private industry and to provide information about the employment status of minorities and women.  </w:t>
      </w:r>
      <w:r w:rsidRPr="00A45E96" w:rsidR="005029B4">
        <w:t>EEOC investigative analysts use EEO-1 data to assist enforcement teams in determining if a case may be systemic or to prioritize a systemic case, to validate analyses based on limited or flawed respondent data, and to assess cause in the absence of respondent data</w:t>
      </w:r>
      <w:r w:rsidRPr="00A45E96" w:rsidR="00840F4F">
        <w:t>.</w:t>
      </w:r>
      <w:r w:rsidR="00840F4F">
        <w:t xml:space="preserve">  </w:t>
      </w:r>
      <w:r w:rsidR="00A37D72">
        <w:t>The data are used to evaluate and prioritize charges under the Commission’s charge processing system and to determine the appropriate investigative approaches.</w:t>
      </w:r>
    </w:p>
    <w:p w:rsidR="007E6874" w:rsidP="00A45E96" w:rsidRDefault="007E6874" w14:paraId="1C638610" w14:textId="77777777"/>
    <w:p w:rsidR="007E6874" w:rsidP="00A45E96" w:rsidRDefault="00745B76" w14:paraId="311ADD2B" w14:textId="77777777">
      <w:r>
        <w:t xml:space="preserve">As discussed in the </w:t>
      </w:r>
      <w:r w:rsidR="00E2386C">
        <w:t>“</w:t>
      </w:r>
      <w:r>
        <w:t>Data Sharing</w:t>
      </w:r>
      <w:r w:rsidR="00E2386C">
        <w:t>”</w:t>
      </w:r>
      <w:r>
        <w:t xml:space="preserve"> section below</w:t>
      </w:r>
      <w:r w:rsidR="00FC6771">
        <w:t>, t</w:t>
      </w:r>
      <w:r w:rsidR="007E6874">
        <w:t>he EEOC shares these data with other enforcement agencies</w:t>
      </w:r>
      <w:r w:rsidR="00FC6771">
        <w:t xml:space="preserve"> for enforcement purposes</w:t>
      </w:r>
      <w:r w:rsidR="007E6874">
        <w:t>.</w:t>
      </w:r>
    </w:p>
    <w:p w:rsidR="002F332A" w:rsidP="00A45E96" w:rsidRDefault="002F332A" w14:paraId="6EA38DCA" w14:textId="77777777">
      <w:pPr>
        <w:rPr>
          <w:i/>
        </w:rPr>
      </w:pPr>
    </w:p>
    <w:p w:rsidRPr="006838F4" w:rsidR="006838F4" w:rsidP="00A45E96" w:rsidRDefault="006838F4" w14:paraId="1383700D" w14:textId="77777777">
      <w:pPr>
        <w:rPr>
          <w:i/>
        </w:rPr>
      </w:pPr>
      <w:r w:rsidRPr="006838F4">
        <w:rPr>
          <w:i/>
        </w:rPr>
        <w:t>Statistical Uses</w:t>
      </w:r>
    </w:p>
    <w:p w:rsidRPr="00E207BB" w:rsidR="00B729C3" w:rsidP="00B91432" w:rsidRDefault="00840F4F" w14:paraId="346E6B54" w14:textId="77777777">
      <w:r w:rsidRPr="00231365">
        <w:t xml:space="preserve">The EEOC </w:t>
      </w:r>
      <w:r w:rsidR="00661D51">
        <w:t xml:space="preserve">also </w:t>
      </w:r>
      <w:r w:rsidRPr="00231365">
        <w:t xml:space="preserve">uses EEO-1 data </w:t>
      </w:r>
      <w:r w:rsidR="0038723D">
        <w:t>for statistical purposes and for developing evidence</w:t>
      </w:r>
      <w:r w:rsidR="00057285">
        <w:t xml:space="preserve"> a</w:t>
      </w:r>
      <w:r w:rsidRPr="00890867" w:rsidR="00B91432">
        <w:rPr>
          <w:rFonts w:eastAsia="Calibri"/>
        </w:rPr>
        <w:t xml:space="preserve">s defined by the </w:t>
      </w:r>
      <w:r w:rsidRPr="00964FA6" w:rsidR="00DB41E6">
        <w:rPr>
          <w:rFonts w:eastAsia="Calibri"/>
        </w:rPr>
        <w:t>Foundations for Evidence-Based Policymaking Act of 2018</w:t>
      </w:r>
      <w:r w:rsidR="00DB41E6">
        <w:rPr>
          <w:rFonts w:eastAsia="Calibri"/>
        </w:rPr>
        <w:t xml:space="preserve"> (</w:t>
      </w:r>
      <w:r w:rsidRPr="00890867" w:rsidR="00B91432">
        <w:rPr>
          <w:rFonts w:eastAsia="Calibri"/>
        </w:rPr>
        <w:t>Evidence Act</w:t>
      </w:r>
      <w:r w:rsidR="00DB41E6">
        <w:rPr>
          <w:rFonts w:eastAsia="Calibri"/>
        </w:rPr>
        <w:t>)</w:t>
      </w:r>
      <w:r w:rsidR="00057285">
        <w:rPr>
          <w:rFonts w:eastAsia="Calibri"/>
        </w:rPr>
        <w:t>.</w:t>
      </w:r>
      <w:r w:rsidR="00F62A50">
        <w:rPr>
          <w:rStyle w:val="FootnoteReference"/>
          <w:rFonts w:eastAsia="Calibri"/>
        </w:rPr>
        <w:footnoteReference w:id="8"/>
      </w:r>
      <w:r w:rsidR="00057285">
        <w:rPr>
          <w:rFonts w:eastAsia="Calibri"/>
        </w:rPr>
        <w:t xml:space="preserve">  </w:t>
      </w:r>
      <w:r w:rsidR="00DF0035">
        <w:rPr>
          <w:rFonts w:eastAsia="Calibri"/>
        </w:rPr>
        <w:t xml:space="preserve">For purposes of the Evidence Act, </w:t>
      </w:r>
      <w:r w:rsidR="00DF0035">
        <w:rPr>
          <w:rFonts w:eastAsia="Calibri"/>
          <w:i/>
        </w:rPr>
        <w:t>s</w:t>
      </w:r>
      <w:r w:rsidRPr="00C31F34" w:rsidR="00DF0035">
        <w:rPr>
          <w:rFonts w:eastAsia="Calibri"/>
          <w:i/>
        </w:rPr>
        <w:t xml:space="preserve">tatistical </w:t>
      </w:r>
      <w:r w:rsidRPr="00C31F34" w:rsidR="00B91432">
        <w:rPr>
          <w:rFonts w:eastAsia="Calibri"/>
          <w:i/>
        </w:rPr>
        <w:t>purpose</w:t>
      </w:r>
      <w:r w:rsidR="00B91432">
        <w:rPr>
          <w:rFonts w:eastAsia="Calibri"/>
        </w:rPr>
        <w:t xml:space="preserve"> </w:t>
      </w:r>
      <w:r w:rsidRPr="00B91432" w:rsidR="00B91432">
        <w:rPr>
          <w:rFonts w:eastAsia="Calibri"/>
        </w:rPr>
        <w:t>means the description, estimation, or analysis of the characteristics of groups, without identifying the individuals or organizations that comprise such groups; and</w:t>
      </w:r>
      <w:r w:rsidR="00A00A0D">
        <w:rPr>
          <w:rFonts w:eastAsia="Calibri"/>
        </w:rPr>
        <w:t xml:space="preserve"> </w:t>
      </w:r>
      <w:r w:rsidRPr="00B91432" w:rsidR="00B91432">
        <w:rPr>
          <w:rFonts w:eastAsia="Calibri"/>
        </w:rPr>
        <w:t>includes the development, implementation, or maintenance of methods, technical or administrative procedures, or information resources that support the</w:t>
      </w:r>
      <w:r w:rsidR="00A00A0D">
        <w:rPr>
          <w:rFonts w:eastAsia="Calibri"/>
        </w:rPr>
        <w:t>se</w:t>
      </w:r>
      <w:r w:rsidRPr="00B91432" w:rsidR="00B91432">
        <w:rPr>
          <w:rFonts w:eastAsia="Calibri"/>
        </w:rPr>
        <w:t xml:space="preserve"> purposes.</w:t>
      </w:r>
      <w:r w:rsidR="00DF0035">
        <w:rPr>
          <w:rStyle w:val="FootnoteReference"/>
          <w:rFonts w:eastAsia="Calibri"/>
        </w:rPr>
        <w:footnoteReference w:id="9"/>
      </w:r>
      <w:r w:rsidR="00C31F34">
        <w:rPr>
          <w:rFonts w:eastAsia="Calibri"/>
        </w:rPr>
        <w:t xml:space="preserve">  </w:t>
      </w:r>
      <w:r w:rsidRPr="00B255B4" w:rsidR="00C31F34">
        <w:rPr>
          <w:rFonts w:eastAsia="Calibri"/>
          <w:i/>
        </w:rPr>
        <w:t>Evidence</w:t>
      </w:r>
      <w:r w:rsidRPr="00890867" w:rsidR="00B91432">
        <w:rPr>
          <w:rFonts w:eastAsia="Calibri"/>
        </w:rPr>
        <w:t xml:space="preserve"> means information produced as a result of statistical activities conducted for a statistical purpose.</w:t>
      </w:r>
      <w:r w:rsidR="00DF0035">
        <w:rPr>
          <w:rStyle w:val="FootnoteReference"/>
          <w:rFonts w:eastAsia="Calibri"/>
        </w:rPr>
        <w:footnoteReference w:id="10"/>
      </w:r>
      <w:r w:rsidR="00532125">
        <w:rPr>
          <w:rFonts w:eastAsia="Calibri"/>
        </w:rPr>
        <w:t xml:space="preserve">  </w:t>
      </w:r>
      <w:r w:rsidR="00B729C3">
        <w:t xml:space="preserve">An example of </w:t>
      </w:r>
      <w:r w:rsidR="00E207BB">
        <w:t xml:space="preserve">how the data are used for a statistical purpose is the annual production </w:t>
      </w:r>
      <w:r w:rsidR="00967157">
        <w:t xml:space="preserve">and publication </w:t>
      </w:r>
      <w:r w:rsidR="00E207BB">
        <w:t xml:space="preserve">of the </w:t>
      </w:r>
      <w:r w:rsidRPr="00E207BB" w:rsidR="00E207BB">
        <w:rPr>
          <w:i/>
        </w:rPr>
        <w:t>Job Patterns For Minorities And Women In Private Industry (EEO-1)</w:t>
      </w:r>
      <w:r w:rsidR="00507C8D">
        <w:t>.</w:t>
      </w:r>
      <w:r w:rsidR="00507C8D">
        <w:rPr>
          <w:rStyle w:val="FootnoteReference"/>
        </w:rPr>
        <w:footnoteReference w:id="11"/>
      </w:r>
    </w:p>
    <w:bookmarkEnd w:id="6"/>
    <w:p w:rsidR="00840F4F" w:rsidP="00A45E96" w:rsidRDefault="00840F4F" w14:paraId="0B184FBC" w14:textId="77777777"/>
    <w:p w:rsidRPr="004F2D84" w:rsidR="00F449F5" w:rsidP="00A45E96" w:rsidRDefault="004F2D84" w14:paraId="3EB78716" w14:textId="77777777">
      <w:pPr>
        <w:rPr>
          <w:i/>
        </w:rPr>
      </w:pPr>
      <w:r w:rsidRPr="004F2D84">
        <w:rPr>
          <w:i/>
        </w:rPr>
        <w:t>Data Sharing</w:t>
      </w:r>
    </w:p>
    <w:p w:rsidR="00C346C0" w:rsidP="00E3068C" w:rsidRDefault="0039210D" w14:paraId="21C61BC7" w14:textId="2160C795">
      <w:r w:rsidRPr="0039210D">
        <w:rPr>
          <w:bCs/>
        </w:rPr>
        <w:t xml:space="preserve">The EEO-1 data are collected under Title VII and Executive Order 11246.  The EEO-1, administered by the EEOC’s Office of </w:t>
      </w:r>
      <w:r w:rsidRPr="0039210D">
        <w:rPr>
          <w:bCs/>
        </w:rPr>
        <w:lastRenderedPageBreak/>
        <w:t xml:space="preserve">Enterprise Data and Analytics, is a single data collection designed to meet the enforcement data needs of </w:t>
      </w:r>
      <w:r>
        <w:rPr>
          <w:bCs/>
        </w:rPr>
        <w:t xml:space="preserve">both the EEOC and OFCCP </w:t>
      </w:r>
      <w:r w:rsidRPr="0039210D">
        <w:rPr>
          <w:bCs/>
        </w:rPr>
        <w:t>while simultaneously avoiding duplication.</w:t>
      </w:r>
      <w:r>
        <w:rPr>
          <w:bCs/>
        </w:rPr>
        <w:t xml:space="preserve"> </w:t>
      </w:r>
      <w:r w:rsidR="00440F6D">
        <w:rPr>
          <w:bCs/>
        </w:rPr>
        <w:t xml:space="preserve">With respect to sharing data with </w:t>
      </w:r>
      <w:r w:rsidR="00C346C0">
        <w:t>OFCCP</w:t>
      </w:r>
      <w:r w:rsidR="000447AC">
        <w:t>,</w:t>
      </w:r>
      <w:r w:rsidR="00C346C0">
        <w:t xml:space="preserve"> </w:t>
      </w:r>
      <w:r w:rsidR="00440F6D">
        <w:t>and consistent with EEOC’s updated practices,</w:t>
      </w:r>
      <w:r w:rsidR="00C346C0">
        <w:t xml:space="preserve"> the EEOC will </w:t>
      </w:r>
      <w:r w:rsidR="00440F6D">
        <w:t>share with</w:t>
      </w:r>
      <w:r w:rsidR="00C346C0">
        <w:t xml:space="preserve"> OFCCP </w:t>
      </w:r>
      <w:r w:rsidR="00440F6D">
        <w:t>only Component 1 data for</w:t>
      </w:r>
      <w:r w:rsidR="00C346C0">
        <w:t xml:space="preserve"> </w:t>
      </w:r>
      <w:r w:rsidR="00440F6D">
        <w:t xml:space="preserve">federal </w:t>
      </w:r>
      <w:r w:rsidR="00C346C0">
        <w:t xml:space="preserve">contractors.  </w:t>
      </w:r>
      <w:r w:rsidRPr="00E51AE1" w:rsidR="00CC76A2">
        <w:t xml:space="preserve">Further, in light of the OFCCP’s announcement of its decision not to request, accept, or use Component 2 data from the EEOC, the EEOC </w:t>
      </w:r>
      <w:r w:rsidR="00440F6D">
        <w:t xml:space="preserve">does not intend to </w:t>
      </w:r>
      <w:r w:rsidRPr="00E51AE1" w:rsidR="00CC76A2">
        <w:t xml:space="preserve">provide any Component 2 data to OFCCP.  </w:t>
      </w:r>
      <w:r w:rsidRPr="00E51AE1" w:rsidR="00CC76A2">
        <w:rPr>
          <w:i/>
        </w:rPr>
        <w:t>See</w:t>
      </w:r>
      <w:r w:rsidRPr="00E51AE1" w:rsidR="00CC76A2">
        <w:t xml:space="preserve">, </w:t>
      </w:r>
      <w:r w:rsidRPr="00E51AE1" w:rsidR="00CC76A2">
        <w:rPr>
          <w:i/>
        </w:rPr>
        <w:t>OFCCP Intention not to Request, Accept, or Use Employer Information Report (EEO-1) Component 2 Data</w:t>
      </w:r>
      <w:r w:rsidRPr="00E51AE1" w:rsidR="00CC76A2">
        <w:t>, 84 FR 64932 (Nov. 25, 2019).</w:t>
      </w:r>
      <w:r w:rsidRPr="00CC76A2" w:rsidR="00CC76A2">
        <w:t xml:space="preserve">  </w:t>
      </w:r>
    </w:p>
    <w:p w:rsidR="00E3068C" w:rsidP="00E3068C" w:rsidRDefault="00E3068C" w14:paraId="48247164" w14:textId="77777777"/>
    <w:p w:rsidRPr="00806945" w:rsidR="001B2851" w:rsidP="00E3068C" w:rsidRDefault="001B2851" w14:paraId="391EE9D6" w14:textId="7F69241B">
      <w:pPr>
        <w:spacing w:after="120"/>
      </w:pPr>
      <w:r>
        <w:t xml:space="preserve">The EEOC shares certain EEO-1 data with </w:t>
      </w:r>
      <w:r w:rsidRPr="00806945">
        <w:t>state and local fair employment practices agencies (FEPAs)</w:t>
      </w:r>
      <w:r>
        <w:t xml:space="preserve">.  The </w:t>
      </w:r>
      <w:r w:rsidRPr="00806945">
        <w:t xml:space="preserve">text of Title VII states that </w:t>
      </w:r>
      <w:r w:rsidRPr="0072596B">
        <w:t xml:space="preserve">the EEOC may only give a FEPA information (including EEO-1 data) about employers in its jurisdiction on the condition that the FEPA </w:t>
      </w:r>
      <w:r w:rsidRPr="0072596B">
        <w:rPr>
          <w:i/>
        </w:rPr>
        <w:t>not</w:t>
      </w:r>
      <w:r w:rsidRPr="0072596B">
        <w:t xml:space="preserve"> make it public</w:t>
      </w:r>
      <w:r w:rsidRPr="0072596B" w:rsidR="00FD6DF7">
        <w:t xml:space="preserve"> prior to the institution of a proceeding under state or local law involving such information</w:t>
      </w:r>
      <w:r w:rsidRPr="0072596B">
        <w:t>.</w:t>
      </w:r>
      <w:r w:rsidRPr="0072596B">
        <w:rPr>
          <w:vertAlign w:val="superscript"/>
        </w:rPr>
        <w:footnoteReference w:id="12"/>
      </w:r>
      <w:r w:rsidR="00532125">
        <w:t xml:space="preserve">  </w:t>
      </w:r>
      <w:r w:rsidRPr="0072596B" w:rsidR="00004963">
        <w:t xml:space="preserve">FEPA staff </w:t>
      </w:r>
      <w:r w:rsidRPr="0072596B" w:rsidR="00D16CED">
        <w:t xml:space="preserve">are required to </w:t>
      </w:r>
      <w:r w:rsidRPr="0072596B" w:rsidR="00004963">
        <w:t xml:space="preserve">receive annual training in data protection and security.  </w:t>
      </w:r>
      <w:r w:rsidRPr="0072596B" w:rsidR="00AB3B91">
        <w:t xml:space="preserve">The EEOC’s </w:t>
      </w:r>
      <w:r w:rsidRPr="0072596B" w:rsidR="00D51DC3">
        <w:t>current practice</w:t>
      </w:r>
      <w:r w:rsidRPr="0072596B" w:rsidR="00AB3B91">
        <w:t xml:space="preserve"> is to share </w:t>
      </w:r>
      <w:r w:rsidRPr="0072596B" w:rsidR="00370571">
        <w:t xml:space="preserve">data with </w:t>
      </w:r>
      <w:r w:rsidRPr="0072596B" w:rsidR="00AB3B91">
        <w:t xml:space="preserve">a </w:t>
      </w:r>
      <w:r w:rsidRPr="0072596B" w:rsidR="0018210F">
        <w:t xml:space="preserve">contracted </w:t>
      </w:r>
      <w:r w:rsidRPr="0072596B" w:rsidR="00AB3B91">
        <w:t xml:space="preserve">FEPA </w:t>
      </w:r>
      <w:r w:rsidRPr="0072596B" w:rsidR="00370571">
        <w:t xml:space="preserve">under these conditions </w:t>
      </w:r>
      <w:r w:rsidRPr="0072596B" w:rsidR="00AB3B91">
        <w:t xml:space="preserve">only when </w:t>
      </w:r>
      <w:r w:rsidRPr="0072596B" w:rsidR="00256668">
        <w:t>the</w:t>
      </w:r>
      <w:r w:rsidRPr="0072596B" w:rsidR="00AB3B91">
        <w:t xml:space="preserve"> employer</w:t>
      </w:r>
      <w:r w:rsidR="00440F6D">
        <w:t xml:space="preserve"> is</w:t>
      </w:r>
      <w:r w:rsidRPr="0072596B" w:rsidR="00256668">
        <w:t xml:space="preserve"> in the FEPA’s jurisdiction</w:t>
      </w:r>
      <w:r w:rsidR="00440F6D">
        <w:t xml:space="preserve"> and </w:t>
      </w:r>
      <w:r w:rsidRPr="0072596B" w:rsidR="00256668">
        <w:t xml:space="preserve">is </w:t>
      </w:r>
      <w:r w:rsidRPr="0072596B" w:rsidR="00AB3B91">
        <w:t>a respondent to a particular charge of discrimination cited by the FEPA in its data request.  (</w:t>
      </w:r>
      <w:r w:rsidRPr="0072596B" w:rsidR="00AB3B91">
        <w:rPr>
          <w:i/>
        </w:rPr>
        <w:t>See also</w:t>
      </w:r>
      <w:r w:rsidRPr="0072596B" w:rsidR="00AB3B91">
        <w:t xml:space="preserve"> Section 10, Confidentiality)</w:t>
      </w:r>
      <w:r w:rsidRPr="0072596B" w:rsidR="00E5414E">
        <w:t>.</w:t>
      </w:r>
    </w:p>
    <w:p w:rsidRPr="00482FA6" w:rsidR="001B2851" w:rsidP="001B2851" w:rsidRDefault="001B2851" w14:paraId="71FD8EC8" w14:textId="77777777">
      <w:pPr>
        <w:autoSpaceDE w:val="0"/>
        <w:autoSpaceDN w:val="0"/>
        <w:spacing w:before="120" w:after="120"/>
        <w:contextualSpacing/>
        <w:rPr>
          <w:rFonts w:eastAsia="Calibri"/>
        </w:rPr>
      </w:pPr>
      <w:r>
        <w:t>The EEOC also shares EEO-1 data with</w:t>
      </w:r>
      <w:r w:rsidRPr="00806945">
        <w:t xml:space="preserve"> other federal agencies </w:t>
      </w:r>
      <w:r w:rsidR="001231BD">
        <w:t xml:space="preserve">that have </w:t>
      </w:r>
      <w:r w:rsidRPr="00806945">
        <w:t xml:space="preserve">a legitimate law enforcement </w:t>
      </w:r>
      <w:r>
        <w:t>purpose; however</w:t>
      </w:r>
      <w:r w:rsidRPr="00806945">
        <w:t xml:space="preserve">, the EEOC </w:t>
      </w:r>
      <w:r>
        <w:t xml:space="preserve">only </w:t>
      </w:r>
      <w:r w:rsidRPr="00806945">
        <w:t>gives access to information collected under Title VII</w:t>
      </w:r>
      <w:r>
        <w:t xml:space="preserve"> upon an agency’s demonstration of that law enforcement purpose, and</w:t>
      </w:r>
      <w:r w:rsidRPr="00806945">
        <w:t xml:space="preserve"> </w:t>
      </w:r>
      <w:r w:rsidRPr="00EE7876">
        <w:t>only</w:t>
      </w:r>
      <w:r w:rsidRPr="00806945">
        <w:t xml:space="preserve"> if the agencies agree, by letter or memorandum of understanding, to comply with the confidentiality provisions of Title VII.</w:t>
      </w:r>
      <w:r>
        <w:t xml:space="preserve">  (</w:t>
      </w:r>
      <w:r w:rsidRPr="00E5414E">
        <w:rPr>
          <w:i/>
        </w:rPr>
        <w:t>See also</w:t>
      </w:r>
      <w:r>
        <w:t xml:space="preserve"> Section 10</w:t>
      </w:r>
      <w:r w:rsidR="00E5414E">
        <w:t>,</w:t>
      </w:r>
      <w:r>
        <w:t xml:space="preserve"> Confidentiality).</w:t>
      </w:r>
    </w:p>
    <w:p w:rsidRPr="00482FA6" w:rsidR="00482FA6" w:rsidP="00183619" w:rsidRDefault="00482FA6" w14:paraId="275B78E8" w14:textId="77777777">
      <w:pPr>
        <w:autoSpaceDE w:val="0"/>
        <w:autoSpaceDN w:val="0"/>
        <w:spacing w:before="120" w:after="120"/>
        <w:contextualSpacing/>
        <w:rPr>
          <w:rFonts w:eastAsia="Calibri"/>
        </w:rPr>
      </w:pPr>
      <w:r w:rsidRPr="00482FA6">
        <w:rPr>
          <w:rFonts w:eastAsia="Calibri"/>
        </w:rPr>
        <w:t xml:space="preserve">  </w:t>
      </w:r>
    </w:p>
    <w:p w:rsidRPr="001231BD" w:rsidR="001231BD" w:rsidP="001231BD" w:rsidRDefault="001231BD" w14:paraId="7B3A25A2" w14:textId="77777777">
      <w:pPr>
        <w:autoSpaceDE w:val="0"/>
        <w:autoSpaceDN w:val="0"/>
        <w:spacing w:before="120" w:after="120"/>
        <w:contextualSpacing/>
        <w:rPr>
          <w:rFonts w:eastAsia="Calibri"/>
        </w:rPr>
      </w:pPr>
      <w:r w:rsidRPr="001231BD">
        <w:rPr>
          <w:rFonts w:eastAsia="Calibri"/>
        </w:rPr>
        <w:t>To align with provisions of Title VII of the Civil Rights Act of 1964, Federal Information Security Modernization Act of 201</w:t>
      </w:r>
      <w:r w:rsidR="00D16CED">
        <w:rPr>
          <w:rFonts w:eastAsia="Calibri"/>
        </w:rPr>
        <w:t>4</w:t>
      </w:r>
      <w:r w:rsidRPr="001231BD">
        <w:rPr>
          <w:rFonts w:eastAsia="Calibri"/>
        </w:rPr>
        <w:t xml:space="preserve"> (FISMA)</w:t>
      </w:r>
      <w:r w:rsidR="004C09D4">
        <w:rPr>
          <w:rFonts w:eastAsia="Calibri"/>
        </w:rPr>
        <w:t>,</w:t>
      </w:r>
      <w:r w:rsidRPr="001231BD">
        <w:rPr>
          <w:rFonts w:eastAsia="Calibri"/>
          <w:vertAlign w:val="superscript"/>
        </w:rPr>
        <w:footnoteReference w:id="13"/>
      </w:r>
      <w:r w:rsidR="004C09D4">
        <w:rPr>
          <w:rFonts w:eastAsia="Calibri"/>
        </w:rPr>
        <w:t xml:space="preserve"> </w:t>
      </w:r>
      <w:r w:rsidRPr="001231BD">
        <w:rPr>
          <w:rFonts w:eastAsia="Calibri"/>
        </w:rPr>
        <w:t xml:space="preserve">the Evidence Act, and OMB Memorandum M-19-15 </w:t>
      </w:r>
      <w:r w:rsidRPr="001231BD">
        <w:rPr>
          <w:rFonts w:eastAsia="Calibri"/>
          <w:i/>
        </w:rPr>
        <w:t>Improving Implementation of the Information Quality Act</w:t>
      </w:r>
      <w:r w:rsidRPr="001231BD">
        <w:rPr>
          <w:rFonts w:eastAsia="Calibri"/>
        </w:rPr>
        <w:t xml:space="preserve"> issued on April 24, 2019</w:t>
      </w:r>
      <w:r w:rsidR="00CB1B5F">
        <w:rPr>
          <w:rFonts w:eastAsia="Calibri"/>
        </w:rPr>
        <w:t>,</w:t>
      </w:r>
      <w:r w:rsidRPr="001231BD">
        <w:rPr>
          <w:rFonts w:eastAsia="Calibri"/>
          <w:vertAlign w:val="superscript"/>
        </w:rPr>
        <w:footnoteReference w:id="14"/>
      </w:r>
      <w:r w:rsidR="00CB1B5F">
        <w:rPr>
          <w:rFonts w:eastAsia="Calibri"/>
        </w:rPr>
        <w:t xml:space="preserve"> </w:t>
      </w:r>
      <w:r w:rsidRPr="001231BD">
        <w:rPr>
          <w:rFonts w:eastAsia="Calibri"/>
        </w:rPr>
        <w:t xml:space="preserve">the EEOC is modernizing its policies and procedures concerning access to EEO-1 data for approved external data users. The EEOC is reviewing and updating all current data sharing memoranda with other federal enforcement agencies.  </w:t>
      </w:r>
    </w:p>
    <w:p w:rsidRPr="001231BD" w:rsidR="001231BD" w:rsidP="001231BD" w:rsidRDefault="001231BD" w14:paraId="00C2B164" w14:textId="77777777">
      <w:pPr>
        <w:autoSpaceDE w:val="0"/>
        <w:autoSpaceDN w:val="0"/>
        <w:spacing w:before="120" w:after="120"/>
        <w:contextualSpacing/>
        <w:rPr>
          <w:rFonts w:eastAsia="Calibri"/>
        </w:rPr>
      </w:pPr>
    </w:p>
    <w:p w:rsidRPr="001231BD" w:rsidR="001231BD" w:rsidP="001231BD" w:rsidRDefault="001231BD" w14:paraId="481BEE6B" w14:textId="77777777">
      <w:pPr>
        <w:autoSpaceDE w:val="0"/>
        <w:autoSpaceDN w:val="0"/>
        <w:spacing w:before="120" w:after="120"/>
        <w:contextualSpacing/>
        <w:rPr>
          <w:rFonts w:eastAsia="Calibri"/>
        </w:rPr>
      </w:pPr>
      <w:r w:rsidRPr="001231BD">
        <w:rPr>
          <w:rFonts w:eastAsia="Calibri"/>
        </w:rPr>
        <w:t xml:space="preserve">The EEOC will only provide approved users access to the minimum data necessary to adhere to the specific terms of the </w:t>
      </w:r>
      <w:r w:rsidRPr="001231BD">
        <w:rPr>
          <w:rFonts w:eastAsia="Calibri"/>
        </w:rPr>
        <w:lastRenderedPageBreak/>
        <w:t>relevant memoranda</w:t>
      </w:r>
      <w:r w:rsidR="00004963">
        <w:rPr>
          <w:rFonts w:eastAsia="Calibri"/>
        </w:rPr>
        <w:t xml:space="preserve">. </w:t>
      </w:r>
      <w:r w:rsidRPr="001231BD">
        <w:rPr>
          <w:rFonts w:eastAsia="Calibri"/>
        </w:rPr>
        <w:t xml:space="preserve"> Consistent with the requirements of the Evidence Act, the EEOC is exploring secure mechanisms to facilitate access to EEO-1 restricted data for approved researchers for statistical purposes and for developing evidence.  As defined by the Evidence Act, “evidence” </w:t>
      </w:r>
      <w:r w:rsidRPr="001231BD">
        <w:rPr>
          <w:rFonts w:eastAsia="Calibri"/>
          <w:u w:val="single"/>
        </w:rPr>
        <w:t>only</w:t>
      </w:r>
      <w:r w:rsidRPr="00B0062F">
        <w:rPr>
          <w:rFonts w:eastAsia="Calibri"/>
        </w:rPr>
        <w:t xml:space="preserve"> </w:t>
      </w:r>
      <w:r w:rsidRPr="001231BD">
        <w:rPr>
          <w:rFonts w:eastAsia="Calibri"/>
        </w:rPr>
        <w:t>means “information produced as a result of statistical activities conducted for a statistical purpose.”</w:t>
      </w:r>
      <w:r w:rsidRPr="001231BD">
        <w:rPr>
          <w:rFonts w:eastAsia="Calibri"/>
          <w:vertAlign w:val="superscript"/>
        </w:rPr>
        <w:footnoteReference w:id="15"/>
      </w:r>
      <w:r w:rsidRPr="001231BD">
        <w:rPr>
          <w:rFonts w:eastAsia="Calibri"/>
        </w:rPr>
        <w:t xml:space="preserve">  </w:t>
      </w:r>
    </w:p>
    <w:p w:rsidRPr="001231BD" w:rsidR="001231BD" w:rsidP="001231BD" w:rsidRDefault="001231BD" w14:paraId="72965556" w14:textId="77777777">
      <w:pPr>
        <w:autoSpaceDE w:val="0"/>
        <w:autoSpaceDN w:val="0"/>
        <w:spacing w:before="120" w:after="120"/>
        <w:contextualSpacing/>
        <w:rPr>
          <w:rFonts w:eastAsia="Calibri"/>
        </w:rPr>
      </w:pPr>
    </w:p>
    <w:p w:rsidR="00AB1F4A" w:rsidP="007B26F3" w:rsidRDefault="001E636E" w14:paraId="0C54C114" w14:textId="77777777">
      <w:pPr>
        <w:numPr>
          <w:ilvl w:val="12"/>
          <w:numId w:val="0"/>
        </w:numPr>
        <w:ind w:left="720" w:hanging="720"/>
      </w:pPr>
      <w:r>
        <w:t>3</w:t>
      </w:r>
      <w:r w:rsidRPr="00E159FD">
        <w:t xml:space="preserve">.  </w:t>
      </w:r>
      <w:r w:rsidRPr="00E159FD">
        <w:tab/>
      </w:r>
      <w:r w:rsidRPr="00813366" w:rsidR="00AB1F4A">
        <w:rPr>
          <w:u w:val="single"/>
        </w:rPr>
        <w:t>Use of information technology</w:t>
      </w:r>
      <w:r w:rsidR="00AB1F4A">
        <w:t xml:space="preserve"> </w:t>
      </w:r>
    </w:p>
    <w:p w:rsidR="00AA0866" w:rsidP="00A45E96" w:rsidRDefault="001E636E" w14:paraId="2A7FC10F" w14:textId="77777777">
      <w:r w:rsidRPr="00231365">
        <w:t>The EEO-1 report is collected through a</w:t>
      </w:r>
      <w:r w:rsidR="0076600D">
        <w:t>n</w:t>
      </w:r>
      <w:r w:rsidRPr="00231365">
        <w:t xml:space="preserve"> online filing system</w:t>
      </w:r>
      <w:r w:rsidR="00222265">
        <w:t xml:space="preserve">. </w:t>
      </w:r>
      <w:r w:rsidR="002F0D76">
        <w:t xml:space="preserve"> </w:t>
      </w:r>
      <w:r w:rsidR="00222265">
        <w:t>The vast majority of filers enter data online; historically, five percent of filers uploa</w:t>
      </w:r>
      <w:r w:rsidR="00212B55">
        <w:t>d a data file directly</w:t>
      </w:r>
      <w:r w:rsidR="00F576B5">
        <w:t xml:space="preserve">, but the uploaded data represent nearly half of all </w:t>
      </w:r>
      <w:r w:rsidR="00984D61">
        <w:t xml:space="preserve">data on </w:t>
      </w:r>
      <w:r w:rsidR="00F94C04">
        <w:t>business establishments</w:t>
      </w:r>
      <w:r w:rsidR="00984D61">
        <w:t xml:space="preserve"> reported by filers</w:t>
      </w:r>
      <w:r w:rsidR="00F94C04">
        <w:t xml:space="preserve">. </w:t>
      </w:r>
      <w:r w:rsidR="002F0D76">
        <w:t xml:space="preserve"> </w:t>
      </w:r>
      <w:r w:rsidR="00222265">
        <w:t xml:space="preserve">Paper submissions of an EEO-1 are extremely rare and must be approved in advance by </w:t>
      </w:r>
      <w:r w:rsidR="00C57FB9">
        <w:t xml:space="preserve">the </w:t>
      </w:r>
      <w:r w:rsidR="00222265">
        <w:t xml:space="preserve">EEOC.  </w:t>
      </w:r>
      <w:r w:rsidR="002C5C18">
        <w:t>EEO-1 filers can access the EEO-1 User’s Guide on the EEOC website</w:t>
      </w:r>
      <w:r w:rsidR="00984D61">
        <w:t>.</w:t>
      </w:r>
      <w:r w:rsidR="003C5F0E">
        <w:t xml:space="preserve"> </w:t>
      </w:r>
      <w:r w:rsidR="00984D61">
        <w:t>T</w:t>
      </w:r>
      <w:r w:rsidR="003C5F0E">
        <w:t>he User’s Guide</w:t>
      </w:r>
      <w:r w:rsidR="002C5C18">
        <w:t xml:space="preserve"> contains </w:t>
      </w:r>
      <w:r w:rsidR="00C05597">
        <w:t xml:space="preserve">detailed information on the online filing system, including how to access user login and password information. </w:t>
      </w:r>
      <w:r w:rsidR="002F0D76">
        <w:t xml:space="preserve"> </w:t>
      </w:r>
      <w:r w:rsidR="00C05597">
        <w:t xml:space="preserve">It also contains instructions on navigating between screens, uploading data files, and completing the online form. </w:t>
      </w:r>
      <w:r w:rsidR="002F0D76">
        <w:t xml:space="preserve"> </w:t>
      </w:r>
      <w:r w:rsidR="00C8788E">
        <w:t xml:space="preserve">The </w:t>
      </w:r>
      <w:r w:rsidR="00F119AD">
        <w:t xml:space="preserve">User’s Guide includes </w:t>
      </w:r>
      <w:r w:rsidR="00C8788E">
        <w:t>technical specifications for the type of file</w:t>
      </w:r>
      <w:r w:rsidR="00186AE0">
        <w:t>s</w:t>
      </w:r>
      <w:r w:rsidR="00C8788E">
        <w:t xml:space="preserve"> to be used by employers </w:t>
      </w:r>
      <w:r w:rsidR="00AC5728">
        <w:t xml:space="preserve">for data upload </w:t>
      </w:r>
      <w:r w:rsidR="0092298D">
        <w:t>when</w:t>
      </w:r>
      <w:r w:rsidR="00186AE0">
        <w:t xml:space="preserve"> the </w:t>
      </w:r>
      <w:r w:rsidR="00E23201">
        <w:t>EEO-1 report is finalized</w:t>
      </w:r>
      <w:r w:rsidR="00C8788E">
        <w:t>.</w:t>
      </w:r>
      <w:r w:rsidRPr="00231365">
        <w:t xml:space="preserve"> </w:t>
      </w:r>
      <w:r w:rsidRPr="00231365" w:rsidDel="00976666">
        <w:t xml:space="preserve"> </w:t>
      </w:r>
      <w:r w:rsidR="003202FD">
        <w:t xml:space="preserve">Numerous edit checks and validations are programmed into the online filing system to reduce </w:t>
      </w:r>
      <w:r w:rsidR="002F0D76">
        <w:t xml:space="preserve">the </w:t>
      </w:r>
      <w:r w:rsidR="003202FD">
        <w:t xml:space="preserve">burden </w:t>
      </w:r>
      <w:r w:rsidR="002F0D76">
        <w:t xml:space="preserve">on filers </w:t>
      </w:r>
      <w:r w:rsidR="003202FD">
        <w:t xml:space="preserve">and improve data quality.  These checks also compare data entries to those provided in prior EEO-1 reports to alert the filer of a potential error. </w:t>
      </w:r>
    </w:p>
    <w:p w:rsidR="007B26F3" w:rsidP="000B732F" w:rsidRDefault="007B26F3" w14:paraId="021E170C" w14:textId="77777777">
      <w:pPr>
        <w:numPr>
          <w:ilvl w:val="12"/>
          <w:numId w:val="0"/>
        </w:numPr>
        <w:rPr>
          <w:bCs/>
        </w:rPr>
      </w:pPr>
    </w:p>
    <w:p w:rsidR="00AB1F4A" w:rsidP="00F1211D" w:rsidRDefault="001E636E" w14:paraId="5766DC7C" w14:textId="77777777">
      <w:pPr>
        <w:autoSpaceDE w:val="0"/>
        <w:autoSpaceDN w:val="0"/>
        <w:adjustRightInd w:val="0"/>
        <w:ind w:left="720" w:hanging="720"/>
        <w:rPr>
          <w:bCs/>
          <w:u w:val="single"/>
        </w:rPr>
      </w:pPr>
      <w:r w:rsidRPr="00231365">
        <w:rPr>
          <w:bCs/>
        </w:rPr>
        <w:t>4</w:t>
      </w:r>
      <w:r w:rsidRPr="00231365" w:rsidR="00AA0866">
        <w:rPr>
          <w:bCs/>
        </w:rPr>
        <w:t xml:space="preserve">. </w:t>
      </w:r>
      <w:r w:rsidRPr="00231365" w:rsidR="00AA0866">
        <w:rPr>
          <w:bCs/>
        </w:rPr>
        <w:tab/>
      </w:r>
      <w:r w:rsidRPr="00813366" w:rsidR="00AB1F4A">
        <w:rPr>
          <w:bCs/>
          <w:u w:val="single"/>
        </w:rPr>
        <w:t>Description of efforts to identify duplication</w:t>
      </w:r>
    </w:p>
    <w:p w:rsidR="004619E8" w:rsidP="00F1211D" w:rsidRDefault="00F315EC" w14:paraId="20255293" w14:textId="77777777">
      <w:pPr>
        <w:pStyle w:val="NormalWeb"/>
        <w:spacing w:before="0" w:beforeAutospacing="0"/>
        <w:rPr>
          <w:bCs/>
        </w:rPr>
      </w:pPr>
      <w:r w:rsidRPr="00A45E96">
        <w:rPr>
          <w:bCs/>
        </w:rPr>
        <w:t xml:space="preserve">The amount of publicly available </w:t>
      </w:r>
      <w:r w:rsidR="00917055">
        <w:rPr>
          <w:bCs/>
        </w:rPr>
        <w:t>employment</w:t>
      </w:r>
      <w:r w:rsidRPr="00A45E96" w:rsidR="007A667D">
        <w:rPr>
          <w:bCs/>
        </w:rPr>
        <w:t xml:space="preserve"> data by demographic characteristics is limited</w:t>
      </w:r>
      <w:r w:rsidRPr="00A45E96">
        <w:rPr>
          <w:bCs/>
        </w:rPr>
        <w:t xml:space="preserve">.  </w:t>
      </w:r>
      <w:r w:rsidR="004619E8">
        <w:rPr>
          <w:bCs/>
        </w:rPr>
        <w:t xml:space="preserve">Both the U.S. Census Bureau </w:t>
      </w:r>
      <w:r w:rsidR="00CB43FD">
        <w:rPr>
          <w:bCs/>
        </w:rPr>
        <w:t xml:space="preserve">(Census) </w:t>
      </w:r>
      <w:r w:rsidR="004619E8">
        <w:rPr>
          <w:bCs/>
        </w:rPr>
        <w:t>and the U.S. Bureau of Labor</w:t>
      </w:r>
      <w:r w:rsidR="00917055">
        <w:rPr>
          <w:bCs/>
        </w:rPr>
        <w:t xml:space="preserve"> Statistics</w:t>
      </w:r>
      <w:r w:rsidR="00CB43FD">
        <w:rPr>
          <w:bCs/>
        </w:rPr>
        <w:t xml:space="preserve"> (BLS)</w:t>
      </w:r>
      <w:r w:rsidR="004619E8">
        <w:rPr>
          <w:bCs/>
        </w:rPr>
        <w:t xml:space="preserve"> </w:t>
      </w:r>
      <w:r w:rsidR="00912BB3">
        <w:rPr>
          <w:bCs/>
        </w:rPr>
        <w:t xml:space="preserve">collect </w:t>
      </w:r>
      <w:r w:rsidR="00AC6879">
        <w:rPr>
          <w:bCs/>
        </w:rPr>
        <w:t xml:space="preserve">employment data on the U.S. workforce, but </w:t>
      </w:r>
      <w:r w:rsidR="00ED102C">
        <w:rPr>
          <w:bCs/>
        </w:rPr>
        <w:t>th</w:t>
      </w:r>
      <w:r w:rsidR="00533AC3">
        <w:rPr>
          <w:bCs/>
        </w:rPr>
        <w:t xml:space="preserve">e BLS and Census surveys do not capture the </w:t>
      </w:r>
      <w:r w:rsidR="00CB43FD">
        <w:rPr>
          <w:bCs/>
        </w:rPr>
        <w:t>same data as the EEO-1.</w:t>
      </w:r>
    </w:p>
    <w:p w:rsidRPr="00A45E96" w:rsidR="004619E8" w:rsidP="00A45E96" w:rsidRDefault="004619E8" w14:paraId="52DD8D7E" w14:textId="77777777">
      <w:pPr>
        <w:pStyle w:val="NormalWeb"/>
        <w:rPr>
          <w:bCs/>
        </w:rPr>
      </w:pPr>
      <w:r w:rsidRPr="00A45E96">
        <w:rPr>
          <w:bCs/>
        </w:rPr>
        <w:t xml:space="preserve">The </w:t>
      </w:r>
      <w:r w:rsidR="00984D61">
        <w:rPr>
          <w:bCs/>
        </w:rPr>
        <w:t>BLS</w:t>
      </w:r>
      <w:r w:rsidRPr="00A45E96">
        <w:rPr>
          <w:bCs/>
        </w:rPr>
        <w:t xml:space="preserve">’ </w:t>
      </w:r>
      <w:r w:rsidRPr="00A45E96">
        <w:t>National Longitudinal Surveys (NLS)</w:t>
      </w:r>
      <w:r w:rsidRPr="00A45E96">
        <w:rPr>
          <w:bCs/>
        </w:rPr>
        <w:t xml:space="preserve"> are a set of surveys designed to gather information at multiple points in time on the labor market activities and other significant life events of several groups of men and women. </w:t>
      </w:r>
      <w:r w:rsidR="00386E32">
        <w:rPr>
          <w:bCs/>
        </w:rPr>
        <w:t xml:space="preserve"> </w:t>
      </w:r>
      <w:r w:rsidRPr="00A45E96">
        <w:rPr>
          <w:bCs/>
        </w:rPr>
        <w:t xml:space="preserve">For more than </w:t>
      </w:r>
      <w:r w:rsidR="008F2792">
        <w:rPr>
          <w:bCs/>
        </w:rPr>
        <w:t>four</w:t>
      </w:r>
      <w:r w:rsidRPr="00A45E96">
        <w:rPr>
          <w:bCs/>
        </w:rPr>
        <w:t xml:space="preserve"> decades, NLS data have served as an important tool for economists, sociologists, and other researchers.</w:t>
      </w:r>
    </w:p>
    <w:p w:rsidRPr="00A45E96" w:rsidR="005420A4" w:rsidP="00A45E96" w:rsidRDefault="00AD2145" w14:paraId="188A0E8A" w14:textId="77777777">
      <w:pPr>
        <w:pStyle w:val="NormalWeb"/>
        <w:rPr>
          <w:bCs/>
        </w:rPr>
      </w:pPr>
      <w:r w:rsidRPr="00A45E96">
        <w:rPr>
          <w:bCs/>
        </w:rPr>
        <w:t xml:space="preserve">The </w:t>
      </w:r>
      <w:r w:rsidR="00386E32">
        <w:rPr>
          <w:bCs/>
        </w:rPr>
        <w:t xml:space="preserve">BLS </w:t>
      </w:r>
      <w:r w:rsidRPr="00A45E96">
        <w:t>Occupational Employment Statistics (OES)</w:t>
      </w:r>
      <w:r w:rsidRPr="00A45E96">
        <w:rPr>
          <w:bCs/>
        </w:rPr>
        <w:t xml:space="preserve"> program produces employment and wage estimates annually for over 800 </w:t>
      </w:r>
      <w:r w:rsidRPr="00A45E96">
        <w:rPr>
          <w:bCs/>
        </w:rPr>
        <w:lastRenderedPageBreak/>
        <w:t xml:space="preserve">occupations. </w:t>
      </w:r>
      <w:r w:rsidR="00386E32">
        <w:rPr>
          <w:bCs/>
        </w:rPr>
        <w:t xml:space="preserve"> </w:t>
      </w:r>
      <w:r w:rsidRPr="00A45E96">
        <w:rPr>
          <w:bCs/>
        </w:rPr>
        <w:t>These</w:t>
      </w:r>
      <w:r w:rsidR="005A28F7">
        <w:rPr>
          <w:bCs/>
        </w:rPr>
        <w:t xml:space="preserve"> estimates</w:t>
      </w:r>
      <w:r w:rsidRPr="00A45E96" w:rsidR="00CC0804">
        <w:rPr>
          <w:bCs/>
        </w:rPr>
        <w:t>, which are based on a sample</w:t>
      </w:r>
      <w:r w:rsidR="00745B76">
        <w:rPr>
          <w:bCs/>
        </w:rPr>
        <w:t xml:space="preserve"> of establishments</w:t>
      </w:r>
      <w:r w:rsidRPr="00A45E96" w:rsidR="00CC0804">
        <w:rPr>
          <w:bCs/>
        </w:rPr>
        <w:t>,</w:t>
      </w:r>
      <w:r w:rsidR="005A28F7">
        <w:rPr>
          <w:bCs/>
        </w:rPr>
        <w:t xml:space="preserve"> </w:t>
      </w:r>
      <w:r w:rsidRPr="00A45E96">
        <w:rPr>
          <w:bCs/>
        </w:rPr>
        <w:t>are available for the nation as a whole, for individual states, and for metropolitan and nonmetropolitan areas; national occupational estimates for specific industries are also available.</w:t>
      </w:r>
    </w:p>
    <w:p w:rsidR="00045C23" w:rsidP="00A45E96" w:rsidRDefault="007F5CD2" w14:paraId="035C8FF7" w14:textId="77777777">
      <w:pPr>
        <w:pStyle w:val="NormalWeb"/>
        <w:rPr>
          <w:bCs/>
        </w:rPr>
      </w:pPr>
      <w:r>
        <w:rPr>
          <w:bCs/>
        </w:rPr>
        <w:t xml:space="preserve">The U.S. Census Bureau’s American Community Survey </w:t>
      </w:r>
      <w:r w:rsidR="00717139">
        <w:rPr>
          <w:bCs/>
        </w:rPr>
        <w:t>is a household survey</w:t>
      </w:r>
      <w:r w:rsidR="005B0180">
        <w:rPr>
          <w:bCs/>
        </w:rPr>
        <w:t xml:space="preserve"> </w:t>
      </w:r>
      <w:r w:rsidR="00B71C9E">
        <w:rPr>
          <w:bCs/>
        </w:rPr>
        <w:t>th</w:t>
      </w:r>
      <w:r w:rsidR="00745B76">
        <w:rPr>
          <w:bCs/>
        </w:rPr>
        <w:t>at</w:t>
      </w:r>
      <w:r w:rsidR="00B71C9E">
        <w:rPr>
          <w:bCs/>
        </w:rPr>
        <w:t xml:space="preserve"> collects </w:t>
      </w:r>
      <w:r w:rsidR="00C37D52">
        <w:rPr>
          <w:bCs/>
        </w:rPr>
        <w:t xml:space="preserve">demographic </w:t>
      </w:r>
      <w:r w:rsidR="00B71C9E">
        <w:rPr>
          <w:bCs/>
        </w:rPr>
        <w:t>data, e.g. age</w:t>
      </w:r>
      <w:r w:rsidR="00C37D52">
        <w:rPr>
          <w:bCs/>
        </w:rPr>
        <w:t xml:space="preserve">, sex, </w:t>
      </w:r>
      <w:r w:rsidR="005B0180">
        <w:rPr>
          <w:bCs/>
        </w:rPr>
        <w:t xml:space="preserve">and </w:t>
      </w:r>
      <w:r w:rsidR="00C37D52">
        <w:rPr>
          <w:bCs/>
        </w:rPr>
        <w:t>race</w:t>
      </w:r>
      <w:r w:rsidR="00B71C9E">
        <w:rPr>
          <w:bCs/>
        </w:rPr>
        <w:t>.</w:t>
      </w:r>
      <w:r w:rsidR="00C37D52">
        <w:rPr>
          <w:bCs/>
        </w:rPr>
        <w:t xml:space="preserve"> </w:t>
      </w:r>
      <w:r w:rsidR="00745B76">
        <w:rPr>
          <w:bCs/>
        </w:rPr>
        <w:t xml:space="preserve"> S</w:t>
      </w:r>
      <w:r w:rsidR="00B71C9E">
        <w:rPr>
          <w:bCs/>
        </w:rPr>
        <w:t>ome limited</w:t>
      </w:r>
      <w:r w:rsidR="009A319E">
        <w:rPr>
          <w:bCs/>
        </w:rPr>
        <w:t xml:space="preserve"> employment </w:t>
      </w:r>
      <w:r w:rsidR="00B71C9E">
        <w:rPr>
          <w:bCs/>
        </w:rPr>
        <w:t>data</w:t>
      </w:r>
      <w:r w:rsidR="00745B76">
        <w:rPr>
          <w:bCs/>
        </w:rPr>
        <w:t xml:space="preserve"> is also collected</w:t>
      </w:r>
      <w:r w:rsidR="009A319E">
        <w:rPr>
          <w:bCs/>
        </w:rPr>
        <w:t xml:space="preserve">, but the </w:t>
      </w:r>
      <w:r w:rsidR="00B71C9E">
        <w:rPr>
          <w:bCs/>
        </w:rPr>
        <w:t xml:space="preserve">relevant questions </w:t>
      </w:r>
      <w:r w:rsidR="009A319E">
        <w:rPr>
          <w:bCs/>
        </w:rPr>
        <w:t xml:space="preserve">are more limited </w:t>
      </w:r>
      <w:r w:rsidR="00B71C9E">
        <w:rPr>
          <w:bCs/>
        </w:rPr>
        <w:t xml:space="preserve">in scope </w:t>
      </w:r>
      <w:r w:rsidR="009A319E">
        <w:rPr>
          <w:bCs/>
        </w:rPr>
        <w:t xml:space="preserve">than the </w:t>
      </w:r>
      <w:r w:rsidR="0041294D">
        <w:rPr>
          <w:bCs/>
        </w:rPr>
        <w:t>EEO-1</w:t>
      </w:r>
      <w:r w:rsidR="00915481">
        <w:rPr>
          <w:bCs/>
        </w:rPr>
        <w:t xml:space="preserve">employment </w:t>
      </w:r>
      <w:r w:rsidR="00FD1961">
        <w:rPr>
          <w:bCs/>
        </w:rPr>
        <w:t>questions</w:t>
      </w:r>
      <w:r w:rsidR="00045C23">
        <w:rPr>
          <w:bCs/>
        </w:rPr>
        <w:t>.</w:t>
      </w:r>
    </w:p>
    <w:p w:rsidR="00A80A67" w:rsidP="00A80A67" w:rsidRDefault="00045C23" w14:paraId="110BA351" w14:textId="77777777">
      <w:pPr>
        <w:pStyle w:val="NormalWeb"/>
        <w:rPr>
          <w:color w:val="000000"/>
          <w:lang w:val="en"/>
        </w:rPr>
      </w:pPr>
      <w:r>
        <w:rPr>
          <w:bCs/>
        </w:rPr>
        <w:t xml:space="preserve">The U.S. Census Bureau’s </w:t>
      </w:r>
      <w:r w:rsidR="00B63457">
        <w:rPr>
          <w:bCs/>
        </w:rPr>
        <w:t>Economic Census</w:t>
      </w:r>
      <w:r w:rsidR="008705DD">
        <w:rPr>
          <w:bCs/>
        </w:rPr>
        <w:t xml:space="preserve">, which is conducted every </w:t>
      </w:r>
      <w:r w:rsidR="00D47928">
        <w:rPr>
          <w:bCs/>
        </w:rPr>
        <w:t>five</w:t>
      </w:r>
      <w:r w:rsidR="008705DD">
        <w:rPr>
          <w:bCs/>
        </w:rPr>
        <w:t xml:space="preserve"> years,</w:t>
      </w:r>
      <w:r w:rsidR="00A80A67">
        <w:rPr>
          <w:bCs/>
        </w:rPr>
        <w:t xml:space="preserve"> </w:t>
      </w:r>
      <w:r w:rsidR="00A80A67">
        <w:rPr>
          <w:color w:val="000000"/>
          <w:lang w:val="en"/>
        </w:rPr>
        <w:t xml:space="preserve">is primarily conducted on an establishment basis. A company operating at more than one location is required to file a separate report for each location or establishment. </w:t>
      </w:r>
      <w:r w:rsidR="00AB4D54">
        <w:rPr>
          <w:color w:val="000000"/>
          <w:lang w:val="en"/>
        </w:rPr>
        <w:t xml:space="preserve"> </w:t>
      </w:r>
      <w:r w:rsidR="00A80A67">
        <w:rPr>
          <w:color w:val="000000"/>
          <w:lang w:val="en"/>
        </w:rPr>
        <w:t>Companies engaged in distinctly different lines of activity at one location are requested to submit separate report</w:t>
      </w:r>
      <w:r w:rsidR="0041294D">
        <w:rPr>
          <w:color w:val="000000"/>
          <w:lang w:val="en"/>
        </w:rPr>
        <w:t>s</w:t>
      </w:r>
      <w:r w:rsidR="00A80A67">
        <w:rPr>
          <w:color w:val="000000"/>
          <w:lang w:val="en"/>
        </w:rPr>
        <w:t xml:space="preserve"> if the business records permit such a separation, and if the activities are substantial in size</w:t>
      </w:r>
      <w:r w:rsidR="0041294D">
        <w:rPr>
          <w:color w:val="000000"/>
          <w:lang w:val="en"/>
        </w:rPr>
        <w:t xml:space="preserve">.  </w:t>
      </w:r>
      <w:r w:rsidR="00A80A67">
        <w:rPr>
          <w:color w:val="000000"/>
          <w:lang w:val="en"/>
        </w:rPr>
        <w:t>For selected industries, only payroll, employment</w:t>
      </w:r>
      <w:r w:rsidR="009571F9">
        <w:rPr>
          <w:color w:val="000000"/>
          <w:lang w:val="en"/>
        </w:rPr>
        <w:t>,</w:t>
      </w:r>
      <w:r w:rsidR="00A80A67">
        <w:rPr>
          <w:color w:val="000000"/>
          <w:lang w:val="en"/>
        </w:rPr>
        <w:t xml:space="preserve"> and classification are collected for individual establishments, while other data are collected on a consolidated basis.</w:t>
      </w:r>
    </w:p>
    <w:p w:rsidR="00045C23" w:rsidP="00A45E96" w:rsidRDefault="00A80A67" w14:paraId="068510D4" w14:textId="77777777">
      <w:bookmarkStart w:name="par_textimage_2" w:id="7"/>
      <w:bookmarkEnd w:id="7"/>
      <w:r w:rsidRPr="00A45E96">
        <w:rPr>
          <w:rStyle w:val="uscb-hide1"/>
          <w:lang w:val="en"/>
          <w:specVanish w:val="0"/>
        </w:rPr>
        <w:t xml:space="preserve">Component ID: </w:t>
      </w:r>
      <w:r w:rsidRPr="00A45E96">
        <w:rPr>
          <w:rStyle w:val="uscb-bold1"/>
          <w:b w:val="0"/>
          <w:vanish/>
          <w:lang w:val="en"/>
        </w:rPr>
        <w:t>#ti1691210090</w:t>
      </w:r>
      <w:r w:rsidR="00CD080C">
        <w:rPr>
          <w:rStyle w:val="uscb-bold1"/>
          <w:b w:val="0"/>
          <w:lang w:val="en"/>
        </w:rPr>
        <w:t xml:space="preserve">While the BLS and Census </w:t>
      </w:r>
      <w:r w:rsidR="00AB4D54">
        <w:rPr>
          <w:rStyle w:val="uscb-bold1"/>
          <w:b w:val="0"/>
          <w:lang w:val="en"/>
        </w:rPr>
        <w:t xml:space="preserve">information </w:t>
      </w:r>
      <w:r w:rsidR="00B41E72">
        <w:rPr>
          <w:rStyle w:val="uscb-bold1"/>
          <w:b w:val="0"/>
          <w:lang w:val="en"/>
        </w:rPr>
        <w:t>is useful for benchmarking</w:t>
      </w:r>
      <w:r w:rsidR="00682CC6">
        <w:rPr>
          <w:rStyle w:val="uscb-bold1"/>
          <w:b w:val="0"/>
          <w:lang w:val="en"/>
        </w:rPr>
        <w:t xml:space="preserve"> EEO-1 employment estimates</w:t>
      </w:r>
      <w:r w:rsidR="00B41E72">
        <w:rPr>
          <w:rStyle w:val="uscb-bold1"/>
          <w:b w:val="0"/>
          <w:lang w:val="en"/>
        </w:rPr>
        <w:t xml:space="preserve">, it </w:t>
      </w:r>
      <w:r w:rsidR="00682CC6">
        <w:rPr>
          <w:rStyle w:val="uscb-bold1"/>
          <w:b w:val="0"/>
          <w:lang w:val="en"/>
        </w:rPr>
        <w:t>cannot</w:t>
      </w:r>
      <w:r w:rsidR="006401CB">
        <w:rPr>
          <w:rStyle w:val="uscb-bold1"/>
          <w:b w:val="0"/>
          <w:lang w:val="en"/>
        </w:rPr>
        <w:t xml:space="preserve"> replace EEO-1 data due</w:t>
      </w:r>
      <w:r w:rsidR="00203779">
        <w:rPr>
          <w:rStyle w:val="uscb-bold1"/>
          <w:b w:val="0"/>
          <w:lang w:val="en"/>
        </w:rPr>
        <w:t xml:space="preserve"> not only</w:t>
      </w:r>
      <w:r w:rsidR="006401CB">
        <w:rPr>
          <w:rStyle w:val="uscb-bold1"/>
          <w:b w:val="0"/>
          <w:lang w:val="en"/>
        </w:rPr>
        <w:t xml:space="preserve"> to the nature of the data being collected by BLS and Census</w:t>
      </w:r>
      <w:r w:rsidR="00203779">
        <w:rPr>
          <w:rStyle w:val="uscb-bold1"/>
          <w:b w:val="0"/>
          <w:lang w:val="en"/>
        </w:rPr>
        <w:t xml:space="preserve">, but </w:t>
      </w:r>
      <w:r w:rsidR="00AB4D54">
        <w:rPr>
          <w:rStyle w:val="uscb-bold1"/>
          <w:b w:val="0"/>
          <w:lang w:val="en"/>
        </w:rPr>
        <w:t xml:space="preserve">also due to </w:t>
      </w:r>
      <w:r w:rsidR="00203779">
        <w:rPr>
          <w:rStyle w:val="uscb-bold1"/>
          <w:b w:val="0"/>
          <w:lang w:val="en"/>
        </w:rPr>
        <w:t xml:space="preserve">the </w:t>
      </w:r>
      <w:r w:rsidR="00D4588E">
        <w:rPr>
          <w:rStyle w:val="uscb-bold1"/>
          <w:b w:val="0"/>
          <w:lang w:val="en"/>
        </w:rPr>
        <w:t xml:space="preserve">permissions associated with use and dissemination of the </w:t>
      </w:r>
      <w:r w:rsidR="00AB4D54">
        <w:rPr>
          <w:rStyle w:val="uscb-bold1"/>
          <w:b w:val="0"/>
          <w:lang w:val="en"/>
        </w:rPr>
        <w:t xml:space="preserve">BLS and Census </w:t>
      </w:r>
      <w:r w:rsidR="00D4588E">
        <w:rPr>
          <w:rStyle w:val="uscb-bold1"/>
          <w:b w:val="0"/>
          <w:lang w:val="en"/>
        </w:rPr>
        <w:t xml:space="preserve">data. </w:t>
      </w:r>
      <w:r w:rsidR="007C5578">
        <w:rPr>
          <w:rStyle w:val="uscb-bold1"/>
          <w:b w:val="0"/>
          <w:lang w:val="en"/>
        </w:rPr>
        <w:t xml:space="preserve"> </w:t>
      </w:r>
      <w:r w:rsidR="00D4588E">
        <w:rPr>
          <w:rStyle w:val="uscb-bold1"/>
          <w:b w:val="0"/>
          <w:lang w:val="en"/>
        </w:rPr>
        <w:t xml:space="preserve">Specifically, </w:t>
      </w:r>
      <w:r w:rsidRPr="00CD080C" w:rsidR="00E76750">
        <w:t>all</w:t>
      </w:r>
      <w:r w:rsidRPr="00244275" w:rsidR="00867C93">
        <w:t xml:space="preserve"> information collected by the federal government for statistical purposes, including the data in these BLS </w:t>
      </w:r>
      <w:r w:rsidR="00983180">
        <w:t xml:space="preserve">and Census </w:t>
      </w:r>
      <w:r w:rsidRPr="00244275" w:rsidR="00867C93">
        <w:t>surveys, is collected under a pledge of confidentiality according to the provisions of the 2002 Confidential Information Protection and Statistical Efficiency Act (CIPSEA).</w:t>
      </w:r>
      <w:r w:rsidR="001D46FD">
        <w:rPr>
          <w:rStyle w:val="FootnoteReference"/>
        </w:rPr>
        <w:footnoteReference w:id="16"/>
      </w:r>
      <w:r w:rsidRPr="00244275" w:rsidR="00867C93">
        <w:t xml:space="preserve"> </w:t>
      </w:r>
      <w:r w:rsidR="007C5578">
        <w:t xml:space="preserve"> </w:t>
      </w:r>
      <w:r w:rsidRPr="00244275" w:rsidR="00867C93">
        <w:t>This means that</w:t>
      </w:r>
      <w:r w:rsidR="00983180">
        <w:t xml:space="preserve"> while the data can be used to provide statistical estimates,</w:t>
      </w:r>
      <w:r w:rsidRPr="00244275" w:rsidR="00867C93">
        <w:t xml:space="preserve"> the data cannot be shared for purposes of</w:t>
      </w:r>
      <w:r w:rsidR="00815995">
        <w:t xml:space="preserve"> employment discrimination</w:t>
      </w:r>
      <w:r w:rsidRPr="00244275" w:rsidR="00867C93">
        <w:t xml:space="preserve"> enforcement</w:t>
      </w:r>
      <w:r w:rsidR="003A1BAB">
        <w:t>.</w:t>
      </w:r>
    </w:p>
    <w:p w:rsidRPr="00A45E96" w:rsidR="008A122C" w:rsidP="00A45E96" w:rsidRDefault="008A122C" w14:paraId="39E3438C" w14:textId="77777777">
      <w:pPr>
        <w:rPr>
          <w:rFonts w:ascii="Arial" w:hAnsi="Arial" w:cs="Arial"/>
          <w:color w:val="BBC7CD"/>
          <w:lang w:val="en"/>
        </w:rPr>
      </w:pPr>
    </w:p>
    <w:p w:rsidR="00F808F6" w:rsidP="008A122C" w:rsidRDefault="001E636E" w14:paraId="5EA323FB" w14:textId="77777777">
      <w:pPr>
        <w:pStyle w:val="NormalWeb"/>
        <w:spacing w:before="0" w:beforeAutospacing="0" w:after="0" w:afterAutospacing="0"/>
      </w:pPr>
      <w:r w:rsidRPr="00E159FD">
        <w:t xml:space="preserve">5.   </w:t>
      </w:r>
      <w:r w:rsidRPr="00E159FD">
        <w:tab/>
      </w:r>
      <w:r w:rsidRPr="00813366" w:rsidR="00AB1F4A">
        <w:rPr>
          <w:u w:val="single"/>
        </w:rPr>
        <w:t>Impact on small business</w:t>
      </w:r>
    </w:p>
    <w:p w:rsidR="002C38BB" w:rsidP="008A122C" w:rsidRDefault="00745B76" w14:paraId="33A83105" w14:textId="77777777">
      <w:pPr>
        <w:pStyle w:val="NormalWeb"/>
        <w:spacing w:before="0" w:beforeAutospacing="0" w:after="0" w:afterAutospacing="0"/>
        <w:rPr>
          <w:color w:val="000000"/>
        </w:rPr>
      </w:pPr>
      <w:r>
        <w:t>The EEO-1 data collection has been in existence since 1966.  The continuation of this data collection does not add any additional burden beyond that which small employers have experienced since the inception of this data collection in 1966.</w:t>
      </w:r>
      <w:r>
        <w:rPr>
          <w:color w:val="000000"/>
        </w:rPr>
        <w:t xml:space="preserve"> </w:t>
      </w:r>
    </w:p>
    <w:p w:rsidR="00BB2ECD" w:rsidP="00D83E91" w:rsidRDefault="00BB2ECD" w14:paraId="566D68AD" w14:textId="77777777">
      <w:pPr>
        <w:autoSpaceDE w:val="0"/>
        <w:autoSpaceDN w:val="0"/>
        <w:adjustRightInd w:val="0"/>
        <w:rPr>
          <w:color w:val="000000"/>
        </w:rPr>
      </w:pPr>
    </w:p>
    <w:p w:rsidR="00AB1F4A" w:rsidP="007B26F3" w:rsidRDefault="001B6AC1" w14:paraId="3E55A936" w14:textId="77777777">
      <w:pPr>
        <w:autoSpaceDE w:val="0"/>
        <w:autoSpaceDN w:val="0"/>
        <w:adjustRightInd w:val="0"/>
        <w:ind w:left="720" w:hanging="720"/>
        <w:rPr>
          <w:u w:val="single"/>
        </w:rPr>
      </w:pPr>
      <w:r w:rsidRPr="00E159FD">
        <w:t xml:space="preserve">6. </w:t>
      </w:r>
      <w:r w:rsidRPr="00E159FD" w:rsidR="00A77E4E">
        <w:t xml:space="preserve">  </w:t>
      </w:r>
      <w:r w:rsidRPr="00E159FD" w:rsidR="001335F6">
        <w:tab/>
      </w:r>
      <w:r w:rsidRPr="00813366" w:rsidR="00AB1F4A">
        <w:rPr>
          <w:u w:val="single"/>
        </w:rPr>
        <w:t xml:space="preserve">Consequences if information were collected less frequently </w:t>
      </w:r>
    </w:p>
    <w:p w:rsidR="00D32C70" w:rsidP="00A45E96" w:rsidRDefault="00295B51" w14:paraId="774959D3" w14:textId="77777777">
      <w:pPr>
        <w:autoSpaceDE w:val="0"/>
        <w:autoSpaceDN w:val="0"/>
        <w:adjustRightInd w:val="0"/>
      </w:pPr>
      <w:r>
        <w:t>The EEOC</w:t>
      </w:r>
      <w:r w:rsidR="003B3E02">
        <w:t xml:space="preserve"> investigate</w:t>
      </w:r>
      <w:r>
        <w:t>s</w:t>
      </w:r>
      <w:r w:rsidR="003B3E02">
        <w:t xml:space="preserve"> </w:t>
      </w:r>
      <w:r w:rsidR="00185E77">
        <w:t xml:space="preserve">charges of employment </w:t>
      </w:r>
      <w:r w:rsidR="003B3E02">
        <w:t xml:space="preserve">discrimination with the benefit of </w:t>
      </w:r>
      <w:r w:rsidR="007641FB">
        <w:t>up-to-date</w:t>
      </w:r>
      <w:r w:rsidR="003B3E02">
        <w:t xml:space="preserve"> </w:t>
      </w:r>
      <w:r w:rsidR="008969CA">
        <w:t xml:space="preserve">data </w:t>
      </w:r>
      <w:r w:rsidR="003B3E02">
        <w:t xml:space="preserve">reflecting the most current </w:t>
      </w:r>
      <w:r w:rsidR="003B3E02">
        <w:lastRenderedPageBreak/>
        <w:t xml:space="preserve">information possible.  </w:t>
      </w:r>
      <w:r w:rsidR="008A0C85">
        <w:t xml:space="preserve">Although the </w:t>
      </w:r>
      <w:r w:rsidR="009109EA">
        <w:t xml:space="preserve">EEOC </w:t>
      </w:r>
      <w:r w:rsidR="008A0C85">
        <w:t xml:space="preserve">has </w:t>
      </w:r>
      <w:r w:rsidR="009109EA">
        <w:t>considered c</w:t>
      </w:r>
      <w:r w:rsidRPr="00231365" w:rsidR="002C38BB">
        <w:t xml:space="preserve">ollecting </w:t>
      </w:r>
      <w:r w:rsidR="003B3E02">
        <w:t>EEO-1</w:t>
      </w:r>
      <w:r w:rsidRPr="00231365" w:rsidR="003B3E02">
        <w:t xml:space="preserve"> </w:t>
      </w:r>
      <w:r w:rsidRPr="00231365" w:rsidR="002C38BB">
        <w:t xml:space="preserve">data </w:t>
      </w:r>
      <w:r w:rsidR="009109EA">
        <w:t>every two years</w:t>
      </w:r>
      <w:r w:rsidR="0044258E">
        <w:t>,</w:t>
      </w:r>
      <w:r w:rsidR="008A0C85">
        <w:t xml:space="preserve"> this</w:t>
      </w:r>
      <w:r w:rsidR="00860A3E">
        <w:t xml:space="preserve"> </w:t>
      </w:r>
      <w:r w:rsidR="003B3E02">
        <w:t>approach was rejected</w:t>
      </w:r>
      <w:r w:rsidR="0044258E">
        <w:t xml:space="preserve"> </w:t>
      </w:r>
      <w:r w:rsidR="003B3E02">
        <w:t xml:space="preserve">because </w:t>
      </w:r>
      <w:r w:rsidR="004A54BB">
        <w:t xml:space="preserve">the </w:t>
      </w:r>
      <w:r w:rsidR="0014230A">
        <w:t xml:space="preserve">agency </w:t>
      </w:r>
      <w:r w:rsidR="009109EA">
        <w:t xml:space="preserve">concluded that the utility of the data would be diminished before new data became available. </w:t>
      </w:r>
      <w:r w:rsidR="00860A3E">
        <w:t xml:space="preserve"> </w:t>
      </w:r>
      <w:r w:rsidR="003B3E02">
        <w:t>In the private sector, workforce changes are frequent, not only within a particular e</w:t>
      </w:r>
      <w:r w:rsidR="00B6722F">
        <w:t>stablishment</w:t>
      </w:r>
      <w:r w:rsidR="003B3E02">
        <w:t>’s workforce, but also on a larger scale</w:t>
      </w:r>
      <w:r w:rsidR="008969CA">
        <w:t xml:space="preserve"> in light of mergers and acquisitions.</w:t>
      </w:r>
      <w:r w:rsidR="003B3E02">
        <w:t xml:space="preserve">  </w:t>
      </w:r>
      <w:r w:rsidR="00AA2733">
        <w:t xml:space="preserve">Historically, </w:t>
      </w:r>
      <w:r w:rsidR="00185E77">
        <w:t xml:space="preserve">each year </w:t>
      </w:r>
      <w:r w:rsidR="00AA2733">
        <w:t>approximately one-quar</w:t>
      </w:r>
      <w:r w:rsidR="003216A8">
        <w:t>t</w:t>
      </w:r>
      <w:r w:rsidR="00AA2733">
        <w:t xml:space="preserve">er of </w:t>
      </w:r>
      <w:r w:rsidR="00185E77">
        <w:t xml:space="preserve">EEO-1 </w:t>
      </w:r>
      <w:r w:rsidR="00FE4841">
        <w:t xml:space="preserve">filers request a new point of contact. </w:t>
      </w:r>
      <w:r w:rsidR="00185E77">
        <w:t xml:space="preserve"> </w:t>
      </w:r>
      <w:r w:rsidR="00FE4841">
        <w:t xml:space="preserve">Collecting the data biannually would compound the change of contact issue and would unnecessarily delay </w:t>
      </w:r>
      <w:r w:rsidR="006548D2">
        <w:t>filers</w:t>
      </w:r>
      <w:r w:rsidR="00185E77">
        <w:t xml:space="preserve">’ submissions of </w:t>
      </w:r>
      <w:r w:rsidR="006548D2">
        <w:t>Component 1 data while the EEOC identified the new appropriate point</w:t>
      </w:r>
      <w:r w:rsidR="00440A22">
        <w:t>s</w:t>
      </w:r>
      <w:r w:rsidR="006548D2">
        <w:t xml:space="preserve"> of contact.</w:t>
      </w:r>
      <w:r w:rsidR="00FE4841">
        <w:t xml:space="preserve"> </w:t>
      </w:r>
      <w:r w:rsidR="00440A22">
        <w:t xml:space="preserve"> </w:t>
      </w:r>
      <w:r w:rsidR="00A83EDE">
        <w:t xml:space="preserve">When </w:t>
      </w:r>
      <w:r w:rsidR="00AE7740">
        <w:t>employers</w:t>
      </w:r>
      <w:r w:rsidR="00A83EDE">
        <w:t xml:space="preserve"> restructure through mergers and acquisitions, e</w:t>
      </w:r>
      <w:r w:rsidR="0089154B">
        <w:t xml:space="preserve">mployee </w:t>
      </w:r>
      <w:r w:rsidR="003B3E02">
        <w:t>demographics may undergo significant changes</w:t>
      </w:r>
      <w:r w:rsidR="0029082A">
        <w:t>.</w:t>
      </w:r>
      <w:r w:rsidRPr="00231365" w:rsidR="002C38BB">
        <w:t xml:space="preserve"> </w:t>
      </w:r>
      <w:r w:rsidR="003B3E02">
        <w:t xml:space="preserve"> A delay of two years in collecting data reflecting these changes could </w:t>
      </w:r>
      <w:r w:rsidR="007641FB">
        <w:t>undermine</w:t>
      </w:r>
      <w:r w:rsidR="003B3E02">
        <w:t xml:space="preserve"> the EEOC’s </w:t>
      </w:r>
      <w:r w:rsidR="00D32C70">
        <w:t>ability to investigate and enforce statutes and regulations</w:t>
      </w:r>
      <w:r w:rsidR="003B3E02">
        <w:t>, s</w:t>
      </w:r>
      <w:r w:rsidR="00BF1FB5">
        <w:t>ince</w:t>
      </w:r>
      <w:r w:rsidR="003B3E02">
        <w:t xml:space="preserve"> the agency would be forced to rely on outdated and inaccurate data with respect to filers.  </w:t>
      </w:r>
    </w:p>
    <w:p w:rsidR="007B26F3" w:rsidP="00A45E96" w:rsidRDefault="007B26F3" w14:paraId="5407F25B" w14:textId="77777777">
      <w:pPr>
        <w:autoSpaceDE w:val="0"/>
        <w:autoSpaceDN w:val="0"/>
        <w:adjustRightInd w:val="0"/>
      </w:pPr>
    </w:p>
    <w:p w:rsidR="00AB1F4A" w:rsidP="000B732F" w:rsidRDefault="00D9516B" w14:paraId="4FE96CE4" w14:textId="77777777">
      <w:pPr>
        <w:autoSpaceDE w:val="0"/>
        <w:autoSpaceDN w:val="0"/>
        <w:adjustRightInd w:val="0"/>
      </w:pPr>
      <w:r>
        <w:t>7.</w:t>
      </w:r>
      <w:r>
        <w:tab/>
      </w:r>
      <w:r w:rsidRPr="00813366" w:rsidR="00AB1F4A">
        <w:rPr>
          <w:u w:val="single"/>
        </w:rPr>
        <w:t xml:space="preserve">Special circumstances </w:t>
      </w:r>
    </w:p>
    <w:p w:rsidR="00E159FD" w:rsidP="00A45E96" w:rsidRDefault="00096066" w14:paraId="49034CE1" w14:textId="77777777">
      <w:pPr>
        <w:autoSpaceDE w:val="0"/>
        <w:autoSpaceDN w:val="0"/>
        <w:adjustRightInd w:val="0"/>
      </w:pPr>
      <w:r>
        <w:t xml:space="preserve">This information collection does not require any special circumstances. </w:t>
      </w:r>
    </w:p>
    <w:p w:rsidRPr="00E159FD" w:rsidR="007B26F3" w:rsidP="000B732F" w:rsidRDefault="007B26F3" w14:paraId="1EA93CB7" w14:textId="77777777">
      <w:pPr>
        <w:autoSpaceDE w:val="0"/>
        <w:autoSpaceDN w:val="0"/>
        <w:adjustRightInd w:val="0"/>
      </w:pPr>
    </w:p>
    <w:p w:rsidR="00F659FA" w:rsidP="00BF2BEA" w:rsidRDefault="007C3EC4" w14:paraId="5D8AFE50" w14:textId="77777777">
      <w:pPr>
        <w:keepNext/>
        <w:rPr>
          <w:rFonts w:eastAsia="Calibri"/>
        </w:rPr>
      </w:pPr>
      <w:r>
        <w:t>8</w:t>
      </w:r>
      <w:r w:rsidRPr="00E159FD" w:rsidR="00A11F13">
        <w:t>.</w:t>
      </w:r>
      <w:r w:rsidRPr="00E159FD" w:rsidR="00B64031">
        <w:tab/>
      </w:r>
      <w:r w:rsidRPr="00813366" w:rsidR="00AB1F4A">
        <w:rPr>
          <w:u w:val="single"/>
        </w:rPr>
        <w:t>Consultation outside the agency</w:t>
      </w:r>
      <w:r w:rsidRPr="003F0C11" w:rsidR="003F0C11">
        <w:t xml:space="preserve"> </w:t>
      </w:r>
    </w:p>
    <w:p w:rsidRPr="0045194C" w:rsidR="001570B9" w:rsidP="00A45E96" w:rsidRDefault="00D32C70" w14:paraId="384B27FE" w14:textId="77777777">
      <w:pPr>
        <w:rPr>
          <w:rFonts w:eastAsia="Calibri"/>
        </w:rPr>
      </w:pPr>
      <w:r w:rsidRPr="00A45E96">
        <w:rPr>
          <w:rFonts w:eastAsia="Calibri"/>
        </w:rPr>
        <w:t>The 60-</w:t>
      </w:r>
      <w:r w:rsidR="00E574B6">
        <w:rPr>
          <w:rFonts w:eastAsia="Calibri"/>
        </w:rPr>
        <w:t>D</w:t>
      </w:r>
      <w:r w:rsidRPr="00A45E96">
        <w:rPr>
          <w:rFonts w:eastAsia="Calibri"/>
        </w:rPr>
        <w:t xml:space="preserve">ay </w:t>
      </w:r>
      <w:r w:rsidR="008A0C85">
        <w:rPr>
          <w:rFonts w:eastAsia="Calibri"/>
        </w:rPr>
        <w:t>Notice</w:t>
      </w:r>
      <w:r w:rsidRPr="00A45E96">
        <w:rPr>
          <w:rFonts w:eastAsia="Calibri"/>
        </w:rPr>
        <w:t xml:space="preserve"> was published on </w:t>
      </w:r>
      <w:r w:rsidRPr="00A45E96" w:rsidR="00BE1F41">
        <w:rPr>
          <w:rFonts w:eastAsia="Calibri"/>
        </w:rPr>
        <w:t>September 12, 2019</w:t>
      </w:r>
      <w:r w:rsidR="00FA13ED">
        <w:rPr>
          <w:rFonts w:eastAsia="Calibri"/>
        </w:rPr>
        <w:t>.</w:t>
      </w:r>
      <w:r w:rsidR="002647C3">
        <w:rPr>
          <w:rStyle w:val="FootnoteReference"/>
          <w:rFonts w:eastAsia="Calibri"/>
        </w:rPr>
        <w:footnoteReference w:id="17"/>
      </w:r>
      <w:r w:rsidRPr="00A45E96">
        <w:rPr>
          <w:rFonts w:eastAsia="Calibri"/>
        </w:rPr>
        <w:t xml:space="preserve"> </w:t>
      </w:r>
      <w:r w:rsidR="00B70331">
        <w:rPr>
          <w:rFonts w:eastAsia="Calibri"/>
        </w:rPr>
        <w:t xml:space="preserve"> </w:t>
      </w:r>
      <w:r w:rsidRPr="00AD4D65" w:rsidR="0082329B">
        <w:rPr>
          <w:rFonts w:eastAsia="Calibri"/>
        </w:rPr>
        <w:t xml:space="preserve">The EEOC received </w:t>
      </w:r>
      <w:bookmarkStart w:name="_Hlk25484313" w:id="8"/>
      <w:r w:rsidRPr="00AD4D65" w:rsidR="0082329B">
        <w:rPr>
          <w:rFonts w:eastAsia="Calibri"/>
        </w:rPr>
        <w:t>and posted 11,50</w:t>
      </w:r>
      <w:bookmarkEnd w:id="8"/>
      <w:r w:rsidRPr="00AD4D65" w:rsidR="0082329B">
        <w:rPr>
          <w:rFonts w:eastAsia="Calibri"/>
        </w:rPr>
        <w:t>4 timely public comments</w:t>
      </w:r>
      <w:r w:rsidRPr="00AD4D65" w:rsidR="000568BD">
        <w:rPr>
          <w:rFonts w:eastAsia="Calibri"/>
          <w:vertAlign w:val="superscript"/>
        </w:rPr>
        <w:footnoteReference w:id="18"/>
      </w:r>
      <w:r w:rsidR="000568BD">
        <w:rPr>
          <w:rFonts w:eastAsia="Calibri"/>
        </w:rPr>
        <w:t xml:space="preserve"> from individuals, employers, </w:t>
      </w:r>
      <w:r w:rsidRPr="00AD4D65" w:rsidR="000568BD">
        <w:rPr>
          <w:rFonts w:eastAsia="Calibri"/>
        </w:rPr>
        <w:t>employer associations, Members of Congress, civil rights groups, women's organizations, industry and trade groups, human resources organizations, and social scientists</w:t>
      </w:r>
      <w:r w:rsidRPr="00AD4D65" w:rsidR="0082329B">
        <w:rPr>
          <w:rFonts w:eastAsia="Calibri"/>
        </w:rPr>
        <w:t xml:space="preserve"> in response to the 60-Day Notice.</w:t>
      </w:r>
      <w:r w:rsidR="000568BD">
        <w:rPr>
          <w:rFonts w:eastAsia="Calibri"/>
        </w:rPr>
        <w:t xml:space="preserve"> </w:t>
      </w:r>
      <w:r w:rsidRPr="00AD4D65" w:rsidR="0082329B">
        <w:rPr>
          <w:rFonts w:eastAsia="Calibri"/>
        </w:rPr>
        <w:t xml:space="preserve"> </w:t>
      </w:r>
      <w:r w:rsidR="0082329B">
        <w:rPr>
          <w:rFonts w:eastAsia="Calibri"/>
        </w:rPr>
        <w:t xml:space="preserve">Almost </w:t>
      </w:r>
      <w:r w:rsidR="00F9037F">
        <w:rPr>
          <w:rFonts w:eastAsia="Calibri"/>
        </w:rPr>
        <w:t>all of</w:t>
      </w:r>
      <w:r w:rsidR="0082329B">
        <w:rPr>
          <w:rFonts w:eastAsia="Calibri"/>
        </w:rPr>
        <w:t xml:space="preserve"> the comments were in response to the EEOC’s proposal to discontinue collecting Component 2 data. </w:t>
      </w:r>
      <w:r w:rsidR="00B70331">
        <w:rPr>
          <w:rFonts w:eastAsia="Calibri"/>
        </w:rPr>
        <w:t xml:space="preserve"> </w:t>
      </w:r>
      <w:r w:rsidR="0082329B">
        <w:rPr>
          <w:rFonts w:eastAsia="Calibri"/>
        </w:rPr>
        <w:t xml:space="preserve">Of the comments that addressed Component 1, nearly all </w:t>
      </w:r>
      <w:r w:rsidR="00355BEC">
        <w:rPr>
          <w:rFonts w:eastAsia="Calibri"/>
        </w:rPr>
        <w:t>expressed support for</w:t>
      </w:r>
      <w:r w:rsidRPr="0045194C" w:rsidR="001570B9">
        <w:rPr>
          <w:rFonts w:eastAsia="Calibri"/>
        </w:rPr>
        <w:t xml:space="preserve"> the EEOC’s proposal </w:t>
      </w:r>
      <w:r w:rsidR="001570B9">
        <w:rPr>
          <w:rFonts w:eastAsia="Calibri"/>
        </w:rPr>
        <w:t xml:space="preserve">in the 60-Day Notice </w:t>
      </w:r>
      <w:r w:rsidRPr="0045194C" w:rsidR="001570B9">
        <w:rPr>
          <w:rFonts w:eastAsia="Calibri"/>
        </w:rPr>
        <w:t xml:space="preserve">to </w:t>
      </w:r>
      <w:r w:rsidR="00355BEC">
        <w:rPr>
          <w:rFonts w:eastAsia="Calibri"/>
        </w:rPr>
        <w:t>seek continued approval of</w:t>
      </w:r>
      <w:r w:rsidRPr="0045194C" w:rsidR="00355BEC">
        <w:rPr>
          <w:rFonts w:eastAsia="Calibri"/>
        </w:rPr>
        <w:t xml:space="preserve"> </w:t>
      </w:r>
      <w:r w:rsidRPr="0045194C" w:rsidR="001570B9">
        <w:rPr>
          <w:rFonts w:eastAsia="Calibri"/>
        </w:rPr>
        <w:t>Component 1</w:t>
      </w:r>
      <w:r w:rsidR="0082329B">
        <w:rPr>
          <w:rFonts w:eastAsia="Calibri"/>
        </w:rPr>
        <w:t>.</w:t>
      </w:r>
      <w:r w:rsidRPr="0082329B" w:rsidR="001570B9">
        <w:rPr>
          <w:rFonts w:eastAsia="Calibri"/>
          <w:vertAlign w:val="superscript"/>
        </w:rPr>
        <w:footnoteReference w:id="19"/>
      </w:r>
      <w:r w:rsidR="00A77B24">
        <w:rPr>
          <w:rFonts w:eastAsia="Calibri"/>
        </w:rPr>
        <w:t xml:space="preserve"> </w:t>
      </w:r>
      <w:r w:rsidR="000F42CB">
        <w:rPr>
          <w:rFonts w:eastAsia="Calibri"/>
        </w:rPr>
        <w:t xml:space="preserve"> </w:t>
      </w:r>
      <w:r w:rsidRPr="0045194C" w:rsidR="001570B9">
        <w:rPr>
          <w:rFonts w:eastAsia="Calibri"/>
        </w:rPr>
        <w:t xml:space="preserve">Even while supporting the proposed extension of Component 1, however, many commenters questioned the accuracy of the Component 1 estimated burden calculation </w:t>
      </w:r>
      <w:r w:rsidR="001570B9">
        <w:rPr>
          <w:rFonts w:eastAsia="Calibri"/>
        </w:rPr>
        <w:t xml:space="preserve">as </w:t>
      </w:r>
      <w:r w:rsidRPr="0045194C" w:rsidR="001570B9">
        <w:rPr>
          <w:rFonts w:eastAsia="Calibri"/>
        </w:rPr>
        <w:t xml:space="preserve">set forth in the 60-Day Notice.  Some of these commenters stated that the EEOC’s higher burden estimate for Component 1 still underestimates the </w:t>
      </w:r>
      <w:r w:rsidRPr="0045194C" w:rsidR="001570B9">
        <w:rPr>
          <w:rFonts w:eastAsia="Calibri"/>
        </w:rPr>
        <w:lastRenderedPageBreak/>
        <w:t>actual employer burden.  Notwithstanding this concern about the accuracy of the burden estimates</w:t>
      </w:r>
      <w:r w:rsidRPr="00363512" w:rsidR="001570B9">
        <w:rPr>
          <w:rFonts w:eastAsia="Calibri"/>
        </w:rPr>
        <w:t>, these commenters concluded that the utility of the Component 1 collection continues to justify the burden.</w:t>
      </w:r>
      <w:r w:rsidRPr="0045194C" w:rsidR="001570B9">
        <w:rPr>
          <w:rFonts w:eastAsia="Calibri"/>
        </w:rPr>
        <w:t xml:space="preserve">  Other commenters stated that the estimated burden for Component 1 set forth in the 60-Day </w:t>
      </w:r>
      <w:r w:rsidR="001570B9">
        <w:rPr>
          <w:rFonts w:eastAsia="Calibri"/>
        </w:rPr>
        <w:t>N</w:t>
      </w:r>
      <w:r w:rsidRPr="0045194C" w:rsidR="001570B9">
        <w:rPr>
          <w:rFonts w:eastAsia="Calibri"/>
        </w:rPr>
        <w:t xml:space="preserve">otice overstated the burden on employers.  These commenters nonetheless supported the EEOC’s proposal to continue collecting Component 1 data. </w:t>
      </w:r>
    </w:p>
    <w:p w:rsidR="0004680D" w:rsidP="001570B9" w:rsidRDefault="001570B9" w14:paraId="364A0873" w14:textId="57944E0B">
      <w:pPr>
        <w:autoSpaceDE w:val="0"/>
        <w:autoSpaceDN w:val="0"/>
        <w:adjustRightInd w:val="0"/>
        <w:spacing w:before="120" w:after="120"/>
        <w:rPr>
          <w:rFonts w:eastAsia="Calibri"/>
        </w:rPr>
      </w:pPr>
      <w:r w:rsidRPr="0045194C">
        <w:rPr>
          <w:rFonts w:eastAsia="Calibri"/>
        </w:rPr>
        <w:t xml:space="preserve">A small number of commenters suggested changes to </w:t>
      </w:r>
      <w:r>
        <w:rPr>
          <w:rFonts w:eastAsia="Calibri"/>
        </w:rPr>
        <w:t xml:space="preserve">the </w:t>
      </w:r>
      <w:r w:rsidRPr="0045194C">
        <w:rPr>
          <w:rFonts w:eastAsia="Calibri"/>
        </w:rPr>
        <w:t xml:space="preserve">Component 1 data collection.  Two commenters, </w:t>
      </w:r>
      <w:r w:rsidR="00355BEC">
        <w:rPr>
          <w:rFonts w:eastAsia="Calibri"/>
        </w:rPr>
        <w:t xml:space="preserve">both of which are </w:t>
      </w:r>
      <w:r w:rsidRPr="0045194C">
        <w:rPr>
          <w:rFonts w:eastAsia="Calibri"/>
        </w:rPr>
        <w:t>firms that assist clients with EEO-1 reporting, suggested the EEOC should consider implementing changes that would facilitate the reporting of gender for non-binary employees.</w:t>
      </w:r>
      <w:r w:rsidR="00745B76">
        <w:rPr>
          <w:rFonts w:eastAsia="Calibri"/>
        </w:rPr>
        <w:t xml:space="preserve">  </w:t>
      </w:r>
      <w:r w:rsidRPr="002D7385" w:rsidR="002D7385">
        <w:rPr>
          <w:rFonts w:eastAsia="Calibri"/>
        </w:rPr>
        <w:t xml:space="preserve">As part of </w:t>
      </w:r>
      <w:r w:rsidR="002D7385">
        <w:rPr>
          <w:rFonts w:eastAsia="Calibri"/>
        </w:rPr>
        <w:t>its</w:t>
      </w:r>
      <w:r w:rsidRPr="002D7385" w:rsidR="002D7385">
        <w:rPr>
          <w:rFonts w:eastAsia="Calibri"/>
        </w:rPr>
        <w:t xml:space="preserve"> larger EEO-1 modernization effort</w:t>
      </w:r>
      <w:r w:rsidR="00C06115">
        <w:rPr>
          <w:rFonts w:eastAsia="Calibri"/>
        </w:rPr>
        <w:t xml:space="preserve"> </w:t>
      </w:r>
      <w:r w:rsidR="00ED5FAB">
        <w:rPr>
          <w:rFonts w:eastAsia="Calibri"/>
        </w:rPr>
        <w:t>(</w:t>
      </w:r>
      <w:r w:rsidR="00A9569A">
        <w:rPr>
          <w:rFonts w:eastAsia="Calibri"/>
        </w:rPr>
        <w:t>see description below</w:t>
      </w:r>
      <w:r w:rsidR="00ED5FAB">
        <w:rPr>
          <w:rFonts w:eastAsia="Calibri"/>
        </w:rPr>
        <w:t>)</w:t>
      </w:r>
      <w:r w:rsidR="00A9569A">
        <w:rPr>
          <w:rFonts w:eastAsia="Calibri"/>
        </w:rPr>
        <w:t xml:space="preserve"> </w:t>
      </w:r>
      <w:r w:rsidRPr="002D7385" w:rsidR="002D7385">
        <w:rPr>
          <w:rFonts w:eastAsia="Calibri"/>
        </w:rPr>
        <w:t>the EEOC will consider and evaluate all data elements collected via the EEO-1 collection. The modernization will weigh whether the data</w:t>
      </w:r>
      <w:r w:rsidR="00ED5FAB">
        <w:rPr>
          <w:rFonts w:eastAsia="Calibri"/>
        </w:rPr>
        <w:t>,</w:t>
      </w:r>
      <w:r w:rsidRPr="002D7385" w:rsidR="002D7385">
        <w:rPr>
          <w:rFonts w:eastAsia="Calibri"/>
        </w:rPr>
        <w:t xml:space="preserve"> as currently collected</w:t>
      </w:r>
      <w:r w:rsidR="00ED5FAB">
        <w:rPr>
          <w:rFonts w:eastAsia="Calibri"/>
        </w:rPr>
        <w:t>,</w:t>
      </w:r>
      <w:r w:rsidRPr="002D7385" w:rsidR="002D7385">
        <w:rPr>
          <w:rFonts w:eastAsia="Calibri"/>
        </w:rPr>
        <w:t xml:space="preserve"> is statistically valid and relevant. This assessment will include data collected and reported on the personal characteristics of employees.</w:t>
      </w:r>
    </w:p>
    <w:p w:rsidRPr="002D7385" w:rsidR="002D7385" w:rsidP="002D7385" w:rsidRDefault="002D7385" w14:paraId="51330110" w14:textId="77777777">
      <w:pPr>
        <w:autoSpaceDE w:val="0"/>
        <w:autoSpaceDN w:val="0"/>
        <w:adjustRightInd w:val="0"/>
        <w:spacing w:before="120" w:after="120"/>
        <w:rPr>
          <w:rFonts w:eastAsia="Calibri"/>
        </w:rPr>
      </w:pPr>
      <w:r w:rsidRPr="002D7385">
        <w:rPr>
          <w:rFonts w:eastAsia="Calibri"/>
        </w:rPr>
        <w:t>The few commenters who addressed the EEOC’s request for a separate OMB Control number for Component 1 supported this proposal.</w:t>
      </w:r>
    </w:p>
    <w:p w:rsidRPr="0045194C" w:rsidR="001570B9" w:rsidP="001570B9" w:rsidRDefault="00104305" w14:paraId="2CBCA21F" w14:textId="77777777">
      <w:pPr>
        <w:autoSpaceDE w:val="0"/>
        <w:autoSpaceDN w:val="0"/>
        <w:adjustRightInd w:val="0"/>
        <w:spacing w:before="120" w:after="120"/>
        <w:rPr>
          <w:rFonts w:eastAsia="Calibri"/>
        </w:rPr>
      </w:pPr>
      <w:r>
        <w:rPr>
          <w:rFonts w:eastAsia="Calibri"/>
        </w:rPr>
        <w:t>One</w:t>
      </w:r>
      <w:r w:rsidR="00745B76">
        <w:rPr>
          <w:rFonts w:eastAsia="Calibri"/>
        </w:rPr>
        <w:t xml:space="preserve"> </w:t>
      </w:r>
      <w:r w:rsidRPr="00392EAD" w:rsidR="00745B76">
        <w:rPr>
          <w:rFonts w:eastAsia="Calibri"/>
        </w:rPr>
        <w:t>commenter</w:t>
      </w:r>
      <w:r w:rsidR="00745B76">
        <w:rPr>
          <w:rFonts w:eastAsia="Calibri"/>
        </w:rPr>
        <w:t xml:space="preserve">, representing a consulting firm that assisted clients with Component 2 filings, suggested that the EEOC should discontinue the Component 1 collection in its entirety and argued that all the demographic data currently collected on Component 1 could be collected more efficiently </w:t>
      </w:r>
      <w:r w:rsidR="007306A6">
        <w:rPr>
          <w:rFonts w:eastAsia="Calibri"/>
        </w:rPr>
        <w:t>if</w:t>
      </w:r>
      <w:r w:rsidR="00745B76">
        <w:rPr>
          <w:rFonts w:eastAsia="Calibri"/>
        </w:rPr>
        <w:t xml:space="preserve"> the EEOC implemented only Component 2.</w:t>
      </w:r>
      <w:r w:rsidR="000568BD">
        <w:rPr>
          <w:rFonts w:eastAsia="Calibri"/>
        </w:rPr>
        <w:t xml:space="preserve">  </w:t>
      </w:r>
      <w:r w:rsidRPr="0045194C" w:rsidR="001570B9">
        <w:rPr>
          <w:rFonts w:eastAsia="Calibri"/>
        </w:rPr>
        <w:t xml:space="preserve">  </w:t>
      </w:r>
    </w:p>
    <w:p w:rsidR="00D22D3B" w:rsidP="00A45E96" w:rsidRDefault="00190288" w14:paraId="5BA45AE6" w14:textId="7F7AEA23">
      <w:r>
        <w:t xml:space="preserve">The </w:t>
      </w:r>
      <w:r w:rsidR="00F24DD6">
        <w:t xml:space="preserve">EEOC has been in consultation with </w:t>
      </w:r>
      <w:r w:rsidR="009448A3">
        <w:t xml:space="preserve">OMB </w:t>
      </w:r>
      <w:r w:rsidR="00F24DD6">
        <w:t>regarding the full implementation of Directive 15</w:t>
      </w:r>
      <w:r w:rsidR="001B520B">
        <w:rPr>
          <w:rStyle w:val="FootnoteReference"/>
        </w:rPr>
        <w:footnoteReference w:id="20"/>
      </w:r>
      <w:r w:rsidR="00F24DD6">
        <w:t xml:space="preserve"> and the 1997 Revised Standards for Data on Race and Ethnicity.</w:t>
      </w:r>
      <w:r w:rsidR="003E4A05">
        <w:rPr>
          <w:rStyle w:val="FootnoteReference"/>
        </w:rPr>
        <w:footnoteReference w:id="21"/>
      </w:r>
      <w:r w:rsidR="00F24DD6">
        <w:t xml:space="preserve"> </w:t>
      </w:r>
      <w:r w:rsidR="00355BEC">
        <w:t xml:space="preserve"> </w:t>
      </w:r>
      <w:r w:rsidR="00F24DD6">
        <w:t xml:space="preserve">In the fall of 2018, </w:t>
      </w:r>
      <w:r>
        <w:t xml:space="preserve">the </w:t>
      </w:r>
      <w:r w:rsidR="00F24DD6">
        <w:t>EEOC began an evaluation project to modernize the EEO-1 and other EEO Surveys</w:t>
      </w:r>
      <w:r w:rsidR="00D96984">
        <w:t xml:space="preserve"> (EEO-1 modernization effort)</w:t>
      </w:r>
      <w:r w:rsidR="00F24DD6">
        <w:t xml:space="preserve">. As part of this effort, alternatives to the current EEO-1 will be </w:t>
      </w:r>
      <w:r w:rsidR="00F55457">
        <w:t>explored</w:t>
      </w:r>
      <w:r w:rsidR="00F24DD6">
        <w:t xml:space="preserve">. The project is scheduled to conclude by 2022 </w:t>
      </w:r>
      <w:r w:rsidR="000E68B1">
        <w:t xml:space="preserve">and will include </w:t>
      </w:r>
      <w:r w:rsidR="00F24DD6">
        <w:t xml:space="preserve">stakeholder </w:t>
      </w:r>
      <w:r w:rsidR="00892924">
        <w:t>engagement</w:t>
      </w:r>
      <w:r w:rsidR="000E68B1">
        <w:t xml:space="preserve">. </w:t>
      </w:r>
      <w:r w:rsidR="00892924">
        <w:t xml:space="preserve"> Any consideration of changes to the EEO-1 will also be communicated via the Federal Register so the public may </w:t>
      </w:r>
      <w:r w:rsidR="00892924">
        <w:lastRenderedPageBreak/>
        <w:t>comment.</w:t>
      </w:r>
      <w:r w:rsidR="00CA035A">
        <w:t xml:space="preserve"> </w:t>
      </w:r>
      <w:r w:rsidR="00D22D3B">
        <w:t xml:space="preserve">This </w:t>
      </w:r>
      <w:r w:rsidR="00F55457">
        <w:t>Information Collection Review (</w:t>
      </w:r>
      <w:r w:rsidR="00D22D3B">
        <w:t>ICR</w:t>
      </w:r>
      <w:r w:rsidR="00F55457">
        <w:t>)</w:t>
      </w:r>
      <w:r w:rsidR="00D22D3B">
        <w:t xml:space="preserve"> request leaves intact the race and ethnicity categories that have been used on the EEO-1 since 2006 until the evaluation is completed and stakeholder input on forthcoming alternatives to the EEO-1 report have been received. </w:t>
      </w:r>
    </w:p>
    <w:p w:rsidR="003C77AD" w:rsidP="000B732F" w:rsidRDefault="003C77AD" w14:paraId="4B400903" w14:textId="77777777">
      <w:pPr>
        <w:ind w:left="720"/>
      </w:pPr>
    </w:p>
    <w:p w:rsidR="00AB1F4A" w:rsidP="00F96FE2" w:rsidRDefault="007C3EC4" w14:paraId="72A6A1A9" w14:textId="77777777">
      <w:pPr>
        <w:autoSpaceDE w:val="0"/>
        <w:autoSpaceDN w:val="0"/>
        <w:adjustRightInd w:val="0"/>
      </w:pPr>
      <w:r>
        <w:t>9</w:t>
      </w:r>
      <w:r w:rsidRPr="00E159FD" w:rsidR="001B6AC1">
        <w:t xml:space="preserve">. </w:t>
      </w:r>
      <w:r w:rsidRPr="00E159FD" w:rsidR="00A77E4E">
        <w:t xml:space="preserve">  </w:t>
      </w:r>
      <w:r w:rsidRPr="00E159FD" w:rsidR="001335F6">
        <w:tab/>
      </w:r>
      <w:r w:rsidRPr="00813366" w:rsidR="00AB1F4A">
        <w:rPr>
          <w:u w:val="single"/>
        </w:rPr>
        <w:t>Gifts or payments</w:t>
      </w:r>
    </w:p>
    <w:p w:rsidR="00814532" w:rsidP="00AB062D" w:rsidRDefault="00644360" w14:paraId="7D94CDF9" w14:textId="77777777">
      <w:pPr>
        <w:autoSpaceDE w:val="0"/>
        <w:autoSpaceDN w:val="0"/>
        <w:adjustRightInd w:val="0"/>
      </w:pPr>
      <w:r>
        <w:t>No gifts or payments will be provided to respondents in</w:t>
      </w:r>
      <w:r w:rsidR="00B66AB8">
        <w:t xml:space="preserve"> </w:t>
      </w:r>
      <w:r>
        <w:t>connection with this information collection</w:t>
      </w:r>
      <w:r w:rsidRPr="00231365" w:rsidR="005756C5">
        <w:t>.</w:t>
      </w:r>
    </w:p>
    <w:p w:rsidRPr="00E159FD" w:rsidR="007B26F3" w:rsidP="000B732F" w:rsidRDefault="007B26F3" w14:paraId="50AEB3C8" w14:textId="77777777">
      <w:pPr>
        <w:autoSpaceDE w:val="0"/>
        <w:autoSpaceDN w:val="0"/>
        <w:adjustRightInd w:val="0"/>
      </w:pPr>
    </w:p>
    <w:p w:rsidR="00AB1F4A" w:rsidP="009465EE" w:rsidRDefault="007C3EC4" w14:paraId="5933CFE7" w14:textId="77777777">
      <w:pPr>
        <w:keepNext/>
        <w:autoSpaceDE w:val="0"/>
        <w:autoSpaceDN w:val="0"/>
        <w:adjustRightInd w:val="0"/>
        <w:ind w:left="720" w:hanging="720"/>
        <w:rPr>
          <w:u w:val="single"/>
        </w:rPr>
      </w:pPr>
      <w:r>
        <w:t>10</w:t>
      </w:r>
      <w:r w:rsidRPr="00E159FD" w:rsidR="001B6AC1">
        <w:t xml:space="preserve">. </w:t>
      </w:r>
      <w:r w:rsidRPr="00E159FD" w:rsidR="00A77E4E">
        <w:t xml:space="preserve">  </w:t>
      </w:r>
      <w:r w:rsidRPr="00E159FD" w:rsidR="001335F6">
        <w:tab/>
      </w:r>
      <w:r w:rsidRPr="00F96FE2" w:rsidR="00AB1F4A">
        <w:rPr>
          <w:u w:val="single"/>
        </w:rPr>
        <w:t>Confidentiality of information</w:t>
      </w:r>
    </w:p>
    <w:p w:rsidR="00745B76" w:rsidP="009465EE" w:rsidRDefault="00745B76" w14:paraId="33BBBF5D" w14:textId="77777777">
      <w:pPr>
        <w:keepNext/>
        <w:autoSpaceDE w:val="0"/>
        <w:autoSpaceDN w:val="0"/>
        <w:adjustRightInd w:val="0"/>
        <w:ind w:left="720" w:hanging="720"/>
      </w:pPr>
    </w:p>
    <w:p w:rsidRPr="002679A8" w:rsidR="00392E49" w:rsidP="00AB062D" w:rsidRDefault="00392E49" w14:paraId="44A92295" w14:textId="77777777">
      <w:pPr>
        <w:keepNext/>
        <w:keepLines/>
        <w:autoSpaceDE w:val="0"/>
        <w:autoSpaceDN w:val="0"/>
        <w:adjustRightInd w:val="0"/>
        <w:rPr>
          <w:i/>
        </w:rPr>
      </w:pPr>
      <w:r w:rsidRPr="002679A8">
        <w:rPr>
          <w:i/>
        </w:rPr>
        <w:t>Confidentiality</w:t>
      </w:r>
    </w:p>
    <w:p w:rsidR="00581F53" w:rsidP="002679A8" w:rsidRDefault="00814532" w14:paraId="27A09921" w14:textId="77777777">
      <w:pPr>
        <w:keepNext/>
        <w:keepLines/>
        <w:autoSpaceDE w:val="0"/>
        <w:autoSpaceDN w:val="0"/>
        <w:adjustRightInd w:val="0"/>
      </w:pPr>
      <w:r w:rsidRPr="00231365">
        <w:t xml:space="preserve">All reports and </w:t>
      </w:r>
      <w:r w:rsidR="00CD736C">
        <w:t xml:space="preserve">any </w:t>
      </w:r>
      <w:r w:rsidRPr="00231365">
        <w:t>information from individual reports are subject to the confidentiality provisions of Section 709(e) of Title VII</w:t>
      </w:r>
      <w:r w:rsidR="007D7E7C">
        <w:rPr>
          <w:rStyle w:val="FootnoteReference"/>
        </w:rPr>
        <w:footnoteReference w:id="22"/>
      </w:r>
      <w:r w:rsidRPr="00231365">
        <w:t xml:space="preserve"> and may not be made public by </w:t>
      </w:r>
      <w:r w:rsidR="00CD736C">
        <w:t xml:space="preserve">the </w:t>
      </w:r>
      <w:r w:rsidRPr="00231365">
        <w:t>EEOC prior to the institution of any proceeding under Title VII</w:t>
      </w:r>
      <w:r w:rsidR="00DF09DD">
        <w:t xml:space="preserve"> involving the EEO-1 data</w:t>
      </w:r>
      <w:r w:rsidRPr="00231365">
        <w:t xml:space="preserve">. </w:t>
      </w:r>
      <w:r w:rsidRPr="00231365" w:rsidR="001335F6">
        <w:t xml:space="preserve"> </w:t>
      </w:r>
      <w:r w:rsidR="00F473DC">
        <w:t>Any EEOC employee</w:t>
      </w:r>
      <w:r w:rsidRPr="00FF3653" w:rsidR="00FF3653">
        <w:t xml:space="preserve"> </w:t>
      </w:r>
      <w:r w:rsidR="00D43E81">
        <w:t>who</w:t>
      </w:r>
      <w:r w:rsidRPr="00FF3653" w:rsidR="00D43E81">
        <w:t xml:space="preserve"> </w:t>
      </w:r>
      <w:r w:rsidRPr="00FF3653" w:rsidR="00FF3653">
        <w:t>violate</w:t>
      </w:r>
      <w:r w:rsidR="00F473DC">
        <w:t>s</w:t>
      </w:r>
      <w:r w:rsidR="00FF3653">
        <w:t xml:space="preserve"> </w:t>
      </w:r>
      <w:r w:rsidRPr="00FF3653" w:rsidR="00FF3653">
        <w:t xml:space="preserve">this prohibition </w:t>
      </w:r>
      <w:r w:rsidR="00197A98">
        <w:t>may be found</w:t>
      </w:r>
      <w:r w:rsidRPr="00FF3653" w:rsidR="00FF3653">
        <w:t xml:space="preserve"> guilty of a criminal</w:t>
      </w:r>
      <w:r w:rsidR="00FF3653">
        <w:t xml:space="preserve"> </w:t>
      </w:r>
      <w:r w:rsidRPr="00FF3653" w:rsidR="00FF3653">
        <w:t xml:space="preserve">misdemeanor and </w:t>
      </w:r>
      <w:r w:rsidR="00197A98">
        <w:t>could</w:t>
      </w:r>
      <w:r w:rsidRPr="00FF3653" w:rsidR="00FF3653">
        <w:t xml:space="preserve"> be</w:t>
      </w:r>
      <w:r w:rsidR="00FF3653">
        <w:t xml:space="preserve"> fined or</w:t>
      </w:r>
      <w:r w:rsidRPr="00FF3653" w:rsidR="00FF3653">
        <w:t xml:space="preserve"> imprisoned</w:t>
      </w:r>
      <w:r w:rsidR="00FF3653">
        <w:t xml:space="preserve">.  </w:t>
      </w:r>
      <w:r w:rsidR="00CD736C">
        <w:t xml:space="preserve">The </w:t>
      </w:r>
      <w:r w:rsidR="00FF3653">
        <w:t xml:space="preserve">confidentiality requirements allow the </w:t>
      </w:r>
      <w:r w:rsidR="00A221A1">
        <w:t xml:space="preserve">EEOC </w:t>
      </w:r>
      <w:r w:rsidR="00FF3653">
        <w:t xml:space="preserve">to </w:t>
      </w:r>
      <w:r w:rsidR="00A221A1">
        <w:t xml:space="preserve">publish </w:t>
      </w:r>
      <w:r w:rsidR="00FF3653">
        <w:t xml:space="preserve">only </w:t>
      </w:r>
      <w:r w:rsidRPr="00231365">
        <w:t>aggregate</w:t>
      </w:r>
      <w:r w:rsidR="00A221A1">
        <w:t>d</w:t>
      </w:r>
      <w:r w:rsidRPr="00231365">
        <w:t xml:space="preserve"> data</w:t>
      </w:r>
      <w:r w:rsidR="00FF3653">
        <w:t>, and</w:t>
      </w:r>
      <w:r w:rsidR="00A221A1">
        <w:t xml:space="preserve"> only </w:t>
      </w:r>
      <w:r w:rsidRPr="00231365">
        <w:t>in a</w:t>
      </w:r>
      <w:r w:rsidR="007B26F3">
        <w:t xml:space="preserve"> manner</w:t>
      </w:r>
      <w:r w:rsidRPr="00231365">
        <w:t xml:space="preserve"> </w:t>
      </w:r>
      <w:r w:rsidR="00A221A1">
        <w:t>that does not</w:t>
      </w:r>
      <w:r w:rsidRPr="00231365">
        <w:t xml:space="preserve"> </w:t>
      </w:r>
      <w:r w:rsidR="002D53DC">
        <w:t>identify</w:t>
      </w:r>
      <w:r w:rsidRPr="00231365" w:rsidR="002D53DC">
        <w:t xml:space="preserve"> </w:t>
      </w:r>
      <w:r w:rsidRPr="00231365">
        <w:t xml:space="preserve">any particular </w:t>
      </w:r>
      <w:r w:rsidR="00504AC8">
        <w:t xml:space="preserve">filer </w:t>
      </w:r>
      <w:r w:rsidR="00773DD6">
        <w:t xml:space="preserve">or </w:t>
      </w:r>
      <w:r w:rsidR="002D53DC">
        <w:t xml:space="preserve">reveal </w:t>
      </w:r>
      <w:r w:rsidR="004505CE">
        <w:t xml:space="preserve">any </w:t>
      </w:r>
      <w:r w:rsidR="00773DD6">
        <w:t>individual employee’s</w:t>
      </w:r>
      <w:r w:rsidR="00D3758F">
        <w:t xml:space="preserve"> personal</w:t>
      </w:r>
      <w:r w:rsidR="00773DD6">
        <w:t xml:space="preserve"> </w:t>
      </w:r>
      <w:r w:rsidR="00A221A1">
        <w:t>information</w:t>
      </w:r>
      <w:r w:rsidRPr="00231365">
        <w:t xml:space="preserve">. </w:t>
      </w:r>
      <w:r w:rsidRPr="00231365" w:rsidR="00FE4FFB">
        <w:t xml:space="preserve"> </w:t>
      </w:r>
    </w:p>
    <w:p w:rsidR="001B2851" w:rsidP="002679A8" w:rsidRDefault="001B2851" w14:paraId="571F4926" w14:textId="77777777">
      <w:pPr>
        <w:keepNext/>
        <w:keepLines/>
        <w:autoSpaceDE w:val="0"/>
        <w:autoSpaceDN w:val="0"/>
        <w:adjustRightInd w:val="0"/>
      </w:pPr>
    </w:p>
    <w:p w:rsidR="001B2851" w:rsidP="002679A8" w:rsidRDefault="001B2851" w14:paraId="66461F8D" w14:textId="12F4C15D">
      <w:pPr>
        <w:keepNext/>
        <w:keepLines/>
        <w:autoSpaceDE w:val="0"/>
        <w:autoSpaceDN w:val="0"/>
        <w:adjustRightInd w:val="0"/>
      </w:pPr>
      <w:r w:rsidRPr="00806945">
        <w:t xml:space="preserve">The EEOC directly imposes this Title VII confidentiality requirement on all of its contractors, including contract workers and contractor companies, as a condition of their contracts.  With respect to other federal agencies </w:t>
      </w:r>
      <w:r w:rsidR="00E15F27">
        <w:t>with</w:t>
      </w:r>
      <w:r w:rsidRPr="00806945" w:rsidR="00E15F27">
        <w:t xml:space="preserve"> </w:t>
      </w:r>
      <w:r w:rsidRPr="00806945">
        <w:t xml:space="preserve">a legitimate law enforcement </w:t>
      </w:r>
      <w:r>
        <w:t>purpose</w:t>
      </w:r>
      <w:r w:rsidRPr="00806945">
        <w:t xml:space="preserve">, the EEOC gives access to information collected under Title VII </w:t>
      </w:r>
      <w:r w:rsidRPr="0020253F">
        <w:rPr>
          <w:i/>
        </w:rPr>
        <w:t>only</w:t>
      </w:r>
      <w:r w:rsidRPr="00806945">
        <w:t xml:space="preserve"> if the agencies agree, by letter or memorandum of understanding, to comply with the confidentiality provisions of Title VII.</w:t>
      </w:r>
    </w:p>
    <w:p w:rsidRPr="00C80B39" w:rsidR="00FB3E18" w:rsidP="002679A8" w:rsidRDefault="00FB3E18" w14:paraId="2B3561E1" w14:textId="77777777">
      <w:pPr>
        <w:autoSpaceDE w:val="0"/>
        <w:autoSpaceDN w:val="0"/>
        <w:adjustRightInd w:val="0"/>
      </w:pPr>
    </w:p>
    <w:p w:rsidRPr="00C80B39" w:rsidR="005D706E" w:rsidP="00AB062D" w:rsidRDefault="006558C7" w14:paraId="39F8BFAB" w14:textId="520BA5E5">
      <w:pPr>
        <w:autoSpaceDE w:val="0"/>
        <w:autoSpaceDN w:val="0"/>
        <w:adjustRightInd w:val="0"/>
      </w:pPr>
      <w:r>
        <w:t xml:space="preserve">With respect to data-sharing with </w:t>
      </w:r>
      <w:r w:rsidRPr="00806945">
        <w:t>state and local fair employment practices agencies (FEPAs)</w:t>
      </w:r>
      <w:r>
        <w:t>, t</w:t>
      </w:r>
      <w:r w:rsidRPr="00806945" w:rsidR="00CD4B58">
        <w:t xml:space="preserve">he </w:t>
      </w:r>
      <w:bookmarkStart w:name="_Hlk28606633" w:id="9"/>
      <w:r w:rsidRPr="00806945" w:rsidR="00CD4B58">
        <w:t xml:space="preserve">text of Title VII itself states that the EEOC may only give FEPAs information (including EEO-1 data) about employers in their jurisdiction on the condition that they </w:t>
      </w:r>
      <w:r w:rsidRPr="00806945" w:rsidR="00CD4B58">
        <w:rPr>
          <w:i/>
        </w:rPr>
        <w:t>not</w:t>
      </w:r>
      <w:r w:rsidRPr="00806945" w:rsidR="00CD4B58">
        <w:t xml:space="preserve"> make it public</w:t>
      </w:r>
      <w:r w:rsidR="00CD4B58">
        <w:t xml:space="preserve"> prior to the institution of a proceeding under state or local law involving such information</w:t>
      </w:r>
      <w:r w:rsidRPr="00806945" w:rsidR="00CD4B58">
        <w:t>.</w:t>
      </w:r>
      <w:r w:rsidRPr="00806945" w:rsidR="00CD4B58">
        <w:rPr>
          <w:vertAlign w:val="superscript"/>
        </w:rPr>
        <w:footnoteReference w:id="23"/>
      </w:r>
      <w:r w:rsidRPr="00806945" w:rsidR="00CD4B58">
        <w:t xml:space="preserve">  </w:t>
      </w:r>
      <w:r w:rsidR="00CD4B58">
        <w:t>T</w:t>
      </w:r>
      <w:r w:rsidRPr="000512C6" w:rsidR="00CD4B58">
        <w:t xml:space="preserve">he </w:t>
      </w:r>
      <w:r w:rsidRPr="00834C7F" w:rsidR="00CD4B58">
        <w:t>EEOC’s current practice is</w:t>
      </w:r>
      <w:r w:rsidRPr="000512C6" w:rsidR="00CD4B58">
        <w:t xml:space="preserve"> to share EEO-1 data with a </w:t>
      </w:r>
      <w:r w:rsidR="00CD4B58">
        <w:t xml:space="preserve">contracted </w:t>
      </w:r>
      <w:r w:rsidRPr="000512C6" w:rsidR="00CD4B58">
        <w:t>FEPA only upon request and to share only EEO-1 data for an employer within the FEPA’s jurisdiction and only when that employer is a respondent to a particular charge of discrimination cited by the FEPA in its data request</w:t>
      </w:r>
      <w:bookmarkEnd w:id="9"/>
      <w:r w:rsidRPr="000512C6" w:rsidR="00CD4B58">
        <w:t>.</w:t>
      </w:r>
      <w:r w:rsidR="00CD4B58">
        <w:t xml:space="preserve">  Title VII authorizes the </w:t>
      </w:r>
      <w:r w:rsidR="00CD4B58">
        <w:lastRenderedPageBreak/>
        <w:t>EEOC to decline to honor a FEPA’s subsequent requests for information if the FEPA violates Title VII’s confidentiality requirements</w:t>
      </w:r>
      <w:r w:rsidR="009543E8">
        <w:t xml:space="preserve">.  </w:t>
      </w:r>
    </w:p>
    <w:p w:rsidR="0039217C" w:rsidP="00ED5FAB" w:rsidRDefault="0039217C" w14:paraId="7D168C23" w14:textId="77777777">
      <w:pPr>
        <w:autoSpaceDE w:val="0"/>
        <w:autoSpaceDN w:val="0"/>
        <w:adjustRightInd w:val="0"/>
      </w:pPr>
    </w:p>
    <w:p w:rsidRPr="002679A8" w:rsidR="0011787B" w:rsidP="002679A8" w:rsidRDefault="00392E49" w14:paraId="650B1718" w14:textId="77777777">
      <w:pPr>
        <w:autoSpaceDE w:val="0"/>
        <w:autoSpaceDN w:val="0"/>
        <w:adjustRightInd w:val="0"/>
        <w:rPr>
          <w:i/>
        </w:rPr>
      </w:pPr>
      <w:r w:rsidRPr="002679A8">
        <w:rPr>
          <w:i/>
        </w:rPr>
        <w:t>Security</w:t>
      </w:r>
    </w:p>
    <w:p w:rsidR="006319C3" w:rsidP="002679A8" w:rsidRDefault="00E20009" w14:paraId="7581E1A3" w14:textId="77777777">
      <w:pPr>
        <w:autoSpaceDE w:val="0"/>
        <w:autoSpaceDN w:val="0"/>
        <w:adjustRightInd w:val="0"/>
      </w:pPr>
      <w:r>
        <w:t xml:space="preserve">The </w:t>
      </w:r>
      <w:r w:rsidRPr="00F0408F">
        <w:t>EEOC</w:t>
      </w:r>
      <w:r>
        <w:t>’</w:t>
      </w:r>
      <w:r w:rsidRPr="00F0408F">
        <w:t xml:space="preserve">s </w:t>
      </w:r>
      <w:r w:rsidRPr="00F0408F" w:rsidR="006319C3">
        <w:t>information systems (including data ext</w:t>
      </w:r>
      <w:r w:rsidR="00D97275">
        <w:t>r</w:t>
      </w:r>
      <w:r w:rsidRPr="00F0408F" w:rsidR="006319C3">
        <w:t>acted from those systems and maintained by contractors)</w:t>
      </w:r>
      <w:r w:rsidR="00C31809">
        <w:t xml:space="preserve"> as overseen by the Office of Information Technology</w:t>
      </w:r>
      <w:r w:rsidRPr="00F0408F" w:rsidR="006319C3">
        <w:t xml:space="preserve"> are categorized at the Federal Information Processing Standards (</w:t>
      </w:r>
      <w:hyperlink w:history="1" r:id="rId12">
        <w:r w:rsidRPr="00F0408F" w:rsidR="006319C3">
          <w:rPr>
            <w:rStyle w:val="Hyperlink"/>
          </w:rPr>
          <w:t>FIPS 199</w:t>
        </w:r>
      </w:hyperlink>
      <w:r w:rsidRPr="00F0408F" w:rsidR="006319C3">
        <w:t>) level of “Moderate.”  As defined in the Federal Information Security Modernization Act of 2014</w:t>
      </w:r>
      <w:r w:rsidR="00D71443">
        <w:t>,</w:t>
      </w:r>
      <w:r w:rsidR="008E64A7">
        <w:rPr>
          <w:rStyle w:val="FootnoteReference"/>
        </w:rPr>
        <w:footnoteReference w:id="24"/>
      </w:r>
      <w:r w:rsidR="00D71443">
        <w:t xml:space="preserve"> </w:t>
      </w:r>
      <w:r w:rsidR="00C10DB8">
        <w:t>i</w:t>
      </w:r>
      <w:r w:rsidRPr="00F0408F" w:rsidR="006319C3">
        <w:t>nformation systems used or operated by an agency or by a contractor of an agency are required by statute to provide information security protections commensurate with the risk and magnitude of the harm resulting from unauthorized access, use, disclosure, disruption, modification, or destruction of the information.</w:t>
      </w:r>
    </w:p>
    <w:p w:rsidRPr="00E7035F" w:rsidR="006319C3" w:rsidP="002679A8" w:rsidRDefault="006319C3" w14:paraId="12BA15F7" w14:textId="77777777">
      <w:pPr>
        <w:autoSpaceDE w:val="0"/>
        <w:autoSpaceDN w:val="0"/>
        <w:adjustRightInd w:val="0"/>
        <w:rPr>
          <w:u w:val="single"/>
        </w:rPr>
      </w:pPr>
    </w:p>
    <w:p w:rsidRPr="00A45E96" w:rsidR="00C140F7" w:rsidP="002679A8" w:rsidRDefault="00C140F7" w14:paraId="07E96001" w14:textId="08333EDB">
      <w:pPr>
        <w:tabs>
          <w:tab w:val="left" w:pos="1440"/>
          <w:tab w:val="left" w:pos="5040"/>
          <w:tab w:val="left" w:pos="7200"/>
        </w:tabs>
      </w:pPr>
      <w:r w:rsidRPr="00A45E96">
        <w:t>The confidentiality provisions of Title VII prohibit disclosure of any charge, charge-related</w:t>
      </w:r>
      <w:r w:rsidR="00717709">
        <w:t xml:space="preserve"> information</w:t>
      </w:r>
      <w:r w:rsidRPr="00A45E96">
        <w:t>, or EEO survey information</w:t>
      </w:r>
      <w:r w:rsidR="0019207E">
        <w:t>, except under the conditions</w:t>
      </w:r>
      <w:r w:rsidR="000F41D5">
        <w:t xml:space="preserve"> outlined in the “Confidentiality of information” section above</w:t>
      </w:r>
      <w:r w:rsidRPr="00A45E96">
        <w:t xml:space="preserve">. </w:t>
      </w:r>
      <w:r w:rsidR="00095729">
        <w:t xml:space="preserve"> </w:t>
      </w:r>
      <w:r w:rsidR="005164DA">
        <w:t>Both project staff and the EEO-1 data collection agent</w:t>
      </w:r>
      <w:r w:rsidR="00037328">
        <w:t xml:space="preserve"> staff</w:t>
      </w:r>
      <w:r w:rsidR="00814A4F">
        <w:t>, i.e. the contractor who is collecting EEO-1 data on the behalf of the EEOC,</w:t>
      </w:r>
      <w:r w:rsidR="0050359A">
        <w:t xml:space="preserve"> </w:t>
      </w:r>
      <w:r w:rsidR="00037328">
        <w:t>who have access to</w:t>
      </w:r>
      <w:r w:rsidR="00525A4A">
        <w:t xml:space="preserve"> the</w:t>
      </w:r>
      <w:r w:rsidR="00037328">
        <w:t xml:space="preserve"> EEOC records</w:t>
      </w:r>
      <w:r w:rsidRPr="00A45E96">
        <w:t xml:space="preserve"> will not disclose</w:t>
      </w:r>
      <w:r w:rsidR="003A6240">
        <w:t xml:space="preserve"> any confidential information</w:t>
      </w:r>
      <w:r w:rsidRPr="00A45E96">
        <w:t xml:space="preserve"> and will only use</w:t>
      </w:r>
      <w:r w:rsidR="003A6240">
        <w:t xml:space="preserve"> such information </w:t>
      </w:r>
      <w:r w:rsidR="00221A8B">
        <w:t>in</w:t>
      </w:r>
      <w:r w:rsidRPr="00A45E96">
        <w:t xml:space="preserve"> the performance of their </w:t>
      </w:r>
      <w:r w:rsidR="00221A8B">
        <w:t xml:space="preserve">project </w:t>
      </w:r>
      <w:r w:rsidRPr="00A45E96">
        <w:t xml:space="preserve">responsibilities </w:t>
      </w:r>
      <w:r w:rsidR="00221A8B">
        <w:t>and duties</w:t>
      </w:r>
      <w:r w:rsidRPr="00A45E96">
        <w:t xml:space="preserve">.  The </w:t>
      </w:r>
      <w:r w:rsidR="00037328">
        <w:t xml:space="preserve">data collection agent is </w:t>
      </w:r>
      <w:r w:rsidR="009A1516">
        <w:t>bound to</w:t>
      </w:r>
      <w:r w:rsidRPr="00A45E96">
        <w:t xml:space="preserve"> prevent the unauthorized release of information obtained by employees in the performance of work required by </w:t>
      </w:r>
      <w:r w:rsidR="009E167E">
        <w:t xml:space="preserve">the </w:t>
      </w:r>
      <w:r w:rsidR="009A1516">
        <w:t>EEO-1 data collection project</w:t>
      </w:r>
      <w:r w:rsidRPr="00A45E96">
        <w:t xml:space="preserve">.  </w:t>
      </w:r>
      <w:r w:rsidR="00714F8E">
        <w:t>All project staff</w:t>
      </w:r>
      <w:r w:rsidRPr="00A45E96">
        <w:t xml:space="preserve"> receive training, as necessary, on all regulations and laws that restrict the release of information.  </w:t>
      </w:r>
      <w:r w:rsidR="00525A4A">
        <w:t xml:space="preserve">The </w:t>
      </w:r>
      <w:r w:rsidRPr="00A45E96">
        <w:t xml:space="preserve">EEOC administrative and control files are the property of </w:t>
      </w:r>
      <w:r w:rsidR="00525A4A">
        <w:t xml:space="preserve">the </w:t>
      </w:r>
      <w:r w:rsidRPr="00A45E96">
        <w:t>EEOC and the information contained therein is protected under the Privacy Act</w:t>
      </w:r>
      <w:r w:rsidR="00724F17">
        <w:t xml:space="preserve"> of 1974</w:t>
      </w:r>
      <w:r w:rsidRPr="00A45E96">
        <w:t>.</w:t>
      </w:r>
      <w:r w:rsidR="00724F17">
        <w:rPr>
          <w:rStyle w:val="FootnoteReference"/>
        </w:rPr>
        <w:footnoteReference w:id="25"/>
      </w:r>
      <w:r w:rsidRPr="00A45E96">
        <w:t xml:space="preserve">  </w:t>
      </w:r>
    </w:p>
    <w:p w:rsidR="0082161C" w:rsidP="0082161C" w:rsidRDefault="0082161C" w14:paraId="1F14AD7A" w14:textId="77777777">
      <w:pPr>
        <w:autoSpaceDE w:val="0"/>
        <w:autoSpaceDN w:val="0"/>
        <w:adjustRightInd w:val="0"/>
      </w:pPr>
    </w:p>
    <w:p w:rsidR="00AB1F4A" w:rsidP="00BF2BEA" w:rsidRDefault="00231365" w14:paraId="774FF41D" w14:textId="77777777">
      <w:pPr>
        <w:keepNext/>
        <w:autoSpaceDE w:val="0"/>
        <w:autoSpaceDN w:val="0"/>
        <w:adjustRightInd w:val="0"/>
      </w:pPr>
      <w:r>
        <w:t>11.</w:t>
      </w:r>
      <w:r>
        <w:tab/>
      </w:r>
      <w:r w:rsidRPr="00813366" w:rsidR="00AB1F4A">
        <w:rPr>
          <w:u w:val="single"/>
        </w:rPr>
        <w:t xml:space="preserve">Questions of </w:t>
      </w:r>
      <w:r w:rsidR="00906074">
        <w:rPr>
          <w:u w:val="single"/>
        </w:rPr>
        <w:t xml:space="preserve">a </w:t>
      </w:r>
      <w:r w:rsidRPr="00813366" w:rsidR="00AB1F4A">
        <w:rPr>
          <w:u w:val="single"/>
        </w:rPr>
        <w:t>sensitive nature</w:t>
      </w:r>
    </w:p>
    <w:p w:rsidR="009D13EE" w:rsidP="002679A8" w:rsidRDefault="00E82219" w14:paraId="5154F1B9" w14:textId="77777777">
      <w:pPr>
        <w:autoSpaceDE w:val="0"/>
        <w:autoSpaceDN w:val="0"/>
        <w:adjustRightInd w:val="0"/>
      </w:pPr>
      <w:r>
        <w:t>Currently,</w:t>
      </w:r>
      <w:r w:rsidR="00231365">
        <w:t xml:space="preserve"> the EEO-1 report </w:t>
      </w:r>
      <w:r w:rsidR="00C93CE9">
        <w:t>tallies</w:t>
      </w:r>
      <w:r w:rsidR="00231365">
        <w:t xml:space="preserve"> </w:t>
      </w:r>
      <w:r w:rsidR="00C93CE9">
        <w:t xml:space="preserve">data about the </w:t>
      </w:r>
      <w:r w:rsidR="00930209">
        <w:t>sex, race</w:t>
      </w:r>
      <w:r w:rsidR="003F58B9">
        <w:t>,</w:t>
      </w:r>
      <w:r w:rsidR="00930209">
        <w:t xml:space="preserve"> and </w:t>
      </w:r>
      <w:r w:rsidR="00231365">
        <w:t xml:space="preserve">ethnicity </w:t>
      </w:r>
      <w:r w:rsidR="00C93CE9">
        <w:t xml:space="preserve">of the workforce </w:t>
      </w:r>
      <w:r w:rsidR="00231365">
        <w:t xml:space="preserve">by </w:t>
      </w:r>
      <w:r w:rsidR="00C93CE9">
        <w:t xml:space="preserve">EEO-1 </w:t>
      </w:r>
      <w:r w:rsidR="00231365">
        <w:t xml:space="preserve">job category.  </w:t>
      </w:r>
      <w:r w:rsidRPr="007A6EE4" w:rsidR="007A6EE4">
        <w:t xml:space="preserve">All information </w:t>
      </w:r>
      <w:r w:rsidR="00053927">
        <w:t xml:space="preserve">utilized for statistical purposes </w:t>
      </w:r>
      <w:r w:rsidRPr="007A6EE4" w:rsidR="007A6EE4">
        <w:t xml:space="preserve">will be reported in a summarized </w:t>
      </w:r>
      <w:r w:rsidR="00FB3D61">
        <w:t>manner</w:t>
      </w:r>
      <w:r w:rsidRPr="007A6EE4" w:rsidR="00FB3D61">
        <w:t xml:space="preserve"> </w:t>
      </w:r>
      <w:r w:rsidRPr="007A6EE4" w:rsidR="007A6EE4">
        <w:t xml:space="preserve">and no </w:t>
      </w:r>
      <w:r w:rsidR="001651E7">
        <w:t xml:space="preserve">information will be reported that would allow the identification of an individual </w:t>
      </w:r>
      <w:r w:rsidRPr="007A6EE4" w:rsidR="007A6EE4">
        <w:t>employee</w:t>
      </w:r>
      <w:r w:rsidR="00053927">
        <w:t xml:space="preserve"> or employer</w:t>
      </w:r>
      <w:r w:rsidRPr="007A6EE4" w:rsidR="007A6EE4">
        <w:t xml:space="preserve">. </w:t>
      </w:r>
    </w:p>
    <w:p w:rsidR="00231365" w:rsidP="000B732F" w:rsidRDefault="00231365" w14:paraId="42CA2358" w14:textId="77777777">
      <w:pPr>
        <w:autoSpaceDE w:val="0"/>
        <w:autoSpaceDN w:val="0"/>
        <w:adjustRightInd w:val="0"/>
      </w:pPr>
    </w:p>
    <w:p w:rsidR="00823F61" w:rsidP="007B26F3" w:rsidRDefault="009D13EE" w14:paraId="5FBAB857" w14:textId="77777777">
      <w:pPr>
        <w:autoSpaceDE w:val="0"/>
        <w:autoSpaceDN w:val="0"/>
        <w:adjustRightInd w:val="0"/>
        <w:ind w:left="720" w:hanging="720"/>
        <w:rPr>
          <w:u w:val="single"/>
        </w:rPr>
      </w:pPr>
      <w:r w:rsidRPr="00E159FD">
        <w:t>1</w:t>
      </w:r>
      <w:r>
        <w:t>2</w:t>
      </w:r>
      <w:r w:rsidRPr="00E159FD">
        <w:t xml:space="preserve">.   </w:t>
      </w:r>
      <w:r>
        <w:tab/>
      </w:r>
      <w:r w:rsidRPr="00813366" w:rsidR="00AB1F4A">
        <w:rPr>
          <w:u w:val="single"/>
        </w:rPr>
        <w:t>Information collection burden</w:t>
      </w:r>
    </w:p>
    <w:p w:rsidR="00F63CD4" w:rsidP="00F63CD4" w:rsidRDefault="00F63CD4" w14:paraId="193EC57D" w14:textId="77777777">
      <w:r w:rsidRPr="00EA760E">
        <w:lastRenderedPageBreak/>
        <w:t>The previous annual estimated burden for Component 1 under the 2016 clearance</w:t>
      </w:r>
      <w:r w:rsidRPr="00EA760E">
        <w:rPr>
          <w:rStyle w:val="FootnoteReference"/>
        </w:rPr>
        <w:footnoteReference w:id="26"/>
      </w:r>
      <w:r w:rsidR="00EF3217">
        <w:t xml:space="preserve"> </w:t>
      </w:r>
      <w:r w:rsidRPr="00EA760E">
        <w:t xml:space="preserve">was 1,952,146 hours. </w:t>
      </w:r>
      <w:r w:rsidR="00724F17">
        <w:t xml:space="preserve"> </w:t>
      </w:r>
      <w:r w:rsidRPr="00EA760E">
        <w:t xml:space="preserve">After reviewing the methodology used to calculate the 2016 burden for Component 1, </w:t>
      </w:r>
      <w:r w:rsidR="00724F17">
        <w:t>the EEOC</w:t>
      </w:r>
      <w:r w:rsidRPr="00EA760E" w:rsidR="00724F17">
        <w:t xml:space="preserve"> </w:t>
      </w:r>
      <w:r w:rsidRPr="00EA760E">
        <w:t xml:space="preserve">identified an approach </w:t>
      </w:r>
      <w:r w:rsidR="00724F17">
        <w:t xml:space="preserve">it </w:t>
      </w:r>
      <w:r w:rsidRPr="00EA760E">
        <w:t>believe</w:t>
      </w:r>
      <w:r w:rsidR="00724F17">
        <w:t>s</w:t>
      </w:r>
      <w:r w:rsidRPr="00EA760E">
        <w:t xml:space="preserve"> is substantially more precise. </w:t>
      </w:r>
    </w:p>
    <w:p w:rsidRPr="00EA760E" w:rsidR="00724F17" w:rsidP="00F63CD4" w:rsidRDefault="00724F17" w14:paraId="182B04C2" w14:textId="77777777"/>
    <w:p w:rsidR="00267AC7" w:rsidP="00F63CD4" w:rsidRDefault="00F63CD4" w14:paraId="456250BB" w14:textId="40DEC665">
      <w:r w:rsidRPr="00501EC5">
        <w:t xml:space="preserve">The methodology used in </w:t>
      </w:r>
      <w:r w:rsidR="00A16190">
        <w:t>the 30-Day Notice</w:t>
      </w:r>
      <w:r w:rsidRPr="00501EC5">
        <w:t xml:space="preserve"> to calculate the burden for Component 1 is to separate Type 1 (single establishment) and Type 2 (multi-establishment) filers and calculate the burden by considering the following factors:  type of filer, the combination of report types submitted by the filer, and the total number of reports filers will certify to complete their EEO-1 submission.</w:t>
      </w:r>
    </w:p>
    <w:p w:rsidRPr="00501EC5" w:rsidR="00F63CD4" w:rsidP="00F63CD4" w:rsidRDefault="00F63CD4" w14:paraId="67BFEFFF" w14:textId="77777777">
      <w:r w:rsidRPr="00501EC5">
        <w:t xml:space="preserve">  </w:t>
      </w:r>
    </w:p>
    <w:p w:rsidR="00F63CD4" w:rsidP="00F63CD4" w:rsidRDefault="00F63CD4" w14:paraId="4966F037" w14:textId="16D048EC">
      <w:r w:rsidRPr="00501EC5">
        <w:t>Reporting time estimates for EEO-1 Component 1 filers are based on the most recently completed Component 1 collection cycle</w:t>
      </w:r>
      <w:r w:rsidR="000C6C34">
        <w:t xml:space="preserve"> </w:t>
      </w:r>
      <w:r w:rsidR="00E34973">
        <w:t xml:space="preserve">for 2018 data, </w:t>
      </w:r>
      <w:r w:rsidR="005B2B22">
        <w:t xml:space="preserve">which opened in March </w:t>
      </w:r>
      <w:r w:rsidR="00A032E5">
        <w:t xml:space="preserve">2019 </w:t>
      </w:r>
      <w:r w:rsidR="005B2B22">
        <w:t>and closed in July 2019.</w:t>
      </w:r>
      <w:r w:rsidR="00217DF0">
        <w:t xml:space="preserve">  </w:t>
      </w:r>
      <w:r w:rsidRPr="00501EC5">
        <w:t xml:space="preserve">During the 2018 data collection cycle, 80,396 of the 87,021 eligible EEO-1 Component 1 filers submitted a total of 1,628,897 </w:t>
      </w:r>
      <w:r w:rsidR="00B75B65">
        <w:t>reports</w:t>
      </w:r>
      <w:r w:rsidRPr="00501EC5">
        <w:t xml:space="preserve">. </w:t>
      </w:r>
      <w:r w:rsidR="00267AC7">
        <w:t xml:space="preserve"> </w:t>
      </w:r>
      <w:r w:rsidRPr="00501EC5">
        <w:t>Based on data trends over the last five data</w:t>
      </w:r>
      <w:r w:rsidR="006336F1">
        <w:t>-</w:t>
      </w:r>
      <w:r w:rsidRPr="00501EC5">
        <w:t xml:space="preserve">collection years, </w:t>
      </w:r>
      <w:r w:rsidR="00267AC7">
        <w:t>the EEOC</w:t>
      </w:r>
      <w:r w:rsidRPr="00501EC5" w:rsidR="00267AC7">
        <w:t xml:space="preserve"> </w:t>
      </w:r>
      <w:r w:rsidRPr="00501EC5">
        <w:t>expect</w:t>
      </w:r>
      <w:r w:rsidR="00267AC7">
        <w:t>s</w:t>
      </w:r>
      <w:r w:rsidRPr="00501EC5">
        <w:t xml:space="preserve"> that the total number of eligible filers submitting data will increase to 90,000 filers. </w:t>
      </w:r>
      <w:r w:rsidR="00267AC7">
        <w:t>The EEOC</w:t>
      </w:r>
      <w:r w:rsidRPr="00501EC5" w:rsidR="00267AC7">
        <w:t xml:space="preserve"> </w:t>
      </w:r>
      <w:r w:rsidRPr="00501EC5">
        <w:t>further estimate</w:t>
      </w:r>
      <w:r w:rsidR="00267AC7">
        <w:t>s</w:t>
      </w:r>
      <w:r w:rsidRPr="00501EC5">
        <w:t xml:space="preserve"> that of the 90,000 filers, Type 1 filers will continue to represent about 40% of filers</w:t>
      </w:r>
      <w:r w:rsidR="00267AC7">
        <w:t>,</w:t>
      </w:r>
      <w:r w:rsidRPr="00501EC5">
        <w:t xml:space="preserve"> and </w:t>
      </w:r>
      <w:r w:rsidR="00267AC7">
        <w:t xml:space="preserve">that </w:t>
      </w:r>
      <w:r w:rsidRPr="00501EC5">
        <w:t xml:space="preserve">these filers will submit less than 2% of all </w:t>
      </w:r>
      <w:r w:rsidR="00B75B65">
        <w:t>reports</w:t>
      </w:r>
      <w:r w:rsidRPr="00501EC5">
        <w:t xml:space="preserve">, while </w:t>
      </w:r>
      <w:r w:rsidR="00590A2E">
        <w:t>T</w:t>
      </w:r>
      <w:r w:rsidRPr="00501EC5">
        <w:t xml:space="preserve">ype 2 filers will continue to represent about 60% of </w:t>
      </w:r>
      <w:r w:rsidRPr="00501EC5" w:rsidR="00E95228">
        <w:t>filers and</w:t>
      </w:r>
      <w:r w:rsidRPr="00501EC5">
        <w:t xml:space="preserve"> will submit more than 98% of </w:t>
      </w:r>
      <w:r w:rsidR="00267AC7">
        <w:t xml:space="preserve">all </w:t>
      </w:r>
      <w:r w:rsidR="00B75B65">
        <w:t>reports</w:t>
      </w:r>
      <w:r w:rsidRPr="00501EC5">
        <w:t>.</w:t>
      </w:r>
      <w:r w:rsidR="00A74F6A">
        <w:t xml:space="preserve"> </w:t>
      </w:r>
      <w:r w:rsidRPr="00501EC5">
        <w:t xml:space="preserve"> </w:t>
      </w:r>
      <w:r w:rsidR="00267AC7">
        <w:t>The EEOC</w:t>
      </w:r>
      <w:r w:rsidRPr="00501EC5" w:rsidR="00267AC7">
        <w:t xml:space="preserve"> </w:t>
      </w:r>
      <w:r w:rsidRPr="00501EC5">
        <w:t>estimate</w:t>
      </w:r>
      <w:r w:rsidR="00267AC7">
        <w:t>s</w:t>
      </w:r>
      <w:r w:rsidRPr="00501EC5">
        <w:t xml:space="preserve"> that completion time by </w:t>
      </w:r>
      <w:r w:rsidR="00E6466F">
        <w:t>report</w:t>
      </w:r>
      <w:r w:rsidRPr="00501EC5" w:rsidR="00E6466F">
        <w:t xml:space="preserve"> </w:t>
      </w:r>
      <w:r w:rsidRPr="00501EC5">
        <w:t xml:space="preserve">type will be similar to earlier data years, and that filers will continue to submit the same combination </w:t>
      </w:r>
      <w:r w:rsidR="00AE7CB5">
        <w:t xml:space="preserve">of report </w:t>
      </w:r>
      <w:r w:rsidRPr="00501EC5">
        <w:t xml:space="preserve">types, e.g. Type 1 filers will submit a </w:t>
      </w:r>
      <w:r w:rsidR="00267AC7">
        <w:t>t</w:t>
      </w:r>
      <w:r w:rsidRPr="00501EC5">
        <w:t xml:space="preserve">ype 1 report only, and </w:t>
      </w:r>
      <w:r w:rsidR="00590A2E">
        <w:t>T</w:t>
      </w:r>
      <w:r w:rsidRPr="00501EC5">
        <w:t xml:space="preserve">ype 2 filers will submit </w:t>
      </w:r>
      <w:r w:rsidR="00267AC7">
        <w:t>t</w:t>
      </w:r>
      <w:r w:rsidRPr="00501EC5">
        <w:t xml:space="preserve">ype 2 and </w:t>
      </w:r>
      <w:r w:rsidR="00267AC7">
        <w:t>t</w:t>
      </w:r>
      <w:r w:rsidRPr="00501EC5">
        <w:t xml:space="preserve">ype 3 reports, and then either </w:t>
      </w:r>
      <w:r w:rsidR="00267AC7">
        <w:t>t</w:t>
      </w:r>
      <w:r w:rsidRPr="00501EC5">
        <w:t xml:space="preserve">ype 4, </w:t>
      </w:r>
      <w:r w:rsidR="00267AC7">
        <w:t>t</w:t>
      </w:r>
      <w:r w:rsidRPr="00501EC5">
        <w:t xml:space="preserve">ype 6 or </w:t>
      </w:r>
      <w:r w:rsidR="00267AC7">
        <w:t>t</w:t>
      </w:r>
      <w:r w:rsidRPr="00501EC5">
        <w:t>ype</w:t>
      </w:r>
      <w:r w:rsidR="00267AC7">
        <w:t xml:space="preserve"> 8</w:t>
      </w:r>
      <w:r w:rsidRPr="00501EC5">
        <w:t xml:space="preserve"> reports, depending on their business structure. </w:t>
      </w:r>
    </w:p>
    <w:p w:rsidRPr="00501EC5" w:rsidR="00981429" w:rsidP="00F63CD4" w:rsidRDefault="00981429" w14:paraId="0D1A3B03" w14:textId="77777777"/>
    <w:p w:rsidR="006B3FAB" w:rsidP="00F63CD4" w:rsidRDefault="00F63CD4" w14:paraId="42568B13" w14:textId="77777777">
      <w:r w:rsidRPr="00501EC5">
        <w:t xml:space="preserve">Using the 90,000 number, </w:t>
      </w:r>
      <w:r w:rsidR="00267AC7">
        <w:t>the EEOC</w:t>
      </w:r>
      <w:r w:rsidRPr="00501EC5" w:rsidR="00267AC7">
        <w:t xml:space="preserve"> </w:t>
      </w:r>
      <w:r w:rsidRPr="00501EC5">
        <w:t>estimate</w:t>
      </w:r>
      <w:r w:rsidR="00267AC7">
        <w:t>s</w:t>
      </w:r>
      <w:r w:rsidRPr="00501EC5">
        <w:t xml:space="preserve"> that Component 1 EEO-1 filers will submit a total of 1,915,345 </w:t>
      </w:r>
      <w:r w:rsidR="00CF5BEF">
        <w:t xml:space="preserve">reports </w:t>
      </w:r>
      <w:r w:rsidRPr="00501EC5" w:rsidR="00CF5BEF">
        <w:t>annually</w:t>
      </w:r>
      <w:r w:rsidRPr="00501EC5">
        <w:t xml:space="preserve">, for data years 2019 </w:t>
      </w:r>
      <w:r w:rsidR="00B75B65">
        <w:t>through</w:t>
      </w:r>
      <w:r w:rsidRPr="00501EC5" w:rsidR="00B75B65">
        <w:t xml:space="preserve"> </w:t>
      </w:r>
      <w:r w:rsidRPr="00501EC5">
        <w:t xml:space="preserve">2021. </w:t>
      </w:r>
      <w:r w:rsidR="00267AC7">
        <w:t xml:space="preserve"> The EEOC</w:t>
      </w:r>
      <w:r w:rsidRPr="00501EC5" w:rsidR="00267AC7">
        <w:t xml:space="preserve"> </w:t>
      </w:r>
      <w:r w:rsidRPr="00501EC5">
        <w:t>estimate</w:t>
      </w:r>
      <w:r w:rsidR="00267AC7">
        <w:t>s</w:t>
      </w:r>
      <w:r w:rsidRPr="00501EC5">
        <w:t xml:space="preserve"> that the 36,223 </w:t>
      </w:r>
      <w:r w:rsidR="00F866C6">
        <w:t>T</w:t>
      </w:r>
      <w:r w:rsidRPr="00501EC5">
        <w:t xml:space="preserve">ype 1 filers will submit 36,223 </w:t>
      </w:r>
      <w:r w:rsidR="00267AC7">
        <w:t>t</w:t>
      </w:r>
      <w:r w:rsidRPr="00501EC5">
        <w:t xml:space="preserve">ype 1 </w:t>
      </w:r>
      <w:r w:rsidR="00267AC7">
        <w:t>reports</w:t>
      </w:r>
      <w:r w:rsidRPr="00501EC5">
        <w:t xml:space="preserve">, and it will take them 27,167 hours to submit these </w:t>
      </w:r>
      <w:r w:rsidR="00267AC7">
        <w:t>reports</w:t>
      </w:r>
      <w:r w:rsidRPr="00501EC5">
        <w:t xml:space="preserve">. </w:t>
      </w:r>
      <w:r w:rsidR="00267AC7">
        <w:t xml:space="preserve"> The EEOC</w:t>
      </w:r>
      <w:r w:rsidRPr="00501EC5" w:rsidR="00267AC7">
        <w:t xml:space="preserve"> </w:t>
      </w:r>
      <w:r w:rsidRPr="00501EC5">
        <w:t>estimate</w:t>
      </w:r>
      <w:r w:rsidR="00267AC7">
        <w:t>s that</w:t>
      </w:r>
      <w:r w:rsidRPr="00501EC5">
        <w:t xml:space="preserve"> the 53,777 </w:t>
      </w:r>
      <w:r w:rsidR="00F866C6">
        <w:t>T</w:t>
      </w:r>
      <w:r w:rsidRPr="00501EC5">
        <w:t xml:space="preserve">ype 2 filers will submit 1,879,122 </w:t>
      </w:r>
      <w:r w:rsidR="00267AC7">
        <w:t>reports</w:t>
      </w:r>
      <w:r w:rsidR="006C0C04">
        <w:t>.</w:t>
      </w:r>
      <w:r w:rsidRPr="00501EC5">
        <w:t xml:space="preserve"> </w:t>
      </w:r>
      <w:r w:rsidR="00267AC7">
        <w:t xml:space="preserve"> </w:t>
      </w:r>
      <w:r w:rsidRPr="00A45E96" w:rsidR="00120D5A">
        <w:t xml:space="preserve">Based on 2018 data, </w:t>
      </w:r>
      <w:r w:rsidR="00267AC7">
        <w:t>the EEOC</w:t>
      </w:r>
      <w:r w:rsidRPr="00A45E96" w:rsidR="00267AC7">
        <w:t xml:space="preserve"> </w:t>
      </w:r>
      <w:r w:rsidRPr="00A45E96" w:rsidR="00120D5A">
        <w:t xml:space="preserve">calculated that the ratio of </w:t>
      </w:r>
      <w:r w:rsidR="00267AC7">
        <w:t>t</w:t>
      </w:r>
      <w:r w:rsidRPr="00A45E96" w:rsidR="00120D5A">
        <w:t xml:space="preserve">ype 2 </w:t>
      </w:r>
      <w:r w:rsidR="00267AC7">
        <w:t>reports</w:t>
      </w:r>
      <w:r w:rsidRPr="00A45E96" w:rsidR="00267AC7">
        <w:t xml:space="preserve"> </w:t>
      </w:r>
      <w:r w:rsidRPr="00A45E96" w:rsidR="00120D5A">
        <w:t xml:space="preserve">to </w:t>
      </w:r>
      <w:r w:rsidR="00267AC7">
        <w:t>t</w:t>
      </w:r>
      <w:r w:rsidRPr="00A45E96" w:rsidR="00120D5A">
        <w:t xml:space="preserve">ype 3 </w:t>
      </w:r>
      <w:r w:rsidR="00267AC7">
        <w:t>reports</w:t>
      </w:r>
      <w:r w:rsidRPr="00A45E96" w:rsidR="00267AC7">
        <w:t xml:space="preserve"> </w:t>
      </w:r>
      <w:r w:rsidRPr="00A45E96" w:rsidR="00120D5A">
        <w:t xml:space="preserve">was 1:1, or </w:t>
      </w:r>
      <w:r w:rsidR="00AD0C34">
        <w:t>T</w:t>
      </w:r>
      <w:r w:rsidRPr="00A45E96" w:rsidR="00120D5A">
        <w:t xml:space="preserve">ype 2 filers submit an </w:t>
      </w:r>
      <w:r w:rsidRPr="00A45E96" w:rsidR="00120D5A">
        <w:lastRenderedPageBreak/>
        <w:t>equal number of</w:t>
      </w:r>
      <w:r w:rsidR="00B75B65">
        <w:t xml:space="preserve"> type 2 consolidated reports and</w:t>
      </w:r>
      <w:r w:rsidRPr="00A45E96" w:rsidR="00120D5A">
        <w:t xml:space="preserve"> </w:t>
      </w:r>
      <w:r w:rsidR="00267AC7">
        <w:t>t</w:t>
      </w:r>
      <w:r w:rsidRPr="00A45E96" w:rsidR="00120D5A">
        <w:t xml:space="preserve">ype 3 headquarters </w:t>
      </w:r>
      <w:r w:rsidR="00267AC7">
        <w:t>reports</w:t>
      </w:r>
      <w:r w:rsidRPr="00A45E96" w:rsidR="00120D5A">
        <w:t xml:space="preserve">. </w:t>
      </w:r>
      <w:r w:rsidR="00267AC7">
        <w:t xml:space="preserve"> </w:t>
      </w:r>
      <w:r w:rsidRPr="00A45E96" w:rsidR="00120D5A">
        <w:t xml:space="preserve">Since </w:t>
      </w:r>
      <w:r w:rsidR="00267AC7">
        <w:t>t</w:t>
      </w:r>
      <w:r w:rsidRPr="00A45E96" w:rsidR="00120D5A">
        <w:t>ype 4, 6</w:t>
      </w:r>
      <w:r w:rsidR="00267AC7">
        <w:t>,</w:t>
      </w:r>
      <w:r w:rsidRPr="00A45E96" w:rsidR="00120D5A">
        <w:t xml:space="preserve"> and 8 </w:t>
      </w:r>
      <w:r w:rsidR="00267AC7">
        <w:t>reports</w:t>
      </w:r>
      <w:r w:rsidRPr="00A45E96" w:rsidR="00267AC7">
        <w:t xml:space="preserve"> </w:t>
      </w:r>
      <w:r w:rsidR="00267AC7">
        <w:t>reflect</w:t>
      </w:r>
      <w:r w:rsidRPr="00A45E96" w:rsidR="00267AC7">
        <w:t xml:space="preserve"> </w:t>
      </w:r>
      <w:r w:rsidRPr="00A45E96" w:rsidR="00120D5A">
        <w:t xml:space="preserve">establishment data, the ratios of </w:t>
      </w:r>
      <w:r w:rsidR="00267AC7">
        <w:t>t</w:t>
      </w:r>
      <w:r w:rsidRPr="00A45E96" w:rsidR="00120D5A">
        <w:t>ype 4</w:t>
      </w:r>
      <w:r w:rsidR="00B75B65">
        <w:t xml:space="preserve"> </w:t>
      </w:r>
      <w:r w:rsidRPr="00A45E96" w:rsidR="00120D5A">
        <w:t>to</w:t>
      </w:r>
      <w:r w:rsidR="00B75B65">
        <w:t xml:space="preserve"> </w:t>
      </w:r>
      <w:r w:rsidRPr="00A45E96" w:rsidR="00120D5A">
        <w:t xml:space="preserve">type 2; </w:t>
      </w:r>
      <w:r w:rsidR="00267AC7">
        <w:t>t</w:t>
      </w:r>
      <w:r w:rsidRPr="00A45E96" w:rsidR="00120D5A">
        <w:t>ype 6</w:t>
      </w:r>
      <w:r w:rsidR="00B75B65">
        <w:t xml:space="preserve"> </w:t>
      </w:r>
      <w:r w:rsidRPr="00A45E96" w:rsidR="00120D5A">
        <w:t>to</w:t>
      </w:r>
      <w:r w:rsidR="00B75B65">
        <w:t xml:space="preserve"> </w:t>
      </w:r>
      <w:r w:rsidR="00267AC7">
        <w:t>t</w:t>
      </w:r>
      <w:r w:rsidRPr="00A45E96" w:rsidR="00120D5A">
        <w:t xml:space="preserve">ype 2; and </w:t>
      </w:r>
      <w:r w:rsidR="00267AC7">
        <w:t>t</w:t>
      </w:r>
      <w:r w:rsidRPr="00A45E96" w:rsidR="00120D5A">
        <w:t>ype 8</w:t>
      </w:r>
      <w:r w:rsidR="00B75B65">
        <w:t xml:space="preserve"> </w:t>
      </w:r>
      <w:r w:rsidRPr="00A45E96" w:rsidR="00120D5A">
        <w:t>to</w:t>
      </w:r>
      <w:r w:rsidR="00B75B65">
        <w:t xml:space="preserve"> </w:t>
      </w:r>
      <w:r w:rsidR="00267AC7">
        <w:t>t</w:t>
      </w:r>
      <w:r w:rsidRPr="00A45E96" w:rsidR="00120D5A">
        <w:t xml:space="preserve">ype 2 </w:t>
      </w:r>
      <w:r w:rsidR="00267AC7">
        <w:t>reports</w:t>
      </w:r>
      <w:r w:rsidRPr="00A45E96" w:rsidR="00267AC7">
        <w:t xml:space="preserve"> </w:t>
      </w:r>
      <w:r w:rsidRPr="00A45E96" w:rsidR="00120D5A">
        <w:t xml:space="preserve">are considerably larger. </w:t>
      </w:r>
      <w:r w:rsidR="00267AC7">
        <w:t xml:space="preserve"> </w:t>
      </w:r>
      <w:r w:rsidRPr="00A45E96" w:rsidR="00120D5A">
        <w:t xml:space="preserve">Specifically, the ratio of </w:t>
      </w:r>
      <w:r w:rsidR="00267AC7">
        <w:t>t</w:t>
      </w:r>
      <w:r w:rsidRPr="00A45E96" w:rsidR="00267AC7">
        <w:t xml:space="preserve">ype </w:t>
      </w:r>
      <w:r w:rsidRPr="00A45E96" w:rsidR="00120D5A">
        <w:t xml:space="preserve">4 </w:t>
      </w:r>
      <w:r w:rsidR="00267AC7">
        <w:t>reports</w:t>
      </w:r>
      <w:r w:rsidRPr="00A45E96" w:rsidR="00267AC7">
        <w:t xml:space="preserve"> </w:t>
      </w:r>
      <w:r w:rsidRPr="00A45E96" w:rsidR="00120D5A">
        <w:t xml:space="preserve">to </w:t>
      </w:r>
      <w:r w:rsidR="00267AC7">
        <w:t>t</w:t>
      </w:r>
      <w:r w:rsidRPr="00A45E96" w:rsidR="00120D5A">
        <w:t xml:space="preserve">ype 2 </w:t>
      </w:r>
      <w:r w:rsidR="00267AC7">
        <w:t>reports</w:t>
      </w:r>
      <w:r w:rsidRPr="00A45E96" w:rsidR="00267AC7">
        <w:t xml:space="preserve"> </w:t>
      </w:r>
      <w:r w:rsidRPr="00A45E96" w:rsidR="00120D5A">
        <w:t xml:space="preserve">is 4.9:1, or for every </w:t>
      </w:r>
      <w:r w:rsidR="00267AC7">
        <w:t>t</w:t>
      </w:r>
      <w:r w:rsidRPr="00A45E96" w:rsidR="00120D5A">
        <w:t xml:space="preserve">ype 2 </w:t>
      </w:r>
      <w:r w:rsidR="00267AC7">
        <w:t>report</w:t>
      </w:r>
      <w:r w:rsidRPr="00A45E96" w:rsidR="00267AC7">
        <w:t xml:space="preserve"> </w:t>
      </w:r>
      <w:r w:rsidRPr="00A45E96" w:rsidR="00120D5A">
        <w:t xml:space="preserve">submitted, nearly 5 </w:t>
      </w:r>
      <w:r w:rsidR="00267AC7">
        <w:t>t</w:t>
      </w:r>
      <w:r w:rsidRPr="00A45E96" w:rsidR="00120D5A">
        <w:t xml:space="preserve">ype 4 </w:t>
      </w:r>
      <w:r w:rsidR="00267AC7">
        <w:t>reports</w:t>
      </w:r>
      <w:r w:rsidRPr="00A45E96" w:rsidR="00267AC7">
        <w:t xml:space="preserve"> </w:t>
      </w:r>
      <w:r w:rsidRPr="00A45E96" w:rsidR="00120D5A">
        <w:t xml:space="preserve">were submitted. </w:t>
      </w:r>
      <w:r w:rsidR="00267AC7">
        <w:t xml:space="preserve"> </w:t>
      </w:r>
      <w:r w:rsidRPr="00A45E96" w:rsidR="00120D5A">
        <w:t xml:space="preserve">The ratio for </w:t>
      </w:r>
      <w:r w:rsidR="00267AC7">
        <w:t>t</w:t>
      </w:r>
      <w:r w:rsidRPr="00A45E96" w:rsidR="00120D5A">
        <w:t xml:space="preserve">ype 6 </w:t>
      </w:r>
      <w:r w:rsidR="00267AC7">
        <w:t>reports</w:t>
      </w:r>
      <w:r w:rsidRPr="00A45E96" w:rsidR="00267AC7">
        <w:t xml:space="preserve"> </w:t>
      </w:r>
      <w:r w:rsidRPr="00A45E96" w:rsidR="00120D5A">
        <w:t xml:space="preserve">to </w:t>
      </w:r>
      <w:r w:rsidR="00267AC7">
        <w:t>t</w:t>
      </w:r>
      <w:r w:rsidRPr="00A45E96" w:rsidR="00120D5A">
        <w:t xml:space="preserve">ype 2 </w:t>
      </w:r>
      <w:r w:rsidR="00267AC7">
        <w:t>reports</w:t>
      </w:r>
      <w:r w:rsidRPr="00A45E96" w:rsidR="00267AC7">
        <w:t xml:space="preserve"> </w:t>
      </w:r>
      <w:r w:rsidRPr="00A45E96" w:rsidR="00120D5A">
        <w:t xml:space="preserve">is 14.9:1, or for every </w:t>
      </w:r>
      <w:r w:rsidR="00267AC7">
        <w:t>t</w:t>
      </w:r>
      <w:r w:rsidRPr="00A45E96" w:rsidR="00120D5A">
        <w:t xml:space="preserve">ype 2 </w:t>
      </w:r>
      <w:r w:rsidR="00267AC7">
        <w:t>report</w:t>
      </w:r>
      <w:r w:rsidRPr="00A45E96" w:rsidR="00267AC7">
        <w:t xml:space="preserve"> </w:t>
      </w:r>
      <w:r w:rsidRPr="00A45E96" w:rsidR="00120D5A">
        <w:t xml:space="preserve">submitted, nearly </w:t>
      </w:r>
      <w:r w:rsidRPr="00A45E96" w:rsidR="00CF5BEF">
        <w:t xml:space="preserve">15 </w:t>
      </w:r>
      <w:r w:rsidR="00CF5BEF">
        <w:t>type</w:t>
      </w:r>
      <w:r w:rsidRPr="00A45E96" w:rsidR="00120D5A">
        <w:t xml:space="preserve"> 6 </w:t>
      </w:r>
      <w:r w:rsidR="00267AC7">
        <w:t>reports</w:t>
      </w:r>
      <w:r w:rsidRPr="00A45E96" w:rsidR="00267AC7">
        <w:t xml:space="preserve"> </w:t>
      </w:r>
      <w:r w:rsidRPr="00A45E96" w:rsidR="00120D5A">
        <w:t xml:space="preserve">were submitted. </w:t>
      </w:r>
      <w:r w:rsidR="00267AC7">
        <w:t xml:space="preserve"> </w:t>
      </w:r>
      <w:r w:rsidRPr="00A45E96" w:rsidR="00120D5A">
        <w:t xml:space="preserve">The ratio for </w:t>
      </w:r>
      <w:r w:rsidR="00267AC7">
        <w:t>t</w:t>
      </w:r>
      <w:r w:rsidRPr="00A45E96" w:rsidR="00120D5A">
        <w:t xml:space="preserve">ype 8 </w:t>
      </w:r>
      <w:r w:rsidR="00267AC7">
        <w:t>reports</w:t>
      </w:r>
      <w:r w:rsidRPr="00A45E96" w:rsidR="00267AC7">
        <w:t xml:space="preserve"> </w:t>
      </w:r>
      <w:r w:rsidRPr="00A45E96" w:rsidR="00120D5A">
        <w:t xml:space="preserve">to </w:t>
      </w:r>
      <w:r w:rsidR="00267AC7">
        <w:t>t</w:t>
      </w:r>
      <w:r w:rsidRPr="00A45E96" w:rsidR="00120D5A">
        <w:t xml:space="preserve">ype 2 </w:t>
      </w:r>
      <w:r w:rsidR="00267AC7">
        <w:t>reports</w:t>
      </w:r>
      <w:r w:rsidRPr="00A45E96" w:rsidR="00267AC7">
        <w:t xml:space="preserve"> </w:t>
      </w:r>
      <w:r w:rsidRPr="00A45E96" w:rsidR="00120D5A">
        <w:t xml:space="preserve">is 13.1:1, or for every </w:t>
      </w:r>
      <w:r w:rsidR="00267AC7">
        <w:t>t</w:t>
      </w:r>
      <w:r w:rsidRPr="00A45E96" w:rsidR="00120D5A">
        <w:t xml:space="preserve">ype 2 </w:t>
      </w:r>
      <w:r w:rsidR="00267AC7">
        <w:t>reports</w:t>
      </w:r>
      <w:r w:rsidRPr="00A45E96" w:rsidR="00120D5A">
        <w:t xml:space="preserve">, about 13 </w:t>
      </w:r>
      <w:r w:rsidR="00B75B65">
        <w:t>t</w:t>
      </w:r>
      <w:r w:rsidRPr="00A45E96" w:rsidR="00120D5A">
        <w:t xml:space="preserve">ype </w:t>
      </w:r>
      <w:r w:rsidR="00B75B65">
        <w:t>8 reports</w:t>
      </w:r>
      <w:r w:rsidRPr="00A45E96" w:rsidR="00B75B65">
        <w:t xml:space="preserve"> </w:t>
      </w:r>
      <w:r w:rsidRPr="00A45E96" w:rsidR="00120D5A">
        <w:t xml:space="preserve">were submitted. </w:t>
      </w:r>
      <w:r w:rsidR="00267AC7">
        <w:t xml:space="preserve"> </w:t>
      </w:r>
      <w:r w:rsidRPr="00A45E96" w:rsidR="00120D5A">
        <w:t xml:space="preserve">These ratios were then applied to the estimated number of </w:t>
      </w:r>
      <w:r w:rsidR="000826B4">
        <w:t>T</w:t>
      </w:r>
      <w:r w:rsidRPr="00A45E96" w:rsidR="00120D5A">
        <w:t xml:space="preserve">ype 2 filers – 53,777 – to estimate the total number of </w:t>
      </w:r>
      <w:r w:rsidR="00B75B65">
        <w:t>reports</w:t>
      </w:r>
      <w:r w:rsidRPr="00A45E96" w:rsidR="00B75B65">
        <w:t xml:space="preserve"> </w:t>
      </w:r>
      <w:r w:rsidRPr="00A45E96" w:rsidR="00120D5A">
        <w:t>by type we expect to receive for data years 2019 through 2021.</w:t>
      </w:r>
      <w:r w:rsidR="00120D5A">
        <w:t xml:space="preserve"> </w:t>
      </w:r>
    </w:p>
    <w:p w:rsidR="006B3FAB" w:rsidP="00F63CD4" w:rsidRDefault="006B3FAB" w14:paraId="0D223F75" w14:textId="77777777"/>
    <w:p w:rsidRPr="00501EC5" w:rsidR="00F63CD4" w:rsidP="00F63CD4" w:rsidRDefault="00267AC7" w14:paraId="75E92007" w14:textId="77777777">
      <w:r>
        <w:t xml:space="preserve">The EEOC </w:t>
      </w:r>
      <w:r w:rsidR="00120D5A">
        <w:t>estimate</w:t>
      </w:r>
      <w:r>
        <w:t>s that</w:t>
      </w:r>
      <w:r w:rsidR="00120D5A">
        <w:t xml:space="preserve"> it will take filers a total</w:t>
      </w:r>
      <w:r w:rsidR="008E6E4A">
        <w:t xml:space="preserve"> of</w:t>
      </w:r>
      <w:r w:rsidR="00120D5A">
        <w:t xml:space="preserve"> 9,140,226 hours to submit these </w:t>
      </w:r>
      <w:r w:rsidR="00B75B65">
        <w:t>reports</w:t>
      </w:r>
      <w:r w:rsidR="00120D5A">
        <w:t xml:space="preserve">. </w:t>
      </w:r>
      <w:r>
        <w:t xml:space="preserve"> </w:t>
      </w:r>
      <w:r w:rsidRPr="00501EC5" w:rsidR="00F63CD4">
        <w:t xml:space="preserve">The total aggregate reporting time for Component 1 EEO-1 filers is </w:t>
      </w:r>
      <w:r w:rsidRPr="00501EC5" w:rsidR="00F63CD4">
        <w:rPr>
          <w:color w:val="000000"/>
        </w:rPr>
        <w:t xml:space="preserve">9,167,393 hours. </w:t>
      </w:r>
      <w:r>
        <w:rPr>
          <w:color w:val="000000"/>
        </w:rPr>
        <w:t xml:space="preserve"> </w:t>
      </w:r>
      <w:r w:rsidRPr="00501EC5" w:rsidR="00F63CD4">
        <w:rPr>
          <w:color w:val="000000"/>
        </w:rPr>
        <w:t>The aggregate reporting time for Component 1 EEO-1 filers</w:t>
      </w:r>
      <w:r w:rsidRPr="00501EC5" w:rsidR="00F63CD4">
        <w:t xml:space="preserve"> by </w:t>
      </w:r>
      <w:r w:rsidR="00B75B65">
        <w:t>report</w:t>
      </w:r>
      <w:r w:rsidRPr="00501EC5" w:rsidR="00B75B65">
        <w:t xml:space="preserve"> </w:t>
      </w:r>
      <w:r w:rsidRPr="00501EC5" w:rsidR="00F63CD4">
        <w:t>type varies between a low of</w:t>
      </w:r>
      <w:r w:rsidR="00AA5956">
        <w:t xml:space="preserve"> </w:t>
      </w:r>
      <w:r w:rsidRPr="00501EC5" w:rsidR="00F63CD4">
        <w:t xml:space="preserve">27,167 hours for </w:t>
      </w:r>
      <w:r w:rsidR="006E16B2">
        <w:t>T</w:t>
      </w:r>
      <w:r w:rsidRPr="00501EC5" w:rsidR="00F63CD4">
        <w:t xml:space="preserve">ype 1 filers submitting </w:t>
      </w:r>
      <w:r w:rsidR="00B75B65">
        <w:t>t</w:t>
      </w:r>
      <w:r w:rsidRPr="00501EC5" w:rsidR="00F63CD4">
        <w:t xml:space="preserve">ype 1 reports and 6,414,815 hours for </w:t>
      </w:r>
      <w:r w:rsidR="006E16B2">
        <w:t>T</w:t>
      </w:r>
      <w:r w:rsidRPr="00501EC5" w:rsidR="00F63CD4">
        <w:t xml:space="preserve">ype 2 filers submitting </w:t>
      </w:r>
      <w:r w:rsidR="00B75B65">
        <w:t>t</w:t>
      </w:r>
      <w:r w:rsidRPr="00501EC5" w:rsidR="00F63CD4">
        <w:t xml:space="preserve">ype 6 reports. </w:t>
      </w:r>
      <w:r>
        <w:t xml:space="preserve"> </w:t>
      </w:r>
      <w:r w:rsidRPr="00501EC5" w:rsidR="00F63CD4">
        <w:t xml:space="preserve">The table below outlines </w:t>
      </w:r>
      <w:r w:rsidR="00404B44">
        <w:t>the</w:t>
      </w:r>
      <w:r w:rsidRPr="00501EC5" w:rsidR="00404B44">
        <w:t xml:space="preserve"> </w:t>
      </w:r>
      <w:r w:rsidRPr="00501EC5" w:rsidR="00F63CD4">
        <w:t xml:space="preserve">number of </w:t>
      </w:r>
      <w:r w:rsidR="00B75B65">
        <w:t>reports</w:t>
      </w:r>
      <w:r w:rsidRPr="00501EC5" w:rsidR="00F63CD4">
        <w:t xml:space="preserve">, the average reporting time by </w:t>
      </w:r>
      <w:r w:rsidR="00B75B65">
        <w:t>report</w:t>
      </w:r>
      <w:r w:rsidRPr="00501EC5" w:rsidR="00B75B65">
        <w:t xml:space="preserve"> </w:t>
      </w:r>
      <w:r w:rsidRPr="00501EC5" w:rsidR="00F63CD4">
        <w:t>type</w:t>
      </w:r>
      <w:r w:rsidR="00404B44">
        <w:t>,</w:t>
      </w:r>
      <w:r w:rsidRPr="00501EC5" w:rsidR="00F63CD4">
        <w:t xml:space="preserve"> and the total number of hours estimated to submit these </w:t>
      </w:r>
      <w:r w:rsidR="00B75B65">
        <w:t>reports</w:t>
      </w:r>
      <w:r w:rsidRPr="00501EC5" w:rsidR="00F63CD4">
        <w:t>.</w:t>
      </w:r>
      <w:r w:rsidR="001F1C04">
        <w:rPr>
          <w:rStyle w:val="FootnoteReference"/>
        </w:rPr>
        <w:footnoteReference w:id="27"/>
      </w:r>
    </w:p>
    <w:p w:rsidR="00F63CD4" w:rsidP="00F63CD4" w:rsidRDefault="00F63CD4" w14:paraId="0B7E930C" w14:textId="77777777"/>
    <w:tbl>
      <w:tblPr>
        <w:tblStyle w:val="TableGrid"/>
        <w:tblW w:w="6565" w:type="dxa"/>
        <w:tblLook w:val="04A0" w:firstRow="1" w:lastRow="0" w:firstColumn="1" w:lastColumn="0" w:noHBand="0" w:noVBand="1"/>
      </w:tblPr>
      <w:tblGrid>
        <w:gridCol w:w="2581"/>
        <w:gridCol w:w="1352"/>
        <w:gridCol w:w="1352"/>
        <w:gridCol w:w="1280"/>
      </w:tblGrid>
      <w:tr w:rsidRPr="003518B3" w:rsidR="00F63CD4" w:rsidTr="00A45E96" w14:paraId="3EFC5157" w14:textId="77777777">
        <w:trPr>
          <w:trHeight w:val="288"/>
        </w:trPr>
        <w:tc>
          <w:tcPr>
            <w:tcW w:w="6565" w:type="dxa"/>
            <w:gridSpan w:val="4"/>
            <w:noWrap/>
            <w:hideMark/>
          </w:tcPr>
          <w:p w:rsidRPr="003518B3" w:rsidR="00F63CD4" w:rsidP="00185E77" w:rsidRDefault="00F63CD4" w14:paraId="11DBF96C" w14:textId="77777777">
            <w:pPr>
              <w:autoSpaceDE w:val="0"/>
              <w:autoSpaceDN w:val="0"/>
              <w:adjustRightInd w:val="0"/>
              <w:rPr>
                <w:b/>
                <w:bCs/>
                <w:color w:val="000000"/>
              </w:rPr>
            </w:pPr>
            <w:r w:rsidRPr="003518B3">
              <w:rPr>
                <w:b/>
                <w:bCs/>
                <w:color w:val="000000"/>
              </w:rPr>
              <w:t>Table 1. Projected annual burden for Component 1 data years 2019-2021, by report type and reporting time</w:t>
            </w:r>
          </w:p>
        </w:tc>
      </w:tr>
      <w:tr w:rsidRPr="003518B3" w:rsidR="00F63CD4" w:rsidTr="00A45E96" w14:paraId="47257965" w14:textId="77777777">
        <w:trPr>
          <w:trHeight w:val="948"/>
        </w:trPr>
        <w:tc>
          <w:tcPr>
            <w:tcW w:w="2581" w:type="dxa"/>
            <w:hideMark/>
          </w:tcPr>
          <w:p w:rsidRPr="003518B3" w:rsidR="00F63CD4" w:rsidP="00185E77" w:rsidRDefault="00F63CD4" w14:paraId="70C95DC7" w14:textId="77777777">
            <w:pPr>
              <w:autoSpaceDE w:val="0"/>
              <w:autoSpaceDN w:val="0"/>
              <w:adjustRightInd w:val="0"/>
              <w:rPr>
                <w:b/>
                <w:bCs/>
                <w:color w:val="000000"/>
              </w:rPr>
            </w:pPr>
            <w:r w:rsidRPr="003518B3">
              <w:rPr>
                <w:b/>
                <w:bCs/>
                <w:color w:val="000000"/>
              </w:rPr>
              <w:t> </w:t>
            </w:r>
          </w:p>
        </w:tc>
        <w:tc>
          <w:tcPr>
            <w:tcW w:w="1352" w:type="dxa"/>
            <w:hideMark/>
          </w:tcPr>
          <w:p w:rsidRPr="003518B3" w:rsidR="00F63CD4" w:rsidP="00185E77" w:rsidRDefault="00F63CD4" w14:paraId="781FA010" w14:textId="77777777">
            <w:pPr>
              <w:autoSpaceDE w:val="0"/>
              <w:autoSpaceDN w:val="0"/>
              <w:adjustRightInd w:val="0"/>
              <w:rPr>
                <w:b/>
                <w:bCs/>
                <w:color w:val="000000"/>
              </w:rPr>
            </w:pPr>
            <w:r>
              <w:rPr>
                <w:b/>
                <w:bCs/>
                <w:color w:val="000000"/>
              </w:rPr>
              <w:t xml:space="preserve">Number of </w:t>
            </w:r>
            <w:r w:rsidR="0035418A">
              <w:rPr>
                <w:b/>
                <w:bCs/>
                <w:color w:val="000000"/>
              </w:rPr>
              <w:t>reports</w:t>
            </w:r>
          </w:p>
        </w:tc>
        <w:tc>
          <w:tcPr>
            <w:tcW w:w="1352" w:type="dxa"/>
            <w:hideMark/>
          </w:tcPr>
          <w:p w:rsidRPr="003518B3" w:rsidR="00F63CD4" w:rsidP="00185E77" w:rsidRDefault="00F63CD4" w14:paraId="704C80EB" w14:textId="77777777">
            <w:pPr>
              <w:autoSpaceDE w:val="0"/>
              <w:autoSpaceDN w:val="0"/>
              <w:adjustRightInd w:val="0"/>
              <w:rPr>
                <w:b/>
                <w:bCs/>
                <w:color w:val="000000"/>
              </w:rPr>
            </w:pPr>
            <w:r>
              <w:rPr>
                <w:b/>
                <w:bCs/>
                <w:color w:val="000000"/>
              </w:rPr>
              <w:t>Average reporting time (minutes)</w:t>
            </w:r>
          </w:p>
        </w:tc>
        <w:tc>
          <w:tcPr>
            <w:tcW w:w="1280" w:type="dxa"/>
            <w:hideMark/>
          </w:tcPr>
          <w:p w:rsidRPr="003518B3" w:rsidR="00F63CD4" w:rsidP="00185E77" w:rsidRDefault="00F63CD4" w14:paraId="41FAA1FF" w14:textId="77777777">
            <w:pPr>
              <w:autoSpaceDE w:val="0"/>
              <w:autoSpaceDN w:val="0"/>
              <w:adjustRightInd w:val="0"/>
              <w:rPr>
                <w:b/>
                <w:bCs/>
                <w:color w:val="000000"/>
              </w:rPr>
            </w:pPr>
            <w:r w:rsidRPr="003518B3">
              <w:rPr>
                <w:b/>
                <w:bCs/>
                <w:color w:val="000000"/>
              </w:rPr>
              <w:t>Aggregate reporting time, hours</w:t>
            </w:r>
          </w:p>
        </w:tc>
      </w:tr>
      <w:tr w:rsidRPr="003518B3" w:rsidR="00F63CD4" w:rsidTr="00A45E96" w14:paraId="26E37C1A" w14:textId="77777777">
        <w:trPr>
          <w:trHeight w:val="288"/>
        </w:trPr>
        <w:tc>
          <w:tcPr>
            <w:tcW w:w="2581" w:type="dxa"/>
            <w:hideMark/>
          </w:tcPr>
          <w:p w:rsidRPr="003518B3" w:rsidR="00F63CD4" w:rsidP="00185E77" w:rsidRDefault="00F63CD4" w14:paraId="03AEF5A8" w14:textId="77777777">
            <w:pPr>
              <w:autoSpaceDE w:val="0"/>
              <w:autoSpaceDN w:val="0"/>
              <w:adjustRightInd w:val="0"/>
              <w:rPr>
                <w:b/>
                <w:bCs/>
                <w:color w:val="000000"/>
              </w:rPr>
            </w:pPr>
            <w:r w:rsidRPr="003518B3">
              <w:rPr>
                <w:b/>
                <w:bCs/>
                <w:color w:val="000000"/>
              </w:rPr>
              <w:t>Type 1</w:t>
            </w:r>
          </w:p>
        </w:tc>
        <w:tc>
          <w:tcPr>
            <w:tcW w:w="1352" w:type="dxa"/>
            <w:hideMark/>
          </w:tcPr>
          <w:p w:rsidRPr="003518B3" w:rsidR="00F63CD4" w:rsidP="00185E77" w:rsidRDefault="00F63CD4" w14:paraId="6A12D8F7" w14:textId="77777777">
            <w:pPr>
              <w:autoSpaceDE w:val="0"/>
              <w:autoSpaceDN w:val="0"/>
              <w:adjustRightInd w:val="0"/>
              <w:rPr>
                <w:color w:val="000000"/>
              </w:rPr>
            </w:pPr>
            <w:r w:rsidRPr="003518B3">
              <w:rPr>
                <w:color w:val="000000"/>
              </w:rPr>
              <w:t>36,223</w:t>
            </w:r>
          </w:p>
        </w:tc>
        <w:tc>
          <w:tcPr>
            <w:tcW w:w="1352" w:type="dxa"/>
            <w:hideMark/>
          </w:tcPr>
          <w:p w:rsidRPr="003518B3" w:rsidR="00F63CD4" w:rsidP="00185E77" w:rsidRDefault="00F63CD4" w14:paraId="701A58A4" w14:textId="77777777">
            <w:pPr>
              <w:autoSpaceDE w:val="0"/>
              <w:autoSpaceDN w:val="0"/>
              <w:adjustRightInd w:val="0"/>
              <w:rPr>
                <w:color w:val="000000"/>
              </w:rPr>
            </w:pPr>
            <w:r>
              <w:rPr>
                <w:color w:val="000000"/>
              </w:rPr>
              <w:t>45</w:t>
            </w:r>
          </w:p>
        </w:tc>
        <w:tc>
          <w:tcPr>
            <w:tcW w:w="1280" w:type="dxa"/>
            <w:hideMark/>
          </w:tcPr>
          <w:p w:rsidRPr="003518B3" w:rsidR="00F63CD4" w:rsidP="00185E77" w:rsidRDefault="00F63CD4" w14:paraId="3DC76E69" w14:textId="77777777">
            <w:pPr>
              <w:autoSpaceDE w:val="0"/>
              <w:autoSpaceDN w:val="0"/>
              <w:adjustRightInd w:val="0"/>
              <w:rPr>
                <w:color w:val="000000"/>
              </w:rPr>
            </w:pPr>
            <w:r w:rsidRPr="003518B3">
              <w:rPr>
                <w:color w:val="000000"/>
              </w:rPr>
              <w:t>27,167</w:t>
            </w:r>
          </w:p>
        </w:tc>
      </w:tr>
      <w:tr w:rsidRPr="003518B3" w:rsidR="00F63CD4" w:rsidTr="00A45E96" w14:paraId="27921C4F" w14:textId="77777777">
        <w:trPr>
          <w:trHeight w:val="336"/>
        </w:trPr>
        <w:tc>
          <w:tcPr>
            <w:tcW w:w="2581" w:type="dxa"/>
            <w:hideMark/>
          </w:tcPr>
          <w:p w:rsidRPr="003518B3" w:rsidR="00F63CD4" w:rsidP="00185E77" w:rsidRDefault="00F63CD4" w14:paraId="001CAFA4" w14:textId="77777777">
            <w:pPr>
              <w:autoSpaceDE w:val="0"/>
              <w:autoSpaceDN w:val="0"/>
              <w:adjustRightInd w:val="0"/>
              <w:rPr>
                <w:b/>
                <w:bCs/>
                <w:color w:val="000000"/>
              </w:rPr>
            </w:pPr>
            <w:r w:rsidRPr="003518B3">
              <w:rPr>
                <w:b/>
                <w:bCs/>
                <w:color w:val="000000"/>
              </w:rPr>
              <w:t>Type 2</w:t>
            </w:r>
            <w:r w:rsidRPr="003518B3">
              <w:rPr>
                <w:b/>
                <w:bCs/>
                <w:color w:val="000000"/>
                <w:vertAlign w:val="superscript"/>
              </w:rPr>
              <w:t>a</w:t>
            </w:r>
          </w:p>
        </w:tc>
        <w:tc>
          <w:tcPr>
            <w:tcW w:w="1352" w:type="dxa"/>
            <w:hideMark/>
          </w:tcPr>
          <w:p w:rsidRPr="003518B3" w:rsidR="00F63CD4" w:rsidP="00185E77" w:rsidRDefault="00F63CD4" w14:paraId="678AD0E9" w14:textId="77777777">
            <w:pPr>
              <w:autoSpaceDE w:val="0"/>
              <w:autoSpaceDN w:val="0"/>
              <w:adjustRightInd w:val="0"/>
              <w:rPr>
                <w:color w:val="000000"/>
              </w:rPr>
            </w:pPr>
            <w:r w:rsidRPr="003518B3">
              <w:rPr>
                <w:color w:val="000000"/>
              </w:rPr>
              <w:t>53,777</w:t>
            </w:r>
          </w:p>
        </w:tc>
        <w:tc>
          <w:tcPr>
            <w:tcW w:w="1352" w:type="dxa"/>
            <w:hideMark/>
          </w:tcPr>
          <w:p w:rsidRPr="003518B3" w:rsidR="00F63CD4" w:rsidP="00185E77" w:rsidRDefault="00F63CD4" w14:paraId="537D6C89" w14:textId="77777777">
            <w:pPr>
              <w:autoSpaceDE w:val="0"/>
              <w:autoSpaceDN w:val="0"/>
              <w:adjustRightInd w:val="0"/>
              <w:rPr>
                <w:color w:val="000000"/>
              </w:rPr>
            </w:pPr>
            <w:r>
              <w:rPr>
                <w:color w:val="000000"/>
              </w:rPr>
              <w:t>45</w:t>
            </w:r>
          </w:p>
        </w:tc>
        <w:tc>
          <w:tcPr>
            <w:tcW w:w="1280" w:type="dxa"/>
            <w:hideMark/>
          </w:tcPr>
          <w:p w:rsidRPr="003518B3" w:rsidR="00F63CD4" w:rsidP="00185E77" w:rsidRDefault="00F63CD4" w14:paraId="0DB9AF98" w14:textId="77777777">
            <w:pPr>
              <w:autoSpaceDE w:val="0"/>
              <w:autoSpaceDN w:val="0"/>
              <w:adjustRightInd w:val="0"/>
              <w:rPr>
                <w:color w:val="000000"/>
              </w:rPr>
            </w:pPr>
            <w:r w:rsidRPr="003518B3">
              <w:rPr>
                <w:color w:val="000000"/>
              </w:rPr>
              <w:t>40,333</w:t>
            </w:r>
          </w:p>
        </w:tc>
      </w:tr>
      <w:tr w:rsidRPr="003518B3" w:rsidR="00F63CD4" w:rsidTr="00A45E96" w14:paraId="6885316B" w14:textId="77777777">
        <w:trPr>
          <w:trHeight w:val="336"/>
        </w:trPr>
        <w:tc>
          <w:tcPr>
            <w:tcW w:w="2581" w:type="dxa"/>
            <w:hideMark/>
          </w:tcPr>
          <w:p w:rsidRPr="003518B3" w:rsidR="00F63CD4" w:rsidP="00185E77" w:rsidRDefault="00F63CD4" w14:paraId="2B54BE1E" w14:textId="77777777">
            <w:pPr>
              <w:autoSpaceDE w:val="0"/>
              <w:autoSpaceDN w:val="0"/>
              <w:adjustRightInd w:val="0"/>
              <w:rPr>
                <w:b/>
                <w:bCs/>
                <w:color w:val="000000"/>
              </w:rPr>
            </w:pPr>
            <w:r w:rsidRPr="003518B3">
              <w:rPr>
                <w:b/>
                <w:bCs/>
                <w:color w:val="000000"/>
              </w:rPr>
              <w:t>Type 3</w:t>
            </w:r>
            <w:r w:rsidRPr="003518B3">
              <w:rPr>
                <w:b/>
                <w:bCs/>
                <w:color w:val="000000"/>
                <w:vertAlign w:val="superscript"/>
              </w:rPr>
              <w:t>b</w:t>
            </w:r>
          </w:p>
        </w:tc>
        <w:tc>
          <w:tcPr>
            <w:tcW w:w="1352" w:type="dxa"/>
            <w:hideMark/>
          </w:tcPr>
          <w:p w:rsidRPr="003518B3" w:rsidR="00F63CD4" w:rsidP="00185E77" w:rsidRDefault="00F63CD4" w14:paraId="6D0E604F" w14:textId="77777777">
            <w:pPr>
              <w:autoSpaceDE w:val="0"/>
              <w:autoSpaceDN w:val="0"/>
              <w:adjustRightInd w:val="0"/>
              <w:rPr>
                <w:color w:val="000000"/>
              </w:rPr>
            </w:pPr>
            <w:r w:rsidRPr="003518B3">
              <w:rPr>
                <w:color w:val="000000"/>
              </w:rPr>
              <w:t>53,777</w:t>
            </w:r>
          </w:p>
        </w:tc>
        <w:tc>
          <w:tcPr>
            <w:tcW w:w="1352" w:type="dxa"/>
            <w:hideMark/>
          </w:tcPr>
          <w:p w:rsidRPr="003518B3" w:rsidR="00F63CD4" w:rsidP="00185E77" w:rsidRDefault="00F63CD4" w14:paraId="5B91A79D" w14:textId="77777777">
            <w:pPr>
              <w:autoSpaceDE w:val="0"/>
              <w:autoSpaceDN w:val="0"/>
              <w:adjustRightInd w:val="0"/>
              <w:rPr>
                <w:color w:val="000000"/>
              </w:rPr>
            </w:pPr>
            <w:r>
              <w:rPr>
                <w:color w:val="000000"/>
              </w:rPr>
              <w:t>45</w:t>
            </w:r>
          </w:p>
        </w:tc>
        <w:tc>
          <w:tcPr>
            <w:tcW w:w="1280" w:type="dxa"/>
            <w:hideMark/>
          </w:tcPr>
          <w:p w:rsidRPr="003518B3" w:rsidR="00F63CD4" w:rsidP="00185E77" w:rsidRDefault="00F63CD4" w14:paraId="7DD8280B" w14:textId="77777777">
            <w:pPr>
              <w:autoSpaceDE w:val="0"/>
              <w:autoSpaceDN w:val="0"/>
              <w:adjustRightInd w:val="0"/>
              <w:rPr>
                <w:color w:val="000000"/>
              </w:rPr>
            </w:pPr>
            <w:r w:rsidRPr="003518B3">
              <w:rPr>
                <w:color w:val="000000"/>
              </w:rPr>
              <w:t>40,333</w:t>
            </w:r>
          </w:p>
        </w:tc>
      </w:tr>
      <w:tr w:rsidRPr="003518B3" w:rsidR="00F63CD4" w:rsidTr="00A45E96" w14:paraId="7EAE19EE" w14:textId="77777777">
        <w:trPr>
          <w:trHeight w:val="336"/>
        </w:trPr>
        <w:tc>
          <w:tcPr>
            <w:tcW w:w="2581" w:type="dxa"/>
            <w:hideMark/>
          </w:tcPr>
          <w:p w:rsidRPr="003518B3" w:rsidR="00F63CD4" w:rsidP="00185E77" w:rsidRDefault="00F63CD4" w14:paraId="58C5C6C9" w14:textId="77777777">
            <w:pPr>
              <w:autoSpaceDE w:val="0"/>
              <w:autoSpaceDN w:val="0"/>
              <w:adjustRightInd w:val="0"/>
              <w:rPr>
                <w:b/>
                <w:bCs/>
                <w:color w:val="000000"/>
              </w:rPr>
            </w:pPr>
            <w:r w:rsidRPr="003518B3">
              <w:rPr>
                <w:b/>
                <w:bCs/>
                <w:color w:val="000000"/>
              </w:rPr>
              <w:t>Type 4</w:t>
            </w:r>
            <w:r w:rsidRPr="003518B3">
              <w:rPr>
                <w:b/>
                <w:bCs/>
                <w:color w:val="000000"/>
                <w:vertAlign w:val="superscript"/>
              </w:rPr>
              <w:t>c</w:t>
            </w:r>
          </w:p>
        </w:tc>
        <w:tc>
          <w:tcPr>
            <w:tcW w:w="1352" w:type="dxa"/>
            <w:hideMark/>
          </w:tcPr>
          <w:p w:rsidRPr="003518B3" w:rsidR="00F63CD4" w:rsidP="00185E77" w:rsidRDefault="00F63CD4" w14:paraId="366802F5" w14:textId="77777777">
            <w:pPr>
              <w:autoSpaceDE w:val="0"/>
              <w:autoSpaceDN w:val="0"/>
              <w:adjustRightInd w:val="0"/>
              <w:rPr>
                <w:color w:val="000000"/>
              </w:rPr>
            </w:pPr>
            <w:r w:rsidRPr="003518B3">
              <w:rPr>
                <w:color w:val="000000"/>
              </w:rPr>
              <w:t>264,403</w:t>
            </w:r>
          </w:p>
        </w:tc>
        <w:tc>
          <w:tcPr>
            <w:tcW w:w="1352" w:type="dxa"/>
            <w:hideMark/>
          </w:tcPr>
          <w:p w:rsidRPr="003518B3" w:rsidR="00F63CD4" w:rsidP="00185E77" w:rsidRDefault="00F63CD4" w14:paraId="4F464719" w14:textId="77777777">
            <w:pPr>
              <w:autoSpaceDE w:val="0"/>
              <w:autoSpaceDN w:val="0"/>
              <w:adjustRightInd w:val="0"/>
              <w:rPr>
                <w:color w:val="000000"/>
              </w:rPr>
            </w:pPr>
            <w:r>
              <w:rPr>
                <w:color w:val="000000"/>
              </w:rPr>
              <w:t>120</w:t>
            </w:r>
          </w:p>
        </w:tc>
        <w:tc>
          <w:tcPr>
            <w:tcW w:w="1280" w:type="dxa"/>
            <w:hideMark/>
          </w:tcPr>
          <w:p w:rsidRPr="003518B3" w:rsidR="00F63CD4" w:rsidP="00185E77" w:rsidRDefault="00F63CD4" w14:paraId="5622589B" w14:textId="77777777">
            <w:pPr>
              <w:autoSpaceDE w:val="0"/>
              <w:autoSpaceDN w:val="0"/>
              <w:adjustRightInd w:val="0"/>
              <w:rPr>
                <w:color w:val="000000"/>
              </w:rPr>
            </w:pPr>
            <w:r w:rsidRPr="003518B3">
              <w:rPr>
                <w:color w:val="000000"/>
              </w:rPr>
              <w:t>528,806</w:t>
            </w:r>
          </w:p>
        </w:tc>
      </w:tr>
      <w:tr w:rsidRPr="003518B3" w:rsidR="00F63CD4" w:rsidTr="00A45E96" w14:paraId="5B9C3D6A" w14:textId="77777777">
        <w:trPr>
          <w:trHeight w:val="336"/>
        </w:trPr>
        <w:tc>
          <w:tcPr>
            <w:tcW w:w="2581" w:type="dxa"/>
            <w:hideMark/>
          </w:tcPr>
          <w:p w:rsidRPr="003518B3" w:rsidR="00F63CD4" w:rsidP="00185E77" w:rsidRDefault="00F63CD4" w14:paraId="7825C7AD" w14:textId="77777777">
            <w:pPr>
              <w:autoSpaceDE w:val="0"/>
              <w:autoSpaceDN w:val="0"/>
              <w:adjustRightInd w:val="0"/>
              <w:rPr>
                <w:b/>
                <w:bCs/>
                <w:color w:val="000000"/>
              </w:rPr>
            </w:pPr>
            <w:r w:rsidRPr="003518B3">
              <w:rPr>
                <w:b/>
                <w:bCs/>
                <w:color w:val="000000"/>
              </w:rPr>
              <w:t>Type 6</w:t>
            </w:r>
            <w:r w:rsidRPr="003518B3">
              <w:rPr>
                <w:b/>
                <w:bCs/>
                <w:color w:val="000000"/>
                <w:vertAlign w:val="superscript"/>
              </w:rPr>
              <w:t>d</w:t>
            </w:r>
          </w:p>
        </w:tc>
        <w:tc>
          <w:tcPr>
            <w:tcW w:w="1352" w:type="dxa"/>
            <w:hideMark/>
          </w:tcPr>
          <w:p w:rsidRPr="003518B3" w:rsidR="00F63CD4" w:rsidP="00185E77" w:rsidRDefault="00F63CD4" w14:paraId="5C6A40BE" w14:textId="77777777">
            <w:pPr>
              <w:autoSpaceDE w:val="0"/>
              <w:autoSpaceDN w:val="0"/>
              <w:adjustRightInd w:val="0"/>
              <w:rPr>
                <w:color w:val="000000"/>
              </w:rPr>
            </w:pPr>
            <w:r w:rsidRPr="003518B3">
              <w:rPr>
                <w:color w:val="000000"/>
              </w:rPr>
              <w:t>801,852</w:t>
            </w:r>
          </w:p>
        </w:tc>
        <w:tc>
          <w:tcPr>
            <w:tcW w:w="1352" w:type="dxa"/>
            <w:hideMark/>
          </w:tcPr>
          <w:p w:rsidRPr="003518B3" w:rsidR="00F63CD4" w:rsidP="00185E77" w:rsidRDefault="00F63CD4" w14:paraId="73428D77" w14:textId="77777777">
            <w:pPr>
              <w:autoSpaceDE w:val="0"/>
              <w:autoSpaceDN w:val="0"/>
              <w:adjustRightInd w:val="0"/>
              <w:rPr>
                <w:color w:val="000000"/>
              </w:rPr>
            </w:pPr>
            <w:r>
              <w:rPr>
                <w:color w:val="000000"/>
              </w:rPr>
              <w:t>480</w:t>
            </w:r>
          </w:p>
        </w:tc>
        <w:tc>
          <w:tcPr>
            <w:tcW w:w="1280" w:type="dxa"/>
            <w:hideMark/>
          </w:tcPr>
          <w:p w:rsidRPr="003518B3" w:rsidR="00F63CD4" w:rsidP="00185E77" w:rsidRDefault="00F63CD4" w14:paraId="5B3A0344" w14:textId="77777777">
            <w:pPr>
              <w:autoSpaceDE w:val="0"/>
              <w:autoSpaceDN w:val="0"/>
              <w:adjustRightInd w:val="0"/>
              <w:rPr>
                <w:color w:val="000000"/>
              </w:rPr>
            </w:pPr>
            <w:r w:rsidRPr="003518B3">
              <w:rPr>
                <w:color w:val="000000"/>
              </w:rPr>
              <w:t>6,414,815</w:t>
            </w:r>
          </w:p>
        </w:tc>
      </w:tr>
      <w:tr w:rsidRPr="003518B3" w:rsidR="00F63CD4" w:rsidTr="00A45E96" w14:paraId="219C4FE3" w14:textId="77777777">
        <w:trPr>
          <w:trHeight w:val="336"/>
        </w:trPr>
        <w:tc>
          <w:tcPr>
            <w:tcW w:w="2581" w:type="dxa"/>
            <w:hideMark/>
          </w:tcPr>
          <w:p w:rsidRPr="003518B3" w:rsidR="00F63CD4" w:rsidP="00185E77" w:rsidRDefault="00F63CD4" w14:paraId="13ECF310" w14:textId="77777777">
            <w:pPr>
              <w:autoSpaceDE w:val="0"/>
              <w:autoSpaceDN w:val="0"/>
              <w:adjustRightInd w:val="0"/>
              <w:rPr>
                <w:b/>
                <w:bCs/>
                <w:color w:val="000000"/>
              </w:rPr>
            </w:pPr>
            <w:r w:rsidRPr="003518B3">
              <w:rPr>
                <w:b/>
                <w:bCs/>
                <w:color w:val="000000"/>
              </w:rPr>
              <w:t>Type 8</w:t>
            </w:r>
            <w:r w:rsidRPr="003518B3">
              <w:rPr>
                <w:b/>
                <w:bCs/>
                <w:color w:val="000000"/>
                <w:vertAlign w:val="superscript"/>
              </w:rPr>
              <w:t>e</w:t>
            </w:r>
          </w:p>
        </w:tc>
        <w:tc>
          <w:tcPr>
            <w:tcW w:w="1352" w:type="dxa"/>
            <w:hideMark/>
          </w:tcPr>
          <w:p w:rsidRPr="003518B3" w:rsidR="00F63CD4" w:rsidP="00185E77" w:rsidRDefault="00F63CD4" w14:paraId="04356157" w14:textId="77777777">
            <w:pPr>
              <w:autoSpaceDE w:val="0"/>
              <w:autoSpaceDN w:val="0"/>
              <w:adjustRightInd w:val="0"/>
              <w:rPr>
                <w:color w:val="000000"/>
              </w:rPr>
            </w:pPr>
            <w:r w:rsidRPr="003518B3">
              <w:rPr>
                <w:color w:val="000000"/>
              </w:rPr>
              <w:t>705,313</w:t>
            </w:r>
          </w:p>
        </w:tc>
        <w:tc>
          <w:tcPr>
            <w:tcW w:w="1352" w:type="dxa"/>
            <w:hideMark/>
          </w:tcPr>
          <w:p w:rsidRPr="003518B3" w:rsidR="00F63CD4" w:rsidP="00185E77" w:rsidRDefault="00F63CD4" w14:paraId="0EE406BF" w14:textId="77777777">
            <w:pPr>
              <w:autoSpaceDE w:val="0"/>
              <w:autoSpaceDN w:val="0"/>
              <w:adjustRightInd w:val="0"/>
              <w:rPr>
                <w:color w:val="000000"/>
              </w:rPr>
            </w:pPr>
            <w:r>
              <w:rPr>
                <w:color w:val="000000"/>
              </w:rPr>
              <w:t>180</w:t>
            </w:r>
          </w:p>
        </w:tc>
        <w:tc>
          <w:tcPr>
            <w:tcW w:w="1280" w:type="dxa"/>
            <w:hideMark/>
          </w:tcPr>
          <w:p w:rsidRPr="003518B3" w:rsidR="00F63CD4" w:rsidP="00185E77" w:rsidRDefault="00F63CD4" w14:paraId="5CE39371" w14:textId="77777777">
            <w:pPr>
              <w:autoSpaceDE w:val="0"/>
              <w:autoSpaceDN w:val="0"/>
              <w:adjustRightInd w:val="0"/>
              <w:rPr>
                <w:color w:val="000000"/>
              </w:rPr>
            </w:pPr>
            <w:r w:rsidRPr="003518B3">
              <w:rPr>
                <w:color w:val="000000"/>
              </w:rPr>
              <w:t>2,115,940</w:t>
            </w:r>
          </w:p>
        </w:tc>
      </w:tr>
      <w:tr w:rsidRPr="003518B3" w:rsidR="00F63CD4" w:rsidTr="00A45E96" w14:paraId="61A95422" w14:textId="77777777">
        <w:trPr>
          <w:trHeight w:val="288"/>
        </w:trPr>
        <w:tc>
          <w:tcPr>
            <w:tcW w:w="2581" w:type="dxa"/>
            <w:hideMark/>
          </w:tcPr>
          <w:p w:rsidRPr="003518B3" w:rsidR="00F63CD4" w:rsidP="00185E77" w:rsidRDefault="00F63CD4" w14:paraId="04B17848" w14:textId="77777777">
            <w:pPr>
              <w:autoSpaceDE w:val="0"/>
              <w:autoSpaceDN w:val="0"/>
              <w:adjustRightInd w:val="0"/>
              <w:rPr>
                <w:b/>
                <w:bCs/>
                <w:color w:val="000000"/>
              </w:rPr>
            </w:pPr>
            <w:r w:rsidRPr="003518B3">
              <w:rPr>
                <w:b/>
                <w:bCs/>
                <w:color w:val="000000"/>
              </w:rPr>
              <w:t>Total</w:t>
            </w:r>
          </w:p>
        </w:tc>
        <w:tc>
          <w:tcPr>
            <w:tcW w:w="1352" w:type="dxa"/>
            <w:hideMark/>
          </w:tcPr>
          <w:p w:rsidRPr="003518B3" w:rsidR="00F63CD4" w:rsidP="00185E77" w:rsidRDefault="00F63CD4" w14:paraId="27601A34" w14:textId="77777777">
            <w:pPr>
              <w:autoSpaceDE w:val="0"/>
              <w:autoSpaceDN w:val="0"/>
              <w:adjustRightInd w:val="0"/>
              <w:rPr>
                <w:color w:val="000000"/>
              </w:rPr>
            </w:pPr>
            <w:r w:rsidRPr="003518B3">
              <w:rPr>
                <w:color w:val="000000"/>
              </w:rPr>
              <w:t>1,915,345</w:t>
            </w:r>
          </w:p>
        </w:tc>
        <w:tc>
          <w:tcPr>
            <w:tcW w:w="1352" w:type="dxa"/>
            <w:hideMark/>
          </w:tcPr>
          <w:p w:rsidRPr="003518B3" w:rsidR="00F63CD4" w:rsidP="00185E77" w:rsidRDefault="00F63CD4" w14:paraId="2CDA11A3" w14:textId="77777777">
            <w:pPr>
              <w:autoSpaceDE w:val="0"/>
              <w:autoSpaceDN w:val="0"/>
              <w:adjustRightInd w:val="0"/>
              <w:rPr>
                <w:color w:val="000000"/>
              </w:rPr>
            </w:pPr>
            <w:r w:rsidRPr="003518B3">
              <w:rPr>
                <w:color w:val="000000"/>
              </w:rPr>
              <w:t> </w:t>
            </w:r>
          </w:p>
        </w:tc>
        <w:tc>
          <w:tcPr>
            <w:tcW w:w="1280" w:type="dxa"/>
            <w:hideMark/>
          </w:tcPr>
          <w:p w:rsidRPr="003518B3" w:rsidR="00F63CD4" w:rsidP="00185E77" w:rsidRDefault="00F63CD4" w14:paraId="44E35E66" w14:textId="77777777">
            <w:pPr>
              <w:autoSpaceDE w:val="0"/>
              <w:autoSpaceDN w:val="0"/>
              <w:adjustRightInd w:val="0"/>
              <w:rPr>
                <w:color w:val="000000"/>
              </w:rPr>
            </w:pPr>
            <w:r w:rsidRPr="003518B3">
              <w:rPr>
                <w:color w:val="000000"/>
              </w:rPr>
              <w:t>9,167,393</w:t>
            </w:r>
          </w:p>
        </w:tc>
      </w:tr>
      <w:tr w:rsidRPr="003518B3" w:rsidR="00F63CD4" w:rsidTr="00A45E96" w14:paraId="77ACE545" w14:textId="77777777">
        <w:trPr>
          <w:trHeight w:val="288"/>
        </w:trPr>
        <w:tc>
          <w:tcPr>
            <w:tcW w:w="6565" w:type="dxa"/>
            <w:gridSpan w:val="4"/>
            <w:hideMark/>
          </w:tcPr>
          <w:p w:rsidRPr="0038786D" w:rsidR="00F63CD4" w:rsidP="00185E77" w:rsidRDefault="00F63CD4" w14:paraId="380D7777" w14:textId="77777777">
            <w:pPr>
              <w:autoSpaceDE w:val="0"/>
              <w:autoSpaceDN w:val="0"/>
              <w:adjustRightInd w:val="0"/>
              <w:rPr>
                <w:color w:val="000000"/>
                <w:sz w:val="18"/>
              </w:rPr>
            </w:pPr>
            <w:r w:rsidRPr="0038786D">
              <w:rPr>
                <w:color w:val="000000"/>
                <w:sz w:val="18"/>
                <w:vertAlign w:val="superscript"/>
              </w:rPr>
              <w:t>a</w:t>
            </w:r>
            <w:r>
              <w:rPr>
                <w:color w:val="000000"/>
                <w:sz w:val="18"/>
                <w:vertAlign w:val="superscript"/>
              </w:rPr>
              <w:t xml:space="preserve"> </w:t>
            </w:r>
            <w:r w:rsidRPr="0038786D">
              <w:rPr>
                <w:color w:val="000000"/>
                <w:sz w:val="18"/>
              </w:rPr>
              <w:t>The Consolidated Report must include all employees of the company categorized by race, gender and job category.</w:t>
            </w:r>
          </w:p>
        </w:tc>
      </w:tr>
      <w:tr w:rsidRPr="003518B3" w:rsidR="00F63CD4" w:rsidTr="00A45E96" w14:paraId="613B2627" w14:textId="77777777">
        <w:trPr>
          <w:trHeight w:val="1056"/>
        </w:trPr>
        <w:tc>
          <w:tcPr>
            <w:tcW w:w="6565" w:type="dxa"/>
            <w:gridSpan w:val="4"/>
            <w:hideMark/>
          </w:tcPr>
          <w:p w:rsidRPr="0038786D" w:rsidR="00F63CD4" w:rsidP="00185E77" w:rsidRDefault="00F63CD4" w14:paraId="3EE48E7D" w14:textId="77777777">
            <w:pPr>
              <w:autoSpaceDE w:val="0"/>
              <w:autoSpaceDN w:val="0"/>
              <w:adjustRightInd w:val="0"/>
              <w:rPr>
                <w:color w:val="000000"/>
                <w:sz w:val="18"/>
              </w:rPr>
            </w:pPr>
            <w:r w:rsidRPr="0038786D">
              <w:rPr>
                <w:color w:val="000000"/>
                <w:sz w:val="18"/>
                <w:vertAlign w:val="superscript"/>
              </w:rPr>
              <w:t>b</w:t>
            </w:r>
            <w:r w:rsidRPr="0038786D">
              <w:rPr>
                <w:color w:val="000000"/>
                <w:sz w:val="18"/>
              </w:rPr>
              <w:t xml:space="preserve"> Headquarters Report (Required) - The Headquarters Report must include employees working at the main office site of the company and those employees that work from home that report to the corporate office. Employment data must be categorized by race, gender and job category. A separate EEO-1 report for the headquarters establishment is required even if there are fewer than 50 employees working at the headquarters establishment.</w:t>
            </w:r>
          </w:p>
        </w:tc>
      </w:tr>
      <w:tr w:rsidRPr="003518B3" w:rsidR="00F63CD4" w:rsidTr="00A45E96" w14:paraId="1643A190" w14:textId="77777777">
        <w:trPr>
          <w:trHeight w:val="600"/>
        </w:trPr>
        <w:tc>
          <w:tcPr>
            <w:tcW w:w="6565" w:type="dxa"/>
            <w:gridSpan w:val="4"/>
            <w:hideMark/>
          </w:tcPr>
          <w:p w:rsidRPr="0038786D" w:rsidR="00F63CD4" w:rsidP="00185E77" w:rsidRDefault="00F63CD4" w14:paraId="353390B8" w14:textId="77777777">
            <w:pPr>
              <w:autoSpaceDE w:val="0"/>
              <w:autoSpaceDN w:val="0"/>
              <w:adjustRightInd w:val="0"/>
              <w:rPr>
                <w:color w:val="000000"/>
                <w:sz w:val="18"/>
              </w:rPr>
            </w:pPr>
            <w:r w:rsidRPr="0038786D">
              <w:rPr>
                <w:color w:val="000000"/>
                <w:sz w:val="18"/>
                <w:vertAlign w:val="superscript"/>
              </w:rPr>
              <w:lastRenderedPageBreak/>
              <w:t>c</w:t>
            </w:r>
            <w:r>
              <w:rPr>
                <w:color w:val="000000"/>
                <w:sz w:val="18"/>
                <w:vertAlign w:val="superscript"/>
              </w:rPr>
              <w:t xml:space="preserve"> </w:t>
            </w:r>
            <w:r w:rsidRPr="0038786D">
              <w:rPr>
                <w:color w:val="000000"/>
                <w:sz w:val="18"/>
              </w:rPr>
              <w:t>Establishment Report - A separate EEO-1 Type 4 report must be submitted for each physical establishment with 50 or more employees. Employment data must be categorized by race, gender and job category.</w:t>
            </w:r>
          </w:p>
        </w:tc>
      </w:tr>
      <w:tr w:rsidRPr="003518B3" w:rsidR="00F63CD4" w:rsidTr="00A45E96" w14:paraId="155028DC" w14:textId="77777777">
        <w:trPr>
          <w:trHeight w:val="701"/>
        </w:trPr>
        <w:tc>
          <w:tcPr>
            <w:tcW w:w="6565" w:type="dxa"/>
            <w:gridSpan w:val="4"/>
            <w:hideMark/>
          </w:tcPr>
          <w:p w:rsidRPr="0038786D" w:rsidR="00F63CD4" w:rsidP="00185E77" w:rsidRDefault="00F63CD4" w14:paraId="3B99C610" w14:textId="77777777">
            <w:pPr>
              <w:autoSpaceDE w:val="0"/>
              <w:autoSpaceDN w:val="0"/>
              <w:adjustRightInd w:val="0"/>
              <w:rPr>
                <w:color w:val="000000"/>
                <w:sz w:val="18"/>
              </w:rPr>
            </w:pPr>
            <w:r w:rsidRPr="0038786D">
              <w:rPr>
                <w:color w:val="000000"/>
                <w:sz w:val="18"/>
                <w:vertAlign w:val="superscript"/>
              </w:rPr>
              <w:t>d</w:t>
            </w:r>
            <w:r>
              <w:rPr>
                <w:color w:val="000000"/>
                <w:sz w:val="18"/>
                <w:vertAlign w:val="superscript"/>
              </w:rPr>
              <w:t xml:space="preserve"> </w:t>
            </w:r>
            <w:r w:rsidRPr="0038786D">
              <w:rPr>
                <w:color w:val="000000"/>
                <w:sz w:val="18"/>
              </w:rPr>
              <w:t xml:space="preserve">Establishment list - includes establishment name, address and total number of employees for each location with less than 50 employees. Employers choosing Type 6 reports must also manually enter data categorized by race, gender and job category into the accompanying Type 2 report and include all company employees. </w:t>
            </w:r>
          </w:p>
        </w:tc>
      </w:tr>
      <w:tr w:rsidRPr="003518B3" w:rsidR="00F63CD4" w:rsidTr="00A45E96" w14:paraId="047B36FF" w14:textId="77777777">
        <w:trPr>
          <w:trHeight w:val="1061"/>
        </w:trPr>
        <w:tc>
          <w:tcPr>
            <w:tcW w:w="6565" w:type="dxa"/>
            <w:gridSpan w:val="4"/>
            <w:hideMark/>
          </w:tcPr>
          <w:p w:rsidRPr="0038786D" w:rsidR="00F63CD4" w:rsidP="00185E77" w:rsidRDefault="00F63CD4" w14:paraId="3F3C399E" w14:textId="77777777">
            <w:pPr>
              <w:autoSpaceDE w:val="0"/>
              <w:autoSpaceDN w:val="0"/>
              <w:adjustRightInd w:val="0"/>
              <w:rPr>
                <w:color w:val="000000"/>
                <w:sz w:val="18"/>
              </w:rPr>
            </w:pPr>
            <w:r w:rsidRPr="0038786D">
              <w:rPr>
                <w:color w:val="000000"/>
                <w:sz w:val="18"/>
                <w:vertAlign w:val="superscript"/>
              </w:rPr>
              <w:t>e</w:t>
            </w:r>
            <w:r>
              <w:rPr>
                <w:color w:val="000000"/>
                <w:sz w:val="18"/>
                <w:vertAlign w:val="superscript"/>
              </w:rPr>
              <w:t xml:space="preserve"> </w:t>
            </w:r>
            <w:r w:rsidRPr="0038786D">
              <w:rPr>
                <w:color w:val="000000"/>
                <w:sz w:val="18"/>
              </w:rPr>
              <w:t>A separate EEO-1 report must be submitted for each establishment employing fewer than 50 employees. Like the Type 4 report, Type 8 report employment data must also be categorized by race, gender and job category. Employers choosing Type 8 reports must enter employment data categorized by race, gender and job category for each Type 8 report. The employment data entered for each such establishment will automatically populate the Type 2 Report.</w:t>
            </w:r>
          </w:p>
        </w:tc>
      </w:tr>
    </w:tbl>
    <w:p w:rsidRPr="00986CE5" w:rsidR="00F63CD4" w:rsidP="00F63CD4" w:rsidRDefault="00F63CD4" w14:paraId="05F98AE4" w14:textId="77777777"/>
    <w:p w:rsidR="00AB1F4A" w:rsidP="007B26F3" w:rsidRDefault="00BF2C39" w14:paraId="5151ED6C" w14:textId="77777777">
      <w:pPr>
        <w:autoSpaceDE w:val="0"/>
        <w:autoSpaceDN w:val="0"/>
        <w:adjustRightInd w:val="0"/>
        <w:ind w:left="720" w:hanging="720"/>
      </w:pPr>
      <w:r w:rsidRPr="00E159FD">
        <w:t>1</w:t>
      </w:r>
      <w:r>
        <w:t>3.</w:t>
      </w:r>
      <w:r>
        <w:tab/>
      </w:r>
      <w:r w:rsidRPr="00813366" w:rsidR="00AB1F4A">
        <w:rPr>
          <w:u w:val="single"/>
        </w:rPr>
        <w:t>Information collection cost burden</w:t>
      </w:r>
    </w:p>
    <w:p w:rsidRPr="00A45E96" w:rsidR="00203D7F" w:rsidP="00AB062D" w:rsidRDefault="00404B44" w14:paraId="4F0E2299" w14:textId="77777777">
      <w:pPr>
        <w:pStyle w:val="FootnoteText"/>
        <w:rPr>
          <w:sz w:val="24"/>
          <w:szCs w:val="24"/>
        </w:rPr>
      </w:pPr>
      <w:r>
        <w:rPr>
          <w:sz w:val="24"/>
          <w:szCs w:val="24"/>
        </w:rPr>
        <w:t>The EEOC</w:t>
      </w:r>
      <w:r w:rsidRPr="00A45E96">
        <w:rPr>
          <w:sz w:val="24"/>
          <w:szCs w:val="24"/>
        </w:rPr>
        <w:t xml:space="preserve"> </w:t>
      </w:r>
      <w:r w:rsidRPr="00A45E96" w:rsidR="00203D7F">
        <w:rPr>
          <w:sz w:val="24"/>
          <w:szCs w:val="24"/>
        </w:rPr>
        <w:t>estimate</w:t>
      </w:r>
      <w:r>
        <w:rPr>
          <w:sz w:val="24"/>
          <w:szCs w:val="24"/>
        </w:rPr>
        <w:t>s that</w:t>
      </w:r>
      <w:r w:rsidRPr="00A45E96" w:rsidR="00203D7F">
        <w:rPr>
          <w:sz w:val="24"/>
          <w:szCs w:val="24"/>
        </w:rPr>
        <w:t xml:space="preserve"> it will cost </w:t>
      </w:r>
      <w:r w:rsidRPr="00501EC5" w:rsidR="00F2305F">
        <w:rPr>
          <w:sz w:val="24"/>
          <w:szCs w:val="24"/>
        </w:rPr>
        <w:t>$297 million</w:t>
      </w:r>
      <w:r w:rsidRPr="00315A2A" w:rsidR="00F2305F">
        <w:rPr>
          <w:sz w:val="24"/>
          <w:szCs w:val="24"/>
        </w:rPr>
        <w:t xml:space="preserve"> </w:t>
      </w:r>
      <w:r w:rsidR="00F2305F">
        <w:rPr>
          <w:sz w:val="24"/>
          <w:szCs w:val="24"/>
        </w:rPr>
        <w:t xml:space="preserve">for Component 1 filers to submit </w:t>
      </w:r>
      <w:r w:rsidR="0096566F">
        <w:rPr>
          <w:sz w:val="24"/>
          <w:szCs w:val="24"/>
        </w:rPr>
        <w:t xml:space="preserve">approximately 1.9 million </w:t>
      </w:r>
      <w:r w:rsidR="0035418A">
        <w:rPr>
          <w:sz w:val="24"/>
          <w:szCs w:val="24"/>
        </w:rPr>
        <w:t>reports</w:t>
      </w:r>
      <w:r w:rsidR="0096566F">
        <w:rPr>
          <w:sz w:val="24"/>
          <w:szCs w:val="24"/>
        </w:rPr>
        <w:t xml:space="preserve">. </w:t>
      </w:r>
      <w:r w:rsidR="00165D67">
        <w:rPr>
          <w:sz w:val="24"/>
          <w:szCs w:val="24"/>
        </w:rPr>
        <w:t xml:space="preserve"> </w:t>
      </w:r>
      <w:r>
        <w:rPr>
          <w:sz w:val="24"/>
          <w:szCs w:val="24"/>
        </w:rPr>
        <w:t xml:space="preserve">The EEOC </w:t>
      </w:r>
      <w:r w:rsidR="0096566F">
        <w:rPr>
          <w:sz w:val="24"/>
          <w:szCs w:val="24"/>
        </w:rPr>
        <w:t>further estimate</w:t>
      </w:r>
      <w:r>
        <w:rPr>
          <w:sz w:val="24"/>
          <w:szCs w:val="24"/>
        </w:rPr>
        <w:t>s that it</w:t>
      </w:r>
      <w:r w:rsidR="0096566F">
        <w:rPr>
          <w:sz w:val="24"/>
          <w:szCs w:val="24"/>
        </w:rPr>
        <w:t xml:space="preserve"> will take filers a total of </w:t>
      </w:r>
      <w:r w:rsidRPr="00501EC5" w:rsidR="00314E90">
        <w:rPr>
          <w:sz w:val="24"/>
          <w:szCs w:val="24"/>
        </w:rPr>
        <w:t>9,167,393</w:t>
      </w:r>
      <w:r w:rsidR="0096566F">
        <w:rPr>
          <w:sz w:val="24"/>
          <w:szCs w:val="24"/>
        </w:rPr>
        <w:t xml:space="preserve"> hours to complete this </w:t>
      </w:r>
      <w:r w:rsidR="00940796">
        <w:rPr>
          <w:sz w:val="24"/>
          <w:szCs w:val="24"/>
        </w:rPr>
        <w:t xml:space="preserve">submission. </w:t>
      </w:r>
      <w:r w:rsidR="00A279A6">
        <w:rPr>
          <w:sz w:val="24"/>
          <w:szCs w:val="24"/>
        </w:rPr>
        <w:t xml:space="preserve"> </w:t>
      </w:r>
      <w:r>
        <w:rPr>
          <w:sz w:val="24"/>
          <w:szCs w:val="24"/>
        </w:rPr>
        <w:t>Using</w:t>
      </w:r>
      <w:r w:rsidRPr="00A45E96" w:rsidR="00203D7F">
        <w:rPr>
          <w:sz w:val="24"/>
          <w:szCs w:val="24"/>
        </w:rPr>
        <w:t xml:space="preserve"> the most recent median pay data from the Board of Labor Statistics</w:t>
      </w:r>
      <w:r w:rsidR="0069241D">
        <w:rPr>
          <w:sz w:val="24"/>
          <w:szCs w:val="24"/>
        </w:rPr>
        <w:t>,</w:t>
      </w:r>
      <w:r>
        <w:rPr>
          <w:sz w:val="24"/>
          <w:szCs w:val="24"/>
        </w:rPr>
        <w:t xml:space="preserve"> the EEOC</w:t>
      </w:r>
      <w:r w:rsidRPr="00A45E96">
        <w:rPr>
          <w:sz w:val="24"/>
          <w:szCs w:val="24"/>
        </w:rPr>
        <w:t xml:space="preserve"> </w:t>
      </w:r>
      <w:r w:rsidRPr="00A45E96" w:rsidR="00203D7F">
        <w:rPr>
          <w:sz w:val="24"/>
          <w:szCs w:val="24"/>
        </w:rPr>
        <w:t>estimate</w:t>
      </w:r>
      <w:r>
        <w:rPr>
          <w:sz w:val="24"/>
          <w:szCs w:val="24"/>
        </w:rPr>
        <w:t>s</w:t>
      </w:r>
      <w:r w:rsidRPr="00A45E96" w:rsidR="00203D7F">
        <w:rPr>
          <w:sz w:val="24"/>
          <w:szCs w:val="24"/>
        </w:rPr>
        <w:t xml:space="preserve"> that a computer support specialist would account for 60% of the estimated hourly wage; a database administrator would account for 20%; an HR specialist would account for 10%; legal counsel would account for 5%</w:t>
      </w:r>
      <w:r>
        <w:rPr>
          <w:sz w:val="24"/>
          <w:szCs w:val="24"/>
        </w:rPr>
        <w:t>;</w:t>
      </w:r>
      <w:r w:rsidRPr="00A45E96" w:rsidR="00203D7F">
        <w:rPr>
          <w:sz w:val="24"/>
          <w:szCs w:val="24"/>
        </w:rPr>
        <w:t xml:space="preserve"> and a CEO would account for 5%. </w:t>
      </w:r>
      <w:r w:rsidR="00A279A6">
        <w:rPr>
          <w:sz w:val="24"/>
          <w:szCs w:val="24"/>
        </w:rPr>
        <w:t xml:space="preserve"> </w:t>
      </w:r>
      <w:r w:rsidR="0069241D">
        <w:rPr>
          <w:sz w:val="24"/>
          <w:szCs w:val="24"/>
        </w:rPr>
        <w:t>Based on this information, t</w:t>
      </w:r>
      <w:r w:rsidRPr="0069241D" w:rsidR="0069241D">
        <w:rPr>
          <w:sz w:val="24"/>
          <w:szCs w:val="24"/>
        </w:rPr>
        <w:t xml:space="preserve">he </w:t>
      </w:r>
      <w:r w:rsidR="0069241D">
        <w:rPr>
          <w:sz w:val="24"/>
          <w:szCs w:val="24"/>
        </w:rPr>
        <w:t xml:space="preserve">EEOC </w:t>
      </w:r>
      <w:r w:rsidRPr="0069241D" w:rsidR="0069241D">
        <w:rPr>
          <w:sz w:val="24"/>
          <w:szCs w:val="24"/>
        </w:rPr>
        <w:t xml:space="preserve">estimated the cost of filers by calculating an hourly rate of $32.44.  </w:t>
      </w:r>
      <w:r>
        <w:rPr>
          <w:sz w:val="24"/>
          <w:szCs w:val="24"/>
        </w:rPr>
        <w:t xml:space="preserve"> </w:t>
      </w:r>
      <w:r w:rsidRPr="00A45E96" w:rsidR="00203D7F">
        <w:rPr>
          <w:i/>
          <w:sz w:val="24"/>
          <w:szCs w:val="24"/>
        </w:rPr>
        <w:t>See</w:t>
      </w:r>
      <w:r w:rsidRPr="00A45E96" w:rsidR="00203D7F">
        <w:rPr>
          <w:sz w:val="24"/>
          <w:szCs w:val="24"/>
        </w:rPr>
        <w:t xml:space="preserve"> U.S. Dept. of Labor, Bureau of</w:t>
      </w:r>
      <w:r w:rsidR="001D127F">
        <w:rPr>
          <w:sz w:val="24"/>
          <w:szCs w:val="24"/>
        </w:rPr>
        <w:t xml:space="preserve"> </w:t>
      </w:r>
      <w:r w:rsidRPr="00A45E96" w:rsidR="00203D7F">
        <w:rPr>
          <w:sz w:val="24"/>
          <w:szCs w:val="24"/>
        </w:rPr>
        <w:t xml:space="preserve">Labor Statistics, </w:t>
      </w:r>
      <w:r w:rsidRPr="00A45E96" w:rsidR="00203D7F">
        <w:rPr>
          <w:i/>
          <w:sz w:val="24"/>
          <w:szCs w:val="24"/>
        </w:rPr>
        <w:t xml:space="preserve">Occupational Outlook Handbook, </w:t>
      </w:r>
      <w:hyperlink w:history="1" r:id="rId13">
        <w:r w:rsidRPr="00A45E96" w:rsidR="00203D7F">
          <w:rPr>
            <w:rStyle w:val="Hyperlink"/>
            <w:i/>
            <w:sz w:val="24"/>
            <w:szCs w:val="24"/>
          </w:rPr>
          <w:t>https://www.bls.gov/ooh/business-and-financial/human-resources-specialists.htm</w:t>
        </w:r>
      </w:hyperlink>
      <w:r w:rsidRPr="00A45E96" w:rsidR="00203D7F">
        <w:rPr>
          <w:sz w:val="24"/>
          <w:szCs w:val="24"/>
        </w:rPr>
        <w:t xml:space="preserve">.  </w:t>
      </w:r>
    </w:p>
    <w:p w:rsidR="007B26F3" w:rsidP="000B732F" w:rsidRDefault="007B26F3" w14:paraId="6C5223AB" w14:textId="77777777">
      <w:pPr>
        <w:autoSpaceDE w:val="0"/>
        <w:autoSpaceDN w:val="0"/>
        <w:adjustRightInd w:val="0"/>
        <w:rPr>
          <w:lang w:val="en"/>
        </w:rPr>
      </w:pPr>
    </w:p>
    <w:p w:rsidR="00AB1F4A" w:rsidP="007B26F3" w:rsidRDefault="007C3EC4" w14:paraId="262F3A07" w14:textId="77777777">
      <w:pPr>
        <w:autoSpaceDE w:val="0"/>
        <w:autoSpaceDN w:val="0"/>
        <w:adjustRightInd w:val="0"/>
        <w:ind w:left="720" w:hanging="720"/>
      </w:pPr>
      <w:r w:rsidRPr="00E159FD">
        <w:t>1</w:t>
      </w:r>
      <w:r>
        <w:t>4</w:t>
      </w:r>
      <w:r w:rsidRPr="00E159FD">
        <w:t xml:space="preserve">.   </w:t>
      </w:r>
      <w:r>
        <w:tab/>
      </w:r>
      <w:r w:rsidRPr="00813366" w:rsidR="00AB1F4A">
        <w:rPr>
          <w:u w:val="single"/>
        </w:rPr>
        <w:t>Cost to federal government</w:t>
      </w:r>
    </w:p>
    <w:p w:rsidR="005E3E5F" w:rsidP="00404B44" w:rsidRDefault="00404B44" w14:paraId="7CD1EF63" w14:textId="77777777">
      <w:pPr>
        <w:autoSpaceDE w:val="0"/>
        <w:autoSpaceDN w:val="0"/>
        <w:adjustRightInd w:val="0"/>
      </w:pPr>
      <w:r>
        <w:t xml:space="preserve">The EEOC </w:t>
      </w:r>
      <w:r w:rsidR="00B32AF7">
        <w:t>estimate</w:t>
      </w:r>
      <w:r>
        <w:t>s</w:t>
      </w:r>
      <w:r w:rsidR="00B32AF7">
        <w:t xml:space="preserve"> that the annual contract cost will be </w:t>
      </w:r>
      <w:r w:rsidR="0010786B">
        <w:t>about $</w:t>
      </w:r>
      <w:r w:rsidR="005E3E5F">
        <w:t>2 million</w:t>
      </w:r>
      <w:r w:rsidR="0010786B">
        <w:t xml:space="preserve"> annually.</w:t>
      </w:r>
      <w:r w:rsidR="00B61563">
        <w:t xml:space="preserve"> </w:t>
      </w:r>
      <w:r w:rsidR="00103E4F">
        <w:t xml:space="preserve"> </w:t>
      </w:r>
      <w:r w:rsidR="005E3E5F">
        <w:t>The costs break down accordingly –</w:t>
      </w:r>
    </w:p>
    <w:p w:rsidR="005E3E5F" w:rsidRDefault="005E3E5F" w14:paraId="1CD9A8CC" w14:textId="77777777">
      <w:pPr>
        <w:autoSpaceDE w:val="0"/>
        <w:autoSpaceDN w:val="0"/>
        <w:adjustRightInd w:val="0"/>
        <w:ind w:left="720"/>
      </w:pPr>
    </w:p>
    <w:p w:rsidR="005E3E5F" w:rsidP="005E3E5F" w:rsidRDefault="005E3E5F" w14:paraId="652D4916" w14:textId="77777777">
      <w:pPr>
        <w:autoSpaceDE w:val="0"/>
        <w:autoSpaceDN w:val="0"/>
        <w:adjustRightInd w:val="0"/>
        <w:ind w:left="720"/>
      </w:pPr>
      <w:r>
        <w:t>Annual cost of the contract: $</w:t>
      </w:r>
      <w:r w:rsidR="008A4219">
        <w:t>1.5 million</w:t>
      </w:r>
    </w:p>
    <w:p w:rsidR="008A4219" w:rsidP="005E3E5F" w:rsidRDefault="008A4219" w14:paraId="1559CCED" w14:textId="77777777">
      <w:pPr>
        <w:autoSpaceDE w:val="0"/>
        <w:autoSpaceDN w:val="0"/>
        <w:adjustRightInd w:val="0"/>
        <w:ind w:left="720"/>
      </w:pPr>
      <w:r>
        <w:t xml:space="preserve">Federal Staffing costs: </w:t>
      </w:r>
      <w:r w:rsidR="005A03A2">
        <w:t>$533,056</w:t>
      </w:r>
    </w:p>
    <w:p w:rsidR="005A03A2" w:rsidP="005E3E5F" w:rsidRDefault="005A03A2" w14:paraId="31176435" w14:textId="77777777">
      <w:pPr>
        <w:autoSpaceDE w:val="0"/>
        <w:autoSpaceDN w:val="0"/>
        <w:adjustRightInd w:val="0"/>
        <w:ind w:left="720"/>
      </w:pPr>
    </w:p>
    <w:p w:rsidR="008A4219" w:rsidP="00404B44" w:rsidRDefault="005A03A2" w14:paraId="696C235D" w14:textId="77777777">
      <w:pPr>
        <w:autoSpaceDE w:val="0"/>
        <w:autoSpaceDN w:val="0"/>
        <w:adjustRightInd w:val="0"/>
      </w:pPr>
      <w:r>
        <w:t xml:space="preserve">The federal staffing costs are estimated by assuming that </w:t>
      </w:r>
      <w:r w:rsidR="00EB6BC6">
        <w:t xml:space="preserve">the OEDA </w:t>
      </w:r>
      <w:r w:rsidR="007A6853">
        <w:t>team - a</w:t>
      </w:r>
      <w:r w:rsidR="00EB6BC6">
        <w:t xml:space="preserve"> </w:t>
      </w:r>
      <w:r w:rsidR="004F0CB5">
        <w:t>GS</w:t>
      </w:r>
      <w:r w:rsidR="00EB6BC6">
        <w:t>-</w:t>
      </w:r>
      <w:r w:rsidR="004F0CB5">
        <w:t>15, 2 GS</w:t>
      </w:r>
      <w:r w:rsidR="00EB6BC6">
        <w:t>-</w:t>
      </w:r>
      <w:r w:rsidR="004F0CB5">
        <w:t>14</w:t>
      </w:r>
      <w:r w:rsidR="008747BE">
        <w:t xml:space="preserve">s, </w:t>
      </w:r>
      <w:r w:rsidR="00DE6C21">
        <w:t xml:space="preserve">and </w:t>
      </w:r>
      <w:r w:rsidR="008747BE">
        <w:t>1 GS</w:t>
      </w:r>
      <w:r w:rsidR="00EB6BC6">
        <w:t>-7</w:t>
      </w:r>
      <w:r w:rsidRPr="007A6853" w:rsidR="007A6853">
        <w:t xml:space="preserve"> </w:t>
      </w:r>
      <w:r w:rsidR="007A6853">
        <w:t>assigned to Component 1 EEO-1</w:t>
      </w:r>
      <w:r w:rsidR="00DF7365">
        <w:t xml:space="preserve"> will work on it full-time. </w:t>
      </w:r>
      <w:r w:rsidR="00103E4F">
        <w:t xml:space="preserve"> </w:t>
      </w:r>
      <w:r w:rsidR="00DF7365">
        <w:t xml:space="preserve">It </w:t>
      </w:r>
      <w:r w:rsidR="00A5799A">
        <w:t>also assumes a Division Chief</w:t>
      </w:r>
      <w:r w:rsidR="00133E31">
        <w:t xml:space="preserve"> </w:t>
      </w:r>
      <w:r w:rsidR="00D6761B">
        <w:t>at the GS-14 level will devote 50% of their time to the project.</w:t>
      </w:r>
    </w:p>
    <w:p w:rsidR="007B26F3" w:rsidP="000B732F" w:rsidRDefault="007B26F3" w14:paraId="74958604" w14:textId="77777777">
      <w:pPr>
        <w:autoSpaceDE w:val="0"/>
        <w:autoSpaceDN w:val="0"/>
        <w:adjustRightInd w:val="0"/>
        <w:rPr>
          <w:lang w:val="en"/>
        </w:rPr>
      </w:pPr>
    </w:p>
    <w:p w:rsidR="006E734D" w:rsidP="006E734D" w:rsidRDefault="007B26F3" w14:paraId="2743427D" w14:textId="77777777">
      <w:pPr>
        <w:autoSpaceDE w:val="0"/>
        <w:autoSpaceDN w:val="0"/>
        <w:adjustRightInd w:val="0"/>
      </w:pPr>
      <w:r>
        <w:t xml:space="preserve">15. </w:t>
      </w:r>
      <w:r>
        <w:tab/>
      </w:r>
      <w:r w:rsidRPr="00813366" w:rsidR="00AB1F4A">
        <w:rPr>
          <w:u w:val="single"/>
        </w:rPr>
        <w:t>Program changes or burden adjustments</w:t>
      </w:r>
      <w:r w:rsidR="00AB1F4A">
        <w:t xml:space="preserve"> </w:t>
      </w:r>
    </w:p>
    <w:p w:rsidR="00893557" w:rsidP="00AB062D" w:rsidRDefault="00893557" w14:paraId="5A5A72C6" w14:textId="58EFDF53">
      <w:pPr>
        <w:autoSpaceDE w:val="0"/>
        <w:autoSpaceDN w:val="0"/>
        <w:adjustRightInd w:val="0"/>
        <w:rPr>
          <w:color w:val="000000"/>
        </w:rPr>
      </w:pPr>
      <w:r w:rsidRPr="00735C46">
        <w:rPr>
          <w:color w:val="000000"/>
        </w:rPr>
        <w:t>In May 2018, the EEOC created the Office of Enterprise Data and Analytics (OEDA)</w:t>
      </w:r>
      <w:r w:rsidRPr="004C6933" w:rsidR="004C6933">
        <w:rPr>
          <w:color w:val="000000"/>
        </w:rPr>
        <w:t xml:space="preserve"> </w:t>
      </w:r>
      <w:r w:rsidR="004C6933">
        <w:rPr>
          <w:color w:val="000000"/>
        </w:rPr>
        <w:t>with the goal of creating a 21</w:t>
      </w:r>
      <w:r w:rsidR="00087C13">
        <w:rPr>
          <w:color w:val="000000"/>
        </w:rPr>
        <w:t>st</w:t>
      </w:r>
      <w:r w:rsidR="004C6933">
        <w:rPr>
          <w:color w:val="000000"/>
        </w:rPr>
        <w:t xml:space="preserve"> century data and analytics program within the agency.  OEDA is now</w:t>
      </w:r>
      <w:r w:rsidRPr="00735C46">
        <w:rPr>
          <w:color w:val="000000"/>
        </w:rPr>
        <w:t xml:space="preserve"> staffed largely by data scientists and statisticians who did not work at the EEOC in 2016 when the Commission developed the </w:t>
      </w:r>
      <w:r>
        <w:rPr>
          <w:color w:val="000000"/>
        </w:rPr>
        <w:t>2016</w:t>
      </w:r>
      <w:r w:rsidRPr="00735C46">
        <w:rPr>
          <w:color w:val="000000"/>
        </w:rPr>
        <w:t xml:space="preserve"> PRA package for EEO-1 Component 2.  </w:t>
      </w:r>
      <w:r w:rsidR="00236F8C">
        <w:rPr>
          <w:color w:val="000000"/>
        </w:rPr>
        <w:t>When</w:t>
      </w:r>
      <w:r w:rsidRPr="00735C46">
        <w:rPr>
          <w:color w:val="000000"/>
        </w:rPr>
        <w:t xml:space="preserve"> the EEOC began </w:t>
      </w:r>
      <w:r w:rsidRPr="00735C46">
        <w:rPr>
          <w:color w:val="000000"/>
        </w:rPr>
        <w:lastRenderedPageBreak/>
        <w:t>preparing to seek continued approval of the EEO-1 collection under the PRA</w:t>
      </w:r>
      <w:r w:rsidR="00236F8C">
        <w:rPr>
          <w:color w:val="000000"/>
        </w:rPr>
        <w:t>,</w:t>
      </w:r>
      <w:r w:rsidR="00E427B6">
        <w:rPr>
          <w:color w:val="000000"/>
        </w:rPr>
        <w:t xml:space="preserve"> </w:t>
      </w:r>
      <w:r w:rsidR="00236F8C">
        <w:rPr>
          <w:color w:val="000000"/>
        </w:rPr>
        <w:t>s</w:t>
      </w:r>
      <w:r w:rsidRPr="00735C46">
        <w:rPr>
          <w:color w:val="000000"/>
        </w:rPr>
        <w:t xml:space="preserve">taff in OEDA revisited the methodology used in 2016 for calculating EEO-1 burden estimates, taking into consideration the methodology </w:t>
      </w:r>
      <w:r w:rsidR="00525A4A">
        <w:rPr>
          <w:color w:val="000000"/>
        </w:rPr>
        <w:t xml:space="preserve">the </w:t>
      </w:r>
      <w:r w:rsidRPr="00735C46">
        <w:rPr>
          <w:color w:val="000000"/>
        </w:rPr>
        <w:t xml:space="preserve">EEOC used prior to 2016 and, significantly, </w:t>
      </w:r>
      <w:r>
        <w:rPr>
          <w:color w:val="000000"/>
        </w:rPr>
        <w:t xml:space="preserve">also referencing </w:t>
      </w:r>
      <w:r w:rsidRPr="00735C46">
        <w:rPr>
          <w:color w:val="000000"/>
        </w:rPr>
        <w:t xml:space="preserve">Government Accountability Office (GAO) </w:t>
      </w:r>
      <w:r w:rsidR="003D03C8">
        <w:rPr>
          <w:color w:val="000000"/>
        </w:rPr>
        <w:t xml:space="preserve">statements </w:t>
      </w:r>
      <w:r w:rsidRPr="00735C46">
        <w:rPr>
          <w:color w:val="000000"/>
        </w:rPr>
        <w:t xml:space="preserve">and OMB </w:t>
      </w:r>
      <w:r w:rsidR="003D03C8">
        <w:rPr>
          <w:color w:val="000000"/>
        </w:rPr>
        <w:t>instructions</w:t>
      </w:r>
      <w:r w:rsidRPr="00735C46" w:rsidR="003D03C8">
        <w:rPr>
          <w:color w:val="000000"/>
        </w:rPr>
        <w:t xml:space="preserve"> </w:t>
      </w:r>
      <w:r w:rsidRPr="00735C46">
        <w:rPr>
          <w:color w:val="000000"/>
        </w:rPr>
        <w:t>on the appropriate methodology for calculating burden estimates in federal information collections. Per guidance published in a 2018 GAO report:</w:t>
      </w:r>
    </w:p>
    <w:p w:rsidRPr="00735C46" w:rsidR="00893557" w:rsidP="00893557" w:rsidRDefault="00893557" w14:paraId="5AF20D10" w14:textId="77777777">
      <w:pPr>
        <w:autoSpaceDE w:val="0"/>
        <w:autoSpaceDN w:val="0"/>
        <w:adjustRightInd w:val="0"/>
        <w:rPr>
          <w:color w:val="000000"/>
        </w:rPr>
      </w:pPr>
    </w:p>
    <w:p w:rsidR="00893557" w:rsidP="00AB062D" w:rsidRDefault="00893557" w14:paraId="12EC17AD" w14:textId="77777777">
      <w:pPr>
        <w:autoSpaceDE w:val="0"/>
        <w:autoSpaceDN w:val="0"/>
        <w:adjustRightInd w:val="0"/>
        <w:ind w:left="720"/>
        <w:rPr>
          <w:color w:val="000000"/>
        </w:rPr>
      </w:pPr>
      <w:r w:rsidRPr="00735C46">
        <w:rPr>
          <w:color w:val="000000"/>
        </w:rPr>
        <w:t>A single information collection request may contain multiple burden hour estimate formulas depending, for example, on whether there are different forms or different types of respondents. The total annual burden hour estimate is the sum of all of individual burden hour estimate formulas. If the information request is for the maximum 3-year period, then the annual burden estimate is the average over that 3-year period.</w:t>
      </w:r>
      <w:r w:rsidRPr="00735C46">
        <w:rPr>
          <w:color w:val="000000"/>
          <w:vertAlign w:val="superscript"/>
        </w:rPr>
        <w:footnoteReference w:id="28"/>
      </w:r>
      <w:r w:rsidRPr="00735C46">
        <w:rPr>
          <w:color w:val="000000"/>
        </w:rPr>
        <w:t xml:space="preserve"> </w:t>
      </w:r>
    </w:p>
    <w:p w:rsidRPr="00735C46" w:rsidR="00893557" w:rsidP="00893557" w:rsidRDefault="00893557" w14:paraId="0654FACE" w14:textId="77777777">
      <w:pPr>
        <w:autoSpaceDE w:val="0"/>
        <w:autoSpaceDN w:val="0"/>
        <w:adjustRightInd w:val="0"/>
        <w:ind w:left="720"/>
        <w:rPr>
          <w:color w:val="000000"/>
        </w:rPr>
      </w:pPr>
    </w:p>
    <w:p w:rsidR="00893557" w:rsidP="00AB062D" w:rsidRDefault="00433D24" w14:paraId="052651BC" w14:textId="14952CA3">
      <w:pPr>
        <w:autoSpaceDE w:val="0"/>
        <w:autoSpaceDN w:val="0"/>
        <w:adjustRightInd w:val="0"/>
        <w:rPr>
          <w:color w:val="000000"/>
        </w:rPr>
      </w:pPr>
      <w:r>
        <w:rPr>
          <w:color w:val="000000"/>
        </w:rPr>
        <w:t>In light of</w:t>
      </w:r>
      <w:r w:rsidRPr="00735C46" w:rsidR="00893557">
        <w:rPr>
          <w:color w:val="000000"/>
        </w:rPr>
        <w:t xml:space="preserve"> these considerations, OEDA staff concluded that the EEOC’s </w:t>
      </w:r>
      <w:r>
        <w:rPr>
          <w:color w:val="000000"/>
        </w:rPr>
        <w:t>2016</w:t>
      </w:r>
      <w:r w:rsidRPr="00735C46">
        <w:rPr>
          <w:color w:val="000000"/>
        </w:rPr>
        <w:t xml:space="preserve"> </w:t>
      </w:r>
      <w:r w:rsidRPr="00735C46" w:rsidR="00893557">
        <w:rPr>
          <w:color w:val="000000"/>
        </w:rPr>
        <w:t xml:space="preserve">burden estimate for the EEO-1 had </w:t>
      </w:r>
      <w:r w:rsidR="009910F3">
        <w:rPr>
          <w:color w:val="000000"/>
        </w:rPr>
        <w:t>underestimated</w:t>
      </w:r>
      <w:r w:rsidRPr="00735C46" w:rsidR="009910F3">
        <w:rPr>
          <w:color w:val="000000"/>
        </w:rPr>
        <w:t xml:space="preserve"> the burden </w:t>
      </w:r>
      <w:r w:rsidRPr="00735C46" w:rsidR="00893557">
        <w:rPr>
          <w:color w:val="000000"/>
        </w:rPr>
        <w:t xml:space="preserve">to submit the </w:t>
      </w:r>
      <w:r w:rsidR="00893557">
        <w:rPr>
          <w:color w:val="000000"/>
        </w:rPr>
        <w:t xml:space="preserve">Component 1 </w:t>
      </w:r>
      <w:r w:rsidRPr="00735C46" w:rsidR="00893557">
        <w:rPr>
          <w:color w:val="000000"/>
        </w:rPr>
        <w:t xml:space="preserve">data.  </w:t>
      </w:r>
      <w:r w:rsidR="00BB7ED5">
        <w:rPr>
          <w:color w:val="000000"/>
        </w:rPr>
        <w:t>After Janet</w:t>
      </w:r>
      <w:r w:rsidRPr="00F33D7E" w:rsidR="00BB7ED5">
        <w:rPr>
          <w:color w:val="000000"/>
        </w:rPr>
        <w:t xml:space="preserve"> Dhillon</w:t>
      </w:r>
      <w:r w:rsidR="00BB7ED5">
        <w:rPr>
          <w:color w:val="000000"/>
        </w:rPr>
        <w:t xml:space="preserve"> was sworn in as Chair of the EEOC on May 15, 2019, she consulted with </w:t>
      </w:r>
      <w:r w:rsidRPr="00F33D7E" w:rsidR="00BB7ED5">
        <w:rPr>
          <w:color w:val="000000"/>
        </w:rPr>
        <w:t xml:space="preserve">the Director of OEDA </w:t>
      </w:r>
      <w:r w:rsidR="00BB7ED5">
        <w:rPr>
          <w:color w:val="000000"/>
        </w:rPr>
        <w:t>about the EEO-1 burden calculation and other aspects of the PRA renewal process.</w:t>
      </w:r>
    </w:p>
    <w:p w:rsidRPr="00735C46" w:rsidR="00893557" w:rsidP="00AB062D" w:rsidRDefault="00893557" w14:paraId="2A1A42CF" w14:textId="77777777">
      <w:pPr>
        <w:autoSpaceDE w:val="0"/>
        <w:autoSpaceDN w:val="0"/>
        <w:adjustRightInd w:val="0"/>
        <w:rPr>
          <w:color w:val="000000"/>
        </w:rPr>
      </w:pPr>
    </w:p>
    <w:p w:rsidR="00136B52" w:rsidP="00AB062D" w:rsidRDefault="00BB7ED5" w14:paraId="4C81CACD" w14:textId="6F82D65B">
      <w:pPr>
        <w:autoSpaceDE w:val="0"/>
        <w:autoSpaceDN w:val="0"/>
        <w:adjustRightInd w:val="0"/>
        <w:rPr>
          <w:color w:val="000000"/>
        </w:rPr>
      </w:pPr>
      <w:r>
        <w:rPr>
          <w:color w:val="000000"/>
        </w:rPr>
        <w:lastRenderedPageBreak/>
        <w:t>OEDA staff</w:t>
      </w:r>
      <w:r w:rsidRPr="00735C46" w:rsidR="00893557">
        <w:rPr>
          <w:color w:val="000000"/>
        </w:rPr>
        <w:t xml:space="preserve"> concluded </w:t>
      </w:r>
      <w:r w:rsidR="00893557">
        <w:rPr>
          <w:color w:val="000000"/>
        </w:rPr>
        <w:t>that the 2016</w:t>
      </w:r>
      <w:r w:rsidRPr="00735C46" w:rsidR="00893557">
        <w:rPr>
          <w:color w:val="000000"/>
        </w:rPr>
        <w:t xml:space="preserve"> methodology did not adhere to the standard approach </w:t>
      </w:r>
      <w:r w:rsidR="002A0ADE">
        <w:rPr>
          <w:color w:val="000000"/>
        </w:rPr>
        <w:t xml:space="preserve">of OMB and GAO, which was to account for the burden of filing each different type of the EEO-1 “report”. </w:t>
      </w:r>
      <w:r w:rsidR="00F83D5F">
        <w:rPr>
          <w:color w:val="000000"/>
        </w:rPr>
        <w:t xml:space="preserve"> </w:t>
      </w:r>
      <w:r w:rsidR="00572E7A">
        <w:rPr>
          <w:color w:val="000000"/>
        </w:rPr>
        <w:t>Rather,</w:t>
      </w:r>
      <w:r w:rsidRPr="00735C46" w:rsidR="00893557">
        <w:rPr>
          <w:color w:val="000000"/>
        </w:rPr>
        <w:t xml:space="preserve"> the </w:t>
      </w:r>
      <w:r w:rsidR="00572E7A">
        <w:rPr>
          <w:color w:val="000000"/>
        </w:rPr>
        <w:t xml:space="preserve">2016 burden methodology initially </w:t>
      </w:r>
      <w:r w:rsidR="006E2569">
        <w:rPr>
          <w:color w:val="000000"/>
        </w:rPr>
        <w:t>assessed employer burden entirely at the firm level</w:t>
      </w:r>
      <w:r w:rsidR="00845780">
        <w:rPr>
          <w:color w:val="000000"/>
        </w:rPr>
        <w:t xml:space="preserve">, assuming </w:t>
      </w:r>
      <w:r w:rsidRPr="002F4F27" w:rsidR="00947BA6">
        <w:rPr>
          <w:color w:val="000000"/>
        </w:rPr>
        <w:t>that covered employers would use automated data systems to centralize EEO-1 data collection and then utilize the EEOC’s upload</w:t>
      </w:r>
      <w:r w:rsidR="00947BA6">
        <w:rPr>
          <w:color w:val="000000"/>
        </w:rPr>
        <w:t xml:space="preserve"> file function</w:t>
      </w:r>
      <w:r w:rsidRPr="002F4F27" w:rsidR="00947BA6">
        <w:rPr>
          <w:color w:val="000000"/>
        </w:rPr>
        <w:t xml:space="preserve"> to send data to the agency.</w:t>
      </w:r>
      <w:r w:rsidRPr="002F4F27" w:rsidR="00947BA6">
        <w:rPr>
          <w:rStyle w:val="FootnoteReference"/>
          <w:color w:val="000000"/>
        </w:rPr>
        <w:footnoteReference w:id="29"/>
      </w:r>
      <w:r w:rsidR="00947BA6">
        <w:rPr>
          <w:color w:val="000000"/>
        </w:rPr>
        <w:t xml:space="preserve">  </w:t>
      </w:r>
      <w:r w:rsidRPr="002F4F27" w:rsidR="00947BA6">
        <w:rPr>
          <w:color w:val="000000"/>
        </w:rPr>
        <w:t xml:space="preserve">Although later acknowledging that tasks such as data entry would necessarily be performed at the establishment level, especially if a covered employer did not use the EEOC’s upload </w:t>
      </w:r>
      <w:r w:rsidR="00947BA6">
        <w:rPr>
          <w:color w:val="000000"/>
        </w:rPr>
        <w:t xml:space="preserve">file </w:t>
      </w:r>
      <w:r w:rsidRPr="002F4F27" w:rsidR="00947BA6">
        <w:rPr>
          <w:color w:val="000000"/>
        </w:rPr>
        <w:t>function,</w:t>
      </w:r>
      <w:r w:rsidRPr="002F4F27" w:rsidR="00947BA6">
        <w:rPr>
          <w:color w:val="000000"/>
          <w:vertAlign w:val="superscript"/>
        </w:rPr>
        <w:t xml:space="preserve"> </w:t>
      </w:r>
      <w:r w:rsidRPr="002F4F27" w:rsidR="00947BA6">
        <w:rPr>
          <w:color w:val="000000"/>
        </w:rPr>
        <w:t>the</w:t>
      </w:r>
      <w:r w:rsidR="00947BA6">
        <w:rPr>
          <w:color w:val="000000"/>
        </w:rPr>
        <w:t xml:space="preserve"> final</w:t>
      </w:r>
      <w:r w:rsidRPr="002F4F27" w:rsidR="00947BA6">
        <w:rPr>
          <w:color w:val="000000"/>
        </w:rPr>
        <w:t xml:space="preserve"> 2016 burden methodology still</w:t>
      </w:r>
      <w:r w:rsidRPr="00C57882" w:rsidR="00947BA6">
        <w:t xml:space="preserve"> </w:t>
      </w:r>
      <w:r w:rsidR="00C658F4">
        <w:t>stated</w:t>
      </w:r>
      <w:r w:rsidRPr="00C57882" w:rsidR="00C658F4">
        <w:t xml:space="preserve"> </w:t>
      </w:r>
      <w:r w:rsidRPr="00C57882" w:rsidR="00947BA6">
        <w:t>that “</w:t>
      </w:r>
      <w:r w:rsidRPr="002F4F27" w:rsidR="00947BA6">
        <w:rPr>
          <w:color w:val="000000"/>
        </w:rPr>
        <w:t>the bulk of the tasks performed in completing the EEO-1 report will be completed at the firm level due to the centrality of automation” and calculated burden at the firm level.</w:t>
      </w:r>
      <w:r w:rsidRPr="002F4F27" w:rsidR="00947BA6">
        <w:rPr>
          <w:color w:val="000000"/>
          <w:vertAlign w:val="superscript"/>
        </w:rPr>
        <w:footnoteReference w:id="30"/>
      </w:r>
      <w:r w:rsidR="00D915EC">
        <w:rPr>
          <w:color w:val="000000"/>
        </w:rPr>
        <w:t xml:space="preserve">  </w:t>
      </w:r>
      <w:r w:rsidR="00333DA7">
        <w:rPr>
          <w:color w:val="000000"/>
        </w:rPr>
        <w:t>This assumption</w:t>
      </w:r>
      <w:r w:rsidRPr="00735C46" w:rsidR="00893557">
        <w:rPr>
          <w:color w:val="000000"/>
        </w:rPr>
        <w:t xml:space="preserve"> resulted in an extremely low estimate of the burden on employers.  </w:t>
      </w:r>
      <w:r w:rsidRPr="00735C46" w:rsidR="002A65DD">
        <w:rPr>
          <w:color w:val="000000"/>
        </w:rPr>
        <w:t xml:space="preserve">Applying this 2016 methodology, the EEOC concluded that “the total estimated </w:t>
      </w:r>
      <w:r w:rsidRPr="00735C46" w:rsidR="002A65DD">
        <w:rPr>
          <w:i/>
          <w:iCs/>
          <w:color w:val="000000"/>
        </w:rPr>
        <w:t>annual</w:t>
      </w:r>
      <w:r w:rsidRPr="00735C46" w:rsidR="002A65DD">
        <w:rPr>
          <w:color w:val="000000"/>
        </w:rPr>
        <w:t xml:space="preserve"> burden hour costs for employers and contractors that will complete both Components 1 and 2 in 2017 and 2018 will be $53,546,359.08.”</w:t>
      </w:r>
      <w:r w:rsidRPr="00735C46" w:rsidR="002A65DD">
        <w:rPr>
          <w:color w:val="000000"/>
          <w:vertAlign w:val="superscript"/>
        </w:rPr>
        <w:footnoteReference w:id="31"/>
      </w:r>
      <w:r w:rsidR="00375C4E">
        <w:rPr>
          <w:color w:val="000000"/>
        </w:rPr>
        <w:t xml:space="preserve">  </w:t>
      </w:r>
    </w:p>
    <w:p w:rsidR="00136B52" w:rsidP="00AB062D" w:rsidRDefault="00136B52" w14:paraId="2A4DFEE1" w14:textId="77777777">
      <w:pPr>
        <w:autoSpaceDE w:val="0"/>
        <w:autoSpaceDN w:val="0"/>
        <w:adjustRightInd w:val="0"/>
        <w:rPr>
          <w:color w:val="000000"/>
        </w:rPr>
      </w:pPr>
    </w:p>
    <w:p w:rsidRPr="00735C46" w:rsidR="00893557" w:rsidP="00AB062D" w:rsidRDefault="00893557" w14:paraId="7F89ADC0" w14:textId="37D6174B">
      <w:pPr>
        <w:autoSpaceDE w:val="0"/>
        <w:autoSpaceDN w:val="0"/>
        <w:adjustRightInd w:val="0"/>
        <w:rPr>
          <w:color w:val="000000"/>
        </w:rPr>
      </w:pPr>
      <w:r w:rsidRPr="00735C46">
        <w:rPr>
          <w:color w:val="000000"/>
        </w:rPr>
        <w:t>Based on the following analysis and as specified below, the EEOC now concludes that the burden estimate associated with the EEO-1 is higher than it had estimated in 2016.</w:t>
      </w:r>
      <w:r w:rsidR="00136B52">
        <w:rPr>
          <w:color w:val="000000"/>
        </w:rPr>
        <w:t xml:space="preserve">  </w:t>
      </w:r>
      <w:r w:rsidR="00375C4E">
        <w:rPr>
          <w:color w:val="000000"/>
        </w:rPr>
        <w:t>T</w:t>
      </w:r>
      <w:r w:rsidRPr="001627E3" w:rsidR="0065784C">
        <w:rPr>
          <w:color w:val="000000"/>
        </w:rPr>
        <w:t>he methodology used to develop the burden estimates in th</w:t>
      </w:r>
      <w:r w:rsidR="0065784C">
        <w:rPr>
          <w:color w:val="000000"/>
        </w:rPr>
        <w:t>e</w:t>
      </w:r>
      <w:r w:rsidRPr="001627E3" w:rsidR="0065784C">
        <w:rPr>
          <w:color w:val="000000"/>
        </w:rPr>
        <w:t xml:space="preserve"> </w:t>
      </w:r>
      <w:r w:rsidR="00A442FD">
        <w:rPr>
          <w:color w:val="000000"/>
        </w:rPr>
        <w:t>3</w:t>
      </w:r>
      <w:r w:rsidRPr="001627E3" w:rsidR="0065784C">
        <w:rPr>
          <w:color w:val="000000"/>
        </w:rPr>
        <w:t xml:space="preserve">0-Day Notice returns to the </w:t>
      </w:r>
      <w:r w:rsidR="0065784C">
        <w:rPr>
          <w:color w:val="000000"/>
        </w:rPr>
        <w:t>approach</w:t>
      </w:r>
      <w:r w:rsidRPr="001627E3" w:rsidR="0065784C">
        <w:rPr>
          <w:color w:val="000000"/>
        </w:rPr>
        <w:t xml:space="preserve"> used by the EEOC prior to 2016, </w:t>
      </w:r>
      <w:r w:rsidR="0065784C">
        <w:rPr>
          <w:color w:val="000000"/>
        </w:rPr>
        <w:t>which accounted for the burden of filing each different type of EEO-1 “report.”</w:t>
      </w:r>
      <w:r w:rsidR="00D62A63">
        <w:rPr>
          <w:color w:val="000000"/>
        </w:rPr>
        <w:t xml:space="preserve">  </w:t>
      </w:r>
      <w:r w:rsidRPr="00735C46">
        <w:rPr>
          <w:color w:val="000000"/>
        </w:rPr>
        <w:t xml:space="preserve">The EEO-1 Instructions direct </w:t>
      </w:r>
      <w:r w:rsidR="000D42FE">
        <w:rPr>
          <w:color w:val="000000"/>
        </w:rPr>
        <w:t>covered</w:t>
      </w:r>
      <w:r w:rsidRPr="00735C46" w:rsidR="000D42FE">
        <w:rPr>
          <w:color w:val="000000"/>
        </w:rPr>
        <w:t xml:space="preserve"> </w:t>
      </w:r>
      <w:r w:rsidRPr="00735C46">
        <w:rPr>
          <w:color w:val="000000"/>
        </w:rPr>
        <w:t>employer</w:t>
      </w:r>
      <w:r w:rsidR="000D42FE">
        <w:rPr>
          <w:color w:val="000000"/>
        </w:rPr>
        <w:t>s</w:t>
      </w:r>
      <w:r w:rsidRPr="00735C46">
        <w:rPr>
          <w:color w:val="000000"/>
        </w:rPr>
        <w:t xml:space="preserve"> </w:t>
      </w:r>
      <w:r w:rsidRPr="002F4F27" w:rsidR="007963BA">
        <w:rPr>
          <w:color w:val="000000"/>
        </w:rPr>
        <w:t xml:space="preserve">to use different reports for different purposes, and OMB and GAO direct agencies to account </w:t>
      </w:r>
      <w:r w:rsidRPr="002F4F27" w:rsidR="007963BA">
        <w:rPr>
          <w:color w:val="000000"/>
        </w:rPr>
        <w:lastRenderedPageBreak/>
        <w:t>for the burden of filing each different kind of report.</w:t>
      </w:r>
      <w:r w:rsidR="007963BA">
        <w:rPr>
          <w:rStyle w:val="FootnoteReference"/>
          <w:color w:val="000000"/>
        </w:rPr>
        <w:footnoteReference w:id="32"/>
      </w:r>
      <w:r w:rsidRPr="002F4F27" w:rsidR="007963BA">
        <w:rPr>
          <w:color w:val="000000"/>
        </w:rPr>
        <w:t xml:space="preserve"> </w:t>
      </w:r>
      <w:r w:rsidR="00E87CE4">
        <w:rPr>
          <w:color w:val="000000"/>
        </w:rPr>
        <w:t xml:space="preserve"> </w:t>
      </w:r>
      <w:r w:rsidRPr="002F4F27" w:rsidR="00294EF7">
        <w:rPr>
          <w:color w:val="000000"/>
        </w:rPr>
        <w:t xml:space="preserve">An employer with only a single location files one EEO-1 report — a type 1 EEO-1 </w:t>
      </w:r>
      <w:r w:rsidR="00294EF7">
        <w:rPr>
          <w:color w:val="000000"/>
        </w:rPr>
        <w:t>r</w:t>
      </w:r>
      <w:r w:rsidRPr="002F4F27" w:rsidR="00294EF7">
        <w:rPr>
          <w:color w:val="000000"/>
        </w:rPr>
        <w:t>eport — and an employer with numerous locations files a corresponding number of EEO-1 “establishment” reports, plus a headquarters report and a consolidated report, as follows:</w:t>
      </w:r>
      <w:r w:rsidR="00294EF7">
        <w:rPr>
          <w:rStyle w:val="FootnoteReference"/>
          <w:color w:val="000000"/>
        </w:rPr>
        <w:footnoteReference w:id="33"/>
      </w:r>
    </w:p>
    <w:p w:rsidRPr="00735C46" w:rsidR="00893557" w:rsidP="00893557" w:rsidRDefault="00893557" w14:paraId="5FDB9309" w14:textId="77777777">
      <w:pPr>
        <w:autoSpaceDE w:val="0"/>
        <w:autoSpaceDN w:val="0"/>
        <w:adjustRightInd w:val="0"/>
        <w:rPr>
          <w:color w:val="000000"/>
        </w:rPr>
      </w:pPr>
    </w:p>
    <w:p w:rsidRPr="00735C46" w:rsidR="00893557" w:rsidP="00AB062D" w:rsidRDefault="00893557" w14:paraId="05A4BCE1" w14:textId="77777777">
      <w:pPr>
        <w:numPr>
          <w:ilvl w:val="0"/>
          <w:numId w:val="37"/>
        </w:numPr>
        <w:autoSpaceDE w:val="0"/>
        <w:autoSpaceDN w:val="0"/>
        <w:adjustRightInd w:val="0"/>
        <w:rPr>
          <w:color w:val="000000"/>
        </w:rPr>
      </w:pPr>
      <w:r w:rsidRPr="00735C46">
        <w:rPr>
          <w:color w:val="000000"/>
        </w:rPr>
        <w:t xml:space="preserve">A </w:t>
      </w:r>
      <w:r w:rsidR="0014482E">
        <w:rPr>
          <w:color w:val="000000"/>
        </w:rPr>
        <w:t>t</w:t>
      </w:r>
      <w:r w:rsidR="000A59E5">
        <w:rPr>
          <w:color w:val="000000"/>
        </w:rPr>
        <w:t>y</w:t>
      </w:r>
      <w:r w:rsidRPr="00735C46">
        <w:rPr>
          <w:color w:val="000000"/>
        </w:rPr>
        <w:t xml:space="preserve">pe 2 ‘Consolidated Report,’ which must include all employees of the employer categorized by race, gender and job category; </w:t>
      </w:r>
    </w:p>
    <w:p w:rsidRPr="00735C46" w:rsidR="00893557" w:rsidP="00AB062D" w:rsidRDefault="00893557" w14:paraId="1BEEB9D7" w14:textId="77777777">
      <w:pPr>
        <w:numPr>
          <w:ilvl w:val="0"/>
          <w:numId w:val="37"/>
        </w:numPr>
        <w:autoSpaceDE w:val="0"/>
        <w:autoSpaceDN w:val="0"/>
        <w:adjustRightInd w:val="0"/>
        <w:rPr>
          <w:color w:val="000000"/>
        </w:rPr>
      </w:pPr>
      <w:r w:rsidRPr="00735C46">
        <w:rPr>
          <w:color w:val="000000"/>
        </w:rPr>
        <w:t xml:space="preserve">A </w:t>
      </w:r>
      <w:r w:rsidR="0014482E">
        <w:rPr>
          <w:color w:val="000000"/>
        </w:rPr>
        <w:t>t</w:t>
      </w:r>
      <w:r w:rsidRPr="00735C46">
        <w:rPr>
          <w:color w:val="000000"/>
        </w:rPr>
        <w:t xml:space="preserve">ype 3 ‘Headquarters Report,’ which must include employees working at the main office site of the employer and those employees who work from home and report to the corporate office. In addition, a separate EEO-1 report for the headquarters establishment is required even if there are fewer than 50 employees working at the headquarters establishment. </w:t>
      </w:r>
    </w:p>
    <w:p w:rsidRPr="00735C46" w:rsidR="00893557" w:rsidP="00AB062D" w:rsidRDefault="00893557" w14:paraId="305C2621" w14:textId="77777777">
      <w:pPr>
        <w:numPr>
          <w:ilvl w:val="0"/>
          <w:numId w:val="37"/>
        </w:numPr>
        <w:autoSpaceDE w:val="0"/>
        <w:autoSpaceDN w:val="0"/>
        <w:adjustRightInd w:val="0"/>
        <w:rPr>
          <w:color w:val="000000"/>
        </w:rPr>
      </w:pPr>
      <w:r w:rsidRPr="00735C46">
        <w:rPr>
          <w:color w:val="000000"/>
        </w:rPr>
        <w:t xml:space="preserve">A </w:t>
      </w:r>
      <w:r w:rsidR="0014482E">
        <w:rPr>
          <w:color w:val="000000"/>
        </w:rPr>
        <w:t>t</w:t>
      </w:r>
      <w:r w:rsidRPr="00735C46">
        <w:rPr>
          <w:color w:val="000000"/>
        </w:rPr>
        <w:t xml:space="preserve">ype 4 ‘Establishment Report’ must be submitted for each physical establishment with 50 or more employees. Employment data must be categorized by race or ethnicity, gender, and job category. </w:t>
      </w:r>
    </w:p>
    <w:p w:rsidRPr="00735C46" w:rsidR="00893557" w:rsidP="00AB062D" w:rsidRDefault="00893557" w14:paraId="5A2F7C3B" w14:textId="77777777">
      <w:pPr>
        <w:numPr>
          <w:ilvl w:val="0"/>
          <w:numId w:val="37"/>
        </w:numPr>
        <w:autoSpaceDE w:val="0"/>
        <w:autoSpaceDN w:val="0"/>
        <w:adjustRightInd w:val="0"/>
        <w:rPr>
          <w:color w:val="000000"/>
        </w:rPr>
      </w:pPr>
      <w:r w:rsidRPr="00735C46">
        <w:rPr>
          <w:color w:val="000000"/>
        </w:rPr>
        <w:t xml:space="preserve">A </w:t>
      </w:r>
      <w:r w:rsidR="0014482E">
        <w:rPr>
          <w:color w:val="000000"/>
        </w:rPr>
        <w:t>t</w:t>
      </w:r>
      <w:r w:rsidRPr="00735C46">
        <w:rPr>
          <w:color w:val="000000"/>
        </w:rPr>
        <w:t xml:space="preserve">ype 6 or </w:t>
      </w:r>
      <w:r w:rsidR="0014482E">
        <w:rPr>
          <w:color w:val="000000"/>
        </w:rPr>
        <w:t>t</w:t>
      </w:r>
      <w:r w:rsidRPr="00735C46">
        <w:rPr>
          <w:color w:val="000000"/>
        </w:rPr>
        <w:t xml:space="preserve">ype 8 ‘Establishment Report’ must be submitted for each establishment site with fewer than 50 employees: </w:t>
      </w:r>
    </w:p>
    <w:p w:rsidRPr="00735C46" w:rsidR="00893557" w:rsidP="00AB062D" w:rsidRDefault="00893557" w14:paraId="6ABDBEC5" w14:textId="77777777">
      <w:pPr>
        <w:numPr>
          <w:ilvl w:val="1"/>
          <w:numId w:val="37"/>
        </w:numPr>
        <w:autoSpaceDE w:val="0"/>
        <w:autoSpaceDN w:val="0"/>
        <w:adjustRightInd w:val="0"/>
        <w:rPr>
          <w:color w:val="000000"/>
        </w:rPr>
      </w:pPr>
      <w:r w:rsidRPr="00735C46">
        <w:rPr>
          <w:color w:val="000000"/>
        </w:rPr>
        <w:t xml:space="preserve">An employer choosing to submit </w:t>
      </w:r>
      <w:r w:rsidR="0014482E">
        <w:rPr>
          <w:color w:val="000000"/>
        </w:rPr>
        <w:t>t</w:t>
      </w:r>
      <w:r w:rsidRPr="00735C46">
        <w:rPr>
          <w:color w:val="000000"/>
        </w:rPr>
        <w:t xml:space="preserve">ype 8 ‘Establishment Reports’ provides a separate </w:t>
      </w:r>
      <w:r w:rsidR="0014482E">
        <w:rPr>
          <w:color w:val="000000"/>
        </w:rPr>
        <w:t>t</w:t>
      </w:r>
      <w:r w:rsidRPr="00735C46">
        <w:rPr>
          <w:color w:val="000000"/>
        </w:rPr>
        <w:t xml:space="preserve">ype 8 report for each establishment employing fewer than 50 employees. </w:t>
      </w:r>
      <w:r w:rsidR="0014482E">
        <w:rPr>
          <w:color w:val="000000"/>
        </w:rPr>
        <w:t xml:space="preserve"> </w:t>
      </w:r>
      <w:r w:rsidRPr="00735C46">
        <w:rPr>
          <w:color w:val="000000"/>
        </w:rPr>
        <w:t xml:space="preserve">Like filers submitting the </w:t>
      </w:r>
      <w:r w:rsidR="0014482E">
        <w:rPr>
          <w:color w:val="000000"/>
        </w:rPr>
        <w:t>t</w:t>
      </w:r>
      <w:r w:rsidRPr="00735C46">
        <w:rPr>
          <w:color w:val="000000"/>
        </w:rPr>
        <w:t xml:space="preserve">ype 4 ‘Establishment Report, filers choosing to create a </w:t>
      </w:r>
      <w:r w:rsidR="0014482E">
        <w:rPr>
          <w:color w:val="000000"/>
        </w:rPr>
        <w:t>t</w:t>
      </w:r>
      <w:r w:rsidRPr="00735C46">
        <w:rPr>
          <w:color w:val="000000"/>
        </w:rPr>
        <w:t xml:space="preserve">ype 8 report enter employment data categorized by race or ethnicity, gender, and job category for each </w:t>
      </w:r>
      <w:r w:rsidR="0014482E">
        <w:rPr>
          <w:color w:val="000000"/>
        </w:rPr>
        <w:t>t</w:t>
      </w:r>
      <w:r w:rsidRPr="00735C46">
        <w:rPr>
          <w:color w:val="000000"/>
        </w:rPr>
        <w:t xml:space="preserve">ype 8 report. </w:t>
      </w:r>
      <w:r w:rsidR="0014482E">
        <w:rPr>
          <w:color w:val="000000"/>
        </w:rPr>
        <w:t xml:space="preserve"> </w:t>
      </w:r>
      <w:r w:rsidRPr="00735C46">
        <w:rPr>
          <w:color w:val="000000"/>
        </w:rPr>
        <w:t xml:space="preserve">The employment data entered for each such establishment on a </w:t>
      </w:r>
      <w:r w:rsidR="0014482E">
        <w:rPr>
          <w:color w:val="000000"/>
        </w:rPr>
        <w:t>t</w:t>
      </w:r>
      <w:r w:rsidRPr="00735C46">
        <w:rPr>
          <w:color w:val="000000"/>
        </w:rPr>
        <w:t xml:space="preserve">ype 8 report will automatically populate the filer’s </w:t>
      </w:r>
      <w:r w:rsidR="0014482E">
        <w:rPr>
          <w:color w:val="000000"/>
        </w:rPr>
        <w:t>t</w:t>
      </w:r>
      <w:r w:rsidRPr="00735C46">
        <w:rPr>
          <w:color w:val="000000"/>
        </w:rPr>
        <w:t>ype 2 Consolidated Report on the EEOC’s system.</w:t>
      </w:r>
    </w:p>
    <w:p w:rsidR="00893557" w:rsidP="00AB062D" w:rsidRDefault="00893557" w14:paraId="0C4C7585" w14:textId="77777777">
      <w:pPr>
        <w:numPr>
          <w:ilvl w:val="1"/>
          <w:numId w:val="37"/>
        </w:numPr>
        <w:autoSpaceDE w:val="0"/>
        <w:autoSpaceDN w:val="0"/>
        <w:adjustRightInd w:val="0"/>
        <w:rPr>
          <w:color w:val="000000"/>
        </w:rPr>
      </w:pPr>
      <w:r w:rsidRPr="00735C46">
        <w:rPr>
          <w:color w:val="000000"/>
        </w:rPr>
        <w:t xml:space="preserve">An employer choosing to submit a </w:t>
      </w:r>
      <w:r w:rsidR="0014482E">
        <w:rPr>
          <w:color w:val="000000"/>
        </w:rPr>
        <w:t>t</w:t>
      </w:r>
      <w:r w:rsidRPr="00735C46">
        <w:rPr>
          <w:color w:val="000000"/>
        </w:rPr>
        <w:t xml:space="preserve">ype 6 ‘Establishment List’ should provide the establishment names, complete addresses, and total number of employees for all physical location where fewer than 50 employees are working.  Because the type 6 report does not tally the number of employees, employers choosing a </w:t>
      </w:r>
      <w:r w:rsidR="0014482E">
        <w:rPr>
          <w:color w:val="000000"/>
        </w:rPr>
        <w:t>t</w:t>
      </w:r>
      <w:r w:rsidRPr="00735C46">
        <w:rPr>
          <w:color w:val="000000"/>
        </w:rPr>
        <w:t xml:space="preserve">ype 6 data report for each establishment employing fewer than </w:t>
      </w:r>
      <w:r w:rsidRPr="00735C46">
        <w:rPr>
          <w:color w:val="000000"/>
        </w:rPr>
        <w:lastRenderedPageBreak/>
        <w:t xml:space="preserve">50 employees </w:t>
      </w:r>
      <w:r w:rsidRPr="006364C8">
        <w:rPr>
          <w:bCs/>
          <w:color w:val="000000"/>
        </w:rPr>
        <w:t>must</w:t>
      </w:r>
      <w:r w:rsidRPr="00735C46">
        <w:rPr>
          <w:color w:val="000000"/>
        </w:rPr>
        <w:t xml:space="preserve"> manually enter data categorized by race or ethnicity, gender, and job category to the </w:t>
      </w:r>
      <w:r w:rsidR="0014482E">
        <w:rPr>
          <w:color w:val="000000"/>
        </w:rPr>
        <w:t>t</w:t>
      </w:r>
      <w:r w:rsidRPr="00735C46">
        <w:rPr>
          <w:color w:val="000000"/>
        </w:rPr>
        <w:t xml:space="preserve">ype 2 ‘Consolidated Report’ to include all company employees. </w:t>
      </w:r>
    </w:p>
    <w:p w:rsidRPr="00735C46" w:rsidR="00893557" w:rsidP="00893557" w:rsidRDefault="00893557" w14:paraId="6C451CA5" w14:textId="77777777">
      <w:pPr>
        <w:autoSpaceDE w:val="0"/>
        <w:autoSpaceDN w:val="0"/>
        <w:adjustRightInd w:val="0"/>
        <w:ind w:left="1440"/>
        <w:rPr>
          <w:color w:val="000000"/>
        </w:rPr>
      </w:pPr>
    </w:p>
    <w:p w:rsidR="00893557" w:rsidP="0014482E" w:rsidRDefault="00893557" w14:paraId="3268E206" w14:textId="14341D54">
      <w:pPr>
        <w:autoSpaceDE w:val="0"/>
        <w:autoSpaceDN w:val="0"/>
        <w:adjustRightInd w:val="0"/>
        <w:rPr>
          <w:color w:val="000000"/>
        </w:rPr>
      </w:pPr>
      <w:r w:rsidRPr="00735C46">
        <w:rPr>
          <w:color w:val="000000"/>
        </w:rPr>
        <w:t xml:space="preserve">The </w:t>
      </w:r>
      <w:r>
        <w:rPr>
          <w:color w:val="000000"/>
        </w:rPr>
        <w:t xml:space="preserve">EEOC concluded the </w:t>
      </w:r>
      <w:r w:rsidRPr="00735C46">
        <w:rPr>
          <w:color w:val="000000"/>
        </w:rPr>
        <w:t xml:space="preserve">time and resources used to collect and report data for many </w:t>
      </w:r>
      <w:r w:rsidR="00571041">
        <w:rPr>
          <w:color w:val="000000"/>
        </w:rPr>
        <w:t xml:space="preserve">of </w:t>
      </w:r>
      <w:r w:rsidRPr="00735C46">
        <w:rPr>
          <w:color w:val="000000"/>
        </w:rPr>
        <w:t xml:space="preserve">these reports at different locations, some of which are more detailed than others, is greater than that needed to prepare a single report or a few reports at one or two locations.  </w:t>
      </w:r>
      <w:r w:rsidR="0078480B">
        <w:rPr>
          <w:color w:val="000000"/>
        </w:rPr>
        <w:t xml:space="preserve">  </w:t>
      </w:r>
      <w:r w:rsidRPr="00735C46">
        <w:rPr>
          <w:color w:val="000000"/>
        </w:rPr>
        <w:t xml:space="preserve">  </w:t>
      </w:r>
    </w:p>
    <w:p w:rsidR="00391845" w:rsidP="00893557" w:rsidRDefault="00391845" w14:paraId="7CB3D239" w14:textId="77777777">
      <w:pPr>
        <w:autoSpaceDE w:val="0"/>
        <w:autoSpaceDN w:val="0"/>
        <w:adjustRightInd w:val="0"/>
        <w:rPr>
          <w:color w:val="000000"/>
        </w:rPr>
      </w:pPr>
    </w:p>
    <w:p w:rsidR="00391845" w:rsidP="00AB062D" w:rsidRDefault="0084479E" w14:paraId="1994D0F1" w14:textId="77777777">
      <w:pPr>
        <w:autoSpaceDE w:val="0"/>
        <w:autoSpaceDN w:val="0"/>
        <w:adjustRightInd w:val="0"/>
        <w:rPr>
          <w:color w:val="000000"/>
        </w:rPr>
      </w:pPr>
      <w:r>
        <w:rPr>
          <w:color w:val="000000"/>
        </w:rPr>
        <w:t xml:space="preserve">This analysis revealed that the </w:t>
      </w:r>
      <w:r w:rsidR="00FA4A31">
        <w:rPr>
          <w:color w:val="000000"/>
        </w:rPr>
        <w:t>previously published</w:t>
      </w:r>
      <w:r w:rsidR="00562C3B">
        <w:rPr>
          <w:color w:val="000000"/>
        </w:rPr>
        <w:t xml:space="preserve"> 2016</w:t>
      </w:r>
      <w:r w:rsidR="00FA4A31">
        <w:rPr>
          <w:color w:val="000000"/>
        </w:rPr>
        <w:t xml:space="preserve"> burden hours </w:t>
      </w:r>
      <w:r w:rsidR="00F359A9">
        <w:rPr>
          <w:color w:val="000000"/>
        </w:rPr>
        <w:t xml:space="preserve">underestimated the Component 1 EEO-1 burden by </w:t>
      </w:r>
      <w:r w:rsidR="00DC796E">
        <w:rPr>
          <w:color w:val="000000"/>
        </w:rPr>
        <w:t xml:space="preserve">7,188,080 hours and the cost by </w:t>
      </w:r>
      <w:r w:rsidR="00C87EAB">
        <w:rPr>
          <w:color w:val="000000"/>
        </w:rPr>
        <w:t xml:space="preserve">more than $243.5 million dollars. </w:t>
      </w:r>
      <w:r w:rsidR="001F7A5C">
        <w:rPr>
          <w:color w:val="000000"/>
        </w:rPr>
        <w:t xml:space="preserve"> </w:t>
      </w:r>
      <w:r w:rsidR="00391845">
        <w:rPr>
          <w:color w:val="000000"/>
        </w:rPr>
        <w:t xml:space="preserve">Sections 12 and 13 of this </w:t>
      </w:r>
      <w:r w:rsidR="001F7A5C">
        <w:rPr>
          <w:color w:val="000000"/>
        </w:rPr>
        <w:t xml:space="preserve">statement </w:t>
      </w:r>
      <w:r w:rsidR="00C16578">
        <w:rPr>
          <w:color w:val="000000"/>
        </w:rPr>
        <w:t>outline how OEDA recalculated an accurate burden estimate and the costs associated with it.</w:t>
      </w:r>
    </w:p>
    <w:p w:rsidR="001E636E" w:rsidP="00813366" w:rsidRDefault="001E636E" w14:paraId="7D206751" w14:textId="77777777">
      <w:pPr>
        <w:autoSpaceDE w:val="0"/>
        <w:autoSpaceDN w:val="0"/>
        <w:adjustRightInd w:val="0"/>
        <w:ind w:left="720"/>
      </w:pPr>
    </w:p>
    <w:p w:rsidR="00AB1F4A" w:rsidP="007B26F3" w:rsidRDefault="00231365" w14:paraId="5F28905A" w14:textId="77777777">
      <w:pPr>
        <w:autoSpaceDE w:val="0"/>
        <w:autoSpaceDN w:val="0"/>
        <w:adjustRightInd w:val="0"/>
      </w:pPr>
      <w:r>
        <w:t>16.</w:t>
      </w:r>
      <w:r>
        <w:tab/>
      </w:r>
      <w:r w:rsidRPr="00813366" w:rsidR="00AB1F4A">
        <w:rPr>
          <w:u w:val="single"/>
        </w:rPr>
        <w:t>Publication of data for statistical use</w:t>
      </w:r>
      <w:r w:rsidR="00AB1F4A">
        <w:t xml:space="preserve"> </w:t>
      </w:r>
    </w:p>
    <w:p w:rsidRPr="00231365" w:rsidR="00231365" w:rsidP="00AB062D" w:rsidRDefault="00231365" w14:paraId="3236A556" w14:textId="77777777">
      <w:pPr>
        <w:autoSpaceDE w:val="0"/>
        <w:autoSpaceDN w:val="0"/>
        <w:adjustRightInd w:val="0"/>
        <w:rPr>
          <w:lang w:val="en"/>
        </w:rPr>
      </w:pPr>
      <w:r w:rsidRPr="00BB7F50">
        <w:t xml:space="preserve">In each survey year a publication, </w:t>
      </w:r>
      <w:r w:rsidRPr="00BB7F50">
        <w:rPr>
          <w:i/>
          <w:lang w:val="en"/>
        </w:rPr>
        <w:t>Job Patterns for Minorities and Women in Private</w:t>
      </w:r>
      <w:r w:rsidR="006E4A00">
        <w:rPr>
          <w:i/>
          <w:lang w:val="en"/>
        </w:rPr>
        <w:t xml:space="preserve"> </w:t>
      </w:r>
      <w:r w:rsidRPr="00BB7F50">
        <w:rPr>
          <w:i/>
          <w:lang w:val="en"/>
        </w:rPr>
        <w:t>Industry</w:t>
      </w:r>
      <w:r w:rsidR="00A0079F">
        <w:rPr>
          <w:lang w:val="en"/>
        </w:rPr>
        <w:t>,</w:t>
      </w:r>
      <w:r w:rsidRPr="00BB7F50">
        <w:rPr>
          <w:lang w:val="en"/>
        </w:rPr>
        <w:t xml:space="preserve"> is posted on the EEOC web site.  The publication includes non-confidential aggregations of the EEO-1 data based on various geographic and industrial criteria</w:t>
      </w:r>
      <w:r w:rsidR="00B71472">
        <w:rPr>
          <w:lang w:val="en"/>
        </w:rPr>
        <w:t xml:space="preserve"> and can be found at</w:t>
      </w:r>
      <w:r w:rsidR="00E0071E">
        <w:rPr>
          <w:lang w:val="en"/>
        </w:rPr>
        <w:t xml:space="preserve"> </w:t>
      </w:r>
      <w:hyperlink w:history="1" r:id="rId14">
        <w:r w:rsidRPr="00BB7F50">
          <w:rPr>
            <w:rStyle w:val="Hyperlink"/>
            <w:lang w:val="en"/>
          </w:rPr>
          <w:t>http://www.eeoc.gov/eeoc/statistics/employment/jobpat-eeo1/index.cfm</w:t>
        </w:r>
      </w:hyperlink>
      <w:r w:rsidRPr="00BB7F50">
        <w:rPr>
          <w:lang w:val="en"/>
        </w:rPr>
        <w:t xml:space="preserve">. </w:t>
      </w:r>
      <w:r w:rsidR="00B71472">
        <w:rPr>
          <w:lang w:val="en"/>
        </w:rPr>
        <w:t xml:space="preserve"> </w:t>
      </w:r>
      <w:r w:rsidRPr="00BB7F50">
        <w:rPr>
          <w:lang w:val="en"/>
        </w:rPr>
        <w:t xml:space="preserve">Similar data sets are available on </w:t>
      </w:r>
      <w:hyperlink w:history="1" r:id="rId15">
        <w:r w:rsidRPr="00BB7F50">
          <w:rPr>
            <w:rStyle w:val="Hyperlink"/>
            <w:lang w:val="en"/>
          </w:rPr>
          <w:t>www.data.gov</w:t>
        </w:r>
      </w:hyperlink>
      <w:r w:rsidRPr="00BB7F50">
        <w:rPr>
          <w:lang w:val="en"/>
        </w:rPr>
        <w:t xml:space="preserve">.  </w:t>
      </w:r>
      <w:r>
        <w:rPr>
          <w:lang w:val="en"/>
        </w:rPr>
        <w:t xml:space="preserve">  </w:t>
      </w:r>
    </w:p>
    <w:p w:rsidRPr="00E159FD" w:rsidR="00231365" w:rsidP="000B732F" w:rsidRDefault="00231365" w14:paraId="7571A982" w14:textId="77777777">
      <w:pPr>
        <w:autoSpaceDE w:val="0"/>
        <w:autoSpaceDN w:val="0"/>
        <w:adjustRightInd w:val="0"/>
      </w:pPr>
    </w:p>
    <w:p w:rsidR="00AB1F4A" w:rsidP="007B26F3" w:rsidRDefault="009D13EE" w14:paraId="2480D531" w14:textId="77777777">
      <w:pPr>
        <w:autoSpaceDE w:val="0"/>
        <w:autoSpaceDN w:val="0"/>
        <w:adjustRightInd w:val="0"/>
      </w:pPr>
      <w:r w:rsidRPr="00E159FD">
        <w:t>1</w:t>
      </w:r>
      <w:r>
        <w:t>7</w:t>
      </w:r>
      <w:r w:rsidRPr="00E159FD" w:rsidR="001B6AC1">
        <w:t xml:space="preserve">. </w:t>
      </w:r>
      <w:r w:rsidRPr="00E159FD" w:rsidR="008879D9">
        <w:t xml:space="preserve">  </w:t>
      </w:r>
      <w:r w:rsidRPr="00E159FD" w:rsidR="001335F6">
        <w:tab/>
      </w:r>
      <w:r w:rsidRPr="00813366" w:rsidR="00AB1F4A">
        <w:rPr>
          <w:u w:val="single"/>
        </w:rPr>
        <w:t>Approval not to display the expiration date</w:t>
      </w:r>
    </w:p>
    <w:p w:rsidRPr="00E159FD" w:rsidR="0082223F" w:rsidP="0014482E" w:rsidRDefault="00AB1F4A" w14:paraId="7D7F811A" w14:textId="77777777">
      <w:pPr>
        <w:autoSpaceDE w:val="0"/>
        <w:autoSpaceDN w:val="0"/>
        <w:adjustRightInd w:val="0"/>
      </w:pPr>
      <w:r>
        <w:t xml:space="preserve">The </w:t>
      </w:r>
      <w:r w:rsidRPr="009D13EE" w:rsidR="0082223F">
        <w:t xml:space="preserve">EEOC is not seeking approval </w:t>
      </w:r>
      <w:r>
        <w:t>to not display the OMB approval expiration date on the EEO-1 report</w:t>
      </w:r>
      <w:r w:rsidR="002C12FD">
        <w:t>.</w:t>
      </w:r>
    </w:p>
    <w:p w:rsidRPr="00E159FD" w:rsidR="00DC1106" w:rsidP="000B732F" w:rsidRDefault="00593A39" w14:paraId="1F88CD84" w14:textId="77777777">
      <w:pPr>
        <w:autoSpaceDE w:val="0"/>
        <w:autoSpaceDN w:val="0"/>
        <w:adjustRightInd w:val="0"/>
      </w:pPr>
      <w:r>
        <w:t xml:space="preserve">    </w:t>
      </w:r>
    </w:p>
    <w:p w:rsidR="00AB1F4A" w:rsidP="00A00AA7" w:rsidRDefault="009D13EE" w14:paraId="5E40F939" w14:textId="77777777">
      <w:pPr>
        <w:keepNext/>
        <w:autoSpaceDE w:val="0"/>
        <w:autoSpaceDN w:val="0"/>
        <w:adjustRightInd w:val="0"/>
      </w:pPr>
      <w:r w:rsidRPr="00E159FD">
        <w:t>1</w:t>
      </w:r>
      <w:r>
        <w:t>8</w:t>
      </w:r>
      <w:r w:rsidRPr="00E159FD" w:rsidR="001B6AC1">
        <w:t xml:space="preserve">. </w:t>
      </w:r>
      <w:r w:rsidRPr="00E159FD" w:rsidR="008879D9">
        <w:t xml:space="preserve">   </w:t>
      </w:r>
      <w:r w:rsidRPr="00E159FD" w:rsidR="001335F6">
        <w:tab/>
      </w:r>
      <w:r w:rsidRPr="00813366" w:rsidR="00AB1F4A">
        <w:rPr>
          <w:u w:val="single"/>
        </w:rPr>
        <w:t>Exceptions to the certification statement</w:t>
      </w:r>
      <w:r w:rsidR="00AB1F4A">
        <w:t xml:space="preserve"> </w:t>
      </w:r>
    </w:p>
    <w:p w:rsidRPr="00E159FD" w:rsidR="00DC1106" w:rsidP="0014482E" w:rsidRDefault="00801AEA" w14:paraId="7DA5E95A" w14:textId="77777777">
      <w:pPr>
        <w:autoSpaceDE w:val="0"/>
        <w:autoSpaceDN w:val="0"/>
        <w:adjustRightInd w:val="0"/>
      </w:pPr>
      <w:r>
        <w:t xml:space="preserve">The EEOC is not seeking any exceptions to the certification statement under this information collection request. </w:t>
      </w:r>
    </w:p>
    <w:p w:rsidRPr="00E159FD" w:rsidR="00DC1106" w:rsidP="000B732F" w:rsidRDefault="00DC1106" w14:paraId="60F6263E" w14:textId="77777777">
      <w:pPr>
        <w:autoSpaceDE w:val="0"/>
        <w:autoSpaceDN w:val="0"/>
        <w:adjustRightInd w:val="0"/>
      </w:pPr>
    </w:p>
    <w:p w:rsidRPr="00E159FD" w:rsidR="00A0079F" w:rsidP="00D649B7" w:rsidRDefault="00A0079F" w14:paraId="5E25FECD" w14:textId="77777777">
      <w:pPr>
        <w:autoSpaceDE w:val="0"/>
        <w:autoSpaceDN w:val="0"/>
        <w:adjustRightInd w:val="0"/>
        <w:ind w:left="720"/>
      </w:pPr>
    </w:p>
    <w:sectPr w:rsidRPr="00E159FD" w:rsidR="00A0079F" w:rsidSect="00A45E96">
      <w:footerReference w:type="default" r:id="rId16"/>
      <w:pgSz w:w="12240" w:h="15840" w:code="1"/>
      <w:pgMar w:top="1440" w:right="43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F822" w14:textId="77777777" w:rsidR="00A905A1" w:rsidRDefault="00A905A1">
      <w:r>
        <w:separator/>
      </w:r>
    </w:p>
  </w:endnote>
  <w:endnote w:type="continuationSeparator" w:id="0">
    <w:p w14:paraId="3848B17F" w14:textId="77777777" w:rsidR="00A905A1" w:rsidRDefault="00A905A1">
      <w:r>
        <w:continuationSeparator/>
      </w:r>
    </w:p>
  </w:endnote>
  <w:endnote w:type="continuationNotice" w:id="1">
    <w:p w14:paraId="19749AF2" w14:textId="77777777" w:rsidR="00A905A1" w:rsidRDefault="00A90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6989" w14:textId="77777777" w:rsidR="00267AC7" w:rsidRDefault="00267AC7">
    <w:pPr>
      <w:pStyle w:val="Footer"/>
      <w:jc w:val="center"/>
    </w:pPr>
    <w:r>
      <w:fldChar w:fldCharType="begin"/>
    </w:r>
    <w:r>
      <w:instrText xml:space="preserve"> PAGE   \* MERGEFORMAT </w:instrText>
    </w:r>
    <w:r>
      <w:fldChar w:fldCharType="separate"/>
    </w:r>
    <w:r>
      <w:rPr>
        <w:noProof/>
      </w:rPr>
      <w:t>8</w:t>
    </w:r>
    <w:r>
      <w:rPr>
        <w:noProof/>
      </w:rPr>
      <w:fldChar w:fldCharType="end"/>
    </w:r>
  </w:p>
  <w:p w14:paraId="37DE8137" w14:textId="77777777" w:rsidR="00267AC7" w:rsidRDefault="0026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4450" w14:textId="77777777" w:rsidR="00A905A1" w:rsidRDefault="00A905A1">
      <w:r>
        <w:separator/>
      </w:r>
    </w:p>
  </w:footnote>
  <w:footnote w:type="continuationSeparator" w:id="0">
    <w:p w14:paraId="43E45876" w14:textId="77777777" w:rsidR="00A905A1" w:rsidRDefault="00A905A1">
      <w:r>
        <w:continuationSeparator/>
      </w:r>
    </w:p>
  </w:footnote>
  <w:footnote w:type="continuationNotice" w:id="1">
    <w:p w14:paraId="07DBBB00" w14:textId="77777777" w:rsidR="00A905A1" w:rsidRDefault="00A905A1"/>
  </w:footnote>
  <w:footnote w:id="2">
    <w:p w14:paraId="32B9C5BF" w14:textId="77777777" w:rsidR="00267AC7" w:rsidRDefault="00267AC7">
      <w:pPr>
        <w:pStyle w:val="FootnoteText"/>
      </w:pPr>
      <w:r>
        <w:rPr>
          <w:rStyle w:val="FootnoteReference"/>
        </w:rPr>
        <w:footnoteRef/>
      </w:r>
      <w:r>
        <w:t xml:space="preserve"> </w:t>
      </w:r>
      <w:r w:rsidRPr="002679A8">
        <w:rPr>
          <w:i/>
        </w:rPr>
        <w:t>See</w:t>
      </w:r>
      <w:r>
        <w:t xml:space="preserve"> </w:t>
      </w:r>
      <w:hyperlink r:id="rId1" w:history="1">
        <w:r w:rsidRPr="00AF0E6F">
          <w:rPr>
            <w:rStyle w:val="Hyperlink"/>
          </w:rPr>
          <w:t>https://www.govinfo.gov/app/details/CFR-2009-title29-vol4/CFR-2009-title29-vol4-sec1602-7/summary</w:t>
        </w:r>
      </w:hyperlink>
      <w:r>
        <w:t xml:space="preserve"> for more information.</w:t>
      </w:r>
    </w:p>
  </w:footnote>
  <w:footnote w:id="3">
    <w:p w14:paraId="1BE3F8EB" w14:textId="77777777" w:rsidR="00267AC7" w:rsidRDefault="00267AC7" w:rsidP="00F62A50">
      <w:pPr>
        <w:pStyle w:val="FootnoteText"/>
      </w:pPr>
      <w:r>
        <w:rPr>
          <w:rStyle w:val="FootnoteReference"/>
        </w:rPr>
        <w:footnoteRef/>
      </w:r>
      <w:r>
        <w:t xml:space="preserve"> </w:t>
      </w:r>
      <w:r>
        <w:rPr>
          <w:bCs/>
          <w:lang w:val="en"/>
        </w:rPr>
        <w:t>Federal contractors that (1) are</w:t>
      </w:r>
      <w:r w:rsidRPr="001C57E3">
        <w:rPr>
          <w:bCs/>
          <w:lang w:val="en"/>
        </w:rPr>
        <w:t xml:space="preserve"> not exempt from the provisions of these regulations in accordance with </w:t>
      </w:r>
      <w:r>
        <w:rPr>
          <w:bCs/>
          <w:lang w:val="en"/>
        </w:rPr>
        <w:t>41 CFR §</w:t>
      </w:r>
      <w:r w:rsidRPr="00EB6FCA">
        <w:rPr>
          <w:bCs/>
          <w:lang w:val="en"/>
        </w:rPr>
        <w:t>60-1.5</w:t>
      </w:r>
      <w:r>
        <w:rPr>
          <w:bCs/>
          <w:lang w:val="en"/>
        </w:rPr>
        <w:t>, (2) have 50 or more employees, (3) are</w:t>
      </w:r>
      <w:r w:rsidRPr="001C57E3">
        <w:rPr>
          <w:bCs/>
          <w:lang w:val="en"/>
        </w:rPr>
        <w:t xml:space="preserve"> prime contractor</w:t>
      </w:r>
      <w:r>
        <w:rPr>
          <w:bCs/>
          <w:lang w:val="en"/>
        </w:rPr>
        <w:t>s</w:t>
      </w:r>
      <w:r w:rsidRPr="001C57E3">
        <w:rPr>
          <w:bCs/>
          <w:lang w:val="en"/>
        </w:rPr>
        <w:t xml:space="preserve"> or first tier subcontractor</w:t>
      </w:r>
      <w:r>
        <w:rPr>
          <w:bCs/>
          <w:lang w:val="en"/>
        </w:rPr>
        <w:t>s, and (4) have</w:t>
      </w:r>
      <w:r w:rsidRPr="001C57E3">
        <w:rPr>
          <w:bCs/>
          <w:lang w:val="en"/>
        </w:rPr>
        <w:t xml:space="preserve"> a contract, subcontract or purchase order amounting to $50,000 or more</w:t>
      </w:r>
      <w:r>
        <w:rPr>
          <w:bCs/>
          <w:lang w:val="en"/>
        </w:rPr>
        <w:t>, or serve as depositories</w:t>
      </w:r>
      <w:r w:rsidRPr="001C57E3">
        <w:rPr>
          <w:bCs/>
          <w:lang w:val="en"/>
        </w:rPr>
        <w:t xml:space="preserve"> of Governm</w:t>
      </w:r>
      <w:r>
        <w:rPr>
          <w:bCs/>
          <w:lang w:val="en"/>
        </w:rPr>
        <w:t>ent funds in any amount, or are</w:t>
      </w:r>
      <w:r w:rsidRPr="001C57E3">
        <w:rPr>
          <w:bCs/>
          <w:lang w:val="en"/>
        </w:rPr>
        <w:t xml:space="preserve"> financial institution</w:t>
      </w:r>
      <w:r>
        <w:rPr>
          <w:bCs/>
          <w:lang w:val="en"/>
        </w:rPr>
        <w:t>s which are</w:t>
      </w:r>
      <w:r w:rsidRPr="001C57E3">
        <w:rPr>
          <w:bCs/>
          <w:lang w:val="en"/>
        </w:rPr>
        <w:t xml:space="preserve"> issuing and paying agent</w:t>
      </w:r>
      <w:r>
        <w:rPr>
          <w:bCs/>
          <w:lang w:val="en"/>
        </w:rPr>
        <w:t>s</w:t>
      </w:r>
      <w:r w:rsidRPr="001C57E3">
        <w:rPr>
          <w:bCs/>
          <w:lang w:val="en"/>
        </w:rPr>
        <w:t xml:space="preserve"> for U.S. s</w:t>
      </w:r>
      <w:r>
        <w:rPr>
          <w:bCs/>
          <w:lang w:val="en"/>
        </w:rPr>
        <w:t xml:space="preserve">avings bonds and savings notes. </w:t>
      </w:r>
      <w:r w:rsidRPr="00C21749">
        <w:rPr>
          <w:i/>
        </w:rPr>
        <w:t>See</w:t>
      </w:r>
      <w:r>
        <w:t xml:space="preserve"> </w:t>
      </w:r>
      <w:hyperlink r:id="rId2" w:history="1">
        <w:r w:rsidRPr="00AF0E6F">
          <w:rPr>
            <w:rStyle w:val="Hyperlink"/>
          </w:rPr>
          <w:t>https://www.govinfo.gov/app/details/CFR-1999-title41-vol1/CFR-1999-title41-vol1-sec60-1-7</w:t>
        </w:r>
      </w:hyperlink>
      <w:r>
        <w:t xml:space="preserve"> for more information.</w:t>
      </w:r>
    </w:p>
    <w:p w14:paraId="13D1229F" w14:textId="77777777" w:rsidR="00267AC7" w:rsidRDefault="00267AC7" w:rsidP="00F62A50">
      <w:pPr>
        <w:pStyle w:val="FootnoteText"/>
      </w:pPr>
    </w:p>
  </w:footnote>
  <w:footnote w:id="4">
    <w:p w14:paraId="5929D9AB" w14:textId="77777777" w:rsidR="00267AC7" w:rsidRPr="001B06E5" w:rsidRDefault="00267AC7" w:rsidP="003C7F00">
      <w:pPr>
        <w:pStyle w:val="FootnoteText"/>
      </w:pPr>
      <w:r w:rsidRPr="001B06E5">
        <w:rPr>
          <w:rStyle w:val="FootnoteReference"/>
        </w:rPr>
        <w:footnoteRef/>
      </w:r>
      <w:r w:rsidRPr="001B06E5">
        <w:t xml:space="preserve"> </w:t>
      </w:r>
      <w:bookmarkStart w:id="1" w:name="_Hlk32333041"/>
      <w:r>
        <w:rPr>
          <w:i/>
        </w:rPr>
        <w:t xml:space="preserve">See </w:t>
      </w:r>
      <w:r w:rsidRPr="001B06E5">
        <w:rPr>
          <w:color w:val="000000"/>
        </w:rPr>
        <w:t>84 F</w:t>
      </w:r>
      <w:r>
        <w:rPr>
          <w:color w:val="000000"/>
        </w:rPr>
        <w:t xml:space="preserve">ed. </w:t>
      </w:r>
      <w:r w:rsidRPr="001B06E5">
        <w:rPr>
          <w:color w:val="000000"/>
        </w:rPr>
        <w:t>R</w:t>
      </w:r>
      <w:r>
        <w:rPr>
          <w:color w:val="000000"/>
        </w:rPr>
        <w:t>eg.</w:t>
      </w:r>
      <w:r w:rsidRPr="001B06E5">
        <w:rPr>
          <w:color w:val="000000"/>
        </w:rPr>
        <w:t xml:space="preserve"> 48138</w:t>
      </w:r>
      <w:r>
        <w:rPr>
          <w:color w:val="000000"/>
        </w:rPr>
        <w:t xml:space="preserve"> (Sept. 12, 2019)</w:t>
      </w:r>
      <w:bookmarkEnd w:id="1"/>
      <w:r>
        <w:rPr>
          <w:color w:val="000000"/>
        </w:rPr>
        <w:t>.</w:t>
      </w:r>
      <w:r w:rsidR="00745B76">
        <w:rPr>
          <w:color w:val="000000"/>
        </w:rPr>
        <w:t xml:space="preserve"> </w:t>
      </w:r>
      <w:r w:rsidR="00EF050C">
        <w:rPr>
          <w:color w:val="000000"/>
        </w:rPr>
        <w:t xml:space="preserve"> </w:t>
      </w:r>
      <w:r w:rsidR="00745B76" w:rsidRPr="00745B76">
        <w:rPr>
          <w:color w:val="000000"/>
        </w:rPr>
        <w:t xml:space="preserve">Historically, OMB has approved collection of the EEO-1 Component 1 under OMB Control Number 3046-0007. This information clearance requests for a new OMB Control Number for collection of Component 1 to distinguish it from </w:t>
      </w:r>
      <w:r w:rsidR="00EF050C">
        <w:rPr>
          <w:color w:val="000000"/>
        </w:rPr>
        <w:t>the recently co</w:t>
      </w:r>
      <w:r w:rsidR="00F842A8">
        <w:rPr>
          <w:color w:val="000000"/>
        </w:rPr>
        <w:t>mpleted</w:t>
      </w:r>
      <w:r w:rsidR="00EF050C">
        <w:rPr>
          <w:color w:val="000000"/>
        </w:rPr>
        <w:t xml:space="preserve"> </w:t>
      </w:r>
      <w:r w:rsidR="00745B76" w:rsidRPr="00745B76">
        <w:rPr>
          <w:color w:val="000000"/>
        </w:rPr>
        <w:t>collection of Component 2 and to minimize confusion.</w:t>
      </w:r>
      <w:r w:rsidR="000E1CC9" w:rsidRPr="001B06E5">
        <w:t xml:space="preserve"> </w:t>
      </w:r>
    </w:p>
  </w:footnote>
  <w:footnote w:id="5">
    <w:p w14:paraId="35905FE5" w14:textId="77777777" w:rsidR="00267AC7" w:rsidRPr="002D7703" w:rsidRDefault="00267AC7" w:rsidP="003C7F00">
      <w:pPr>
        <w:shd w:val="clear" w:color="auto" w:fill="FFFFFF"/>
        <w:spacing w:before="40" w:after="40"/>
        <w:ind w:right="244"/>
        <w:rPr>
          <w:sz w:val="20"/>
          <w:szCs w:val="20"/>
        </w:rPr>
      </w:pPr>
      <w:r w:rsidRPr="002D7703">
        <w:rPr>
          <w:rStyle w:val="FootnoteReference"/>
          <w:sz w:val="20"/>
          <w:szCs w:val="20"/>
        </w:rPr>
        <w:footnoteRef/>
      </w:r>
      <w:r w:rsidRPr="002D7703">
        <w:rPr>
          <w:sz w:val="20"/>
          <w:szCs w:val="20"/>
        </w:rPr>
        <w:t xml:space="preserve"> The press release on the hearing is available at </w:t>
      </w:r>
      <w:r w:rsidRPr="002D7703">
        <w:rPr>
          <w:i/>
          <w:sz w:val="20"/>
          <w:szCs w:val="20"/>
        </w:rPr>
        <w:t xml:space="preserve">EEOC Examines the Efficacy of EEOC’s Pay Data Collection Model </w:t>
      </w:r>
      <w:r w:rsidRPr="002D7703">
        <w:rPr>
          <w:sz w:val="20"/>
          <w:szCs w:val="20"/>
        </w:rPr>
        <w:t xml:space="preserve">(Nov. 20, 2019), https://www.eeoc.gov/eeoc/newsroom/release/11-20-19.cfm. </w:t>
      </w:r>
      <w:r>
        <w:rPr>
          <w:sz w:val="20"/>
          <w:szCs w:val="20"/>
        </w:rPr>
        <w:t xml:space="preserve"> </w:t>
      </w:r>
      <w:r w:rsidRPr="002D7703">
        <w:rPr>
          <w:sz w:val="20"/>
          <w:szCs w:val="20"/>
        </w:rPr>
        <w:t xml:space="preserve">The hearing transcript, and statements and biographies of the witnesses are available at EEOC, </w:t>
      </w:r>
      <w:r w:rsidRPr="002D7703">
        <w:rPr>
          <w:i/>
          <w:sz w:val="20"/>
          <w:szCs w:val="20"/>
        </w:rPr>
        <w:t>Hearing of November 20, 2019 – Public Hearing on the Proposed Revisions of the Employer Information Report (EEO-1),</w:t>
      </w:r>
      <w:r w:rsidRPr="002D7703">
        <w:rPr>
          <w:sz w:val="20"/>
          <w:szCs w:val="20"/>
        </w:rPr>
        <w:t xml:space="preserve"> https://www.eeoc.gov/eeoc/meetings/11-20-19/index.cfm. </w:t>
      </w:r>
    </w:p>
  </w:footnote>
  <w:footnote w:id="6">
    <w:p w14:paraId="7EBBA7CF" w14:textId="45A33E81" w:rsidR="007922D1" w:rsidRDefault="007922D1">
      <w:pPr>
        <w:pStyle w:val="FootnoteText"/>
      </w:pPr>
      <w:r>
        <w:rPr>
          <w:rStyle w:val="FootnoteReference"/>
        </w:rPr>
        <w:footnoteRef/>
      </w:r>
      <w:r>
        <w:t xml:space="preserve"> </w:t>
      </w:r>
      <w:r>
        <w:rPr>
          <w:i/>
        </w:rPr>
        <w:t xml:space="preserve">See </w:t>
      </w:r>
      <w:bookmarkStart w:id="3" w:name="_Hlk32333099"/>
      <w:r w:rsidR="00C11979">
        <w:t xml:space="preserve">85 </w:t>
      </w:r>
      <w:r w:rsidRPr="001B06E5">
        <w:rPr>
          <w:color w:val="000000"/>
        </w:rPr>
        <w:t>F</w:t>
      </w:r>
      <w:r>
        <w:rPr>
          <w:color w:val="000000"/>
        </w:rPr>
        <w:t xml:space="preserve">ed. </w:t>
      </w:r>
      <w:r w:rsidRPr="001B06E5">
        <w:rPr>
          <w:color w:val="000000"/>
        </w:rPr>
        <w:t>R</w:t>
      </w:r>
      <w:r>
        <w:rPr>
          <w:color w:val="000000"/>
        </w:rPr>
        <w:t>eg.</w:t>
      </w:r>
      <w:r w:rsidRPr="001B06E5">
        <w:rPr>
          <w:color w:val="000000"/>
        </w:rPr>
        <w:t xml:space="preserve"> </w:t>
      </w:r>
      <w:r w:rsidR="00C11979">
        <w:rPr>
          <w:color w:val="000000"/>
        </w:rPr>
        <w:t>16340</w:t>
      </w:r>
      <w:r>
        <w:rPr>
          <w:color w:val="000000"/>
        </w:rPr>
        <w:t xml:space="preserve"> (</w:t>
      </w:r>
      <w:r w:rsidR="00C11979">
        <w:rPr>
          <w:color w:val="000000"/>
        </w:rPr>
        <w:t>Mar. 23</w:t>
      </w:r>
      <w:r w:rsidR="002D6669">
        <w:rPr>
          <w:color w:val="000000"/>
        </w:rPr>
        <w:t>, 2020</w:t>
      </w:r>
      <w:r>
        <w:rPr>
          <w:color w:val="000000"/>
        </w:rPr>
        <w:t>)</w:t>
      </w:r>
      <w:bookmarkEnd w:id="3"/>
      <w:r w:rsidR="002D6669">
        <w:rPr>
          <w:color w:val="000000"/>
        </w:rPr>
        <w:t>.</w:t>
      </w:r>
    </w:p>
  </w:footnote>
  <w:footnote w:id="7">
    <w:p w14:paraId="0021A551" w14:textId="77777777" w:rsidR="00046BA4" w:rsidRPr="001B06E5" w:rsidRDefault="00046BA4" w:rsidP="00046BA4">
      <w:pPr>
        <w:pStyle w:val="FootnoteText"/>
      </w:pPr>
      <w:r w:rsidRPr="001B06E5">
        <w:rPr>
          <w:rStyle w:val="FootnoteReference"/>
        </w:rPr>
        <w:footnoteRef/>
      </w:r>
      <w:r w:rsidRPr="001B06E5">
        <w:t xml:space="preserve"> </w:t>
      </w:r>
      <w:r w:rsidR="001969AE">
        <w:rPr>
          <w:i/>
        </w:rPr>
        <w:t>Id</w:t>
      </w:r>
      <w:r w:rsidRPr="00745B76">
        <w:rPr>
          <w:color w:val="000000"/>
        </w:rPr>
        <w:t>.</w:t>
      </w:r>
    </w:p>
  </w:footnote>
  <w:footnote w:id="8">
    <w:p w14:paraId="25CFC44F" w14:textId="77777777" w:rsidR="00267AC7" w:rsidRDefault="00267AC7" w:rsidP="00F62A50">
      <w:pPr>
        <w:pStyle w:val="FootnoteText"/>
      </w:pPr>
      <w:r>
        <w:rPr>
          <w:rStyle w:val="FootnoteReference"/>
        </w:rPr>
        <w:footnoteRef/>
      </w:r>
      <w:r>
        <w:t xml:space="preserve"> </w:t>
      </w:r>
      <w:r w:rsidRPr="0012570C">
        <w:t>Pub. L.</w:t>
      </w:r>
      <w:r>
        <w:t xml:space="preserve"> No. </w:t>
      </w:r>
      <w:r w:rsidRPr="0012570C">
        <w:t>115-435 (2019)</w:t>
      </w:r>
      <w:r>
        <w:t>.</w:t>
      </w:r>
    </w:p>
  </w:footnote>
  <w:footnote w:id="9">
    <w:p w14:paraId="2EAAC0CD" w14:textId="77777777" w:rsidR="00267AC7" w:rsidRDefault="00267AC7">
      <w:pPr>
        <w:pStyle w:val="FootnoteText"/>
      </w:pPr>
      <w:r>
        <w:rPr>
          <w:rStyle w:val="FootnoteReference"/>
        </w:rPr>
        <w:footnoteRef/>
      </w:r>
      <w:r>
        <w:t xml:space="preserve"> </w:t>
      </w:r>
      <w:r>
        <w:rPr>
          <w:rFonts w:eastAsia="Calibri"/>
          <w:i/>
        </w:rPr>
        <w:t>See</w:t>
      </w:r>
      <w:r w:rsidRPr="00890867">
        <w:rPr>
          <w:rFonts w:eastAsia="Calibri"/>
        </w:rPr>
        <w:t xml:space="preserve"> 44 U</w:t>
      </w:r>
      <w:r>
        <w:rPr>
          <w:rFonts w:eastAsia="Calibri"/>
        </w:rPr>
        <w:t>.</w:t>
      </w:r>
      <w:r w:rsidRPr="00890867">
        <w:rPr>
          <w:rFonts w:eastAsia="Calibri"/>
        </w:rPr>
        <w:t>S</w:t>
      </w:r>
      <w:r>
        <w:rPr>
          <w:rFonts w:eastAsia="Calibri"/>
        </w:rPr>
        <w:t>.</w:t>
      </w:r>
      <w:r w:rsidRPr="00890867">
        <w:rPr>
          <w:rFonts w:eastAsia="Calibri"/>
        </w:rPr>
        <w:t>C</w:t>
      </w:r>
      <w:r>
        <w:rPr>
          <w:rFonts w:eastAsia="Calibri"/>
        </w:rPr>
        <w:t>. §</w:t>
      </w:r>
      <w:r w:rsidRPr="00890867">
        <w:rPr>
          <w:rFonts w:eastAsia="Calibri"/>
        </w:rPr>
        <w:t xml:space="preserve"> 3561</w:t>
      </w:r>
      <w:r>
        <w:rPr>
          <w:rFonts w:eastAsia="Calibri"/>
        </w:rPr>
        <w:t>(12).</w:t>
      </w:r>
    </w:p>
  </w:footnote>
  <w:footnote w:id="10">
    <w:p w14:paraId="67B33FE1" w14:textId="77777777" w:rsidR="00267AC7" w:rsidRDefault="00267AC7">
      <w:pPr>
        <w:pStyle w:val="FootnoteText"/>
      </w:pPr>
      <w:r>
        <w:rPr>
          <w:rStyle w:val="FootnoteReference"/>
        </w:rPr>
        <w:footnoteRef/>
      </w:r>
      <w:r>
        <w:t xml:space="preserve"> </w:t>
      </w:r>
      <w:r>
        <w:rPr>
          <w:rFonts w:eastAsia="Calibri"/>
          <w:i/>
        </w:rPr>
        <w:t>See</w:t>
      </w:r>
      <w:r w:rsidRPr="00890867">
        <w:rPr>
          <w:rFonts w:eastAsia="Calibri"/>
        </w:rPr>
        <w:t xml:space="preserve"> 44 U</w:t>
      </w:r>
      <w:r>
        <w:rPr>
          <w:rFonts w:eastAsia="Calibri"/>
        </w:rPr>
        <w:t>.</w:t>
      </w:r>
      <w:r w:rsidRPr="00890867">
        <w:rPr>
          <w:rFonts w:eastAsia="Calibri"/>
        </w:rPr>
        <w:t>S</w:t>
      </w:r>
      <w:r>
        <w:rPr>
          <w:rFonts w:eastAsia="Calibri"/>
        </w:rPr>
        <w:t>.</w:t>
      </w:r>
      <w:r w:rsidRPr="00890867">
        <w:rPr>
          <w:rFonts w:eastAsia="Calibri"/>
        </w:rPr>
        <w:t>C</w:t>
      </w:r>
      <w:r>
        <w:rPr>
          <w:rFonts w:eastAsia="Calibri"/>
        </w:rPr>
        <w:t>. §</w:t>
      </w:r>
      <w:r w:rsidRPr="00890867">
        <w:rPr>
          <w:rFonts w:eastAsia="Calibri"/>
        </w:rPr>
        <w:t xml:space="preserve"> 3561</w:t>
      </w:r>
      <w:r>
        <w:rPr>
          <w:rFonts w:eastAsia="Calibri"/>
        </w:rPr>
        <w:t>(6).</w:t>
      </w:r>
    </w:p>
  </w:footnote>
  <w:footnote w:id="11">
    <w:p w14:paraId="62A6788C" w14:textId="77777777" w:rsidR="00267AC7" w:rsidRDefault="00267AC7">
      <w:pPr>
        <w:pStyle w:val="FootnoteText"/>
      </w:pPr>
      <w:r>
        <w:rPr>
          <w:rStyle w:val="FootnoteReference"/>
        </w:rPr>
        <w:footnoteRef/>
      </w:r>
      <w:r>
        <w:t xml:space="preserve"> </w:t>
      </w:r>
      <w:r>
        <w:rPr>
          <w:i/>
        </w:rPr>
        <w:t xml:space="preserve">See </w:t>
      </w:r>
      <w:hyperlink r:id="rId3" w:history="1">
        <w:r w:rsidRPr="000902C3">
          <w:rPr>
            <w:rStyle w:val="Hyperlink"/>
          </w:rPr>
          <w:t>https://www.eeoc.gov/eeoc/statistics/employment/jobpat-eeo1/index.cfm</w:t>
        </w:r>
      </w:hyperlink>
      <w:r>
        <w:rPr>
          <w:rStyle w:val="Hyperlink"/>
        </w:rPr>
        <w:t>.</w:t>
      </w:r>
    </w:p>
  </w:footnote>
  <w:footnote w:id="12">
    <w:p w14:paraId="276B7C96" w14:textId="77777777" w:rsidR="001B2851" w:rsidRPr="0012570C" w:rsidRDefault="001B2851" w:rsidP="001B2851">
      <w:pPr>
        <w:pStyle w:val="FootnoteText"/>
        <w:rPr>
          <w:color w:val="333333"/>
        </w:rPr>
      </w:pPr>
      <w:r w:rsidRPr="0012570C">
        <w:rPr>
          <w:rStyle w:val="FootnoteReference"/>
        </w:rPr>
        <w:footnoteRef/>
      </w:r>
      <w:r w:rsidRPr="0012570C">
        <w:t xml:space="preserve"> 42 U.S.C. 2000e-8(d).</w:t>
      </w:r>
    </w:p>
  </w:footnote>
  <w:footnote w:id="13">
    <w:p w14:paraId="61974548" w14:textId="77777777" w:rsidR="001231BD" w:rsidRDefault="001231BD" w:rsidP="001231BD">
      <w:pPr>
        <w:pStyle w:val="FootnoteText"/>
      </w:pPr>
      <w:r>
        <w:rPr>
          <w:rStyle w:val="FootnoteReference"/>
        </w:rPr>
        <w:footnoteRef/>
      </w:r>
      <w:r>
        <w:t xml:space="preserve"> </w:t>
      </w:r>
      <w:r w:rsidRPr="0012570C">
        <w:t>Pub. L. No. 113-283 (2014)</w:t>
      </w:r>
      <w:r>
        <w:t>.</w:t>
      </w:r>
    </w:p>
  </w:footnote>
  <w:footnote w:id="14">
    <w:p w14:paraId="0349BD3E" w14:textId="77777777" w:rsidR="001231BD" w:rsidRDefault="001231BD" w:rsidP="001231BD">
      <w:pPr>
        <w:pStyle w:val="FootnoteText"/>
      </w:pPr>
      <w:r>
        <w:rPr>
          <w:rStyle w:val="FootnoteReference"/>
        </w:rPr>
        <w:footnoteRef/>
      </w:r>
      <w:r>
        <w:t xml:space="preserve"> </w:t>
      </w:r>
      <w:r w:rsidRPr="0012570C">
        <w:t>https://www.whitehouse.gov/wp-content/uploads/2019/04/M-19-15.pdf</w:t>
      </w:r>
      <w:r>
        <w:t>.</w:t>
      </w:r>
    </w:p>
  </w:footnote>
  <w:footnote w:id="15">
    <w:p w14:paraId="3EED9E15" w14:textId="77777777" w:rsidR="001231BD" w:rsidRDefault="001231BD" w:rsidP="001231BD">
      <w:pPr>
        <w:pStyle w:val="FootnoteText"/>
        <w:rPr>
          <w:rFonts w:eastAsia="Calibri"/>
        </w:rPr>
      </w:pPr>
      <w:r>
        <w:rPr>
          <w:rStyle w:val="FootnoteReference"/>
        </w:rPr>
        <w:footnoteRef/>
      </w:r>
      <w:r>
        <w:t xml:space="preserve"> </w:t>
      </w:r>
      <w:r w:rsidRPr="00482FA6">
        <w:rPr>
          <w:rFonts w:eastAsia="Calibri"/>
        </w:rPr>
        <w:t>44 USC 3561(6).</w:t>
      </w:r>
    </w:p>
    <w:p w14:paraId="3CD66C11" w14:textId="77777777" w:rsidR="001231BD" w:rsidRDefault="001231BD" w:rsidP="001231BD">
      <w:pPr>
        <w:pStyle w:val="FootnoteText"/>
      </w:pPr>
    </w:p>
  </w:footnote>
  <w:footnote w:id="16">
    <w:p w14:paraId="08FC89E4" w14:textId="77777777" w:rsidR="00267AC7" w:rsidRPr="00F1211D" w:rsidRDefault="00267AC7">
      <w:pPr>
        <w:pStyle w:val="FootnoteText"/>
      </w:pPr>
      <w:r>
        <w:rPr>
          <w:rStyle w:val="FootnoteReference"/>
        </w:rPr>
        <w:footnoteRef/>
      </w:r>
      <w:r>
        <w:t xml:space="preserve"> Pub. L. No. 107-347 (2002).</w:t>
      </w:r>
    </w:p>
  </w:footnote>
  <w:footnote w:id="17">
    <w:p w14:paraId="5B42AEC4" w14:textId="77777777" w:rsidR="00267AC7" w:rsidRDefault="00267AC7">
      <w:pPr>
        <w:pStyle w:val="FootnoteText"/>
      </w:pPr>
      <w:r>
        <w:rPr>
          <w:rStyle w:val="FootnoteReference"/>
        </w:rPr>
        <w:footnoteRef/>
      </w:r>
      <w:r>
        <w:t xml:space="preserve"> Available at </w:t>
      </w:r>
      <w:r w:rsidRPr="0067183B">
        <w:t>https://www.federalregister.gov/documents/2019/09/12/2019-19767/agency-information-collection-activities-existing-collection</w:t>
      </w:r>
      <w:r>
        <w:t>.</w:t>
      </w:r>
    </w:p>
  </w:footnote>
  <w:footnote w:id="18">
    <w:p w14:paraId="28378539" w14:textId="77777777" w:rsidR="000568BD" w:rsidRPr="001B06E5" w:rsidRDefault="000568BD" w:rsidP="000568BD">
      <w:pPr>
        <w:pStyle w:val="FootnoteText"/>
      </w:pPr>
      <w:r w:rsidRPr="001B06E5">
        <w:rPr>
          <w:rStyle w:val="FootnoteReference"/>
        </w:rPr>
        <w:footnoteRef/>
      </w:r>
      <w:r w:rsidRPr="001B06E5">
        <w:t xml:space="preserve"> 11,504 timely comments were posted on regulations.gov.  One timely comment was not posted because its content was irrelevant to the 60-Day Notice and therefore the EEOC determined it was submitted in error.</w:t>
      </w:r>
    </w:p>
  </w:footnote>
  <w:footnote w:id="19">
    <w:p w14:paraId="74FEA462" w14:textId="77777777" w:rsidR="00267AC7" w:rsidRPr="00EE4C20" w:rsidRDefault="00267AC7" w:rsidP="001570B9">
      <w:pPr>
        <w:pStyle w:val="FootnoteText"/>
      </w:pPr>
      <w:r w:rsidRPr="00646BDD">
        <w:rPr>
          <w:rStyle w:val="FootnoteReference"/>
        </w:rPr>
        <w:footnoteRef/>
      </w:r>
      <w:r w:rsidRPr="00646BDD">
        <w:t xml:space="preserve"> One anonymous commenter expressed concern about government oversight generally, and that individuals should turn to internal HR processes or litigation to address unfair treatment.  </w:t>
      </w:r>
    </w:p>
    <w:p w14:paraId="67F54B25" w14:textId="77777777" w:rsidR="00267AC7" w:rsidRPr="005A2D99" w:rsidRDefault="00267AC7" w:rsidP="001570B9">
      <w:pPr>
        <w:pStyle w:val="FootnoteText"/>
        <w:rPr>
          <w:color w:val="2E74B5"/>
        </w:rPr>
      </w:pPr>
    </w:p>
  </w:footnote>
  <w:footnote w:id="20">
    <w:p w14:paraId="4850BAE9" w14:textId="77777777" w:rsidR="001B520B" w:rsidRPr="00426CF5" w:rsidRDefault="001B520B">
      <w:pPr>
        <w:pStyle w:val="FootnoteText"/>
      </w:pPr>
      <w:r w:rsidRPr="00426CF5">
        <w:rPr>
          <w:rStyle w:val="FootnoteReference"/>
        </w:rPr>
        <w:footnoteRef/>
      </w:r>
      <w:r w:rsidRPr="00426CF5">
        <w:t xml:space="preserve"> </w:t>
      </w:r>
      <w:r w:rsidR="001F6A55" w:rsidRPr="00426CF5">
        <w:t xml:space="preserve">This directive provides standard classifications for record keeping, collection, and presentation of data on race and ethnicity in Federal program administrative reporting and statistical activities.  See here for full explanation:  </w:t>
      </w:r>
      <w:hyperlink r:id="rId4" w:history="1">
        <w:r w:rsidR="00725C47" w:rsidRPr="00426CF5">
          <w:rPr>
            <w:rStyle w:val="Hyperlink"/>
          </w:rPr>
          <w:t>https://wonder.cdc.gov/wonder/help/populations/bridged-race/directive15.html</w:t>
        </w:r>
      </w:hyperlink>
    </w:p>
  </w:footnote>
  <w:footnote w:id="21">
    <w:p w14:paraId="5C1F48C5" w14:textId="77777777" w:rsidR="00E96BEE" w:rsidRPr="00426CF5" w:rsidRDefault="003E4A05" w:rsidP="00E96BEE">
      <w:pPr>
        <w:pStyle w:val="FootnoteText"/>
      </w:pPr>
      <w:r w:rsidRPr="00426CF5">
        <w:rPr>
          <w:rStyle w:val="FootnoteReference"/>
        </w:rPr>
        <w:footnoteRef/>
      </w:r>
      <w:r w:rsidRPr="00426CF5">
        <w:t xml:space="preserve"> </w:t>
      </w:r>
      <w:r w:rsidR="00E96BEE" w:rsidRPr="00426CF5">
        <w:t xml:space="preserve">See here for more information: </w:t>
      </w:r>
      <w:hyperlink r:id="rId5" w:history="1">
        <w:r w:rsidR="00E96BEE" w:rsidRPr="00426CF5">
          <w:rPr>
            <w:rStyle w:val="Hyperlink"/>
          </w:rPr>
          <w:t>https://www.federalregister.gov/documents/2016/09/30/2016-23672/standards-for-maintaining-collecting-and-presenting-federal-data-on-race-and-ethnicity</w:t>
        </w:r>
      </w:hyperlink>
    </w:p>
    <w:p w14:paraId="37379C63" w14:textId="77777777" w:rsidR="00E96BEE" w:rsidRPr="000512C6" w:rsidRDefault="00E96BEE" w:rsidP="00E96BEE">
      <w:pPr>
        <w:pStyle w:val="FootnoteText"/>
        <w:rPr>
          <w:sz w:val="18"/>
          <w:szCs w:val="18"/>
        </w:rPr>
      </w:pPr>
    </w:p>
    <w:p w14:paraId="6B774E3D" w14:textId="77777777" w:rsidR="003E4A05" w:rsidRDefault="003E4A05">
      <w:pPr>
        <w:pStyle w:val="FootnoteText"/>
      </w:pPr>
    </w:p>
  </w:footnote>
  <w:footnote w:id="22">
    <w:p w14:paraId="5B0176EA" w14:textId="77777777" w:rsidR="00267AC7" w:rsidRPr="007D7E7C" w:rsidRDefault="00267AC7">
      <w:pPr>
        <w:pStyle w:val="FootnoteText"/>
      </w:pPr>
      <w:r>
        <w:rPr>
          <w:rStyle w:val="FootnoteReference"/>
        </w:rPr>
        <w:footnoteRef/>
      </w:r>
      <w:r>
        <w:t xml:space="preserve"> </w:t>
      </w:r>
      <w:r>
        <w:rPr>
          <w:i/>
        </w:rPr>
        <w:t>See</w:t>
      </w:r>
      <w:r>
        <w:t xml:space="preserve"> 42 U.S.C. § 2000e-8(e).</w:t>
      </w:r>
    </w:p>
  </w:footnote>
  <w:footnote w:id="23">
    <w:p w14:paraId="2D1321CC" w14:textId="0B256DB5" w:rsidR="00CD4B58" w:rsidRPr="005373C8" w:rsidRDefault="00CD4B58" w:rsidP="00CD4B58">
      <w:pPr>
        <w:pStyle w:val="FootnoteText"/>
        <w:rPr>
          <w:color w:val="333333"/>
        </w:rPr>
      </w:pPr>
      <w:r w:rsidRPr="0012570C">
        <w:rPr>
          <w:rStyle w:val="FootnoteReference"/>
        </w:rPr>
        <w:footnoteRef/>
      </w:r>
      <w:r w:rsidRPr="0012570C">
        <w:t xml:space="preserve"> 42 U.S.C. 2000e-8(d).</w:t>
      </w:r>
    </w:p>
  </w:footnote>
  <w:footnote w:id="24">
    <w:p w14:paraId="1B604722" w14:textId="77777777" w:rsidR="00267AC7" w:rsidRDefault="00267AC7">
      <w:pPr>
        <w:pStyle w:val="FootnoteText"/>
      </w:pPr>
      <w:r>
        <w:rPr>
          <w:rStyle w:val="FootnoteReference"/>
        </w:rPr>
        <w:footnoteRef/>
      </w:r>
      <w:r>
        <w:t xml:space="preserve"> </w:t>
      </w:r>
      <w:r w:rsidRPr="008E64A7">
        <w:rPr>
          <w:lang w:val="en"/>
        </w:rPr>
        <w:t>44 U.S.C. § 3541 et seq.</w:t>
      </w:r>
    </w:p>
  </w:footnote>
  <w:footnote w:id="25">
    <w:p w14:paraId="579597BA" w14:textId="77777777" w:rsidR="00267AC7" w:rsidRDefault="00267AC7">
      <w:pPr>
        <w:pStyle w:val="FootnoteText"/>
      </w:pPr>
      <w:r>
        <w:rPr>
          <w:rStyle w:val="FootnoteReference"/>
        </w:rPr>
        <w:footnoteRef/>
      </w:r>
      <w:r>
        <w:t xml:space="preserve"> 5 U.S.C. § 552a.</w:t>
      </w:r>
    </w:p>
  </w:footnote>
  <w:footnote w:id="26">
    <w:p w14:paraId="20EAA0C6" w14:textId="77777777" w:rsidR="00267AC7" w:rsidRPr="001B06E5" w:rsidRDefault="00267AC7" w:rsidP="00F63CD4">
      <w:pPr>
        <w:pStyle w:val="FootnoteText"/>
      </w:pPr>
      <w:r w:rsidRPr="001B06E5">
        <w:rPr>
          <w:rStyle w:val="FootnoteReference"/>
        </w:rPr>
        <w:footnoteRef/>
      </w:r>
      <w:r w:rsidRPr="001B06E5">
        <w:t xml:space="preserve"> The 2016 burden was estimated to be 6.6 hours per respondent, multiplied by 60,886 respondents. </w:t>
      </w:r>
      <w:r>
        <w:t xml:space="preserve"> </w:t>
      </w:r>
      <w:r w:rsidRPr="001B06E5">
        <w:t>The EEOC has now determined that the proper unit of analysis to calculate burden should be the number of reports submitted by report type, rather than the number of respondents.</w:t>
      </w:r>
    </w:p>
    <w:p w14:paraId="64269C7A" w14:textId="77777777" w:rsidR="00267AC7" w:rsidRPr="001B06E5" w:rsidRDefault="00267AC7" w:rsidP="00F63CD4">
      <w:pPr>
        <w:pStyle w:val="FootnoteText"/>
      </w:pPr>
    </w:p>
  </w:footnote>
  <w:footnote w:id="27">
    <w:p w14:paraId="384DD847" w14:textId="77777777" w:rsidR="001F1C04" w:rsidRDefault="001F1C04">
      <w:pPr>
        <w:pStyle w:val="FootnoteText"/>
      </w:pPr>
      <w:r>
        <w:rPr>
          <w:rStyle w:val="FootnoteReference"/>
        </w:rPr>
        <w:footnoteRef/>
      </w:r>
      <w:r>
        <w:t xml:space="preserve"> </w:t>
      </w:r>
      <w:r w:rsidRPr="001F1C04">
        <w:rPr>
          <w:i/>
        </w:rPr>
        <w:t>See</w:t>
      </w:r>
      <w:r>
        <w:t xml:space="preserve"> Section 15 below for a description of each type of report.</w:t>
      </w:r>
    </w:p>
  </w:footnote>
  <w:footnote w:id="28">
    <w:p w14:paraId="1D6EDB1C" w14:textId="77777777" w:rsidR="00267AC7" w:rsidRPr="00A45E96" w:rsidRDefault="00267AC7" w:rsidP="00893557">
      <w:pPr>
        <w:pStyle w:val="FootnoteText"/>
        <w:rPr>
          <w:sz w:val="18"/>
        </w:rPr>
      </w:pPr>
      <w:r w:rsidRPr="00A45E96">
        <w:rPr>
          <w:rStyle w:val="FootnoteReference"/>
          <w:sz w:val="18"/>
        </w:rPr>
        <w:footnoteRef/>
      </w:r>
      <w:r w:rsidRPr="00A45E96">
        <w:rPr>
          <w:sz w:val="18"/>
        </w:rPr>
        <w:t xml:space="preserve"> </w:t>
      </w:r>
      <w:r w:rsidRPr="00A45E96">
        <w:rPr>
          <w:i/>
          <w:sz w:val="18"/>
        </w:rPr>
        <w:t>See</w:t>
      </w:r>
      <w:r w:rsidRPr="00A45E96">
        <w:rPr>
          <w:sz w:val="18"/>
        </w:rPr>
        <w:t xml:space="preserve"> Government Accountability Office Report GAO-18-381, “</w:t>
      </w:r>
      <w:r w:rsidRPr="00A45E96">
        <w:rPr>
          <w:i/>
          <w:sz w:val="18"/>
        </w:rPr>
        <w:t>PAPERWORK REDUCTION ACT, Agencies Could Better Leverage Review Processes and Public Outreach to Improve Burden Estimates,</w:t>
      </w:r>
      <w:r w:rsidRPr="00A45E96">
        <w:rPr>
          <w:sz w:val="18"/>
        </w:rPr>
        <w:t xml:space="preserve">” July 2018, </w:t>
      </w:r>
      <w:hyperlink r:id="rId6" w:history="1">
        <w:r w:rsidRPr="00A45E96">
          <w:rPr>
            <w:rStyle w:val="Hyperlink"/>
            <w:i/>
            <w:sz w:val="18"/>
          </w:rPr>
          <w:t>https://www.gao.gov/assets/700/693057.pdf</w:t>
        </w:r>
      </w:hyperlink>
      <w:r w:rsidRPr="00A45E96">
        <w:rPr>
          <w:sz w:val="18"/>
        </w:rPr>
        <w:t xml:space="preserve">, p. 8, Footnote a to Figure 2. </w:t>
      </w:r>
      <w:r w:rsidRPr="00A45E96">
        <w:rPr>
          <w:i/>
          <w:sz w:val="18"/>
        </w:rPr>
        <w:t>see also</w:t>
      </w:r>
      <w:r w:rsidRPr="00A45E96">
        <w:rPr>
          <w:sz w:val="18"/>
        </w:rPr>
        <w:t xml:space="preserve"> ROCIS HOW TO Guide for Agency Users of the (ICR) Module, April 5, 2017, </w:t>
      </w:r>
      <w:hyperlink r:id="rId7" w:history="1">
        <w:r w:rsidRPr="00A45E96">
          <w:rPr>
            <w:rStyle w:val="Hyperlink"/>
            <w:i/>
            <w:sz w:val="18"/>
          </w:rPr>
          <w:t>https://www.rocis.gov/rocis/jsp3/common/ROCIS_HOW_TO_Guide_for_AGENCY_Users_of_ICR_Module-04052017.pdf</w:t>
        </w:r>
      </w:hyperlink>
      <w:r w:rsidRPr="00A45E96">
        <w:rPr>
          <w:sz w:val="18"/>
        </w:rPr>
        <w:t xml:space="preserve">, p. 105, ¶ 12. (“Provide estimates of the hour burden of the collection of information. The statement should: </w:t>
      </w:r>
    </w:p>
    <w:p w14:paraId="40D8874E" w14:textId="77777777" w:rsidR="00267AC7" w:rsidRPr="00A45E96" w:rsidRDefault="00267AC7" w:rsidP="00893557">
      <w:pPr>
        <w:pStyle w:val="FootnoteText"/>
        <w:rPr>
          <w:sz w:val="18"/>
        </w:rPr>
      </w:pPr>
      <w:r w:rsidRPr="00A45E96">
        <w:rPr>
          <w:sz w:val="18"/>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14:paraId="4DCB95C6" w14:textId="77777777" w:rsidR="00267AC7" w:rsidRPr="00A45E96" w:rsidRDefault="00267AC7" w:rsidP="00893557">
      <w:pPr>
        <w:pStyle w:val="FootnoteText"/>
        <w:rPr>
          <w:sz w:val="18"/>
        </w:rPr>
      </w:pPr>
      <w:r w:rsidRPr="00A45E96">
        <w:rPr>
          <w:sz w:val="18"/>
        </w:rPr>
        <w:t>* If this request for approval covers more than one form, provide separate hour burden estimates for each form and aggregate the hour burdens.</w:t>
      </w:r>
    </w:p>
    <w:p w14:paraId="163DAFFD" w14:textId="77777777" w:rsidR="00267AC7" w:rsidRPr="00A45E96" w:rsidRDefault="00267AC7" w:rsidP="00893557">
      <w:pPr>
        <w:pStyle w:val="FootnoteText"/>
        <w:rPr>
          <w:sz w:val="18"/>
        </w:rPr>
      </w:pPr>
      <w:r w:rsidRPr="00A45E96">
        <w:rPr>
          <w:sz w:val="18"/>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footnote>
  <w:footnote w:id="29">
    <w:p w14:paraId="57953554" w14:textId="77777777" w:rsidR="00947BA6" w:rsidRPr="00D92289" w:rsidRDefault="00947BA6" w:rsidP="00947BA6">
      <w:pPr>
        <w:pStyle w:val="FootnoteText"/>
        <w:rPr>
          <w:i/>
          <w:sz w:val="18"/>
          <w:szCs w:val="18"/>
        </w:rPr>
      </w:pPr>
      <w:r w:rsidRPr="00D92289">
        <w:rPr>
          <w:rStyle w:val="FootnoteReference"/>
          <w:sz w:val="18"/>
          <w:szCs w:val="18"/>
        </w:rPr>
        <w:footnoteRef/>
      </w:r>
      <w:r w:rsidRPr="00D92289">
        <w:rPr>
          <w:sz w:val="18"/>
          <w:szCs w:val="18"/>
        </w:rPr>
        <w:t xml:space="preserve"> </w:t>
      </w:r>
      <w:r w:rsidRPr="00D92289">
        <w:rPr>
          <w:i/>
          <w:sz w:val="18"/>
          <w:szCs w:val="18"/>
        </w:rPr>
        <w:t>Agency Information Collection Activities; Notice of Submission for OMB Review, Final Comment Request:</w:t>
      </w:r>
    </w:p>
    <w:p w14:paraId="122BCF1B" w14:textId="77777777" w:rsidR="00947BA6" w:rsidRPr="00D92289" w:rsidRDefault="00947BA6" w:rsidP="00947BA6">
      <w:pPr>
        <w:pStyle w:val="FootnoteText"/>
        <w:rPr>
          <w:sz w:val="18"/>
          <w:szCs w:val="18"/>
        </w:rPr>
      </w:pPr>
      <w:r w:rsidRPr="00D92289">
        <w:rPr>
          <w:i/>
          <w:sz w:val="18"/>
          <w:szCs w:val="18"/>
        </w:rPr>
        <w:t>Revision of the Employer Information Report (EEO–1)</w:t>
      </w:r>
      <w:r w:rsidRPr="00D92289">
        <w:rPr>
          <w:sz w:val="18"/>
          <w:szCs w:val="18"/>
        </w:rPr>
        <w:t>, 81 FR 45479, 45493 (July 14, 2016) (“the EEOC [initially] concluded that most employers would be filing the EEO-1 with a digital file upload by the time they file their EEO-1 reports for 2017 and 2018. Therefore, in the 60-Day Notice, the EEOC reasoned that ‘each additional report filed [would have] just a marginal additional cost.’ Accordingly, the burden calculation in the [2016] 60-Day Notice was based on the number of firms filing one or more EEO-1 reports, not on the number of reports submitted or the number of separate establishments submitting reports.”)</w:t>
      </w:r>
      <w:r w:rsidR="00573353" w:rsidRPr="00D92289">
        <w:rPr>
          <w:sz w:val="18"/>
          <w:szCs w:val="18"/>
        </w:rPr>
        <w:t xml:space="preserve"> </w:t>
      </w:r>
    </w:p>
  </w:footnote>
  <w:footnote w:id="30">
    <w:p w14:paraId="35B4EE64" w14:textId="77777777" w:rsidR="00947BA6" w:rsidRPr="00D92289" w:rsidRDefault="00947BA6" w:rsidP="00947BA6">
      <w:pPr>
        <w:pStyle w:val="FootnoteText"/>
        <w:rPr>
          <w:sz w:val="18"/>
          <w:szCs w:val="18"/>
        </w:rPr>
      </w:pPr>
      <w:r w:rsidRPr="00D92289">
        <w:rPr>
          <w:rStyle w:val="FootnoteReference"/>
          <w:sz w:val="18"/>
          <w:szCs w:val="18"/>
        </w:rPr>
        <w:footnoteRef/>
      </w:r>
      <w:r w:rsidRPr="00D92289">
        <w:rPr>
          <w:sz w:val="18"/>
          <w:szCs w:val="18"/>
        </w:rPr>
        <w:t xml:space="preserve"> </w:t>
      </w:r>
      <w:r w:rsidRPr="00D92289">
        <w:rPr>
          <w:i/>
          <w:sz w:val="18"/>
          <w:szCs w:val="18"/>
        </w:rPr>
        <w:t>Id.</w:t>
      </w:r>
      <w:r w:rsidRPr="00D92289">
        <w:rPr>
          <w:sz w:val="18"/>
          <w:szCs w:val="18"/>
        </w:rPr>
        <w:t xml:space="preserve">  (“Second, the EEOC no longer assumes that all the EEO-1 reports for 2017 and 2018 will be submitted by one data upload filed by the firm on behalf of all the establishments. While still reflecting that </w:t>
      </w:r>
      <w:bookmarkStart w:id="10" w:name="_Hlk27417147"/>
      <w:r w:rsidRPr="00D92289">
        <w:rPr>
          <w:sz w:val="18"/>
          <w:szCs w:val="18"/>
        </w:rPr>
        <w:t>the bulk of the tasks performed in completing the EEO-1 report will be completed at the firm level due to the centrality of automation</w:t>
      </w:r>
      <w:bookmarkEnd w:id="10"/>
      <w:r w:rsidRPr="00D92289">
        <w:rPr>
          <w:sz w:val="18"/>
          <w:szCs w:val="18"/>
        </w:rPr>
        <w:t>, the EEOC’s 30-Day Notice recognizes that there are certain tasks that will be performed at the establishment level for employers who enter their EEO-1 data directly onto the Joint Reporting Committee’s secure portal. Therefore, the 30-Day Notice burden calculations are based on the number of hours needed to complete the tasks at the firm level and also at the establishment level for the proportion of EEO-1 filers who do not now use centralized, secure data uploads.”)</w:t>
      </w:r>
      <w:r w:rsidR="00132380" w:rsidRPr="00D92289">
        <w:rPr>
          <w:sz w:val="18"/>
          <w:szCs w:val="18"/>
        </w:rPr>
        <w:t xml:space="preserve"> </w:t>
      </w:r>
    </w:p>
  </w:footnote>
  <w:footnote w:id="31">
    <w:p w14:paraId="792A32EA" w14:textId="77777777" w:rsidR="002A65DD" w:rsidRPr="001B06E5" w:rsidRDefault="002A65DD" w:rsidP="002A65DD">
      <w:pPr>
        <w:pStyle w:val="FootnoteText"/>
      </w:pPr>
      <w:r w:rsidRPr="00394007">
        <w:rPr>
          <w:rStyle w:val="FootnoteReference"/>
          <w:sz w:val="18"/>
          <w:szCs w:val="18"/>
        </w:rPr>
        <w:footnoteRef/>
      </w:r>
      <w:r w:rsidRPr="00394007">
        <w:rPr>
          <w:sz w:val="18"/>
          <w:szCs w:val="18"/>
        </w:rPr>
        <w:t xml:space="preserve"> </w:t>
      </w:r>
      <w:r w:rsidRPr="00394007">
        <w:rPr>
          <w:i/>
          <w:sz w:val="18"/>
          <w:szCs w:val="18"/>
        </w:rPr>
        <w:t>Id.</w:t>
      </w:r>
    </w:p>
  </w:footnote>
  <w:footnote w:id="32">
    <w:p w14:paraId="62F02AE0" w14:textId="77777777" w:rsidR="007963BA" w:rsidRPr="00E06D07" w:rsidRDefault="007963BA" w:rsidP="007963BA">
      <w:pPr>
        <w:pStyle w:val="FootnoteText"/>
        <w:rPr>
          <w:sz w:val="18"/>
          <w:szCs w:val="18"/>
        </w:rPr>
      </w:pPr>
      <w:r w:rsidRPr="00E06D07">
        <w:rPr>
          <w:rStyle w:val="FootnoteReference"/>
          <w:sz w:val="18"/>
          <w:szCs w:val="18"/>
        </w:rPr>
        <w:footnoteRef/>
      </w:r>
      <w:r w:rsidRPr="00E06D07">
        <w:rPr>
          <w:sz w:val="18"/>
          <w:szCs w:val="18"/>
        </w:rPr>
        <w:t xml:space="preserve"> </w:t>
      </w:r>
      <w:r w:rsidRPr="00E06D07">
        <w:rPr>
          <w:color w:val="000000"/>
          <w:sz w:val="18"/>
          <w:szCs w:val="18"/>
        </w:rPr>
        <w:t>Not all employers are required to file all form types</w:t>
      </w:r>
      <w:r w:rsidRPr="00E06D07">
        <w:rPr>
          <w:sz w:val="18"/>
          <w:szCs w:val="18"/>
        </w:rPr>
        <w:t>.</w:t>
      </w:r>
    </w:p>
  </w:footnote>
  <w:footnote w:id="33">
    <w:p w14:paraId="32A9B48F" w14:textId="77777777" w:rsidR="00294EF7" w:rsidRPr="00E06D07" w:rsidRDefault="00294EF7" w:rsidP="00294EF7">
      <w:pPr>
        <w:pStyle w:val="FootnoteText"/>
        <w:rPr>
          <w:sz w:val="18"/>
          <w:szCs w:val="18"/>
        </w:rPr>
      </w:pPr>
      <w:r w:rsidRPr="00E06D07">
        <w:rPr>
          <w:rStyle w:val="FootnoteReference"/>
          <w:sz w:val="18"/>
          <w:szCs w:val="18"/>
        </w:rPr>
        <w:footnoteRef/>
      </w:r>
      <w:r w:rsidRPr="00E06D07">
        <w:rPr>
          <w:sz w:val="18"/>
          <w:szCs w:val="18"/>
        </w:rPr>
        <w:t xml:space="preserve"> </w:t>
      </w:r>
      <w:r w:rsidRPr="00E06D07">
        <w:rPr>
          <w:i/>
          <w:sz w:val="18"/>
          <w:szCs w:val="18"/>
        </w:rPr>
        <w:t>See</w:t>
      </w:r>
      <w:r w:rsidRPr="00E06D07">
        <w:rPr>
          <w:sz w:val="18"/>
          <w:szCs w:val="18"/>
        </w:rPr>
        <w:t xml:space="preserve"> Table 1 in </w:t>
      </w:r>
      <w:r w:rsidR="003E14E7" w:rsidRPr="00E06D07">
        <w:rPr>
          <w:sz w:val="18"/>
          <w:szCs w:val="18"/>
        </w:rPr>
        <w:t>S</w:t>
      </w:r>
      <w:r w:rsidRPr="00E06D07">
        <w:rPr>
          <w:sz w:val="18"/>
          <w:szCs w:val="18"/>
        </w:rPr>
        <w:t xml:space="preserve">ection </w:t>
      </w:r>
      <w:r w:rsidR="003E14E7" w:rsidRPr="00E06D07">
        <w:rPr>
          <w:sz w:val="18"/>
          <w:szCs w:val="18"/>
        </w:rPr>
        <w:t xml:space="preserve">12 above </w:t>
      </w:r>
      <w:r w:rsidRPr="00E06D07">
        <w:rPr>
          <w:sz w:val="18"/>
          <w:szCs w:val="18"/>
        </w:rPr>
        <w:t xml:space="preserve">for the projected annual burden to report Component 1 data </w:t>
      </w:r>
      <w:r w:rsidRPr="00E06D07">
        <w:rPr>
          <w:bCs/>
          <w:color w:val="000000"/>
          <w:sz w:val="18"/>
          <w:szCs w:val="18"/>
        </w:rPr>
        <w:t>in reporting years 2019-2021,</w:t>
      </w:r>
      <w:r w:rsidRPr="00E06D07">
        <w:rPr>
          <w:b/>
          <w:bCs/>
          <w:color w:val="000000"/>
          <w:sz w:val="18"/>
          <w:szCs w:val="18"/>
        </w:rPr>
        <w:t xml:space="preserve"> </w:t>
      </w:r>
      <w:r w:rsidRPr="00E06D07">
        <w:rPr>
          <w:sz w:val="18"/>
          <w:szCs w:val="18"/>
        </w:rPr>
        <w:t xml:space="preserve">by report type and reporting time. </w:t>
      </w:r>
    </w:p>
    <w:p w14:paraId="33809BFB" w14:textId="77777777" w:rsidR="00294EF7" w:rsidRDefault="00294EF7" w:rsidP="00294E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BA7384"/>
    <w:lvl w:ilvl="0">
      <w:start w:val="1"/>
      <w:numFmt w:val="decimal"/>
      <w:pStyle w:val="ListNumber"/>
      <w:lvlText w:val="%1."/>
      <w:lvlJc w:val="left"/>
      <w:pPr>
        <w:tabs>
          <w:tab w:val="num" w:pos="360"/>
        </w:tabs>
        <w:ind w:left="360" w:hanging="360"/>
      </w:pPr>
    </w:lvl>
  </w:abstractNum>
  <w:abstractNum w:abstractNumId="1" w15:restartNumberingAfterBreak="0">
    <w:nsid w:val="01EE4307"/>
    <w:multiLevelType w:val="hybridMultilevel"/>
    <w:tmpl w:val="EA78AF26"/>
    <w:lvl w:ilvl="0" w:tplc="88B06BBE">
      <w:start w:val="1"/>
      <w:numFmt w:val="decimal"/>
      <w:lvlText w:val="%1."/>
      <w:lvlJc w:val="left"/>
      <w:pPr>
        <w:ind w:left="360" w:hanging="360"/>
      </w:pPr>
      <w:rPr>
        <w:rFonts w:ascii="Helvetica" w:hAnsi="Helvetica" w:cs="Helvetica" w:hint="default"/>
        <w:color w:val="333333"/>
        <w:sz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5485B"/>
    <w:multiLevelType w:val="hybridMultilevel"/>
    <w:tmpl w:val="CB948FF2"/>
    <w:lvl w:ilvl="0" w:tplc="46EA0FB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309C7"/>
    <w:multiLevelType w:val="hybridMultilevel"/>
    <w:tmpl w:val="70F8331C"/>
    <w:lvl w:ilvl="0" w:tplc="9EF8FE5A">
      <w:start w:val="15"/>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30527"/>
    <w:multiLevelType w:val="multilevel"/>
    <w:tmpl w:val="BD22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6495C"/>
    <w:multiLevelType w:val="hybridMultilevel"/>
    <w:tmpl w:val="2BC8F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975"/>
    <w:multiLevelType w:val="hybridMultilevel"/>
    <w:tmpl w:val="DC4846B6"/>
    <w:lvl w:ilvl="0" w:tplc="2BA6F41C">
      <w:start w:val="2"/>
      <w:numFmt w:val="lowerLetter"/>
      <w:lvlText w:val="%1."/>
      <w:lvlJc w:val="left"/>
      <w:pPr>
        <w:tabs>
          <w:tab w:val="num" w:pos="720"/>
        </w:tabs>
        <w:ind w:left="720" w:hanging="360"/>
      </w:pPr>
    </w:lvl>
    <w:lvl w:ilvl="1" w:tplc="91DE7F86" w:tentative="1">
      <w:start w:val="1"/>
      <w:numFmt w:val="decimal"/>
      <w:lvlText w:val="%2."/>
      <w:lvlJc w:val="left"/>
      <w:pPr>
        <w:tabs>
          <w:tab w:val="num" w:pos="1440"/>
        </w:tabs>
        <w:ind w:left="1440" w:hanging="360"/>
      </w:pPr>
    </w:lvl>
    <w:lvl w:ilvl="2" w:tplc="9D3ED566" w:tentative="1">
      <w:start w:val="1"/>
      <w:numFmt w:val="decimal"/>
      <w:lvlText w:val="%3."/>
      <w:lvlJc w:val="left"/>
      <w:pPr>
        <w:tabs>
          <w:tab w:val="num" w:pos="2160"/>
        </w:tabs>
        <w:ind w:left="2160" w:hanging="360"/>
      </w:pPr>
    </w:lvl>
    <w:lvl w:ilvl="3" w:tplc="35708DB6" w:tentative="1">
      <w:start w:val="1"/>
      <w:numFmt w:val="decimal"/>
      <w:lvlText w:val="%4."/>
      <w:lvlJc w:val="left"/>
      <w:pPr>
        <w:tabs>
          <w:tab w:val="num" w:pos="2880"/>
        </w:tabs>
        <w:ind w:left="2880" w:hanging="360"/>
      </w:pPr>
    </w:lvl>
    <w:lvl w:ilvl="4" w:tplc="16A65524" w:tentative="1">
      <w:start w:val="1"/>
      <w:numFmt w:val="decimal"/>
      <w:lvlText w:val="%5."/>
      <w:lvlJc w:val="left"/>
      <w:pPr>
        <w:tabs>
          <w:tab w:val="num" w:pos="3600"/>
        </w:tabs>
        <w:ind w:left="3600" w:hanging="360"/>
      </w:pPr>
    </w:lvl>
    <w:lvl w:ilvl="5" w:tplc="9A66EACE" w:tentative="1">
      <w:start w:val="1"/>
      <w:numFmt w:val="decimal"/>
      <w:lvlText w:val="%6."/>
      <w:lvlJc w:val="left"/>
      <w:pPr>
        <w:tabs>
          <w:tab w:val="num" w:pos="4320"/>
        </w:tabs>
        <w:ind w:left="4320" w:hanging="360"/>
      </w:pPr>
    </w:lvl>
    <w:lvl w:ilvl="6" w:tplc="91C84558" w:tentative="1">
      <w:start w:val="1"/>
      <w:numFmt w:val="decimal"/>
      <w:lvlText w:val="%7."/>
      <w:lvlJc w:val="left"/>
      <w:pPr>
        <w:tabs>
          <w:tab w:val="num" w:pos="5040"/>
        </w:tabs>
        <w:ind w:left="5040" w:hanging="360"/>
      </w:pPr>
    </w:lvl>
    <w:lvl w:ilvl="7" w:tplc="8F1214E4" w:tentative="1">
      <w:start w:val="1"/>
      <w:numFmt w:val="decimal"/>
      <w:lvlText w:val="%8."/>
      <w:lvlJc w:val="left"/>
      <w:pPr>
        <w:tabs>
          <w:tab w:val="num" w:pos="5760"/>
        </w:tabs>
        <w:ind w:left="5760" w:hanging="360"/>
      </w:pPr>
    </w:lvl>
    <w:lvl w:ilvl="8" w:tplc="B3AEBE92" w:tentative="1">
      <w:start w:val="1"/>
      <w:numFmt w:val="decimal"/>
      <w:lvlText w:val="%9."/>
      <w:lvlJc w:val="left"/>
      <w:pPr>
        <w:tabs>
          <w:tab w:val="num" w:pos="6480"/>
        </w:tabs>
        <w:ind w:left="6480" w:hanging="360"/>
      </w:pPr>
    </w:lvl>
  </w:abstractNum>
  <w:abstractNum w:abstractNumId="7" w15:restartNumberingAfterBreak="0">
    <w:nsid w:val="15534E7F"/>
    <w:multiLevelType w:val="hybridMultilevel"/>
    <w:tmpl w:val="93B2AD10"/>
    <w:lvl w:ilvl="0" w:tplc="F01AC97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9D121B"/>
    <w:multiLevelType w:val="hybridMultilevel"/>
    <w:tmpl w:val="7B8412D6"/>
    <w:lvl w:ilvl="0" w:tplc="5DD09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A22133"/>
    <w:multiLevelType w:val="hybridMultilevel"/>
    <w:tmpl w:val="159694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666B62"/>
    <w:multiLevelType w:val="hybridMultilevel"/>
    <w:tmpl w:val="C8C6F96A"/>
    <w:lvl w:ilvl="0" w:tplc="F0C434B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0E605F"/>
    <w:multiLevelType w:val="hybridMultilevel"/>
    <w:tmpl w:val="EE143EFE"/>
    <w:lvl w:ilvl="0" w:tplc="188E6E9A">
      <w:start w:val="2"/>
      <w:numFmt w:val="lowerLetter"/>
      <w:lvlText w:val="%1."/>
      <w:lvlJc w:val="left"/>
      <w:pPr>
        <w:tabs>
          <w:tab w:val="num" w:pos="720"/>
        </w:tabs>
        <w:ind w:left="720" w:hanging="360"/>
      </w:pPr>
    </w:lvl>
    <w:lvl w:ilvl="1" w:tplc="854295A6" w:tentative="1">
      <w:start w:val="1"/>
      <w:numFmt w:val="decimal"/>
      <w:lvlText w:val="%2."/>
      <w:lvlJc w:val="left"/>
      <w:pPr>
        <w:tabs>
          <w:tab w:val="num" w:pos="1440"/>
        </w:tabs>
        <w:ind w:left="1440" w:hanging="360"/>
      </w:pPr>
    </w:lvl>
    <w:lvl w:ilvl="2" w:tplc="AF48E714" w:tentative="1">
      <w:start w:val="1"/>
      <w:numFmt w:val="decimal"/>
      <w:lvlText w:val="%3."/>
      <w:lvlJc w:val="left"/>
      <w:pPr>
        <w:tabs>
          <w:tab w:val="num" w:pos="2160"/>
        </w:tabs>
        <w:ind w:left="2160" w:hanging="360"/>
      </w:pPr>
    </w:lvl>
    <w:lvl w:ilvl="3" w:tplc="847C0E50" w:tentative="1">
      <w:start w:val="1"/>
      <w:numFmt w:val="decimal"/>
      <w:lvlText w:val="%4."/>
      <w:lvlJc w:val="left"/>
      <w:pPr>
        <w:tabs>
          <w:tab w:val="num" w:pos="2880"/>
        </w:tabs>
        <w:ind w:left="2880" w:hanging="360"/>
      </w:pPr>
    </w:lvl>
    <w:lvl w:ilvl="4" w:tplc="58AEA174" w:tentative="1">
      <w:start w:val="1"/>
      <w:numFmt w:val="decimal"/>
      <w:lvlText w:val="%5."/>
      <w:lvlJc w:val="left"/>
      <w:pPr>
        <w:tabs>
          <w:tab w:val="num" w:pos="3600"/>
        </w:tabs>
        <w:ind w:left="3600" w:hanging="360"/>
      </w:pPr>
    </w:lvl>
    <w:lvl w:ilvl="5" w:tplc="4EA8DD68" w:tentative="1">
      <w:start w:val="1"/>
      <w:numFmt w:val="decimal"/>
      <w:lvlText w:val="%6."/>
      <w:lvlJc w:val="left"/>
      <w:pPr>
        <w:tabs>
          <w:tab w:val="num" w:pos="4320"/>
        </w:tabs>
        <w:ind w:left="4320" w:hanging="360"/>
      </w:pPr>
    </w:lvl>
    <w:lvl w:ilvl="6" w:tplc="7B1658CA" w:tentative="1">
      <w:start w:val="1"/>
      <w:numFmt w:val="decimal"/>
      <w:lvlText w:val="%7."/>
      <w:lvlJc w:val="left"/>
      <w:pPr>
        <w:tabs>
          <w:tab w:val="num" w:pos="5040"/>
        </w:tabs>
        <w:ind w:left="5040" w:hanging="360"/>
      </w:pPr>
    </w:lvl>
    <w:lvl w:ilvl="7" w:tplc="B6960D96" w:tentative="1">
      <w:start w:val="1"/>
      <w:numFmt w:val="decimal"/>
      <w:lvlText w:val="%8."/>
      <w:lvlJc w:val="left"/>
      <w:pPr>
        <w:tabs>
          <w:tab w:val="num" w:pos="5760"/>
        </w:tabs>
        <w:ind w:left="5760" w:hanging="360"/>
      </w:pPr>
    </w:lvl>
    <w:lvl w:ilvl="8" w:tplc="A2E6CAAA" w:tentative="1">
      <w:start w:val="1"/>
      <w:numFmt w:val="decimal"/>
      <w:lvlText w:val="%9."/>
      <w:lvlJc w:val="left"/>
      <w:pPr>
        <w:tabs>
          <w:tab w:val="num" w:pos="6480"/>
        </w:tabs>
        <w:ind w:left="6480" w:hanging="360"/>
      </w:pPr>
    </w:lvl>
  </w:abstractNum>
  <w:abstractNum w:abstractNumId="12" w15:restartNumberingAfterBreak="0">
    <w:nsid w:val="29A9786A"/>
    <w:multiLevelType w:val="hybridMultilevel"/>
    <w:tmpl w:val="A6348D5C"/>
    <w:lvl w:ilvl="0" w:tplc="2214A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5E25AA"/>
    <w:multiLevelType w:val="hybridMultilevel"/>
    <w:tmpl w:val="88584116"/>
    <w:lvl w:ilvl="0" w:tplc="F8B6FF0E">
      <w:start w:val="1"/>
      <w:numFmt w:val="upperLetter"/>
      <w:pStyle w:val="EEOCListAlphaParaSpac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304BB1"/>
    <w:multiLevelType w:val="hybridMultilevel"/>
    <w:tmpl w:val="FA2ACD06"/>
    <w:lvl w:ilvl="0" w:tplc="8236E276">
      <w:start w:val="1"/>
      <w:numFmt w:val="bullet"/>
      <w:pStyle w:val="EEOCListBulletPara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B71DB"/>
    <w:multiLevelType w:val="hybridMultilevel"/>
    <w:tmpl w:val="4A4CD9B0"/>
    <w:lvl w:ilvl="0" w:tplc="B1EA0634">
      <w:start w:val="1"/>
      <w:numFmt w:val="decimal"/>
      <w:pStyle w:val="EEOC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EC3C57"/>
    <w:multiLevelType w:val="hybridMultilevel"/>
    <w:tmpl w:val="47E48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F2339"/>
    <w:multiLevelType w:val="hybridMultilevel"/>
    <w:tmpl w:val="0B2294D0"/>
    <w:lvl w:ilvl="0" w:tplc="A44A13C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F43242"/>
    <w:multiLevelType w:val="multilevel"/>
    <w:tmpl w:val="774AD692"/>
    <w:lvl w:ilvl="0">
      <w:start w:val="4"/>
      <w:numFmt w:val="decimal"/>
      <w:lvlText w:val="%1.0"/>
      <w:lvlJc w:val="left"/>
      <w:pPr>
        <w:tabs>
          <w:tab w:val="num" w:pos="720"/>
        </w:tabs>
        <w:ind w:left="720" w:hanging="720"/>
      </w:pPr>
      <w:rPr>
        <w:rFonts w:hint="default"/>
        <w:color w:val="auto"/>
      </w:rPr>
    </w:lvl>
    <w:lvl w:ilvl="1">
      <w:start w:val="1"/>
      <w:numFmt w:val="decimal"/>
      <w:lvlText w:val="%1.%2"/>
      <w:lvlJc w:val="left"/>
      <w:pPr>
        <w:tabs>
          <w:tab w:val="num" w:pos="1620"/>
        </w:tabs>
        <w:ind w:left="1620" w:hanging="720"/>
      </w:pPr>
      <w:rPr>
        <w:rFonts w:hint="default"/>
        <w:b w:val="0"/>
        <w:color w:val="auto"/>
        <w:sz w:val="24"/>
        <w:szCs w:val="24"/>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color w:val="auto"/>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CF00026"/>
    <w:multiLevelType w:val="hybridMultilevel"/>
    <w:tmpl w:val="FB64D76A"/>
    <w:lvl w:ilvl="0" w:tplc="A000B298">
      <w:start w:val="16"/>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E9935AA"/>
    <w:multiLevelType w:val="hybridMultilevel"/>
    <w:tmpl w:val="4DC4EF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B4294"/>
    <w:multiLevelType w:val="hybridMultilevel"/>
    <w:tmpl w:val="E2B2547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B50F14"/>
    <w:multiLevelType w:val="hybridMultilevel"/>
    <w:tmpl w:val="5E4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30329"/>
    <w:multiLevelType w:val="multilevel"/>
    <w:tmpl w:val="CBAA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6814A6"/>
    <w:multiLevelType w:val="hybridMultilevel"/>
    <w:tmpl w:val="E7BCA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173A8"/>
    <w:multiLevelType w:val="multilevel"/>
    <w:tmpl w:val="96FCE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3E739C"/>
    <w:multiLevelType w:val="hybridMultilevel"/>
    <w:tmpl w:val="A2006C6C"/>
    <w:lvl w:ilvl="0" w:tplc="BFE2CC78">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62C269C1"/>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A872EA"/>
    <w:multiLevelType w:val="hybridMultilevel"/>
    <w:tmpl w:val="1B0A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170"/>
    <w:multiLevelType w:val="hybridMultilevel"/>
    <w:tmpl w:val="23AAA1A6"/>
    <w:lvl w:ilvl="0" w:tplc="EB62AFA4">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4FB4A6D"/>
    <w:multiLevelType w:val="hybridMultilevel"/>
    <w:tmpl w:val="C524A6D4"/>
    <w:lvl w:ilvl="0" w:tplc="6DACECD8">
      <w:start w:val="2"/>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1" w15:restartNumberingAfterBreak="0">
    <w:nsid w:val="6549620C"/>
    <w:multiLevelType w:val="hybridMultilevel"/>
    <w:tmpl w:val="F0D48770"/>
    <w:lvl w:ilvl="0" w:tplc="1F905D68">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406511"/>
    <w:multiLevelType w:val="hybridMultilevel"/>
    <w:tmpl w:val="44AA8F6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9133F7"/>
    <w:multiLevelType w:val="multilevel"/>
    <w:tmpl w:val="92263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6A6103"/>
    <w:multiLevelType w:val="hybridMultilevel"/>
    <w:tmpl w:val="436E4F58"/>
    <w:lvl w:ilvl="0" w:tplc="0352D3A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0A4E80"/>
    <w:multiLevelType w:val="hybridMultilevel"/>
    <w:tmpl w:val="A48C2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28127E"/>
    <w:multiLevelType w:val="hybridMultilevel"/>
    <w:tmpl w:val="685C0A28"/>
    <w:lvl w:ilvl="0" w:tplc="602CCF0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4"/>
  </w:num>
  <w:num w:numId="3">
    <w:abstractNumId w:val="15"/>
  </w:num>
  <w:num w:numId="4">
    <w:abstractNumId w:val="0"/>
  </w:num>
  <w:num w:numId="5">
    <w:abstractNumId w:val="8"/>
  </w:num>
  <w:num w:numId="6">
    <w:abstractNumId w:val="15"/>
  </w:num>
  <w:num w:numId="7">
    <w:abstractNumId w:val="14"/>
  </w:num>
  <w:num w:numId="8">
    <w:abstractNumId w:val="13"/>
  </w:num>
  <w:num w:numId="9">
    <w:abstractNumId w:val="27"/>
  </w:num>
  <w:num w:numId="10">
    <w:abstractNumId w:val="21"/>
  </w:num>
  <w:num w:numId="11">
    <w:abstractNumId w:val="32"/>
  </w:num>
  <w:num w:numId="12">
    <w:abstractNumId w:val="20"/>
  </w:num>
  <w:num w:numId="13">
    <w:abstractNumId w:val="19"/>
  </w:num>
  <w:num w:numId="14">
    <w:abstractNumId w:val="31"/>
  </w:num>
  <w:num w:numId="15">
    <w:abstractNumId w:val="3"/>
  </w:num>
  <w:num w:numId="16">
    <w:abstractNumId w:val="10"/>
  </w:num>
  <w:num w:numId="17">
    <w:abstractNumId w:val="2"/>
  </w:num>
  <w:num w:numId="18">
    <w:abstractNumId w:val="9"/>
  </w:num>
  <w:num w:numId="19">
    <w:abstractNumId w:val="26"/>
  </w:num>
  <w:num w:numId="20">
    <w:abstractNumId w:val="7"/>
  </w:num>
  <w:num w:numId="21">
    <w:abstractNumId w:val="30"/>
  </w:num>
  <w:num w:numId="22">
    <w:abstractNumId w:val="24"/>
  </w:num>
  <w:num w:numId="23">
    <w:abstractNumId w:val="29"/>
  </w:num>
  <w:num w:numId="24">
    <w:abstractNumId w:val="33"/>
    <w:lvlOverride w:ilvl="0">
      <w:lvl w:ilvl="0">
        <w:numFmt w:val="decimal"/>
        <w:lvlText w:val="%1."/>
        <w:lvlJc w:val="left"/>
      </w:lvl>
    </w:lvlOverride>
  </w:num>
  <w:num w:numId="25">
    <w:abstractNumId w:val="4"/>
    <w:lvlOverride w:ilvl="0">
      <w:lvl w:ilvl="0">
        <w:numFmt w:val="lowerLetter"/>
        <w:lvlText w:val="%1."/>
        <w:lvlJc w:val="left"/>
      </w:lvl>
    </w:lvlOverride>
  </w:num>
  <w:num w:numId="26">
    <w:abstractNumId w:val="11"/>
  </w:num>
  <w:num w:numId="27">
    <w:abstractNumId w:val="25"/>
    <w:lvlOverride w:ilvl="0">
      <w:lvl w:ilvl="0">
        <w:numFmt w:val="decimal"/>
        <w:lvlText w:val="%1."/>
        <w:lvlJc w:val="left"/>
      </w:lvl>
    </w:lvlOverride>
  </w:num>
  <w:num w:numId="28">
    <w:abstractNumId w:val="23"/>
    <w:lvlOverride w:ilvl="0">
      <w:lvl w:ilvl="0">
        <w:numFmt w:val="lowerLetter"/>
        <w:lvlText w:val="%1."/>
        <w:lvlJc w:val="left"/>
      </w:lvl>
    </w:lvlOverride>
  </w:num>
  <w:num w:numId="29">
    <w:abstractNumId w:val="6"/>
  </w:num>
  <w:num w:numId="30">
    <w:abstractNumId w:val="28"/>
  </w:num>
  <w:num w:numId="31">
    <w:abstractNumId w:val="34"/>
  </w:num>
  <w:num w:numId="32">
    <w:abstractNumId w:val="17"/>
  </w:num>
  <w:num w:numId="33">
    <w:abstractNumId w:val="16"/>
  </w:num>
  <w:num w:numId="34">
    <w:abstractNumId w:val="1"/>
  </w:num>
  <w:num w:numId="35">
    <w:abstractNumId w:val="22"/>
  </w:num>
  <w:num w:numId="36">
    <w:abstractNumId w:val="12"/>
  </w:num>
  <w:num w:numId="37">
    <w:abstractNumId w:val="5"/>
  </w:num>
  <w:num w:numId="38">
    <w:abstractNumId w:val="35"/>
  </w:num>
  <w:num w:numId="39">
    <w:abstractNumId w:val="1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C1"/>
    <w:rsid w:val="000010DF"/>
    <w:rsid w:val="00004386"/>
    <w:rsid w:val="00004963"/>
    <w:rsid w:val="00004E10"/>
    <w:rsid w:val="00004F26"/>
    <w:rsid w:val="00005436"/>
    <w:rsid w:val="00006CFD"/>
    <w:rsid w:val="00010395"/>
    <w:rsid w:val="0001151A"/>
    <w:rsid w:val="00012371"/>
    <w:rsid w:val="000143E1"/>
    <w:rsid w:val="00015849"/>
    <w:rsid w:val="00015DA0"/>
    <w:rsid w:val="00016710"/>
    <w:rsid w:val="00016FF6"/>
    <w:rsid w:val="000170AE"/>
    <w:rsid w:val="00017566"/>
    <w:rsid w:val="0002053F"/>
    <w:rsid w:val="00020A26"/>
    <w:rsid w:val="00023A90"/>
    <w:rsid w:val="00025EE7"/>
    <w:rsid w:val="00027CD0"/>
    <w:rsid w:val="00030567"/>
    <w:rsid w:val="00030F15"/>
    <w:rsid w:val="0003150E"/>
    <w:rsid w:val="00031A1D"/>
    <w:rsid w:val="00031C72"/>
    <w:rsid w:val="000321D1"/>
    <w:rsid w:val="00032AE0"/>
    <w:rsid w:val="00034F1E"/>
    <w:rsid w:val="00035264"/>
    <w:rsid w:val="000355F2"/>
    <w:rsid w:val="00037328"/>
    <w:rsid w:val="00037CFF"/>
    <w:rsid w:val="00040D4D"/>
    <w:rsid w:val="00042803"/>
    <w:rsid w:val="0004415C"/>
    <w:rsid w:val="000447AC"/>
    <w:rsid w:val="00045C23"/>
    <w:rsid w:val="0004680D"/>
    <w:rsid w:val="00046BA4"/>
    <w:rsid w:val="00047440"/>
    <w:rsid w:val="00047588"/>
    <w:rsid w:val="00053927"/>
    <w:rsid w:val="000550E2"/>
    <w:rsid w:val="000568BD"/>
    <w:rsid w:val="00057285"/>
    <w:rsid w:val="000576EB"/>
    <w:rsid w:val="000577AA"/>
    <w:rsid w:val="00061556"/>
    <w:rsid w:val="00064BF9"/>
    <w:rsid w:val="00065C4E"/>
    <w:rsid w:val="00065FE6"/>
    <w:rsid w:val="0006639E"/>
    <w:rsid w:val="000666D7"/>
    <w:rsid w:val="00070351"/>
    <w:rsid w:val="00070B63"/>
    <w:rsid w:val="00071BD4"/>
    <w:rsid w:val="00072134"/>
    <w:rsid w:val="00072935"/>
    <w:rsid w:val="000760D7"/>
    <w:rsid w:val="000764E9"/>
    <w:rsid w:val="000813B3"/>
    <w:rsid w:val="000826B4"/>
    <w:rsid w:val="00082924"/>
    <w:rsid w:val="000833B2"/>
    <w:rsid w:val="0008341D"/>
    <w:rsid w:val="00084C08"/>
    <w:rsid w:val="00085176"/>
    <w:rsid w:val="00085557"/>
    <w:rsid w:val="00085ACE"/>
    <w:rsid w:val="00087305"/>
    <w:rsid w:val="000878FC"/>
    <w:rsid w:val="00087C13"/>
    <w:rsid w:val="000902C3"/>
    <w:rsid w:val="000922DD"/>
    <w:rsid w:val="0009243B"/>
    <w:rsid w:val="0009360A"/>
    <w:rsid w:val="00094A01"/>
    <w:rsid w:val="000951A7"/>
    <w:rsid w:val="0009525A"/>
    <w:rsid w:val="00095729"/>
    <w:rsid w:val="00096066"/>
    <w:rsid w:val="00096578"/>
    <w:rsid w:val="000A344B"/>
    <w:rsid w:val="000A3B0C"/>
    <w:rsid w:val="000A503E"/>
    <w:rsid w:val="000A59E5"/>
    <w:rsid w:val="000A6602"/>
    <w:rsid w:val="000A6DD0"/>
    <w:rsid w:val="000A7C45"/>
    <w:rsid w:val="000B1720"/>
    <w:rsid w:val="000B1AA7"/>
    <w:rsid w:val="000B1B92"/>
    <w:rsid w:val="000B4050"/>
    <w:rsid w:val="000B50E7"/>
    <w:rsid w:val="000B54E3"/>
    <w:rsid w:val="000B6216"/>
    <w:rsid w:val="000B638D"/>
    <w:rsid w:val="000B732F"/>
    <w:rsid w:val="000C1AB5"/>
    <w:rsid w:val="000C1CD2"/>
    <w:rsid w:val="000C2136"/>
    <w:rsid w:val="000C2139"/>
    <w:rsid w:val="000C2799"/>
    <w:rsid w:val="000C43FC"/>
    <w:rsid w:val="000C4822"/>
    <w:rsid w:val="000C4CE6"/>
    <w:rsid w:val="000C6C34"/>
    <w:rsid w:val="000D099E"/>
    <w:rsid w:val="000D1D8E"/>
    <w:rsid w:val="000D2C66"/>
    <w:rsid w:val="000D410F"/>
    <w:rsid w:val="000D4176"/>
    <w:rsid w:val="000D42FE"/>
    <w:rsid w:val="000D4880"/>
    <w:rsid w:val="000D4AF3"/>
    <w:rsid w:val="000D52F9"/>
    <w:rsid w:val="000D55DA"/>
    <w:rsid w:val="000E0988"/>
    <w:rsid w:val="000E1CC9"/>
    <w:rsid w:val="000E30BE"/>
    <w:rsid w:val="000E3931"/>
    <w:rsid w:val="000E68B1"/>
    <w:rsid w:val="000E72C8"/>
    <w:rsid w:val="000F003F"/>
    <w:rsid w:val="000F186C"/>
    <w:rsid w:val="000F41D5"/>
    <w:rsid w:val="000F42CB"/>
    <w:rsid w:val="000F4A6B"/>
    <w:rsid w:val="000F5968"/>
    <w:rsid w:val="00100F77"/>
    <w:rsid w:val="0010135F"/>
    <w:rsid w:val="0010168E"/>
    <w:rsid w:val="00101D2F"/>
    <w:rsid w:val="00103A54"/>
    <w:rsid w:val="00103E4F"/>
    <w:rsid w:val="00104305"/>
    <w:rsid w:val="0010508F"/>
    <w:rsid w:val="0010627E"/>
    <w:rsid w:val="00106C01"/>
    <w:rsid w:val="0010786B"/>
    <w:rsid w:val="00107A82"/>
    <w:rsid w:val="001121C9"/>
    <w:rsid w:val="00113E12"/>
    <w:rsid w:val="0011648C"/>
    <w:rsid w:val="0011787B"/>
    <w:rsid w:val="00117994"/>
    <w:rsid w:val="00120780"/>
    <w:rsid w:val="00120D5A"/>
    <w:rsid w:val="00121742"/>
    <w:rsid w:val="00122160"/>
    <w:rsid w:val="001231BD"/>
    <w:rsid w:val="00123545"/>
    <w:rsid w:val="00126DF6"/>
    <w:rsid w:val="00130817"/>
    <w:rsid w:val="00130EC6"/>
    <w:rsid w:val="001316C3"/>
    <w:rsid w:val="00132126"/>
    <w:rsid w:val="00132380"/>
    <w:rsid w:val="00132418"/>
    <w:rsid w:val="0013334C"/>
    <w:rsid w:val="001335F6"/>
    <w:rsid w:val="00133E31"/>
    <w:rsid w:val="00133EA4"/>
    <w:rsid w:val="00133F08"/>
    <w:rsid w:val="00136191"/>
    <w:rsid w:val="00136B52"/>
    <w:rsid w:val="00137676"/>
    <w:rsid w:val="00140D4A"/>
    <w:rsid w:val="00141255"/>
    <w:rsid w:val="001415CC"/>
    <w:rsid w:val="0014230A"/>
    <w:rsid w:val="00142F1C"/>
    <w:rsid w:val="0014321E"/>
    <w:rsid w:val="001438E0"/>
    <w:rsid w:val="0014482E"/>
    <w:rsid w:val="00144A3A"/>
    <w:rsid w:val="001457A1"/>
    <w:rsid w:val="00145AED"/>
    <w:rsid w:val="001468D7"/>
    <w:rsid w:val="00146E69"/>
    <w:rsid w:val="00147D26"/>
    <w:rsid w:val="00151E7B"/>
    <w:rsid w:val="001536FB"/>
    <w:rsid w:val="001537FD"/>
    <w:rsid w:val="001539B2"/>
    <w:rsid w:val="0015499E"/>
    <w:rsid w:val="0015558C"/>
    <w:rsid w:val="001570B9"/>
    <w:rsid w:val="0015722A"/>
    <w:rsid w:val="00160ED6"/>
    <w:rsid w:val="00161953"/>
    <w:rsid w:val="00162D3B"/>
    <w:rsid w:val="001651CC"/>
    <w:rsid w:val="001651E7"/>
    <w:rsid w:val="00165D67"/>
    <w:rsid w:val="001667EA"/>
    <w:rsid w:val="00166C88"/>
    <w:rsid w:val="00167248"/>
    <w:rsid w:val="00170BC4"/>
    <w:rsid w:val="00173461"/>
    <w:rsid w:val="0017365C"/>
    <w:rsid w:val="00173703"/>
    <w:rsid w:val="00175953"/>
    <w:rsid w:val="001761A1"/>
    <w:rsid w:val="00176566"/>
    <w:rsid w:val="00176A45"/>
    <w:rsid w:val="00176C51"/>
    <w:rsid w:val="00181958"/>
    <w:rsid w:val="00181A50"/>
    <w:rsid w:val="0018210F"/>
    <w:rsid w:val="00183619"/>
    <w:rsid w:val="0018388D"/>
    <w:rsid w:val="00185E77"/>
    <w:rsid w:val="00186AE0"/>
    <w:rsid w:val="00190288"/>
    <w:rsid w:val="0019207E"/>
    <w:rsid w:val="00192C10"/>
    <w:rsid w:val="00194801"/>
    <w:rsid w:val="001969AE"/>
    <w:rsid w:val="00197059"/>
    <w:rsid w:val="00197A98"/>
    <w:rsid w:val="001A01BD"/>
    <w:rsid w:val="001A1250"/>
    <w:rsid w:val="001A3D97"/>
    <w:rsid w:val="001A4318"/>
    <w:rsid w:val="001A4375"/>
    <w:rsid w:val="001A511E"/>
    <w:rsid w:val="001A5531"/>
    <w:rsid w:val="001A5678"/>
    <w:rsid w:val="001A691C"/>
    <w:rsid w:val="001A6DD4"/>
    <w:rsid w:val="001B092B"/>
    <w:rsid w:val="001B11B1"/>
    <w:rsid w:val="001B16DC"/>
    <w:rsid w:val="001B18B8"/>
    <w:rsid w:val="001B1D73"/>
    <w:rsid w:val="001B2851"/>
    <w:rsid w:val="001B520B"/>
    <w:rsid w:val="001B6AC1"/>
    <w:rsid w:val="001B6B6C"/>
    <w:rsid w:val="001B7139"/>
    <w:rsid w:val="001B7538"/>
    <w:rsid w:val="001B7E04"/>
    <w:rsid w:val="001C0174"/>
    <w:rsid w:val="001C202B"/>
    <w:rsid w:val="001C51BD"/>
    <w:rsid w:val="001C57E3"/>
    <w:rsid w:val="001C5CC6"/>
    <w:rsid w:val="001D04FC"/>
    <w:rsid w:val="001D127F"/>
    <w:rsid w:val="001D13C1"/>
    <w:rsid w:val="001D1991"/>
    <w:rsid w:val="001D2096"/>
    <w:rsid w:val="001D22A5"/>
    <w:rsid w:val="001D29BE"/>
    <w:rsid w:val="001D370F"/>
    <w:rsid w:val="001D3AE1"/>
    <w:rsid w:val="001D44E1"/>
    <w:rsid w:val="001D46FD"/>
    <w:rsid w:val="001D5570"/>
    <w:rsid w:val="001D55EC"/>
    <w:rsid w:val="001D6222"/>
    <w:rsid w:val="001D6A1C"/>
    <w:rsid w:val="001E11D2"/>
    <w:rsid w:val="001E1B8C"/>
    <w:rsid w:val="001E1C1F"/>
    <w:rsid w:val="001E3355"/>
    <w:rsid w:val="001E582F"/>
    <w:rsid w:val="001E5AAF"/>
    <w:rsid w:val="001E636E"/>
    <w:rsid w:val="001F0CCF"/>
    <w:rsid w:val="001F1C04"/>
    <w:rsid w:val="001F25B0"/>
    <w:rsid w:val="001F2CC2"/>
    <w:rsid w:val="001F2F6E"/>
    <w:rsid w:val="001F3761"/>
    <w:rsid w:val="001F3A49"/>
    <w:rsid w:val="001F3A9B"/>
    <w:rsid w:val="001F42A1"/>
    <w:rsid w:val="001F5F1D"/>
    <w:rsid w:val="001F6352"/>
    <w:rsid w:val="001F6A55"/>
    <w:rsid w:val="001F7A5C"/>
    <w:rsid w:val="00201644"/>
    <w:rsid w:val="00201F87"/>
    <w:rsid w:val="00203779"/>
    <w:rsid w:val="00203D7F"/>
    <w:rsid w:val="002040AB"/>
    <w:rsid w:val="00204CC0"/>
    <w:rsid w:val="00205EA7"/>
    <w:rsid w:val="00206224"/>
    <w:rsid w:val="002063C6"/>
    <w:rsid w:val="00211028"/>
    <w:rsid w:val="00211FE1"/>
    <w:rsid w:val="002120FB"/>
    <w:rsid w:val="00212184"/>
    <w:rsid w:val="00212B55"/>
    <w:rsid w:val="00212CB1"/>
    <w:rsid w:val="00214369"/>
    <w:rsid w:val="00214AC2"/>
    <w:rsid w:val="002153D9"/>
    <w:rsid w:val="00215929"/>
    <w:rsid w:val="00217739"/>
    <w:rsid w:val="00217DF0"/>
    <w:rsid w:val="00221A8B"/>
    <w:rsid w:val="00222265"/>
    <w:rsid w:val="0022257E"/>
    <w:rsid w:val="002238B6"/>
    <w:rsid w:val="00226469"/>
    <w:rsid w:val="00227BC4"/>
    <w:rsid w:val="00227CA2"/>
    <w:rsid w:val="00230EAE"/>
    <w:rsid w:val="00231365"/>
    <w:rsid w:val="002314D0"/>
    <w:rsid w:val="00231EAC"/>
    <w:rsid w:val="0023229C"/>
    <w:rsid w:val="002343D1"/>
    <w:rsid w:val="002350F5"/>
    <w:rsid w:val="00236980"/>
    <w:rsid w:val="00236E50"/>
    <w:rsid w:val="00236F8C"/>
    <w:rsid w:val="0023734F"/>
    <w:rsid w:val="00240D98"/>
    <w:rsid w:val="002425F4"/>
    <w:rsid w:val="00242BAC"/>
    <w:rsid w:val="0024396A"/>
    <w:rsid w:val="0024416A"/>
    <w:rsid w:val="00245EBF"/>
    <w:rsid w:val="00246450"/>
    <w:rsid w:val="00247CC6"/>
    <w:rsid w:val="002519EF"/>
    <w:rsid w:val="002522D7"/>
    <w:rsid w:val="002528E7"/>
    <w:rsid w:val="00253147"/>
    <w:rsid w:val="00254199"/>
    <w:rsid w:val="0025481B"/>
    <w:rsid w:val="0025508A"/>
    <w:rsid w:val="00256668"/>
    <w:rsid w:val="00257EC8"/>
    <w:rsid w:val="00260FB5"/>
    <w:rsid w:val="00263B18"/>
    <w:rsid w:val="002647C3"/>
    <w:rsid w:val="00265E25"/>
    <w:rsid w:val="0026678F"/>
    <w:rsid w:val="0026721E"/>
    <w:rsid w:val="002679A8"/>
    <w:rsid w:val="00267AC7"/>
    <w:rsid w:val="00274664"/>
    <w:rsid w:val="00275463"/>
    <w:rsid w:val="002760EA"/>
    <w:rsid w:val="002771C4"/>
    <w:rsid w:val="0027774F"/>
    <w:rsid w:val="002802DA"/>
    <w:rsid w:val="002813CF"/>
    <w:rsid w:val="0028229B"/>
    <w:rsid w:val="0028275E"/>
    <w:rsid w:val="00283551"/>
    <w:rsid w:val="00285914"/>
    <w:rsid w:val="00286614"/>
    <w:rsid w:val="00290040"/>
    <w:rsid w:val="0029082A"/>
    <w:rsid w:val="002909C2"/>
    <w:rsid w:val="00290A0B"/>
    <w:rsid w:val="00291E30"/>
    <w:rsid w:val="00292CA8"/>
    <w:rsid w:val="00293E7E"/>
    <w:rsid w:val="00294C5A"/>
    <w:rsid w:val="00294EF7"/>
    <w:rsid w:val="00295B51"/>
    <w:rsid w:val="00297452"/>
    <w:rsid w:val="00297EE1"/>
    <w:rsid w:val="002A0ADE"/>
    <w:rsid w:val="002A3339"/>
    <w:rsid w:val="002A57D8"/>
    <w:rsid w:val="002A57FB"/>
    <w:rsid w:val="002A5ACB"/>
    <w:rsid w:val="002A65DD"/>
    <w:rsid w:val="002A76D0"/>
    <w:rsid w:val="002A7A6D"/>
    <w:rsid w:val="002B06E1"/>
    <w:rsid w:val="002B0A53"/>
    <w:rsid w:val="002B1F8C"/>
    <w:rsid w:val="002B2966"/>
    <w:rsid w:val="002B373B"/>
    <w:rsid w:val="002B4161"/>
    <w:rsid w:val="002B6421"/>
    <w:rsid w:val="002B718B"/>
    <w:rsid w:val="002B7B87"/>
    <w:rsid w:val="002C12FD"/>
    <w:rsid w:val="002C263B"/>
    <w:rsid w:val="002C275D"/>
    <w:rsid w:val="002C38BB"/>
    <w:rsid w:val="002C48F0"/>
    <w:rsid w:val="002C5C18"/>
    <w:rsid w:val="002C63E4"/>
    <w:rsid w:val="002C6F95"/>
    <w:rsid w:val="002C7AA1"/>
    <w:rsid w:val="002D1DB8"/>
    <w:rsid w:val="002D3237"/>
    <w:rsid w:val="002D3B4D"/>
    <w:rsid w:val="002D5183"/>
    <w:rsid w:val="002D53DC"/>
    <w:rsid w:val="002D6669"/>
    <w:rsid w:val="002D71A6"/>
    <w:rsid w:val="002D7385"/>
    <w:rsid w:val="002E11E6"/>
    <w:rsid w:val="002E42ED"/>
    <w:rsid w:val="002E5302"/>
    <w:rsid w:val="002E55CC"/>
    <w:rsid w:val="002E63A7"/>
    <w:rsid w:val="002E695D"/>
    <w:rsid w:val="002E6A7E"/>
    <w:rsid w:val="002E7E82"/>
    <w:rsid w:val="002F03CE"/>
    <w:rsid w:val="002F0D76"/>
    <w:rsid w:val="002F12D3"/>
    <w:rsid w:val="002F21A2"/>
    <w:rsid w:val="002F332A"/>
    <w:rsid w:val="002F41AE"/>
    <w:rsid w:val="002F4D4A"/>
    <w:rsid w:val="002F58DE"/>
    <w:rsid w:val="002F7C57"/>
    <w:rsid w:val="002F7F5A"/>
    <w:rsid w:val="00300B2F"/>
    <w:rsid w:val="003013EE"/>
    <w:rsid w:val="0030200B"/>
    <w:rsid w:val="00302F00"/>
    <w:rsid w:val="00303C73"/>
    <w:rsid w:val="00303FF4"/>
    <w:rsid w:val="00306098"/>
    <w:rsid w:val="00310007"/>
    <w:rsid w:val="003103F3"/>
    <w:rsid w:val="00311FF1"/>
    <w:rsid w:val="00313D5B"/>
    <w:rsid w:val="003146EF"/>
    <w:rsid w:val="00314BAF"/>
    <w:rsid w:val="00314E90"/>
    <w:rsid w:val="00315090"/>
    <w:rsid w:val="0031516A"/>
    <w:rsid w:val="00315304"/>
    <w:rsid w:val="00315A2A"/>
    <w:rsid w:val="003202FD"/>
    <w:rsid w:val="003216A8"/>
    <w:rsid w:val="00321BEC"/>
    <w:rsid w:val="0032232F"/>
    <w:rsid w:val="0032422E"/>
    <w:rsid w:val="00325C24"/>
    <w:rsid w:val="003261F8"/>
    <w:rsid w:val="00327018"/>
    <w:rsid w:val="00327620"/>
    <w:rsid w:val="003315CF"/>
    <w:rsid w:val="0033339F"/>
    <w:rsid w:val="00333DA7"/>
    <w:rsid w:val="00334928"/>
    <w:rsid w:val="00335788"/>
    <w:rsid w:val="00335974"/>
    <w:rsid w:val="00335E14"/>
    <w:rsid w:val="0034044F"/>
    <w:rsid w:val="0034089F"/>
    <w:rsid w:val="0034187F"/>
    <w:rsid w:val="00342317"/>
    <w:rsid w:val="00343197"/>
    <w:rsid w:val="00346AF8"/>
    <w:rsid w:val="003479F2"/>
    <w:rsid w:val="003514FD"/>
    <w:rsid w:val="003529C2"/>
    <w:rsid w:val="00354002"/>
    <w:rsid w:val="0035418A"/>
    <w:rsid w:val="00354ACE"/>
    <w:rsid w:val="00355BEC"/>
    <w:rsid w:val="0035677E"/>
    <w:rsid w:val="00356EE4"/>
    <w:rsid w:val="00360012"/>
    <w:rsid w:val="003602BE"/>
    <w:rsid w:val="00360CA6"/>
    <w:rsid w:val="00362784"/>
    <w:rsid w:val="00363512"/>
    <w:rsid w:val="003648D1"/>
    <w:rsid w:val="00367EE0"/>
    <w:rsid w:val="00370571"/>
    <w:rsid w:val="00371436"/>
    <w:rsid w:val="00373247"/>
    <w:rsid w:val="00375C4E"/>
    <w:rsid w:val="00377DFE"/>
    <w:rsid w:val="00381A86"/>
    <w:rsid w:val="00382447"/>
    <w:rsid w:val="00385114"/>
    <w:rsid w:val="00386E32"/>
    <w:rsid w:val="0038723D"/>
    <w:rsid w:val="003876D8"/>
    <w:rsid w:val="00387EBF"/>
    <w:rsid w:val="00391845"/>
    <w:rsid w:val="00391B64"/>
    <w:rsid w:val="0039210D"/>
    <w:rsid w:val="0039217C"/>
    <w:rsid w:val="0039263F"/>
    <w:rsid w:val="00392936"/>
    <w:rsid w:val="00392E37"/>
    <w:rsid w:val="00392E49"/>
    <w:rsid w:val="00392EAD"/>
    <w:rsid w:val="00393FB0"/>
    <w:rsid w:val="00394007"/>
    <w:rsid w:val="003944E1"/>
    <w:rsid w:val="003944E5"/>
    <w:rsid w:val="0039496A"/>
    <w:rsid w:val="00395281"/>
    <w:rsid w:val="00396B6E"/>
    <w:rsid w:val="0039705C"/>
    <w:rsid w:val="003A1BAB"/>
    <w:rsid w:val="003A272A"/>
    <w:rsid w:val="003A2DA1"/>
    <w:rsid w:val="003A2EF7"/>
    <w:rsid w:val="003A470E"/>
    <w:rsid w:val="003A6240"/>
    <w:rsid w:val="003B00B3"/>
    <w:rsid w:val="003B20C2"/>
    <w:rsid w:val="003B2A76"/>
    <w:rsid w:val="003B2C06"/>
    <w:rsid w:val="003B3E02"/>
    <w:rsid w:val="003B60E3"/>
    <w:rsid w:val="003B6844"/>
    <w:rsid w:val="003B77D8"/>
    <w:rsid w:val="003C03B5"/>
    <w:rsid w:val="003C3046"/>
    <w:rsid w:val="003C3098"/>
    <w:rsid w:val="003C34B3"/>
    <w:rsid w:val="003C4008"/>
    <w:rsid w:val="003C47DD"/>
    <w:rsid w:val="003C48FD"/>
    <w:rsid w:val="003C5F0E"/>
    <w:rsid w:val="003C61F8"/>
    <w:rsid w:val="003C759D"/>
    <w:rsid w:val="003C77AD"/>
    <w:rsid w:val="003C77FB"/>
    <w:rsid w:val="003C7F00"/>
    <w:rsid w:val="003D03C8"/>
    <w:rsid w:val="003D384C"/>
    <w:rsid w:val="003D3D39"/>
    <w:rsid w:val="003D5281"/>
    <w:rsid w:val="003D7D40"/>
    <w:rsid w:val="003E109E"/>
    <w:rsid w:val="003E14E7"/>
    <w:rsid w:val="003E19F2"/>
    <w:rsid w:val="003E1A3F"/>
    <w:rsid w:val="003E234E"/>
    <w:rsid w:val="003E2A6C"/>
    <w:rsid w:val="003E4A05"/>
    <w:rsid w:val="003E5668"/>
    <w:rsid w:val="003E5836"/>
    <w:rsid w:val="003E6770"/>
    <w:rsid w:val="003F0BF6"/>
    <w:rsid w:val="003F0C11"/>
    <w:rsid w:val="003F1C2E"/>
    <w:rsid w:val="003F1E73"/>
    <w:rsid w:val="003F3E71"/>
    <w:rsid w:val="003F410D"/>
    <w:rsid w:val="003F58B9"/>
    <w:rsid w:val="003F6411"/>
    <w:rsid w:val="003F743C"/>
    <w:rsid w:val="003F7781"/>
    <w:rsid w:val="003F7C08"/>
    <w:rsid w:val="003F7DD0"/>
    <w:rsid w:val="004003FF"/>
    <w:rsid w:val="00401707"/>
    <w:rsid w:val="0040188E"/>
    <w:rsid w:val="004018E5"/>
    <w:rsid w:val="00403562"/>
    <w:rsid w:val="00403C51"/>
    <w:rsid w:val="00404746"/>
    <w:rsid w:val="00404B44"/>
    <w:rsid w:val="00405081"/>
    <w:rsid w:val="004053C2"/>
    <w:rsid w:val="0040647D"/>
    <w:rsid w:val="004069A6"/>
    <w:rsid w:val="0040733D"/>
    <w:rsid w:val="004104E3"/>
    <w:rsid w:val="0041294D"/>
    <w:rsid w:val="00414936"/>
    <w:rsid w:val="00415AB8"/>
    <w:rsid w:val="004165BC"/>
    <w:rsid w:val="004210EA"/>
    <w:rsid w:val="00421DFD"/>
    <w:rsid w:val="0042395A"/>
    <w:rsid w:val="0042431E"/>
    <w:rsid w:val="00425309"/>
    <w:rsid w:val="00426019"/>
    <w:rsid w:val="00426CF5"/>
    <w:rsid w:val="00427E31"/>
    <w:rsid w:val="00427FEE"/>
    <w:rsid w:val="00431A42"/>
    <w:rsid w:val="00433D24"/>
    <w:rsid w:val="00434824"/>
    <w:rsid w:val="0043600E"/>
    <w:rsid w:val="00440A22"/>
    <w:rsid w:val="00440F6D"/>
    <w:rsid w:val="0044258E"/>
    <w:rsid w:val="00444E89"/>
    <w:rsid w:val="004501E1"/>
    <w:rsid w:val="004505CE"/>
    <w:rsid w:val="00452E41"/>
    <w:rsid w:val="00454ADA"/>
    <w:rsid w:val="00454E42"/>
    <w:rsid w:val="0045500A"/>
    <w:rsid w:val="00460456"/>
    <w:rsid w:val="00460787"/>
    <w:rsid w:val="004619E8"/>
    <w:rsid w:val="00463708"/>
    <w:rsid w:val="004639D8"/>
    <w:rsid w:val="00464968"/>
    <w:rsid w:val="00464F4D"/>
    <w:rsid w:val="00466D98"/>
    <w:rsid w:val="00467A2D"/>
    <w:rsid w:val="00471564"/>
    <w:rsid w:val="00472984"/>
    <w:rsid w:val="004769F7"/>
    <w:rsid w:val="00481905"/>
    <w:rsid w:val="004821F3"/>
    <w:rsid w:val="004822A5"/>
    <w:rsid w:val="00482FA6"/>
    <w:rsid w:val="00483421"/>
    <w:rsid w:val="00484289"/>
    <w:rsid w:val="004844F8"/>
    <w:rsid w:val="00484C38"/>
    <w:rsid w:val="00484CF0"/>
    <w:rsid w:val="0048750B"/>
    <w:rsid w:val="004905FE"/>
    <w:rsid w:val="00490CD4"/>
    <w:rsid w:val="00490F35"/>
    <w:rsid w:val="00493407"/>
    <w:rsid w:val="0049415D"/>
    <w:rsid w:val="004943A8"/>
    <w:rsid w:val="004A24C0"/>
    <w:rsid w:val="004A2AFD"/>
    <w:rsid w:val="004A4122"/>
    <w:rsid w:val="004A527E"/>
    <w:rsid w:val="004A54BB"/>
    <w:rsid w:val="004A7239"/>
    <w:rsid w:val="004B21AB"/>
    <w:rsid w:val="004B3D74"/>
    <w:rsid w:val="004B5048"/>
    <w:rsid w:val="004B5399"/>
    <w:rsid w:val="004B670A"/>
    <w:rsid w:val="004B7425"/>
    <w:rsid w:val="004C0487"/>
    <w:rsid w:val="004C09D4"/>
    <w:rsid w:val="004C0E1A"/>
    <w:rsid w:val="004C3809"/>
    <w:rsid w:val="004C4161"/>
    <w:rsid w:val="004C443D"/>
    <w:rsid w:val="004C5492"/>
    <w:rsid w:val="004C5560"/>
    <w:rsid w:val="004C689A"/>
    <w:rsid w:val="004C6933"/>
    <w:rsid w:val="004D1B91"/>
    <w:rsid w:val="004D26EA"/>
    <w:rsid w:val="004D4788"/>
    <w:rsid w:val="004E0BE6"/>
    <w:rsid w:val="004E18C8"/>
    <w:rsid w:val="004E2CFE"/>
    <w:rsid w:val="004E2FC4"/>
    <w:rsid w:val="004E58C3"/>
    <w:rsid w:val="004E61C2"/>
    <w:rsid w:val="004E6EA7"/>
    <w:rsid w:val="004E7FDA"/>
    <w:rsid w:val="004F07F9"/>
    <w:rsid w:val="004F0CB5"/>
    <w:rsid w:val="004F2607"/>
    <w:rsid w:val="004F2D84"/>
    <w:rsid w:val="004F3D8E"/>
    <w:rsid w:val="004F40C6"/>
    <w:rsid w:val="004F4110"/>
    <w:rsid w:val="004F560B"/>
    <w:rsid w:val="004F594E"/>
    <w:rsid w:val="004F5DBD"/>
    <w:rsid w:val="004F7E9B"/>
    <w:rsid w:val="00500613"/>
    <w:rsid w:val="00502231"/>
    <w:rsid w:val="005029B4"/>
    <w:rsid w:val="00502E2C"/>
    <w:rsid w:val="0050359A"/>
    <w:rsid w:val="00504AC8"/>
    <w:rsid w:val="00504DB4"/>
    <w:rsid w:val="005062F7"/>
    <w:rsid w:val="005071EE"/>
    <w:rsid w:val="005072F3"/>
    <w:rsid w:val="00507475"/>
    <w:rsid w:val="00507924"/>
    <w:rsid w:val="0050796D"/>
    <w:rsid w:val="00507C8D"/>
    <w:rsid w:val="00511648"/>
    <w:rsid w:val="00512A3C"/>
    <w:rsid w:val="00512CCC"/>
    <w:rsid w:val="00513448"/>
    <w:rsid w:val="0051384D"/>
    <w:rsid w:val="005164DA"/>
    <w:rsid w:val="005214E1"/>
    <w:rsid w:val="005223FC"/>
    <w:rsid w:val="005226AD"/>
    <w:rsid w:val="00522BFD"/>
    <w:rsid w:val="00524872"/>
    <w:rsid w:val="00525A4A"/>
    <w:rsid w:val="005263B5"/>
    <w:rsid w:val="005271CA"/>
    <w:rsid w:val="00527516"/>
    <w:rsid w:val="00527B0F"/>
    <w:rsid w:val="00527B67"/>
    <w:rsid w:val="005303F3"/>
    <w:rsid w:val="005315CD"/>
    <w:rsid w:val="00532125"/>
    <w:rsid w:val="005333C5"/>
    <w:rsid w:val="00533AC3"/>
    <w:rsid w:val="00533F0E"/>
    <w:rsid w:val="00534B76"/>
    <w:rsid w:val="005350D9"/>
    <w:rsid w:val="00535EFC"/>
    <w:rsid w:val="005361FF"/>
    <w:rsid w:val="0053736E"/>
    <w:rsid w:val="00540029"/>
    <w:rsid w:val="0054003F"/>
    <w:rsid w:val="005407E7"/>
    <w:rsid w:val="00541768"/>
    <w:rsid w:val="005420A4"/>
    <w:rsid w:val="00543B24"/>
    <w:rsid w:val="00544DD7"/>
    <w:rsid w:val="00551DCF"/>
    <w:rsid w:val="0055302A"/>
    <w:rsid w:val="00553276"/>
    <w:rsid w:val="0055541E"/>
    <w:rsid w:val="00555D7E"/>
    <w:rsid w:val="005567F9"/>
    <w:rsid w:val="00557BDA"/>
    <w:rsid w:val="005621E1"/>
    <w:rsid w:val="00562C3B"/>
    <w:rsid w:val="00562E50"/>
    <w:rsid w:val="00565652"/>
    <w:rsid w:val="00565F19"/>
    <w:rsid w:val="005676DC"/>
    <w:rsid w:val="00571041"/>
    <w:rsid w:val="00571102"/>
    <w:rsid w:val="005711D1"/>
    <w:rsid w:val="00571AFB"/>
    <w:rsid w:val="00572DF9"/>
    <w:rsid w:val="00572E7A"/>
    <w:rsid w:val="00572EA7"/>
    <w:rsid w:val="00573353"/>
    <w:rsid w:val="00573E79"/>
    <w:rsid w:val="00574163"/>
    <w:rsid w:val="00574305"/>
    <w:rsid w:val="005756C5"/>
    <w:rsid w:val="0057575D"/>
    <w:rsid w:val="005758FF"/>
    <w:rsid w:val="00580865"/>
    <w:rsid w:val="00580D35"/>
    <w:rsid w:val="00581F53"/>
    <w:rsid w:val="00582B91"/>
    <w:rsid w:val="00583128"/>
    <w:rsid w:val="0058331A"/>
    <w:rsid w:val="005841EF"/>
    <w:rsid w:val="00584957"/>
    <w:rsid w:val="00586077"/>
    <w:rsid w:val="005868A0"/>
    <w:rsid w:val="005901F3"/>
    <w:rsid w:val="00590A2E"/>
    <w:rsid w:val="005926D7"/>
    <w:rsid w:val="005927A0"/>
    <w:rsid w:val="005935C9"/>
    <w:rsid w:val="00593A39"/>
    <w:rsid w:val="00593DED"/>
    <w:rsid w:val="00595808"/>
    <w:rsid w:val="00595D22"/>
    <w:rsid w:val="00596379"/>
    <w:rsid w:val="005A0268"/>
    <w:rsid w:val="005A03A2"/>
    <w:rsid w:val="005A132D"/>
    <w:rsid w:val="005A15D2"/>
    <w:rsid w:val="005A28F7"/>
    <w:rsid w:val="005A35AC"/>
    <w:rsid w:val="005A6484"/>
    <w:rsid w:val="005B0180"/>
    <w:rsid w:val="005B1E80"/>
    <w:rsid w:val="005B2B22"/>
    <w:rsid w:val="005B2DAF"/>
    <w:rsid w:val="005B30E9"/>
    <w:rsid w:val="005B33FC"/>
    <w:rsid w:val="005B3BA0"/>
    <w:rsid w:val="005B3BB0"/>
    <w:rsid w:val="005B5E9A"/>
    <w:rsid w:val="005B67D8"/>
    <w:rsid w:val="005B6896"/>
    <w:rsid w:val="005B7F72"/>
    <w:rsid w:val="005C09A5"/>
    <w:rsid w:val="005C12B9"/>
    <w:rsid w:val="005C387C"/>
    <w:rsid w:val="005C387E"/>
    <w:rsid w:val="005C530A"/>
    <w:rsid w:val="005C56D7"/>
    <w:rsid w:val="005C70CB"/>
    <w:rsid w:val="005C7644"/>
    <w:rsid w:val="005D19C0"/>
    <w:rsid w:val="005D248C"/>
    <w:rsid w:val="005D3039"/>
    <w:rsid w:val="005D63A5"/>
    <w:rsid w:val="005D7026"/>
    <w:rsid w:val="005D706E"/>
    <w:rsid w:val="005D778F"/>
    <w:rsid w:val="005E1C83"/>
    <w:rsid w:val="005E3285"/>
    <w:rsid w:val="005E334A"/>
    <w:rsid w:val="005E3651"/>
    <w:rsid w:val="005E3E5F"/>
    <w:rsid w:val="005E4612"/>
    <w:rsid w:val="005E7A31"/>
    <w:rsid w:val="005F03B9"/>
    <w:rsid w:val="005F0F0D"/>
    <w:rsid w:val="005F2363"/>
    <w:rsid w:val="005F23F2"/>
    <w:rsid w:val="005F2F2D"/>
    <w:rsid w:val="005F402D"/>
    <w:rsid w:val="005F539F"/>
    <w:rsid w:val="005F5E36"/>
    <w:rsid w:val="005F7886"/>
    <w:rsid w:val="006022C5"/>
    <w:rsid w:val="00602C18"/>
    <w:rsid w:val="00603693"/>
    <w:rsid w:val="00606EAA"/>
    <w:rsid w:val="006077E3"/>
    <w:rsid w:val="00607B79"/>
    <w:rsid w:val="00607D7D"/>
    <w:rsid w:val="006105B3"/>
    <w:rsid w:val="006115FA"/>
    <w:rsid w:val="00612B33"/>
    <w:rsid w:val="00613A93"/>
    <w:rsid w:val="00613F27"/>
    <w:rsid w:val="00614BA9"/>
    <w:rsid w:val="00614C1F"/>
    <w:rsid w:val="0061542B"/>
    <w:rsid w:val="006162A0"/>
    <w:rsid w:val="0061660F"/>
    <w:rsid w:val="006168E7"/>
    <w:rsid w:val="00616C49"/>
    <w:rsid w:val="0061711D"/>
    <w:rsid w:val="00617122"/>
    <w:rsid w:val="00620DD2"/>
    <w:rsid w:val="00623BCD"/>
    <w:rsid w:val="00624A43"/>
    <w:rsid w:val="006256A7"/>
    <w:rsid w:val="00626350"/>
    <w:rsid w:val="00626ADD"/>
    <w:rsid w:val="006311CB"/>
    <w:rsid w:val="006319C3"/>
    <w:rsid w:val="006336F1"/>
    <w:rsid w:val="00633D0B"/>
    <w:rsid w:val="006345C9"/>
    <w:rsid w:val="00635197"/>
    <w:rsid w:val="0063551F"/>
    <w:rsid w:val="00635F4C"/>
    <w:rsid w:val="006360F3"/>
    <w:rsid w:val="006401CB"/>
    <w:rsid w:val="00641EE0"/>
    <w:rsid w:val="00644179"/>
    <w:rsid w:val="00644360"/>
    <w:rsid w:val="006448AB"/>
    <w:rsid w:val="00644D70"/>
    <w:rsid w:val="00645914"/>
    <w:rsid w:val="00650585"/>
    <w:rsid w:val="00652AFF"/>
    <w:rsid w:val="00653C6A"/>
    <w:rsid w:val="006548D2"/>
    <w:rsid w:val="006558C7"/>
    <w:rsid w:val="00657397"/>
    <w:rsid w:val="0065784C"/>
    <w:rsid w:val="00660103"/>
    <w:rsid w:val="006609FC"/>
    <w:rsid w:val="00661D51"/>
    <w:rsid w:val="00670FAB"/>
    <w:rsid w:val="0067183B"/>
    <w:rsid w:val="006718FB"/>
    <w:rsid w:val="006724E2"/>
    <w:rsid w:val="006727EE"/>
    <w:rsid w:val="00673540"/>
    <w:rsid w:val="0067528B"/>
    <w:rsid w:val="00675FA9"/>
    <w:rsid w:val="00676C1F"/>
    <w:rsid w:val="006773E9"/>
    <w:rsid w:val="00677B3D"/>
    <w:rsid w:val="00682CC6"/>
    <w:rsid w:val="00683497"/>
    <w:rsid w:val="006838F4"/>
    <w:rsid w:val="00683D52"/>
    <w:rsid w:val="00683E53"/>
    <w:rsid w:val="006848B9"/>
    <w:rsid w:val="00684A40"/>
    <w:rsid w:val="00684D6B"/>
    <w:rsid w:val="00686265"/>
    <w:rsid w:val="006915A1"/>
    <w:rsid w:val="00691F84"/>
    <w:rsid w:val="00692238"/>
    <w:rsid w:val="0069241D"/>
    <w:rsid w:val="00692787"/>
    <w:rsid w:val="00693992"/>
    <w:rsid w:val="00695D40"/>
    <w:rsid w:val="006970DC"/>
    <w:rsid w:val="006A1D81"/>
    <w:rsid w:val="006A1F4A"/>
    <w:rsid w:val="006A2386"/>
    <w:rsid w:val="006A435C"/>
    <w:rsid w:val="006A4AA4"/>
    <w:rsid w:val="006A75D0"/>
    <w:rsid w:val="006A7790"/>
    <w:rsid w:val="006B1133"/>
    <w:rsid w:val="006B19E7"/>
    <w:rsid w:val="006B2B79"/>
    <w:rsid w:val="006B3FAB"/>
    <w:rsid w:val="006B4A03"/>
    <w:rsid w:val="006B5E06"/>
    <w:rsid w:val="006B68AF"/>
    <w:rsid w:val="006B7134"/>
    <w:rsid w:val="006C0AFC"/>
    <w:rsid w:val="006C0C04"/>
    <w:rsid w:val="006C26CD"/>
    <w:rsid w:val="006C5F99"/>
    <w:rsid w:val="006D050E"/>
    <w:rsid w:val="006D2F0E"/>
    <w:rsid w:val="006D40B6"/>
    <w:rsid w:val="006D487E"/>
    <w:rsid w:val="006D6933"/>
    <w:rsid w:val="006D6E25"/>
    <w:rsid w:val="006D74BE"/>
    <w:rsid w:val="006E0DCF"/>
    <w:rsid w:val="006E16B2"/>
    <w:rsid w:val="006E2569"/>
    <w:rsid w:val="006E3F0F"/>
    <w:rsid w:val="006E4751"/>
    <w:rsid w:val="006E4A00"/>
    <w:rsid w:val="006E4FF9"/>
    <w:rsid w:val="006E6589"/>
    <w:rsid w:val="006E666E"/>
    <w:rsid w:val="006E6FC7"/>
    <w:rsid w:val="006E734D"/>
    <w:rsid w:val="006E742E"/>
    <w:rsid w:val="006E744E"/>
    <w:rsid w:val="006F0068"/>
    <w:rsid w:val="006F0463"/>
    <w:rsid w:val="006F193D"/>
    <w:rsid w:val="006F4B63"/>
    <w:rsid w:val="00701271"/>
    <w:rsid w:val="00703FB9"/>
    <w:rsid w:val="0070713A"/>
    <w:rsid w:val="00710D59"/>
    <w:rsid w:val="007116DD"/>
    <w:rsid w:val="007142E9"/>
    <w:rsid w:val="00714D92"/>
    <w:rsid w:val="00714F8E"/>
    <w:rsid w:val="00716795"/>
    <w:rsid w:val="00717139"/>
    <w:rsid w:val="00717709"/>
    <w:rsid w:val="007205F5"/>
    <w:rsid w:val="00721345"/>
    <w:rsid w:val="007220D1"/>
    <w:rsid w:val="0072296D"/>
    <w:rsid w:val="0072482C"/>
    <w:rsid w:val="00724B4D"/>
    <w:rsid w:val="00724D4B"/>
    <w:rsid w:val="00724F17"/>
    <w:rsid w:val="007251EB"/>
    <w:rsid w:val="0072566F"/>
    <w:rsid w:val="0072596B"/>
    <w:rsid w:val="00725C47"/>
    <w:rsid w:val="00726099"/>
    <w:rsid w:val="007276C6"/>
    <w:rsid w:val="007277BE"/>
    <w:rsid w:val="00727E4A"/>
    <w:rsid w:val="007306A6"/>
    <w:rsid w:val="00740443"/>
    <w:rsid w:val="00741352"/>
    <w:rsid w:val="00742462"/>
    <w:rsid w:val="007430EB"/>
    <w:rsid w:val="00743E9C"/>
    <w:rsid w:val="00745B76"/>
    <w:rsid w:val="0074679E"/>
    <w:rsid w:val="00746FFF"/>
    <w:rsid w:val="00747D72"/>
    <w:rsid w:val="00751137"/>
    <w:rsid w:val="007526C0"/>
    <w:rsid w:val="007529E3"/>
    <w:rsid w:val="00753ED5"/>
    <w:rsid w:val="0075443C"/>
    <w:rsid w:val="007568A8"/>
    <w:rsid w:val="00757A8A"/>
    <w:rsid w:val="00757AD1"/>
    <w:rsid w:val="00757FA1"/>
    <w:rsid w:val="007605F0"/>
    <w:rsid w:val="0076251B"/>
    <w:rsid w:val="00763B1C"/>
    <w:rsid w:val="00763CA9"/>
    <w:rsid w:val="007641FB"/>
    <w:rsid w:val="0076600D"/>
    <w:rsid w:val="00766B2F"/>
    <w:rsid w:val="00767A68"/>
    <w:rsid w:val="00771BB9"/>
    <w:rsid w:val="00771F43"/>
    <w:rsid w:val="00772082"/>
    <w:rsid w:val="00772BBB"/>
    <w:rsid w:val="00773147"/>
    <w:rsid w:val="00773DD6"/>
    <w:rsid w:val="0077472C"/>
    <w:rsid w:val="00775AA6"/>
    <w:rsid w:val="00777144"/>
    <w:rsid w:val="00777159"/>
    <w:rsid w:val="00777F28"/>
    <w:rsid w:val="00780E4E"/>
    <w:rsid w:val="007811E0"/>
    <w:rsid w:val="00781618"/>
    <w:rsid w:val="007819A0"/>
    <w:rsid w:val="00781A60"/>
    <w:rsid w:val="00784068"/>
    <w:rsid w:val="007841C2"/>
    <w:rsid w:val="0078480B"/>
    <w:rsid w:val="00785418"/>
    <w:rsid w:val="007856A7"/>
    <w:rsid w:val="00786FC6"/>
    <w:rsid w:val="007871A2"/>
    <w:rsid w:val="00790040"/>
    <w:rsid w:val="007922D1"/>
    <w:rsid w:val="00792F1B"/>
    <w:rsid w:val="0079329C"/>
    <w:rsid w:val="00793B42"/>
    <w:rsid w:val="007946A8"/>
    <w:rsid w:val="0079566B"/>
    <w:rsid w:val="007963BA"/>
    <w:rsid w:val="00797223"/>
    <w:rsid w:val="00797D1A"/>
    <w:rsid w:val="007A15AC"/>
    <w:rsid w:val="007A200E"/>
    <w:rsid w:val="007A49E1"/>
    <w:rsid w:val="007A5B7E"/>
    <w:rsid w:val="007A667D"/>
    <w:rsid w:val="007A6853"/>
    <w:rsid w:val="007A6EE4"/>
    <w:rsid w:val="007A7D66"/>
    <w:rsid w:val="007B05F3"/>
    <w:rsid w:val="007B26F3"/>
    <w:rsid w:val="007B2F55"/>
    <w:rsid w:val="007B3AF4"/>
    <w:rsid w:val="007B5CDA"/>
    <w:rsid w:val="007B779B"/>
    <w:rsid w:val="007C1F4F"/>
    <w:rsid w:val="007C3238"/>
    <w:rsid w:val="007C3EC4"/>
    <w:rsid w:val="007C5578"/>
    <w:rsid w:val="007D1735"/>
    <w:rsid w:val="007D4757"/>
    <w:rsid w:val="007D4DB6"/>
    <w:rsid w:val="007D7C46"/>
    <w:rsid w:val="007D7E7C"/>
    <w:rsid w:val="007E0886"/>
    <w:rsid w:val="007E2BA5"/>
    <w:rsid w:val="007E348B"/>
    <w:rsid w:val="007E420B"/>
    <w:rsid w:val="007E6874"/>
    <w:rsid w:val="007F0384"/>
    <w:rsid w:val="007F0DA4"/>
    <w:rsid w:val="007F20FE"/>
    <w:rsid w:val="007F21BE"/>
    <w:rsid w:val="007F2AA3"/>
    <w:rsid w:val="007F4711"/>
    <w:rsid w:val="007F5CD2"/>
    <w:rsid w:val="007F6D05"/>
    <w:rsid w:val="007F7E59"/>
    <w:rsid w:val="00801AEA"/>
    <w:rsid w:val="00801E22"/>
    <w:rsid w:val="00802826"/>
    <w:rsid w:val="0080418C"/>
    <w:rsid w:val="00805455"/>
    <w:rsid w:val="00807F30"/>
    <w:rsid w:val="00811516"/>
    <w:rsid w:val="0081305E"/>
    <w:rsid w:val="00813366"/>
    <w:rsid w:val="00813B4B"/>
    <w:rsid w:val="00814532"/>
    <w:rsid w:val="00814A4F"/>
    <w:rsid w:val="00815995"/>
    <w:rsid w:val="00815ED7"/>
    <w:rsid w:val="008175DF"/>
    <w:rsid w:val="0082067C"/>
    <w:rsid w:val="00820AE7"/>
    <w:rsid w:val="0082161C"/>
    <w:rsid w:val="00821732"/>
    <w:rsid w:val="0082223F"/>
    <w:rsid w:val="0082329B"/>
    <w:rsid w:val="00823F61"/>
    <w:rsid w:val="00824336"/>
    <w:rsid w:val="0082568B"/>
    <w:rsid w:val="00827D11"/>
    <w:rsid w:val="00830955"/>
    <w:rsid w:val="00832477"/>
    <w:rsid w:val="0083250C"/>
    <w:rsid w:val="00832CF8"/>
    <w:rsid w:val="00833E9F"/>
    <w:rsid w:val="00835572"/>
    <w:rsid w:val="008357FC"/>
    <w:rsid w:val="008365DC"/>
    <w:rsid w:val="0083668D"/>
    <w:rsid w:val="00837A75"/>
    <w:rsid w:val="008406F2"/>
    <w:rsid w:val="00840F4F"/>
    <w:rsid w:val="008411E6"/>
    <w:rsid w:val="00844325"/>
    <w:rsid w:val="0084479E"/>
    <w:rsid w:val="00844984"/>
    <w:rsid w:val="00845780"/>
    <w:rsid w:val="00846FE9"/>
    <w:rsid w:val="00847A75"/>
    <w:rsid w:val="008528A3"/>
    <w:rsid w:val="00852B73"/>
    <w:rsid w:val="00854512"/>
    <w:rsid w:val="00856B8C"/>
    <w:rsid w:val="00857344"/>
    <w:rsid w:val="00860260"/>
    <w:rsid w:val="008604E2"/>
    <w:rsid w:val="00860A3E"/>
    <w:rsid w:val="00862348"/>
    <w:rsid w:val="008624E3"/>
    <w:rsid w:val="00862D07"/>
    <w:rsid w:val="00862FCE"/>
    <w:rsid w:val="0086502C"/>
    <w:rsid w:val="00865B2B"/>
    <w:rsid w:val="00866165"/>
    <w:rsid w:val="0086780E"/>
    <w:rsid w:val="0086792F"/>
    <w:rsid w:val="00867C93"/>
    <w:rsid w:val="008705DD"/>
    <w:rsid w:val="00870616"/>
    <w:rsid w:val="00872171"/>
    <w:rsid w:val="008734B9"/>
    <w:rsid w:val="008747BE"/>
    <w:rsid w:val="00874A9B"/>
    <w:rsid w:val="00875B38"/>
    <w:rsid w:val="00876228"/>
    <w:rsid w:val="00876467"/>
    <w:rsid w:val="00876DFD"/>
    <w:rsid w:val="008811AC"/>
    <w:rsid w:val="00881EF0"/>
    <w:rsid w:val="0088287B"/>
    <w:rsid w:val="00883CE2"/>
    <w:rsid w:val="00883DED"/>
    <w:rsid w:val="00887253"/>
    <w:rsid w:val="008879D9"/>
    <w:rsid w:val="00890867"/>
    <w:rsid w:val="0089154B"/>
    <w:rsid w:val="0089217E"/>
    <w:rsid w:val="0089248E"/>
    <w:rsid w:val="00892924"/>
    <w:rsid w:val="00893557"/>
    <w:rsid w:val="00893801"/>
    <w:rsid w:val="00893B0B"/>
    <w:rsid w:val="00894194"/>
    <w:rsid w:val="00894E4E"/>
    <w:rsid w:val="00895EE8"/>
    <w:rsid w:val="00896035"/>
    <w:rsid w:val="00896253"/>
    <w:rsid w:val="008966CE"/>
    <w:rsid w:val="008969A8"/>
    <w:rsid w:val="008969CA"/>
    <w:rsid w:val="0089704A"/>
    <w:rsid w:val="008A0C85"/>
    <w:rsid w:val="008A122C"/>
    <w:rsid w:val="008A19D6"/>
    <w:rsid w:val="008A2321"/>
    <w:rsid w:val="008A2A9F"/>
    <w:rsid w:val="008A3134"/>
    <w:rsid w:val="008A3E41"/>
    <w:rsid w:val="008A4030"/>
    <w:rsid w:val="008A4219"/>
    <w:rsid w:val="008A69F3"/>
    <w:rsid w:val="008A7005"/>
    <w:rsid w:val="008A74D8"/>
    <w:rsid w:val="008A7F89"/>
    <w:rsid w:val="008B24FC"/>
    <w:rsid w:val="008B27BA"/>
    <w:rsid w:val="008B3BE0"/>
    <w:rsid w:val="008B552C"/>
    <w:rsid w:val="008C0DF9"/>
    <w:rsid w:val="008C158A"/>
    <w:rsid w:val="008C7731"/>
    <w:rsid w:val="008C7A53"/>
    <w:rsid w:val="008C7BB5"/>
    <w:rsid w:val="008C7DC7"/>
    <w:rsid w:val="008D2AA4"/>
    <w:rsid w:val="008D4803"/>
    <w:rsid w:val="008D719D"/>
    <w:rsid w:val="008D7708"/>
    <w:rsid w:val="008D7715"/>
    <w:rsid w:val="008E0595"/>
    <w:rsid w:val="008E2B12"/>
    <w:rsid w:val="008E363A"/>
    <w:rsid w:val="008E36AC"/>
    <w:rsid w:val="008E4C34"/>
    <w:rsid w:val="008E4D00"/>
    <w:rsid w:val="008E5619"/>
    <w:rsid w:val="008E64A7"/>
    <w:rsid w:val="008E6E4A"/>
    <w:rsid w:val="008E7427"/>
    <w:rsid w:val="008E756E"/>
    <w:rsid w:val="008E7B48"/>
    <w:rsid w:val="008F1D0B"/>
    <w:rsid w:val="008F1EAC"/>
    <w:rsid w:val="008F2792"/>
    <w:rsid w:val="008F590B"/>
    <w:rsid w:val="008F5F4C"/>
    <w:rsid w:val="008F6883"/>
    <w:rsid w:val="008F6A89"/>
    <w:rsid w:val="008F727A"/>
    <w:rsid w:val="008F7980"/>
    <w:rsid w:val="008F7AB6"/>
    <w:rsid w:val="008F7DB4"/>
    <w:rsid w:val="00900150"/>
    <w:rsid w:val="00901462"/>
    <w:rsid w:val="00903F17"/>
    <w:rsid w:val="00904B24"/>
    <w:rsid w:val="00906074"/>
    <w:rsid w:val="00906D82"/>
    <w:rsid w:val="00910239"/>
    <w:rsid w:val="009109EA"/>
    <w:rsid w:val="00911DC9"/>
    <w:rsid w:val="00912BB3"/>
    <w:rsid w:val="00912ECB"/>
    <w:rsid w:val="00912ED5"/>
    <w:rsid w:val="00913117"/>
    <w:rsid w:val="00915481"/>
    <w:rsid w:val="00915E60"/>
    <w:rsid w:val="0091625F"/>
    <w:rsid w:val="009166CB"/>
    <w:rsid w:val="00917055"/>
    <w:rsid w:val="00921813"/>
    <w:rsid w:val="00921967"/>
    <w:rsid w:val="0092298D"/>
    <w:rsid w:val="00926894"/>
    <w:rsid w:val="0092728E"/>
    <w:rsid w:val="00927DB6"/>
    <w:rsid w:val="009301F1"/>
    <w:rsid w:val="00930209"/>
    <w:rsid w:val="0093058C"/>
    <w:rsid w:val="0093066C"/>
    <w:rsid w:val="009307FE"/>
    <w:rsid w:val="00931133"/>
    <w:rsid w:val="009324AE"/>
    <w:rsid w:val="00932CE3"/>
    <w:rsid w:val="009334BC"/>
    <w:rsid w:val="00934791"/>
    <w:rsid w:val="00937461"/>
    <w:rsid w:val="00940556"/>
    <w:rsid w:val="00940796"/>
    <w:rsid w:val="009408AE"/>
    <w:rsid w:val="00941EF9"/>
    <w:rsid w:val="00942429"/>
    <w:rsid w:val="00942920"/>
    <w:rsid w:val="00943494"/>
    <w:rsid w:val="009444D9"/>
    <w:rsid w:val="009448A3"/>
    <w:rsid w:val="009465EE"/>
    <w:rsid w:val="00947642"/>
    <w:rsid w:val="00947BA6"/>
    <w:rsid w:val="00947FC3"/>
    <w:rsid w:val="0095023D"/>
    <w:rsid w:val="00951489"/>
    <w:rsid w:val="0095262A"/>
    <w:rsid w:val="009543E8"/>
    <w:rsid w:val="00954492"/>
    <w:rsid w:val="009557BF"/>
    <w:rsid w:val="00956D1A"/>
    <w:rsid w:val="009571F9"/>
    <w:rsid w:val="00960343"/>
    <w:rsid w:val="00961A96"/>
    <w:rsid w:val="0096528D"/>
    <w:rsid w:val="0096566F"/>
    <w:rsid w:val="00967157"/>
    <w:rsid w:val="00967D04"/>
    <w:rsid w:val="00973437"/>
    <w:rsid w:val="00974673"/>
    <w:rsid w:val="009749F8"/>
    <w:rsid w:val="00976666"/>
    <w:rsid w:val="00977009"/>
    <w:rsid w:val="00977EB5"/>
    <w:rsid w:val="00981429"/>
    <w:rsid w:val="0098188F"/>
    <w:rsid w:val="00982C47"/>
    <w:rsid w:val="00983180"/>
    <w:rsid w:val="00983505"/>
    <w:rsid w:val="00984704"/>
    <w:rsid w:val="00984C1A"/>
    <w:rsid w:val="00984D61"/>
    <w:rsid w:val="0098556A"/>
    <w:rsid w:val="00985A0A"/>
    <w:rsid w:val="00985B4B"/>
    <w:rsid w:val="009865CA"/>
    <w:rsid w:val="009904FC"/>
    <w:rsid w:val="009910F3"/>
    <w:rsid w:val="00991588"/>
    <w:rsid w:val="00991F1F"/>
    <w:rsid w:val="009921BE"/>
    <w:rsid w:val="00995605"/>
    <w:rsid w:val="00997DA3"/>
    <w:rsid w:val="009A14B1"/>
    <w:rsid w:val="009A1516"/>
    <w:rsid w:val="009A319E"/>
    <w:rsid w:val="009A3D2E"/>
    <w:rsid w:val="009A553C"/>
    <w:rsid w:val="009A5EB7"/>
    <w:rsid w:val="009A677D"/>
    <w:rsid w:val="009A77E6"/>
    <w:rsid w:val="009A7B86"/>
    <w:rsid w:val="009B0A87"/>
    <w:rsid w:val="009B11D0"/>
    <w:rsid w:val="009B48E5"/>
    <w:rsid w:val="009B79D9"/>
    <w:rsid w:val="009C1EBE"/>
    <w:rsid w:val="009C224F"/>
    <w:rsid w:val="009C29AD"/>
    <w:rsid w:val="009C2C25"/>
    <w:rsid w:val="009C3030"/>
    <w:rsid w:val="009C4744"/>
    <w:rsid w:val="009C4C72"/>
    <w:rsid w:val="009C559F"/>
    <w:rsid w:val="009C5893"/>
    <w:rsid w:val="009D13EE"/>
    <w:rsid w:val="009D2213"/>
    <w:rsid w:val="009D280E"/>
    <w:rsid w:val="009D36D3"/>
    <w:rsid w:val="009D6F32"/>
    <w:rsid w:val="009E06B1"/>
    <w:rsid w:val="009E07F2"/>
    <w:rsid w:val="009E167E"/>
    <w:rsid w:val="009E21FA"/>
    <w:rsid w:val="009E24F0"/>
    <w:rsid w:val="009E3C74"/>
    <w:rsid w:val="009F1F10"/>
    <w:rsid w:val="009F21C1"/>
    <w:rsid w:val="009F312F"/>
    <w:rsid w:val="009F41BB"/>
    <w:rsid w:val="009F64C2"/>
    <w:rsid w:val="009F779C"/>
    <w:rsid w:val="00A00250"/>
    <w:rsid w:val="00A0079F"/>
    <w:rsid w:val="00A00A0D"/>
    <w:rsid w:val="00A00AA7"/>
    <w:rsid w:val="00A01D94"/>
    <w:rsid w:val="00A032E5"/>
    <w:rsid w:val="00A03C76"/>
    <w:rsid w:val="00A04099"/>
    <w:rsid w:val="00A054AA"/>
    <w:rsid w:val="00A07D29"/>
    <w:rsid w:val="00A10258"/>
    <w:rsid w:val="00A11F13"/>
    <w:rsid w:val="00A120A9"/>
    <w:rsid w:val="00A129BE"/>
    <w:rsid w:val="00A13743"/>
    <w:rsid w:val="00A138CF"/>
    <w:rsid w:val="00A140D2"/>
    <w:rsid w:val="00A145FF"/>
    <w:rsid w:val="00A14B2F"/>
    <w:rsid w:val="00A16190"/>
    <w:rsid w:val="00A1766D"/>
    <w:rsid w:val="00A217FE"/>
    <w:rsid w:val="00A221A1"/>
    <w:rsid w:val="00A23B05"/>
    <w:rsid w:val="00A25561"/>
    <w:rsid w:val="00A259A1"/>
    <w:rsid w:val="00A27972"/>
    <w:rsid w:val="00A279A6"/>
    <w:rsid w:val="00A307BC"/>
    <w:rsid w:val="00A309BD"/>
    <w:rsid w:val="00A31558"/>
    <w:rsid w:val="00A31C80"/>
    <w:rsid w:val="00A32558"/>
    <w:rsid w:val="00A33324"/>
    <w:rsid w:val="00A33A01"/>
    <w:rsid w:val="00A344BD"/>
    <w:rsid w:val="00A34632"/>
    <w:rsid w:val="00A366B2"/>
    <w:rsid w:val="00A37D72"/>
    <w:rsid w:val="00A40469"/>
    <w:rsid w:val="00A40D00"/>
    <w:rsid w:val="00A423B8"/>
    <w:rsid w:val="00A43180"/>
    <w:rsid w:val="00A439C7"/>
    <w:rsid w:val="00A442FD"/>
    <w:rsid w:val="00A45D77"/>
    <w:rsid w:val="00A45E96"/>
    <w:rsid w:val="00A51895"/>
    <w:rsid w:val="00A54D94"/>
    <w:rsid w:val="00A552D7"/>
    <w:rsid w:val="00A553A2"/>
    <w:rsid w:val="00A569E6"/>
    <w:rsid w:val="00A5799A"/>
    <w:rsid w:val="00A57DD5"/>
    <w:rsid w:val="00A60565"/>
    <w:rsid w:val="00A61788"/>
    <w:rsid w:val="00A63F41"/>
    <w:rsid w:val="00A64E76"/>
    <w:rsid w:val="00A668F1"/>
    <w:rsid w:val="00A733FE"/>
    <w:rsid w:val="00A74A76"/>
    <w:rsid w:val="00A74F6A"/>
    <w:rsid w:val="00A75BF8"/>
    <w:rsid w:val="00A760AB"/>
    <w:rsid w:val="00A76DDC"/>
    <w:rsid w:val="00A773F0"/>
    <w:rsid w:val="00A77B24"/>
    <w:rsid w:val="00A77E4E"/>
    <w:rsid w:val="00A80A67"/>
    <w:rsid w:val="00A817F7"/>
    <w:rsid w:val="00A81A4A"/>
    <w:rsid w:val="00A825A2"/>
    <w:rsid w:val="00A83EC5"/>
    <w:rsid w:val="00A83EDE"/>
    <w:rsid w:val="00A84638"/>
    <w:rsid w:val="00A84F6D"/>
    <w:rsid w:val="00A86AF9"/>
    <w:rsid w:val="00A905A1"/>
    <w:rsid w:val="00A91B4A"/>
    <w:rsid w:val="00A91DEA"/>
    <w:rsid w:val="00A942D7"/>
    <w:rsid w:val="00A943AB"/>
    <w:rsid w:val="00A94708"/>
    <w:rsid w:val="00A9569A"/>
    <w:rsid w:val="00AA0866"/>
    <w:rsid w:val="00AA0917"/>
    <w:rsid w:val="00AA1773"/>
    <w:rsid w:val="00AA248B"/>
    <w:rsid w:val="00AA26CE"/>
    <w:rsid w:val="00AA2733"/>
    <w:rsid w:val="00AA2CBB"/>
    <w:rsid w:val="00AA31F8"/>
    <w:rsid w:val="00AA4667"/>
    <w:rsid w:val="00AA517C"/>
    <w:rsid w:val="00AA5956"/>
    <w:rsid w:val="00AA6443"/>
    <w:rsid w:val="00AA6C08"/>
    <w:rsid w:val="00AA7853"/>
    <w:rsid w:val="00AA7E93"/>
    <w:rsid w:val="00AB062D"/>
    <w:rsid w:val="00AB0A97"/>
    <w:rsid w:val="00AB0B3A"/>
    <w:rsid w:val="00AB1F4A"/>
    <w:rsid w:val="00AB3B91"/>
    <w:rsid w:val="00AB3D5A"/>
    <w:rsid w:val="00AB4042"/>
    <w:rsid w:val="00AB4D54"/>
    <w:rsid w:val="00AB55D4"/>
    <w:rsid w:val="00AB5644"/>
    <w:rsid w:val="00AC09B6"/>
    <w:rsid w:val="00AC0F9C"/>
    <w:rsid w:val="00AC3C3A"/>
    <w:rsid w:val="00AC4E36"/>
    <w:rsid w:val="00AC5728"/>
    <w:rsid w:val="00AC6879"/>
    <w:rsid w:val="00AC72AB"/>
    <w:rsid w:val="00AD0C34"/>
    <w:rsid w:val="00AD2145"/>
    <w:rsid w:val="00AD373A"/>
    <w:rsid w:val="00AD64B9"/>
    <w:rsid w:val="00AE04A3"/>
    <w:rsid w:val="00AE21C6"/>
    <w:rsid w:val="00AE23D4"/>
    <w:rsid w:val="00AE4863"/>
    <w:rsid w:val="00AE6C37"/>
    <w:rsid w:val="00AE7740"/>
    <w:rsid w:val="00AE7CB5"/>
    <w:rsid w:val="00AF113A"/>
    <w:rsid w:val="00AF2E26"/>
    <w:rsid w:val="00AF409D"/>
    <w:rsid w:val="00AF44B5"/>
    <w:rsid w:val="00AF5291"/>
    <w:rsid w:val="00AF566B"/>
    <w:rsid w:val="00AF5BD6"/>
    <w:rsid w:val="00AF6167"/>
    <w:rsid w:val="00AF6F27"/>
    <w:rsid w:val="00B0062F"/>
    <w:rsid w:val="00B0074E"/>
    <w:rsid w:val="00B01EE3"/>
    <w:rsid w:val="00B02F3E"/>
    <w:rsid w:val="00B04713"/>
    <w:rsid w:val="00B06790"/>
    <w:rsid w:val="00B073A7"/>
    <w:rsid w:val="00B073DE"/>
    <w:rsid w:val="00B10261"/>
    <w:rsid w:val="00B1098E"/>
    <w:rsid w:val="00B10F81"/>
    <w:rsid w:val="00B116C4"/>
    <w:rsid w:val="00B133F1"/>
    <w:rsid w:val="00B163ED"/>
    <w:rsid w:val="00B172A9"/>
    <w:rsid w:val="00B2096F"/>
    <w:rsid w:val="00B21335"/>
    <w:rsid w:val="00B216D1"/>
    <w:rsid w:val="00B21B1E"/>
    <w:rsid w:val="00B22B61"/>
    <w:rsid w:val="00B23855"/>
    <w:rsid w:val="00B255B4"/>
    <w:rsid w:val="00B262E7"/>
    <w:rsid w:val="00B27EF0"/>
    <w:rsid w:val="00B30FA1"/>
    <w:rsid w:val="00B315E9"/>
    <w:rsid w:val="00B32AF7"/>
    <w:rsid w:val="00B33ABA"/>
    <w:rsid w:val="00B34782"/>
    <w:rsid w:val="00B36E00"/>
    <w:rsid w:val="00B36F4B"/>
    <w:rsid w:val="00B41E72"/>
    <w:rsid w:val="00B453E8"/>
    <w:rsid w:val="00B45BD4"/>
    <w:rsid w:val="00B4652A"/>
    <w:rsid w:val="00B470D1"/>
    <w:rsid w:val="00B506B6"/>
    <w:rsid w:val="00B508B5"/>
    <w:rsid w:val="00B50E68"/>
    <w:rsid w:val="00B50EBD"/>
    <w:rsid w:val="00B513C6"/>
    <w:rsid w:val="00B52A05"/>
    <w:rsid w:val="00B53650"/>
    <w:rsid w:val="00B54647"/>
    <w:rsid w:val="00B5482E"/>
    <w:rsid w:val="00B55CF6"/>
    <w:rsid w:val="00B56E9E"/>
    <w:rsid w:val="00B576CA"/>
    <w:rsid w:val="00B60B4E"/>
    <w:rsid w:val="00B61563"/>
    <w:rsid w:val="00B615F3"/>
    <w:rsid w:val="00B617FA"/>
    <w:rsid w:val="00B63457"/>
    <w:rsid w:val="00B64031"/>
    <w:rsid w:val="00B641EB"/>
    <w:rsid w:val="00B6682D"/>
    <w:rsid w:val="00B66AB8"/>
    <w:rsid w:val="00B6722F"/>
    <w:rsid w:val="00B67757"/>
    <w:rsid w:val="00B67DA8"/>
    <w:rsid w:val="00B70171"/>
    <w:rsid w:val="00B70331"/>
    <w:rsid w:val="00B71472"/>
    <w:rsid w:val="00B7182B"/>
    <w:rsid w:val="00B71C9E"/>
    <w:rsid w:val="00B729C3"/>
    <w:rsid w:val="00B75B65"/>
    <w:rsid w:val="00B76137"/>
    <w:rsid w:val="00B7649A"/>
    <w:rsid w:val="00B77D60"/>
    <w:rsid w:val="00B809B3"/>
    <w:rsid w:val="00B80DDA"/>
    <w:rsid w:val="00B81040"/>
    <w:rsid w:val="00B81EEE"/>
    <w:rsid w:val="00B8343F"/>
    <w:rsid w:val="00B83875"/>
    <w:rsid w:val="00B852A5"/>
    <w:rsid w:val="00B91432"/>
    <w:rsid w:val="00B93396"/>
    <w:rsid w:val="00B94236"/>
    <w:rsid w:val="00B9648D"/>
    <w:rsid w:val="00B96AC0"/>
    <w:rsid w:val="00B979EC"/>
    <w:rsid w:val="00B97F4E"/>
    <w:rsid w:val="00BA2100"/>
    <w:rsid w:val="00BA2173"/>
    <w:rsid w:val="00BA2CD4"/>
    <w:rsid w:val="00BA49B7"/>
    <w:rsid w:val="00BA4FD4"/>
    <w:rsid w:val="00BB0A00"/>
    <w:rsid w:val="00BB180A"/>
    <w:rsid w:val="00BB256C"/>
    <w:rsid w:val="00BB2ECD"/>
    <w:rsid w:val="00BB35C9"/>
    <w:rsid w:val="00BB7ED5"/>
    <w:rsid w:val="00BC26FB"/>
    <w:rsid w:val="00BC4307"/>
    <w:rsid w:val="00BC609C"/>
    <w:rsid w:val="00BC638E"/>
    <w:rsid w:val="00BD086C"/>
    <w:rsid w:val="00BD0E0A"/>
    <w:rsid w:val="00BD1040"/>
    <w:rsid w:val="00BD1053"/>
    <w:rsid w:val="00BD3C0D"/>
    <w:rsid w:val="00BD5AF1"/>
    <w:rsid w:val="00BE0DE7"/>
    <w:rsid w:val="00BE1CF0"/>
    <w:rsid w:val="00BE1F41"/>
    <w:rsid w:val="00BE26B3"/>
    <w:rsid w:val="00BE42A8"/>
    <w:rsid w:val="00BE6188"/>
    <w:rsid w:val="00BE64D4"/>
    <w:rsid w:val="00BF0537"/>
    <w:rsid w:val="00BF09BA"/>
    <w:rsid w:val="00BF1FB5"/>
    <w:rsid w:val="00BF2BEA"/>
    <w:rsid w:val="00BF2C39"/>
    <w:rsid w:val="00BF2D8B"/>
    <w:rsid w:val="00BF3237"/>
    <w:rsid w:val="00BF4D32"/>
    <w:rsid w:val="00BF4E0B"/>
    <w:rsid w:val="00BF6308"/>
    <w:rsid w:val="00BF7DD2"/>
    <w:rsid w:val="00C0018A"/>
    <w:rsid w:val="00C00A20"/>
    <w:rsid w:val="00C013F3"/>
    <w:rsid w:val="00C015B2"/>
    <w:rsid w:val="00C036CA"/>
    <w:rsid w:val="00C03A0F"/>
    <w:rsid w:val="00C05597"/>
    <w:rsid w:val="00C06115"/>
    <w:rsid w:val="00C0674A"/>
    <w:rsid w:val="00C06D75"/>
    <w:rsid w:val="00C07549"/>
    <w:rsid w:val="00C07FA8"/>
    <w:rsid w:val="00C10278"/>
    <w:rsid w:val="00C10DB8"/>
    <w:rsid w:val="00C11979"/>
    <w:rsid w:val="00C13003"/>
    <w:rsid w:val="00C140F7"/>
    <w:rsid w:val="00C14DE8"/>
    <w:rsid w:val="00C163D2"/>
    <w:rsid w:val="00C16578"/>
    <w:rsid w:val="00C20CF7"/>
    <w:rsid w:val="00C21353"/>
    <w:rsid w:val="00C223B3"/>
    <w:rsid w:val="00C23450"/>
    <w:rsid w:val="00C236CF"/>
    <w:rsid w:val="00C23EC1"/>
    <w:rsid w:val="00C2618B"/>
    <w:rsid w:val="00C26D50"/>
    <w:rsid w:val="00C27CED"/>
    <w:rsid w:val="00C30791"/>
    <w:rsid w:val="00C3093C"/>
    <w:rsid w:val="00C31268"/>
    <w:rsid w:val="00C31809"/>
    <w:rsid w:val="00C31F34"/>
    <w:rsid w:val="00C3225D"/>
    <w:rsid w:val="00C345ED"/>
    <w:rsid w:val="00C346C0"/>
    <w:rsid w:val="00C35318"/>
    <w:rsid w:val="00C3600B"/>
    <w:rsid w:val="00C36700"/>
    <w:rsid w:val="00C37770"/>
    <w:rsid w:val="00C37D52"/>
    <w:rsid w:val="00C44478"/>
    <w:rsid w:val="00C44C58"/>
    <w:rsid w:val="00C45315"/>
    <w:rsid w:val="00C45BCA"/>
    <w:rsid w:val="00C51976"/>
    <w:rsid w:val="00C52D01"/>
    <w:rsid w:val="00C533C9"/>
    <w:rsid w:val="00C535C9"/>
    <w:rsid w:val="00C53A45"/>
    <w:rsid w:val="00C53F55"/>
    <w:rsid w:val="00C55EA3"/>
    <w:rsid w:val="00C56329"/>
    <w:rsid w:val="00C57FB9"/>
    <w:rsid w:val="00C60F9D"/>
    <w:rsid w:val="00C61C68"/>
    <w:rsid w:val="00C658F4"/>
    <w:rsid w:val="00C65C17"/>
    <w:rsid w:val="00C70701"/>
    <w:rsid w:val="00C70796"/>
    <w:rsid w:val="00C70A83"/>
    <w:rsid w:val="00C746A1"/>
    <w:rsid w:val="00C75F39"/>
    <w:rsid w:val="00C80443"/>
    <w:rsid w:val="00C80B39"/>
    <w:rsid w:val="00C82A49"/>
    <w:rsid w:val="00C834B2"/>
    <w:rsid w:val="00C83733"/>
    <w:rsid w:val="00C85C25"/>
    <w:rsid w:val="00C86769"/>
    <w:rsid w:val="00C876E8"/>
    <w:rsid w:val="00C8788E"/>
    <w:rsid w:val="00C87892"/>
    <w:rsid w:val="00C87EAB"/>
    <w:rsid w:val="00C91EFA"/>
    <w:rsid w:val="00C93CE9"/>
    <w:rsid w:val="00C9566C"/>
    <w:rsid w:val="00C95F3F"/>
    <w:rsid w:val="00C96EF5"/>
    <w:rsid w:val="00C96F75"/>
    <w:rsid w:val="00CA02A2"/>
    <w:rsid w:val="00CA035A"/>
    <w:rsid w:val="00CA059D"/>
    <w:rsid w:val="00CA18E2"/>
    <w:rsid w:val="00CA1E92"/>
    <w:rsid w:val="00CA2766"/>
    <w:rsid w:val="00CA377C"/>
    <w:rsid w:val="00CA4997"/>
    <w:rsid w:val="00CA5575"/>
    <w:rsid w:val="00CA59A1"/>
    <w:rsid w:val="00CA6775"/>
    <w:rsid w:val="00CA7369"/>
    <w:rsid w:val="00CA73BE"/>
    <w:rsid w:val="00CB05EF"/>
    <w:rsid w:val="00CB1B5F"/>
    <w:rsid w:val="00CB2164"/>
    <w:rsid w:val="00CB299F"/>
    <w:rsid w:val="00CB34F3"/>
    <w:rsid w:val="00CB3DC8"/>
    <w:rsid w:val="00CB42DE"/>
    <w:rsid w:val="00CB43FD"/>
    <w:rsid w:val="00CB5659"/>
    <w:rsid w:val="00CC0804"/>
    <w:rsid w:val="00CC35CD"/>
    <w:rsid w:val="00CC57F9"/>
    <w:rsid w:val="00CC65C6"/>
    <w:rsid w:val="00CC68C3"/>
    <w:rsid w:val="00CC727B"/>
    <w:rsid w:val="00CC72DA"/>
    <w:rsid w:val="00CC749B"/>
    <w:rsid w:val="00CC76A2"/>
    <w:rsid w:val="00CD0275"/>
    <w:rsid w:val="00CD077A"/>
    <w:rsid w:val="00CD080C"/>
    <w:rsid w:val="00CD08C9"/>
    <w:rsid w:val="00CD2158"/>
    <w:rsid w:val="00CD2564"/>
    <w:rsid w:val="00CD2622"/>
    <w:rsid w:val="00CD37BF"/>
    <w:rsid w:val="00CD4B58"/>
    <w:rsid w:val="00CD55EF"/>
    <w:rsid w:val="00CD5C2A"/>
    <w:rsid w:val="00CD620F"/>
    <w:rsid w:val="00CD733D"/>
    <w:rsid w:val="00CD736C"/>
    <w:rsid w:val="00CD76BE"/>
    <w:rsid w:val="00CD78AE"/>
    <w:rsid w:val="00CE1F4E"/>
    <w:rsid w:val="00CE29E3"/>
    <w:rsid w:val="00CE3244"/>
    <w:rsid w:val="00CE3E9D"/>
    <w:rsid w:val="00CE47E8"/>
    <w:rsid w:val="00CE55F4"/>
    <w:rsid w:val="00CE6BA9"/>
    <w:rsid w:val="00CE7F34"/>
    <w:rsid w:val="00CF209D"/>
    <w:rsid w:val="00CF21C1"/>
    <w:rsid w:val="00CF23E7"/>
    <w:rsid w:val="00CF5BEF"/>
    <w:rsid w:val="00CF673C"/>
    <w:rsid w:val="00D05E96"/>
    <w:rsid w:val="00D0634A"/>
    <w:rsid w:val="00D06511"/>
    <w:rsid w:val="00D10048"/>
    <w:rsid w:val="00D10F51"/>
    <w:rsid w:val="00D11113"/>
    <w:rsid w:val="00D12492"/>
    <w:rsid w:val="00D16142"/>
    <w:rsid w:val="00D16CED"/>
    <w:rsid w:val="00D17622"/>
    <w:rsid w:val="00D20A60"/>
    <w:rsid w:val="00D20F16"/>
    <w:rsid w:val="00D22A16"/>
    <w:rsid w:val="00D22D3B"/>
    <w:rsid w:val="00D22E4D"/>
    <w:rsid w:val="00D2343D"/>
    <w:rsid w:val="00D244B2"/>
    <w:rsid w:val="00D25976"/>
    <w:rsid w:val="00D25CB2"/>
    <w:rsid w:val="00D263BB"/>
    <w:rsid w:val="00D3290D"/>
    <w:rsid w:val="00D32C70"/>
    <w:rsid w:val="00D32C89"/>
    <w:rsid w:val="00D330B9"/>
    <w:rsid w:val="00D34234"/>
    <w:rsid w:val="00D34590"/>
    <w:rsid w:val="00D34AF4"/>
    <w:rsid w:val="00D3758F"/>
    <w:rsid w:val="00D37D40"/>
    <w:rsid w:val="00D41ABC"/>
    <w:rsid w:val="00D43E81"/>
    <w:rsid w:val="00D45827"/>
    <w:rsid w:val="00D4588E"/>
    <w:rsid w:val="00D47928"/>
    <w:rsid w:val="00D479B7"/>
    <w:rsid w:val="00D51DC3"/>
    <w:rsid w:val="00D522E5"/>
    <w:rsid w:val="00D53521"/>
    <w:rsid w:val="00D55D81"/>
    <w:rsid w:val="00D55EC7"/>
    <w:rsid w:val="00D60067"/>
    <w:rsid w:val="00D60089"/>
    <w:rsid w:val="00D60622"/>
    <w:rsid w:val="00D62A63"/>
    <w:rsid w:val="00D62EAC"/>
    <w:rsid w:val="00D6311F"/>
    <w:rsid w:val="00D64448"/>
    <w:rsid w:val="00D649B7"/>
    <w:rsid w:val="00D660C1"/>
    <w:rsid w:val="00D664D0"/>
    <w:rsid w:val="00D6761B"/>
    <w:rsid w:val="00D70013"/>
    <w:rsid w:val="00D71443"/>
    <w:rsid w:val="00D73656"/>
    <w:rsid w:val="00D81168"/>
    <w:rsid w:val="00D811BE"/>
    <w:rsid w:val="00D835C3"/>
    <w:rsid w:val="00D83E91"/>
    <w:rsid w:val="00D8416E"/>
    <w:rsid w:val="00D90022"/>
    <w:rsid w:val="00D905D3"/>
    <w:rsid w:val="00D915EC"/>
    <w:rsid w:val="00D92289"/>
    <w:rsid w:val="00D93056"/>
    <w:rsid w:val="00D93858"/>
    <w:rsid w:val="00D94865"/>
    <w:rsid w:val="00D94906"/>
    <w:rsid w:val="00D94B14"/>
    <w:rsid w:val="00D94E12"/>
    <w:rsid w:val="00D9516B"/>
    <w:rsid w:val="00D96984"/>
    <w:rsid w:val="00D97275"/>
    <w:rsid w:val="00DA37B5"/>
    <w:rsid w:val="00DA4B19"/>
    <w:rsid w:val="00DA51DA"/>
    <w:rsid w:val="00DA613A"/>
    <w:rsid w:val="00DA616B"/>
    <w:rsid w:val="00DA6A57"/>
    <w:rsid w:val="00DA6DAE"/>
    <w:rsid w:val="00DB0229"/>
    <w:rsid w:val="00DB0976"/>
    <w:rsid w:val="00DB29C9"/>
    <w:rsid w:val="00DB41E6"/>
    <w:rsid w:val="00DB5386"/>
    <w:rsid w:val="00DB6590"/>
    <w:rsid w:val="00DB6B56"/>
    <w:rsid w:val="00DC0C09"/>
    <w:rsid w:val="00DC0D7A"/>
    <w:rsid w:val="00DC1106"/>
    <w:rsid w:val="00DC1B20"/>
    <w:rsid w:val="00DC1DFB"/>
    <w:rsid w:val="00DC31F6"/>
    <w:rsid w:val="00DC38AC"/>
    <w:rsid w:val="00DC49FE"/>
    <w:rsid w:val="00DC796E"/>
    <w:rsid w:val="00DD0A4B"/>
    <w:rsid w:val="00DD0FB1"/>
    <w:rsid w:val="00DD112D"/>
    <w:rsid w:val="00DD3053"/>
    <w:rsid w:val="00DD367C"/>
    <w:rsid w:val="00DD3D21"/>
    <w:rsid w:val="00DD4291"/>
    <w:rsid w:val="00DD47AF"/>
    <w:rsid w:val="00DD5344"/>
    <w:rsid w:val="00DD5F17"/>
    <w:rsid w:val="00DE1321"/>
    <w:rsid w:val="00DE18A5"/>
    <w:rsid w:val="00DE2298"/>
    <w:rsid w:val="00DE6796"/>
    <w:rsid w:val="00DE6C21"/>
    <w:rsid w:val="00DF0035"/>
    <w:rsid w:val="00DF02E4"/>
    <w:rsid w:val="00DF09DD"/>
    <w:rsid w:val="00DF13B0"/>
    <w:rsid w:val="00DF3A20"/>
    <w:rsid w:val="00DF5B84"/>
    <w:rsid w:val="00DF604A"/>
    <w:rsid w:val="00DF7365"/>
    <w:rsid w:val="00DF7D9C"/>
    <w:rsid w:val="00DF7FDD"/>
    <w:rsid w:val="00E0071E"/>
    <w:rsid w:val="00E007D5"/>
    <w:rsid w:val="00E00F0F"/>
    <w:rsid w:val="00E026FB"/>
    <w:rsid w:val="00E0278C"/>
    <w:rsid w:val="00E04430"/>
    <w:rsid w:val="00E04B4E"/>
    <w:rsid w:val="00E04CC4"/>
    <w:rsid w:val="00E057D5"/>
    <w:rsid w:val="00E059CD"/>
    <w:rsid w:val="00E06653"/>
    <w:rsid w:val="00E06CB8"/>
    <w:rsid w:val="00E06D07"/>
    <w:rsid w:val="00E10CBF"/>
    <w:rsid w:val="00E122C7"/>
    <w:rsid w:val="00E1390D"/>
    <w:rsid w:val="00E1587C"/>
    <w:rsid w:val="00E159FD"/>
    <w:rsid w:val="00E15F27"/>
    <w:rsid w:val="00E168F4"/>
    <w:rsid w:val="00E20009"/>
    <w:rsid w:val="00E2023D"/>
    <w:rsid w:val="00E207BB"/>
    <w:rsid w:val="00E209C9"/>
    <w:rsid w:val="00E20CD5"/>
    <w:rsid w:val="00E20F05"/>
    <w:rsid w:val="00E21172"/>
    <w:rsid w:val="00E2128B"/>
    <w:rsid w:val="00E23201"/>
    <w:rsid w:val="00E2386C"/>
    <w:rsid w:val="00E24314"/>
    <w:rsid w:val="00E259E5"/>
    <w:rsid w:val="00E261C6"/>
    <w:rsid w:val="00E2643A"/>
    <w:rsid w:val="00E268FC"/>
    <w:rsid w:val="00E3068C"/>
    <w:rsid w:val="00E30B8A"/>
    <w:rsid w:val="00E32789"/>
    <w:rsid w:val="00E34973"/>
    <w:rsid w:val="00E4003C"/>
    <w:rsid w:val="00E4116F"/>
    <w:rsid w:val="00E423EE"/>
    <w:rsid w:val="00E427B6"/>
    <w:rsid w:val="00E42AF4"/>
    <w:rsid w:val="00E43366"/>
    <w:rsid w:val="00E43CB3"/>
    <w:rsid w:val="00E44548"/>
    <w:rsid w:val="00E51AE1"/>
    <w:rsid w:val="00E5414E"/>
    <w:rsid w:val="00E5419D"/>
    <w:rsid w:val="00E5428C"/>
    <w:rsid w:val="00E54453"/>
    <w:rsid w:val="00E55854"/>
    <w:rsid w:val="00E56818"/>
    <w:rsid w:val="00E574B6"/>
    <w:rsid w:val="00E607F0"/>
    <w:rsid w:val="00E61479"/>
    <w:rsid w:val="00E6258C"/>
    <w:rsid w:val="00E6466F"/>
    <w:rsid w:val="00E64A5F"/>
    <w:rsid w:val="00E65B77"/>
    <w:rsid w:val="00E66700"/>
    <w:rsid w:val="00E6713D"/>
    <w:rsid w:val="00E7035F"/>
    <w:rsid w:val="00E7090D"/>
    <w:rsid w:val="00E7178F"/>
    <w:rsid w:val="00E731D0"/>
    <w:rsid w:val="00E73202"/>
    <w:rsid w:val="00E74650"/>
    <w:rsid w:val="00E755C2"/>
    <w:rsid w:val="00E76750"/>
    <w:rsid w:val="00E77DB5"/>
    <w:rsid w:val="00E80146"/>
    <w:rsid w:val="00E804A1"/>
    <w:rsid w:val="00E80F24"/>
    <w:rsid w:val="00E82219"/>
    <w:rsid w:val="00E834AB"/>
    <w:rsid w:val="00E84320"/>
    <w:rsid w:val="00E86A39"/>
    <w:rsid w:val="00E86C19"/>
    <w:rsid w:val="00E8789F"/>
    <w:rsid w:val="00E87CE4"/>
    <w:rsid w:val="00E9077C"/>
    <w:rsid w:val="00E90824"/>
    <w:rsid w:val="00E913DF"/>
    <w:rsid w:val="00E9215F"/>
    <w:rsid w:val="00E92E92"/>
    <w:rsid w:val="00E95228"/>
    <w:rsid w:val="00E95884"/>
    <w:rsid w:val="00E95E0C"/>
    <w:rsid w:val="00E96BEE"/>
    <w:rsid w:val="00E96C16"/>
    <w:rsid w:val="00E96F3E"/>
    <w:rsid w:val="00E97D32"/>
    <w:rsid w:val="00EA01EC"/>
    <w:rsid w:val="00EA0498"/>
    <w:rsid w:val="00EA0D02"/>
    <w:rsid w:val="00EA13A9"/>
    <w:rsid w:val="00EA2600"/>
    <w:rsid w:val="00EA2E22"/>
    <w:rsid w:val="00EA3475"/>
    <w:rsid w:val="00EA47A6"/>
    <w:rsid w:val="00EA581E"/>
    <w:rsid w:val="00EA62C4"/>
    <w:rsid w:val="00EB19C7"/>
    <w:rsid w:val="00EB1E87"/>
    <w:rsid w:val="00EB25D5"/>
    <w:rsid w:val="00EB28EF"/>
    <w:rsid w:val="00EB3E10"/>
    <w:rsid w:val="00EB4887"/>
    <w:rsid w:val="00EB6BC6"/>
    <w:rsid w:val="00EB6F09"/>
    <w:rsid w:val="00EB6FCA"/>
    <w:rsid w:val="00EC073A"/>
    <w:rsid w:val="00EC12D7"/>
    <w:rsid w:val="00EC149E"/>
    <w:rsid w:val="00EC1CA1"/>
    <w:rsid w:val="00EC1F3D"/>
    <w:rsid w:val="00EC2AE0"/>
    <w:rsid w:val="00EC323B"/>
    <w:rsid w:val="00EC4BE8"/>
    <w:rsid w:val="00EC6A46"/>
    <w:rsid w:val="00EC6FB5"/>
    <w:rsid w:val="00EC73C5"/>
    <w:rsid w:val="00ED102C"/>
    <w:rsid w:val="00ED15AE"/>
    <w:rsid w:val="00ED211C"/>
    <w:rsid w:val="00ED2F7B"/>
    <w:rsid w:val="00ED3725"/>
    <w:rsid w:val="00ED3FE2"/>
    <w:rsid w:val="00ED5FAB"/>
    <w:rsid w:val="00ED6C41"/>
    <w:rsid w:val="00EE0100"/>
    <w:rsid w:val="00EE1CCB"/>
    <w:rsid w:val="00EE1CF5"/>
    <w:rsid w:val="00EE1D42"/>
    <w:rsid w:val="00EE358A"/>
    <w:rsid w:val="00EE413E"/>
    <w:rsid w:val="00EE6892"/>
    <w:rsid w:val="00EE71AC"/>
    <w:rsid w:val="00EE7876"/>
    <w:rsid w:val="00EF050C"/>
    <w:rsid w:val="00EF068F"/>
    <w:rsid w:val="00EF1FC6"/>
    <w:rsid w:val="00EF3217"/>
    <w:rsid w:val="00EF4280"/>
    <w:rsid w:val="00EF601C"/>
    <w:rsid w:val="00EF6D74"/>
    <w:rsid w:val="00F012AD"/>
    <w:rsid w:val="00F01F10"/>
    <w:rsid w:val="00F028A1"/>
    <w:rsid w:val="00F036D5"/>
    <w:rsid w:val="00F057AE"/>
    <w:rsid w:val="00F07BB1"/>
    <w:rsid w:val="00F119AD"/>
    <w:rsid w:val="00F1211D"/>
    <w:rsid w:val="00F12B58"/>
    <w:rsid w:val="00F1356E"/>
    <w:rsid w:val="00F13BEC"/>
    <w:rsid w:val="00F15647"/>
    <w:rsid w:val="00F156F0"/>
    <w:rsid w:val="00F15B32"/>
    <w:rsid w:val="00F213FA"/>
    <w:rsid w:val="00F2305F"/>
    <w:rsid w:val="00F23E4B"/>
    <w:rsid w:val="00F2403D"/>
    <w:rsid w:val="00F24A43"/>
    <w:rsid w:val="00F24CC0"/>
    <w:rsid w:val="00F24DD6"/>
    <w:rsid w:val="00F270E9"/>
    <w:rsid w:val="00F27641"/>
    <w:rsid w:val="00F27C67"/>
    <w:rsid w:val="00F27ECA"/>
    <w:rsid w:val="00F307A4"/>
    <w:rsid w:val="00F307EC"/>
    <w:rsid w:val="00F315EC"/>
    <w:rsid w:val="00F32DA4"/>
    <w:rsid w:val="00F33ACE"/>
    <w:rsid w:val="00F359A9"/>
    <w:rsid w:val="00F37191"/>
    <w:rsid w:val="00F4395A"/>
    <w:rsid w:val="00F449F5"/>
    <w:rsid w:val="00F45384"/>
    <w:rsid w:val="00F458AE"/>
    <w:rsid w:val="00F45D0D"/>
    <w:rsid w:val="00F473DC"/>
    <w:rsid w:val="00F50B97"/>
    <w:rsid w:val="00F512B8"/>
    <w:rsid w:val="00F52C66"/>
    <w:rsid w:val="00F546C8"/>
    <w:rsid w:val="00F55457"/>
    <w:rsid w:val="00F56180"/>
    <w:rsid w:val="00F56DF9"/>
    <w:rsid w:val="00F576B5"/>
    <w:rsid w:val="00F60D64"/>
    <w:rsid w:val="00F619A5"/>
    <w:rsid w:val="00F62A50"/>
    <w:rsid w:val="00F6339C"/>
    <w:rsid w:val="00F63B56"/>
    <w:rsid w:val="00F63CD4"/>
    <w:rsid w:val="00F64596"/>
    <w:rsid w:val="00F65007"/>
    <w:rsid w:val="00F659FA"/>
    <w:rsid w:val="00F66063"/>
    <w:rsid w:val="00F716AA"/>
    <w:rsid w:val="00F71F8D"/>
    <w:rsid w:val="00F72376"/>
    <w:rsid w:val="00F725F7"/>
    <w:rsid w:val="00F73133"/>
    <w:rsid w:val="00F740E0"/>
    <w:rsid w:val="00F75155"/>
    <w:rsid w:val="00F8065D"/>
    <w:rsid w:val="00F808F6"/>
    <w:rsid w:val="00F81649"/>
    <w:rsid w:val="00F81A8E"/>
    <w:rsid w:val="00F82FB7"/>
    <w:rsid w:val="00F83D5F"/>
    <w:rsid w:val="00F84164"/>
    <w:rsid w:val="00F842A8"/>
    <w:rsid w:val="00F85A77"/>
    <w:rsid w:val="00F85B57"/>
    <w:rsid w:val="00F866C6"/>
    <w:rsid w:val="00F870E6"/>
    <w:rsid w:val="00F9037F"/>
    <w:rsid w:val="00F914ED"/>
    <w:rsid w:val="00F9484B"/>
    <w:rsid w:val="00F94BE3"/>
    <w:rsid w:val="00F94C04"/>
    <w:rsid w:val="00F9520F"/>
    <w:rsid w:val="00F95ECD"/>
    <w:rsid w:val="00F96088"/>
    <w:rsid w:val="00F96D0E"/>
    <w:rsid w:val="00F96FE2"/>
    <w:rsid w:val="00F97CB9"/>
    <w:rsid w:val="00FA13ED"/>
    <w:rsid w:val="00FA1478"/>
    <w:rsid w:val="00FA1C64"/>
    <w:rsid w:val="00FA2086"/>
    <w:rsid w:val="00FA231F"/>
    <w:rsid w:val="00FA4A31"/>
    <w:rsid w:val="00FA657E"/>
    <w:rsid w:val="00FB06A6"/>
    <w:rsid w:val="00FB08EA"/>
    <w:rsid w:val="00FB126E"/>
    <w:rsid w:val="00FB1AC0"/>
    <w:rsid w:val="00FB2322"/>
    <w:rsid w:val="00FB3D61"/>
    <w:rsid w:val="00FB3E18"/>
    <w:rsid w:val="00FC0A00"/>
    <w:rsid w:val="00FC0FE4"/>
    <w:rsid w:val="00FC2344"/>
    <w:rsid w:val="00FC234C"/>
    <w:rsid w:val="00FC5706"/>
    <w:rsid w:val="00FC6568"/>
    <w:rsid w:val="00FC6771"/>
    <w:rsid w:val="00FC7E01"/>
    <w:rsid w:val="00FD1961"/>
    <w:rsid w:val="00FD1A7D"/>
    <w:rsid w:val="00FD2978"/>
    <w:rsid w:val="00FD43A5"/>
    <w:rsid w:val="00FD66C8"/>
    <w:rsid w:val="00FD6DF7"/>
    <w:rsid w:val="00FD6EAF"/>
    <w:rsid w:val="00FE4841"/>
    <w:rsid w:val="00FE4FFB"/>
    <w:rsid w:val="00FE662B"/>
    <w:rsid w:val="00FF1132"/>
    <w:rsid w:val="00FF1B95"/>
    <w:rsid w:val="00FF24A9"/>
    <w:rsid w:val="00FF3653"/>
    <w:rsid w:val="00FF4CAB"/>
    <w:rsid w:val="00FF52EE"/>
    <w:rsid w:val="00FF6DA7"/>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32AEA5"/>
  <w15:docId w15:val="{AF705B6B-5DDA-4EBD-9CAC-64E232CF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5AAF"/>
    <w:rPr>
      <w:sz w:val="24"/>
      <w:szCs w:val="24"/>
    </w:rPr>
  </w:style>
  <w:style w:type="paragraph" w:styleId="Heading2">
    <w:name w:val="heading 2"/>
    <w:basedOn w:val="Normal"/>
    <w:next w:val="Normal"/>
    <w:link w:val="Heading2Char"/>
    <w:semiHidden/>
    <w:unhideWhenUsed/>
    <w:qFormat/>
    <w:rsid w:val="004C55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EC2AE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419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89419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OCBlockText">
    <w:name w:val="EEOC Block Text"/>
    <w:basedOn w:val="Normal"/>
    <w:rsid w:val="003E6770"/>
    <w:pPr>
      <w:spacing w:after="120"/>
      <w:ind w:left="1440" w:right="1440"/>
    </w:pPr>
  </w:style>
  <w:style w:type="paragraph" w:customStyle="1" w:styleId="EEOCBodyText">
    <w:name w:val="EEOC Body Text"/>
    <w:basedOn w:val="Normal"/>
    <w:rsid w:val="003E6770"/>
    <w:pPr>
      <w:spacing w:after="120"/>
    </w:pPr>
  </w:style>
  <w:style w:type="paragraph" w:customStyle="1" w:styleId="EEOCBodyText2">
    <w:name w:val="EEOC Body Text 2"/>
    <w:basedOn w:val="Normal"/>
    <w:next w:val="BodyText2"/>
    <w:rsid w:val="003E6770"/>
    <w:pPr>
      <w:spacing w:after="120" w:line="480" w:lineRule="auto"/>
    </w:pPr>
  </w:style>
  <w:style w:type="paragraph" w:customStyle="1" w:styleId="EEOCBodyText2FirstLine">
    <w:name w:val="EEOC Body Text 2 + First Line"/>
    <w:basedOn w:val="BodyText2"/>
    <w:rsid w:val="003E6770"/>
    <w:pPr>
      <w:ind w:firstLine="210"/>
    </w:pPr>
  </w:style>
  <w:style w:type="paragraph" w:customStyle="1" w:styleId="EEOCBodyTextFirstIndent">
    <w:name w:val="EEOC Body Text First Indent"/>
    <w:basedOn w:val="Normal"/>
    <w:rsid w:val="003E6770"/>
    <w:pPr>
      <w:ind w:firstLine="216"/>
    </w:pPr>
  </w:style>
  <w:style w:type="paragraph" w:customStyle="1" w:styleId="EEOCEnvelopeAddress">
    <w:name w:val="EEOC Envelope Address"/>
    <w:basedOn w:val="Normal"/>
    <w:rsid w:val="003E6770"/>
    <w:pPr>
      <w:framePr w:w="7920" w:h="1987" w:hRule="exact" w:hSpace="187" w:wrap="around" w:hAnchor="page" w:xAlign="center" w:yAlign="bottom"/>
    </w:pPr>
    <w:rPr>
      <w:rFonts w:ascii="Arial" w:hAnsi="Arial"/>
    </w:rPr>
  </w:style>
  <w:style w:type="paragraph" w:customStyle="1" w:styleId="EEOCEnvelopeReturn">
    <w:name w:val="EEOC Envelope Return"/>
    <w:basedOn w:val="Normal"/>
    <w:rsid w:val="003E6770"/>
    <w:rPr>
      <w:rFonts w:ascii="Arial" w:hAnsi="Arial"/>
      <w:sz w:val="20"/>
      <w:szCs w:val="20"/>
    </w:rPr>
  </w:style>
  <w:style w:type="paragraph" w:customStyle="1" w:styleId="EEOCListAlphaParaSpace">
    <w:name w:val="EEOC List Alpha Para Space"/>
    <w:basedOn w:val="Normal"/>
    <w:rsid w:val="003E6770"/>
    <w:pPr>
      <w:numPr>
        <w:numId w:val="8"/>
      </w:numPr>
      <w:spacing w:before="120" w:after="120"/>
    </w:pPr>
  </w:style>
  <w:style w:type="paragraph" w:customStyle="1" w:styleId="EEOCListBulletParaSpace">
    <w:name w:val="EEOC List Bullet Para Space"/>
    <w:basedOn w:val="Normal"/>
    <w:rsid w:val="003E6770"/>
    <w:pPr>
      <w:numPr>
        <w:numId w:val="7"/>
      </w:numPr>
      <w:spacing w:before="120" w:after="120"/>
    </w:pPr>
  </w:style>
  <w:style w:type="paragraph" w:customStyle="1" w:styleId="EEOCListNumber">
    <w:name w:val="EEOC List Number"/>
    <w:basedOn w:val="Normal"/>
    <w:rsid w:val="003E6770"/>
    <w:pPr>
      <w:numPr>
        <w:numId w:val="6"/>
      </w:numPr>
    </w:pPr>
  </w:style>
  <w:style w:type="numbering" w:customStyle="1" w:styleId="Style1">
    <w:name w:val="Style1"/>
    <w:basedOn w:val="NoList"/>
    <w:rsid w:val="00EC2AE0"/>
    <w:pPr>
      <w:numPr>
        <w:numId w:val="9"/>
      </w:numPr>
    </w:pPr>
  </w:style>
  <w:style w:type="paragraph" w:styleId="ListNumber">
    <w:name w:val="List Number"/>
    <w:basedOn w:val="Normal"/>
    <w:rsid w:val="00C236CF"/>
    <w:pPr>
      <w:numPr>
        <w:numId w:val="4"/>
      </w:numPr>
    </w:pPr>
  </w:style>
  <w:style w:type="paragraph" w:styleId="BodyText2">
    <w:name w:val="Body Text 2"/>
    <w:basedOn w:val="Normal"/>
    <w:rsid w:val="003E6770"/>
    <w:pPr>
      <w:spacing w:after="120" w:line="480" w:lineRule="auto"/>
    </w:pPr>
  </w:style>
  <w:style w:type="paragraph" w:customStyle="1" w:styleId="Style2">
    <w:name w:val="Style2"/>
    <w:basedOn w:val="Normal"/>
    <w:next w:val="PlainText"/>
    <w:autoRedefine/>
    <w:rsid w:val="00EC2AE0"/>
    <w:pPr>
      <w:autoSpaceDE w:val="0"/>
      <w:autoSpaceDN w:val="0"/>
      <w:adjustRightInd w:val="0"/>
    </w:pPr>
    <w:rPr>
      <w:rFonts w:ascii="Arial Narrow" w:hAnsi="Arial Narrow" w:cs="Arial Narrow"/>
      <w:sz w:val="16"/>
      <w:szCs w:val="16"/>
    </w:rPr>
  </w:style>
  <w:style w:type="paragraph" w:styleId="BalloonText">
    <w:name w:val="Balloon Text"/>
    <w:basedOn w:val="Normal"/>
    <w:semiHidden/>
    <w:rsid w:val="00985A0A"/>
    <w:rPr>
      <w:rFonts w:ascii="Tahoma" w:hAnsi="Tahoma" w:cs="Tahoma"/>
      <w:sz w:val="16"/>
      <w:szCs w:val="16"/>
    </w:rPr>
  </w:style>
  <w:style w:type="paragraph" w:styleId="PlainText">
    <w:name w:val="Plain Text"/>
    <w:basedOn w:val="Normal"/>
    <w:rsid w:val="00EC2AE0"/>
    <w:rPr>
      <w:rFonts w:ascii="Courier New" w:hAnsi="Courier New" w:cs="Courier New"/>
      <w:sz w:val="20"/>
      <w:szCs w:val="20"/>
    </w:rPr>
  </w:style>
  <w:style w:type="paragraph" w:styleId="FootnoteText">
    <w:name w:val="footnote text"/>
    <w:basedOn w:val="Normal"/>
    <w:link w:val="FootnoteTextChar"/>
    <w:uiPriority w:val="99"/>
    <w:rsid w:val="001F3A9B"/>
    <w:rPr>
      <w:sz w:val="20"/>
      <w:szCs w:val="20"/>
    </w:rPr>
  </w:style>
  <w:style w:type="character" w:styleId="FootnoteReference">
    <w:name w:val="footnote reference"/>
    <w:uiPriority w:val="99"/>
    <w:rsid w:val="001F3A9B"/>
    <w:rPr>
      <w:vertAlign w:val="superscript"/>
    </w:rPr>
  </w:style>
  <w:style w:type="character" w:styleId="CommentReference">
    <w:name w:val="annotation reference"/>
    <w:uiPriority w:val="99"/>
    <w:semiHidden/>
    <w:rsid w:val="00A91DEA"/>
    <w:rPr>
      <w:sz w:val="16"/>
      <w:szCs w:val="16"/>
    </w:rPr>
  </w:style>
  <w:style w:type="paragraph" w:styleId="CommentText">
    <w:name w:val="annotation text"/>
    <w:basedOn w:val="Normal"/>
    <w:link w:val="CommentTextChar"/>
    <w:uiPriority w:val="99"/>
    <w:rsid w:val="00A91DEA"/>
    <w:rPr>
      <w:sz w:val="20"/>
      <w:szCs w:val="20"/>
    </w:rPr>
  </w:style>
  <w:style w:type="paragraph" w:styleId="CommentSubject">
    <w:name w:val="annotation subject"/>
    <w:basedOn w:val="CommentText"/>
    <w:next w:val="CommentText"/>
    <w:semiHidden/>
    <w:rsid w:val="00A91DEA"/>
    <w:rPr>
      <w:b/>
      <w:bCs/>
    </w:rPr>
  </w:style>
  <w:style w:type="character" w:styleId="Hyperlink">
    <w:name w:val="Hyperlink"/>
    <w:rsid w:val="00777159"/>
    <w:rPr>
      <w:color w:val="0000FF"/>
      <w:u w:val="single"/>
    </w:rPr>
  </w:style>
  <w:style w:type="paragraph" w:styleId="Header">
    <w:name w:val="header"/>
    <w:basedOn w:val="Normal"/>
    <w:link w:val="HeaderChar"/>
    <w:rsid w:val="00CA5575"/>
    <w:pPr>
      <w:tabs>
        <w:tab w:val="center" w:pos="4680"/>
        <w:tab w:val="right" w:pos="9360"/>
      </w:tabs>
    </w:pPr>
    <w:rPr>
      <w:lang w:val="x-none" w:eastAsia="x-none"/>
    </w:rPr>
  </w:style>
  <w:style w:type="character" w:customStyle="1" w:styleId="HeaderChar">
    <w:name w:val="Header Char"/>
    <w:link w:val="Header"/>
    <w:rsid w:val="00CA5575"/>
    <w:rPr>
      <w:sz w:val="24"/>
      <w:szCs w:val="24"/>
    </w:rPr>
  </w:style>
  <w:style w:type="paragraph" w:styleId="Footer">
    <w:name w:val="footer"/>
    <w:basedOn w:val="Normal"/>
    <w:link w:val="FooterChar"/>
    <w:uiPriority w:val="99"/>
    <w:rsid w:val="00CA5575"/>
    <w:pPr>
      <w:tabs>
        <w:tab w:val="center" w:pos="4680"/>
        <w:tab w:val="right" w:pos="9360"/>
      </w:tabs>
    </w:pPr>
    <w:rPr>
      <w:lang w:val="x-none" w:eastAsia="x-none"/>
    </w:rPr>
  </w:style>
  <w:style w:type="character" w:customStyle="1" w:styleId="FooterChar">
    <w:name w:val="Footer Char"/>
    <w:link w:val="Footer"/>
    <w:uiPriority w:val="99"/>
    <w:rsid w:val="00CA5575"/>
    <w:rPr>
      <w:sz w:val="24"/>
      <w:szCs w:val="24"/>
    </w:rPr>
  </w:style>
  <w:style w:type="paragraph" w:customStyle="1" w:styleId="ColorfulShading-Accent11">
    <w:name w:val="Colorful Shading - Accent 11"/>
    <w:hidden/>
    <w:uiPriority w:val="99"/>
    <w:semiHidden/>
    <w:rsid w:val="00DE6796"/>
    <w:rPr>
      <w:sz w:val="24"/>
      <w:szCs w:val="24"/>
    </w:rPr>
  </w:style>
  <w:style w:type="character" w:styleId="FollowedHyperlink">
    <w:name w:val="FollowedHyperlink"/>
    <w:rsid w:val="006724E2"/>
    <w:rPr>
      <w:color w:val="800080"/>
      <w:u w:val="single"/>
    </w:rPr>
  </w:style>
  <w:style w:type="table" w:styleId="TableGrid">
    <w:name w:val="Table Grid"/>
    <w:basedOn w:val="TableNormal"/>
    <w:uiPriority w:val="39"/>
    <w:rsid w:val="0020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4E2CFE"/>
  </w:style>
  <w:style w:type="character" w:customStyle="1" w:styleId="Heading4Char">
    <w:name w:val="Heading 4 Char"/>
    <w:link w:val="Heading4"/>
    <w:semiHidden/>
    <w:rsid w:val="00894194"/>
    <w:rPr>
      <w:rFonts w:ascii="Calibri" w:eastAsia="Times New Roman" w:hAnsi="Calibri" w:cs="Times New Roman"/>
      <w:b/>
      <w:bCs/>
      <w:sz w:val="28"/>
      <w:szCs w:val="28"/>
    </w:rPr>
  </w:style>
  <w:style w:type="character" w:customStyle="1" w:styleId="Heading5Char">
    <w:name w:val="Heading 5 Char"/>
    <w:link w:val="Heading5"/>
    <w:semiHidden/>
    <w:rsid w:val="00894194"/>
    <w:rPr>
      <w:rFonts w:ascii="Calibri" w:eastAsia="Times New Roman" w:hAnsi="Calibri" w:cs="Times New Roman"/>
      <w:b/>
      <w:bCs/>
      <w:i/>
      <w:iCs/>
      <w:sz w:val="26"/>
      <w:szCs w:val="26"/>
    </w:rPr>
  </w:style>
  <w:style w:type="character" w:customStyle="1" w:styleId="apple-tab-span">
    <w:name w:val="apple-tab-span"/>
    <w:rsid w:val="00894194"/>
  </w:style>
  <w:style w:type="paragraph" w:styleId="NormalWeb">
    <w:name w:val="Normal (Web)"/>
    <w:basedOn w:val="Normal"/>
    <w:uiPriority w:val="99"/>
    <w:unhideWhenUsed/>
    <w:rsid w:val="00894194"/>
    <w:pPr>
      <w:spacing w:before="100" w:beforeAutospacing="1" w:after="100" w:afterAutospacing="1"/>
    </w:pPr>
  </w:style>
  <w:style w:type="paragraph" w:styleId="DocumentMap">
    <w:name w:val="Document Map"/>
    <w:basedOn w:val="Normal"/>
    <w:link w:val="DocumentMapChar"/>
    <w:rsid w:val="008D7715"/>
    <w:rPr>
      <w:lang w:val="x-none" w:eastAsia="x-none"/>
    </w:rPr>
  </w:style>
  <w:style w:type="character" w:customStyle="1" w:styleId="DocumentMapChar">
    <w:name w:val="Document Map Char"/>
    <w:link w:val="DocumentMap"/>
    <w:rsid w:val="008D7715"/>
    <w:rPr>
      <w:sz w:val="24"/>
      <w:szCs w:val="24"/>
    </w:rPr>
  </w:style>
  <w:style w:type="paragraph" w:styleId="Revision">
    <w:name w:val="Revision"/>
    <w:hidden/>
    <w:uiPriority w:val="71"/>
    <w:rsid w:val="00173703"/>
    <w:rPr>
      <w:sz w:val="24"/>
      <w:szCs w:val="24"/>
    </w:rPr>
  </w:style>
  <w:style w:type="character" w:customStyle="1" w:styleId="CommentTextChar">
    <w:name w:val="Comment Text Char"/>
    <w:link w:val="CommentText"/>
    <w:uiPriority w:val="99"/>
    <w:rsid w:val="001E5AAF"/>
  </w:style>
  <w:style w:type="paragraph" w:styleId="BodyText">
    <w:name w:val="Body Text"/>
    <w:basedOn w:val="Normal"/>
    <w:link w:val="BodyTextChar"/>
    <w:semiHidden/>
    <w:unhideWhenUsed/>
    <w:rsid w:val="00C223B3"/>
    <w:pPr>
      <w:spacing w:after="120"/>
    </w:pPr>
  </w:style>
  <w:style w:type="character" w:customStyle="1" w:styleId="BodyTextChar">
    <w:name w:val="Body Text Char"/>
    <w:basedOn w:val="DefaultParagraphFont"/>
    <w:link w:val="BodyText"/>
    <w:semiHidden/>
    <w:rsid w:val="00C223B3"/>
    <w:rPr>
      <w:sz w:val="24"/>
      <w:szCs w:val="24"/>
    </w:rPr>
  </w:style>
  <w:style w:type="character" w:styleId="UnresolvedMention">
    <w:name w:val="Unresolved Mention"/>
    <w:basedOn w:val="DefaultParagraphFont"/>
    <w:uiPriority w:val="99"/>
    <w:semiHidden/>
    <w:unhideWhenUsed/>
    <w:rsid w:val="000C43FC"/>
    <w:rPr>
      <w:color w:val="605E5C"/>
      <w:shd w:val="clear" w:color="auto" w:fill="E1DFDD"/>
    </w:rPr>
  </w:style>
  <w:style w:type="paragraph" w:styleId="ListParagraph">
    <w:name w:val="List Paragraph"/>
    <w:basedOn w:val="Normal"/>
    <w:uiPriority w:val="34"/>
    <w:qFormat/>
    <w:rsid w:val="0089217E"/>
    <w:pPr>
      <w:spacing w:after="160" w:line="259" w:lineRule="auto"/>
      <w:ind w:left="720"/>
      <w:contextualSpacing/>
    </w:pPr>
    <w:rPr>
      <w:rFonts w:ascii="Arial" w:eastAsiaTheme="minorHAnsi" w:hAnsi="Arial" w:cstheme="minorBidi"/>
      <w:szCs w:val="22"/>
    </w:rPr>
  </w:style>
  <w:style w:type="character" w:customStyle="1" w:styleId="Heading2Char">
    <w:name w:val="Heading 2 Char"/>
    <w:basedOn w:val="DefaultParagraphFont"/>
    <w:link w:val="Heading2"/>
    <w:semiHidden/>
    <w:rsid w:val="004C556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4619E8"/>
    <w:rPr>
      <w:b/>
      <w:bCs/>
    </w:rPr>
  </w:style>
  <w:style w:type="character" w:customStyle="1" w:styleId="uscb-hide1">
    <w:name w:val="uscb-hide1"/>
    <w:basedOn w:val="DefaultParagraphFont"/>
    <w:rsid w:val="00A80A67"/>
    <w:rPr>
      <w:vanish/>
      <w:webHidden w:val="0"/>
      <w:specVanish w:val="0"/>
    </w:rPr>
  </w:style>
  <w:style w:type="character" w:customStyle="1" w:styleId="uscb-bold1">
    <w:name w:val="uscb-bold1"/>
    <w:basedOn w:val="DefaultParagraphFont"/>
    <w:rsid w:val="00A80A67"/>
    <w:rPr>
      <w:b/>
      <w:bCs/>
    </w:rPr>
  </w:style>
  <w:style w:type="character" w:styleId="Emphasis">
    <w:name w:val="Emphasis"/>
    <w:basedOn w:val="DefaultParagraphFont"/>
    <w:uiPriority w:val="20"/>
    <w:qFormat/>
    <w:rsid w:val="00A80A67"/>
    <w:rPr>
      <w:i/>
      <w:iCs/>
    </w:rPr>
  </w:style>
  <w:style w:type="paragraph" w:styleId="NoSpacing">
    <w:name w:val="No Spacing"/>
    <w:uiPriority w:val="1"/>
    <w:qFormat/>
    <w:rsid w:val="00D16CED"/>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160ED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160ED6"/>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63654">
      <w:bodyDiv w:val="1"/>
      <w:marLeft w:val="0"/>
      <w:marRight w:val="0"/>
      <w:marTop w:val="0"/>
      <w:marBottom w:val="0"/>
      <w:divBdr>
        <w:top w:val="none" w:sz="0" w:space="0" w:color="auto"/>
        <w:left w:val="none" w:sz="0" w:space="0" w:color="auto"/>
        <w:bottom w:val="none" w:sz="0" w:space="0" w:color="auto"/>
        <w:right w:val="none" w:sz="0" w:space="0" w:color="auto"/>
      </w:divBdr>
    </w:div>
    <w:div w:id="341011225">
      <w:bodyDiv w:val="1"/>
      <w:marLeft w:val="0"/>
      <w:marRight w:val="0"/>
      <w:marTop w:val="0"/>
      <w:marBottom w:val="0"/>
      <w:divBdr>
        <w:top w:val="none" w:sz="0" w:space="0" w:color="auto"/>
        <w:left w:val="none" w:sz="0" w:space="0" w:color="auto"/>
        <w:bottom w:val="none" w:sz="0" w:space="0" w:color="auto"/>
        <w:right w:val="none" w:sz="0" w:space="0" w:color="auto"/>
      </w:divBdr>
    </w:div>
    <w:div w:id="411660513">
      <w:bodyDiv w:val="1"/>
      <w:marLeft w:val="0"/>
      <w:marRight w:val="0"/>
      <w:marTop w:val="0"/>
      <w:marBottom w:val="0"/>
      <w:divBdr>
        <w:top w:val="none" w:sz="0" w:space="0" w:color="auto"/>
        <w:left w:val="none" w:sz="0" w:space="0" w:color="auto"/>
        <w:bottom w:val="none" w:sz="0" w:space="0" w:color="auto"/>
        <w:right w:val="none" w:sz="0" w:space="0" w:color="auto"/>
      </w:divBdr>
    </w:div>
    <w:div w:id="419372809">
      <w:bodyDiv w:val="1"/>
      <w:marLeft w:val="0"/>
      <w:marRight w:val="0"/>
      <w:marTop w:val="0"/>
      <w:marBottom w:val="0"/>
      <w:divBdr>
        <w:top w:val="none" w:sz="0" w:space="0" w:color="auto"/>
        <w:left w:val="none" w:sz="0" w:space="0" w:color="auto"/>
        <w:bottom w:val="none" w:sz="0" w:space="0" w:color="auto"/>
        <w:right w:val="none" w:sz="0" w:space="0" w:color="auto"/>
      </w:divBdr>
    </w:div>
    <w:div w:id="425001002">
      <w:bodyDiv w:val="1"/>
      <w:marLeft w:val="0"/>
      <w:marRight w:val="0"/>
      <w:marTop w:val="0"/>
      <w:marBottom w:val="0"/>
      <w:divBdr>
        <w:top w:val="none" w:sz="0" w:space="0" w:color="auto"/>
        <w:left w:val="none" w:sz="0" w:space="0" w:color="auto"/>
        <w:bottom w:val="none" w:sz="0" w:space="0" w:color="auto"/>
        <w:right w:val="none" w:sz="0" w:space="0" w:color="auto"/>
      </w:divBdr>
      <w:divsChild>
        <w:div w:id="1611275180">
          <w:marLeft w:val="0"/>
          <w:marRight w:val="0"/>
          <w:marTop w:val="0"/>
          <w:marBottom w:val="0"/>
          <w:divBdr>
            <w:top w:val="none" w:sz="0" w:space="0" w:color="auto"/>
            <w:left w:val="none" w:sz="0" w:space="0" w:color="auto"/>
            <w:bottom w:val="none" w:sz="0" w:space="0" w:color="auto"/>
            <w:right w:val="none" w:sz="0" w:space="0" w:color="auto"/>
          </w:divBdr>
          <w:divsChild>
            <w:div w:id="665667395">
              <w:marLeft w:val="0"/>
              <w:marRight w:val="0"/>
              <w:marTop w:val="0"/>
              <w:marBottom w:val="0"/>
              <w:divBdr>
                <w:top w:val="none" w:sz="0" w:space="0" w:color="auto"/>
                <w:left w:val="none" w:sz="0" w:space="0" w:color="auto"/>
                <w:bottom w:val="none" w:sz="0" w:space="0" w:color="auto"/>
                <w:right w:val="none" w:sz="0" w:space="0" w:color="auto"/>
              </w:divBdr>
              <w:divsChild>
                <w:div w:id="1982415240">
                  <w:marLeft w:val="0"/>
                  <w:marRight w:val="0"/>
                  <w:marTop w:val="0"/>
                  <w:marBottom w:val="0"/>
                  <w:divBdr>
                    <w:top w:val="none" w:sz="0" w:space="0" w:color="auto"/>
                    <w:left w:val="none" w:sz="0" w:space="0" w:color="auto"/>
                    <w:bottom w:val="none" w:sz="0" w:space="0" w:color="auto"/>
                    <w:right w:val="none" w:sz="0" w:space="0" w:color="auto"/>
                  </w:divBdr>
                  <w:divsChild>
                    <w:div w:id="953247244">
                      <w:marLeft w:val="-225"/>
                      <w:marRight w:val="-225"/>
                      <w:marTop w:val="0"/>
                      <w:marBottom w:val="0"/>
                      <w:divBdr>
                        <w:top w:val="none" w:sz="0" w:space="0" w:color="auto"/>
                        <w:left w:val="none" w:sz="0" w:space="0" w:color="auto"/>
                        <w:bottom w:val="none" w:sz="0" w:space="0" w:color="auto"/>
                        <w:right w:val="none" w:sz="0" w:space="0" w:color="auto"/>
                      </w:divBdr>
                      <w:divsChild>
                        <w:div w:id="1019502333">
                          <w:marLeft w:val="0"/>
                          <w:marRight w:val="0"/>
                          <w:marTop w:val="0"/>
                          <w:marBottom w:val="0"/>
                          <w:divBdr>
                            <w:top w:val="single" w:sz="6" w:space="8" w:color="EEEEEE"/>
                            <w:left w:val="single" w:sz="6" w:space="8" w:color="EEEEEE"/>
                            <w:bottom w:val="single" w:sz="6" w:space="8" w:color="EEEEEE"/>
                            <w:right w:val="single" w:sz="6" w:space="8" w:color="EEEEEE"/>
                          </w:divBdr>
                          <w:divsChild>
                            <w:div w:id="50933718">
                              <w:marLeft w:val="0"/>
                              <w:marRight w:val="0"/>
                              <w:marTop w:val="0"/>
                              <w:marBottom w:val="0"/>
                              <w:divBdr>
                                <w:top w:val="none" w:sz="0" w:space="0" w:color="auto"/>
                                <w:left w:val="none" w:sz="0" w:space="0" w:color="auto"/>
                                <w:bottom w:val="none" w:sz="0" w:space="0" w:color="auto"/>
                                <w:right w:val="none" w:sz="0" w:space="0" w:color="auto"/>
                              </w:divBdr>
                              <w:divsChild>
                                <w:div w:id="425033323">
                                  <w:marLeft w:val="0"/>
                                  <w:marRight w:val="0"/>
                                  <w:marTop w:val="0"/>
                                  <w:marBottom w:val="0"/>
                                  <w:divBdr>
                                    <w:top w:val="none" w:sz="0" w:space="0" w:color="auto"/>
                                    <w:left w:val="none" w:sz="0" w:space="0" w:color="auto"/>
                                    <w:bottom w:val="none" w:sz="0" w:space="0" w:color="auto"/>
                                    <w:right w:val="none" w:sz="0" w:space="0" w:color="auto"/>
                                  </w:divBdr>
                                  <w:divsChild>
                                    <w:div w:id="484318447">
                                      <w:marLeft w:val="0"/>
                                      <w:marRight w:val="0"/>
                                      <w:marTop w:val="0"/>
                                      <w:marBottom w:val="0"/>
                                      <w:divBdr>
                                        <w:top w:val="none" w:sz="0" w:space="0" w:color="auto"/>
                                        <w:left w:val="none" w:sz="0" w:space="0" w:color="auto"/>
                                        <w:bottom w:val="none" w:sz="0" w:space="0" w:color="auto"/>
                                        <w:right w:val="none" w:sz="0" w:space="0" w:color="auto"/>
                                      </w:divBdr>
                                      <w:divsChild>
                                        <w:div w:id="398941458">
                                          <w:marLeft w:val="0"/>
                                          <w:marRight w:val="0"/>
                                          <w:marTop w:val="0"/>
                                          <w:marBottom w:val="0"/>
                                          <w:divBdr>
                                            <w:top w:val="none" w:sz="0" w:space="0" w:color="auto"/>
                                            <w:left w:val="none" w:sz="0" w:space="0" w:color="auto"/>
                                            <w:bottom w:val="none" w:sz="0" w:space="0" w:color="auto"/>
                                            <w:right w:val="none" w:sz="0" w:space="0" w:color="auto"/>
                                          </w:divBdr>
                                          <w:divsChild>
                                            <w:div w:id="225848414">
                                              <w:marLeft w:val="3"/>
                                              <w:marRight w:val="7"/>
                                              <w:marTop w:val="240"/>
                                              <w:marBottom w:val="60"/>
                                              <w:divBdr>
                                                <w:top w:val="none" w:sz="0" w:space="0" w:color="auto"/>
                                                <w:left w:val="none" w:sz="0" w:space="0" w:color="auto"/>
                                                <w:bottom w:val="none" w:sz="0" w:space="0" w:color="auto"/>
                                                <w:right w:val="none" w:sz="0" w:space="0" w:color="auto"/>
                                              </w:divBdr>
                                              <w:divsChild>
                                                <w:div w:id="186874862">
                                                  <w:marLeft w:val="240"/>
                                                  <w:marRight w:val="0"/>
                                                  <w:marTop w:val="60"/>
                                                  <w:marBottom w:val="60"/>
                                                  <w:divBdr>
                                                    <w:top w:val="none" w:sz="0" w:space="0" w:color="auto"/>
                                                    <w:left w:val="none" w:sz="0" w:space="0" w:color="auto"/>
                                                    <w:bottom w:val="none" w:sz="0" w:space="0" w:color="auto"/>
                                                    <w:right w:val="none" w:sz="0" w:space="0" w:color="auto"/>
                                                  </w:divBdr>
                                                  <w:divsChild>
                                                    <w:div w:id="16269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161191">
      <w:bodyDiv w:val="1"/>
      <w:marLeft w:val="0"/>
      <w:marRight w:val="0"/>
      <w:marTop w:val="0"/>
      <w:marBottom w:val="0"/>
      <w:divBdr>
        <w:top w:val="none" w:sz="0" w:space="0" w:color="auto"/>
        <w:left w:val="none" w:sz="0" w:space="0" w:color="auto"/>
        <w:bottom w:val="none" w:sz="0" w:space="0" w:color="auto"/>
        <w:right w:val="none" w:sz="0" w:space="0" w:color="auto"/>
      </w:divBdr>
    </w:div>
    <w:div w:id="473913745">
      <w:bodyDiv w:val="1"/>
      <w:marLeft w:val="0"/>
      <w:marRight w:val="0"/>
      <w:marTop w:val="0"/>
      <w:marBottom w:val="0"/>
      <w:divBdr>
        <w:top w:val="none" w:sz="0" w:space="0" w:color="auto"/>
        <w:left w:val="none" w:sz="0" w:space="0" w:color="auto"/>
        <w:bottom w:val="none" w:sz="0" w:space="0" w:color="auto"/>
        <w:right w:val="none" w:sz="0" w:space="0" w:color="auto"/>
      </w:divBdr>
    </w:div>
    <w:div w:id="573784289">
      <w:bodyDiv w:val="1"/>
      <w:marLeft w:val="60"/>
      <w:marRight w:val="60"/>
      <w:marTop w:val="60"/>
      <w:marBottom w:val="15"/>
      <w:divBdr>
        <w:top w:val="none" w:sz="0" w:space="0" w:color="auto"/>
        <w:left w:val="none" w:sz="0" w:space="0" w:color="auto"/>
        <w:bottom w:val="none" w:sz="0" w:space="0" w:color="auto"/>
        <w:right w:val="none" w:sz="0" w:space="0" w:color="auto"/>
      </w:divBdr>
      <w:divsChild>
        <w:div w:id="137221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79904">
              <w:marLeft w:val="0"/>
              <w:marRight w:val="0"/>
              <w:marTop w:val="0"/>
              <w:marBottom w:val="0"/>
              <w:divBdr>
                <w:top w:val="none" w:sz="0" w:space="0" w:color="auto"/>
                <w:left w:val="none" w:sz="0" w:space="0" w:color="auto"/>
                <w:bottom w:val="none" w:sz="0" w:space="0" w:color="auto"/>
                <w:right w:val="none" w:sz="0" w:space="0" w:color="auto"/>
              </w:divBdr>
              <w:divsChild>
                <w:div w:id="97140908">
                  <w:marLeft w:val="0"/>
                  <w:marRight w:val="0"/>
                  <w:marTop w:val="0"/>
                  <w:marBottom w:val="0"/>
                  <w:divBdr>
                    <w:top w:val="none" w:sz="0" w:space="0" w:color="auto"/>
                    <w:left w:val="none" w:sz="0" w:space="0" w:color="auto"/>
                    <w:bottom w:val="none" w:sz="0" w:space="0" w:color="auto"/>
                    <w:right w:val="none" w:sz="0" w:space="0" w:color="auto"/>
                  </w:divBdr>
                </w:div>
                <w:div w:id="613244530">
                  <w:marLeft w:val="0"/>
                  <w:marRight w:val="0"/>
                  <w:marTop w:val="0"/>
                  <w:marBottom w:val="0"/>
                  <w:divBdr>
                    <w:top w:val="none" w:sz="0" w:space="0" w:color="auto"/>
                    <w:left w:val="none" w:sz="0" w:space="0" w:color="auto"/>
                    <w:bottom w:val="none" w:sz="0" w:space="0" w:color="auto"/>
                    <w:right w:val="none" w:sz="0" w:space="0" w:color="auto"/>
                  </w:divBdr>
                </w:div>
                <w:div w:id="1535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4389">
      <w:bodyDiv w:val="1"/>
      <w:marLeft w:val="0"/>
      <w:marRight w:val="0"/>
      <w:marTop w:val="0"/>
      <w:marBottom w:val="0"/>
      <w:divBdr>
        <w:top w:val="none" w:sz="0" w:space="0" w:color="auto"/>
        <w:left w:val="none" w:sz="0" w:space="0" w:color="auto"/>
        <w:bottom w:val="none" w:sz="0" w:space="0" w:color="auto"/>
        <w:right w:val="none" w:sz="0" w:space="0" w:color="auto"/>
      </w:divBdr>
      <w:divsChild>
        <w:div w:id="1347824811">
          <w:marLeft w:val="0"/>
          <w:marRight w:val="0"/>
          <w:marTop w:val="0"/>
          <w:marBottom w:val="0"/>
          <w:divBdr>
            <w:top w:val="none" w:sz="0" w:space="0" w:color="auto"/>
            <w:left w:val="none" w:sz="0" w:space="0" w:color="auto"/>
            <w:bottom w:val="none" w:sz="0" w:space="0" w:color="auto"/>
            <w:right w:val="none" w:sz="0" w:space="0" w:color="auto"/>
          </w:divBdr>
          <w:divsChild>
            <w:div w:id="1969506348">
              <w:marLeft w:val="0"/>
              <w:marRight w:val="0"/>
              <w:marTop w:val="0"/>
              <w:marBottom w:val="0"/>
              <w:divBdr>
                <w:top w:val="none" w:sz="0" w:space="0" w:color="auto"/>
                <w:left w:val="none" w:sz="0" w:space="0" w:color="auto"/>
                <w:bottom w:val="none" w:sz="0" w:space="0" w:color="auto"/>
                <w:right w:val="none" w:sz="0" w:space="0" w:color="auto"/>
              </w:divBdr>
              <w:divsChild>
                <w:div w:id="861557852">
                  <w:marLeft w:val="0"/>
                  <w:marRight w:val="0"/>
                  <w:marTop w:val="0"/>
                  <w:marBottom w:val="0"/>
                  <w:divBdr>
                    <w:top w:val="none" w:sz="0" w:space="0" w:color="auto"/>
                    <w:left w:val="none" w:sz="0" w:space="0" w:color="auto"/>
                    <w:bottom w:val="none" w:sz="0" w:space="0" w:color="auto"/>
                    <w:right w:val="none" w:sz="0" w:space="0" w:color="auto"/>
                  </w:divBdr>
                  <w:divsChild>
                    <w:div w:id="497497523">
                      <w:marLeft w:val="0"/>
                      <w:marRight w:val="0"/>
                      <w:marTop w:val="0"/>
                      <w:marBottom w:val="0"/>
                      <w:divBdr>
                        <w:top w:val="none" w:sz="0" w:space="0" w:color="auto"/>
                        <w:left w:val="none" w:sz="0" w:space="0" w:color="auto"/>
                        <w:bottom w:val="none" w:sz="0" w:space="0" w:color="auto"/>
                        <w:right w:val="none" w:sz="0" w:space="0" w:color="auto"/>
                      </w:divBdr>
                      <w:divsChild>
                        <w:div w:id="1795517905">
                          <w:marLeft w:val="0"/>
                          <w:marRight w:val="0"/>
                          <w:marTop w:val="0"/>
                          <w:marBottom w:val="0"/>
                          <w:divBdr>
                            <w:top w:val="none" w:sz="0" w:space="0" w:color="auto"/>
                            <w:left w:val="none" w:sz="0" w:space="0" w:color="auto"/>
                            <w:bottom w:val="none" w:sz="0" w:space="0" w:color="auto"/>
                            <w:right w:val="none" w:sz="0" w:space="0" w:color="auto"/>
                          </w:divBdr>
                          <w:divsChild>
                            <w:div w:id="1711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731042">
      <w:bodyDiv w:val="1"/>
      <w:marLeft w:val="0"/>
      <w:marRight w:val="0"/>
      <w:marTop w:val="0"/>
      <w:marBottom w:val="0"/>
      <w:divBdr>
        <w:top w:val="none" w:sz="0" w:space="0" w:color="auto"/>
        <w:left w:val="none" w:sz="0" w:space="0" w:color="auto"/>
        <w:bottom w:val="none" w:sz="0" w:space="0" w:color="auto"/>
        <w:right w:val="none" w:sz="0" w:space="0" w:color="auto"/>
      </w:divBdr>
      <w:divsChild>
        <w:div w:id="1198391644">
          <w:marLeft w:val="0"/>
          <w:marRight w:val="0"/>
          <w:marTop w:val="0"/>
          <w:marBottom w:val="0"/>
          <w:divBdr>
            <w:top w:val="none" w:sz="0" w:space="0" w:color="auto"/>
            <w:left w:val="none" w:sz="0" w:space="0" w:color="auto"/>
            <w:bottom w:val="none" w:sz="0" w:space="0" w:color="auto"/>
            <w:right w:val="none" w:sz="0" w:space="0" w:color="auto"/>
          </w:divBdr>
          <w:divsChild>
            <w:div w:id="1997108070">
              <w:marLeft w:val="0"/>
              <w:marRight w:val="0"/>
              <w:marTop w:val="0"/>
              <w:marBottom w:val="0"/>
              <w:divBdr>
                <w:top w:val="none" w:sz="0" w:space="0" w:color="auto"/>
                <w:left w:val="none" w:sz="0" w:space="0" w:color="auto"/>
                <w:bottom w:val="none" w:sz="0" w:space="0" w:color="auto"/>
                <w:right w:val="none" w:sz="0" w:space="0" w:color="auto"/>
              </w:divBdr>
              <w:divsChild>
                <w:div w:id="1483037992">
                  <w:marLeft w:val="0"/>
                  <w:marRight w:val="0"/>
                  <w:marTop w:val="0"/>
                  <w:marBottom w:val="0"/>
                  <w:divBdr>
                    <w:top w:val="none" w:sz="0" w:space="0" w:color="auto"/>
                    <w:left w:val="none" w:sz="0" w:space="0" w:color="auto"/>
                    <w:bottom w:val="none" w:sz="0" w:space="0" w:color="auto"/>
                    <w:right w:val="none" w:sz="0" w:space="0" w:color="auto"/>
                  </w:divBdr>
                  <w:divsChild>
                    <w:div w:id="1086612486">
                      <w:marLeft w:val="0"/>
                      <w:marRight w:val="0"/>
                      <w:marTop w:val="0"/>
                      <w:marBottom w:val="0"/>
                      <w:divBdr>
                        <w:top w:val="none" w:sz="0" w:space="0" w:color="auto"/>
                        <w:left w:val="none" w:sz="0" w:space="0" w:color="auto"/>
                        <w:bottom w:val="none" w:sz="0" w:space="0" w:color="auto"/>
                        <w:right w:val="none" w:sz="0" w:space="0" w:color="auto"/>
                      </w:divBdr>
                      <w:divsChild>
                        <w:div w:id="866914614">
                          <w:marLeft w:val="0"/>
                          <w:marRight w:val="0"/>
                          <w:marTop w:val="0"/>
                          <w:marBottom w:val="0"/>
                          <w:divBdr>
                            <w:top w:val="none" w:sz="0" w:space="0" w:color="auto"/>
                            <w:left w:val="none" w:sz="0" w:space="0" w:color="auto"/>
                            <w:bottom w:val="none" w:sz="0" w:space="0" w:color="auto"/>
                            <w:right w:val="none" w:sz="0" w:space="0" w:color="auto"/>
                          </w:divBdr>
                          <w:divsChild>
                            <w:div w:id="13961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49482">
      <w:bodyDiv w:val="1"/>
      <w:marLeft w:val="0"/>
      <w:marRight w:val="0"/>
      <w:marTop w:val="0"/>
      <w:marBottom w:val="0"/>
      <w:divBdr>
        <w:top w:val="none" w:sz="0" w:space="0" w:color="auto"/>
        <w:left w:val="none" w:sz="0" w:space="0" w:color="auto"/>
        <w:bottom w:val="none" w:sz="0" w:space="0" w:color="auto"/>
        <w:right w:val="none" w:sz="0" w:space="0" w:color="auto"/>
      </w:divBdr>
    </w:div>
    <w:div w:id="740828640">
      <w:bodyDiv w:val="1"/>
      <w:marLeft w:val="0"/>
      <w:marRight w:val="0"/>
      <w:marTop w:val="0"/>
      <w:marBottom w:val="0"/>
      <w:divBdr>
        <w:top w:val="none" w:sz="0" w:space="0" w:color="auto"/>
        <w:left w:val="none" w:sz="0" w:space="0" w:color="auto"/>
        <w:bottom w:val="none" w:sz="0" w:space="0" w:color="auto"/>
        <w:right w:val="none" w:sz="0" w:space="0" w:color="auto"/>
      </w:divBdr>
    </w:div>
    <w:div w:id="1017930843">
      <w:bodyDiv w:val="1"/>
      <w:marLeft w:val="0"/>
      <w:marRight w:val="0"/>
      <w:marTop w:val="0"/>
      <w:marBottom w:val="0"/>
      <w:divBdr>
        <w:top w:val="none" w:sz="0" w:space="0" w:color="auto"/>
        <w:left w:val="none" w:sz="0" w:space="0" w:color="auto"/>
        <w:bottom w:val="none" w:sz="0" w:space="0" w:color="auto"/>
        <w:right w:val="none" w:sz="0" w:space="0" w:color="auto"/>
      </w:divBdr>
    </w:div>
    <w:div w:id="1030061522">
      <w:bodyDiv w:val="1"/>
      <w:marLeft w:val="0"/>
      <w:marRight w:val="0"/>
      <w:marTop w:val="0"/>
      <w:marBottom w:val="0"/>
      <w:divBdr>
        <w:top w:val="none" w:sz="0" w:space="0" w:color="auto"/>
        <w:left w:val="none" w:sz="0" w:space="0" w:color="auto"/>
        <w:bottom w:val="none" w:sz="0" w:space="0" w:color="auto"/>
        <w:right w:val="none" w:sz="0" w:space="0" w:color="auto"/>
      </w:divBdr>
      <w:divsChild>
        <w:div w:id="813714092">
          <w:marLeft w:val="0"/>
          <w:marRight w:val="0"/>
          <w:marTop w:val="0"/>
          <w:marBottom w:val="0"/>
          <w:divBdr>
            <w:top w:val="none" w:sz="0" w:space="0" w:color="auto"/>
            <w:left w:val="none" w:sz="0" w:space="0" w:color="auto"/>
            <w:bottom w:val="none" w:sz="0" w:space="0" w:color="auto"/>
            <w:right w:val="none" w:sz="0" w:space="0" w:color="auto"/>
          </w:divBdr>
          <w:divsChild>
            <w:div w:id="1572429695">
              <w:marLeft w:val="0"/>
              <w:marRight w:val="0"/>
              <w:marTop w:val="0"/>
              <w:marBottom w:val="0"/>
              <w:divBdr>
                <w:top w:val="none" w:sz="0" w:space="0" w:color="auto"/>
                <w:left w:val="none" w:sz="0" w:space="0" w:color="auto"/>
                <w:bottom w:val="none" w:sz="0" w:space="0" w:color="auto"/>
                <w:right w:val="none" w:sz="0" w:space="0" w:color="auto"/>
              </w:divBdr>
              <w:divsChild>
                <w:div w:id="219905349">
                  <w:marLeft w:val="0"/>
                  <w:marRight w:val="0"/>
                  <w:marTop w:val="0"/>
                  <w:marBottom w:val="0"/>
                  <w:divBdr>
                    <w:top w:val="none" w:sz="0" w:space="0" w:color="auto"/>
                    <w:left w:val="none" w:sz="0" w:space="0" w:color="auto"/>
                    <w:bottom w:val="none" w:sz="0" w:space="0" w:color="auto"/>
                    <w:right w:val="none" w:sz="0" w:space="0" w:color="auto"/>
                  </w:divBdr>
                  <w:divsChild>
                    <w:div w:id="1656762799">
                      <w:marLeft w:val="-225"/>
                      <w:marRight w:val="-225"/>
                      <w:marTop w:val="0"/>
                      <w:marBottom w:val="0"/>
                      <w:divBdr>
                        <w:top w:val="none" w:sz="0" w:space="0" w:color="auto"/>
                        <w:left w:val="none" w:sz="0" w:space="0" w:color="auto"/>
                        <w:bottom w:val="none" w:sz="0" w:space="0" w:color="auto"/>
                        <w:right w:val="none" w:sz="0" w:space="0" w:color="auto"/>
                      </w:divBdr>
                      <w:divsChild>
                        <w:div w:id="2063794772">
                          <w:marLeft w:val="0"/>
                          <w:marRight w:val="0"/>
                          <w:marTop w:val="0"/>
                          <w:marBottom w:val="0"/>
                          <w:divBdr>
                            <w:top w:val="single" w:sz="6" w:space="8" w:color="EEEEEE"/>
                            <w:left w:val="single" w:sz="6" w:space="8" w:color="EEEEEE"/>
                            <w:bottom w:val="single" w:sz="6" w:space="8" w:color="EEEEEE"/>
                            <w:right w:val="single" w:sz="6" w:space="8" w:color="EEEEEE"/>
                          </w:divBdr>
                          <w:divsChild>
                            <w:div w:id="144594353">
                              <w:marLeft w:val="0"/>
                              <w:marRight w:val="0"/>
                              <w:marTop w:val="0"/>
                              <w:marBottom w:val="0"/>
                              <w:divBdr>
                                <w:top w:val="none" w:sz="0" w:space="0" w:color="auto"/>
                                <w:left w:val="none" w:sz="0" w:space="0" w:color="auto"/>
                                <w:bottom w:val="none" w:sz="0" w:space="0" w:color="auto"/>
                                <w:right w:val="none" w:sz="0" w:space="0" w:color="auto"/>
                              </w:divBdr>
                              <w:divsChild>
                                <w:div w:id="1514539459">
                                  <w:marLeft w:val="0"/>
                                  <w:marRight w:val="0"/>
                                  <w:marTop w:val="0"/>
                                  <w:marBottom w:val="0"/>
                                  <w:divBdr>
                                    <w:top w:val="none" w:sz="0" w:space="0" w:color="auto"/>
                                    <w:left w:val="none" w:sz="0" w:space="0" w:color="auto"/>
                                    <w:bottom w:val="none" w:sz="0" w:space="0" w:color="auto"/>
                                    <w:right w:val="none" w:sz="0" w:space="0" w:color="auto"/>
                                  </w:divBdr>
                                  <w:divsChild>
                                    <w:div w:id="736442414">
                                      <w:marLeft w:val="0"/>
                                      <w:marRight w:val="0"/>
                                      <w:marTop w:val="0"/>
                                      <w:marBottom w:val="0"/>
                                      <w:divBdr>
                                        <w:top w:val="none" w:sz="0" w:space="0" w:color="auto"/>
                                        <w:left w:val="none" w:sz="0" w:space="0" w:color="auto"/>
                                        <w:bottom w:val="none" w:sz="0" w:space="0" w:color="auto"/>
                                        <w:right w:val="none" w:sz="0" w:space="0" w:color="auto"/>
                                      </w:divBdr>
                                      <w:divsChild>
                                        <w:div w:id="963006461">
                                          <w:marLeft w:val="0"/>
                                          <w:marRight w:val="0"/>
                                          <w:marTop w:val="0"/>
                                          <w:marBottom w:val="0"/>
                                          <w:divBdr>
                                            <w:top w:val="none" w:sz="0" w:space="0" w:color="auto"/>
                                            <w:left w:val="none" w:sz="0" w:space="0" w:color="auto"/>
                                            <w:bottom w:val="none" w:sz="0" w:space="0" w:color="auto"/>
                                            <w:right w:val="none" w:sz="0" w:space="0" w:color="auto"/>
                                          </w:divBdr>
                                          <w:divsChild>
                                            <w:div w:id="1467427728">
                                              <w:marLeft w:val="3"/>
                                              <w:marRight w:val="7"/>
                                              <w:marTop w:val="240"/>
                                              <w:marBottom w:val="60"/>
                                              <w:divBdr>
                                                <w:top w:val="none" w:sz="0" w:space="0" w:color="auto"/>
                                                <w:left w:val="none" w:sz="0" w:space="0" w:color="auto"/>
                                                <w:bottom w:val="none" w:sz="0" w:space="0" w:color="auto"/>
                                                <w:right w:val="none" w:sz="0" w:space="0" w:color="auto"/>
                                              </w:divBdr>
                                              <w:divsChild>
                                                <w:div w:id="842354552">
                                                  <w:marLeft w:val="240"/>
                                                  <w:marRight w:val="0"/>
                                                  <w:marTop w:val="60"/>
                                                  <w:marBottom w:val="60"/>
                                                  <w:divBdr>
                                                    <w:top w:val="none" w:sz="0" w:space="0" w:color="auto"/>
                                                    <w:left w:val="none" w:sz="0" w:space="0" w:color="auto"/>
                                                    <w:bottom w:val="none" w:sz="0" w:space="0" w:color="auto"/>
                                                    <w:right w:val="none" w:sz="0" w:space="0" w:color="auto"/>
                                                  </w:divBdr>
                                                  <w:divsChild>
                                                    <w:div w:id="924455578">
                                                      <w:marLeft w:val="0"/>
                                                      <w:marRight w:val="0"/>
                                                      <w:marTop w:val="0"/>
                                                      <w:marBottom w:val="0"/>
                                                      <w:divBdr>
                                                        <w:top w:val="none" w:sz="0" w:space="0" w:color="auto"/>
                                                        <w:left w:val="none" w:sz="0" w:space="0" w:color="auto"/>
                                                        <w:bottom w:val="none" w:sz="0" w:space="0" w:color="auto"/>
                                                        <w:right w:val="none" w:sz="0" w:space="0" w:color="auto"/>
                                                      </w:divBdr>
                                                    </w:div>
                                                  </w:divsChild>
                                                </w:div>
                                                <w:div w:id="910700159">
                                                  <w:marLeft w:val="240"/>
                                                  <w:marRight w:val="0"/>
                                                  <w:marTop w:val="60"/>
                                                  <w:marBottom w:val="60"/>
                                                  <w:divBdr>
                                                    <w:top w:val="none" w:sz="0" w:space="0" w:color="auto"/>
                                                    <w:left w:val="none" w:sz="0" w:space="0" w:color="auto"/>
                                                    <w:bottom w:val="none" w:sz="0" w:space="0" w:color="auto"/>
                                                    <w:right w:val="none" w:sz="0" w:space="0" w:color="auto"/>
                                                  </w:divBdr>
                                                  <w:divsChild>
                                                    <w:div w:id="1161888886">
                                                      <w:marLeft w:val="0"/>
                                                      <w:marRight w:val="0"/>
                                                      <w:marTop w:val="0"/>
                                                      <w:marBottom w:val="0"/>
                                                      <w:divBdr>
                                                        <w:top w:val="none" w:sz="0" w:space="0" w:color="auto"/>
                                                        <w:left w:val="none" w:sz="0" w:space="0" w:color="auto"/>
                                                        <w:bottom w:val="none" w:sz="0" w:space="0" w:color="auto"/>
                                                        <w:right w:val="none" w:sz="0" w:space="0" w:color="auto"/>
                                                      </w:divBdr>
                                                    </w:div>
                                                  </w:divsChild>
                                                </w:div>
                                                <w:div w:id="1213158001">
                                                  <w:marLeft w:val="240"/>
                                                  <w:marRight w:val="0"/>
                                                  <w:marTop w:val="60"/>
                                                  <w:marBottom w:val="60"/>
                                                  <w:divBdr>
                                                    <w:top w:val="none" w:sz="0" w:space="0" w:color="auto"/>
                                                    <w:left w:val="none" w:sz="0" w:space="0" w:color="auto"/>
                                                    <w:bottom w:val="none" w:sz="0" w:space="0" w:color="auto"/>
                                                    <w:right w:val="none" w:sz="0" w:space="0" w:color="auto"/>
                                                  </w:divBdr>
                                                  <w:divsChild>
                                                    <w:div w:id="15677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258394">
      <w:bodyDiv w:val="1"/>
      <w:marLeft w:val="0"/>
      <w:marRight w:val="0"/>
      <w:marTop w:val="0"/>
      <w:marBottom w:val="0"/>
      <w:divBdr>
        <w:top w:val="none" w:sz="0" w:space="0" w:color="auto"/>
        <w:left w:val="none" w:sz="0" w:space="0" w:color="auto"/>
        <w:bottom w:val="none" w:sz="0" w:space="0" w:color="auto"/>
        <w:right w:val="none" w:sz="0" w:space="0" w:color="auto"/>
      </w:divBdr>
    </w:div>
    <w:div w:id="11246206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89186226">
          <w:marLeft w:val="105"/>
          <w:marRight w:val="105"/>
          <w:marTop w:val="0"/>
          <w:marBottom w:val="0"/>
          <w:divBdr>
            <w:top w:val="none" w:sz="0" w:space="0" w:color="auto"/>
            <w:left w:val="none" w:sz="0" w:space="0" w:color="auto"/>
            <w:bottom w:val="none" w:sz="0" w:space="0" w:color="auto"/>
            <w:right w:val="none" w:sz="0" w:space="0" w:color="auto"/>
          </w:divBdr>
          <w:divsChild>
            <w:div w:id="792212144">
              <w:marLeft w:val="0"/>
              <w:marRight w:val="0"/>
              <w:marTop w:val="0"/>
              <w:marBottom w:val="0"/>
              <w:divBdr>
                <w:top w:val="none" w:sz="0" w:space="0" w:color="auto"/>
                <w:left w:val="none" w:sz="0" w:space="0" w:color="auto"/>
                <w:bottom w:val="none" w:sz="0" w:space="0" w:color="auto"/>
                <w:right w:val="none" w:sz="0" w:space="0" w:color="auto"/>
              </w:divBdr>
              <w:divsChild>
                <w:div w:id="1008487153">
                  <w:marLeft w:val="-225"/>
                  <w:marRight w:val="-225"/>
                  <w:marTop w:val="0"/>
                  <w:marBottom w:val="0"/>
                  <w:divBdr>
                    <w:top w:val="none" w:sz="0" w:space="0" w:color="auto"/>
                    <w:left w:val="none" w:sz="0" w:space="0" w:color="auto"/>
                    <w:bottom w:val="none" w:sz="0" w:space="0" w:color="auto"/>
                    <w:right w:val="none" w:sz="0" w:space="0" w:color="auto"/>
                  </w:divBdr>
                  <w:divsChild>
                    <w:div w:id="529876838">
                      <w:marLeft w:val="0"/>
                      <w:marRight w:val="0"/>
                      <w:marTop w:val="450"/>
                      <w:marBottom w:val="0"/>
                      <w:divBdr>
                        <w:top w:val="none" w:sz="0" w:space="0" w:color="auto"/>
                        <w:left w:val="none" w:sz="0" w:space="0" w:color="auto"/>
                        <w:bottom w:val="none" w:sz="0" w:space="0" w:color="auto"/>
                        <w:right w:val="none" w:sz="0" w:space="0" w:color="auto"/>
                      </w:divBdr>
                      <w:divsChild>
                        <w:div w:id="1196693063">
                          <w:marLeft w:val="0"/>
                          <w:marRight w:val="0"/>
                          <w:marTop w:val="0"/>
                          <w:marBottom w:val="0"/>
                          <w:divBdr>
                            <w:top w:val="none" w:sz="0" w:space="0" w:color="auto"/>
                            <w:left w:val="none" w:sz="0" w:space="0" w:color="auto"/>
                            <w:bottom w:val="none" w:sz="0" w:space="0" w:color="auto"/>
                            <w:right w:val="none" w:sz="0" w:space="0" w:color="auto"/>
                          </w:divBdr>
                          <w:divsChild>
                            <w:div w:id="985351538">
                              <w:marLeft w:val="0"/>
                              <w:marRight w:val="0"/>
                              <w:marTop w:val="0"/>
                              <w:marBottom w:val="150"/>
                              <w:divBdr>
                                <w:top w:val="none" w:sz="0" w:space="0" w:color="auto"/>
                                <w:left w:val="none" w:sz="0" w:space="0" w:color="auto"/>
                                <w:bottom w:val="none" w:sz="0" w:space="0" w:color="auto"/>
                                <w:right w:val="none" w:sz="0" w:space="0" w:color="auto"/>
                              </w:divBdr>
                              <w:divsChild>
                                <w:div w:id="709381003">
                                  <w:marLeft w:val="0"/>
                                  <w:marRight w:val="0"/>
                                  <w:marTop w:val="0"/>
                                  <w:marBottom w:val="0"/>
                                  <w:divBdr>
                                    <w:top w:val="none" w:sz="0" w:space="0" w:color="auto"/>
                                    <w:left w:val="none" w:sz="0" w:space="0" w:color="auto"/>
                                    <w:bottom w:val="none" w:sz="0" w:space="0" w:color="auto"/>
                                    <w:right w:val="none" w:sz="0" w:space="0" w:color="auto"/>
                                  </w:divBdr>
                                  <w:divsChild>
                                    <w:div w:id="1419331520">
                                      <w:marLeft w:val="0"/>
                                      <w:marRight w:val="0"/>
                                      <w:marTop w:val="0"/>
                                      <w:marBottom w:val="0"/>
                                      <w:divBdr>
                                        <w:top w:val="none" w:sz="0" w:space="0" w:color="auto"/>
                                        <w:left w:val="none" w:sz="0" w:space="0" w:color="auto"/>
                                        <w:bottom w:val="none" w:sz="0" w:space="0" w:color="auto"/>
                                        <w:right w:val="none" w:sz="0" w:space="0" w:color="auto"/>
                                      </w:divBdr>
                                      <w:divsChild>
                                        <w:div w:id="896552651">
                                          <w:marLeft w:val="0"/>
                                          <w:marRight w:val="0"/>
                                          <w:marTop w:val="0"/>
                                          <w:marBottom w:val="0"/>
                                          <w:divBdr>
                                            <w:top w:val="none" w:sz="0" w:space="0" w:color="auto"/>
                                            <w:left w:val="none" w:sz="0" w:space="0" w:color="auto"/>
                                            <w:bottom w:val="none" w:sz="0" w:space="0" w:color="auto"/>
                                            <w:right w:val="none" w:sz="0" w:space="0" w:color="auto"/>
                                          </w:divBdr>
                                          <w:divsChild>
                                            <w:div w:id="20092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5775">
                                      <w:marLeft w:val="0"/>
                                      <w:marRight w:val="0"/>
                                      <w:marTop w:val="0"/>
                                      <w:marBottom w:val="0"/>
                                      <w:divBdr>
                                        <w:top w:val="none" w:sz="0" w:space="0" w:color="auto"/>
                                        <w:left w:val="none" w:sz="0" w:space="0" w:color="auto"/>
                                        <w:bottom w:val="none" w:sz="0" w:space="0" w:color="auto"/>
                                        <w:right w:val="none" w:sz="0" w:space="0" w:color="auto"/>
                                      </w:divBdr>
                                      <w:divsChild>
                                        <w:div w:id="506135942">
                                          <w:marLeft w:val="0"/>
                                          <w:marRight w:val="0"/>
                                          <w:marTop w:val="0"/>
                                          <w:marBottom w:val="0"/>
                                          <w:divBdr>
                                            <w:top w:val="none" w:sz="0" w:space="0" w:color="auto"/>
                                            <w:left w:val="none" w:sz="0" w:space="0" w:color="auto"/>
                                            <w:bottom w:val="none" w:sz="0" w:space="0" w:color="auto"/>
                                            <w:right w:val="none" w:sz="0" w:space="0" w:color="auto"/>
                                          </w:divBdr>
                                          <w:divsChild>
                                            <w:div w:id="456411378">
                                              <w:marLeft w:val="0"/>
                                              <w:marRight w:val="0"/>
                                              <w:marTop w:val="0"/>
                                              <w:marBottom w:val="0"/>
                                              <w:divBdr>
                                                <w:top w:val="none" w:sz="0" w:space="0" w:color="auto"/>
                                                <w:left w:val="none" w:sz="0" w:space="0" w:color="auto"/>
                                                <w:bottom w:val="none" w:sz="0" w:space="0" w:color="auto"/>
                                                <w:right w:val="none" w:sz="0" w:space="0" w:color="auto"/>
                                              </w:divBdr>
                                            </w:div>
                                            <w:div w:id="95567369">
                                              <w:marLeft w:val="0"/>
                                              <w:marRight w:val="0"/>
                                              <w:marTop w:val="0"/>
                                              <w:marBottom w:val="0"/>
                                              <w:divBdr>
                                                <w:top w:val="none" w:sz="0" w:space="0" w:color="auto"/>
                                                <w:left w:val="none" w:sz="0" w:space="0" w:color="auto"/>
                                                <w:bottom w:val="none" w:sz="0" w:space="0" w:color="auto"/>
                                                <w:right w:val="none" w:sz="0" w:space="0" w:color="auto"/>
                                              </w:divBdr>
                                            </w:div>
                                            <w:div w:id="21372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624986">
      <w:bodyDiv w:val="1"/>
      <w:marLeft w:val="0"/>
      <w:marRight w:val="0"/>
      <w:marTop w:val="0"/>
      <w:marBottom w:val="0"/>
      <w:divBdr>
        <w:top w:val="none" w:sz="0" w:space="0" w:color="auto"/>
        <w:left w:val="none" w:sz="0" w:space="0" w:color="auto"/>
        <w:bottom w:val="none" w:sz="0" w:space="0" w:color="auto"/>
        <w:right w:val="none" w:sz="0" w:space="0" w:color="auto"/>
      </w:divBdr>
    </w:div>
    <w:div w:id="1161657227">
      <w:bodyDiv w:val="1"/>
      <w:marLeft w:val="0"/>
      <w:marRight w:val="0"/>
      <w:marTop w:val="0"/>
      <w:marBottom w:val="0"/>
      <w:divBdr>
        <w:top w:val="none" w:sz="0" w:space="0" w:color="auto"/>
        <w:left w:val="none" w:sz="0" w:space="0" w:color="auto"/>
        <w:bottom w:val="none" w:sz="0" w:space="0" w:color="auto"/>
        <w:right w:val="none" w:sz="0" w:space="0" w:color="auto"/>
      </w:divBdr>
    </w:div>
    <w:div w:id="1176726077">
      <w:bodyDiv w:val="1"/>
      <w:marLeft w:val="0"/>
      <w:marRight w:val="0"/>
      <w:marTop w:val="0"/>
      <w:marBottom w:val="0"/>
      <w:divBdr>
        <w:top w:val="none" w:sz="0" w:space="0" w:color="auto"/>
        <w:left w:val="none" w:sz="0" w:space="0" w:color="auto"/>
        <w:bottom w:val="none" w:sz="0" w:space="0" w:color="auto"/>
        <w:right w:val="none" w:sz="0" w:space="0" w:color="auto"/>
      </w:divBdr>
      <w:divsChild>
        <w:div w:id="1780877498">
          <w:marLeft w:val="0"/>
          <w:marRight w:val="0"/>
          <w:marTop w:val="0"/>
          <w:marBottom w:val="0"/>
          <w:divBdr>
            <w:top w:val="none" w:sz="0" w:space="0" w:color="auto"/>
            <w:left w:val="none" w:sz="0" w:space="0" w:color="auto"/>
            <w:bottom w:val="none" w:sz="0" w:space="0" w:color="auto"/>
            <w:right w:val="none" w:sz="0" w:space="0" w:color="auto"/>
          </w:divBdr>
          <w:divsChild>
            <w:div w:id="1938168807">
              <w:marLeft w:val="0"/>
              <w:marRight w:val="0"/>
              <w:marTop w:val="0"/>
              <w:marBottom w:val="0"/>
              <w:divBdr>
                <w:top w:val="none" w:sz="0" w:space="0" w:color="auto"/>
                <w:left w:val="none" w:sz="0" w:space="0" w:color="auto"/>
                <w:bottom w:val="none" w:sz="0" w:space="0" w:color="auto"/>
                <w:right w:val="none" w:sz="0" w:space="0" w:color="auto"/>
              </w:divBdr>
              <w:divsChild>
                <w:div w:id="332805954">
                  <w:marLeft w:val="0"/>
                  <w:marRight w:val="0"/>
                  <w:marTop w:val="0"/>
                  <w:marBottom w:val="0"/>
                  <w:divBdr>
                    <w:top w:val="none" w:sz="0" w:space="0" w:color="auto"/>
                    <w:left w:val="none" w:sz="0" w:space="0" w:color="auto"/>
                    <w:bottom w:val="none" w:sz="0" w:space="0" w:color="auto"/>
                    <w:right w:val="none" w:sz="0" w:space="0" w:color="auto"/>
                  </w:divBdr>
                  <w:divsChild>
                    <w:div w:id="170680067">
                      <w:marLeft w:val="-225"/>
                      <w:marRight w:val="-225"/>
                      <w:marTop w:val="0"/>
                      <w:marBottom w:val="0"/>
                      <w:divBdr>
                        <w:top w:val="none" w:sz="0" w:space="0" w:color="auto"/>
                        <w:left w:val="none" w:sz="0" w:space="0" w:color="auto"/>
                        <w:bottom w:val="none" w:sz="0" w:space="0" w:color="auto"/>
                        <w:right w:val="none" w:sz="0" w:space="0" w:color="auto"/>
                      </w:divBdr>
                      <w:divsChild>
                        <w:div w:id="447699284">
                          <w:marLeft w:val="0"/>
                          <w:marRight w:val="0"/>
                          <w:marTop w:val="0"/>
                          <w:marBottom w:val="0"/>
                          <w:divBdr>
                            <w:top w:val="single" w:sz="6" w:space="8" w:color="EEEEEE"/>
                            <w:left w:val="single" w:sz="6" w:space="8" w:color="EEEEEE"/>
                            <w:bottom w:val="single" w:sz="6" w:space="8" w:color="EEEEEE"/>
                            <w:right w:val="single" w:sz="6" w:space="8" w:color="EEEEEE"/>
                          </w:divBdr>
                          <w:divsChild>
                            <w:div w:id="233781152">
                              <w:marLeft w:val="0"/>
                              <w:marRight w:val="0"/>
                              <w:marTop w:val="0"/>
                              <w:marBottom w:val="0"/>
                              <w:divBdr>
                                <w:top w:val="none" w:sz="0" w:space="0" w:color="auto"/>
                                <w:left w:val="none" w:sz="0" w:space="0" w:color="auto"/>
                                <w:bottom w:val="none" w:sz="0" w:space="0" w:color="auto"/>
                                <w:right w:val="none" w:sz="0" w:space="0" w:color="auto"/>
                              </w:divBdr>
                              <w:divsChild>
                                <w:div w:id="233590683">
                                  <w:marLeft w:val="0"/>
                                  <w:marRight w:val="0"/>
                                  <w:marTop w:val="0"/>
                                  <w:marBottom w:val="0"/>
                                  <w:divBdr>
                                    <w:top w:val="none" w:sz="0" w:space="0" w:color="auto"/>
                                    <w:left w:val="none" w:sz="0" w:space="0" w:color="auto"/>
                                    <w:bottom w:val="none" w:sz="0" w:space="0" w:color="auto"/>
                                    <w:right w:val="none" w:sz="0" w:space="0" w:color="auto"/>
                                  </w:divBdr>
                                  <w:divsChild>
                                    <w:div w:id="1585456321">
                                      <w:marLeft w:val="0"/>
                                      <w:marRight w:val="0"/>
                                      <w:marTop w:val="0"/>
                                      <w:marBottom w:val="0"/>
                                      <w:divBdr>
                                        <w:top w:val="none" w:sz="0" w:space="0" w:color="auto"/>
                                        <w:left w:val="none" w:sz="0" w:space="0" w:color="auto"/>
                                        <w:bottom w:val="none" w:sz="0" w:space="0" w:color="auto"/>
                                        <w:right w:val="none" w:sz="0" w:space="0" w:color="auto"/>
                                      </w:divBdr>
                                      <w:divsChild>
                                        <w:div w:id="1971669129">
                                          <w:marLeft w:val="0"/>
                                          <w:marRight w:val="0"/>
                                          <w:marTop w:val="0"/>
                                          <w:marBottom w:val="0"/>
                                          <w:divBdr>
                                            <w:top w:val="none" w:sz="0" w:space="0" w:color="auto"/>
                                            <w:left w:val="none" w:sz="0" w:space="0" w:color="auto"/>
                                            <w:bottom w:val="none" w:sz="0" w:space="0" w:color="auto"/>
                                            <w:right w:val="none" w:sz="0" w:space="0" w:color="auto"/>
                                          </w:divBdr>
                                          <w:divsChild>
                                            <w:div w:id="1073549102">
                                              <w:marLeft w:val="3"/>
                                              <w:marRight w:val="7"/>
                                              <w:marTop w:val="240"/>
                                              <w:marBottom w:val="60"/>
                                              <w:divBdr>
                                                <w:top w:val="none" w:sz="0" w:space="0" w:color="auto"/>
                                                <w:left w:val="none" w:sz="0" w:space="0" w:color="auto"/>
                                                <w:bottom w:val="none" w:sz="0" w:space="0" w:color="auto"/>
                                                <w:right w:val="none" w:sz="0" w:space="0" w:color="auto"/>
                                              </w:divBdr>
                                              <w:divsChild>
                                                <w:div w:id="1658144965">
                                                  <w:marLeft w:val="240"/>
                                                  <w:marRight w:val="0"/>
                                                  <w:marTop w:val="60"/>
                                                  <w:marBottom w:val="60"/>
                                                  <w:divBdr>
                                                    <w:top w:val="none" w:sz="0" w:space="0" w:color="auto"/>
                                                    <w:left w:val="none" w:sz="0" w:space="0" w:color="auto"/>
                                                    <w:bottom w:val="none" w:sz="0" w:space="0" w:color="auto"/>
                                                    <w:right w:val="none" w:sz="0" w:space="0" w:color="auto"/>
                                                  </w:divBdr>
                                                  <w:divsChild>
                                                    <w:div w:id="12024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828805">
      <w:bodyDiv w:val="1"/>
      <w:marLeft w:val="0"/>
      <w:marRight w:val="0"/>
      <w:marTop w:val="0"/>
      <w:marBottom w:val="0"/>
      <w:divBdr>
        <w:top w:val="none" w:sz="0" w:space="0" w:color="auto"/>
        <w:left w:val="none" w:sz="0" w:space="0" w:color="auto"/>
        <w:bottom w:val="none" w:sz="0" w:space="0" w:color="auto"/>
        <w:right w:val="none" w:sz="0" w:space="0" w:color="auto"/>
      </w:divBdr>
      <w:divsChild>
        <w:div w:id="730739871">
          <w:marLeft w:val="0"/>
          <w:marRight w:val="0"/>
          <w:marTop w:val="0"/>
          <w:marBottom w:val="0"/>
          <w:divBdr>
            <w:top w:val="none" w:sz="0" w:space="0" w:color="auto"/>
            <w:left w:val="none" w:sz="0" w:space="0" w:color="auto"/>
            <w:bottom w:val="none" w:sz="0" w:space="0" w:color="auto"/>
            <w:right w:val="none" w:sz="0" w:space="0" w:color="auto"/>
          </w:divBdr>
          <w:divsChild>
            <w:div w:id="1427727578">
              <w:marLeft w:val="0"/>
              <w:marRight w:val="0"/>
              <w:marTop w:val="0"/>
              <w:marBottom w:val="0"/>
              <w:divBdr>
                <w:top w:val="none" w:sz="0" w:space="0" w:color="auto"/>
                <w:left w:val="none" w:sz="0" w:space="0" w:color="auto"/>
                <w:bottom w:val="none" w:sz="0" w:space="0" w:color="auto"/>
                <w:right w:val="none" w:sz="0" w:space="0" w:color="auto"/>
              </w:divBdr>
              <w:divsChild>
                <w:div w:id="1031146802">
                  <w:marLeft w:val="0"/>
                  <w:marRight w:val="0"/>
                  <w:marTop w:val="0"/>
                  <w:marBottom w:val="0"/>
                  <w:divBdr>
                    <w:top w:val="none" w:sz="0" w:space="0" w:color="auto"/>
                    <w:left w:val="none" w:sz="0" w:space="0" w:color="auto"/>
                    <w:bottom w:val="none" w:sz="0" w:space="0" w:color="auto"/>
                    <w:right w:val="none" w:sz="0" w:space="0" w:color="auto"/>
                  </w:divBdr>
                  <w:divsChild>
                    <w:div w:id="2072340699">
                      <w:marLeft w:val="-225"/>
                      <w:marRight w:val="-225"/>
                      <w:marTop w:val="0"/>
                      <w:marBottom w:val="0"/>
                      <w:divBdr>
                        <w:top w:val="none" w:sz="0" w:space="0" w:color="auto"/>
                        <w:left w:val="none" w:sz="0" w:space="0" w:color="auto"/>
                        <w:bottom w:val="none" w:sz="0" w:space="0" w:color="auto"/>
                        <w:right w:val="none" w:sz="0" w:space="0" w:color="auto"/>
                      </w:divBdr>
                      <w:divsChild>
                        <w:div w:id="1000814539">
                          <w:marLeft w:val="0"/>
                          <w:marRight w:val="0"/>
                          <w:marTop w:val="0"/>
                          <w:marBottom w:val="0"/>
                          <w:divBdr>
                            <w:top w:val="single" w:sz="6" w:space="8" w:color="EEEEEE"/>
                            <w:left w:val="single" w:sz="6" w:space="8" w:color="EEEEEE"/>
                            <w:bottom w:val="single" w:sz="6" w:space="8" w:color="EEEEEE"/>
                            <w:right w:val="single" w:sz="6" w:space="8" w:color="EEEEEE"/>
                          </w:divBdr>
                          <w:divsChild>
                            <w:div w:id="94060760">
                              <w:marLeft w:val="0"/>
                              <w:marRight w:val="0"/>
                              <w:marTop w:val="0"/>
                              <w:marBottom w:val="0"/>
                              <w:divBdr>
                                <w:top w:val="none" w:sz="0" w:space="0" w:color="auto"/>
                                <w:left w:val="none" w:sz="0" w:space="0" w:color="auto"/>
                                <w:bottom w:val="none" w:sz="0" w:space="0" w:color="auto"/>
                                <w:right w:val="none" w:sz="0" w:space="0" w:color="auto"/>
                              </w:divBdr>
                              <w:divsChild>
                                <w:div w:id="1141120025">
                                  <w:marLeft w:val="0"/>
                                  <w:marRight w:val="0"/>
                                  <w:marTop w:val="0"/>
                                  <w:marBottom w:val="0"/>
                                  <w:divBdr>
                                    <w:top w:val="none" w:sz="0" w:space="0" w:color="auto"/>
                                    <w:left w:val="none" w:sz="0" w:space="0" w:color="auto"/>
                                    <w:bottom w:val="none" w:sz="0" w:space="0" w:color="auto"/>
                                    <w:right w:val="none" w:sz="0" w:space="0" w:color="auto"/>
                                  </w:divBdr>
                                  <w:divsChild>
                                    <w:div w:id="172647209">
                                      <w:marLeft w:val="0"/>
                                      <w:marRight w:val="0"/>
                                      <w:marTop w:val="0"/>
                                      <w:marBottom w:val="0"/>
                                      <w:divBdr>
                                        <w:top w:val="none" w:sz="0" w:space="0" w:color="auto"/>
                                        <w:left w:val="none" w:sz="0" w:space="0" w:color="auto"/>
                                        <w:bottom w:val="none" w:sz="0" w:space="0" w:color="auto"/>
                                        <w:right w:val="none" w:sz="0" w:space="0" w:color="auto"/>
                                      </w:divBdr>
                                      <w:divsChild>
                                        <w:div w:id="1511214376">
                                          <w:marLeft w:val="0"/>
                                          <w:marRight w:val="0"/>
                                          <w:marTop w:val="0"/>
                                          <w:marBottom w:val="0"/>
                                          <w:divBdr>
                                            <w:top w:val="none" w:sz="0" w:space="0" w:color="auto"/>
                                            <w:left w:val="none" w:sz="0" w:space="0" w:color="auto"/>
                                            <w:bottom w:val="none" w:sz="0" w:space="0" w:color="auto"/>
                                            <w:right w:val="none" w:sz="0" w:space="0" w:color="auto"/>
                                          </w:divBdr>
                                          <w:divsChild>
                                            <w:div w:id="902450307">
                                              <w:marLeft w:val="3"/>
                                              <w:marRight w:val="7"/>
                                              <w:marTop w:val="240"/>
                                              <w:marBottom w:val="60"/>
                                              <w:divBdr>
                                                <w:top w:val="none" w:sz="0" w:space="0" w:color="auto"/>
                                                <w:left w:val="none" w:sz="0" w:space="0" w:color="auto"/>
                                                <w:bottom w:val="none" w:sz="0" w:space="0" w:color="auto"/>
                                                <w:right w:val="none" w:sz="0" w:space="0" w:color="auto"/>
                                              </w:divBdr>
                                              <w:divsChild>
                                                <w:div w:id="2110931182">
                                                  <w:marLeft w:val="240"/>
                                                  <w:marRight w:val="0"/>
                                                  <w:marTop w:val="60"/>
                                                  <w:marBottom w:val="60"/>
                                                  <w:divBdr>
                                                    <w:top w:val="none" w:sz="0" w:space="0" w:color="auto"/>
                                                    <w:left w:val="none" w:sz="0" w:space="0" w:color="auto"/>
                                                    <w:bottom w:val="none" w:sz="0" w:space="0" w:color="auto"/>
                                                    <w:right w:val="none" w:sz="0" w:space="0" w:color="auto"/>
                                                  </w:divBdr>
                                                  <w:divsChild>
                                                    <w:div w:id="1574588428">
                                                      <w:marLeft w:val="0"/>
                                                      <w:marRight w:val="0"/>
                                                      <w:marTop w:val="0"/>
                                                      <w:marBottom w:val="0"/>
                                                      <w:divBdr>
                                                        <w:top w:val="none" w:sz="0" w:space="0" w:color="auto"/>
                                                        <w:left w:val="none" w:sz="0" w:space="0" w:color="auto"/>
                                                        <w:bottom w:val="none" w:sz="0" w:space="0" w:color="auto"/>
                                                        <w:right w:val="none" w:sz="0" w:space="0" w:color="auto"/>
                                                      </w:divBdr>
                                                    </w:div>
                                                  </w:divsChild>
                                                </w:div>
                                                <w:div w:id="415826780">
                                                  <w:marLeft w:val="240"/>
                                                  <w:marRight w:val="0"/>
                                                  <w:marTop w:val="60"/>
                                                  <w:marBottom w:val="60"/>
                                                  <w:divBdr>
                                                    <w:top w:val="none" w:sz="0" w:space="0" w:color="auto"/>
                                                    <w:left w:val="none" w:sz="0" w:space="0" w:color="auto"/>
                                                    <w:bottom w:val="none" w:sz="0" w:space="0" w:color="auto"/>
                                                    <w:right w:val="none" w:sz="0" w:space="0" w:color="auto"/>
                                                  </w:divBdr>
                                                  <w:divsChild>
                                                    <w:div w:id="2107076706">
                                                      <w:marLeft w:val="0"/>
                                                      <w:marRight w:val="0"/>
                                                      <w:marTop w:val="0"/>
                                                      <w:marBottom w:val="0"/>
                                                      <w:divBdr>
                                                        <w:top w:val="none" w:sz="0" w:space="0" w:color="auto"/>
                                                        <w:left w:val="none" w:sz="0" w:space="0" w:color="auto"/>
                                                        <w:bottom w:val="none" w:sz="0" w:space="0" w:color="auto"/>
                                                        <w:right w:val="none" w:sz="0" w:space="0" w:color="auto"/>
                                                      </w:divBdr>
                                                    </w:div>
                                                  </w:divsChild>
                                                </w:div>
                                                <w:div w:id="493225505">
                                                  <w:marLeft w:val="240"/>
                                                  <w:marRight w:val="0"/>
                                                  <w:marTop w:val="60"/>
                                                  <w:marBottom w:val="60"/>
                                                  <w:divBdr>
                                                    <w:top w:val="none" w:sz="0" w:space="0" w:color="auto"/>
                                                    <w:left w:val="none" w:sz="0" w:space="0" w:color="auto"/>
                                                    <w:bottom w:val="none" w:sz="0" w:space="0" w:color="auto"/>
                                                    <w:right w:val="none" w:sz="0" w:space="0" w:color="auto"/>
                                                  </w:divBdr>
                                                  <w:divsChild>
                                                    <w:div w:id="1754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405306">
      <w:bodyDiv w:val="1"/>
      <w:marLeft w:val="0"/>
      <w:marRight w:val="0"/>
      <w:marTop w:val="0"/>
      <w:marBottom w:val="0"/>
      <w:divBdr>
        <w:top w:val="none" w:sz="0" w:space="0" w:color="auto"/>
        <w:left w:val="none" w:sz="0" w:space="0" w:color="auto"/>
        <w:bottom w:val="none" w:sz="0" w:space="0" w:color="auto"/>
        <w:right w:val="none" w:sz="0" w:space="0" w:color="auto"/>
      </w:divBdr>
    </w:div>
    <w:div w:id="1856725488">
      <w:bodyDiv w:val="1"/>
      <w:marLeft w:val="0"/>
      <w:marRight w:val="0"/>
      <w:marTop w:val="0"/>
      <w:marBottom w:val="0"/>
      <w:divBdr>
        <w:top w:val="none" w:sz="0" w:space="0" w:color="auto"/>
        <w:left w:val="none" w:sz="0" w:space="0" w:color="auto"/>
        <w:bottom w:val="none" w:sz="0" w:space="0" w:color="auto"/>
        <w:right w:val="none" w:sz="0" w:space="0" w:color="auto"/>
      </w:divBdr>
    </w:div>
    <w:div w:id="2017076917">
      <w:bodyDiv w:val="1"/>
      <w:marLeft w:val="0"/>
      <w:marRight w:val="0"/>
      <w:marTop w:val="0"/>
      <w:marBottom w:val="0"/>
      <w:divBdr>
        <w:top w:val="none" w:sz="0" w:space="0" w:color="auto"/>
        <w:left w:val="none" w:sz="0" w:space="0" w:color="auto"/>
        <w:bottom w:val="none" w:sz="0" w:space="0" w:color="auto"/>
        <w:right w:val="none" w:sz="0" w:space="0" w:color="auto"/>
      </w:divBdr>
      <w:divsChild>
        <w:div w:id="701176600">
          <w:marLeft w:val="0"/>
          <w:marRight w:val="0"/>
          <w:marTop w:val="0"/>
          <w:marBottom w:val="0"/>
          <w:divBdr>
            <w:top w:val="none" w:sz="0" w:space="0" w:color="auto"/>
            <w:left w:val="none" w:sz="0" w:space="0" w:color="auto"/>
            <w:bottom w:val="none" w:sz="0" w:space="0" w:color="auto"/>
            <w:right w:val="none" w:sz="0" w:space="0" w:color="auto"/>
          </w:divBdr>
          <w:divsChild>
            <w:div w:id="1082410483">
              <w:marLeft w:val="0"/>
              <w:marRight w:val="0"/>
              <w:marTop w:val="0"/>
              <w:marBottom w:val="0"/>
              <w:divBdr>
                <w:top w:val="none" w:sz="0" w:space="0" w:color="auto"/>
                <w:left w:val="none" w:sz="0" w:space="0" w:color="auto"/>
                <w:bottom w:val="none" w:sz="0" w:space="0" w:color="auto"/>
                <w:right w:val="none" w:sz="0" w:space="0" w:color="auto"/>
              </w:divBdr>
              <w:divsChild>
                <w:div w:id="1726949027">
                  <w:marLeft w:val="0"/>
                  <w:marRight w:val="0"/>
                  <w:marTop w:val="0"/>
                  <w:marBottom w:val="0"/>
                  <w:divBdr>
                    <w:top w:val="none" w:sz="0" w:space="0" w:color="auto"/>
                    <w:left w:val="none" w:sz="0" w:space="0" w:color="auto"/>
                    <w:bottom w:val="none" w:sz="0" w:space="0" w:color="auto"/>
                    <w:right w:val="none" w:sz="0" w:space="0" w:color="auto"/>
                  </w:divBdr>
                  <w:divsChild>
                    <w:div w:id="604774335">
                      <w:marLeft w:val="0"/>
                      <w:marRight w:val="0"/>
                      <w:marTop w:val="0"/>
                      <w:marBottom w:val="0"/>
                      <w:divBdr>
                        <w:top w:val="none" w:sz="0" w:space="0" w:color="auto"/>
                        <w:left w:val="none" w:sz="0" w:space="0" w:color="auto"/>
                        <w:bottom w:val="none" w:sz="0" w:space="0" w:color="auto"/>
                        <w:right w:val="none" w:sz="0" w:space="0" w:color="auto"/>
                      </w:divBdr>
                      <w:divsChild>
                        <w:div w:id="1743529631">
                          <w:marLeft w:val="0"/>
                          <w:marRight w:val="0"/>
                          <w:marTop w:val="0"/>
                          <w:marBottom w:val="0"/>
                          <w:divBdr>
                            <w:top w:val="none" w:sz="0" w:space="0" w:color="auto"/>
                            <w:left w:val="none" w:sz="0" w:space="0" w:color="auto"/>
                            <w:bottom w:val="none" w:sz="0" w:space="0" w:color="auto"/>
                            <w:right w:val="none" w:sz="0" w:space="0" w:color="auto"/>
                          </w:divBdr>
                          <w:divsChild>
                            <w:div w:id="20554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5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oh/business-and-financial/human-resources-specialis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src.nist.gov/publications/fips/fips199/FIPS-PUB-199-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ata.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eoc.gov/eeoc/statistics/employment/jobpat-eeo1/index.cf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eoc.gov/eeoc/statistics/employment/jobpat-eeo1/index.cfm" TargetMode="External"/><Relationship Id="rId7" Type="http://schemas.openxmlformats.org/officeDocument/2006/relationships/hyperlink" Target="https://www.rocis.gov/rocis/jsp3/common/ROCIS_HOW_TO_Guide_for_AGENCY_Users_of_ICR_Module-04052017.pdf" TargetMode="External"/><Relationship Id="rId2" Type="http://schemas.openxmlformats.org/officeDocument/2006/relationships/hyperlink" Target="https://www.govinfo.gov/app/details/CFR-1999-title41-vol1/CFR-1999-title41-vol1-sec60-1-7" TargetMode="External"/><Relationship Id="rId1" Type="http://schemas.openxmlformats.org/officeDocument/2006/relationships/hyperlink" Target="https://www.govinfo.gov/app/details/CFR-2009-title29-vol4/CFR-2009-title29-vol4-sec1602-7/summary" TargetMode="External"/><Relationship Id="rId6" Type="http://schemas.openxmlformats.org/officeDocument/2006/relationships/hyperlink" Target="https://www.gao.gov/assets/700/693057.pdf" TargetMode="External"/><Relationship Id="rId5" Type="http://schemas.openxmlformats.org/officeDocument/2006/relationships/hyperlink" Target="https://www.federalregister.gov/documents/2016/09/30/2016-23672/standards-for-maintaining-collecting-and-presenting-federal-data-on-race-and-ethnicity" TargetMode="External"/><Relationship Id="rId4" Type="http://schemas.openxmlformats.org/officeDocument/2006/relationships/hyperlink" Target="https://wonder.cdc.gov/wonder/help/populations/bridged-race/directive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FBB8FC4BC9F148B678E4F02AE876F5" ma:contentTypeVersion="12" ma:contentTypeDescription="Create a new document." ma:contentTypeScope="" ma:versionID="dcadf4338304e52e1368d260f2b24ac8">
  <xsd:schema xmlns:xsd="http://www.w3.org/2001/XMLSchema" xmlns:xs="http://www.w3.org/2001/XMLSchema" xmlns:p="http://schemas.microsoft.com/office/2006/metadata/properties" xmlns:ns3="d626d17a-24ff-4d77-b660-ed608d3a9b56" xmlns:ns4="c7135590-55c8-49ad-97ee-d788b6319881" targetNamespace="http://schemas.microsoft.com/office/2006/metadata/properties" ma:root="true" ma:fieldsID="a3cbf06494821ec721657435834b9723" ns3:_="" ns4:_="">
    <xsd:import namespace="d626d17a-24ff-4d77-b660-ed608d3a9b56"/>
    <xsd:import namespace="c7135590-55c8-49ad-97ee-d788b63198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6d17a-24ff-4d77-b660-ed608d3a9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35590-55c8-49ad-97ee-d788b63198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CAA4-A285-4CA7-A014-3964C61E550F}">
  <ds:schemaRefs>
    <ds:schemaRef ds:uri="http://schemas.microsoft.com/office/infopath/2007/PartnerControls"/>
    <ds:schemaRef ds:uri="c7135590-55c8-49ad-97ee-d788b6319881"/>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2006/metadata/properties"/>
    <ds:schemaRef ds:uri="d626d17a-24ff-4d77-b660-ed608d3a9b56"/>
    <ds:schemaRef ds:uri="http://www.w3.org/XML/1998/namespace"/>
  </ds:schemaRefs>
</ds:datastoreItem>
</file>

<file path=customXml/itemProps2.xml><?xml version="1.0" encoding="utf-8"?>
<ds:datastoreItem xmlns:ds="http://schemas.openxmlformats.org/officeDocument/2006/customXml" ds:itemID="{50B6B872-17F5-468B-83CD-E9695443782E}">
  <ds:schemaRefs>
    <ds:schemaRef ds:uri="http://schemas.microsoft.com/sharepoint/v3/contenttype/forms"/>
  </ds:schemaRefs>
</ds:datastoreItem>
</file>

<file path=customXml/itemProps3.xml><?xml version="1.0" encoding="utf-8"?>
<ds:datastoreItem xmlns:ds="http://schemas.openxmlformats.org/officeDocument/2006/customXml" ds:itemID="{B776C2DB-8A52-4BD9-9852-BD0D393E0094}">
  <ds:schemaRefs>
    <ds:schemaRef ds:uri="http://schemas.openxmlformats.org/officeDocument/2006/bibliography"/>
  </ds:schemaRefs>
</ds:datastoreItem>
</file>

<file path=customXml/itemProps4.xml><?xml version="1.0" encoding="utf-8"?>
<ds:datastoreItem xmlns:ds="http://schemas.openxmlformats.org/officeDocument/2006/customXml" ds:itemID="{1BF636EF-B327-45CF-8B4B-9D73F2A9B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6d17a-24ff-4d77-b660-ed608d3a9b56"/>
    <ds:schemaRef ds:uri="c7135590-55c8-49ad-97ee-d788b6319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77109C-44CF-4F2D-A7BA-F85DB7E9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5507</Words>
  <Characters>30265</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Specific Instructions Justification</vt:lpstr>
    </vt:vector>
  </TitlesOfParts>
  <Company>EEOC</Company>
  <LinksUpToDate>false</LinksUpToDate>
  <CharactersWithSpaces>35701</CharactersWithSpaces>
  <SharedDoc>false</SharedDoc>
  <HLinks>
    <vt:vector size="60" baseType="variant">
      <vt:variant>
        <vt:i4>5570625</vt:i4>
      </vt:variant>
      <vt:variant>
        <vt:i4>27</vt:i4>
      </vt:variant>
      <vt:variant>
        <vt:i4>0</vt:i4>
      </vt:variant>
      <vt:variant>
        <vt:i4>5</vt:i4>
      </vt:variant>
      <vt:variant>
        <vt:lpwstr>http://www.data.gov/</vt:lpwstr>
      </vt:variant>
      <vt:variant>
        <vt:lpwstr/>
      </vt:variant>
      <vt:variant>
        <vt:i4>524368</vt:i4>
      </vt:variant>
      <vt:variant>
        <vt:i4>24</vt:i4>
      </vt:variant>
      <vt:variant>
        <vt:i4>0</vt:i4>
      </vt:variant>
      <vt:variant>
        <vt:i4>5</vt:i4>
      </vt:variant>
      <vt:variant>
        <vt:lpwstr>http://www.eeoc.gov/eeoc/statistics/employment/jobpat-eeo1/index.cfm</vt:lpwstr>
      </vt:variant>
      <vt:variant>
        <vt:lpwstr/>
      </vt:variant>
      <vt:variant>
        <vt:i4>7798848</vt:i4>
      </vt:variant>
      <vt:variant>
        <vt:i4>21</vt:i4>
      </vt:variant>
      <vt:variant>
        <vt:i4>0</vt:i4>
      </vt:variant>
      <vt:variant>
        <vt:i4>5</vt:i4>
      </vt:variant>
      <vt:variant>
        <vt:lpwstr>mailto:e1.suggestionbox@eeoc.gov</vt:lpwstr>
      </vt:variant>
      <vt:variant>
        <vt:lpwstr/>
      </vt:variant>
      <vt:variant>
        <vt:i4>7864357</vt:i4>
      </vt:variant>
      <vt:variant>
        <vt:i4>18</vt:i4>
      </vt:variant>
      <vt:variant>
        <vt:i4>0</vt:i4>
      </vt:variant>
      <vt:variant>
        <vt:i4>5</vt:i4>
      </vt:variant>
      <vt:variant>
        <vt:lpwstr>https://www.eeoc.gov/employers/eeo1survey/additional-documentation.cfm</vt:lpwstr>
      </vt:variant>
      <vt:variant>
        <vt:lpwstr/>
      </vt:variant>
      <vt:variant>
        <vt:i4>4980823</vt:i4>
      </vt:variant>
      <vt:variant>
        <vt:i4>15</vt:i4>
      </vt:variant>
      <vt:variant>
        <vt:i4>0</vt:i4>
      </vt:variant>
      <vt:variant>
        <vt:i4>5</vt:i4>
      </vt:variant>
      <vt:variant>
        <vt:lpwstr>http://www.eeoc.gov/employers/eeo1survey/pay-pilot-study.pdf</vt:lpwstr>
      </vt:variant>
      <vt:variant>
        <vt:lpwstr/>
      </vt:variant>
      <vt:variant>
        <vt:i4>655406</vt:i4>
      </vt:variant>
      <vt:variant>
        <vt:i4>11</vt:i4>
      </vt:variant>
      <vt:variant>
        <vt:i4>0</vt:i4>
      </vt:variant>
      <vt:variant>
        <vt:i4>5</vt:i4>
      </vt:variant>
      <vt:variant>
        <vt:lpwstr>mailto:e1.techassistance@eeoc.gov</vt:lpwstr>
      </vt:variant>
      <vt:variant>
        <vt:lpwstr/>
      </vt:variant>
      <vt:variant>
        <vt:i4>5308523</vt:i4>
      </vt:variant>
      <vt:variant>
        <vt:i4>9</vt:i4>
      </vt:variant>
      <vt:variant>
        <vt:i4>0</vt:i4>
      </vt:variant>
      <vt:variant>
        <vt:i4>5</vt:i4>
      </vt:variant>
      <vt:variant>
        <vt:lpwstr>mailto:xxxxx@eeoc.gov</vt:lpwstr>
      </vt:variant>
      <vt:variant>
        <vt:lpwstr/>
      </vt:variant>
      <vt:variant>
        <vt:i4>655406</vt:i4>
      </vt:variant>
      <vt:variant>
        <vt:i4>5</vt:i4>
      </vt:variant>
      <vt:variant>
        <vt:i4>0</vt:i4>
      </vt:variant>
      <vt:variant>
        <vt:i4>5</vt:i4>
      </vt:variant>
      <vt:variant>
        <vt:lpwstr>mailto:e1.techassistance@eeoc.gov</vt:lpwstr>
      </vt:variant>
      <vt:variant>
        <vt:lpwstr/>
      </vt:variant>
      <vt:variant>
        <vt:i4>5308523</vt:i4>
      </vt:variant>
      <vt:variant>
        <vt:i4>3</vt:i4>
      </vt:variant>
      <vt:variant>
        <vt:i4>0</vt:i4>
      </vt:variant>
      <vt:variant>
        <vt:i4>5</vt:i4>
      </vt:variant>
      <vt:variant>
        <vt:lpwstr>mailto:xxxxx@eeoc.gov</vt:lpwstr>
      </vt:variant>
      <vt:variant>
        <vt:lpwstr/>
      </vt:variant>
      <vt:variant>
        <vt:i4>6684721</vt:i4>
      </vt:variant>
      <vt:variant>
        <vt:i4>0</vt:i4>
      </vt:variant>
      <vt:variant>
        <vt:i4>0</vt:i4>
      </vt:variant>
      <vt:variant>
        <vt:i4>5</vt:i4>
      </vt:variant>
      <vt:variant>
        <vt:lpwstr>https://www.federalregister.gov/documents/2016/07/14/2016-16692/agency-information-collection-activities-notice-of-submission-for-omb-review-final-comment-request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Instructions Justification</dc:title>
  <dc:creator>LBROWN</dc:creator>
  <cp:lastModifiedBy>Muslima Lewis-OLC</cp:lastModifiedBy>
  <cp:revision>2</cp:revision>
  <cp:lastPrinted>2020-02-12T15:46:00Z</cp:lastPrinted>
  <dcterms:created xsi:type="dcterms:W3CDTF">2020-03-23T14:54:00Z</dcterms:created>
  <dcterms:modified xsi:type="dcterms:W3CDTF">2020-03-23T14:54:00Z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0x01010075FBB8FC4BC9F148B678E4F02AE876F5</vt:lpwstr>
  </property>
</Properties>
</file>