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85412" w14:textId="77777777" w:rsidR="00611B6B" w:rsidRPr="004460F4" w:rsidRDefault="00E2213C" w:rsidP="00E2213C">
      <w:pPr>
        <w:rPr>
          <w:b/>
          <w:sz w:val="22"/>
          <w:szCs w:val="22"/>
        </w:rPr>
      </w:pPr>
      <w:bookmarkStart w:id="0" w:name="_GoBack"/>
      <w:bookmarkEnd w:id="0"/>
      <w:r w:rsidRPr="00AD0D71">
        <w:rPr>
          <w:b/>
          <w:sz w:val="22"/>
          <w:szCs w:val="22"/>
        </w:rPr>
        <w:t>Inmate Calling Service</w:t>
      </w:r>
      <w:r w:rsidR="00131FA8" w:rsidRPr="00F95991">
        <w:rPr>
          <w:b/>
          <w:sz w:val="22"/>
          <w:szCs w:val="22"/>
        </w:rPr>
        <w:t>s</w:t>
      </w:r>
      <w:r w:rsidRPr="00AB1E80">
        <w:rPr>
          <w:b/>
          <w:sz w:val="22"/>
          <w:szCs w:val="22"/>
        </w:rPr>
        <w:t xml:space="preserve"> </w:t>
      </w:r>
      <w:r w:rsidR="00611B6B" w:rsidRPr="00AB1E80">
        <w:rPr>
          <w:b/>
          <w:sz w:val="22"/>
          <w:szCs w:val="22"/>
        </w:rPr>
        <w:t xml:space="preserve">(ICS) </w:t>
      </w:r>
      <w:r w:rsidRPr="00AB1E80">
        <w:rPr>
          <w:b/>
          <w:sz w:val="22"/>
          <w:szCs w:val="22"/>
        </w:rPr>
        <w:t xml:space="preserve">Provider Annual </w:t>
      </w:r>
      <w:r w:rsidR="00611B6B" w:rsidRPr="004460F4">
        <w:rPr>
          <w:b/>
          <w:sz w:val="22"/>
          <w:szCs w:val="22"/>
        </w:rPr>
        <w:tab/>
      </w:r>
      <w:r w:rsidR="00611B6B" w:rsidRPr="004460F4">
        <w:rPr>
          <w:b/>
          <w:sz w:val="22"/>
          <w:szCs w:val="22"/>
        </w:rPr>
        <w:tab/>
      </w:r>
      <w:r w:rsidR="00611B6B" w:rsidRPr="004460F4">
        <w:rPr>
          <w:b/>
          <w:sz w:val="22"/>
          <w:szCs w:val="22"/>
        </w:rPr>
        <w:tab/>
      </w:r>
      <w:r w:rsidR="00430D37" w:rsidRPr="004460F4">
        <w:rPr>
          <w:b/>
          <w:sz w:val="22"/>
          <w:szCs w:val="22"/>
        </w:rPr>
        <w:tab/>
      </w:r>
      <w:r w:rsidR="00430D37" w:rsidRPr="004460F4">
        <w:rPr>
          <w:b/>
          <w:sz w:val="22"/>
          <w:szCs w:val="22"/>
        </w:rPr>
        <w:tab/>
      </w:r>
      <w:r w:rsidR="00611B6B" w:rsidRPr="004460F4">
        <w:rPr>
          <w:b/>
          <w:sz w:val="22"/>
          <w:szCs w:val="22"/>
        </w:rPr>
        <w:t>3060-</w:t>
      </w:r>
      <w:r w:rsidR="00845E1B">
        <w:rPr>
          <w:b/>
          <w:sz w:val="22"/>
          <w:szCs w:val="22"/>
        </w:rPr>
        <w:t>1222</w:t>
      </w:r>
    </w:p>
    <w:p w14:paraId="6EAE201C" w14:textId="31427A94" w:rsidR="00E2213C" w:rsidRPr="004460F4" w:rsidRDefault="00E2213C" w:rsidP="00E2213C">
      <w:pPr>
        <w:rPr>
          <w:b/>
          <w:sz w:val="22"/>
          <w:szCs w:val="22"/>
          <w:u w:val="single"/>
        </w:rPr>
      </w:pPr>
      <w:r w:rsidRPr="004460F4">
        <w:rPr>
          <w:b/>
          <w:sz w:val="22"/>
          <w:szCs w:val="22"/>
        </w:rPr>
        <w:t xml:space="preserve">Reporting, Certification, and Consumer Disclosure Requirements, </w:t>
      </w:r>
      <w:r w:rsidRPr="004460F4">
        <w:rPr>
          <w:b/>
          <w:sz w:val="22"/>
          <w:szCs w:val="22"/>
        </w:rPr>
        <w:tab/>
      </w:r>
      <w:r w:rsidRPr="004460F4">
        <w:rPr>
          <w:b/>
          <w:sz w:val="22"/>
          <w:szCs w:val="22"/>
        </w:rPr>
        <w:tab/>
      </w:r>
      <w:r w:rsidR="0086266C">
        <w:rPr>
          <w:b/>
          <w:sz w:val="22"/>
          <w:szCs w:val="22"/>
        </w:rPr>
        <w:t xml:space="preserve">    December 2019</w:t>
      </w:r>
    </w:p>
    <w:p w14:paraId="2912CFC1" w14:textId="77777777" w:rsidR="00E2213C" w:rsidRPr="004460F4" w:rsidRDefault="00E2213C" w:rsidP="00E2213C">
      <w:pPr>
        <w:rPr>
          <w:b/>
          <w:sz w:val="22"/>
          <w:szCs w:val="22"/>
        </w:rPr>
      </w:pPr>
      <w:r w:rsidRPr="004460F4">
        <w:rPr>
          <w:b/>
          <w:sz w:val="22"/>
          <w:szCs w:val="22"/>
        </w:rPr>
        <w:t>WC Docket No. 12-375, FCC 15-136</w:t>
      </w:r>
    </w:p>
    <w:p w14:paraId="51B8E313" w14:textId="77777777" w:rsidR="00810818" w:rsidRPr="004460F4" w:rsidRDefault="00810818" w:rsidP="00E2213C">
      <w:pPr>
        <w:jc w:val="right"/>
        <w:rPr>
          <w:b/>
          <w:sz w:val="22"/>
          <w:szCs w:val="22"/>
          <w:u w:val="single"/>
        </w:rPr>
      </w:pPr>
    </w:p>
    <w:p w14:paraId="3CEC2013" w14:textId="77777777" w:rsidR="007E0735" w:rsidRPr="004460F4" w:rsidRDefault="007E0735" w:rsidP="007E0735">
      <w:pPr>
        <w:pStyle w:val="Heading3"/>
        <w:jc w:val="center"/>
        <w:rPr>
          <w:b/>
          <w:sz w:val="22"/>
          <w:szCs w:val="22"/>
          <w:u w:val="none"/>
        </w:rPr>
      </w:pPr>
      <w:r w:rsidRPr="004460F4">
        <w:rPr>
          <w:b/>
          <w:sz w:val="22"/>
          <w:szCs w:val="22"/>
          <w:u w:val="none"/>
        </w:rPr>
        <w:t>SUPPORTING STATEMENT</w:t>
      </w:r>
    </w:p>
    <w:p w14:paraId="49976061" w14:textId="77777777" w:rsidR="007A4A45" w:rsidRPr="004460F4" w:rsidRDefault="007A4A45" w:rsidP="007A4A45">
      <w:pPr>
        <w:rPr>
          <w:sz w:val="22"/>
          <w:szCs w:val="22"/>
        </w:rPr>
      </w:pPr>
    </w:p>
    <w:p w14:paraId="2D8C1228" w14:textId="43B624AA" w:rsidR="007A4A45" w:rsidRPr="004460F4" w:rsidRDefault="0085271E" w:rsidP="00CA240C">
      <w:pPr>
        <w:pStyle w:val="Numberedparagraphs"/>
        <w:numPr>
          <w:ilvl w:val="0"/>
          <w:numId w:val="0"/>
        </w:numPr>
        <w:tabs>
          <w:tab w:val="clear" w:pos="1440"/>
          <w:tab w:val="left" w:pos="720"/>
        </w:tabs>
        <w:rPr>
          <w:sz w:val="22"/>
          <w:szCs w:val="22"/>
        </w:rPr>
      </w:pPr>
      <w:r>
        <w:rPr>
          <w:sz w:val="22"/>
          <w:szCs w:val="22"/>
        </w:rPr>
        <w:tab/>
      </w:r>
      <w:r w:rsidR="007A4A45" w:rsidRPr="004460F4">
        <w:rPr>
          <w:sz w:val="22"/>
          <w:szCs w:val="22"/>
        </w:rPr>
        <w:t>This submission is being made pursuant to 44 U.S.C. §</w:t>
      </w:r>
      <w:r w:rsidR="007A7A22" w:rsidRPr="004460F4">
        <w:rPr>
          <w:sz w:val="22"/>
          <w:szCs w:val="22"/>
        </w:rPr>
        <w:t xml:space="preserve"> </w:t>
      </w:r>
      <w:r w:rsidR="007A4A45" w:rsidRPr="004460F4">
        <w:rPr>
          <w:sz w:val="22"/>
          <w:szCs w:val="22"/>
        </w:rPr>
        <w:t>3507 of</w:t>
      </w:r>
      <w:r w:rsidR="004153C5" w:rsidRPr="004460F4">
        <w:rPr>
          <w:sz w:val="22"/>
          <w:szCs w:val="22"/>
        </w:rPr>
        <w:t xml:space="preserve"> the</w:t>
      </w:r>
      <w:r w:rsidR="007A4A45" w:rsidRPr="004460F4">
        <w:rPr>
          <w:sz w:val="22"/>
          <w:szCs w:val="22"/>
        </w:rPr>
        <w:t xml:space="preserve"> Paperwork Reduction Act of 1995 to </w:t>
      </w:r>
      <w:r w:rsidR="00845E1B">
        <w:rPr>
          <w:sz w:val="22"/>
          <w:szCs w:val="22"/>
        </w:rPr>
        <w:t xml:space="preserve">revise an </w:t>
      </w:r>
      <w:r w:rsidR="007A4A45" w:rsidRPr="004460F4">
        <w:rPr>
          <w:sz w:val="22"/>
          <w:szCs w:val="22"/>
        </w:rPr>
        <w:t xml:space="preserve">existing </w:t>
      </w:r>
      <w:r w:rsidR="00845E1B">
        <w:rPr>
          <w:sz w:val="22"/>
          <w:szCs w:val="22"/>
        </w:rPr>
        <w:t xml:space="preserve">information collection in order to obtain the </w:t>
      </w:r>
      <w:r w:rsidR="007A4A45" w:rsidRPr="004460F4">
        <w:rPr>
          <w:sz w:val="22"/>
          <w:szCs w:val="22"/>
        </w:rPr>
        <w:t xml:space="preserve">Office of Management and Budget (OMB) approval </w:t>
      </w:r>
      <w:r w:rsidR="00845E1B">
        <w:rPr>
          <w:sz w:val="22"/>
          <w:szCs w:val="22"/>
        </w:rPr>
        <w:t xml:space="preserve">for </w:t>
      </w:r>
      <w:r w:rsidR="007A4A45" w:rsidRPr="004460F4">
        <w:rPr>
          <w:sz w:val="22"/>
          <w:szCs w:val="22"/>
        </w:rPr>
        <w:t>the full three-year clearance.</w:t>
      </w:r>
    </w:p>
    <w:p w14:paraId="71A14E36" w14:textId="77777777" w:rsidR="00B9212C" w:rsidRPr="00AB1E80" w:rsidRDefault="00B9212C" w:rsidP="00B9212C">
      <w:pPr>
        <w:pStyle w:val="ListParagraph"/>
        <w:widowControl w:val="0"/>
        <w:numPr>
          <w:ilvl w:val="0"/>
          <w:numId w:val="11"/>
        </w:numPr>
        <w:rPr>
          <w:b/>
          <w:sz w:val="22"/>
          <w:szCs w:val="22"/>
          <w:u w:val="single"/>
        </w:rPr>
      </w:pPr>
      <w:r w:rsidRPr="00AB1E80">
        <w:rPr>
          <w:b/>
          <w:sz w:val="22"/>
          <w:szCs w:val="22"/>
          <w:u w:val="single"/>
        </w:rPr>
        <w:t>Justification:</w:t>
      </w:r>
    </w:p>
    <w:p w14:paraId="54426AF9" w14:textId="77777777" w:rsidR="00B9212C" w:rsidRPr="004460F4" w:rsidRDefault="00B9212C" w:rsidP="00B9212C">
      <w:pPr>
        <w:pStyle w:val="ListParagraph"/>
        <w:rPr>
          <w:sz w:val="22"/>
          <w:szCs w:val="22"/>
        </w:rPr>
      </w:pPr>
    </w:p>
    <w:p w14:paraId="130EA7F4" w14:textId="77777777" w:rsidR="00F358ED" w:rsidRPr="004460F4" w:rsidRDefault="00F358ED" w:rsidP="004C035A">
      <w:pPr>
        <w:ind w:firstLine="720"/>
        <w:rPr>
          <w:sz w:val="22"/>
          <w:szCs w:val="22"/>
        </w:rPr>
      </w:pPr>
      <w:r w:rsidRPr="00AB1E80">
        <w:rPr>
          <w:i/>
          <w:sz w:val="22"/>
          <w:szCs w:val="22"/>
        </w:rPr>
        <w:t>Circumstances that make the collection necessary</w:t>
      </w:r>
      <w:r w:rsidRPr="00AB1E80">
        <w:rPr>
          <w:sz w:val="22"/>
          <w:szCs w:val="22"/>
        </w:rPr>
        <w:t>:</w:t>
      </w:r>
    </w:p>
    <w:p w14:paraId="344DF8C8" w14:textId="77777777" w:rsidR="007E0735" w:rsidRPr="004460F4" w:rsidRDefault="007E0735" w:rsidP="007E0735">
      <w:pPr>
        <w:pStyle w:val="ParaNum"/>
        <w:numPr>
          <w:ilvl w:val="0"/>
          <w:numId w:val="0"/>
        </w:numPr>
        <w:tabs>
          <w:tab w:val="left" w:pos="1440"/>
        </w:tabs>
        <w:spacing w:after="0"/>
        <w:jc w:val="left"/>
        <w:rPr>
          <w:szCs w:val="22"/>
        </w:rPr>
      </w:pPr>
    </w:p>
    <w:p w14:paraId="2E4DF2E3" w14:textId="46C5DFB8" w:rsidR="0026132B" w:rsidRDefault="007E0735" w:rsidP="0066727F">
      <w:pPr>
        <w:ind w:firstLine="720"/>
        <w:rPr>
          <w:sz w:val="22"/>
          <w:szCs w:val="22"/>
        </w:rPr>
      </w:pPr>
      <w:r w:rsidRPr="004460F4">
        <w:rPr>
          <w:sz w:val="22"/>
          <w:szCs w:val="22"/>
        </w:rPr>
        <w:t xml:space="preserve">1.  </w:t>
      </w:r>
      <w:r w:rsidR="00FF6908" w:rsidRPr="004460F4">
        <w:rPr>
          <w:sz w:val="22"/>
          <w:szCs w:val="22"/>
        </w:rPr>
        <w:t>Inmate calling service</w:t>
      </w:r>
      <w:r w:rsidR="00131FA8" w:rsidRPr="004460F4">
        <w:rPr>
          <w:sz w:val="22"/>
          <w:szCs w:val="22"/>
        </w:rPr>
        <w:t>s</w:t>
      </w:r>
      <w:r w:rsidR="00FF6908" w:rsidRPr="004460F4">
        <w:rPr>
          <w:sz w:val="22"/>
          <w:szCs w:val="22"/>
        </w:rPr>
        <w:t xml:space="preserve"> (ICS) allow inmates to make calls to individuals outside the correctional facilit</w:t>
      </w:r>
      <w:r w:rsidR="009063AF" w:rsidRPr="004460F4">
        <w:rPr>
          <w:sz w:val="22"/>
          <w:szCs w:val="22"/>
        </w:rPr>
        <w:t>ies</w:t>
      </w:r>
      <w:r w:rsidR="00FF6908" w:rsidRPr="004460F4">
        <w:rPr>
          <w:sz w:val="22"/>
          <w:szCs w:val="22"/>
        </w:rPr>
        <w:t xml:space="preserve"> where </w:t>
      </w:r>
      <w:r w:rsidR="009063AF" w:rsidRPr="004460F4">
        <w:rPr>
          <w:sz w:val="22"/>
          <w:szCs w:val="22"/>
        </w:rPr>
        <w:t>they are</w:t>
      </w:r>
      <w:r w:rsidR="00FF6908" w:rsidRPr="004460F4">
        <w:rPr>
          <w:sz w:val="22"/>
          <w:szCs w:val="22"/>
        </w:rPr>
        <w:t xml:space="preserve"> being held, regardless of the technology used to deliver the service.  </w:t>
      </w:r>
      <w:r w:rsidR="0026132B" w:rsidRPr="004460F4">
        <w:rPr>
          <w:sz w:val="22"/>
          <w:szCs w:val="22"/>
        </w:rPr>
        <w:t xml:space="preserve">Section 201 of the Communications Act of 1934 Act, as amended </w:t>
      </w:r>
      <w:r w:rsidR="009063AF" w:rsidRPr="004460F4">
        <w:rPr>
          <w:sz w:val="22"/>
          <w:szCs w:val="22"/>
        </w:rPr>
        <w:t xml:space="preserve">(Act), </w:t>
      </w:r>
      <w:r w:rsidR="0026132B" w:rsidRPr="004460F4">
        <w:rPr>
          <w:sz w:val="22"/>
          <w:szCs w:val="22"/>
        </w:rPr>
        <w:t xml:space="preserve">47 U.S.C. </w:t>
      </w:r>
      <w:r w:rsidR="007A7A22" w:rsidRPr="004460F4">
        <w:rPr>
          <w:sz w:val="22"/>
          <w:szCs w:val="22"/>
        </w:rPr>
        <w:t xml:space="preserve">§ </w:t>
      </w:r>
      <w:r w:rsidR="0026132B" w:rsidRPr="00AB1E80">
        <w:rPr>
          <w:sz w:val="22"/>
          <w:szCs w:val="22"/>
        </w:rPr>
        <w:t>201</w:t>
      </w:r>
      <w:r w:rsidR="00640B4E">
        <w:rPr>
          <w:sz w:val="22"/>
          <w:szCs w:val="22"/>
        </w:rPr>
        <w:t>(b)</w:t>
      </w:r>
      <w:r w:rsidR="0026132B" w:rsidRPr="00AB1E80">
        <w:rPr>
          <w:sz w:val="22"/>
          <w:szCs w:val="22"/>
        </w:rPr>
        <w:t xml:space="preserve">, requires that </w:t>
      </w:r>
      <w:r w:rsidR="00BB5F7C" w:rsidRPr="00AB1E80">
        <w:rPr>
          <w:sz w:val="22"/>
          <w:szCs w:val="22"/>
        </w:rPr>
        <w:t xml:space="preserve">ICS </w:t>
      </w:r>
      <w:r w:rsidR="0026132B" w:rsidRPr="004460F4">
        <w:rPr>
          <w:sz w:val="22"/>
          <w:szCs w:val="22"/>
        </w:rPr>
        <w:t xml:space="preserve">providers’ </w:t>
      </w:r>
      <w:r w:rsidR="004153C5" w:rsidRPr="004460F4">
        <w:rPr>
          <w:sz w:val="22"/>
          <w:szCs w:val="22"/>
        </w:rPr>
        <w:t xml:space="preserve">interstate and international </w:t>
      </w:r>
      <w:r w:rsidR="0026132B" w:rsidRPr="004460F4">
        <w:rPr>
          <w:sz w:val="22"/>
          <w:szCs w:val="22"/>
        </w:rPr>
        <w:t>rates and practices be just and reasonable.</w:t>
      </w:r>
      <w:r w:rsidR="009063AF" w:rsidRPr="004460F4">
        <w:rPr>
          <w:sz w:val="22"/>
          <w:szCs w:val="22"/>
        </w:rPr>
        <w:t xml:space="preserve"> </w:t>
      </w:r>
      <w:r w:rsidR="0026132B" w:rsidRPr="004460F4">
        <w:rPr>
          <w:sz w:val="22"/>
          <w:szCs w:val="22"/>
        </w:rPr>
        <w:t xml:space="preserve"> Section 276 of the Act, 47 U.S.C. </w:t>
      </w:r>
      <w:r w:rsidR="007A7A22" w:rsidRPr="004460F4">
        <w:rPr>
          <w:sz w:val="22"/>
          <w:szCs w:val="22"/>
        </w:rPr>
        <w:t xml:space="preserve">§ </w:t>
      </w:r>
      <w:r w:rsidR="0026132B" w:rsidRPr="00AB1E80">
        <w:rPr>
          <w:sz w:val="22"/>
          <w:szCs w:val="22"/>
        </w:rPr>
        <w:t xml:space="preserve">276, requires that payphone service providers (including </w:t>
      </w:r>
      <w:r w:rsidR="0026132B" w:rsidRPr="004460F4">
        <w:rPr>
          <w:sz w:val="22"/>
          <w:szCs w:val="22"/>
        </w:rPr>
        <w:t>ICS providers) be fairly compensated</w:t>
      </w:r>
      <w:r w:rsidR="00FE7DC4" w:rsidRPr="004460F4">
        <w:rPr>
          <w:sz w:val="22"/>
          <w:szCs w:val="22"/>
        </w:rPr>
        <w:t xml:space="preserve"> for completed calls</w:t>
      </w:r>
      <w:r w:rsidR="0026132B" w:rsidRPr="004460F4">
        <w:rPr>
          <w:sz w:val="22"/>
          <w:szCs w:val="22"/>
        </w:rPr>
        <w:t xml:space="preserve">. </w:t>
      </w:r>
    </w:p>
    <w:p w14:paraId="7F6BCD52" w14:textId="77777777" w:rsidR="0026132B" w:rsidRPr="004460F4" w:rsidRDefault="0026132B" w:rsidP="00924315">
      <w:pPr>
        <w:rPr>
          <w:sz w:val="22"/>
          <w:szCs w:val="22"/>
        </w:rPr>
      </w:pPr>
    </w:p>
    <w:p w14:paraId="48F61EDD" w14:textId="6BD5D36D" w:rsidR="006E0F97" w:rsidRPr="00CA240C" w:rsidRDefault="00D3520F" w:rsidP="001F4D14">
      <w:pPr>
        <w:pStyle w:val="ParaNumChar1"/>
        <w:tabs>
          <w:tab w:val="clear" w:pos="1080"/>
          <w:tab w:val="clear" w:pos="1440"/>
          <w:tab w:val="left" w:pos="720"/>
        </w:tabs>
        <w:ind w:firstLine="0"/>
        <w:rPr>
          <w:szCs w:val="22"/>
        </w:rPr>
      </w:pPr>
      <w:r w:rsidRPr="004460F4">
        <w:rPr>
          <w:szCs w:val="22"/>
        </w:rPr>
        <w:tab/>
      </w:r>
      <w:r w:rsidR="00390EB1" w:rsidRPr="004460F4">
        <w:rPr>
          <w:i/>
          <w:szCs w:val="22"/>
        </w:rPr>
        <w:t xml:space="preserve">Annual Reports.  </w:t>
      </w:r>
      <w:r w:rsidR="00015BEB" w:rsidRPr="004460F4">
        <w:rPr>
          <w:szCs w:val="22"/>
        </w:rPr>
        <w:t xml:space="preserve">In the </w:t>
      </w:r>
      <w:r w:rsidR="009520AB" w:rsidRPr="004460F4">
        <w:rPr>
          <w:i/>
          <w:szCs w:val="22"/>
        </w:rPr>
        <w:t xml:space="preserve">Inmate Calling Service </w:t>
      </w:r>
      <w:r w:rsidR="00015BEB" w:rsidRPr="004460F4">
        <w:rPr>
          <w:i/>
          <w:szCs w:val="22"/>
        </w:rPr>
        <w:t>Second Report and Order</w:t>
      </w:r>
      <w:r w:rsidR="0006415C" w:rsidRPr="004460F4">
        <w:rPr>
          <w:i/>
          <w:szCs w:val="22"/>
        </w:rPr>
        <w:t>,</w:t>
      </w:r>
      <w:r w:rsidR="009520AB" w:rsidRPr="009F3BD2">
        <w:rPr>
          <w:rStyle w:val="FootnoteReference"/>
          <w:sz w:val="20"/>
        </w:rPr>
        <w:footnoteReference w:id="2"/>
      </w:r>
      <w:r w:rsidR="006C685C" w:rsidRPr="00AB1E80">
        <w:rPr>
          <w:szCs w:val="22"/>
        </w:rPr>
        <w:t xml:space="preserve"> </w:t>
      </w:r>
      <w:r w:rsidR="00DA0FC4" w:rsidRPr="00AB1E80">
        <w:rPr>
          <w:szCs w:val="22"/>
        </w:rPr>
        <w:t>FCC</w:t>
      </w:r>
      <w:r w:rsidR="00635EFD" w:rsidRPr="004460F4">
        <w:rPr>
          <w:szCs w:val="22"/>
        </w:rPr>
        <w:t xml:space="preserve"> 15-136, </w:t>
      </w:r>
      <w:r w:rsidR="00015BEB" w:rsidRPr="004460F4">
        <w:rPr>
          <w:szCs w:val="22"/>
        </w:rPr>
        <w:t>the Commission undertook comprehensive reform of the ICS marketplace.</w:t>
      </w:r>
      <w:r w:rsidR="00015BEB" w:rsidRPr="00AB1E80">
        <w:rPr>
          <w:szCs w:val="22"/>
        </w:rPr>
        <w:t xml:space="preserve"> </w:t>
      </w:r>
      <w:r w:rsidR="000534FD" w:rsidRPr="00AB1E80">
        <w:rPr>
          <w:szCs w:val="22"/>
        </w:rPr>
        <w:t xml:space="preserve"> </w:t>
      </w:r>
      <w:r w:rsidR="00DF7843" w:rsidRPr="004460F4">
        <w:rPr>
          <w:szCs w:val="22"/>
        </w:rPr>
        <w:t xml:space="preserve">The </w:t>
      </w:r>
      <w:r w:rsidR="007A57A8" w:rsidRPr="004460F4">
        <w:rPr>
          <w:szCs w:val="22"/>
        </w:rPr>
        <w:t>Commission</w:t>
      </w:r>
      <w:r w:rsidR="00DF7843" w:rsidRPr="004460F4">
        <w:rPr>
          <w:szCs w:val="22"/>
        </w:rPr>
        <w:t>, among other things,</w:t>
      </w:r>
      <w:r w:rsidR="007A57A8" w:rsidRPr="004460F4">
        <w:rPr>
          <w:szCs w:val="22"/>
        </w:rPr>
        <w:t xml:space="preserve"> </w:t>
      </w:r>
      <w:r w:rsidR="00015BEB" w:rsidRPr="004460F4">
        <w:rPr>
          <w:szCs w:val="22"/>
        </w:rPr>
        <w:t>establishe</w:t>
      </w:r>
      <w:r w:rsidR="0081640F" w:rsidRPr="004460F4">
        <w:rPr>
          <w:szCs w:val="22"/>
        </w:rPr>
        <w:t>d</w:t>
      </w:r>
      <w:r w:rsidR="00015BEB" w:rsidRPr="004460F4">
        <w:rPr>
          <w:szCs w:val="22"/>
        </w:rPr>
        <w:t xml:space="preserve"> new rate caps </w:t>
      </w:r>
      <w:r w:rsidR="001737FE" w:rsidRPr="004460F4">
        <w:rPr>
          <w:szCs w:val="22"/>
        </w:rPr>
        <w:t xml:space="preserve">for </w:t>
      </w:r>
      <w:r w:rsidR="00015BEB" w:rsidRPr="004460F4">
        <w:rPr>
          <w:szCs w:val="22"/>
        </w:rPr>
        <w:t>interstate and intrastate ICS calls</w:t>
      </w:r>
      <w:r w:rsidR="002C3886" w:rsidRPr="004460F4">
        <w:rPr>
          <w:szCs w:val="22"/>
        </w:rPr>
        <w:t xml:space="preserve"> and </w:t>
      </w:r>
      <w:r w:rsidR="00015BEB" w:rsidRPr="004460F4">
        <w:rPr>
          <w:szCs w:val="22"/>
        </w:rPr>
        <w:t>limit</w:t>
      </w:r>
      <w:r w:rsidR="0081640F" w:rsidRPr="004460F4">
        <w:rPr>
          <w:szCs w:val="22"/>
        </w:rPr>
        <w:t>ed</w:t>
      </w:r>
      <w:r w:rsidR="00015BEB" w:rsidRPr="004460F4">
        <w:rPr>
          <w:szCs w:val="22"/>
        </w:rPr>
        <w:t xml:space="preserve"> and cap</w:t>
      </w:r>
      <w:r w:rsidR="00892464" w:rsidRPr="004460F4">
        <w:rPr>
          <w:szCs w:val="22"/>
        </w:rPr>
        <w:t xml:space="preserve">ped </w:t>
      </w:r>
      <w:r w:rsidR="00015BEB" w:rsidRPr="004460F4">
        <w:rPr>
          <w:szCs w:val="22"/>
        </w:rPr>
        <w:t>ancillary services charges</w:t>
      </w:r>
      <w:r w:rsidR="005D335E" w:rsidRPr="004460F4">
        <w:rPr>
          <w:szCs w:val="22"/>
        </w:rPr>
        <w:t>.</w:t>
      </w:r>
      <w:r w:rsidR="00E431D2" w:rsidRPr="009F3BD2">
        <w:rPr>
          <w:rStyle w:val="FootnoteReference"/>
          <w:sz w:val="20"/>
        </w:rPr>
        <w:footnoteReference w:id="3"/>
      </w:r>
      <w:r w:rsidR="005D335E" w:rsidRPr="00AB1E80">
        <w:rPr>
          <w:szCs w:val="22"/>
        </w:rPr>
        <w:t xml:space="preserve"> </w:t>
      </w:r>
      <w:bookmarkStart w:id="1" w:name="_Hlk15923025"/>
      <w:r w:rsidR="009063AF" w:rsidRPr="00AB1E80">
        <w:rPr>
          <w:szCs w:val="22"/>
        </w:rPr>
        <w:t xml:space="preserve"> </w:t>
      </w:r>
      <w:r w:rsidR="009A6D77" w:rsidRPr="004460F4">
        <w:rPr>
          <w:szCs w:val="22"/>
        </w:rPr>
        <w:t xml:space="preserve">To enable the Commission to </w:t>
      </w:r>
      <w:r w:rsidR="004153C5" w:rsidRPr="004460F4">
        <w:rPr>
          <w:szCs w:val="22"/>
        </w:rPr>
        <w:t xml:space="preserve">evaluate </w:t>
      </w:r>
      <w:r w:rsidR="009A6D77" w:rsidRPr="004460F4">
        <w:rPr>
          <w:szCs w:val="22"/>
        </w:rPr>
        <w:t xml:space="preserve">further </w:t>
      </w:r>
      <w:r w:rsidR="004153C5" w:rsidRPr="004460F4">
        <w:rPr>
          <w:szCs w:val="22"/>
        </w:rPr>
        <w:t xml:space="preserve">potential </w:t>
      </w:r>
      <w:r w:rsidR="009A6D77" w:rsidRPr="004460F4">
        <w:rPr>
          <w:szCs w:val="22"/>
        </w:rPr>
        <w:t>ICS</w:t>
      </w:r>
      <w:r w:rsidR="00D00FEF" w:rsidRPr="004460F4">
        <w:rPr>
          <w:szCs w:val="22"/>
        </w:rPr>
        <w:t xml:space="preserve"> </w:t>
      </w:r>
      <w:r w:rsidR="009A6D77" w:rsidRPr="004460F4">
        <w:rPr>
          <w:szCs w:val="22"/>
        </w:rPr>
        <w:t>reform</w:t>
      </w:r>
      <w:r w:rsidR="009063AF" w:rsidRPr="004460F4">
        <w:rPr>
          <w:szCs w:val="22"/>
        </w:rPr>
        <w:t>s</w:t>
      </w:r>
      <w:r w:rsidR="009A6D77" w:rsidRPr="004460F4">
        <w:rPr>
          <w:szCs w:val="22"/>
        </w:rPr>
        <w:t xml:space="preserve">, </w:t>
      </w:r>
      <w:bookmarkStart w:id="2" w:name="_Hlk27407176"/>
      <w:r w:rsidR="009A6D77" w:rsidRPr="004460F4">
        <w:rPr>
          <w:szCs w:val="22"/>
        </w:rPr>
        <w:t xml:space="preserve">identify and track trends in the </w:t>
      </w:r>
      <w:r w:rsidR="009A6D77" w:rsidRPr="00CA240C">
        <w:rPr>
          <w:szCs w:val="22"/>
        </w:rPr>
        <w:t>ICS market</w:t>
      </w:r>
      <w:r w:rsidR="009063AF" w:rsidRPr="00CA240C">
        <w:rPr>
          <w:szCs w:val="22"/>
        </w:rPr>
        <w:t>place</w:t>
      </w:r>
      <w:r w:rsidR="009A6D77" w:rsidRPr="00CA240C">
        <w:rPr>
          <w:szCs w:val="22"/>
        </w:rPr>
        <w:t>, a</w:t>
      </w:r>
      <w:r w:rsidR="00D94F0C" w:rsidRPr="00CA240C">
        <w:rPr>
          <w:szCs w:val="22"/>
        </w:rPr>
        <w:t xml:space="preserve">nd </w:t>
      </w:r>
      <w:r w:rsidR="009A6D77" w:rsidRPr="00CA240C">
        <w:rPr>
          <w:szCs w:val="22"/>
        </w:rPr>
        <w:t xml:space="preserve">monitor compliance with </w:t>
      </w:r>
      <w:r w:rsidR="00D94F0C" w:rsidRPr="00CA240C">
        <w:rPr>
          <w:szCs w:val="22"/>
        </w:rPr>
        <w:t xml:space="preserve">the rules </w:t>
      </w:r>
      <w:bookmarkEnd w:id="2"/>
      <w:r w:rsidR="009A6D77" w:rsidRPr="00CA240C">
        <w:rPr>
          <w:szCs w:val="22"/>
        </w:rPr>
        <w:t>adopted in t</w:t>
      </w:r>
      <w:r w:rsidR="00A94CD2" w:rsidRPr="00CA240C">
        <w:rPr>
          <w:szCs w:val="22"/>
        </w:rPr>
        <w:t xml:space="preserve">he </w:t>
      </w:r>
      <w:r w:rsidR="004153C5" w:rsidRPr="00CA240C">
        <w:rPr>
          <w:i/>
          <w:szCs w:val="22"/>
        </w:rPr>
        <w:t>2015</w:t>
      </w:r>
      <w:r w:rsidR="00A94CD2" w:rsidRPr="00CA240C">
        <w:rPr>
          <w:i/>
          <w:szCs w:val="22"/>
        </w:rPr>
        <w:t xml:space="preserve"> Order</w:t>
      </w:r>
      <w:r w:rsidR="009A6D77" w:rsidRPr="00CA240C">
        <w:rPr>
          <w:szCs w:val="22"/>
        </w:rPr>
        <w:t>,</w:t>
      </w:r>
      <w:r w:rsidR="000858BC" w:rsidRPr="00CA240C">
        <w:rPr>
          <w:szCs w:val="22"/>
        </w:rPr>
        <w:t xml:space="preserve"> </w:t>
      </w:r>
      <w:bookmarkEnd w:id="1"/>
      <w:r w:rsidR="009A6D77" w:rsidRPr="00CA240C">
        <w:rPr>
          <w:szCs w:val="22"/>
        </w:rPr>
        <w:t xml:space="preserve">the Commission required all ICS providers to </w:t>
      </w:r>
      <w:r w:rsidR="00255597" w:rsidRPr="00CA240C">
        <w:rPr>
          <w:szCs w:val="22"/>
        </w:rPr>
        <w:t xml:space="preserve">file </w:t>
      </w:r>
      <w:r w:rsidR="00F443F3" w:rsidRPr="00CA240C">
        <w:rPr>
          <w:szCs w:val="22"/>
        </w:rPr>
        <w:t>an</w:t>
      </w:r>
      <w:r w:rsidR="00A03F5D" w:rsidRPr="00CA240C">
        <w:rPr>
          <w:szCs w:val="22"/>
        </w:rPr>
        <w:t xml:space="preserve">nual reports providing data and other information on </w:t>
      </w:r>
      <w:r w:rsidR="009A6D77" w:rsidRPr="00CA240C">
        <w:rPr>
          <w:szCs w:val="22"/>
        </w:rPr>
        <w:t>their ICS</w:t>
      </w:r>
      <w:r w:rsidR="00A03F5D" w:rsidRPr="00CA240C">
        <w:rPr>
          <w:szCs w:val="22"/>
        </w:rPr>
        <w:t xml:space="preserve"> operations</w:t>
      </w:r>
      <w:r w:rsidR="009A6D77" w:rsidRPr="00CA240C">
        <w:rPr>
          <w:szCs w:val="22"/>
        </w:rPr>
        <w:t>.</w:t>
      </w:r>
      <w:r w:rsidR="00C230BA" w:rsidRPr="00CA240C">
        <w:rPr>
          <w:rStyle w:val="FootnoteReference"/>
          <w:szCs w:val="22"/>
        </w:rPr>
        <w:footnoteReference w:id="4"/>
      </w:r>
      <w:r w:rsidR="00FE7DC4" w:rsidRPr="00CA240C">
        <w:rPr>
          <w:szCs w:val="22"/>
        </w:rPr>
        <w:t xml:space="preserve">  </w:t>
      </w:r>
      <w:r w:rsidR="00911973">
        <w:rPr>
          <w:szCs w:val="22"/>
        </w:rPr>
        <w:t>In particular, t</w:t>
      </w:r>
      <w:r w:rsidR="00CE76AA" w:rsidRPr="00CA240C">
        <w:rPr>
          <w:szCs w:val="22"/>
        </w:rPr>
        <w:t xml:space="preserve">he </w:t>
      </w:r>
      <w:r w:rsidR="00E431D2" w:rsidRPr="00CA240C">
        <w:rPr>
          <w:szCs w:val="22"/>
        </w:rPr>
        <w:t xml:space="preserve">Commission </w:t>
      </w:r>
      <w:r w:rsidR="00E41E10" w:rsidRPr="00CA240C">
        <w:rPr>
          <w:szCs w:val="22"/>
        </w:rPr>
        <w:t>r</w:t>
      </w:r>
      <w:r w:rsidR="007013E6" w:rsidRPr="00CA240C">
        <w:rPr>
          <w:szCs w:val="22"/>
        </w:rPr>
        <w:t>equire</w:t>
      </w:r>
      <w:r w:rsidR="00645190" w:rsidRPr="00CA240C">
        <w:rPr>
          <w:szCs w:val="22"/>
        </w:rPr>
        <w:t>d</w:t>
      </w:r>
      <w:r w:rsidR="007013E6" w:rsidRPr="00CA240C">
        <w:rPr>
          <w:szCs w:val="22"/>
        </w:rPr>
        <w:t xml:space="preserve"> each ICS provider </w:t>
      </w:r>
      <w:r w:rsidR="00B02BBF" w:rsidRPr="00CA240C">
        <w:rPr>
          <w:szCs w:val="22"/>
        </w:rPr>
        <w:t>to file</w:t>
      </w:r>
      <w:r w:rsidR="004036B3" w:rsidRPr="00CA240C">
        <w:rPr>
          <w:szCs w:val="22"/>
        </w:rPr>
        <w:t xml:space="preserve"> </w:t>
      </w:r>
      <w:r w:rsidR="00FE7DC4" w:rsidRPr="00CA240C">
        <w:rPr>
          <w:szCs w:val="22"/>
        </w:rPr>
        <w:t xml:space="preserve">a report </w:t>
      </w:r>
      <w:r w:rsidR="004036B3" w:rsidRPr="00CA240C">
        <w:rPr>
          <w:szCs w:val="22"/>
        </w:rPr>
        <w:t>a</w:t>
      </w:r>
      <w:r w:rsidR="007013E6" w:rsidRPr="00CA240C">
        <w:rPr>
          <w:szCs w:val="22"/>
        </w:rPr>
        <w:t>nnual</w:t>
      </w:r>
      <w:r w:rsidR="00FE7DC4" w:rsidRPr="00CA240C">
        <w:rPr>
          <w:szCs w:val="22"/>
        </w:rPr>
        <w:t>ly</w:t>
      </w:r>
      <w:r w:rsidR="007013E6" w:rsidRPr="00CA240C">
        <w:rPr>
          <w:szCs w:val="22"/>
        </w:rPr>
        <w:t xml:space="preserve"> </w:t>
      </w:r>
      <w:r w:rsidR="00371ADD" w:rsidRPr="00CA240C">
        <w:rPr>
          <w:szCs w:val="22"/>
        </w:rPr>
        <w:t>specifying</w:t>
      </w:r>
      <w:r w:rsidR="00FE7DC4" w:rsidRPr="00CA240C">
        <w:rPr>
          <w:szCs w:val="22"/>
        </w:rPr>
        <w:t>, for the prior calendar year</w:t>
      </w:r>
      <w:r w:rsidR="004D2369" w:rsidRPr="00CA240C">
        <w:rPr>
          <w:szCs w:val="22"/>
        </w:rPr>
        <w:t>:</w:t>
      </w:r>
    </w:p>
    <w:p w14:paraId="250AF295" w14:textId="77777777" w:rsidR="006E0F97" w:rsidRPr="004460F4" w:rsidRDefault="004D2369" w:rsidP="006E0F97">
      <w:pPr>
        <w:pStyle w:val="ParaNumChar1"/>
        <w:numPr>
          <w:ilvl w:val="0"/>
          <w:numId w:val="12"/>
        </w:numPr>
        <w:tabs>
          <w:tab w:val="clear" w:pos="1440"/>
          <w:tab w:val="left" w:pos="720"/>
        </w:tabs>
        <w:rPr>
          <w:szCs w:val="22"/>
        </w:rPr>
      </w:pPr>
      <w:r w:rsidRPr="00CA240C">
        <w:rPr>
          <w:szCs w:val="22"/>
        </w:rPr>
        <w:t>I</w:t>
      </w:r>
      <w:r w:rsidR="009A6E30" w:rsidRPr="00CA240C">
        <w:rPr>
          <w:szCs w:val="22"/>
        </w:rPr>
        <w:t>nterstate, international</w:t>
      </w:r>
      <w:r w:rsidR="009A6E30" w:rsidRPr="004460F4">
        <w:rPr>
          <w:szCs w:val="22"/>
        </w:rPr>
        <w:t xml:space="preserve">, and intrastate </w:t>
      </w:r>
      <w:r w:rsidR="007E0735" w:rsidRPr="004460F4">
        <w:rPr>
          <w:szCs w:val="22"/>
        </w:rPr>
        <w:t>rates and</w:t>
      </w:r>
      <w:r w:rsidR="00D22517" w:rsidRPr="004460F4">
        <w:rPr>
          <w:szCs w:val="22"/>
        </w:rPr>
        <w:t xml:space="preserve"> minutes of use by </w:t>
      </w:r>
      <w:r w:rsidR="007E0735" w:rsidRPr="004460F4">
        <w:rPr>
          <w:szCs w:val="22"/>
        </w:rPr>
        <w:t>facilit</w:t>
      </w:r>
      <w:r w:rsidR="006E0F97" w:rsidRPr="004460F4">
        <w:rPr>
          <w:szCs w:val="22"/>
        </w:rPr>
        <w:t xml:space="preserve">y, and the </w:t>
      </w:r>
      <w:r w:rsidR="009A6E30" w:rsidRPr="004460F4">
        <w:rPr>
          <w:szCs w:val="22"/>
        </w:rPr>
        <w:t>name, size, and type of facility being served</w:t>
      </w:r>
      <w:r w:rsidR="006E0F97" w:rsidRPr="004460F4">
        <w:rPr>
          <w:szCs w:val="22"/>
        </w:rPr>
        <w:t>;</w:t>
      </w:r>
      <w:r w:rsidR="00364F41" w:rsidRPr="004460F4">
        <w:rPr>
          <w:szCs w:val="22"/>
        </w:rPr>
        <w:t xml:space="preserve"> </w:t>
      </w:r>
    </w:p>
    <w:p w14:paraId="3008FFFE" w14:textId="77777777" w:rsidR="006E0F97" w:rsidRPr="004460F4" w:rsidRDefault="006E0F97" w:rsidP="006E0F97">
      <w:pPr>
        <w:pStyle w:val="ParaNumChar1"/>
        <w:numPr>
          <w:ilvl w:val="0"/>
          <w:numId w:val="12"/>
        </w:numPr>
        <w:tabs>
          <w:tab w:val="clear" w:pos="1440"/>
          <w:tab w:val="left" w:pos="720"/>
        </w:tabs>
        <w:rPr>
          <w:szCs w:val="22"/>
        </w:rPr>
      </w:pPr>
      <w:r w:rsidRPr="004460F4">
        <w:rPr>
          <w:szCs w:val="22"/>
        </w:rPr>
        <w:t xml:space="preserve">Fees for any </w:t>
      </w:r>
      <w:r w:rsidR="00D22517" w:rsidRPr="004460F4">
        <w:rPr>
          <w:szCs w:val="22"/>
        </w:rPr>
        <w:t>ancillary service</w:t>
      </w:r>
      <w:r w:rsidRPr="004460F4">
        <w:rPr>
          <w:szCs w:val="22"/>
        </w:rPr>
        <w:t>s</w:t>
      </w:r>
      <w:r w:rsidR="00364F41" w:rsidRPr="004460F4">
        <w:rPr>
          <w:szCs w:val="22"/>
        </w:rPr>
        <w:t>, the amount of these fees, an</w:t>
      </w:r>
      <w:r w:rsidRPr="004460F4">
        <w:rPr>
          <w:szCs w:val="22"/>
        </w:rPr>
        <w:t>d the number of times each fe</w:t>
      </w:r>
      <w:r w:rsidR="00F73D09" w:rsidRPr="004460F4">
        <w:rPr>
          <w:szCs w:val="22"/>
        </w:rPr>
        <w:t>e</w:t>
      </w:r>
      <w:r w:rsidRPr="004460F4">
        <w:rPr>
          <w:szCs w:val="22"/>
        </w:rPr>
        <w:t xml:space="preserve"> was imposed;</w:t>
      </w:r>
    </w:p>
    <w:p w14:paraId="64518026" w14:textId="77777777" w:rsidR="006E0F97" w:rsidRPr="004460F4" w:rsidRDefault="00F73D09" w:rsidP="006E0F97">
      <w:pPr>
        <w:pStyle w:val="ParaNumChar1"/>
        <w:numPr>
          <w:ilvl w:val="0"/>
          <w:numId w:val="12"/>
        </w:numPr>
        <w:tabs>
          <w:tab w:val="clear" w:pos="1440"/>
          <w:tab w:val="left" w:pos="720"/>
        </w:tabs>
        <w:rPr>
          <w:szCs w:val="22"/>
        </w:rPr>
      </w:pPr>
      <w:r w:rsidRPr="004460F4">
        <w:rPr>
          <w:szCs w:val="22"/>
        </w:rPr>
        <w:t xml:space="preserve">Monthly </w:t>
      </w:r>
      <w:r w:rsidR="006E0F97" w:rsidRPr="004460F4">
        <w:rPr>
          <w:szCs w:val="22"/>
        </w:rPr>
        <w:t>site commission payments;</w:t>
      </w:r>
    </w:p>
    <w:p w14:paraId="25AE1995" w14:textId="21C80C24" w:rsidR="006E0F97" w:rsidRPr="004460F4" w:rsidRDefault="006E0F97" w:rsidP="006E0F97">
      <w:pPr>
        <w:pStyle w:val="ParaNumChar1"/>
        <w:numPr>
          <w:ilvl w:val="0"/>
          <w:numId w:val="12"/>
        </w:numPr>
        <w:tabs>
          <w:tab w:val="clear" w:pos="1440"/>
          <w:tab w:val="left" w:pos="720"/>
        </w:tabs>
        <w:rPr>
          <w:szCs w:val="22"/>
        </w:rPr>
      </w:pPr>
      <w:r w:rsidRPr="004460F4">
        <w:rPr>
          <w:szCs w:val="22"/>
        </w:rPr>
        <w:lastRenderedPageBreak/>
        <w:t>R</w:t>
      </w:r>
      <w:r w:rsidR="0097676F" w:rsidRPr="004460F4">
        <w:rPr>
          <w:szCs w:val="22"/>
        </w:rPr>
        <w:t xml:space="preserve">ates and minutes of use </w:t>
      </w:r>
      <w:r w:rsidR="00E431D2" w:rsidRPr="004460F4">
        <w:rPr>
          <w:szCs w:val="22"/>
        </w:rPr>
        <w:t xml:space="preserve">for video calling services </w:t>
      </w:r>
      <w:r w:rsidR="0097676F" w:rsidRPr="004460F4">
        <w:rPr>
          <w:szCs w:val="22"/>
        </w:rPr>
        <w:t xml:space="preserve">by facility, as well as ancillary fees for such services; </w:t>
      </w:r>
    </w:p>
    <w:p w14:paraId="23183290" w14:textId="77777777" w:rsidR="00FE3EB5" w:rsidRPr="004460F4" w:rsidRDefault="00F73D09" w:rsidP="006E0F97">
      <w:pPr>
        <w:pStyle w:val="ParaNumChar1"/>
        <w:numPr>
          <w:ilvl w:val="0"/>
          <w:numId w:val="12"/>
        </w:numPr>
        <w:tabs>
          <w:tab w:val="clear" w:pos="1440"/>
          <w:tab w:val="left" w:pos="720"/>
        </w:tabs>
        <w:rPr>
          <w:szCs w:val="22"/>
        </w:rPr>
      </w:pPr>
      <w:r w:rsidRPr="004460F4">
        <w:rPr>
          <w:szCs w:val="22"/>
        </w:rPr>
        <w:t xml:space="preserve">The </w:t>
      </w:r>
      <w:r w:rsidR="0097676F" w:rsidRPr="004460F4">
        <w:rPr>
          <w:szCs w:val="22"/>
        </w:rPr>
        <w:t>number of disability-related calls, problems associated with such calls, and ancillary fees charged in connection with such calls</w:t>
      </w:r>
      <w:r w:rsidR="00FE3EB5" w:rsidRPr="004460F4">
        <w:rPr>
          <w:szCs w:val="22"/>
        </w:rPr>
        <w:t xml:space="preserve">; and </w:t>
      </w:r>
    </w:p>
    <w:p w14:paraId="72587216" w14:textId="77777777" w:rsidR="00645190" w:rsidRPr="004460F4" w:rsidRDefault="00FE3EB5" w:rsidP="006E0F97">
      <w:pPr>
        <w:pStyle w:val="ParaNumChar1"/>
        <w:numPr>
          <w:ilvl w:val="0"/>
          <w:numId w:val="12"/>
        </w:numPr>
        <w:tabs>
          <w:tab w:val="clear" w:pos="1440"/>
          <w:tab w:val="left" w:pos="720"/>
        </w:tabs>
        <w:rPr>
          <w:szCs w:val="22"/>
        </w:rPr>
      </w:pPr>
      <w:r w:rsidRPr="004460F4">
        <w:rPr>
          <w:szCs w:val="22"/>
        </w:rPr>
        <w:t>The number of complaints received related to, for example, dropped calls and poor call quality and the number of instances of each by TTY and TRS users.</w:t>
      </w:r>
      <w:r w:rsidR="007E0735" w:rsidRPr="004460F4">
        <w:rPr>
          <w:szCs w:val="22"/>
        </w:rPr>
        <w:t xml:space="preserve"> </w:t>
      </w:r>
    </w:p>
    <w:p w14:paraId="461DA38A" w14:textId="71E4D3EE" w:rsidR="00390EB1" w:rsidRPr="004460F4" w:rsidRDefault="00645190" w:rsidP="0088598E">
      <w:pPr>
        <w:pStyle w:val="ParaNumChar1"/>
        <w:tabs>
          <w:tab w:val="clear" w:pos="1080"/>
          <w:tab w:val="clear" w:pos="1440"/>
          <w:tab w:val="left" w:pos="720"/>
        </w:tabs>
        <w:ind w:firstLine="0"/>
        <w:rPr>
          <w:szCs w:val="22"/>
        </w:rPr>
      </w:pPr>
      <w:r w:rsidRPr="004460F4">
        <w:rPr>
          <w:szCs w:val="22"/>
        </w:rPr>
        <w:tab/>
      </w:r>
      <w:r w:rsidR="00CE12E8" w:rsidRPr="004460F4">
        <w:rPr>
          <w:szCs w:val="22"/>
        </w:rPr>
        <w:t>The</w:t>
      </w:r>
      <w:r w:rsidR="0097676F" w:rsidRPr="004460F4">
        <w:rPr>
          <w:szCs w:val="22"/>
        </w:rPr>
        <w:t xml:space="preserve"> </w:t>
      </w:r>
      <w:r w:rsidR="00945CFE" w:rsidRPr="004460F4">
        <w:rPr>
          <w:szCs w:val="22"/>
        </w:rPr>
        <w:t xml:space="preserve">Commission </w:t>
      </w:r>
      <w:r w:rsidR="007E0735" w:rsidRPr="004460F4">
        <w:rPr>
          <w:szCs w:val="22"/>
        </w:rPr>
        <w:t>require</w:t>
      </w:r>
      <w:r w:rsidRPr="004460F4">
        <w:rPr>
          <w:szCs w:val="22"/>
        </w:rPr>
        <w:t>d</w:t>
      </w:r>
      <w:r w:rsidR="007E0735" w:rsidRPr="004460F4">
        <w:rPr>
          <w:szCs w:val="22"/>
        </w:rPr>
        <w:t xml:space="preserve"> </w:t>
      </w:r>
      <w:r w:rsidR="00913CE8" w:rsidRPr="004460F4">
        <w:rPr>
          <w:szCs w:val="22"/>
        </w:rPr>
        <w:t xml:space="preserve">that </w:t>
      </w:r>
      <w:r w:rsidR="007E0735" w:rsidRPr="004460F4">
        <w:rPr>
          <w:szCs w:val="22"/>
        </w:rPr>
        <w:t xml:space="preserve">an officer of each ICS provider certify </w:t>
      </w:r>
      <w:r w:rsidR="00F1417E" w:rsidRPr="004460F4">
        <w:rPr>
          <w:szCs w:val="22"/>
        </w:rPr>
        <w:t xml:space="preserve">annually </w:t>
      </w:r>
      <w:r w:rsidR="007E0735" w:rsidRPr="004460F4">
        <w:rPr>
          <w:szCs w:val="22"/>
        </w:rPr>
        <w:t>the accuracy of the data</w:t>
      </w:r>
      <w:r w:rsidR="00FE3EB5" w:rsidRPr="004460F4">
        <w:rPr>
          <w:szCs w:val="22"/>
        </w:rPr>
        <w:t xml:space="preserve"> and other information</w:t>
      </w:r>
      <w:r w:rsidR="007E0735" w:rsidRPr="004460F4">
        <w:rPr>
          <w:szCs w:val="22"/>
        </w:rPr>
        <w:t xml:space="preserve"> submitted </w:t>
      </w:r>
      <w:r w:rsidR="00A312B6" w:rsidRPr="004460F4">
        <w:rPr>
          <w:szCs w:val="22"/>
        </w:rPr>
        <w:t xml:space="preserve">in the </w:t>
      </w:r>
      <w:r w:rsidR="00FE7DC4" w:rsidRPr="004460F4">
        <w:rPr>
          <w:szCs w:val="22"/>
        </w:rPr>
        <w:t xml:space="preserve">provider’s </w:t>
      </w:r>
      <w:r w:rsidR="00A312B6" w:rsidRPr="004460F4">
        <w:rPr>
          <w:szCs w:val="22"/>
        </w:rPr>
        <w:t xml:space="preserve">annual report </w:t>
      </w:r>
      <w:r w:rsidR="007E0735" w:rsidRPr="004460F4">
        <w:rPr>
          <w:szCs w:val="22"/>
        </w:rPr>
        <w:t>and the provider’s compliance with the</w:t>
      </w:r>
      <w:r w:rsidR="005F7197" w:rsidRPr="004460F4">
        <w:rPr>
          <w:szCs w:val="22"/>
        </w:rPr>
        <w:t xml:space="preserve"> </w:t>
      </w:r>
      <w:r w:rsidR="00A312B6" w:rsidRPr="004460F4">
        <w:rPr>
          <w:szCs w:val="22"/>
        </w:rPr>
        <w:t>Commission’s ICS rules</w:t>
      </w:r>
      <w:r w:rsidR="008D2AA5" w:rsidRPr="00AB1E80">
        <w:rPr>
          <w:szCs w:val="22"/>
        </w:rPr>
        <w:t>.</w:t>
      </w:r>
      <w:r w:rsidR="0010673F" w:rsidRPr="009F3BD2">
        <w:rPr>
          <w:rStyle w:val="FootnoteReference"/>
          <w:sz w:val="20"/>
        </w:rPr>
        <w:footnoteReference w:id="5"/>
      </w:r>
      <w:r w:rsidR="0064247A" w:rsidRPr="00AB1E80">
        <w:rPr>
          <w:szCs w:val="22"/>
        </w:rPr>
        <w:t xml:space="preserve">  </w:t>
      </w:r>
      <w:bookmarkStart w:id="3" w:name="_Hlk17101997"/>
      <w:r w:rsidR="00390EB1" w:rsidRPr="004460F4">
        <w:rPr>
          <w:szCs w:val="22"/>
        </w:rPr>
        <w:t xml:space="preserve">Pursuant to the authority delegated to it by the Commission in the </w:t>
      </w:r>
      <w:r w:rsidR="004153C5" w:rsidRPr="004460F4">
        <w:rPr>
          <w:i/>
          <w:szCs w:val="22"/>
        </w:rPr>
        <w:t>2015</w:t>
      </w:r>
      <w:r w:rsidR="00390EB1" w:rsidRPr="004460F4">
        <w:rPr>
          <w:i/>
          <w:szCs w:val="22"/>
        </w:rPr>
        <w:t xml:space="preserve"> Order</w:t>
      </w:r>
      <w:r w:rsidR="00390EB1" w:rsidRPr="004460F4">
        <w:rPr>
          <w:szCs w:val="22"/>
        </w:rPr>
        <w:t xml:space="preserve">, the Wireline Competition Bureau (Bureau) created standardized </w:t>
      </w:r>
      <w:r w:rsidR="00390EB1" w:rsidRPr="004460F4">
        <w:rPr>
          <w:bCs/>
          <w:szCs w:val="22"/>
        </w:rPr>
        <w:t>template</w:t>
      </w:r>
      <w:r w:rsidR="007E4A94" w:rsidRPr="004460F4">
        <w:rPr>
          <w:bCs/>
          <w:szCs w:val="22"/>
        </w:rPr>
        <w:t>s</w:t>
      </w:r>
      <w:r w:rsidR="00390EB1" w:rsidRPr="004460F4">
        <w:rPr>
          <w:bCs/>
          <w:szCs w:val="22"/>
        </w:rPr>
        <w:t xml:space="preserve"> for the annual reports</w:t>
      </w:r>
      <w:r w:rsidR="007E4A94" w:rsidRPr="004460F4">
        <w:rPr>
          <w:bCs/>
          <w:szCs w:val="22"/>
        </w:rPr>
        <w:t xml:space="preserve"> (FCC Form 2301(a)) and certifications (FCC Form 2301(</w:t>
      </w:r>
      <w:r w:rsidR="00D06263" w:rsidRPr="004460F4">
        <w:rPr>
          <w:bCs/>
          <w:szCs w:val="22"/>
        </w:rPr>
        <w:t>b</w:t>
      </w:r>
      <w:r w:rsidR="007E4A94" w:rsidRPr="004460F4">
        <w:rPr>
          <w:bCs/>
          <w:szCs w:val="22"/>
        </w:rPr>
        <w:t>))</w:t>
      </w:r>
      <w:r w:rsidR="00390EB1" w:rsidRPr="004460F4">
        <w:rPr>
          <w:bCs/>
          <w:szCs w:val="22"/>
        </w:rPr>
        <w:t xml:space="preserve">.  The Bureau also provided instructions that </w:t>
      </w:r>
      <w:r w:rsidR="00095C2D" w:rsidRPr="004460F4">
        <w:rPr>
          <w:bCs/>
          <w:szCs w:val="22"/>
        </w:rPr>
        <w:t xml:space="preserve">explain the </w:t>
      </w:r>
      <w:r w:rsidR="00A312B6" w:rsidRPr="004460F4">
        <w:rPr>
          <w:bCs/>
          <w:szCs w:val="22"/>
        </w:rPr>
        <w:t>reporting</w:t>
      </w:r>
      <w:r w:rsidR="00200589" w:rsidRPr="004460F4">
        <w:rPr>
          <w:bCs/>
          <w:szCs w:val="22"/>
        </w:rPr>
        <w:t xml:space="preserve"> and certification</w:t>
      </w:r>
      <w:r w:rsidR="00A312B6" w:rsidRPr="004460F4">
        <w:rPr>
          <w:bCs/>
          <w:szCs w:val="22"/>
        </w:rPr>
        <w:t xml:space="preserve"> requirements</w:t>
      </w:r>
      <w:r w:rsidR="00390EB1" w:rsidRPr="004460F4">
        <w:rPr>
          <w:bCs/>
          <w:szCs w:val="22"/>
        </w:rPr>
        <w:t xml:space="preserve"> and </w:t>
      </w:r>
      <w:r w:rsidR="00390EB1" w:rsidRPr="004460F4">
        <w:rPr>
          <w:szCs w:val="22"/>
        </w:rPr>
        <w:t xml:space="preserve">reduce the </w:t>
      </w:r>
      <w:r w:rsidR="00390EB1" w:rsidRPr="004460F4">
        <w:rPr>
          <w:bCs/>
          <w:szCs w:val="22"/>
        </w:rPr>
        <w:t>burden of the data collection.</w:t>
      </w:r>
      <w:r w:rsidR="00095C2D" w:rsidRPr="004460F4">
        <w:rPr>
          <w:bCs/>
          <w:szCs w:val="22"/>
        </w:rPr>
        <w:t xml:space="preserve">  </w:t>
      </w:r>
    </w:p>
    <w:p w14:paraId="7A17AE2F" w14:textId="77777777" w:rsidR="00EA29B1" w:rsidRPr="004460F4" w:rsidRDefault="00390EB1" w:rsidP="0088598E">
      <w:pPr>
        <w:pStyle w:val="ParaNumChar1"/>
        <w:tabs>
          <w:tab w:val="clear" w:pos="1080"/>
          <w:tab w:val="clear" w:pos="1440"/>
          <w:tab w:val="left" w:pos="720"/>
        </w:tabs>
        <w:ind w:firstLine="0"/>
        <w:rPr>
          <w:szCs w:val="22"/>
        </w:rPr>
      </w:pPr>
      <w:r w:rsidRPr="004460F4">
        <w:rPr>
          <w:szCs w:val="22"/>
        </w:rPr>
        <w:tab/>
      </w:r>
      <w:r w:rsidRPr="004460F4">
        <w:rPr>
          <w:i/>
          <w:szCs w:val="22"/>
        </w:rPr>
        <w:t xml:space="preserve">Consumer Disclosure Rule.  </w:t>
      </w:r>
      <w:r w:rsidRPr="004460F4">
        <w:rPr>
          <w:szCs w:val="22"/>
        </w:rPr>
        <w:t xml:space="preserve">In the </w:t>
      </w:r>
      <w:r w:rsidR="004153C5" w:rsidRPr="004460F4">
        <w:rPr>
          <w:i/>
          <w:szCs w:val="22"/>
        </w:rPr>
        <w:t>2015</w:t>
      </w:r>
      <w:r w:rsidRPr="004460F4">
        <w:rPr>
          <w:i/>
          <w:szCs w:val="22"/>
        </w:rPr>
        <w:t xml:space="preserve"> Order</w:t>
      </w:r>
      <w:r w:rsidRPr="004460F4">
        <w:rPr>
          <w:szCs w:val="22"/>
        </w:rPr>
        <w:t xml:space="preserve">, </w:t>
      </w:r>
      <w:r w:rsidR="008D2AA5" w:rsidRPr="004460F4">
        <w:rPr>
          <w:szCs w:val="22"/>
        </w:rPr>
        <w:t xml:space="preserve">the Commission </w:t>
      </w:r>
      <w:r w:rsidR="00671F91" w:rsidRPr="004460F4">
        <w:rPr>
          <w:szCs w:val="22"/>
        </w:rPr>
        <w:t>require</w:t>
      </w:r>
      <w:r w:rsidR="00645190" w:rsidRPr="004460F4">
        <w:rPr>
          <w:szCs w:val="22"/>
        </w:rPr>
        <w:t>d</w:t>
      </w:r>
      <w:r w:rsidR="00671F91" w:rsidRPr="004460F4">
        <w:rPr>
          <w:szCs w:val="22"/>
        </w:rPr>
        <w:t xml:space="preserve"> ICS providers to</w:t>
      </w:r>
      <w:r w:rsidR="00F12995" w:rsidRPr="004460F4">
        <w:rPr>
          <w:szCs w:val="22"/>
        </w:rPr>
        <w:t xml:space="preserve"> disclose to consumers their interstate, intrastate, and international rates and ancillary service charges.</w:t>
      </w:r>
      <w:r w:rsidR="0010673F" w:rsidRPr="009F3BD2">
        <w:rPr>
          <w:rStyle w:val="FootnoteReference"/>
          <w:sz w:val="20"/>
        </w:rPr>
        <w:footnoteReference w:id="6"/>
      </w:r>
      <w:r w:rsidR="00845CB9" w:rsidRPr="004460F4">
        <w:rPr>
          <w:szCs w:val="22"/>
        </w:rPr>
        <w:t xml:space="preserve"> </w:t>
      </w:r>
      <w:r w:rsidR="001870FA" w:rsidRPr="004460F4">
        <w:rPr>
          <w:szCs w:val="22"/>
        </w:rPr>
        <w:t xml:space="preserve"> The Commission did not dictate the precise form of the consumer disclos</w:t>
      </w:r>
      <w:r w:rsidR="005A22D2" w:rsidRPr="004460F4">
        <w:rPr>
          <w:szCs w:val="22"/>
        </w:rPr>
        <w:t xml:space="preserve">ure, </w:t>
      </w:r>
      <w:r w:rsidR="001870FA" w:rsidRPr="004460F4">
        <w:rPr>
          <w:szCs w:val="22"/>
        </w:rPr>
        <w:t xml:space="preserve">but stated that it would evaluate disclosures for reasonableness based on a number of factors, including </w:t>
      </w:r>
      <w:r w:rsidR="009B0753" w:rsidRPr="004460F4">
        <w:rPr>
          <w:szCs w:val="22"/>
        </w:rPr>
        <w:t>disclosure of information regarding all material charges and use of plain language that can be readily understood by end users.</w:t>
      </w:r>
    </w:p>
    <w:bookmarkEnd w:id="3"/>
    <w:p w14:paraId="79824518" w14:textId="31793AE9" w:rsidR="00CA4DFF" w:rsidRPr="004460F4" w:rsidRDefault="00D3520F" w:rsidP="00B9212C">
      <w:pPr>
        <w:pStyle w:val="ParaNumChar1"/>
        <w:tabs>
          <w:tab w:val="clear" w:pos="1080"/>
          <w:tab w:val="clear" w:pos="1440"/>
          <w:tab w:val="left" w:pos="720"/>
        </w:tabs>
        <w:ind w:firstLine="0"/>
        <w:rPr>
          <w:szCs w:val="22"/>
        </w:rPr>
      </w:pPr>
      <w:r w:rsidRPr="004460F4">
        <w:rPr>
          <w:szCs w:val="22"/>
        </w:rPr>
        <w:tab/>
      </w:r>
      <w:r w:rsidR="00A312B6" w:rsidRPr="004460F4">
        <w:rPr>
          <w:i/>
          <w:szCs w:val="22"/>
        </w:rPr>
        <w:t xml:space="preserve">Changes to the Annual Report and Instructions.  </w:t>
      </w:r>
      <w:r w:rsidR="0081640F" w:rsidRPr="004460F4">
        <w:rPr>
          <w:szCs w:val="22"/>
        </w:rPr>
        <w:t>On June 13, 2017, the</w:t>
      </w:r>
      <w:r w:rsidR="00685CB0">
        <w:rPr>
          <w:szCs w:val="22"/>
        </w:rPr>
        <w:t xml:space="preserve"> United States Court of Appeals for the</w:t>
      </w:r>
      <w:r w:rsidR="0081640F" w:rsidRPr="004460F4">
        <w:rPr>
          <w:szCs w:val="22"/>
        </w:rPr>
        <w:t xml:space="preserve"> D.C. Circuit</w:t>
      </w:r>
      <w:r w:rsidR="00685CB0">
        <w:rPr>
          <w:szCs w:val="22"/>
        </w:rPr>
        <w:t xml:space="preserve"> (D.C. Circuit)</w:t>
      </w:r>
      <w:r w:rsidR="0081640F" w:rsidRPr="004460F4">
        <w:rPr>
          <w:szCs w:val="22"/>
        </w:rPr>
        <w:t xml:space="preserve"> </w:t>
      </w:r>
      <w:r w:rsidR="00EB4C0F" w:rsidRPr="004460F4">
        <w:rPr>
          <w:szCs w:val="22"/>
        </w:rPr>
        <w:t xml:space="preserve">in </w:t>
      </w:r>
      <w:r w:rsidR="005D52B2" w:rsidRPr="004460F4">
        <w:rPr>
          <w:i/>
          <w:szCs w:val="22"/>
        </w:rPr>
        <w:t xml:space="preserve">GTL v. </w:t>
      </w:r>
      <w:bookmarkStart w:id="4" w:name="_Hlk17102533"/>
      <w:r w:rsidR="005D52B2" w:rsidRPr="004460F4">
        <w:rPr>
          <w:i/>
          <w:szCs w:val="22"/>
        </w:rPr>
        <w:t>FCC</w:t>
      </w:r>
      <w:r w:rsidR="005D52B2" w:rsidRPr="004460F4">
        <w:rPr>
          <w:szCs w:val="22"/>
        </w:rPr>
        <w:t xml:space="preserve"> vacated the </w:t>
      </w:r>
      <w:r w:rsidR="00FC3866" w:rsidRPr="004460F4">
        <w:rPr>
          <w:szCs w:val="22"/>
        </w:rPr>
        <w:t xml:space="preserve">video visitation </w:t>
      </w:r>
      <w:r w:rsidR="005D52B2" w:rsidRPr="004460F4">
        <w:rPr>
          <w:szCs w:val="22"/>
        </w:rPr>
        <w:t xml:space="preserve">reporting requirements </w:t>
      </w:r>
      <w:r w:rsidR="00A312B6" w:rsidRPr="004460F4">
        <w:rPr>
          <w:szCs w:val="22"/>
        </w:rPr>
        <w:t>in the annual report</w:t>
      </w:r>
      <w:bookmarkEnd w:id="4"/>
      <w:r w:rsidR="0081640F" w:rsidRPr="004460F4">
        <w:rPr>
          <w:szCs w:val="22"/>
        </w:rPr>
        <w:t>.</w:t>
      </w:r>
      <w:r w:rsidR="0095669B" w:rsidRPr="009F3BD2">
        <w:rPr>
          <w:rStyle w:val="FootnoteReference"/>
          <w:sz w:val="20"/>
        </w:rPr>
        <w:footnoteReference w:id="7"/>
      </w:r>
      <w:r w:rsidR="0081640F" w:rsidRPr="00AB1E80">
        <w:rPr>
          <w:szCs w:val="22"/>
        </w:rPr>
        <w:t xml:space="preserve"> </w:t>
      </w:r>
      <w:r w:rsidR="0065525A" w:rsidRPr="00AB1E80">
        <w:rPr>
          <w:szCs w:val="22"/>
        </w:rPr>
        <w:t xml:space="preserve"> </w:t>
      </w:r>
      <w:r w:rsidR="00FA2980" w:rsidRPr="004460F4">
        <w:rPr>
          <w:szCs w:val="22"/>
        </w:rPr>
        <w:t>Pursuant to t</w:t>
      </w:r>
      <w:r w:rsidR="0065525A" w:rsidRPr="004460F4">
        <w:rPr>
          <w:szCs w:val="22"/>
        </w:rPr>
        <w:t>he D.C. Circuit’s</w:t>
      </w:r>
      <w:r w:rsidR="00FA2980" w:rsidRPr="004460F4">
        <w:rPr>
          <w:szCs w:val="22"/>
        </w:rPr>
        <w:t xml:space="preserve"> </w:t>
      </w:r>
      <w:r w:rsidR="007B520F" w:rsidRPr="004460F4">
        <w:rPr>
          <w:szCs w:val="22"/>
        </w:rPr>
        <w:t xml:space="preserve">mandate, </w:t>
      </w:r>
      <w:r w:rsidR="00FC3866" w:rsidRPr="004460F4">
        <w:rPr>
          <w:szCs w:val="22"/>
        </w:rPr>
        <w:t xml:space="preserve">we </w:t>
      </w:r>
      <w:r w:rsidR="00466382" w:rsidRPr="004460F4">
        <w:rPr>
          <w:szCs w:val="22"/>
        </w:rPr>
        <w:t>have</w:t>
      </w:r>
      <w:r w:rsidR="00BB2D21" w:rsidRPr="004460F4">
        <w:rPr>
          <w:szCs w:val="22"/>
        </w:rPr>
        <w:t xml:space="preserve"> </w:t>
      </w:r>
      <w:r w:rsidR="0052356C" w:rsidRPr="004460F4">
        <w:rPr>
          <w:szCs w:val="22"/>
        </w:rPr>
        <w:t xml:space="preserve">removed the “Video Calling Services” section </w:t>
      </w:r>
      <w:bookmarkStart w:id="5" w:name="_Hlk15897171"/>
      <w:r w:rsidR="00A312B6" w:rsidRPr="004460F4">
        <w:rPr>
          <w:szCs w:val="22"/>
        </w:rPr>
        <w:t xml:space="preserve">from </w:t>
      </w:r>
      <w:r w:rsidR="00466382" w:rsidRPr="004460F4">
        <w:rPr>
          <w:szCs w:val="22"/>
        </w:rPr>
        <w:t xml:space="preserve">FCC </w:t>
      </w:r>
      <w:r w:rsidR="002774A2" w:rsidRPr="004460F4">
        <w:rPr>
          <w:szCs w:val="22"/>
        </w:rPr>
        <w:t>Form 2301(a)</w:t>
      </w:r>
      <w:bookmarkEnd w:id="5"/>
      <w:r w:rsidR="002774A2" w:rsidRPr="004460F4">
        <w:rPr>
          <w:szCs w:val="22"/>
        </w:rPr>
        <w:t xml:space="preserve">. </w:t>
      </w:r>
      <w:r w:rsidR="00EB41C9" w:rsidRPr="004460F4">
        <w:rPr>
          <w:szCs w:val="22"/>
        </w:rPr>
        <w:t xml:space="preserve"> </w:t>
      </w:r>
      <w:r w:rsidR="00CC3086" w:rsidRPr="004460F4">
        <w:rPr>
          <w:szCs w:val="22"/>
        </w:rPr>
        <w:t xml:space="preserve">In addition, we have </w:t>
      </w:r>
      <w:r w:rsidR="00CA4DFF" w:rsidRPr="004460F4">
        <w:rPr>
          <w:szCs w:val="22"/>
        </w:rPr>
        <w:t>amended the accompanying instructions to reflect the removal of th</w:t>
      </w:r>
      <w:r w:rsidR="00ED2522" w:rsidRPr="004460F4">
        <w:rPr>
          <w:szCs w:val="22"/>
        </w:rPr>
        <w:t xml:space="preserve">is </w:t>
      </w:r>
      <w:r w:rsidR="00CA4DFF" w:rsidRPr="004460F4">
        <w:rPr>
          <w:szCs w:val="22"/>
        </w:rPr>
        <w:t>reporting requirement.</w:t>
      </w:r>
    </w:p>
    <w:p w14:paraId="15A1AC06" w14:textId="79D53A39" w:rsidR="001770F8" w:rsidRPr="00AB1E80" w:rsidRDefault="00CA4DFF" w:rsidP="00B9212C">
      <w:pPr>
        <w:pStyle w:val="ParaNumChar1"/>
        <w:tabs>
          <w:tab w:val="clear" w:pos="1080"/>
          <w:tab w:val="clear" w:pos="1440"/>
          <w:tab w:val="left" w:pos="720"/>
        </w:tabs>
        <w:ind w:firstLine="0"/>
        <w:rPr>
          <w:szCs w:val="22"/>
        </w:rPr>
      </w:pPr>
      <w:r w:rsidRPr="004460F4">
        <w:rPr>
          <w:szCs w:val="22"/>
        </w:rPr>
        <w:tab/>
      </w:r>
      <w:r w:rsidR="00CC3086" w:rsidRPr="004460F4">
        <w:rPr>
          <w:szCs w:val="22"/>
        </w:rPr>
        <w:t>As part of the Commission’s continu</w:t>
      </w:r>
      <w:r w:rsidR="00F010AD" w:rsidRPr="004460F4">
        <w:rPr>
          <w:szCs w:val="22"/>
        </w:rPr>
        <w:t>ed</w:t>
      </w:r>
      <w:r w:rsidR="00CC3086" w:rsidRPr="004460F4">
        <w:rPr>
          <w:szCs w:val="22"/>
        </w:rPr>
        <w:t xml:space="preserve"> administration of the ICS data collection, we have </w:t>
      </w:r>
      <w:r w:rsidR="00200589" w:rsidRPr="004460F4">
        <w:rPr>
          <w:szCs w:val="22"/>
        </w:rPr>
        <w:t xml:space="preserve">changed </w:t>
      </w:r>
      <w:r w:rsidR="00CC3086" w:rsidRPr="004460F4">
        <w:rPr>
          <w:szCs w:val="22"/>
        </w:rPr>
        <w:t>FCC Form 2301(a)</w:t>
      </w:r>
      <w:r w:rsidR="007A537B">
        <w:rPr>
          <w:szCs w:val="22"/>
        </w:rPr>
        <w:t xml:space="preserve"> and the accompanying instructions</w:t>
      </w:r>
      <w:r w:rsidR="00200589" w:rsidRPr="004460F4">
        <w:rPr>
          <w:szCs w:val="22"/>
        </w:rPr>
        <w:t xml:space="preserve"> in several </w:t>
      </w:r>
      <w:r w:rsidR="000E18BD" w:rsidRPr="004460F4">
        <w:rPr>
          <w:szCs w:val="22"/>
        </w:rPr>
        <w:t>additional</w:t>
      </w:r>
      <w:r w:rsidR="00200589" w:rsidRPr="004460F4">
        <w:rPr>
          <w:szCs w:val="22"/>
        </w:rPr>
        <w:t xml:space="preserve"> respects</w:t>
      </w:r>
      <w:r w:rsidR="00637086" w:rsidRPr="004460F4">
        <w:rPr>
          <w:szCs w:val="22"/>
        </w:rPr>
        <w:t xml:space="preserve">. </w:t>
      </w:r>
      <w:r w:rsidR="00EB41C9" w:rsidRPr="004460F4">
        <w:rPr>
          <w:szCs w:val="22"/>
        </w:rPr>
        <w:t xml:space="preserve"> </w:t>
      </w:r>
      <w:r w:rsidR="00637086" w:rsidRPr="004460F4">
        <w:rPr>
          <w:szCs w:val="22"/>
        </w:rPr>
        <w:t xml:space="preserve">These </w:t>
      </w:r>
      <w:r w:rsidR="002A69B7" w:rsidRPr="004460F4">
        <w:rPr>
          <w:szCs w:val="22"/>
        </w:rPr>
        <w:t xml:space="preserve">changes </w:t>
      </w:r>
      <w:r w:rsidR="00614D56">
        <w:rPr>
          <w:szCs w:val="22"/>
        </w:rPr>
        <w:t xml:space="preserve">reflect </w:t>
      </w:r>
      <w:r w:rsidR="008A5EA2">
        <w:rPr>
          <w:szCs w:val="22"/>
        </w:rPr>
        <w:t xml:space="preserve">formal and informal </w:t>
      </w:r>
      <w:r w:rsidR="00614D56">
        <w:rPr>
          <w:szCs w:val="22"/>
        </w:rPr>
        <w:t>input from ICS providers as we</w:t>
      </w:r>
      <w:r w:rsidR="006E735D">
        <w:rPr>
          <w:szCs w:val="22"/>
        </w:rPr>
        <w:t xml:space="preserve">ll as the Commission’s staff experience in analyzing the </w:t>
      </w:r>
      <w:r w:rsidR="0047588F">
        <w:rPr>
          <w:szCs w:val="22"/>
        </w:rPr>
        <w:t>annual report</w:t>
      </w:r>
      <w:r w:rsidR="006E735D">
        <w:rPr>
          <w:szCs w:val="22"/>
        </w:rPr>
        <w:t>s.</w:t>
      </w:r>
      <w:r w:rsidR="008A5EA2" w:rsidRPr="009F3BD2">
        <w:rPr>
          <w:rStyle w:val="FootnoteReference"/>
          <w:sz w:val="20"/>
        </w:rPr>
        <w:footnoteReference w:id="8"/>
      </w:r>
      <w:r w:rsidR="006E735D">
        <w:rPr>
          <w:szCs w:val="22"/>
        </w:rPr>
        <w:t xml:space="preserve">  </w:t>
      </w:r>
      <w:bookmarkStart w:id="6" w:name="_Hlk17106034"/>
      <w:r w:rsidR="005E282B">
        <w:rPr>
          <w:szCs w:val="22"/>
        </w:rPr>
        <w:t>They</w:t>
      </w:r>
      <w:r w:rsidR="006E735D">
        <w:rPr>
          <w:szCs w:val="22"/>
        </w:rPr>
        <w:t xml:space="preserve"> </w:t>
      </w:r>
      <w:r w:rsidR="001203EF">
        <w:rPr>
          <w:szCs w:val="22"/>
        </w:rPr>
        <w:t>make the instructions clearer</w:t>
      </w:r>
      <w:r w:rsidR="006E735D">
        <w:rPr>
          <w:szCs w:val="22"/>
        </w:rPr>
        <w:t xml:space="preserve"> </w:t>
      </w:r>
      <w:r w:rsidR="001203EF">
        <w:rPr>
          <w:szCs w:val="22"/>
        </w:rPr>
        <w:t xml:space="preserve">and will </w:t>
      </w:r>
      <w:r w:rsidR="002A69B7" w:rsidRPr="004460F4">
        <w:rPr>
          <w:szCs w:val="22"/>
        </w:rPr>
        <w:t xml:space="preserve">make </w:t>
      </w:r>
      <w:r w:rsidR="00AA67BA" w:rsidRPr="004460F4">
        <w:rPr>
          <w:szCs w:val="22"/>
        </w:rPr>
        <w:t>the annual report</w:t>
      </w:r>
      <w:r w:rsidR="0046497C">
        <w:rPr>
          <w:szCs w:val="22"/>
        </w:rPr>
        <w:t xml:space="preserve">s easier to understand and </w:t>
      </w:r>
      <w:r w:rsidR="002A69B7" w:rsidRPr="004460F4">
        <w:rPr>
          <w:szCs w:val="22"/>
        </w:rPr>
        <w:t>analyze</w:t>
      </w:r>
      <w:r w:rsidR="0046497C">
        <w:rPr>
          <w:szCs w:val="22"/>
        </w:rPr>
        <w:t xml:space="preserve">.  The changes </w:t>
      </w:r>
      <w:r w:rsidR="00A613AA" w:rsidRPr="004460F4">
        <w:rPr>
          <w:szCs w:val="22"/>
        </w:rPr>
        <w:t xml:space="preserve">will impose </w:t>
      </w:r>
      <w:r w:rsidR="00645326">
        <w:rPr>
          <w:szCs w:val="22"/>
        </w:rPr>
        <w:t xml:space="preserve">only a minimal </w:t>
      </w:r>
      <w:r w:rsidR="00A613AA" w:rsidRPr="004460F4">
        <w:rPr>
          <w:szCs w:val="22"/>
        </w:rPr>
        <w:t>additional burden</w:t>
      </w:r>
      <w:r w:rsidR="00370080" w:rsidRPr="004460F4">
        <w:rPr>
          <w:szCs w:val="22"/>
        </w:rPr>
        <w:t xml:space="preserve"> </w:t>
      </w:r>
      <w:r w:rsidR="00B964FC" w:rsidRPr="004460F4">
        <w:rPr>
          <w:szCs w:val="22"/>
        </w:rPr>
        <w:t xml:space="preserve">on providers </w:t>
      </w:r>
      <w:r w:rsidR="001770F8" w:rsidRPr="004460F4">
        <w:rPr>
          <w:szCs w:val="22"/>
        </w:rPr>
        <w:t>because</w:t>
      </w:r>
      <w:r w:rsidR="00A613AA" w:rsidRPr="004460F4">
        <w:rPr>
          <w:szCs w:val="22"/>
        </w:rPr>
        <w:t xml:space="preserve"> the</w:t>
      </w:r>
      <w:r w:rsidR="0046497C">
        <w:rPr>
          <w:szCs w:val="22"/>
        </w:rPr>
        <w:t>y</w:t>
      </w:r>
      <w:r w:rsidR="00D01027" w:rsidRPr="004460F4">
        <w:rPr>
          <w:szCs w:val="22"/>
        </w:rPr>
        <w:t xml:space="preserve"> address only informati</w:t>
      </w:r>
      <w:r w:rsidR="00150D56" w:rsidRPr="004460F4">
        <w:rPr>
          <w:szCs w:val="22"/>
        </w:rPr>
        <w:t>o</w:t>
      </w:r>
      <w:r w:rsidR="00D01027" w:rsidRPr="004460F4">
        <w:rPr>
          <w:szCs w:val="22"/>
        </w:rPr>
        <w:t>n that providers</w:t>
      </w:r>
      <w:r w:rsidR="00A613AA" w:rsidRPr="004460F4">
        <w:rPr>
          <w:szCs w:val="22"/>
        </w:rPr>
        <w:t xml:space="preserve"> usually and customarily compil</w:t>
      </w:r>
      <w:r w:rsidR="00B964FC" w:rsidRPr="004460F4">
        <w:rPr>
          <w:szCs w:val="22"/>
        </w:rPr>
        <w:t>e</w:t>
      </w:r>
      <w:r w:rsidR="001770F8" w:rsidRPr="004460F4">
        <w:rPr>
          <w:szCs w:val="22"/>
        </w:rPr>
        <w:t xml:space="preserve"> </w:t>
      </w:r>
      <w:r w:rsidR="00A613AA" w:rsidRPr="004460F4">
        <w:rPr>
          <w:szCs w:val="22"/>
        </w:rPr>
        <w:t>in the normal course of</w:t>
      </w:r>
      <w:r w:rsidR="00CC163B" w:rsidRPr="004460F4">
        <w:rPr>
          <w:szCs w:val="22"/>
        </w:rPr>
        <w:t xml:space="preserve"> their</w:t>
      </w:r>
      <w:r w:rsidR="00A613AA" w:rsidRPr="004460F4">
        <w:rPr>
          <w:szCs w:val="22"/>
        </w:rPr>
        <w:t xml:space="preserve"> </w:t>
      </w:r>
      <w:r w:rsidR="001770F8" w:rsidRPr="004460F4">
        <w:rPr>
          <w:szCs w:val="22"/>
        </w:rPr>
        <w:t xml:space="preserve">business </w:t>
      </w:r>
      <w:r w:rsidR="00A613AA" w:rsidRPr="004460F4">
        <w:rPr>
          <w:szCs w:val="22"/>
        </w:rPr>
        <w:t>activities</w:t>
      </w:r>
      <w:r w:rsidR="00AA67BA" w:rsidRPr="004460F4">
        <w:rPr>
          <w:szCs w:val="22"/>
        </w:rPr>
        <w:t>.</w:t>
      </w:r>
      <w:r w:rsidR="00C82A34" w:rsidRPr="004460F4">
        <w:rPr>
          <w:szCs w:val="22"/>
        </w:rPr>
        <w:t xml:space="preserve"> </w:t>
      </w:r>
      <w:bookmarkEnd w:id="6"/>
    </w:p>
    <w:p w14:paraId="765110DB" w14:textId="77777777" w:rsidR="009A4A23" w:rsidRPr="00AB1E80" w:rsidRDefault="001770F8" w:rsidP="00B9212C">
      <w:pPr>
        <w:pStyle w:val="ParaNumChar1"/>
        <w:tabs>
          <w:tab w:val="clear" w:pos="1080"/>
          <w:tab w:val="clear" w:pos="1440"/>
          <w:tab w:val="left" w:pos="720"/>
        </w:tabs>
        <w:ind w:firstLine="0"/>
        <w:rPr>
          <w:szCs w:val="22"/>
        </w:rPr>
      </w:pPr>
      <w:r w:rsidRPr="00AB1E80">
        <w:rPr>
          <w:szCs w:val="22"/>
        </w:rPr>
        <w:tab/>
      </w:r>
      <w:r w:rsidR="00C82A34" w:rsidRPr="004460F4">
        <w:rPr>
          <w:szCs w:val="22"/>
        </w:rPr>
        <w:t xml:space="preserve">The </w:t>
      </w:r>
      <w:r w:rsidR="00ED165E" w:rsidRPr="004460F4">
        <w:rPr>
          <w:szCs w:val="22"/>
        </w:rPr>
        <w:t xml:space="preserve">amended </w:t>
      </w:r>
      <w:r w:rsidR="00C82A34" w:rsidRPr="004460F4">
        <w:rPr>
          <w:szCs w:val="22"/>
        </w:rPr>
        <w:t>instructions require ICS providers to</w:t>
      </w:r>
      <w:r w:rsidR="00C82A34" w:rsidRPr="00AB1E80">
        <w:rPr>
          <w:szCs w:val="22"/>
        </w:rPr>
        <w:t>:</w:t>
      </w:r>
    </w:p>
    <w:p w14:paraId="1F00A7FB" w14:textId="77777777" w:rsidR="009F785E" w:rsidRDefault="009F785E" w:rsidP="009F785E">
      <w:pPr>
        <w:pStyle w:val="ListParagraph"/>
        <w:numPr>
          <w:ilvl w:val="0"/>
          <w:numId w:val="4"/>
        </w:numPr>
        <w:rPr>
          <w:bCs/>
          <w:sz w:val="22"/>
          <w:szCs w:val="22"/>
        </w:rPr>
      </w:pPr>
      <w:r w:rsidRPr="004460F4">
        <w:rPr>
          <w:bCs/>
          <w:sz w:val="22"/>
          <w:szCs w:val="22"/>
        </w:rPr>
        <w:t xml:space="preserve">Submit all reports using the electronic Excel template provided by the Commission, and </w:t>
      </w:r>
      <w:r w:rsidR="006232B9" w:rsidRPr="004460F4">
        <w:rPr>
          <w:bCs/>
          <w:sz w:val="22"/>
          <w:szCs w:val="22"/>
        </w:rPr>
        <w:t xml:space="preserve">to </w:t>
      </w:r>
      <w:r w:rsidRPr="004460F4">
        <w:rPr>
          <w:bCs/>
          <w:sz w:val="22"/>
          <w:szCs w:val="22"/>
        </w:rPr>
        <w:t>provide the data in a machine-readable, manipulatable format</w:t>
      </w:r>
      <w:r w:rsidR="006232B9" w:rsidRPr="004460F4">
        <w:rPr>
          <w:bCs/>
          <w:sz w:val="22"/>
          <w:szCs w:val="22"/>
        </w:rPr>
        <w:t>;</w:t>
      </w:r>
    </w:p>
    <w:p w14:paraId="77391CED" w14:textId="77777777" w:rsidR="00DC1A4D" w:rsidRDefault="00DC1A4D" w:rsidP="00DC1A4D">
      <w:pPr>
        <w:pStyle w:val="ListParagraph"/>
        <w:ind w:left="1080"/>
        <w:rPr>
          <w:bCs/>
          <w:sz w:val="22"/>
          <w:szCs w:val="22"/>
        </w:rPr>
      </w:pPr>
    </w:p>
    <w:p w14:paraId="65179AA5" w14:textId="77777777" w:rsidR="00DC1A4D" w:rsidRDefault="00DC1A4D" w:rsidP="009F785E">
      <w:pPr>
        <w:pStyle w:val="ListParagraph"/>
        <w:numPr>
          <w:ilvl w:val="0"/>
          <w:numId w:val="4"/>
        </w:numPr>
        <w:rPr>
          <w:bCs/>
          <w:sz w:val="22"/>
          <w:szCs w:val="22"/>
        </w:rPr>
      </w:pPr>
      <w:r>
        <w:rPr>
          <w:bCs/>
          <w:sz w:val="22"/>
          <w:szCs w:val="22"/>
        </w:rPr>
        <w:t>Provide city and state information for each facilit</w:t>
      </w:r>
      <w:r w:rsidR="00355F5A">
        <w:rPr>
          <w:bCs/>
          <w:sz w:val="22"/>
          <w:szCs w:val="22"/>
        </w:rPr>
        <w:t>y</w:t>
      </w:r>
      <w:r>
        <w:rPr>
          <w:bCs/>
          <w:sz w:val="22"/>
          <w:szCs w:val="22"/>
        </w:rPr>
        <w:t xml:space="preserve"> served;</w:t>
      </w:r>
    </w:p>
    <w:p w14:paraId="5594912B" w14:textId="77777777" w:rsidR="001B24C4" w:rsidRPr="001B24C4" w:rsidRDefault="001B24C4" w:rsidP="001B24C4">
      <w:pPr>
        <w:pStyle w:val="ListParagraph"/>
        <w:rPr>
          <w:bCs/>
          <w:sz w:val="22"/>
          <w:szCs w:val="22"/>
        </w:rPr>
      </w:pPr>
    </w:p>
    <w:p w14:paraId="3F9207AC" w14:textId="77777777" w:rsidR="001B24C4" w:rsidRDefault="001B24C4" w:rsidP="009F785E">
      <w:pPr>
        <w:pStyle w:val="ListParagraph"/>
        <w:numPr>
          <w:ilvl w:val="0"/>
          <w:numId w:val="4"/>
        </w:numPr>
        <w:rPr>
          <w:bCs/>
          <w:sz w:val="22"/>
          <w:szCs w:val="22"/>
        </w:rPr>
      </w:pPr>
      <w:r>
        <w:rPr>
          <w:bCs/>
          <w:sz w:val="22"/>
          <w:szCs w:val="22"/>
        </w:rPr>
        <w:t xml:space="preserve">Group the facilities served by </w:t>
      </w:r>
      <w:r w:rsidR="003E59F8">
        <w:rPr>
          <w:bCs/>
          <w:sz w:val="22"/>
          <w:szCs w:val="22"/>
        </w:rPr>
        <w:t>underlying contracts in the section for ICS Rates;</w:t>
      </w:r>
    </w:p>
    <w:p w14:paraId="603D1E49" w14:textId="77777777" w:rsidR="009F785E" w:rsidRPr="00B136F6" w:rsidRDefault="009F785E" w:rsidP="00B136F6">
      <w:pPr>
        <w:rPr>
          <w:bCs/>
          <w:sz w:val="22"/>
          <w:szCs w:val="22"/>
        </w:rPr>
      </w:pPr>
    </w:p>
    <w:p w14:paraId="23BFB754" w14:textId="77777777" w:rsidR="00EE07AC" w:rsidRPr="00AB1E80" w:rsidRDefault="003A1D2C" w:rsidP="00EE07AC">
      <w:pPr>
        <w:pStyle w:val="ListParagraph"/>
        <w:numPr>
          <w:ilvl w:val="0"/>
          <w:numId w:val="4"/>
        </w:numPr>
        <w:rPr>
          <w:bCs/>
          <w:sz w:val="22"/>
          <w:szCs w:val="22"/>
        </w:rPr>
      </w:pPr>
      <w:r w:rsidRPr="004460F4">
        <w:rPr>
          <w:bCs/>
          <w:sz w:val="22"/>
          <w:szCs w:val="22"/>
        </w:rPr>
        <w:t>S</w:t>
      </w:r>
      <w:r w:rsidR="00EE07AC" w:rsidRPr="004460F4">
        <w:rPr>
          <w:bCs/>
          <w:sz w:val="22"/>
          <w:szCs w:val="22"/>
        </w:rPr>
        <w:t xml:space="preserve">eparately report </w:t>
      </w:r>
      <w:r w:rsidR="00EA69B7">
        <w:rPr>
          <w:bCs/>
          <w:sz w:val="22"/>
          <w:szCs w:val="22"/>
        </w:rPr>
        <w:t xml:space="preserve">and explain </w:t>
      </w:r>
      <w:r w:rsidR="00EE07AC" w:rsidRPr="004460F4">
        <w:rPr>
          <w:bCs/>
          <w:sz w:val="22"/>
          <w:szCs w:val="22"/>
        </w:rPr>
        <w:t>their rates for debit/prepaid calls and collect calls</w:t>
      </w:r>
      <w:r w:rsidR="00B710F8" w:rsidRPr="004460F4">
        <w:rPr>
          <w:bCs/>
          <w:sz w:val="22"/>
          <w:szCs w:val="22"/>
        </w:rPr>
        <w:t>;</w:t>
      </w:r>
    </w:p>
    <w:p w14:paraId="0CE8DF12" w14:textId="77777777" w:rsidR="003E59F8" w:rsidRPr="003E59F8" w:rsidRDefault="003E59F8" w:rsidP="006B29E8"/>
    <w:p w14:paraId="5CC268F0" w14:textId="77777777" w:rsidR="00355F5A" w:rsidRDefault="003E59F8" w:rsidP="0065525A">
      <w:pPr>
        <w:pStyle w:val="ListParagraph"/>
        <w:numPr>
          <w:ilvl w:val="0"/>
          <w:numId w:val="4"/>
        </w:numPr>
        <w:rPr>
          <w:bCs/>
          <w:sz w:val="22"/>
          <w:szCs w:val="22"/>
        </w:rPr>
      </w:pPr>
      <w:r>
        <w:rPr>
          <w:bCs/>
          <w:sz w:val="22"/>
          <w:szCs w:val="22"/>
        </w:rPr>
        <w:t>Report fixed site commission payments by facility as well as by contract</w:t>
      </w:r>
      <w:r w:rsidR="00355F5A">
        <w:rPr>
          <w:bCs/>
          <w:sz w:val="22"/>
          <w:szCs w:val="22"/>
        </w:rPr>
        <w:t xml:space="preserve">; and </w:t>
      </w:r>
    </w:p>
    <w:p w14:paraId="2940B042" w14:textId="77777777" w:rsidR="00355F5A" w:rsidRPr="006B29E8" w:rsidRDefault="00355F5A" w:rsidP="006B29E8">
      <w:pPr>
        <w:pStyle w:val="ListParagraph"/>
        <w:rPr>
          <w:bCs/>
          <w:sz w:val="22"/>
          <w:szCs w:val="22"/>
        </w:rPr>
      </w:pPr>
    </w:p>
    <w:p w14:paraId="31B68B20" w14:textId="77777777" w:rsidR="0065525A" w:rsidRDefault="00355F5A" w:rsidP="0065525A">
      <w:pPr>
        <w:pStyle w:val="ListParagraph"/>
        <w:numPr>
          <w:ilvl w:val="0"/>
          <w:numId w:val="4"/>
        </w:numPr>
        <w:rPr>
          <w:bCs/>
          <w:sz w:val="22"/>
          <w:szCs w:val="22"/>
        </w:rPr>
      </w:pPr>
      <w:r>
        <w:rPr>
          <w:bCs/>
          <w:sz w:val="22"/>
          <w:szCs w:val="22"/>
        </w:rPr>
        <w:t xml:space="preserve">Explain certain </w:t>
      </w:r>
      <w:r w:rsidR="00EA69B7">
        <w:rPr>
          <w:bCs/>
          <w:sz w:val="22"/>
          <w:szCs w:val="22"/>
        </w:rPr>
        <w:t>entries,</w:t>
      </w:r>
      <w:r>
        <w:rPr>
          <w:bCs/>
          <w:sz w:val="22"/>
          <w:szCs w:val="22"/>
        </w:rPr>
        <w:t xml:space="preserve"> including any entry that omits requested information</w:t>
      </w:r>
      <w:r w:rsidR="00EA69B7">
        <w:rPr>
          <w:bCs/>
          <w:sz w:val="22"/>
          <w:szCs w:val="22"/>
        </w:rPr>
        <w:t>.</w:t>
      </w:r>
    </w:p>
    <w:p w14:paraId="4304187A" w14:textId="77777777" w:rsidR="003E59F8" w:rsidRPr="003E59F8" w:rsidRDefault="003E59F8" w:rsidP="003E59F8">
      <w:pPr>
        <w:rPr>
          <w:bCs/>
          <w:sz w:val="22"/>
          <w:szCs w:val="22"/>
        </w:rPr>
      </w:pPr>
    </w:p>
    <w:p w14:paraId="0F2BCF99" w14:textId="77777777" w:rsidR="0046762C" w:rsidRPr="004460F4" w:rsidRDefault="00AA7716" w:rsidP="00CC163B">
      <w:pPr>
        <w:ind w:firstLine="720"/>
        <w:rPr>
          <w:bCs/>
          <w:sz w:val="22"/>
          <w:szCs w:val="22"/>
        </w:rPr>
      </w:pPr>
      <w:r w:rsidRPr="004460F4">
        <w:rPr>
          <w:bCs/>
          <w:sz w:val="22"/>
          <w:szCs w:val="22"/>
        </w:rPr>
        <w:t xml:space="preserve">We estimate that </w:t>
      </w:r>
      <w:r w:rsidR="007A7A22" w:rsidRPr="004460F4">
        <w:rPr>
          <w:bCs/>
          <w:sz w:val="22"/>
          <w:szCs w:val="22"/>
        </w:rPr>
        <w:t>appro</w:t>
      </w:r>
      <w:r w:rsidR="008A5EA2">
        <w:rPr>
          <w:bCs/>
          <w:sz w:val="22"/>
          <w:szCs w:val="22"/>
        </w:rPr>
        <w:t>xi</w:t>
      </w:r>
      <w:r w:rsidR="007A7A22" w:rsidRPr="004460F4">
        <w:rPr>
          <w:bCs/>
          <w:sz w:val="22"/>
          <w:szCs w:val="22"/>
        </w:rPr>
        <w:t xml:space="preserve">mately 20 </w:t>
      </w:r>
      <w:r w:rsidR="00F26176" w:rsidRPr="004460F4">
        <w:rPr>
          <w:bCs/>
          <w:sz w:val="22"/>
          <w:szCs w:val="22"/>
        </w:rPr>
        <w:t>ICS providers will file annual reports</w:t>
      </w:r>
      <w:r w:rsidR="00BD7984" w:rsidRPr="004460F4">
        <w:rPr>
          <w:bCs/>
          <w:sz w:val="22"/>
          <w:szCs w:val="22"/>
        </w:rPr>
        <w:t xml:space="preserve"> and certifications</w:t>
      </w:r>
      <w:r w:rsidR="00F26176" w:rsidRPr="004460F4">
        <w:rPr>
          <w:bCs/>
          <w:sz w:val="22"/>
          <w:szCs w:val="22"/>
        </w:rPr>
        <w:t xml:space="preserve"> on April 1, 2020 </w:t>
      </w:r>
      <w:r w:rsidR="006D5B47" w:rsidRPr="004460F4">
        <w:rPr>
          <w:bCs/>
          <w:sz w:val="22"/>
          <w:szCs w:val="22"/>
        </w:rPr>
        <w:t xml:space="preserve">using </w:t>
      </w:r>
      <w:r w:rsidR="00F26176" w:rsidRPr="004460F4">
        <w:rPr>
          <w:bCs/>
          <w:sz w:val="22"/>
          <w:szCs w:val="22"/>
        </w:rPr>
        <w:t>the</w:t>
      </w:r>
      <w:r w:rsidR="00CC7A3E" w:rsidRPr="004460F4">
        <w:rPr>
          <w:bCs/>
          <w:sz w:val="22"/>
          <w:szCs w:val="22"/>
        </w:rPr>
        <w:t xml:space="preserve"> revised </w:t>
      </w:r>
      <w:r w:rsidR="00EA3205" w:rsidRPr="004460F4">
        <w:rPr>
          <w:bCs/>
          <w:sz w:val="22"/>
          <w:szCs w:val="22"/>
        </w:rPr>
        <w:t xml:space="preserve">form </w:t>
      </w:r>
      <w:r w:rsidR="00CC7A3E" w:rsidRPr="004460F4">
        <w:rPr>
          <w:bCs/>
          <w:sz w:val="22"/>
          <w:szCs w:val="22"/>
        </w:rPr>
        <w:t>and instructions</w:t>
      </w:r>
      <w:r w:rsidR="00662A40" w:rsidRPr="004460F4">
        <w:rPr>
          <w:bCs/>
          <w:sz w:val="22"/>
          <w:szCs w:val="22"/>
        </w:rPr>
        <w:t>.</w:t>
      </w:r>
    </w:p>
    <w:p w14:paraId="1EC7DACE" w14:textId="77777777" w:rsidR="00AA7716" w:rsidRPr="004460F4" w:rsidRDefault="00AA7716" w:rsidP="00713380">
      <w:pPr>
        <w:rPr>
          <w:bCs/>
          <w:sz w:val="22"/>
          <w:szCs w:val="22"/>
        </w:rPr>
      </w:pPr>
    </w:p>
    <w:p w14:paraId="7421C97B" w14:textId="490793A2" w:rsidR="003345D4" w:rsidRPr="004460F4" w:rsidRDefault="007E0735" w:rsidP="00B9212C">
      <w:pPr>
        <w:pStyle w:val="ParaNumChar1"/>
        <w:tabs>
          <w:tab w:val="clear" w:pos="1080"/>
          <w:tab w:val="clear" w:pos="1440"/>
          <w:tab w:val="left" w:pos="720"/>
        </w:tabs>
        <w:ind w:firstLine="0"/>
        <w:rPr>
          <w:szCs w:val="22"/>
        </w:rPr>
      </w:pPr>
      <w:r w:rsidRPr="004460F4">
        <w:rPr>
          <w:szCs w:val="22"/>
        </w:rPr>
        <w:tab/>
        <w:t>Statutory authority for this information collection is contained in Sections: 1, 4(i), 4(j), 201, 225, 276, and 303(r) of the Communications Act of 1934, as amended, 47 U.S.C. §§ 151, 154(i)</w:t>
      </w:r>
      <w:r w:rsidR="00705BC0">
        <w:rPr>
          <w:szCs w:val="22"/>
        </w:rPr>
        <w:t>, 154(j)</w:t>
      </w:r>
      <w:r w:rsidRPr="004460F4">
        <w:rPr>
          <w:szCs w:val="22"/>
        </w:rPr>
        <w:t>, 201, 225, 276</w:t>
      </w:r>
      <w:r w:rsidR="00705BC0">
        <w:rPr>
          <w:szCs w:val="22"/>
        </w:rPr>
        <w:t>,</w:t>
      </w:r>
      <w:r w:rsidRPr="004460F4">
        <w:rPr>
          <w:szCs w:val="22"/>
        </w:rPr>
        <w:t xml:space="preserve"> and 303(r). </w:t>
      </w:r>
    </w:p>
    <w:p w14:paraId="4F3B59CF" w14:textId="77777777" w:rsidR="00E2213C" w:rsidRPr="004460F4" w:rsidRDefault="00326FEB" w:rsidP="00AB4BAF">
      <w:pPr>
        <w:spacing w:after="120"/>
        <w:ind w:firstLine="720"/>
        <w:rPr>
          <w:sz w:val="22"/>
          <w:szCs w:val="22"/>
        </w:rPr>
      </w:pPr>
      <w:r w:rsidRPr="004460F4">
        <w:rPr>
          <w:sz w:val="22"/>
          <w:szCs w:val="22"/>
        </w:rPr>
        <w:t>This information collection does not affect individuals or households; thus, there are no impacts under the Privacy Act.</w:t>
      </w:r>
    </w:p>
    <w:p w14:paraId="32F14A38" w14:textId="2B6E692F" w:rsidR="00A537D0" w:rsidRPr="004460F4" w:rsidRDefault="009256BF" w:rsidP="004460F4">
      <w:pPr>
        <w:pStyle w:val="Numberedparagraphs"/>
        <w:numPr>
          <w:ilvl w:val="0"/>
          <w:numId w:val="0"/>
        </w:numPr>
        <w:tabs>
          <w:tab w:val="clear" w:pos="1440"/>
          <w:tab w:val="left" w:pos="720"/>
        </w:tabs>
        <w:rPr>
          <w:sz w:val="22"/>
          <w:szCs w:val="22"/>
        </w:rPr>
      </w:pPr>
      <w:r w:rsidRPr="004460F4">
        <w:rPr>
          <w:sz w:val="22"/>
          <w:szCs w:val="22"/>
        </w:rPr>
        <w:tab/>
        <w:t xml:space="preserve">2.  </w:t>
      </w:r>
      <w:bookmarkStart w:id="7" w:name="_Hlk14172746"/>
      <w:r w:rsidR="0029304C" w:rsidRPr="004460F4">
        <w:rPr>
          <w:sz w:val="22"/>
          <w:szCs w:val="22"/>
        </w:rPr>
        <w:t>The information requirements set forth below ensure that the Commission has access to the information it needs to fulfill its</w:t>
      </w:r>
      <w:r w:rsidR="00EF19DE">
        <w:rPr>
          <w:sz w:val="22"/>
          <w:szCs w:val="22"/>
        </w:rPr>
        <w:t xml:space="preserve"> statutory and</w:t>
      </w:r>
      <w:r w:rsidR="0029304C" w:rsidRPr="004460F4">
        <w:rPr>
          <w:sz w:val="22"/>
          <w:szCs w:val="22"/>
        </w:rPr>
        <w:t xml:space="preserve"> regulatory duties</w:t>
      </w:r>
      <w:r w:rsidR="003D4CB7" w:rsidRPr="004460F4">
        <w:rPr>
          <w:sz w:val="22"/>
          <w:szCs w:val="22"/>
        </w:rPr>
        <w:t>,</w:t>
      </w:r>
      <w:r w:rsidR="0029304C" w:rsidRPr="004460F4">
        <w:rPr>
          <w:sz w:val="22"/>
          <w:szCs w:val="22"/>
        </w:rPr>
        <w:t xml:space="preserve"> while minimizing the burden on ICS providers.</w:t>
      </w:r>
      <w:r w:rsidR="006D646C" w:rsidRPr="004460F4">
        <w:rPr>
          <w:sz w:val="22"/>
          <w:szCs w:val="22"/>
        </w:rPr>
        <w:t xml:space="preserve"> </w:t>
      </w:r>
      <w:r w:rsidR="00C007D9">
        <w:rPr>
          <w:sz w:val="22"/>
          <w:szCs w:val="22"/>
        </w:rPr>
        <w:t xml:space="preserve"> </w:t>
      </w:r>
      <w:r w:rsidR="006D646C" w:rsidRPr="004460F4">
        <w:rPr>
          <w:sz w:val="22"/>
          <w:szCs w:val="22"/>
        </w:rPr>
        <w:t xml:space="preserve">Requiring ICS providers to file annual reports </w:t>
      </w:r>
      <w:r w:rsidR="00D039F8" w:rsidRPr="004460F4">
        <w:rPr>
          <w:sz w:val="22"/>
          <w:szCs w:val="22"/>
        </w:rPr>
        <w:t xml:space="preserve">and certifications </w:t>
      </w:r>
      <w:r w:rsidR="006D646C" w:rsidRPr="004460F4">
        <w:rPr>
          <w:sz w:val="22"/>
          <w:szCs w:val="22"/>
        </w:rPr>
        <w:t xml:space="preserve">and </w:t>
      </w:r>
      <w:r w:rsidR="00D039F8" w:rsidRPr="004460F4">
        <w:rPr>
          <w:sz w:val="22"/>
          <w:szCs w:val="22"/>
        </w:rPr>
        <w:t xml:space="preserve">to </w:t>
      </w:r>
      <w:r w:rsidR="006D646C" w:rsidRPr="004460F4">
        <w:rPr>
          <w:sz w:val="22"/>
          <w:szCs w:val="22"/>
        </w:rPr>
        <w:t xml:space="preserve">disclose their rates to consumers </w:t>
      </w:r>
      <w:r w:rsidR="00194C59" w:rsidRPr="00035D86">
        <w:rPr>
          <w:sz w:val="22"/>
          <w:szCs w:val="22"/>
        </w:rPr>
        <w:t xml:space="preserve">will help the Commission discharge </w:t>
      </w:r>
      <w:r w:rsidR="006D646C" w:rsidRPr="00035D86">
        <w:rPr>
          <w:sz w:val="22"/>
          <w:szCs w:val="22"/>
        </w:rPr>
        <w:t>its</w:t>
      </w:r>
      <w:r w:rsidR="007A7A22" w:rsidRPr="00035D86">
        <w:rPr>
          <w:sz w:val="22"/>
          <w:szCs w:val="22"/>
        </w:rPr>
        <w:t xml:space="preserve"> statutory</w:t>
      </w:r>
      <w:r w:rsidR="006D646C" w:rsidRPr="00035D86">
        <w:rPr>
          <w:sz w:val="22"/>
          <w:szCs w:val="22"/>
        </w:rPr>
        <w:t xml:space="preserve"> mandate</w:t>
      </w:r>
      <w:r w:rsidR="007A7A22" w:rsidRPr="00035D86">
        <w:rPr>
          <w:sz w:val="22"/>
          <w:szCs w:val="22"/>
        </w:rPr>
        <w:t>s</w:t>
      </w:r>
      <w:r w:rsidR="006D646C" w:rsidRPr="00035D86">
        <w:rPr>
          <w:sz w:val="22"/>
          <w:szCs w:val="22"/>
        </w:rPr>
        <w:t xml:space="preserve"> </w:t>
      </w:r>
      <w:r w:rsidR="007A7A22" w:rsidRPr="00035D86">
        <w:rPr>
          <w:sz w:val="22"/>
          <w:szCs w:val="22"/>
        </w:rPr>
        <w:t>regarding ICS</w:t>
      </w:r>
      <w:r w:rsidR="006D646C" w:rsidRPr="00EC3A4C">
        <w:rPr>
          <w:sz w:val="22"/>
          <w:szCs w:val="22"/>
        </w:rPr>
        <w:t>.</w:t>
      </w:r>
      <w:r w:rsidR="00E67A94" w:rsidRPr="00EC3A4C">
        <w:rPr>
          <w:sz w:val="22"/>
          <w:szCs w:val="22"/>
        </w:rPr>
        <w:t xml:space="preserve"> The annual reports </w:t>
      </w:r>
      <w:r w:rsidR="00C12D01" w:rsidRPr="00EC3A4C">
        <w:rPr>
          <w:sz w:val="22"/>
          <w:szCs w:val="22"/>
        </w:rPr>
        <w:t xml:space="preserve">also </w:t>
      </w:r>
      <w:r w:rsidR="0085271E" w:rsidRPr="00EC3A4C">
        <w:rPr>
          <w:sz w:val="22"/>
          <w:szCs w:val="22"/>
        </w:rPr>
        <w:t xml:space="preserve">will </w:t>
      </w:r>
      <w:r w:rsidR="00E67A94" w:rsidRPr="00EC3A4C">
        <w:rPr>
          <w:sz w:val="22"/>
          <w:szCs w:val="22"/>
        </w:rPr>
        <w:t xml:space="preserve">provide inmates, their families, </w:t>
      </w:r>
      <w:r w:rsidR="002507CA" w:rsidRPr="00EC3A4C">
        <w:rPr>
          <w:sz w:val="22"/>
          <w:szCs w:val="22"/>
        </w:rPr>
        <w:t>t</w:t>
      </w:r>
      <w:r w:rsidR="00E67A94" w:rsidRPr="00EC3A4C">
        <w:rPr>
          <w:sz w:val="22"/>
          <w:szCs w:val="22"/>
        </w:rPr>
        <w:t xml:space="preserve">heir representatives, </w:t>
      </w:r>
      <w:r w:rsidR="002507CA" w:rsidRPr="00EC3A4C">
        <w:rPr>
          <w:sz w:val="22"/>
          <w:szCs w:val="22"/>
        </w:rPr>
        <w:t xml:space="preserve">and the general public </w:t>
      </w:r>
      <w:r w:rsidR="00E67A94" w:rsidRPr="00EC3A4C">
        <w:rPr>
          <w:sz w:val="22"/>
          <w:szCs w:val="22"/>
        </w:rPr>
        <w:t>with access to information affecting the provision of interstate and international ICS.</w:t>
      </w:r>
    </w:p>
    <w:p w14:paraId="6DB90F06" w14:textId="77777777" w:rsidR="007E0735" w:rsidRPr="00AB1E80" w:rsidRDefault="007754E6" w:rsidP="009E403F">
      <w:pPr>
        <w:pStyle w:val="ParaNum"/>
        <w:widowControl/>
        <w:numPr>
          <w:ilvl w:val="0"/>
          <w:numId w:val="0"/>
        </w:numPr>
        <w:ind w:firstLine="720"/>
        <w:jc w:val="left"/>
        <w:rPr>
          <w:szCs w:val="22"/>
        </w:rPr>
      </w:pPr>
      <w:r w:rsidRPr="00AB1E80">
        <w:rPr>
          <w:szCs w:val="22"/>
        </w:rPr>
        <w:t>Since t</w:t>
      </w:r>
      <w:r w:rsidR="00D12287" w:rsidRPr="00AB1E80">
        <w:rPr>
          <w:szCs w:val="22"/>
        </w:rPr>
        <w:t xml:space="preserve">he start of this collection, the ICS providers’ annual reports </w:t>
      </w:r>
      <w:r w:rsidR="00717B14">
        <w:rPr>
          <w:szCs w:val="22"/>
        </w:rPr>
        <w:t xml:space="preserve">and certifications </w:t>
      </w:r>
      <w:r w:rsidR="00D12287" w:rsidRPr="00AB1E80">
        <w:rPr>
          <w:szCs w:val="22"/>
        </w:rPr>
        <w:t xml:space="preserve">have provided </w:t>
      </w:r>
      <w:r w:rsidR="00423F09" w:rsidRPr="004460F4">
        <w:rPr>
          <w:szCs w:val="22"/>
        </w:rPr>
        <w:t>extensive</w:t>
      </w:r>
      <w:r w:rsidR="00D12287" w:rsidRPr="004460F4">
        <w:rPr>
          <w:szCs w:val="22"/>
        </w:rPr>
        <w:t xml:space="preserve"> information about the ICS industry</w:t>
      </w:r>
      <w:r w:rsidR="007A7A22" w:rsidRPr="004460F4">
        <w:rPr>
          <w:szCs w:val="22"/>
        </w:rPr>
        <w:t>.</w:t>
      </w:r>
      <w:r w:rsidR="00DD04D9" w:rsidRPr="004460F4">
        <w:rPr>
          <w:i/>
          <w:szCs w:val="22"/>
        </w:rPr>
        <w:t xml:space="preserve"> </w:t>
      </w:r>
      <w:r w:rsidR="007A7A22" w:rsidRPr="004460F4">
        <w:rPr>
          <w:i/>
          <w:szCs w:val="22"/>
        </w:rPr>
        <w:t xml:space="preserve"> </w:t>
      </w:r>
      <w:r w:rsidR="00D12287" w:rsidRPr="004460F4">
        <w:rPr>
          <w:szCs w:val="22"/>
        </w:rPr>
        <w:t xml:space="preserve">Continuing to collect this </w:t>
      </w:r>
      <w:r w:rsidR="00211E8D" w:rsidRPr="004460F4">
        <w:rPr>
          <w:szCs w:val="22"/>
        </w:rPr>
        <w:t>information</w:t>
      </w:r>
      <w:r w:rsidR="00D12287" w:rsidRPr="004460F4">
        <w:rPr>
          <w:szCs w:val="22"/>
        </w:rPr>
        <w:t xml:space="preserve"> will </w:t>
      </w:r>
      <w:r w:rsidR="005A404E" w:rsidRPr="004460F4">
        <w:rPr>
          <w:szCs w:val="22"/>
        </w:rPr>
        <w:t>help</w:t>
      </w:r>
      <w:r w:rsidR="009448B8" w:rsidRPr="004460F4">
        <w:rPr>
          <w:szCs w:val="22"/>
        </w:rPr>
        <w:t xml:space="preserve"> the </w:t>
      </w:r>
      <w:r w:rsidR="00DD04D9" w:rsidRPr="004460F4">
        <w:rPr>
          <w:szCs w:val="22"/>
        </w:rPr>
        <w:t xml:space="preserve">Commission understand changes </w:t>
      </w:r>
      <w:r w:rsidR="009448B8" w:rsidRPr="004460F4">
        <w:rPr>
          <w:szCs w:val="22"/>
        </w:rPr>
        <w:t xml:space="preserve">in the </w:t>
      </w:r>
      <w:r w:rsidR="00DD04D9" w:rsidRPr="004460F4">
        <w:rPr>
          <w:szCs w:val="22"/>
        </w:rPr>
        <w:t xml:space="preserve">ICS industry </w:t>
      </w:r>
      <w:r w:rsidR="0091029E" w:rsidRPr="004460F4">
        <w:rPr>
          <w:szCs w:val="22"/>
        </w:rPr>
        <w:t xml:space="preserve">and </w:t>
      </w:r>
      <w:r w:rsidR="009448B8" w:rsidRPr="004460F4">
        <w:rPr>
          <w:szCs w:val="22"/>
        </w:rPr>
        <w:t>determine whether fu</w:t>
      </w:r>
      <w:r w:rsidR="006741B6" w:rsidRPr="004460F4">
        <w:rPr>
          <w:szCs w:val="22"/>
        </w:rPr>
        <w:t>rther</w:t>
      </w:r>
      <w:r w:rsidR="009448B8" w:rsidRPr="004460F4">
        <w:rPr>
          <w:szCs w:val="22"/>
        </w:rPr>
        <w:t xml:space="preserve"> ICS reform is needed.</w:t>
      </w:r>
      <w:r w:rsidR="00A0711C" w:rsidRPr="004460F4">
        <w:rPr>
          <w:szCs w:val="22"/>
        </w:rPr>
        <w:t xml:space="preserve">  </w:t>
      </w:r>
      <w:r w:rsidR="006D7336" w:rsidRPr="004460F4">
        <w:rPr>
          <w:szCs w:val="22"/>
        </w:rPr>
        <w:t xml:space="preserve">The </w:t>
      </w:r>
      <w:r w:rsidR="008F012C" w:rsidRPr="004460F4">
        <w:rPr>
          <w:szCs w:val="22"/>
        </w:rPr>
        <w:t>annual reporting requirement</w:t>
      </w:r>
      <w:r w:rsidR="008221B2" w:rsidRPr="004460F4">
        <w:rPr>
          <w:szCs w:val="22"/>
        </w:rPr>
        <w:t>s</w:t>
      </w:r>
      <w:r w:rsidR="008F012C" w:rsidRPr="004460F4">
        <w:rPr>
          <w:szCs w:val="22"/>
        </w:rPr>
        <w:t xml:space="preserve"> </w:t>
      </w:r>
      <w:r w:rsidR="006D7336" w:rsidRPr="004460F4">
        <w:rPr>
          <w:szCs w:val="22"/>
        </w:rPr>
        <w:t xml:space="preserve">also allow </w:t>
      </w:r>
      <w:r w:rsidR="00D232F6" w:rsidRPr="004460F4">
        <w:rPr>
          <w:szCs w:val="22"/>
        </w:rPr>
        <w:t xml:space="preserve">the </w:t>
      </w:r>
      <w:r w:rsidR="00661954" w:rsidRPr="004460F4">
        <w:rPr>
          <w:szCs w:val="22"/>
        </w:rPr>
        <w:t>Commission to monitor</w:t>
      </w:r>
      <w:r w:rsidR="000902A8" w:rsidRPr="004460F4">
        <w:rPr>
          <w:szCs w:val="22"/>
        </w:rPr>
        <w:t xml:space="preserve"> the</w:t>
      </w:r>
      <w:r w:rsidR="00661954" w:rsidRPr="004460F4">
        <w:rPr>
          <w:szCs w:val="22"/>
        </w:rPr>
        <w:t xml:space="preserve"> ICS providers’ compliance with </w:t>
      </w:r>
      <w:r w:rsidR="00423F09" w:rsidRPr="004460F4">
        <w:rPr>
          <w:szCs w:val="22"/>
        </w:rPr>
        <w:t>its ICS r</w:t>
      </w:r>
      <w:r w:rsidR="00A01B8E">
        <w:rPr>
          <w:szCs w:val="22"/>
        </w:rPr>
        <w:t>ul</w:t>
      </w:r>
      <w:r w:rsidR="00423F09" w:rsidRPr="004460F4">
        <w:rPr>
          <w:szCs w:val="22"/>
        </w:rPr>
        <w:t xml:space="preserve">es and to </w:t>
      </w:r>
      <w:r w:rsidR="00661954" w:rsidRPr="004460F4">
        <w:rPr>
          <w:szCs w:val="22"/>
        </w:rPr>
        <w:t>enforce th</w:t>
      </w:r>
      <w:r w:rsidR="00423F09" w:rsidRPr="004460F4">
        <w:rPr>
          <w:szCs w:val="22"/>
        </w:rPr>
        <w:t>os</w:t>
      </w:r>
      <w:r w:rsidR="00D74AD5" w:rsidRPr="004460F4">
        <w:rPr>
          <w:szCs w:val="22"/>
        </w:rPr>
        <w:t>e rules.</w:t>
      </w:r>
      <w:r w:rsidR="00423F09" w:rsidRPr="00AB1E80">
        <w:rPr>
          <w:szCs w:val="22"/>
        </w:rPr>
        <w:t xml:space="preserve"> </w:t>
      </w:r>
      <w:r w:rsidR="00955E57">
        <w:rPr>
          <w:szCs w:val="22"/>
        </w:rPr>
        <w:t xml:space="preserve"> </w:t>
      </w:r>
      <w:r w:rsidR="00CE042A" w:rsidRPr="004460F4">
        <w:rPr>
          <w:szCs w:val="22"/>
        </w:rPr>
        <w:t>T</w:t>
      </w:r>
      <w:r w:rsidR="00F53E75" w:rsidRPr="004460F4">
        <w:rPr>
          <w:szCs w:val="22"/>
        </w:rPr>
        <w:t>h</w:t>
      </w:r>
      <w:r w:rsidR="005A22D2" w:rsidRPr="004460F4">
        <w:rPr>
          <w:szCs w:val="22"/>
        </w:rPr>
        <w:t xml:space="preserve">e </w:t>
      </w:r>
      <w:r w:rsidR="006D7336" w:rsidRPr="004460F4">
        <w:rPr>
          <w:szCs w:val="22"/>
        </w:rPr>
        <w:t xml:space="preserve">Commission’s use of a standardized form to collect the data </w:t>
      </w:r>
      <w:r w:rsidR="00423F09" w:rsidRPr="004460F4">
        <w:rPr>
          <w:szCs w:val="22"/>
        </w:rPr>
        <w:t xml:space="preserve">and other information </w:t>
      </w:r>
      <w:r w:rsidR="006D7336" w:rsidRPr="004460F4">
        <w:rPr>
          <w:szCs w:val="22"/>
        </w:rPr>
        <w:t xml:space="preserve">makes it easier for </w:t>
      </w:r>
      <w:r w:rsidR="00045055" w:rsidRPr="004460F4">
        <w:rPr>
          <w:szCs w:val="22"/>
        </w:rPr>
        <w:t xml:space="preserve">the Commission </w:t>
      </w:r>
      <w:r w:rsidR="00423F09" w:rsidRPr="004460F4">
        <w:rPr>
          <w:szCs w:val="22"/>
        </w:rPr>
        <w:t xml:space="preserve">and the public </w:t>
      </w:r>
      <w:r w:rsidR="00045055" w:rsidRPr="004460F4">
        <w:rPr>
          <w:szCs w:val="22"/>
        </w:rPr>
        <w:t xml:space="preserve">to analyze the </w:t>
      </w:r>
      <w:r w:rsidR="00661954" w:rsidRPr="004460F4">
        <w:rPr>
          <w:szCs w:val="22"/>
        </w:rPr>
        <w:t>information</w:t>
      </w:r>
      <w:r w:rsidR="00973C62" w:rsidRPr="004460F4">
        <w:rPr>
          <w:szCs w:val="22"/>
        </w:rPr>
        <w:t xml:space="preserve">. </w:t>
      </w:r>
      <w:r w:rsidR="00E72579" w:rsidRPr="004460F4">
        <w:rPr>
          <w:szCs w:val="22"/>
        </w:rPr>
        <w:t xml:space="preserve"> </w:t>
      </w:r>
      <w:r w:rsidR="00F53E75" w:rsidRPr="004460F4">
        <w:rPr>
          <w:szCs w:val="22"/>
        </w:rPr>
        <w:t>Th</w:t>
      </w:r>
      <w:r w:rsidR="00B3300D" w:rsidRPr="004460F4">
        <w:rPr>
          <w:szCs w:val="22"/>
        </w:rPr>
        <w:t xml:space="preserve">is </w:t>
      </w:r>
      <w:r w:rsidR="00423F09" w:rsidRPr="004460F4">
        <w:rPr>
          <w:szCs w:val="22"/>
        </w:rPr>
        <w:t xml:space="preserve">information </w:t>
      </w:r>
      <w:r w:rsidR="006008E8" w:rsidRPr="004460F4">
        <w:rPr>
          <w:szCs w:val="22"/>
        </w:rPr>
        <w:t xml:space="preserve">is </w:t>
      </w:r>
      <w:r w:rsidR="00661954" w:rsidRPr="004460F4">
        <w:rPr>
          <w:szCs w:val="22"/>
        </w:rPr>
        <w:t>usually and customarily compiled and used by ICS providers in the normal course of business, which minimize</w:t>
      </w:r>
      <w:r w:rsidR="00973C62" w:rsidRPr="004460F4">
        <w:rPr>
          <w:szCs w:val="22"/>
        </w:rPr>
        <w:t>s</w:t>
      </w:r>
      <w:r w:rsidR="00661954" w:rsidRPr="004460F4">
        <w:rPr>
          <w:szCs w:val="22"/>
        </w:rPr>
        <w:t xml:space="preserve"> the burden of the collection.</w:t>
      </w:r>
      <w:bookmarkEnd w:id="7"/>
    </w:p>
    <w:p w14:paraId="6F823A5C" w14:textId="77777777" w:rsidR="003835FC" w:rsidRPr="004460F4" w:rsidRDefault="003835FC" w:rsidP="00284B0B">
      <w:pPr>
        <w:pStyle w:val="ParaNum"/>
        <w:widowControl/>
        <w:numPr>
          <w:ilvl w:val="0"/>
          <w:numId w:val="0"/>
        </w:numPr>
        <w:ind w:firstLine="720"/>
        <w:jc w:val="left"/>
        <w:rPr>
          <w:szCs w:val="22"/>
        </w:rPr>
      </w:pPr>
      <w:bookmarkStart w:id="8" w:name="_Hlk17281999"/>
      <w:r w:rsidRPr="004460F4">
        <w:rPr>
          <w:szCs w:val="22"/>
        </w:rPr>
        <w:t xml:space="preserve">The consumer disclosure </w:t>
      </w:r>
      <w:r w:rsidR="00423F09" w:rsidRPr="004460F4">
        <w:rPr>
          <w:szCs w:val="22"/>
        </w:rPr>
        <w:t>rule help</w:t>
      </w:r>
      <w:r w:rsidR="007348AB">
        <w:rPr>
          <w:szCs w:val="22"/>
        </w:rPr>
        <w:t>s</w:t>
      </w:r>
      <w:r w:rsidR="00423F09" w:rsidRPr="004460F4">
        <w:rPr>
          <w:szCs w:val="22"/>
        </w:rPr>
        <w:t xml:space="preserve"> ensure that ICS providers’ customers know the providers’ rates </w:t>
      </w:r>
      <w:r w:rsidR="005A151D" w:rsidRPr="004460F4">
        <w:rPr>
          <w:szCs w:val="22"/>
        </w:rPr>
        <w:t xml:space="preserve">and </w:t>
      </w:r>
      <w:r w:rsidR="00423F09" w:rsidRPr="004460F4">
        <w:rPr>
          <w:szCs w:val="22"/>
        </w:rPr>
        <w:t xml:space="preserve">can make informed decisions on whether to proceed with </w:t>
      </w:r>
      <w:r w:rsidR="002D4BB7" w:rsidRPr="004460F4">
        <w:rPr>
          <w:szCs w:val="22"/>
        </w:rPr>
        <w:t>ICS</w:t>
      </w:r>
      <w:r w:rsidR="00423F09" w:rsidRPr="004460F4">
        <w:rPr>
          <w:szCs w:val="22"/>
        </w:rPr>
        <w:t xml:space="preserve"> calls.</w:t>
      </w:r>
      <w:r w:rsidRPr="004460F4">
        <w:rPr>
          <w:szCs w:val="22"/>
        </w:rPr>
        <w:t xml:space="preserve">  </w:t>
      </w:r>
      <w:r w:rsidR="00145F7B" w:rsidRPr="004460F4">
        <w:rPr>
          <w:szCs w:val="22"/>
        </w:rPr>
        <w:t>Th</w:t>
      </w:r>
      <w:r w:rsidR="002D4BB7" w:rsidRPr="004460F4">
        <w:rPr>
          <w:szCs w:val="22"/>
        </w:rPr>
        <w:t xml:space="preserve">is </w:t>
      </w:r>
      <w:r w:rsidR="005A22D2" w:rsidRPr="004460F4">
        <w:rPr>
          <w:szCs w:val="22"/>
        </w:rPr>
        <w:t xml:space="preserve">data collection </w:t>
      </w:r>
      <w:r w:rsidR="00763612" w:rsidRPr="004460F4">
        <w:rPr>
          <w:szCs w:val="22"/>
        </w:rPr>
        <w:t xml:space="preserve">is </w:t>
      </w:r>
      <w:r w:rsidR="005A151D" w:rsidRPr="004460F4">
        <w:rPr>
          <w:szCs w:val="22"/>
        </w:rPr>
        <w:t>an essential consumer protection mechanism</w:t>
      </w:r>
      <w:r w:rsidR="005A22D2" w:rsidRPr="004460F4">
        <w:rPr>
          <w:szCs w:val="22"/>
        </w:rPr>
        <w:t>.</w:t>
      </w:r>
      <w:r w:rsidR="00145F7B" w:rsidRPr="004460F4">
        <w:rPr>
          <w:szCs w:val="22"/>
        </w:rPr>
        <w:t xml:space="preserve">  </w:t>
      </w:r>
    </w:p>
    <w:bookmarkEnd w:id="8"/>
    <w:p w14:paraId="7205CBE3" w14:textId="77777777"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 xml:space="preserve">3.  The Commission’s </w:t>
      </w:r>
      <w:r w:rsidR="004153C5" w:rsidRPr="004460F4">
        <w:rPr>
          <w:i/>
          <w:sz w:val="22"/>
          <w:szCs w:val="22"/>
        </w:rPr>
        <w:t>2015</w:t>
      </w:r>
      <w:r w:rsidRPr="004460F4">
        <w:rPr>
          <w:i/>
          <w:sz w:val="22"/>
          <w:szCs w:val="22"/>
        </w:rPr>
        <w:t xml:space="preserve"> Order</w:t>
      </w:r>
      <w:r w:rsidRPr="004460F4">
        <w:rPr>
          <w:sz w:val="22"/>
          <w:szCs w:val="22"/>
        </w:rPr>
        <w:t xml:space="preserve"> direct</w:t>
      </w:r>
      <w:r w:rsidR="00CC070C" w:rsidRPr="004460F4">
        <w:rPr>
          <w:sz w:val="22"/>
          <w:szCs w:val="22"/>
        </w:rPr>
        <w:t>ed</w:t>
      </w:r>
      <w:r w:rsidRPr="004460F4">
        <w:rPr>
          <w:sz w:val="22"/>
          <w:szCs w:val="22"/>
        </w:rPr>
        <w:t xml:space="preserve"> staff to develop a standardized template for the submission of data and to provide instructions to simplify compliance with</w:t>
      </w:r>
      <w:r w:rsidR="00B32969" w:rsidRPr="004460F4">
        <w:rPr>
          <w:sz w:val="22"/>
          <w:szCs w:val="22"/>
        </w:rPr>
        <w:t>,</w:t>
      </w:r>
      <w:r w:rsidRPr="004460F4">
        <w:rPr>
          <w:sz w:val="22"/>
          <w:szCs w:val="22"/>
        </w:rPr>
        <w:t xml:space="preserve"> and reduce the burden of</w:t>
      </w:r>
      <w:r w:rsidR="00B32969" w:rsidRPr="004460F4">
        <w:rPr>
          <w:sz w:val="22"/>
          <w:szCs w:val="22"/>
        </w:rPr>
        <w:t>,</w:t>
      </w:r>
      <w:r w:rsidRPr="004460F4">
        <w:rPr>
          <w:sz w:val="22"/>
          <w:szCs w:val="22"/>
        </w:rPr>
        <w:t xml:space="preserve"> the annual </w:t>
      </w:r>
      <w:r w:rsidR="007B1AFB" w:rsidRPr="004460F4">
        <w:rPr>
          <w:sz w:val="22"/>
          <w:szCs w:val="22"/>
        </w:rPr>
        <w:t xml:space="preserve">reporting and </w:t>
      </w:r>
      <w:r w:rsidRPr="004460F4">
        <w:rPr>
          <w:sz w:val="22"/>
          <w:szCs w:val="22"/>
        </w:rPr>
        <w:t>certi</w:t>
      </w:r>
      <w:r w:rsidR="007B1AFB" w:rsidRPr="004460F4">
        <w:rPr>
          <w:sz w:val="22"/>
          <w:szCs w:val="22"/>
        </w:rPr>
        <w:t xml:space="preserve">fication </w:t>
      </w:r>
      <w:r w:rsidR="003D4CB7" w:rsidRPr="004460F4">
        <w:rPr>
          <w:sz w:val="22"/>
          <w:szCs w:val="22"/>
        </w:rPr>
        <w:t>req</w:t>
      </w:r>
      <w:r w:rsidRPr="004460F4">
        <w:rPr>
          <w:sz w:val="22"/>
          <w:szCs w:val="22"/>
        </w:rPr>
        <w:t>uirement</w:t>
      </w:r>
      <w:r w:rsidR="004864C9" w:rsidRPr="004460F4">
        <w:rPr>
          <w:sz w:val="22"/>
          <w:szCs w:val="22"/>
        </w:rPr>
        <w:t>s</w:t>
      </w:r>
      <w:r w:rsidRPr="004460F4">
        <w:rPr>
          <w:sz w:val="22"/>
          <w:szCs w:val="22"/>
        </w:rPr>
        <w:t xml:space="preserve">.  The </w:t>
      </w:r>
      <w:r w:rsidR="003D4CB7" w:rsidRPr="004460F4">
        <w:rPr>
          <w:sz w:val="22"/>
          <w:szCs w:val="22"/>
        </w:rPr>
        <w:t xml:space="preserve">revised </w:t>
      </w:r>
      <w:r w:rsidRPr="004460F4">
        <w:rPr>
          <w:sz w:val="22"/>
          <w:szCs w:val="22"/>
        </w:rPr>
        <w:t>template include</w:t>
      </w:r>
      <w:r w:rsidR="00CC070C" w:rsidRPr="004460F4">
        <w:rPr>
          <w:sz w:val="22"/>
          <w:szCs w:val="22"/>
        </w:rPr>
        <w:t>s</w:t>
      </w:r>
      <w:r w:rsidRPr="004460F4">
        <w:rPr>
          <w:sz w:val="22"/>
          <w:szCs w:val="22"/>
        </w:rPr>
        <w:t xml:space="preserve"> instructions and text fields for respondents to use to</w:t>
      </w:r>
      <w:r w:rsidR="003D4CB7" w:rsidRPr="004460F4">
        <w:rPr>
          <w:sz w:val="22"/>
          <w:szCs w:val="22"/>
        </w:rPr>
        <w:t xml:space="preserve"> report the required data.</w:t>
      </w:r>
      <w:r w:rsidR="00B14E49" w:rsidRPr="004460F4">
        <w:rPr>
          <w:sz w:val="22"/>
          <w:szCs w:val="22"/>
        </w:rPr>
        <w:t xml:space="preserve">  </w:t>
      </w:r>
      <w:r w:rsidRPr="004460F4">
        <w:rPr>
          <w:sz w:val="22"/>
          <w:szCs w:val="22"/>
        </w:rPr>
        <w:t xml:space="preserve">Providers </w:t>
      </w:r>
      <w:r w:rsidR="00C71230">
        <w:rPr>
          <w:sz w:val="22"/>
          <w:szCs w:val="22"/>
        </w:rPr>
        <w:t xml:space="preserve">are </w:t>
      </w:r>
      <w:r w:rsidR="00717B14">
        <w:rPr>
          <w:sz w:val="22"/>
          <w:szCs w:val="22"/>
        </w:rPr>
        <w:t xml:space="preserve">directed </w:t>
      </w:r>
      <w:r w:rsidR="00C71230">
        <w:rPr>
          <w:sz w:val="22"/>
          <w:szCs w:val="22"/>
        </w:rPr>
        <w:t>to</w:t>
      </w:r>
      <w:r w:rsidR="00423B3E" w:rsidRPr="004460F4">
        <w:rPr>
          <w:sz w:val="22"/>
          <w:szCs w:val="22"/>
        </w:rPr>
        <w:t xml:space="preserve"> </w:t>
      </w:r>
      <w:r w:rsidRPr="004460F4">
        <w:rPr>
          <w:sz w:val="22"/>
          <w:szCs w:val="22"/>
        </w:rPr>
        <w:t xml:space="preserve">file their annual reports and certifications electronically via the Commission’s Electronic Comment Filing System (ECFS).  </w:t>
      </w:r>
    </w:p>
    <w:p w14:paraId="636BB607" w14:textId="77777777"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 xml:space="preserve">4.  The Commission is not aware of any similar information already available that can be used or modified for the purposes described in Item 2 above.  </w:t>
      </w:r>
      <w:r w:rsidR="00BC09EA" w:rsidRPr="004460F4">
        <w:rPr>
          <w:sz w:val="22"/>
          <w:szCs w:val="22"/>
        </w:rPr>
        <w:t xml:space="preserve">Specifically, </w:t>
      </w:r>
      <w:r w:rsidR="00745159" w:rsidRPr="004460F4">
        <w:rPr>
          <w:sz w:val="22"/>
          <w:szCs w:val="22"/>
        </w:rPr>
        <w:t xml:space="preserve">prior to the </w:t>
      </w:r>
      <w:r w:rsidR="004153C5" w:rsidRPr="004460F4">
        <w:rPr>
          <w:i/>
          <w:sz w:val="22"/>
          <w:szCs w:val="22"/>
        </w:rPr>
        <w:t>2015</w:t>
      </w:r>
      <w:r w:rsidR="00745159" w:rsidRPr="004460F4">
        <w:rPr>
          <w:i/>
          <w:sz w:val="22"/>
          <w:szCs w:val="22"/>
        </w:rPr>
        <w:t xml:space="preserve"> Order</w:t>
      </w:r>
      <w:r w:rsidR="00745159" w:rsidRPr="004460F4">
        <w:rPr>
          <w:sz w:val="22"/>
          <w:szCs w:val="22"/>
        </w:rPr>
        <w:t>, ICS providers were not required to file such data with the Commission.</w:t>
      </w:r>
    </w:p>
    <w:p w14:paraId="36332068" w14:textId="77777777" w:rsidR="00845E1B" w:rsidRDefault="006437B7" w:rsidP="006437B7">
      <w:pPr>
        <w:pStyle w:val="Numberedparagraphs"/>
        <w:numPr>
          <w:ilvl w:val="0"/>
          <w:numId w:val="0"/>
        </w:numPr>
        <w:tabs>
          <w:tab w:val="left" w:pos="720"/>
        </w:tabs>
        <w:ind w:left="180"/>
        <w:rPr>
          <w:sz w:val="22"/>
          <w:szCs w:val="22"/>
        </w:rPr>
      </w:pPr>
      <w:r>
        <w:rPr>
          <w:sz w:val="22"/>
          <w:szCs w:val="22"/>
        </w:rPr>
        <w:tab/>
      </w:r>
      <w:r w:rsidR="007E0735" w:rsidRPr="004460F4">
        <w:rPr>
          <w:sz w:val="22"/>
          <w:szCs w:val="22"/>
        </w:rPr>
        <w:t xml:space="preserve">5.  Because the Commission’s </w:t>
      </w:r>
      <w:r w:rsidR="009256BF" w:rsidRPr="004460F4">
        <w:rPr>
          <w:i/>
          <w:sz w:val="22"/>
          <w:szCs w:val="22"/>
        </w:rPr>
        <w:t>2015</w:t>
      </w:r>
      <w:r w:rsidR="007E0735" w:rsidRPr="004460F4">
        <w:rPr>
          <w:i/>
          <w:sz w:val="22"/>
          <w:szCs w:val="22"/>
        </w:rPr>
        <w:t xml:space="preserve"> Order</w:t>
      </w:r>
      <w:r w:rsidR="007E0735" w:rsidRPr="004460F4">
        <w:rPr>
          <w:sz w:val="22"/>
          <w:szCs w:val="22"/>
        </w:rPr>
        <w:t xml:space="preserve"> requires all ICS providers to comply with the annual </w:t>
      </w:r>
      <w:r w:rsidR="009E5E9C">
        <w:rPr>
          <w:sz w:val="22"/>
          <w:szCs w:val="22"/>
        </w:rPr>
        <w:t xml:space="preserve">report and </w:t>
      </w:r>
      <w:r w:rsidR="007E0735" w:rsidRPr="004460F4">
        <w:rPr>
          <w:sz w:val="22"/>
          <w:szCs w:val="22"/>
        </w:rPr>
        <w:t>certification requirement</w:t>
      </w:r>
      <w:r w:rsidR="009E5E9C">
        <w:rPr>
          <w:sz w:val="22"/>
          <w:szCs w:val="22"/>
        </w:rPr>
        <w:t>s and to comply with the consumer disclosure rule</w:t>
      </w:r>
      <w:r w:rsidR="007E0735" w:rsidRPr="004460F4">
        <w:rPr>
          <w:sz w:val="22"/>
          <w:szCs w:val="22"/>
        </w:rPr>
        <w:t>, the requirement</w:t>
      </w:r>
      <w:r w:rsidR="009E5E9C">
        <w:rPr>
          <w:sz w:val="22"/>
          <w:szCs w:val="22"/>
        </w:rPr>
        <w:t>s</w:t>
      </w:r>
      <w:r w:rsidR="007E0735" w:rsidRPr="004460F4">
        <w:rPr>
          <w:sz w:val="22"/>
          <w:szCs w:val="22"/>
        </w:rPr>
        <w:t xml:space="preserve"> will affect smaller as well as larger ICS providers.  The Commission has taken steps to ensure that the reporting template</w:t>
      </w:r>
      <w:r w:rsidR="009E5E9C">
        <w:rPr>
          <w:sz w:val="22"/>
          <w:szCs w:val="22"/>
        </w:rPr>
        <w:t>s are</w:t>
      </w:r>
      <w:r w:rsidR="007E0735" w:rsidRPr="004460F4">
        <w:rPr>
          <w:sz w:val="22"/>
          <w:szCs w:val="22"/>
        </w:rPr>
        <w:t xml:space="preserve"> competitively neutral and not unduly burdensome for any set of </w:t>
      </w:r>
      <w:r w:rsidR="00770E2D" w:rsidRPr="004460F4">
        <w:rPr>
          <w:sz w:val="22"/>
          <w:szCs w:val="22"/>
        </w:rPr>
        <w:t>providers</w:t>
      </w:r>
      <w:r w:rsidR="007E0735" w:rsidRPr="004460F4">
        <w:rPr>
          <w:sz w:val="22"/>
          <w:szCs w:val="22"/>
        </w:rPr>
        <w:t xml:space="preserve">. </w:t>
      </w:r>
    </w:p>
    <w:p w14:paraId="626F04E7" w14:textId="77777777" w:rsidR="004817AC" w:rsidRDefault="00845E1B" w:rsidP="006437B7">
      <w:pPr>
        <w:pStyle w:val="Numberedparagraphs"/>
        <w:numPr>
          <w:ilvl w:val="0"/>
          <w:numId w:val="0"/>
        </w:numPr>
        <w:tabs>
          <w:tab w:val="left" w:pos="720"/>
        </w:tabs>
        <w:ind w:left="180"/>
        <w:rPr>
          <w:sz w:val="22"/>
          <w:szCs w:val="22"/>
        </w:rPr>
      </w:pPr>
      <w:r>
        <w:rPr>
          <w:sz w:val="22"/>
          <w:szCs w:val="22"/>
        </w:rPr>
        <w:tab/>
      </w:r>
      <w:r w:rsidR="007E0735" w:rsidRPr="004460F4">
        <w:rPr>
          <w:sz w:val="22"/>
          <w:szCs w:val="22"/>
        </w:rPr>
        <w:t xml:space="preserve">6.  </w:t>
      </w:r>
      <w:r w:rsidR="00387192" w:rsidRPr="004460F4">
        <w:rPr>
          <w:sz w:val="22"/>
          <w:szCs w:val="22"/>
        </w:rPr>
        <w:t>Collecting</w:t>
      </w:r>
      <w:r w:rsidR="007E0735" w:rsidRPr="004460F4">
        <w:rPr>
          <w:sz w:val="22"/>
          <w:szCs w:val="22"/>
        </w:rPr>
        <w:t xml:space="preserve"> the </w:t>
      </w:r>
      <w:r w:rsidR="00770E2D" w:rsidRPr="004460F4">
        <w:rPr>
          <w:sz w:val="22"/>
          <w:szCs w:val="22"/>
        </w:rPr>
        <w:t>re</w:t>
      </w:r>
      <w:r w:rsidR="007E0735" w:rsidRPr="004460F4">
        <w:rPr>
          <w:sz w:val="22"/>
          <w:szCs w:val="22"/>
        </w:rPr>
        <w:t>port</w:t>
      </w:r>
      <w:r w:rsidR="009E5E9C">
        <w:rPr>
          <w:sz w:val="22"/>
          <w:szCs w:val="22"/>
        </w:rPr>
        <w:t>s</w:t>
      </w:r>
      <w:r w:rsidR="00770E2D" w:rsidRPr="004460F4">
        <w:rPr>
          <w:sz w:val="22"/>
          <w:szCs w:val="22"/>
        </w:rPr>
        <w:t xml:space="preserve"> and certifications</w:t>
      </w:r>
      <w:r w:rsidR="007E0735" w:rsidRPr="004460F4">
        <w:rPr>
          <w:sz w:val="22"/>
          <w:szCs w:val="22"/>
        </w:rPr>
        <w:t xml:space="preserve"> on a less frequent basis</w:t>
      </w:r>
      <w:r w:rsidR="00FF3566" w:rsidRPr="004460F4">
        <w:rPr>
          <w:sz w:val="22"/>
          <w:szCs w:val="22"/>
        </w:rPr>
        <w:t>,</w:t>
      </w:r>
      <w:r w:rsidR="007E0735" w:rsidRPr="004460F4">
        <w:rPr>
          <w:sz w:val="22"/>
          <w:szCs w:val="22"/>
        </w:rPr>
        <w:t xml:space="preserve"> or not at all</w:t>
      </w:r>
      <w:r w:rsidR="00FF3566" w:rsidRPr="004460F4">
        <w:rPr>
          <w:sz w:val="22"/>
          <w:szCs w:val="22"/>
        </w:rPr>
        <w:t>,</w:t>
      </w:r>
      <w:r w:rsidR="007E0735" w:rsidRPr="004460F4">
        <w:rPr>
          <w:sz w:val="22"/>
          <w:szCs w:val="22"/>
        </w:rPr>
        <w:t xml:space="preserve"> would deprive the Commission of the ability to monitor </w:t>
      </w:r>
      <w:r w:rsidR="0079341B">
        <w:rPr>
          <w:sz w:val="22"/>
          <w:szCs w:val="22"/>
        </w:rPr>
        <w:t xml:space="preserve">intrastate, </w:t>
      </w:r>
      <w:r w:rsidR="009E5E9C">
        <w:rPr>
          <w:sz w:val="22"/>
          <w:szCs w:val="22"/>
        </w:rPr>
        <w:t>interstate</w:t>
      </w:r>
      <w:r w:rsidR="0079341B">
        <w:rPr>
          <w:sz w:val="22"/>
          <w:szCs w:val="22"/>
        </w:rPr>
        <w:t>,</w:t>
      </w:r>
      <w:r w:rsidR="009E5E9C">
        <w:rPr>
          <w:sz w:val="22"/>
          <w:szCs w:val="22"/>
        </w:rPr>
        <w:t xml:space="preserve"> and international </w:t>
      </w:r>
      <w:r w:rsidR="007E0735" w:rsidRPr="004460F4">
        <w:rPr>
          <w:sz w:val="22"/>
          <w:szCs w:val="22"/>
        </w:rPr>
        <w:t>ICS rates on an ongoing and reasonably current basis, which would undermine the Commission’s efforts to ensure</w:t>
      </w:r>
      <w:r w:rsidR="003F701F" w:rsidRPr="004460F4">
        <w:rPr>
          <w:sz w:val="22"/>
          <w:szCs w:val="22"/>
        </w:rPr>
        <w:t xml:space="preserve"> that </w:t>
      </w:r>
      <w:r w:rsidR="009E5E9C">
        <w:rPr>
          <w:sz w:val="22"/>
          <w:szCs w:val="22"/>
        </w:rPr>
        <w:t xml:space="preserve">interstate and international </w:t>
      </w:r>
      <w:r w:rsidR="003F701F" w:rsidRPr="004460F4">
        <w:rPr>
          <w:sz w:val="22"/>
          <w:szCs w:val="22"/>
        </w:rPr>
        <w:t xml:space="preserve">ICS </w:t>
      </w:r>
      <w:r w:rsidR="003F701F" w:rsidRPr="00085F84">
        <w:rPr>
          <w:sz w:val="22"/>
          <w:szCs w:val="22"/>
        </w:rPr>
        <w:t>is provided at</w:t>
      </w:r>
      <w:r w:rsidR="007E0735" w:rsidRPr="00085F84">
        <w:rPr>
          <w:sz w:val="22"/>
          <w:szCs w:val="22"/>
        </w:rPr>
        <w:t xml:space="preserve"> </w:t>
      </w:r>
      <w:r w:rsidR="00152BFD" w:rsidRPr="00085F84">
        <w:rPr>
          <w:sz w:val="22"/>
          <w:szCs w:val="22"/>
        </w:rPr>
        <w:t>just</w:t>
      </w:r>
      <w:r w:rsidR="009E5E9C" w:rsidRPr="00085F84">
        <w:rPr>
          <w:sz w:val="22"/>
          <w:szCs w:val="22"/>
        </w:rPr>
        <w:t xml:space="preserve"> and </w:t>
      </w:r>
      <w:r w:rsidR="00152BFD" w:rsidRPr="00085F84">
        <w:rPr>
          <w:sz w:val="22"/>
          <w:szCs w:val="22"/>
        </w:rPr>
        <w:t>reasonable</w:t>
      </w:r>
      <w:r w:rsidR="009E5E9C" w:rsidRPr="00085F84">
        <w:rPr>
          <w:sz w:val="22"/>
          <w:szCs w:val="22"/>
        </w:rPr>
        <w:t xml:space="preserve"> </w:t>
      </w:r>
      <w:r w:rsidR="003F701F" w:rsidRPr="00085F84">
        <w:rPr>
          <w:sz w:val="22"/>
          <w:szCs w:val="22"/>
        </w:rPr>
        <w:t>rates</w:t>
      </w:r>
      <w:r w:rsidR="00D137E9" w:rsidRPr="00085F84">
        <w:rPr>
          <w:sz w:val="22"/>
          <w:szCs w:val="22"/>
        </w:rPr>
        <w:t xml:space="preserve"> and</w:t>
      </w:r>
      <w:r w:rsidR="003F701F" w:rsidRPr="00085F84">
        <w:rPr>
          <w:sz w:val="22"/>
          <w:szCs w:val="22"/>
        </w:rPr>
        <w:t xml:space="preserve"> to ensure that any ancillary services charges associated with </w:t>
      </w:r>
      <w:r w:rsidR="009E5E9C" w:rsidRPr="00085F84">
        <w:rPr>
          <w:sz w:val="22"/>
          <w:szCs w:val="22"/>
        </w:rPr>
        <w:t xml:space="preserve">interstate and international </w:t>
      </w:r>
      <w:r w:rsidR="003F701F" w:rsidRPr="00085F84">
        <w:rPr>
          <w:sz w:val="22"/>
          <w:szCs w:val="22"/>
        </w:rPr>
        <w:t xml:space="preserve">ICS are also </w:t>
      </w:r>
      <w:r w:rsidR="00152BFD" w:rsidRPr="00085F84">
        <w:rPr>
          <w:sz w:val="22"/>
          <w:szCs w:val="22"/>
        </w:rPr>
        <w:t>just</w:t>
      </w:r>
      <w:r w:rsidR="009E5E9C" w:rsidRPr="00085F84">
        <w:rPr>
          <w:sz w:val="22"/>
          <w:szCs w:val="22"/>
        </w:rPr>
        <w:t xml:space="preserve"> and </w:t>
      </w:r>
      <w:r w:rsidR="003F701F" w:rsidRPr="00085F84">
        <w:rPr>
          <w:sz w:val="22"/>
          <w:szCs w:val="22"/>
        </w:rPr>
        <w:t>reasonable</w:t>
      </w:r>
      <w:r w:rsidR="007E0735" w:rsidRPr="00085F84">
        <w:rPr>
          <w:sz w:val="22"/>
          <w:szCs w:val="22"/>
        </w:rPr>
        <w:t xml:space="preserve">.  It would also deprive consumers and other affected parties of the ability to monitor ICS </w:t>
      </w:r>
      <w:r w:rsidR="001A2055" w:rsidRPr="00085F84">
        <w:rPr>
          <w:sz w:val="22"/>
          <w:szCs w:val="22"/>
        </w:rPr>
        <w:t xml:space="preserve">quality, </w:t>
      </w:r>
      <w:r w:rsidR="007E0735" w:rsidRPr="00085F84">
        <w:rPr>
          <w:sz w:val="22"/>
          <w:szCs w:val="22"/>
        </w:rPr>
        <w:t>rates</w:t>
      </w:r>
      <w:r w:rsidR="001A2055" w:rsidRPr="00085F84">
        <w:rPr>
          <w:sz w:val="22"/>
          <w:szCs w:val="22"/>
        </w:rPr>
        <w:t>, and fees</w:t>
      </w:r>
      <w:r w:rsidR="00873901" w:rsidRPr="00085F84">
        <w:rPr>
          <w:sz w:val="22"/>
          <w:szCs w:val="22"/>
        </w:rPr>
        <w:t>.</w:t>
      </w:r>
      <w:r w:rsidR="00937004" w:rsidRPr="00085F84">
        <w:rPr>
          <w:sz w:val="22"/>
          <w:szCs w:val="22"/>
        </w:rPr>
        <w:t xml:space="preserve"> </w:t>
      </w:r>
      <w:r w:rsidR="00B136F6" w:rsidRPr="00085F84">
        <w:rPr>
          <w:sz w:val="22"/>
          <w:szCs w:val="22"/>
        </w:rPr>
        <w:t xml:space="preserve">Finally, not requiring ICS providers to inform customers of </w:t>
      </w:r>
      <w:r w:rsidR="00081B8D" w:rsidRPr="00085F84">
        <w:rPr>
          <w:sz w:val="22"/>
          <w:szCs w:val="22"/>
        </w:rPr>
        <w:t>their</w:t>
      </w:r>
      <w:r w:rsidR="00B136F6" w:rsidRPr="00085F84">
        <w:rPr>
          <w:sz w:val="22"/>
          <w:szCs w:val="22"/>
        </w:rPr>
        <w:t xml:space="preserve"> rates would prevent customers from making informed decisions on whether to proceed with ICS call</w:t>
      </w:r>
      <w:r w:rsidR="00241DC3" w:rsidRPr="00085F84">
        <w:rPr>
          <w:sz w:val="22"/>
          <w:szCs w:val="22"/>
        </w:rPr>
        <w:t>s.</w:t>
      </w:r>
    </w:p>
    <w:p w14:paraId="581C0AED" w14:textId="77777777" w:rsidR="007E0735" w:rsidRPr="004817AC" w:rsidRDefault="009D38D4" w:rsidP="009D38D4">
      <w:pPr>
        <w:pStyle w:val="Numberedparagraphs"/>
        <w:numPr>
          <w:ilvl w:val="0"/>
          <w:numId w:val="0"/>
        </w:numPr>
        <w:tabs>
          <w:tab w:val="clear" w:pos="1440"/>
          <w:tab w:val="left" w:pos="720"/>
        </w:tabs>
        <w:ind w:left="180"/>
        <w:rPr>
          <w:sz w:val="22"/>
          <w:szCs w:val="22"/>
        </w:rPr>
      </w:pPr>
      <w:r>
        <w:rPr>
          <w:sz w:val="22"/>
          <w:szCs w:val="22"/>
        </w:rPr>
        <w:tab/>
      </w:r>
      <w:r w:rsidR="007E0735" w:rsidRPr="004817AC">
        <w:rPr>
          <w:sz w:val="22"/>
          <w:szCs w:val="22"/>
        </w:rPr>
        <w:t xml:space="preserve">7.  No other special circumstances will apply to this information collection. </w:t>
      </w:r>
    </w:p>
    <w:p w14:paraId="46DC0D59" w14:textId="17DEC5C2" w:rsidR="004D4D1D" w:rsidRPr="00F511A8" w:rsidRDefault="007E0735" w:rsidP="00937004">
      <w:pPr>
        <w:pStyle w:val="Numberedparagraphs"/>
        <w:numPr>
          <w:ilvl w:val="0"/>
          <w:numId w:val="0"/>
        </w:numPr>
        <w:tabs>
          <w:tab w:val="clear" w:pos="1440"/>
          <w:tab w:val="left" w:pos="720"/>
        </w:tabs>
        <w:rPr>
          <w:sz w:val="22"/>
          <w:szCs w:val="22"/>
        </w:rPr>
      </w:pPr>
      <w:r w:rsidRPr="00937004">
        <w:rPr>
          <w:sz w:val="22"/>
          <w:szCs w:val="22"/>
        </w:rPr>
        <w:tab/>
        <w:t>8.  Pursuant to 5 C.F.R. § 1320.8 (d),</w:t>
      </w:r>
      <w:r w:rsidR="00A23058" w:rsidRPr="00A23058">
        <w:rPr>
          <w:sz w:val="22"/>
          <w:szCs w:val="22"/>
        </w:rPr>
        <w:t xml:space="preserve"> </w:t>
      </w:r>
      <w:r w:rsidR="00A23058" w:rsidRPr="004460F4">
        <w:rPr>
          <w:sz w:val="22"/>
          <w:szCs w:val="22"/>
        </w:rPr>
        <w:t xml:space="preserve">on </w:t>
      </w:r>
      <w:r w:rsidR="00A23058">
        <w:rPr>
          <w:sz w:val="22"/>
          <w:szCs w:val="22"/>
        </w:rPr>
        <w:t>September 24</w:t>
      </w:r>
      <w:r w:rsidR="00A23058" w:rsidRPr="000D675B">
        <w:rPr>
          <w:sz w:val="22"/>
          <w:szCs w:val="22"/>
        </w:rPr>
        <w:t>,</w:t>
      </w:r>
      <w:r w:rsidR="00A23058" w:rsidRPr="004460F4">
        <w:rPr>
          <w:sz w:val="22"/>
          <w:szCs w:val="22"/>
        </w:rPr>
        <w:t xml:space="preserve"> 2019</w:t>
      </w:r>
      <w:r w:rsidR="004C0521">
        <w:rPr>
          <w:sz w:val="22"/>
          <w:szCs w:val="22"/>
        </w:rPr>
        <w:t>,</w:t>
      </w:r>
      <w:r w:rsidRPr="00937004">
        <w:rPr>
          <w:sz w:val="22"/>
          <w:szCs w:val="22"/>
        </w:rPr>
        <w:t xml:space="preserve"> the Commission </w:t>
      </w:r>
      <w:r w:rsidR="000C5AE1" w:rsidRPr="00937004">
        <w:rPr>
          <w:sz w:val="22"/>
          <w:szCs w:val="22"/>
        </w:rPr>
        <w:t>publish</w:t>
      </w:r>
      <w:r w:rsidR="001946D2" w:rsidRPr="00937004">
        <w:rPr>
          <w:sz w:val="22"/>
          <w:szCs w:val="22"/>
        </w:rPr>
        <w:t>ed</w:t>
      </w:r>
      <w:r w:rsidRPr="00937004">
        <w:rPr>
          <w:sz w:val="22"/>
          <w:szCs w:val="22"/>
        </w:rPr>
        <w:t xml:space="preserve"> a 60-day notice in the Federal Register to solicit public comment on these reporting</w:t>
      </w:r>
      <w:r w:rsidR="00884782" w:rsidRPr="00937004">
        <w:rPr>
          <w:sz w:val="22"/>
          <w:szCs w:val="22"/>
        </w:rPr>
        <w:t xml:space="preserve"> and ce</w:t>
      </w:r>
      <w:r w:rsidR="00884782" w:rsidRPr="004460F4">
        <w:rPr>
          <w:sz w:val="22"/>
          <w:szCs w:val="22"/>
        </w:rPr>
        <w:t>rtification</w:t>
      </w:r>
      <w:r w:rsidRPr="004460F4">
        <w:rPr>
          <w:sz w:val="22"/>
          <w:szCs w:val="22"/>
        </w:rPr>
        <w:t xml:space="preserve"> requirements</w:t>
      </w:r>
      <w:r w:rsidR="001946D2" w:rsidRPr="004460F4">
        <w:rPr>
          <w:sz w:val="22"/>
          <w:szCs w:val="22"/>
        </w:rPr>
        <w:t>.</w:t>
      </w:r>
      <w:r w:rsidR="00BB5FBD" w:rsidRPr="004460F4">
        <w:rPr>
          <w:sz w:val="22"/>
          <w:szCs w:val="22"/>
        </w:rPr>
        <w:t xml:space="preserve">  </w:t>
      </w:r>
      <w:r w:rsidR="00BB5FBD" w:rsidRPr="000D675B">
        <w:rPr>
          <w:i/>
          <w:sz w:val="22"/>
          <w:szCs w:val="22"/>
        </w:rPr>
        <w:t>See</w:t>
      </w:r>
      <w:r w:rsidR="00BB5FBD" w:rsidRPr="000D675B">
        <w:rPr>
          <w:sz w:val="22"/>
          <w:szCs w:val="22"/>
        </w:rPr>
        <w:t xml:space="preserve"> </w:t>
      </w:r>
      <w:r w:rsidR="00BB4153">
        <w:rPr>
          <w:sz w:val="22"/>
          <w:szCs w:val="22"/>
        </w:rPr>
        <w:t xml:space="preserve">84 Fed. Reg. 50034 (Sept. 24, 20919). </w:t>
      </w:r>
      <w:r w:rsidR="00BB5FBD" w:rsidRPr="004460F4">
        <w:rPr>
          <w:sz w:val="22"/>
          <w:szCs w:val="22"/>
        </w:rPr>
        <w:t xml:space="preserve"> </w:t>
      </w:r>
      <w:r w:rsidR="00CF21D0">
        <w:rPr>
          <w:sz w:val="22"/>
          <w:szCs w:val="22"/>
        </w:rPr>
        <w:t xml:space="preserve">Comments were received from three parties: </w:t>
      </w:r>
      <w:r w:rsidR="000023F2">
        <w:rPr>
          <w:sz w:val="22"/>
          <w:szCs w:val="22"/>
        </w:rPr>
        <w:t xml:space="preserve">Worth Rises, </w:t>
      </w:r>
      <w:r w:rsidR="00CF21D0">
        <w:rPr>
          <w:sz w:val="22"/>
          <w:szCs w:val="22"/>
        </w:rPr>
        <w:t>The Leadership Conference on Civil and Human Rights (Leadership Conference)</w:t>
      </w:r>
      <w:r w:rsidR="009E5BAD">
        <w:rPr>
          <w:sz w:val="22"/>
          <w:szCs w:val="22"/>
        </w:rPr>
        <w:t>, and Global Tel*Link Corporation (GTL)</w:t>
      </w:r>
      <w:r w:rsidR="00C2123A">
        <w:rPr>
          <w:sz w:val="22"/>
          <w:szCs w:val="22"/>
        </w:rPr>
        <w:t>.</w:t>
      </w:r>
    </w:p>
    <w:p w14:paraId="02F8F4B7" w14:textId="5739D97B" w:rsidR="009E5BAD" w:rsidRPr="0040259F" w:rsidRDefault="009E5BAD" w:rsidP="00937004">
      <w:pPr>
        <w:pStyle w:val="Numberedparagraphs"/>
        <w:numPr>
          <w:ilvl w:val="0"/>
          <w:numId w:val="0"/>
        </w:numPr>
        <w:tabs>
          <w:tab w:val="clear" w:pos="1440"/>
          <w:tab w:val="left" w:pos="720"/>
        </w:tabs>
        <w:rPr>
          <w:i/>
          <w:sz w:val="22"/>
          <w:szCs w:val="22"/>
        </w:rPr>
      </w:pPr>
      <w:r>
        <w:rPr>
          <w:sz w:val="22"/>
          <w:szCs w:val="22"/>
        </w:rPr>
        <w:tab/>
      </w:r>
      <w:r w:rsidR="00CA1DE6" w:rsidRPr="005802B9">
        <w:rPr>
          <w:i/>
          <w:sz w:val="22"/>
          <w:szCs w:val="22"/>
        </w:rPr>
        <w:t xml:space="preserve">Need for </w:t>
      </w:r>
      <w:r w:rsidRPr="005802B9">
        <w:rPr>
          <w:i/>
          <w:sz w:val="22"/>
          <w:szCs w:val="22"/>
        </w:rPr>
        <w:t xml:space="preserve">the </w:t>
      </w:r>
      <w:r w:rsidR="00CA1DE6" w:rsidRPr="005802B9">
        <w:rPr>
          <w:i/>
          <w:sz w:val="22"/>
          <w:szCs w:val="22"/>
        </w:rPr>
        <w:t>C</w:t>
      </w:r>
      <w:r w:rsidRPr="005802B9">
        <w:rPr>
          <w:i/>
          <w:sz w:val="22"/>
          <w:szCs w:val="22"/>
        </w:rPr>
        <w:t>ollection</w:t>
      </w:r>
    </w:p>
    <w:p w14:paraId="1998CF96" w14:textId="1EDB98A1" w:rsidR="004D4D1D" w:rsidRDefault="004D4D1D" w:rsidP="004D4D1D">
      <w:pPr>
        <w:pStyle w:val="Numberedparagraphs"/>
        <w:numPr>
          <w:ilvl w:val="0"/>
          <w:numId w:val="0"/>
        </w:numPr>
        <w:tabs>
          <w:tab w:val="clear" w:pos="1440"/>
          <w:tab w:val="left" w:pos="720"/>
        </w:tabs>
        <w:rPr>
          <w:sz w:val="22"/>
          <w:szCs w:val="22"/>
        </w:rPr>
      </w:pPr>
      <w:r>
        <w:rPr>
          <w:sz w:val="22"/>
          <w:szCs w:val="22"/>
        </w:rPr>
        <w:tab/>
      </w:r>
      <w:r w:rsidR="0001401B">
        <w:rPr>
          <w:sz w:val="22"/>
          <w:szCs w:val="22"/>
        </w:rPr>
        <w:t xml:space="preserve"> </w:t>
      </w:r>
      <w:r w:rsidR="00E92236">
        <w:rPr>
          <w:sz w:val="22"/>
          <w:szCs w:val="22"/>
        </w:rPr>
        <w:t xml:space="preserve">Worth Rises </w:t>
      </w:r>
      <w:r w:rsidR="000023F2">
        <w:rPr>
          <w:sz w:val="22"/>
          <w:szCs w:val="22"/>
        </w:rPr>
        <w:t xml:space="preserve">and </w:t>
      </w:r>
      <w:r w:rsidR="009E5BAD">
        <w:rPr>
          <w:sz w:val="22"/>
          <w:szCs w:val="22"/>
        </w:rPr>
        <w:t>t</w:t>
      </w:r>
      <w:r w:rsidR="00446781">
        <w:rPr>
          <w:sz w:val="22"/>
          <w:szCs w:val="22"/>
        </w:rPr>
        <w:t>he</w:t>
      </w:r>
      <w:r w:rsidR="000023F2">
        <w:rPr>
          <w:sz w:val="22"/>
          <w:szCs w:val="22"/>
        </w:rPr>
        <w:t xml:space="preserve"> Leadership Conference </w:t>
      </w:r>
      <w:r w:rsidR="000A50AC">
        <w:rPr>
          <w:sz w:val="22"/>
          <w:szCs w:val="22"/>
        </w:rPr>
        <w:t>urge</w:t>
      </w:r>
      <w:r w:rsidR="00221A66">
        <w:rPr>
          <w:sz w:val="22"/>
          <w:szCs w:val="22"/>
        </w:rPr>
        <w:t xml:space="preserve"> </w:t>
      </w:r>
      <w:r w:rsidR="00213406">
        <w:rPr>
          <w:sz w:val="22"/>
          <w:szCs w:val="22"/>
        </w:rPr>
        <w:t>the Commission</w:t>
      </w:r>
      <w:r w:rsidR="000A50AC">
        <w:rPr>
          <w:sz w:val="22"/>
          <w:szCs w:val="22"/>
        </w:rPr>
        <w:t xml:space="preserve"> to continue the </w:t>
      </w:r>
      <w:r w:rsidR="00F74A07">
        <w:rPr>
          <w:sz w:val="22"/>
          <w:szCs w:val="22"/>
        </w:rPr>
        <w:t xml:space="preserve">collection of </w:t>
      </w:r>
      <w:r w:rsidR="009E725E">
        <w:rPr>
          <w:sz w:val="22"/>
          <w:szCs w:val="22"/>
        </w:rPr>
        <w:t xml:space="preserve">data </w:t>
      </w:r>
      <w:r w:rsidR="00F74A07">
        <w:rPr>
          <w:sz w:val="22"/>
          <w:szCs w:val="22"/>
        </w:rPr>
        <w:t>regarding the ICS marketplace</w:t>
      </w:r>
      <w:r w:rsidR="00E92236">
        <w:rPr>
          <w:sz w:val="22"/>
          <w:szCs w:val="22"/>
        </w:rPr>
        <w:t xml:space="preserve">.  </w:t>
      </w:r>
      <w:r w:rsidR="00DF3669">
        <w:rPr>
          <w:sz w:val="22"/>
          <w:szCs w:val="22"/>
        </w:rPr>
        <w:t xml:space="preserve">Worth Rises </w:t>
      </w:r>
      <w:r w:rsidR="005957F7">
        <w:rPr>
          <w:sz w:val="22"/>
          <w:szCs w:val="22"/>
        </w:rPr>
        <w:t>asserts</w:t>
      </w:r>
      <w:r w:rsidR="00DF3669">
        <w:rPr>
          <w:sz w:val="22"/>
          <w:szCs w:val="22"/>
        </w:rPr>
        <w:t xml:space="preserve"> that the </w:t>
      </w:r>
      <w:r w:rsidR="00A34695">
        <w:rPr>
          <w:sz w:val="22"/>
          <w:szCs w:val="22"/>
        </w:rPr>
        <w:t>mandatory a</w:t>
      </w:r>
      <w:r w:rsidR="00DF3669">
        <w:rPr>
          <w:sz w:val="22"/>
          <w:szCs w:val="22"/>
        </w:rPr>
        <w:t xml:space="preserve">nnual </w:t>
      </w:r>
      <w:r w:rsidR="00A34695">
        <w:rPr>
          <w:sz w:val="22"/>
          <w:szCs w:val="22"/>
        </w:rPr>
        <w:t>r</w:t>
      </w:r>
      <w:r w:rsidR="00DF3669">
        <w:rPr>
          <w:sz w:val="22"/>
          <w:szCs w:val="22"/>
        </w:rPr>
        <w:t xml:space="preserve">eports are a vital resource that </w:t>
      </w:r>
      <w:r w:rsidR="00D97674">
        <w:rPr>
          <w:sz w:val="22"/>
          <w:szCs w:val="22"/>
        </w:rPr>
        <w:t xml:space="preserve">allows </w:t>
      </w:r>
      <w:r w:rsidR="006E3DA3">
        <w:rPr>
          <w:sz w:val="22"/>
          <w:szCs w:val="22"/>
        </w:rPr>
        <w:t xml:space="preserve">the </w:t>
      </w:r>
      <w:r w:rsidR="00D97674">
        <w:rPr>
          <w:sz w:val="22"/>
          <w:szCs w:val="22"/>
        </w:rPr>
        <w:t>public to</w:t>
      </w:r>
      <w:r w:rsidR="00E30F72">
        <w:rPr>
          <w:sz w:val="22"/>
          <w:szCs w:val="22"/>
        </w:rPr>
        <w:t xml:space="preserve"> evaluate nationwide data</w:t>
      </w:r>
      <w:r w:rsidR="00D97674">
        <w:rPr>
          <w:sz w:val="22"/>
          <w:szCs w:val="22"/>
        </w:rPr>
        <w:t xml:space="preserve"> on ICS</w:t>
      </w:r>
      <w:r w:rsidR="00E30F72">
        <w:rPr>
          <w:sz w:val="22"/>
          <w:szCs w:val="22"/>
        </w:rPr>
        <w:t>.</w:t>
      </w:r>
      <w:r w:rsidR="00E30F72" w:rsidRPr="009F3BD2">
        <w:rPr>
          <w:rStyle w:val="FootnoteReference"/>
          <w:sz w:val="20"/>
        </w:rPr>
        <w:footnoteReference w:id="9"/>
      </w:r>
      <w:r w:rsidR="00E30F72">
        <w:rPr>
          <w:sz w:val="22"/>
          <w:szCs w:val="22"/>
        </w:rPr>
        <w:t xml:space="preserve">  </w:t>
      </w:r>
      <w:r w:rsidR="00A34695">
        <w:rPr>
          <w:sz w:val="22"/>
          <w:szCs w:val="22"/>
        </w:rPr>
        <w:t>T</w:t>
      </w:r>
      <w:r w:rsidR="00E92236">
        <w:rPr>
          <w:sz w:val="22"/>
          <w:szCs w:val="22"/>
        </w:rPr>
        <w:t>he Leadership Conference</w:t>
      </w:r>
      <w:r w:rsidR="000537D2">
        <w:rPr>
          <w:sz w:val="22"/>
          <w:szCs w:val="22"/>
        </w:rPr>
        <w:t xml:space="preserve"> </w:t>
      </w:r>
      <w:r w:rsidR="00E30F72">
        <w:rPr>
          <w:sz w:val="22"/>
          <w:szCs w:val="22"/>
        </w:rPr>
        <w:t>a</w:t>
      </w:r>
      <w:r w:rsidR="00F843B6">
        <w:rPr>
          <w:sz w:val="22"/>
          <w:szCs w:val="22"/>
        </w:rPr>
        <w:t xml:space="preserve">rgues </w:t>
      </w:r>
      <w:r w:rsidR="000537D2">
        <w:rPr>
          <w:sz w:val="22"/>
          <w:szCs w:val="22"/>
        </w:rPr>
        <w:t xml:space="preserve">that the </w:t>
      </w:r>
      <w:r w:rsidR="00402382">
        <w:rPr>
          <w:sz w:val="22"/>
          <w:szCs w:val="22"/>
        </w:rPr>
        <w:t xml:space="preserve">collection </w:t>
      </w:r>
      <w:r w:rsidR="00F74A07">
        <w:rPr>
          <w:sz w:val="22"/>
          <w:szCs w:val="22"/>
        </w:rPr>
        <w:t xml:space="preserve">of ICS data </w:t>
      </w:r>
      <w:r w:rsidR="00402382">
        <w:rPr>
          <w:sz w:val="22"/>
          <w:szCs w:val="22"/>
        </w:rPr>
        <w:t>play</w:t>
      </w:r>
      <w:r w:rsidR="00F74A07">
        <w:rPr>
          <w:sz w:val="22"/>
          <w:szCs w:val="22"/>
        </w:rPr>
        <w:t>s</w:t>
      </w:r>
      <w:r w:rsidR="00402382">
        <w:rPr>
          <w:sz w:val="22"/>
          <w:szCs w:val="22"/>
        </w:rPr>
        <w:t xml:space="preserve"> a critical role in informing the Commission’s regulation of prison phone rat</w:t>
      </w:r>
      <w:r w:rsidR="00154025">
        <w:rPr>
          <w:sz w:val="22"/>
          <w:szCs w:val="22"/>
        </w:rPr>
        <w:t>es</w:t>
      </w:r>
      <w:r w:rsidR="00402382">
        <w:rPr>
          <w:sz w:val="22"/>
          <w:szCs w:val="22"/>
        </w:rPr>
        <w:t>.</w:t>
      </w:r>
      <w:r w:rsidR="002D2049" w:rsidRPr="009F3BD2">
        <w:rPr>
          <w:rStyle w:val="FootnoteReference"/>
          <w:sz w:val="20"/>
        </w:rPr>
        <w:footnoteReference w:id="10"/>
      </w:r>
      <w:r w:rsidR="00402382">
        <w:rPr>
          <w:sz w:val="22"/>
          <w:szCs w:val="22"/>
        </w:rPr>
        <w:t xml:space="preserve"> </w:t>
      </w:r>
      <w:r w:rsidR="0081092F">
        <w:rPr>
          <w:sz w:val="22"/>
          <w:szCs w:val="22"/>
        </w:rPr>
        <w:t xml:space="preserve"> </w:t>
      </w:r>
      <w:r w:rsidR="00710FAE">
        <w:rPr>
          <w:sz w:val="22"/>
          <w:szCs w:val="22"/>
        </w:rPr>
        <w:t xml:space="preserve">It </w:t>
      </w:r>
      <w:r w:rsidR="005957F7" w:rsidRPr="00EC3A4C">
        <w:rPr>
          <w:sz w:val="22"/>
          <w:szCs w:val="22"/>
        </w:rPr>
        <w:t>a</w:t>
      </w:r>
      <w:r w:rsidR="00EC3A4C">
        <w:rPr>
          <w:sz w:val="22"/>
          <w:szCs w:val="22"/>
        </w:rPr>
        <w:t>dds</w:t>
      </w:r>
      <w:r w:rsidR="005957F7">
        <w:rPr>
          <w:sz w:val="22"/>
          <w:szCs w:val="22"/>
        </w:rPr>
        <w:t xml:space="preserve"> </w:t>
      </w:r>
      <w:r w:rsidR="00402382">
        <w:rPr>
          <w:sz w:val="22"/>
          <w:szCs w:val="22"/>
        </w:rPr>
        <w:t>that</w:t>
      </w:r>
      <w:r w:rsidR="00154025">
        <w:rPr>
          <w:sz w:val="22"/>
          <w:szCs w:val="22"/>
        </w:rPr>
        <w:t xml:space="preserve"> </w:t>
      </w:r>
      <w:r w:rsidR="000537D2">
        <w:rPr>
          <w:sz w:val="22"/>
          <w:szCs w:val="22"/>
        </w:rPr>
        <w:t xml:space="preserve">the </w:t>
      </w:r>
      <w:r w:rsidR="00154025">
        <w:rPr>
          <w:sz w:val="22"/>
          <w:szCs w:val="22"/>
        </w:rPr>
        <w:t>data</w:t>
      </w:r>
      <w:r w:rsidR="00A31B83">
        <w:rPr>
          <w:sz w:val="22"/>
          <w:szCs w:val="22"/>
        </w:rPr>
        <w:t xml:space="preserve"> </w:t>
      </w:r>
      <w:r w:rsidR="00F74A07">
        <w:rPr>
          <w:sz w:val="22"/>
          <w:szCs w:val="22"/>
        </w:rPr>
        <w:t xml:space="preserve">provide more transparency of </w:t>
      </w:r>
      <w:r w:rsidR="00154025">
        <w:rPr>
          <w:sz w:val="22"/>
          <w:szCs w:val="22"/>
        </w:rPr>
        <w:t xml:space="preserve">the </w:t>
      </w:r>
      <w:r w:rsidR="000537D2">
        <w:rPr>
          <w:sz w:val="22"/>
          <w:szCs w:val="22"/>
        </w:rPr>
        <w:t xml:space="preserve">prison system and </w:t>
      </w:r>
      <w:r w:rsidR="00154025">
        <w:rPr>
          <w:sz w:val="22"/>
          <w:szCs w:val="22"/>
        </w:rPr>
        <w:t xml:space="preserve">assist the Commission </w:t>
      </w:r>
      <w:r w:rsidR="000537D2">
        <w:rPr>
          <w:sz w:val="22"/>
          <w:szCs w:val="22"/>
        </w:rPr>
        <w:t>in identifying unjust and unreasonable charges.</w:t>
      </w:r>
      <w:r w:rsidR="0081092F" w:rsidRPr="009F3BD2">
        <w:rPr>
          <w:rStyle w:val="FootnoteReference"/>
          <w:sz w:val="20"/>
        </w:rPr>
        <w:footnoteReference w:id="11"/>
      </w:r>
      <w:r w:rsidR="000537D2">
        <w:rPr>
          <w:sz w:val="22"/>
          <w:szCs w:val="22"/>
        </w:rPr>
        <w:t xml:space="preserve"> </w:t>
      </w:r>
      <w:r w:rsidR="000A50AC">
        <w:rPr>
          <w:sz w:val="22"/>
          <w:szCs w:val="22"/>
        </w:rPr>
        <w:t xml:space="preserve"> </w:t>
      </w:r>
      <w:r w:rsidR="000537D2">
        <w:rPr>
          <w:sz w:val="22"/>
          <w:szCs w:val="22"/>
        </w:rPr>
        <w:t xml:space="preserve">The Leadership Conference </w:t>
      </w:r>
      <w:r w:rsidR="00E30F72">
        <w:rPr>
          <w:sz w:val="22"/>
          <w:szCs w:val="22"/>
        </w:rPr>
        <w:t>further contends</w:t>
      </w:r>
      <w:r w:rsidR="000537D2">
        <w:rPr>
          <w:sz w:val="22"/>
          <w:szCs w:val="22"/>
        </w:rPr>
        <w:t xml:space="preserve"> </w:t>
      </w:r>
      <w:r w:rsidR="009E725E">
        <w:rPr>
          <w:sz w:val="22"/>
          <w:szCs w:val="22"/>
        </w:rPr>
        <w:t>that “it is vitally important to collect data</w:t>
      </w:r>
      <w:r w:rsidR="007C4950">
        <w:rPr>
          <w:sz w:val="22"/>
          <w:szCs w:val="22"/>
        </w:rPr>
        <w:t xml:space="preserve"> from institutions </w:t>
      </w:r>
      <w:r w:rsidR="00510A8F">
        <w:rPr>
          <w:sz w:val="22"/>
          <w:szCs w:val="22"/>
        </w:rPr>
        <w:t xml:space="preserve">serving incarcerated persons </w:t>
      </w:r>
      <w:r w:rsidR="009E4351">
        <w:rPr>
          <w:sz w:val="22"/>
          <w:szCs w:val="22"/>
        </w:rPr>
        <w:t>and loved ones to prevent incarcerated people and loved ones from falling victim to predatory pricing practices.</w:t>
      </w:r>
      <w:r w:rsidR="006310EF">
        <w:rPr>
          <w:sz w:val="22"/>
          <w:szCs w:val="22"/>
        </w:rPr>
        <w:t>”</w:t>
      </w:r>
      <w:r w:rsidR="00820664" w:rsidRPr="009F3BD2">
        <w:rPr>
          <w:rStyle w:val="FootnoteReference"/>
          <w:sz w:val="20"/>
        </w:rPr>
        <w:footnoteReference w:id="12"/>
      </w:r>
    </w:p>
    <w:p w14:paraId="16607FB1" w14:textId="697B2DC1" w:rsidR="004D4D1D" w:rsidRDefault="00936EEA" w:rsidP="004D4D1D">
      <w:pPr>
        <w:pStyle w:val="Numberedparagraphs"/>
        <w:numPr>
          <w:ilvl w:val="0"/>
          <w:numId w:val="0"/>
        </w:numPr>
        <w:tabs>
          <w:tab w:val="clear" w:pos="1440"/>
          <w:tab w:val="left" w:pos="720"/>
        </w:tabs>
        <w:rPr>
          <w:sz w:val="22"/>
          <w:szCs w:val="22"/>
        </w:rPr>
      </w:pPr>
      <w:r>
        <w:rPr>
          <w:sz w:val="22"/>
          <w:szCs w:val="22"/>
        </w:rPr>
        <w:tab/>
      </w:r>
      <w:r w:rsidR="00F74A07">
        <w:rPr>
          <w:sz w:val="22"/>
          <w:szCs w:val="22"/>
        </w:rPr>
        <w:t xml:space="preserve">By contrast, </w:t>
      </w:r>
      <w:r>
        <w:rPr>
          <w:sz w:val="22"/>
          <w:szCs w:val="22"/>
        </w:rPr>
        <w:t>GT</w:t>
      </w:r>
      <w:r w:rsidR="004D4D1D">
        <w:rPr>
          <w:sz w:val="22"/>
          <w:szCs w:val="22"/>
        </w:rPr>
        <w:t>L claims that</w:t>
      </w:r>
      <w:r w:rsidR="009B759C">
        <w:rPr>
          <w:sz w:val="22"/>
          <w:szCs w:val="22"/>
        </w:rPr>
        <w:t xml:space="preserve">, </w:t>
      </w:r>
      <w:r w:rsidR="009F4D26">
        <w:rPr>
          <w:sz w:val="22"/>
          <w:szCs w:val="22"/>
        </w:rPr>
        <w:t xml:space="preserve">rather than </w:t>
      </w:r>
      <w:r w:rsidR="009B759C">
        <w:rPr>
          <w:sz w:val="22"/>
          <w:szCs w:val="22"/>
        </w:rPr>
        <w:t>extending the collection, t</w:t>
      </w:r>
      <w:r w:rsidR="004D4D1D">
        <w:rPr>
          <w:sz w:val="22"/>
          <w:szCs w:val="22"/>
        </w:rPr>
        <w:t xml:space="preserve">he Commission </w:t>
      </w:r>
      <w:r w:rsidR="009B759C">
        <w:rPr>
          <w:sz w:val="22"/>
          <w:szCs w:val="22"/>
        </w:rPr>
        <w:t>should</w:t>
      </w:r>
      <w:r w:rsidR="00C14195">
        <w:rPr>
          <w:sz w:val="22"/>
          <w:szCs w:val="22"/>
        </w:rPr>
        <w:t xml:space="preserve"> </w:t>
      </w:r>
      <w:r w:rsidR="00FB7562">
        <w:rPr>
          <w:sz w:val="22"/>
          <w:szCs w:val="22"/>
        </w:rPr>
        <w:t xml:space="preserve">instead </w:t>
      </w:r>
      <w:r w:rsidR="004D4D1D">
        <w:rPr>
          <w:sz w:val="22"/>
          <w:szCs w:val="22"/>
        </w:rPr>
        <w:t xml:space="preserve">rely </w:t>
      </w:r>
      <w:r w:rsidR="009B759C">
        <w:rPr>
          <w:sz w:val="22"/>
          <w:szCs w:val="22"/>
        </w:rPr>
        <w:t xml:space="preserve">on </w:t>
      </w:r>
      <w:r w:rsidR="009869EF">
        <w:rPr>
          <w:sz w:val="22"/>
          <w:szCs w:val="22"/>
        </w:rPr>
        <w:t>the</w:t>
      </w:r>
      <w:r w:rsidR="009B759C">
        <w:rPr>
          <w:sz w:val="22"/>
          <w:szCs w:val="22"/>
        </w:rPr>
        <w:t xml:space="preserve"> </w:t>
      </w:r>
      <w:r w:rsidR="00507BF4">
        <w:rPr>
          <w:sz w:val="22"/>
          <w:szCs w:val="22"/>
        </w:rPr>
        <w:t>“</w:t>
      </w:r>
      <w:r w:rsidR="004D4D1D">
        <w:rPr>
          <w:sz w:val="22"/>
          <w:szCs w:val="22"/>
        </w:rPr>
        <w:t>rules impos</w:t>
      </w:r>
      <w:r w:rsidR="009869EF">
        <w:rPr>
          <w:sz w:val="22"/>
          <w:szCs w:val="22"/>
        </w:rPr>
        <w:t>i</w:t>
      </w:r>
      <w:r w:rsidR="004D4D1D">
        <w:rPr>
          <w:sz w:val="22"/>
          <w:szCs w:val="22"/>
        </w:rPr>
        <w:t xml:space="preserve">ng ICS rate and </w:t>
      </w:r>
      <w:r w:rsidR="00507BF4">
        <w:rPr>
          <w:sz w:val="22"/>
          <w:szCs w:val="22"/>
        </w:rPr>
        <w:t xml:space="preserve">Ancillary Service Charge </w:t>
      </w:r>
      <w:r w:rsidR="004D4D1D">
        <w:rPr>
          <w:sz w:val="22"/>
          <w:szCs w:val="22"/>
        </w:rPr>
        <w:t>caps</w:t>
      </w:r>
      <w:r w:rsidR="00EA5B00">
        <w:rPr>
          <w:sz w:val="22"/>
          <w:szCs w:val="22"/>
        </w:rPr>
        <w:t xml:space="preserve"> and </w:t>
      </w:r>
      <w:r w:rsidR="004D4D1D">
        <w:rPr>
          <w:sz w:val="22"/>
          <w:szCs w:val="22"/>
        </w:rPr>
        <w:t xml:space="preserve">ICS consumer disclosures, coupled with </w:t>
      </w:r>
      <w:r w:rsidR="00126F3E">
        <w:rPr>
          <w:sz w:val="22"/>
          <w:szCs w:val="22"/>
        </w:rPr>
        <w:t>t</w:t>
      </w:r>
      <w:r w:rsidR="004D4D1D">
        <w:rPr>
          <w:sz w:val="22"/>
          <w:szCs w:val="22"/>
        </w:rPr>
        <w:t>he Commission’s complaint process</w:t>
      </w:r>
      <w:r w:rsidR="0047588F">
        <w:rPr>
          <w:sz w:val="22"/>
          <w:szCs w:val="22"/>
        </w:rPr>
        <w:t>,</w:t>
      </w:r>
      <w:r w:rsidR="00507BF4">
        <w:rPr>
          <w:sz w:val="22"/>
          <w:szCs w:val="22"/>
        </w:rPr>
        <w:t>”</w:t>
      </w:r>
      <w:r w:rsidR="0047588F">
        <w:rPr>
          <w:sz w:val="22"/>
          <w:szCs w:val="22"/>
        </w:rPr>
        <w:t xml:space="preserve"> to monitor the ICS industry</w:t>
      </w:r>
      <w:r w:rsidR="004D4D1D">
        <w:rPr>
          <w:sz w:val="22"/>
          <w:szCs w:val="22"/>
        </w:rPr>
        <w:t>.</w:t>
      </w:r>
      <w:r w:rsidR="004D4D1D" w:rsidRPr="009F3BD2">
        <w:rPr>
          <w:rStyle w:val="FootnoteReference"/>
          <w:sz w:val="20"/>
        </w:rPr>
        <w:footnoteReference w:id="13"/>
      </w:r>
      <w:r w:rsidR="004D4D1D">
        <w:rPr>
          <w:sz w:val="22"/>
          <w:szCs w:val="22"/>
        </w:rPr>
        <w:t xml:space="preserve">  GTL contends that</w:t>
      </w:r>
      <w:r w:rsidR="00B04131">
        <w:rPr>
          <w:sz w:val="22"/>
          <w:szCs w:val="22"/>
        </w:rPr>
        <w:t xml:space="preserve"> </w:t>
      </w:r>
      <w:r w:rsidR="0001604C">
        <w:rPr>
          <w:sz w:val="22"/>
          <w:szCs w:val="22"/>
        </w:rPr>
        <w:t xml:space="preserve">these </w:t>
      </w:r>
      <w:r w:rsidR="00C14195">
        <w:rPr>
          <w:sz w:val="22"/>
          <w:szCs w:val="22"/>
        </w:rPr>
        <w:t>processes “</w:t>
      </w:r>
      <w:r w:rsidR="004D4D1D">
        <w:rPr>
          <w:sz w:val="22"/>
          <w:szCs w:val="22"/>
        </w:rPr>
        <w:t xml:space="preserve">provide </w:t>
      </w:r>
      <w:r w:rsidR="00126F3E">
        <w:rPr>
          <w:sz w:val="22"/>
          <w:szCs w:val="22"/>
        </w:rPr>
        <w:t>a</w:t>
      </w:r>
      <w:r w:rsidR="00EA5B00">
        <w:rPr>
          <w:sz w:val="22"/>
          <w:szCs w:val="22"/>
        </w:rPr>
        <w:t xml:space="preserve"> reliable and less burdensome way to facilitate transparency in ICS rates, terms, and fees </w:t>
      </w:r>
      <w:r w:rsidR="00507BF4">
        <w:rPr>
          <w:sz w:val="22"/>
          <w:szCs w:val="22"/>
        </w:rPr>
        <w:t xml:space="preserve">and </w:t>
      </w:r>
      <w:r w:rsidR="00EA5B00">
        <w:rPr>
          <w:sz w:val="22"/>
          <w:szCs w:val="22"/>
        </w:rPr>
        <w:t>to help ensure that</w:t>
      </w:r>
      <w:r w:rsidR="00284E18">
        <w:rPr>
          <w:sz w:val="22"/>
          <w:szCs w:val="22"/>
        </w:rPr>
        <w:t xml:space="preserve"> </w:t>
      </w:r>
      <w:r w:rsidR="006E65EE">
        <w:rPr>
          <w:sz w:val="22"/>
          <w:szCs w:val="22"/>
        </w:rPr>
        <w:t>providers of ICS comply with the Commission’s rules.”</w:t>
      </w:r>
      <w:r w:rsidR="004D4D1D" w:rsidRPr="009F3BD2">
        <w:rPr>
          <w:rStyle w:val="FootnoteReference"/>
          <w:sz w:val="20"/>
        </w:rPr>
        <w:footnoteReference w:id="14"/>
      </w:r>
      <w:r w:rsidR="004D4D1D">
        <w:rPr>
          <w:sz w:val="22"/>
          <w:szCs w:val="22"/>
        </w:rPr>
        <w:t xml:space="preserve">  </w:t>
      </w:r>
    </w:p>
    <w:p w14:paraId="0F0F66BF" w14:textId="3026AF2A" w:rsidR="00D810B2" w:rsidRDefault="00196CF0" w:rsidP="00C84048">
      <w:pPr>
        <w:pStyle w:val="Numberedparagraphs"/>
        <w:numPr>
          <w:ilvl w:val="0"/>
          <w:numId w:val="0"/>
        </w:numPr>
        <w:tabs>
          <w:tab w:val="clear" w:pos="1440"/>
          <w:tab w:val="left" w:pos="720"/>
          <w:tab w:val="left" w:pos="3900"/>
        </w:tabs>
        <w:rPr>
          <w:sz w:val="22"/>
          <w:szCs w:val="22"/>
        </w:rPr>
      </w:pPr>
      <w:r>
        <w:rPr>
          <w:i/>
          <w:sz w:val="22"/>
          <w:szCs w:val="22"/>
        </w:rPr>
        <w:tab/>
      </w:r>
      <w:r w:rsidR="004C720C" w:rsidRPr="005C5204">
        <w:rPr>
          <w:i/>
          <w:sz w:val="22"/>
          <w:szCs w:val="22"/>
        </w:rPr>
        <w:t>Response.</w:t>
      </w:r>
      <w:r w:rsidR="004C720C" w:rsidRPr="005C5204">
        <w:rPr>
          <w:sz w:val="22"/>
          <w:szCs w:val="22"/>
        </w:rPr>
        <w:t xml:space="preserve">  </w:t>
      </w:r>
      <w:r w:rsidR="00936EEA" w:rsidRPr="005C5204">
        <w:rPr>
          <w:sz w:val="22"/>
          <w:szCs w:val="22"/>
        </w:rPr>
        <w:t xml:space="preserve">We </w:t>
      </w:r>
      <w:r w:rsidR="00FB713D" w:rsidRPr="005C5204">
        <w:rPr>
          <w:sz w:val="22"/>
          <w:szCs w:val="22"/>
        </w:rPr>
        <w:t>will</w:t>
      </w:r>
      <w:r w:rsidR="00936EEA" w:rsidRPr="005C5204">
        <w:rPr>
          <w:sz w:val="22"/>
          <w:szCs w:val="22"/>
        </w:rPr>
        <w:t xml:space="preserve"> </w:t>
      </w:r>
      <w:r w:rsidR="00FB713D" w:rsidRPr="005C5204">
        <w:rPr>
          <w:sz w:val="22"/>
          <w:szCs w:val="22"/>
        </w:rPr>
        <w:t xml:space="preserve">continue to require ICS providers to </w:t>
      </w:r>
      <w:r w:rsidR="004E464B" w:rsidRPr="005C5204">
        <w:rPr>
          <w:sz w:val="22"/>
          <w:szCs w:val="22"/>
        </w:rPr>
        <w:t xml:space="preserve">file </w:t>
      </w:r>
      <w:r w:rsidR="001F17D0">
        <w:rPr>
          <w:sz w:val="22"/>
          <w:szCs w:val="22"/>
        </w:rPr>
        <w:t>a</w:t>
      </w:r>
      <w:r w:rsidR="004E464B" w:rsidRPr="005C5204">
        <w:rPr>
          <w:sz w:val="22"/>
          <w:szCs w:val="22"/>
        </w:rPr>
        <w:t xml:space="preserve">nnual </w:t>
      </w:r>
      <w:r w:rsidR="001F17D0">
        <w:rPr>
          <w:sz w:val="22"/>
          <w:szCs w:val="22"/>
        </w:rPr>
        <w:t>r</w:t>
      </w:r>
      <w:r w:rsidR="004E464B" w:rsidRPr="005C5204">
        <w:rPr>
          <w:sz w:val="22"/>
          <w:szCs w:val="22"/>
        </w:rPr>
        <w:t>eports</w:t>
      </w:r>
      <w:r w:rsidR="007B02D8" w:rsidRPr="005C5204">
        <w:rPr>
          <w:sz w:val="22"/>
          <w:szCs w:val="22"/>
        </w:rPr>
        <w:t xml:space="preserve"> and certifications</w:t>
      </w:r>
      <w:r w:rsidR="00851AA0">
        <w:rPr>
          <w:sz w:val="22"/>
          <w:szCs w:val="22"/>
        </w:rPr>
        <w:t>.  By continuing this requirement, the Commission can i</w:t>
      </w:r>
      <w:r w:rsidR="00F74A07">
        <w:rPr>
          <w:szCs w:val="22"/>
        </w:rPr>
        <w:t>de</w:t>
      </w:r>
      <w:r w:rsidR="00F74A07" w:rsidRPr="004460F4">
        <w:rPr>
          <w:szCs w:val="22"/>
        </w:rPr>
        <w:t xml:space="preserve">ntify and track trends in the </w:t>
      </w:r>
      <w:r w:rsidR="00F74A07" w:rsidRPr="00CA240C">
        <w:rPr>
          <w:szCs w:val="22"/>
        </w:rPr>
        <w:t xml:space="preserve">ICS marketplace, and monitor compliance with </w:t>
      </w:r>
      <w:r w:rsidR="00851AA0">
        <w:rPr>
          <w:szCs w:val="22"/>
        </w:rPr>
        <w:t>its</w:t>
      </w:r>
      <w:r w:rsidR="00F74A07" w:rsidRPr="00CA240C">
        <w:rPr>
          <w:szCs w:val="22"/>
        </w:rPr>
        <w:t xml:space="preserve"> rules</w:t>
      </w:r>
      <w:r w:rsidR="004B4904">
        <w:rPr>
          <w:szCs w:val="22"/>
        </w:rPr>
        <w:t xml:space="preserve"> pertaining to ICS</w:t>
      </w:r>
      <w:r w:rsidR="00936EEA" w:rsidRPr="005C5204">
        <w:rPr>
          <w:sz w:val="22"/>
          <w:szCs w:val="22"/>
        </w:rPr>
        <w:t xml:space="preserve">.  </w:t>
      </w:r>
      <w:r w:rsidR="00D810B2">
        <w:rPr>
          <w:sz w:val="22"/>
          <w:szCs w:val="22"/>
        </w:rPr>
        <w:t xml:space="preserve">As </w:t>
      </w:r>
      <w:r w:rsidR="00D810B2" w:rsidRPr="005C5204">
        <w:rPr>
          <w:sz w:val="22"/>
          <w:szCs w:val="22"/>
        </w:rPr>
        <w:t xml:space="preserve">noted above, the </w:t>
      </w:r>
      <w:r w:rsidR="001F17D0">
        <w:rPr>
          <w:sz w:val="22"/>
          <w:szCs w:val="22"/>
        </w:rPr>
        <w:t>a</w:t>
      </w:r>
      <w:r w:rsidR="00D810B2" w:rsidRPr="005C5204">
        <w:rPr>
          <w:sz w:val="22"/>
          <w:szCs w:val="22"/>
        </w:rPr>
        <w:t xml:space="preserve">nnual </w:t>
      </w:r>
      <w:r w:rsidR="002507CA">
        <w:rPr>
          <w:sz w:val="22"/>
          <w:szCs w:val="22"/>
        </w:rPr>
        <w:t>r</w:t>
      </w:r>
      <w:r w:rsidR="00D810B2">
        <w:rPr>
          <w:sz w:val="22"/>
          <w:szCs w:val="22"/>
        </w:rPr>
        <w:t>e</w:t>
      </w:r>
      <w:r w:rsidR="00D810B2" w:rsidRPr="005C5204">
        <w:rPr>
          <w:sz w:val="22"/>
          <w:szCs w:val="22"/>
        </w:rPr>
        <w:t>ports</w:t>
      </w:r>
      <w:r w:rsidR="00D810B2">
        <w:rPr>
          <w:sz w:val="22"/>
          <w:szCs w:val="22"/>
        </w:rPr>
        <w:t xml:space="preserve"> and </w:t>
      </w:r>
      <w:r w:rsidR="00D810B2" w:rsidRPr="005C5204">
        <w:rPr>
          <w:sz w:val="22"/>
          <w:szCs w:val="22"/>
        </w:rPr>
        <w:t>certifications provide extensive information about the ICS industry.</w:t>
      </w:r>
      <w:r w:rsidR="00D810B2" w:rsidRPr="005C5204">
        <w:rPr>
          <w:i/>
          <w:sz w:val="22"/>
          <w:szCs w:val="22"/>
        </w:rPr>
        <w:t xml:space="preserve">  </w:t>
      </w:r>
      <w:r w:rsidR="00D810B2" w:rsidRPr="005C5204">
        <w:rPr>
          <w:sz w:val="22"/>
          <w:szCs w:val="22"/>
        </w:rPr>
        <w:t>Continuing to collect this information will help the Commission understand changes in the</w:t>
      </w:r>
      <w:r w:rsidR="00D810B2">
        <w:rPr>
          <w:sz w:val="22"/>
          <w:szCs w:val="22"/>
        </w:rPr>
        <w:t xml:space="preserve"> </w:t>
      </w:r>
      <w:r w:rsidR="00D810B2" w:rsidRPr="005C5204">
        <w:rPr>
          <w:sz w:val="22"/>
          <w:szCs w:val="22"/>
        </w:rPr>
        <w:t>industry and determine whether further reform is needed.</w:t>
      </w:r>
      <w:r w:rsidR="0081720F">
        <w:rPr>
          <w:sz w:val="22"/>
          <w:szCs w:val="22"/>
        </w:rPr>
        <w:t xml:space="preserve"> </w:t>
      </w:r>
      <w:r w:rsidR="00D810B2" w:rsidRPr="005C5204">
        <w:rPr>
          <w:sz w:val="22"/>
          <w:szCs w:val="22"/>
        </w:rPr>
        <w:t xml:space="preserve"> The annual reporting requirements also allow the Commission to monitor ICS providers’ compliance with its rules.  </w:t>
      </w:r>
    </w:p>
    <w:p w14:paraId="5CE55EC3" w14:textId="746420F3" w:rsidR="00C84048" w:rsidRDefault="00D810B2" w:rsidP="00C84048">
      <w:pPr>
        <w:pStyle w:val="Numberedparagraphs"/>
        <w:numPr>
          <w:ilvl w:val="0"/>
          <w:numId w:val="0"/>
        </w:numPr>
        <w:tabs>
          <w:tab w:val="clear" w:pos="1440"/>
          <w:tab w:val="left" w:pos="720"/>
          <w:tab w:val="left" w:pos="3900"/>
        </w:tabs>
        <w:rPr>
          <w:sz w:val="22"/>
          <w:szCs w:val="22"/>
        </w:rPr>
      </w:pPr>
      <w:r>
        <w:rPr>
          <w:sz w:val="22"/>
          <w:szCs w:val="22"/>
        </w:rPr>
        <w:tab/>
      </w:r>
      <w:r w:rsidR="002B2013">
        <w:rPr>
          <w:sz w:val="22"/>
          <w:szCs w:val="22"/>
        </w:rPr>
        <w:t>Further, the Commission’s annual r</w:t>
      </w:r>
      <w:r w:rsidR="00C84048">
        <w:rPr>
          <w:sz w:val="22"/>
          <w:szCs w:val="22"/>
        </w:rPr>
        <w:t xml:space="preserve">eports provide </w:t>
      </w:r>
      <w:r w:rsidR="00C84048" w:rsidRPr="005C5204">
        <w:rPr>
          <w:sz w:val="22"/>
          <w:szCs w:val="22"/>
        </w:rPr>
        <w:t>inmates, their families, their represen</w:t>
      </w:r>
      <w:r w:rsidR="00C84048">
        <w:rPr>
          <w:sz w:val="22"/>
          <w:szCs w:val="22"/>
        </w:rPr>
        <w:t xml:space="preserve">tatives, </w:t>
      </w:r>
      <w:r w:rsidR="005D1E29">
        <w:rPr>
          <w:sz w:val="22"/>
          <w:szCs w:val="22"/>
        </w:rPr>
        <w:t xml:space="preserve">and the general public </w:t>
      </w:r>
      <w:r w:rsidR="00C84048">
        <w:rPr>
          <w:sz w:val="22"/>
          <w:szCs w:val="22"/>
        </w:rPr>
        <w:t xml:space="preserve">with access to </w:t>
      </w:r>
      <w:r w:rsidR="007F2843">
        <w:rPr>
          <w:sz w:val="22"/>
          <w:szCs w:val="22"/>
        </w:rPr>
        <w:t xml:space="preserve">extensive </w:t>
      </w:r>
      <w:r w:rsidR="00C84048">
        <w:rPr>
          <w:sz w:val="22"/>
          <w:szCs w:val="22"/>
        </w:rPr>
        <w:t>information affecting the provision of interstate and international ICS</w:t>
      </w:r>
      <w:r w:rsidR="00EF1AF4">
        <w:rPr>
          <w:sz w:val="22"/>
          <w:szCs w:val="22"/>
        </w:rPr>
        <w:t>.</w:t>
      </w:r>
      <w:r w:rsidR="00C84048">
        <w:rPr>
          <w:sz w:val="22"/>
          <w:szCs w:val="22"/>
        </w:rPr>
        <w:t xml:space="preserve"> </w:t>
      </w:r>
      <w:r>
        <w:rPr>
          <w:sz w:val="22"/>
          <w:szCs w:val="22"/>
        </w:rPr>
        <w:t xml:space="preserve"> </w:t>
      </w:r>
      <w:r w:rsidR="00EC3A4C">
        <w:rPr>
          <w:sz w:val="22"/>
          <w:szCs w:val="22"/>
        </w:rPr>
        <w:t>T</w:t>
      </w:r>
      <w:r w:rsidR="00C84048">
        <w:rPr>
          <w:sz w:val="22"/>
          <w:szCs w:val="22"/>
        </w:rPr>
        <w:t xml:space="preserve">his information </w:t>
      </w:r>
      <w:r w:rsidR="00941498">
        <w:rPr>
          <w:sz w:val="22"/>
          <w:szCs w:val="22"/>
        </w:rPr>
        <w:t>helps keep</w:t>
      </w:r>
      <w:r w:rsidR="00C84048">
        <w:rPr>
          <w:sz w:val="22"/>
          <w:szCs w:val="22"/>
        </w:rPr>
        <w:t xml:space="preserve"> inmates and their loved ones</w:t>
      </w:r>
      <w:r w:rsidR="006D6E14" w:rsidRPr="006D6E14">
        <w:rPr>
          <w:sz w:val="22"/>
          <w:szCs w:val="22"/>
        </w:rPr>
        <w:t xml:space="preserve"> </w:t>
      </w:r>
      <w:r w:rsidR="006D6E14">
        <w:rPr>
          <w:sz w:val="22"/>
          <w:szCs w:val="22"/>
        </w:rPr>
        <w:t>from falling victim to predatory pricin</w:t>
      </w:r>
      <w:r w:rsidR="000C718B">
        <w:rPr>
          <w:sz w:val="22"/>
          <w:szCs w:val="22"/>
        </w:rPr>
        <w:t>g</w:t>
      </w:r>
      <w:r w:rsidR="000959D4">
        <w:rPr>
          <w:sz w:val="22"/>
          <w:szCs w:val="22"/>
        </w:rPr>
        <w:t xml:space="preserve"> practices.</w:t>
      </w:r>
      <w:r w:rsidR="00EC3A4C" w:rsidRPr="009F3BD2">
        <w:rPr>
          <w:rStyle w:val="FootnoteReference"/>
          <w:sz w:val="20"/>
        </w:rPr>
        <w:footnoteReference w:id="15"/>
      </w:r>
      <w:r w:rsidR="006D6E14">
        <w:rPr>
          <w:sz w:val="22"/>
          <w:szCs w:val="22"/>
        </w:rPr>
        <w:t xml:space="preserve">  </w:t>
      </w:r>
      <w:r w:rsidR="008B6597">
        <w:rPr>
          <w:sz w:val="22"/>
          <w:szCs w:val="22"/>
        </w:rPr>
        <w:t xml:space="preserve">As </w:t>
      </w:r>
      <w:r>
        <w:rPr>
          <w:sz w:val="22"/>
          <w:szCs w:val="22"/>
        </w:rPr>
        <w:t xml:space="preserve">Worth </w:t>
      </w:r>
      <w:r w:rsidR="00141125">
        <w:rPr>
          <w:sz w:val="22"/>
          <w:szCs w:val="22"/>
        </w:rPr>
        <w:t>Rise</w:t>
      </w:r>
      <w:r w:rsidR="008557D8">
        <w:rPr>
          <w:sz w:val="22"/>
          <w:szCs w:val="22"/>
        </w:rPr>
        <w:t xml:space="preserve"> and the Leadership Conference</w:t>
      </w:r>
      <w:r w:rsidR="00141125">
        <w:rPr>
          <w:sz w:val="22"/>
          <w:szCs w:val="22"/>
        </w:rPr>
        <w:t xml:space="preserve"> observe, </w:t>
      </w:r>
      <w:r>
        <w:rPr>
          <w:sz w:val="22"/>
          <w:szCs w:val="22"/>
        </w:rPr>
        <w:t xml:space="preserve">the </w:t>
      </w:r>
      <w:r w:rsidR="008B6597">
        <w:rPr>
          <w:sz w:val="22"/>
          <w:szCs w:val="22"/>
        </w:rPr>
        <w:t>a</w:t>
      </w:r>
      <w:r>
        <w:rPr>
          <w:sz w:val="22"/>
          <w:szCs w:val="22"/>
        </w:rPr>
        <w:t xml:space="preserve">nnual </w:t>
      </w:r>
      <w:r w:rsidR="008B6597">
        <w:rPr>
          <w:sz w:val="22"/>
          <w:szCs w:val="22"/>
        </w:rPr>
        <w:t>r</w:t>
      </w:r>
      <w:r>
        <w:rPr>
          <w:sz w:val="22"/>
          <w:szCs w:val="22"/>
        </w:rPr>
        <w:t xml:space="preserve">eports </w:t>
      </w:r>
      <w:r w:rsidR="00141125">
        <w:rPr>
          <w:sz w:val="22"/>
          <w:szCs w:val="22"/>
        </w:rPr>
        <w:t xml:space="preserve">are </w:t>
      </w:r>
      <w:r>
        <w:rPr>
          <w:sz w:val="22"/>
          <w:szCs w:val="22"/>
        </w:rPr>
        <w:t xml:space="preserve">a vital resource that allows the public to </w:t>
      </w:r>
      <w:r w:rsidR="000A0ABE">
        <w:rPr>
          <w:sz w:val="22"/>
          <w:szCs w:val="22"/>
        </w:rPr>
        <w:t>monitor ICS providers’ compliance with the Commission’s rules</w:t>
      </w:r>
      <w:r>
        <w:rPr>
          <w:sz w:val="22"/>
          <w:szCs w:val="22"/>
        </w:rPr>
        <w:t>.</w:t>
      </w:r>
      <w:r w:rsidR="00EC3A4C" w:rsidRPr="009F3BD2">
        <w:rPr>
          <w:rStyle w:val="FootnoteReference"/>
          <w:sz w:val="20"/>
        </w:rPr>
        <w:footnoteReference w:id="16"/>
      </w:r>
    </w:p>
    <w:p w14:paraId="24A02E75" w14:textId="0F54DFC5" w:rsidR="007463E2" w:rsidRDefault="00086ADF" w:rsidP="00186CAC">
      <w:pPr>
        <w:pStyle w:val="Numberedparagraphs"/>
        <w:numPr>
          <w:ilvl w:val="0"/>
          <w:numId w:val="0"/>
        </w:numPr>
        <w:tabs>
          <w:tab w:val="clear" w:pos="1440"/>
          <w:tab w:val="left" w:pos="720"/>
          <w:tab w:val="left" w:pos="3900"/>
        </w:tabs>
        <w:rPr>
          <w:sz w:val="22"/>
          <w:szCs w:val="22"/>
        </w:rPr>
      </w:pPr>
      <w:r>
        <w:rPr>
          <w:sz w:val="22"/>
          <w:szCs w:val="22"/>
        </w:rPr>
        <w:tab/>
      </w:r>
      <w:r w:rsidR="00C14195">
        <w:rPr>
          <w:sz w:val="22"/>
          <w:szCs w:val="22"/>
        </w:rPr>
        <w:t xml:space="preserve">Contrary to GTL’s argument, </w:t>
      </w:r>
      <w:r w:rsidR="00186CAC">
        <w:rPr>
          <w:sz w:val="22"/>
          <w:szCs w:val="22"/>
        </w:rPr>
        <w:t xml:space="preserve">the </w:t>
      </w:r>
      <w:r w:rsidR="00BA23C0">
        <w:rPr>
          <w:sz w:val="22"/>
          <w:szCs w:val="22"/>
        </w:rPr>
        <w:t xml:space="preserve">rate and ancillary </w:t>
      </w:r>
      <w:r w:rsidR="00941498">
        <w:rPr>
          <w:sz w:val="22"/>
          <w:szCs w:val="22"/>
        </w:rPr>
        <w:t>fee</w:t>
      </w:r>
      <w:r w:rsidR="00BA23C0">
        <w:rPr>
          <w:sz w:val="22"/>
          <w:szCs w:val="22"/>
        </w:rPr>
        <w:t xml:space="preserve"> cap</w:t>
      </w:r>
      <w:r w:rsidR="00F767A6">
        <w:rPr>
          <w:sz w:val="22"/>
          <w:szCs w:val="22"/>
        </w:rPr>
        <w:t>s</w:t>
      </w:r>
      <w:r w:rsidR="00BA23C0">
        <w:rPr>
          <w:sz w:val="22"/>
          <w:szCs w:val="22"/>
        </w:rPr>
        <w:t xml:space="preserve">, consumer disclosure rule, and the Commission’s complaint process are </w:t>
      </w:r>
      <w:r w:rsidR="002B2013">
        <w:rPr>
          <w:sz w:val="22"/>
          <w:szCs w:val="22"/>
        </w:rPr>
        <w:t xml:space="preserve">not a substitute for the </w:t>
      </w:r>
      <w:r w:rsidR="00DF1A36">
        <w:rPr>
          <w:sz w:val="22"/>
          <w:szCs w:val="22"/>
        </w:rPr>
        <w:t>annual reports</w:t>
      </w:r>
      <w:r w:rsidR="00444714">
        <w:rPr>
          <w:sz w:val="22"/>
          <w:szCs w:val="22"/>
        </w:rPr>
        <w:t xml:space="preserve">. </w:t>
      </w:r>
      <w:r>
        <w:rPr>
          <w:sz w:val="22"/>
          <w:szCs w:val="22"/>
        </w:rPr>
        <w:t xml:space="preserve"> </w:t>
      </w:r>
      <w:r w:rsidR="00444714">
        <w:rPr>
          <w:sz w:val="22"/>
          <w:szCs w:val="22"/>
        </w:rPr>
        <w:t>Even tak</w:t>
      </w:r>
      <w:r w:rsidR="00C271F1">
        <w:rPr>
          <w:sz w:val="22"/>
          <w:szCs w:val="22"/>
        </w:rPr>
        <w:t xml:space="preserve">en </w:t>
      </w:r>
      <w:r w:rsidR="00444714">
        <w:rPr>
          <w:sz w:val="22"/>
          <w:szCs w:val="22"/>
        </w:rPr>
        <w:t>together, the</w:t>
      </w:r>
      <w:r w:rsidR="007463E2">
        <w:rPr>
          <w:sz w:val="22"/>
          <w:szCs w:val="22"/>
        </w:rPr>
        <w:t>se</w:t>
      </w:r>
      <w:r w:rsidR="00444714">
        <w:rPr>
          <w:sz w:val="22"/>
          <w:szCs w:val="22"/>
        </w:rPr>
        <w:t xml:space="preserve"> processes </w:t>
      </w:r>
      <w:r w:rsidR="004B4904">
        <w:rPr>
          <w:sz w:val="22"/>
          <w:szCs w:val="22"/>
        </w:rPr>
        <w:t xml:space="preserve">do not </w:t>
      </w:r>
      <w:r w:rsidR="00DF1A36">
        <w:rPr>
          <w:sz w:val="22"/>
          <w:szCs w:val="22"/>
        </w:rPr>
        <w:t>provid</w:t>
      </w:r>
      <w:r w:rsidR="004B4904">
        <w:rPr>
          <w:sz w:val="22"/>
          <w:szCs w:val="22"/>
        </w:rPr>
        <w:t>e</w:t>
      </w:r>
      <w:r w:rsidR="00DF1A36">
        <w:rPr>
          <w:sz w:val="22"/>
          <w:szCs w:val="22"/>
        </w:rPr>
        <w:t xml:space="preserve"> </w:t>
      </w:r>
      <w:r w:rsidR="00186CAC">
        <w:rPr>
          <w:sz w:val="22"/>
          <w:szCs w:val="22"/>
        </w:rPr>
        <w:t>the Commission</w:t>
      </w:r>
      <w:r w:rsidR="00DF1A36">
        <w:rPr>
          <w:sz w:val="22"/>
          <w:szCs w:val="22"/>
        </w:rPr>
        <w:t xml:space="preserve"> and the public</w:t>
      </w:r>
      <w:r w:rsidR="00186CAC">
        <w:rPr>
          <w:sz w:val="22"/>
          <w:szCs w:val="22"/>
        </w:rPr>
        <w:t xml:space="preserve"> with </w:t>
      </w:r>
      <w:r>
        <w:rPr>
          <w:sz w:val="22"/>
          <w:szCs w:val="22"/>
        </w:rPr>
        <w:t>a</w:t>
      </w:r>
      <w:r w:rsidR="00DF1A36">
        <w:rPr>
          <w:sz w:val="22"/>
          <w:szCs w:val="22"/>
        </w:rPr>
        <w:t xml:space="preserve"> comprehensive view</w:t>
      </w:r>
      <w:r w:rsidR="00186CAC">
        <w:rPr>
          <w:sz w:val="22"/>
          <w:szCs w:val="22"/>
        </w:rPr>
        <w:t xml:space="preserve"> of each </w:t>
      </w:r>
      <w:r w:rsidR="00F767A6">
        <w:rPr>
          <w:sz w:val="22"/>
          <w:szCs w:val="22"/>
        </w:rPr>
        <w:t xml:space="preserve">ICS </w:t>
      </w:r>
      <w:r w:rsidR="00186CAC">
        <w:rPr>
          <w:sz w:val="22"/>
          <w:szCs w:val="22"/>
        </w:rPr>
        <w:t>provider’s operations</w:t>
      </w:r>
      <w:r w:rsidR="00F767A6">
        <w:rPr>
          <w:sz w:val="22"/>
          <w:szCs w:val="22"/>
        </w:rPr>
        <w:t xml:space="preserve">.  </w:t>
      </w:r>
      <w:r w:rsidR="004B4904">
        <w:rPr>
          <w:sz w:val="22"/>
          <w:szCs w:val="22"/>
        </w:rPr>
        <w:t>T</w:t>
      </w:r>
      <w:r w:rsidR="00961CFD">
        <w:rPr>
          <w:sz w:val="22"/>
          <w:szCs w:val="22"/>
        </w:rPr>
        <w:t>he annual reports</w:t>
      </w:r>
      <w:r w:rsidR="004B4904">
        <w:rPr>
          <w:sz w:val="22"/>
          <w:szCs w:val="22"/>
        </w:rPr>
        <w:t>, however,</w:t>
      </w:r>
      <w:r w:rsidR="00961CFD">
        <w:rPr>
          <w:sz w:val="22"/>
          <w:szCs w:val="22"/>
        </w:rPr>
        <w:t xml:space="preserve"> provide a window into the provider</w:t>
      </w:r>
      <w:r w:rsidR="00F767A6">
        <w:rPr>
          <w:sz w:val="22"/>
          <w:szCs w:val="22"/>
        </w:rPr>
        <w:t>’</w:t>
      </w:r>
      <w:r w:rsidR="00961CFD">
        <w:rPr>
          <w:sz w:val="22"/>
          <w:szCs w:val="22"/>
        </w:rPr>
        <w:t xml:space="preserve">s rates, ancillary service charges, and </w:t>
      </w:r>
      <w:r w:rsidR="00F767A6">
        <w:rPr>
          <w:sz w:val="22"/>
          <w:szCs w:val="22"/>
        </w:rPr>
        <w:t xml:space="preserve">site commission payments, among other </w:t>
      </w:r>
      <w:r w:rsidR="0047588F">
        <w:rPr>
          <w:sz w:val="22"/>
          <w:szCs w:val="22"/>
        </w:rPr>
        <w:t>matters</w:t>
      </w:r>
      <w:r w:rsidR="00D70AFB">
        <w:rPr>
          <w:sz w:val="22"/>
          <w:szCs w:val="22"/>
        </w:rPr>
        <w:t>,</w:t>
      </w:r>
      <w:r w:rsidR="00F767A6">
        <w:rPr>
          <w:sz w:val="22"/>
          <w:szCs w:val="22"/>
        </w:rPr>
        <w:t xml:space="preserve"> for each calendar</w:t>
      </w:r>
      <w:r w:rsidR="00961CFD">
        <w:rPr>
          <w:sz w:val="22"/>
          <w:szCs w:val="22"/>
        </w:rPr>
        <w:t xml:space="preserve"> year. </w:t>
      </w:r>
      <w:r w:rsidR="00F767A6">
        <w:rPr>
          <w:sz w:val="22"/>
          <w:szCs w:val="22"/>
        </w:rPr>
        <w:t xml:space="preserve"> </w:t>
      </w:r>
      <w:r w:rsidR="00D70AFB">
        <w:rPr>
          <w:sz w:val="22"/>
          <w:szCs w:val="22"/>
        </w:rPr>
        <w:t>This</w:t>
      </w:r>
      <w:r w:rsidR="004F112E">
        <w:rPr>
          <w:sz w:val="22"/>
          <w:szCs w:val="22"/>
        </w:rPr>
        <w:t xml:space="preserve"> </w:t>
      </w:r>
      <w:r w:rsidR="00961CFD">
        <w:rPr>
          <w:sz w:val="22"/>
          <w:szCs w:val="22"/>
        </w:rPr>
        <w:t>information</w:t>
      </w:r>
      <w:r w:rsidR="00D70AFB">
        <w:rPr>
          <w:sz w:val="22"/>
          <w:szCs w:val="22"/>
        </w:rPr>
        <w:t xml:space="preserve"> allows the </w:t>
      </w:r>
      <w:r w:rsidR="00961CFD">
        <w:rPr>
          <w:sz w:val="22"/>
          <w:szCs w:val="22"/>
        </w:rPr>
        <w:t xml:space="preserve">Commission </w:t>
      </w:r>
      <w:r w:rsidR="001E0039">
        <w:rPr>
          <w:sz w:val="22"/>
          <w:szCs w:val="22"/>
        </w:rPr>
        <w:t xml:space="preserve">and the public </w:t>
      </w:r>
      <w:r w:rsidR="00D70AFB">
        <w:rPr>
          <w:sz w:val="22"/>
          <w:szCs w:val="22"/>
        </w:rPr>
        <w:t xml:space="preserve">to compare ICS providers to each other, and to identify and track trends in the ICS industry.  </w:t>
      </w:r>
    </w:p>
    <w:p w14:paraId="695F2087" w14:textId="41CAB265" w:rsidR="00086ADF" w:rsidRDefault="00086ADF" w:rsidP="00086ADF">
      <w:pPr>
        <w:pStyle w:val="Numberedparagraphs"/>
        <w:numPr>
          <w:ilvl w:val="0"/>
          <w:numId w:val="0"/>
        </w:numPr>
        <w:tabs>
          <w:tab w:val="clear" w:pos="1440"/>
          <w:tab w:val="left" w:pos="720"/>
          <w:tab w:val="left" w:pos="3900"/>
        </w:tabs>
        <w:rPr>
          <w:sz w:val="22"/>
          <w:szCs w:val="22"/>
        </w:rPr>
      </w:pPr>
      <w:r>
        <w:rPr>
          <w:sz w:val="22"/>
          <w:szCs w:val="22"/>
        </w:rPr>
        <w:tab/>
        <w:t xml:space="preserve">GTL also appears to confuse the existence of Commission rules with the question </w:t>
      </w:r>
      <w:r w:rsidR="00C3069B">
        <w:rPr>
          <w:sz w:val="22"/>
          <w:szCs w:val="22"/>
        </w:rPr>
        <w:t xml:space="preserve">of </w:t>
      </w:r>
      <w:r>
        <w:rPr>
          <w:sz w:val="22"/>
          <w:szCs w:val="22"/>
        </w:rPr>
        <w:t>whether ICS providers comply with those rules.  The annual reports</w:t>
      </w:r>
      <w:r w:rsidR="0047588F">
        <w:rPr>
          <w:sz w:val="22"/>
          <w:szCs w:val="22"/>
        </w:rPr>
        <w:t xml:space="preserve"> and certifications</w:t>
      </w:r>
      <w:r>
        <w:rPr>
          <w:sz w:val="22"/>
          <w:szCs w:val="22"/>
        </w:rPr>
        <w:t xml:space="preserve"> provide a vehicle for helping ensure such compliance.  For instance, </w:t>
      </w:r>
      <w:r w:rsidR="001E0039">
        <w:rPr>
          <w:sz w:val="22"/>
          <w:szCs w:val="22"/>
        </w:rPr>
        <w:t xml:space="preserve">the information an </w:t>
      </w:r>
      <w:r>
        <w:rPr>
          <w:sz w:val="22"/>
          <w:szCs w:val="22"/>
        </w:rPr>
        <w:t>ICS provider disclose</w:t>
      </w:r>
      <w:r w:rsidR="001E0039">
        <w:rPr>
          <w:sz w:val="22"/>
          <w:szCs w:val="22"/>
        </w:rPr>
        <w:t>s in its annual report regarding its interstate ICS rates helps the Commission and the public to determine whether the provider is complying with the Commission</w:t>
      </w:r>
      <w:r w:rsidR="000E3225">
        <w:rPr>
          <w:sz w:val="22"/>
          <w:szCs w:val="22"/>
        </w:rPr>
        <w:t xml:space="preserve">’s requirements </w:t>
      </w:r>
      <w:r w:rsidR="00135C2F">
        <w:rPr>
          <w:sz w:val="22"/>
          <w:szCs w:val="22"/>
        </w:rPr>
        <w:t xml:space="preserve">regarding </w:t>
      </w:r>
      <w:r w:rsidR="001E0039">
        <w:rPr>
          <w:sz w:val="22"/>
          <w:szCs w:val="22"/>
        </w:rPr>
        <w:t xml:space="preserve">interstate ICS rates.  </w:t>
      </w:r>
      <w:r w:rsidR="007D1FAA">
        <w:rPr>
          <w:sz w:val="22"/>
          <w:szCs w:val="22"/>
        </w:rPr>
        <w:t xml:space="preserve">Without that information, potential complainants would have difficulty uncovering the scope of an ICS provider’s potential rule violations.  </w:t>
      </w:r>
      <w:r w:rsidR="00220F9B">
        <w:rPr>
          <w:sz w:val="22"/>
          <w:szCs w:val="22"/>
        </w:rPr>
        <w:t>Therefore, while r</w:t>
      </w:r>
      <w:r w:rsidR="001E0039">
        <w:rPr>
          <w:sz w:val="22"/>
          <w:szCs w:val="22"/>
        </w:rPr>
        <w:t xml:space="preserve">elying solely on the complaint process would </w:t>
      </w:r>
      <w:r w:rsidR="00220F9B">
        <w:rPr>
          <w:sz w:val="22"/>
          <w:szCs w:val="22"/>
        </w:rPr>
        <w:t xml:space="preserve">allow the Commission to address isolated violations of the ICS rules, that approach would provide </w:t>
      </w:r>
      <w:r w:rsidR="001E0039">
        <w:rPr>
          <w:sz w:val="22"/>
          <w:szCs w:val="22"/>
        </w:rPr>
        <w:t xml:space="preserve">a far less </w:t>
      </w:r>
      <w:r w:rsidR="00254139">
        <w:rPr>
          <w:sz w:val="22"/>
          <w:szCs w:val="22"/>
        </w:rPr>
        <w:t xml:space="preserve">effective </w:t>
      </w:r>
      <w:r w:rsidR="001E0039">
        <w:rPr>
          <w:sz w:val="22"/>
          <w:szCs w:val="22"/>
        </w:rPr>
        <w:t xml:space="preserve">method of ensuring </w:t>
      </w:r>
      <w:r w:rsidR="00181D64">
        <w:rPr>
          <w:sz w:val="22"/>
          <w:szCs w:val="22"/>
        </w:rPr>
        <w:t xml:space="preserve">full </w:t>
      </w:r>
      <w:r w:rsidR="001E0039">
        <w:rPr>
          <w:sz w:val="22"/>
          <w:szCs w:val="22"/>
        </w:rPr>
        <w:t>compliance</w:t>
      </w:r>
      <w:r w:rsidR="00181D64">
        <w:rPr>
          <w:sz w:val="22"/>
          <w:szCs w:val="22"/>
        </w:rPr>
        <w:t xml:space="preserve"> with those rules</w:t>
      </w:r>
      <w:r w:rsidR="001E0039">
        <w:rPr>
          <w:sz w:val="22"/>
          <w:szCs w:val="22"/>
        </w:rPr>
        <w:t xml:space="preserve">.  </w:t>
      </w:r>
    </w:p>
    <w:p w14:paraId="7851F3D3" w14:textId="140D8996" w:rsidR="001645DE" w:rsidRPr="00507BF4" w:rsidRDefault="002A1710" w:rsidP="00DA7D48">
      <w:pPr>
        <w:pStyle w:val="Numberedparagraphs"/>
        <w:numPr>
          <w:ilvl w:val="0"/>
          <w:numId w:val="0"/>
        </w:numPr>
        <w:tabs>
          <w:tab w:val="clear" w:pos="1440"/>
          <w:tab w:val="left" w:pos="720"/>
        </w:tabs>
        <w:rPr>
          <w:i/>
          <w:sz w:val="22"/>
          <w:szCs w:val="22"/>
        </w:rPr>
      </w:pPr>
      <w:r>
        <w:rPr>
          <w:sz w:val="22"/>
          <w:szCs w:val="22"/>
        </w:rPr>
        <w:tab/>
      </w:r>
      <w:r w:rsidR="00CA1DE6">
        <w:rPr>
          <w:sz w:val="22"/>
          <w:szCs w:val="22"/>
        </w:rPr>
        <w:t xml:space="preserve">The </w:t>
      </w:r>
      <w:r w:rsidR="00135C2F">
        <w:rPr>
          <w:sz w:val="22"/>
          <w:szCs w:val="22"/>
        </w:rPr>
        <w:t xml:space="preserve">Commission’s collection of </w:t>
      </w:r>
      <w:r w:rsidR="00CA1DE6">
        <w:rPr>
          <w:sz w:val="22"/>
          <w:szCs w:val="22"/>
        </w:rPr>
        <w:t xml:space="preserve">ICS data </w:t>
      </w:r>
      <w:r w:rsidR="00135C2F">
        <w:rPr>
          <w:sz w:val="22"/>
          <w:szCs w:val="22"/>
        </w:rPr>
        <w:t xml:space="preserve">through the annual reporting requirements </w:t>
      </w:r>
      <w:r w:rsidR="00CA1DE6">
        <w:rPr>
          <w:sz w:val="22"/>
          <w:szCs w:val="22"/>
        </w:rPr>
        <w:t xml:space="preserve">provides a superior vehicle for </w:t>
      </w:r>
      <w:r w:rsidR="00602678">
        <w:rPr>
          <w:sz w:val="22"/>
          <w:szCs w:val="22"/>
        </w:rPr>
        <w:t>facilitat</w:t>
      </w:r>
      <w:r w:rsidR="00CA1DE6">
        <w:rPr>
          <w:sz w:val="22"/>
          <w:szCs w:val="22"/>
        </w:rPr>
        <w:t>ing</w:t>
      </w:r>
      <w:r w:rsidR="00602678">
        <w:rPr>
          <w:sz w:val="22"/>
          <w:szCs w:val="22"/>
        </w:rPr>
        <w:t xml:space="preserve"> transparenc</w:t>
      </w:r>
      <w:r w:rsidR="00CA1DE6">
        <w:rPr>
          <w:sz w:val="22"/>
          <w:szCs w:val="22"/>
        </w:rPr>
        <w:t>y</w:t>
      </w:r>
      <w:r w:rsidR="00602678">
        <w:rPr>
          <w:sz w:val="22"/>
          <w:szCs w:val="22"/>
        </w:rPr>
        <w:t xml:space="preserve"> in ICS rates, terms and fees, and </w:t>
      </w:r>
      <w:r>
        <w:rPr>
          <w:sz w:val="22"/>
          <w:szCs w:val="22"/>
        </w:rPr>
        <w:t>efficiently monitor</w:t>
      </w:r>
      <w:r w:rsidR="00CA1DE6">
        <w:rPr>
          <w:sz w:val="22"/>
          <w:szCs w:val="22"/>
        </w:rPr>
        <w:t>ing</w:t>
      </w:r>
      <w:r>
        <w:rPr>
          <w:sz w:val="22"/>
          <w:szCs w:val="22"/>
        </w:rPr>
        <w:t xml:space="preserve"> compliance with the ICS rules</w:t>
      </w:r>
      <w:r w:rsidR="00CA1DE6">
        <w:rPr>
          <w:sz w:val="22"/>
          <w:szCs w:val="22"/>
        </w:rPr>
        <w:t>—</w:t>
      </w:r>
      <w:r w:rsidR="00602678">
        <w:rPr>
          <w:sz w:val="22"/>
          <w:szCs w:val="22"/>
        </w:rPr>
        <w:t>the very goals cited by GTL in its comments.</w:t>
      </w:r>
      <w:r w:rsidR="00CA1DE6">
        <w:rPr>
          <w:sz w:val="22"/>
          <w:szCs w:val="22"/>
        </w:rPr>
        <w:t xml:space="preserve"> </w:t>
      </w:r>
      <w:r w:rsidR="00602678">
        <w:rPr>
          <w:sz w:val="22"/>
          <w:szCs w:val="22"/>
        </w:rPr>
        <w:t xml:space="preserve"> </w:t>
      </w:r>
      <w:r w:rsidR="00CA1DE6">
        <w:rPr>
          <w:sz w:val="22"/>
          <w:szCs w:val="22"/>
        </w:rPr>
        <w:t>It also helps</w:t>
      </w:r>
      <w:r>
        <w:rPr>
          <w:sz w:val="22"/>
          <w:szCs w:val="22"/>
        </w:rPr>
        <w:t xml:space="preserve"> </w:t>
      </w:r>
      <w:r w:rsidR="001467D9">
        <w:rPr>
          <w:sz w:val="22"/>
          <w:szCs w:val="22"/>
        </w:rPr>
        <w:t xml:space="preserve">ensure that the Commission </w:t>
      </w:r>
      <w:r>
        <w:rPr>
          <w:sz w:val="22"/>
          <w:szCs w:val="22"/>
        </w:rPr>
        <w:t xml:space="preserve">has access to the information it needs to fulfill its statutory and regulatory duties, while minimizing the burden on ICS providers. </w:t>
      </w:r>
      <w:r w:rsidR="00CA1DE6">
        <w:rPr>
          <w:sz w:val="22"/>
          <w:szCs w:val="22"/>
        </w:rPr>
        <w:t xml:space="preserve"> </w:t>
      </w:r>
      <w:r>
        <w:rPr>
          <w:sz w:val="22"/>
          <w:szCs w:val="22"/>
        </w:rPr>
        <w:t xml:space="preserve">We note that, despite its contention that the data collection is burdensome, GTL </w:t>
      </w:r>
      <w:r w:rsidR="001511A4">
        <w:rPr>
          <w:sz w:val="22"/>
          <w:szCs w:val="22"/>
        </w:rPr>
        <w:t xml:space="preserve">does </w:t>
      </w:r>
      <w:r>
        <w:rPr>
          <w:sz w:val="22"/>
          <w:szCs w:val="22"/>
        </w:rPr>
        <w:t>not challenge our burden estimates</w:t>
      </w:r>
      <w:r w:rsidR="00EF1AF4">
        <w:rPr>
          <w:sz w:val="22"/>
          <w:szCs w:val="22"/>
        </w:rPr>
        <w:t>.</w:t>
      </w:r>
    </w:p>
    <w:p w14:paraId="4CC1661D" w14:textId="615E8D60" w:rsidR="00DA7D48" w:rsidRDefault="001645DE" w:rsidP="00DA7D48">
      <w:pPr>
        <w:pStyle w:val="Numberedparagraphs"/>
        <w:numPr>
          <w:ilvl w:val="0"/>
          <w:numId w:val="0"/>
        </w:numPr>
        <w:tabs>
          <w:tab w:val="clear" w:pos="1440"/>
          <w:tab w:val="left" w:pos="720"/>
        </w:tabs>
        <w:rPr>
          <w:i/>
          <w:sz w:val="22"/>
          <w:szCs w:val="22"/>
        </w:rPr>
      </w:pPr>
      <w:r w:rsidRPr="00507BF4">
        <w:rPr>
          <w:i/>
          <w:sz w:val="22"/>
          <w:szCs w:val="22"/>
        </w:rPr>
        <w:tab/>
      </w:r>
      <w:r w:rsidR="00DA7D48" w:rsidRPr="00507BF4">
        <w:rPr>
          <w:i/>
          <w:sz w:val="22"/>
          <w:szCs w:val="22"/>
        </w:rPr>
        <w:t xml:space="preserve">Information regarding Intrastate </w:t>
      </w:r>
      <w:r w:rsidR="0020021D">
        <w:rPr>
          <w:i/>
          <w:sz w:val="22"/>
          <w:szCs w:val="22"/>
        </w:rPr>
        <w:t>ICS</w:t>
      </w:r>
    </w:p>
    <w:p w14:paraId="32773C7B" w14:textId="6D8DC394" w:rsidR="00DA7D48" w:rsidRDefault="00DA7D48" w:rsidP="00DA7D48">
      <w:pPr>
        <w:pStyle w:val="Numberedparagraphs"/>
        <w:numPr>
          <w:ilvl w:val="0"/>
          <w:numId w:val="0"/>
        </w:numPr>
        <w:tabs>
          <w:tab w:val="clear" w:pos="1440"/>
          <w:tab w:val="left" w:pos="720"/>
        </w:tabs>
        <w:rPr>
          <w:sz w:val="22"/>
          <w:szCs w:val="22"/>
        </w:rPr>
      </w:pPr>
      <w:r>
        <w:rPr>
          <w:sz w:val="22"/>
          <w:szCs w:val="22"/>
        </w:rPr>
        <w:tab/>
        <w:t xml:space="preserve">GTL contends that the </w:t>
      </w:r>
      <w:r w:rsidR="0047588F">
        <w:rPr>
          <w:sz w:val="22"/>
          <w:szCs w:val="22"/>
        </w:rPr>
        <w:t>annual reports</w:t>
      </w:r>
      <w:r>
        <w:rPr>
          <w:sz w:val="22"/>
          <w:szCs w:val="22"/>
        </w:rPr>
        <w:t xml:space="preserve"> should not request data regarding intrastate services </w:t>
      </w:r>
      <w:r w:rsidR="008615EA">
        <w:rPr>
          <w:sz w:val="22"/>
          <w:szCs w:val="22"/>
        </w:rPr>
        <w:t>“</w:t>
      </w:r>
      <w:r>
        <w:rPr>
          <w:sz w:val="22"/>
          <w:szCs w:val="22"/>
        </w:rPr>
        <w:t xml:space="preserve">in light of the D.C. Circuit’s </w:t>
      </w:r>
      <w:r w:rsidR="008615EA">
        <w:rPr>
          <w:sz w:val="22"/>
          <w:szCs w:val="22"/>
        </w:rPr>
        <w:t xml:space="preserve">finding </w:t>
      </w:r>
      <w:r>
        <w:rPr>
          <w:sz w:val="22"/>
          <w:szCs w:val="22"/>
        </w:rPr>
        <w:t xml:space="preserve">that the Commission does not have statutory authority over intrastate ICS rates </w:t>
      </w:r>
      <w:r w:rsidR="00081A45">
        <w:rPr>
          <w:sz w:val="22"/>
          <w:szCs w:val="22"/>
        </w:rPr>
        <w:t xml:space="preserve">and intrastate </w:t>
      </w:r>
      <w:r>
        <w:rPr>
          <w:sz w:val="22"/>
          <w:szCs w:val="22"/>
        </w:rPr>
        <w:t xml:space="preserve">ancillary </w:t>
      </w:r>
      <w:r w:rsidRPr="00A233DD">
        <w:rPr>
          <w:sz w:val="22"/>
          <w:szCs w:val="22"/>
        </w:rPr>
        <w:t>fees</w:t>
      </w:r>
      <w:r>
        <w:rPr>
          <w:sz w:val="22"/>
          <w:szCs w:val="22"/>
        </w:rPr>
        <w:t>.</w:t>
      </w:r>
      <w:r w:rsidR="008615EA">
        <w:rPr>
          <w:sz w:val="22"/>
          <w:szCs w:val="22"/>
        </w:rPr>
        <w:t>”</w:t>
      </w:r>
      <w:r w:rsidRPr="009F3BD2">
        <w:rPr>
          <w:rStyle w:val="FootnoteReference"/>
          <w:sz w:val="20"/>
        </w:rPr>
        <w:footnoteReference w:id="17"/>
      </w:r>
    </w:p>
    <w:p w14:paraId="2357FB46" w14:textId="66640EB0" w:rsidR="00DA7D48" w:rsidRPr="00A233DD" w:rsidRDefault="00196CF0" w:rsidP="00DA7D48">
      <w:pPr>
        <w:pStyle w:val="Numberedparagraphs"/>
        <w:numPr>
          <w:ilvl w:val="0"/>
          <w:numId w:val="0"/>
        </w:numPr>
        <w:tabs>
          <w:tab w:val="clear" w:pos="1440"/>
          <w:tab w:val="left" w:pos="720"/>
        </w:tabs>
        <w:rPr>
          <w:sz w:val="22"/>
          <w:szCs w:val="22"/>
        </w:rPr>
      </w:pPr>
      <w:r>
        <w:rPr>
          <w:i/>
          <w:sz w:val="22"/>
          <w:szCs w:val="22"/>
        </w:rPr>
        <w:tab/>
      </w:r>
      <w:r w:rsidR="00DA7D48">
        <w:rPr>
          <w:i/>
          <w:sz w:val="22"/>
          <w:szCs w:val="22"/>
        </w:rPr>
        <w:t xml:space="preserve">Response.  </w:t>
      </w:r>
      <w:r w:rsidR="00DA7D48">
        <w:rPr>
          <w:sz w:val="22"/>
          <w:szCs w:val="22"/>
        </w:rPr>
        <w:t xml:space="preserve">We will continue to require ICS providers </w:t>
      </w:r>
      <w:r w:rsidR="002125C9">
        <w:rPr>
          <w:sz w:val="22"/>
          <w:szCs w:val="22"/>
        </w:rPr>
        <w:t xml:space="preserve">to </w:t>
      </w:r>
      <w:r w:rsidR="00DA7D48">
        <w:rPr>
          <w:sz w:val="22"/>
          <w:szCs w:val="22"/>
        </w:rPr>
        <w:t xml:space="preserve">include information regarding intrastate ICS </w:t>
      </w:r>
      <w:r w:rsidR="00081A45">
        <w:rPr>
          <w:sz w:val="22"/>
          <w:szCs w:val="22"/>
        </w:rPr>
        <w:t xml:space="preserve">and intrastate ancillary fees </w:t>
      </w:r>
      <w:r w:rsidR="00DA7D48">
        <w:rPr>
          <w:sz w:val="22"/>
          <w:szCs w:val="22"/>
        </w:rPr>
        <w:t xml:space="preserve">in their </w:t>
      </w:r>
      <w:r w:rsidR="0047588F">
        <w:rPr>
          <w:sz w:val="22"/>
          <w:szCs w:val="22"/>
        </w:rPr>
        <w:t>annual report</w:t>
      </w:r>
      <w:r w:rsidR="00DA7D48">
        <w:rPr>
          <w:sz w:val="22"/>
          <w:szCs w:val="22"/>
        </w:rPr>
        <w:t xml:space="preserve">s.  </w:t>
      </w:r>
      <w:r w:rsidR="00081A45">
        <w:rPr>
          <w:sz w:val="22"/>
          <w:szCs w:val="22"/>
        </w:rPr>
        <w:t xml:space="preserve">Collecting </w:t>
      </w:r>
      <w:r w:rsidR="00DA7D48">
        <w:rPr>
          <w:sz w:val="22"/>
          <w:szCs w:val="22"/>
        </w:rPr>
        <w:t xml:space="preserve">that information </w:t>
      </w:r>
      <w:r w:rsidR="00135C2F">
        <w:rPr>
          <w:sz w:val="22"/>
          <w:szCs w:val="22"/>
        </w:rPr>
        <w:t xml:space="preserve">falls well within the Commission’s statutory authority; moreover, it </w:t>
      </w:r>
      <w:r w:rsidR="00DA7D48">
        <w:rPr>
          <w:sz w:val="22"/>
          <w:szCs w:val="22"/>
        </w:rPr>
        <w:t xml:space="preserve">will help the Commission discharge its statutory responsibilities regarding ICS and help inmates, their families, and their representatives </w:t>
      </w:r>
      <w:r w:rsidR="00DA7D48" w:rsidRPr="00216A04">
        <w:rPr>
          <w:sz w:val="22"/>
          <w:szCs w:val="22"/>
        </w:rPr>
        <w:t xml:space="preserve">evaluate </w:t>
      </w:r>
      <w:r w:rsidR="00DA7D48">
        <w:rPr>
          <w:sz w:val="22"/>
          <w:szCs w:val="22"/>
        </w:rPr>
        <w:t xml:space="preserve">the Commission’s actions </w:t>
      </w:r>
      <w:r w:rsidR="00A415A7">
        <w:rPr>
          <w:sz w:val="22"/>
          <w:szCs w:val="22"/>
        </w:rPr>
        <w:t>in that regard</w:t>
      </w:r>
      <w:r w:rsidR="00DA7D48">
        <w:rPr>
          <w:sz w:val="22"/>
          <w:szCs w:val="22"/>
        </w:rPr>
        <w:t>.</w:t>
      </w:r>
      <w:r w:rsidR="002125C9">
        <w:rPr>
          <w:sz w:val="22"/>
          <w:szCs w:val="22"/>
        </w:rPr>
        <w:t xml:space="preserve">  </w:t>
      </w:r>
    </w:p>
    <w:p w14:paraId="064F917B" w14:textId="3ABF7731" w:rsidR="00C574C0" w:rsidRPr="00CD711F" w:rsidRDefault="00A210C2">
      <w:pPr>
        <w:pStyle w:val="Numberedparagraphs"/>
        <w:numPr>
          <w:ilvl w:val="0"/>
          <w:numId w:val="0"/>
        </w:numPr>
        <w:tabs>
          <w:tab w:val="clear" w:pos="1440"/>
          <w:tab w:val="left" w:pos="720"/>
        </w:tabs>
        <w:rPr>
          <w:sz w:val="22"/>
          <w:szCs w:val="22"/>
        </w:rPr>
      </w:pPr>
      <w:bookmarkStart w:id="9" w:name="_Hlk27653993"/>
      <w:r>
        <w:rPr>
          <w:sz w:val="22"/>
          <w:szCs w:val="22"/>
        </w:rPr>
        <w:tab/>
      </w:r>
      <w:r w:rsidR="00C574C0">
        <w:rPr>
          <w:sz w:val="22"/>
          <w:szCs w:val="22"/>
        </w:rPr>
        <w:t>GTL</w:t>
      </w:r>
      <w:r w:rsidR="00135C2F">
        <w:rPr>
          <w:sz w:val="22"/>
          <w:szCs w:val="22"/>
        </w:rPr>
        <w:t xml:space="preserve">’s reliance on </w:t>
      </w:r>
      <w:r w:rsidR="00D326D4">
        <w:rPr>
          <w:sz w:val="22"/>
          <w:szCs w:val="22"/>
        </w:rPr>
        <w:t xml:space="preserve">the </w:t>
      </w:r>
      <w:r w:rsidR="00352F56">
        <w:rPr>
          <w:sz w:val="22"/>
          <w:szCs w:val="22"/>
        </w:rPr>
        <w:t>D.C. Circuit</w:t>
      </w:r>
      <w:r w:rsidR="00D326D4">
        <w:rPr>
          <w:sz w:val="22"/>
          <w:szCs w:val="22"/>
        </w:rPr>
        <w:t>’s decision</w:t>
      </w:r>
      <w:r w:rsidR="00135C2F">
        <w:rPr>
          <w:sz w:val="22"/>
          <w:szCs w:val="22"/>
        </w:rPr>
        <w:t xml:space="preserve"> as support for its contention is misplaced</w:t>
      </w:r>
      <w:r w:rsidR="00D326D4">
        <w:rPr>
          <w:sz w:val="22"/>
          <w:szCs w:val="22"/>
        </w:rPr>
        <w:t>.  T</w:t>
      </w:r>
      <w:r w:rsidR="00AB0859">
        <w:rPr>
          <w:sz w:val="22"/>
          <w:szCs w:val="22"/>
        </w:rPr>
        <w:t xml:space="preserve">he Court </w:t>
      </w:r>
      <w:r w:rsidR="00D326D4">
        <w:rPr>
          <w:sz w:val="22"/>
          <w:szCs w:val="22"/>
        </w:rPr>
        <w:t xml:space="preserve">merely </w:t>
      </w:r>
      <w:r w:rsidR="00AB0859">
        <w:rPr>
          <w:sz w:val="22"/>
          <w:szCs w:val="22"/>
        </w:rPr>
        <w:t>held that</w:t>
      </w:r>
      <w:r w:rsidR="00566B91">
        <w:rPr>
          <w:sz w:val="22"/>
          <w:szCs w:val="22"/>
        </w:rPr>
        <w:t xml:space="preserve"> </w:t>
      </w:r>
      <w:r w:rsidR="00AB0859">
        <w:rPr>
          <w:sz w:val="22"/>
          <w:szCs w:val="22"/>
        </w:rPr>
        <w:t xml:space="preserve">the </w:t>
      </w:r>
      <w:r w:rsidR="00AB0859" w:rsidRPr="00566B91">
        <w:rPr>
          <w:sz w:val="22"/>
          <w:szCs w:val="22"/>
        </w:rPr>
        <w:t>Commission</w:t>
      </w:r>
      <w:r w:rsidR="00566B91" w:rsidRPr="00566B91">
        <w:rPr>
          <w:sz w:val="22"/>
          <w:szCs w:val="22"/>
        </w:rPr>
        <w:t xml:space="preserve"> did</w:t>
      </w:r>
      <w:r w:rsidR="005535E0" w:rsidRPr="00566B91">
        <w:rPr>
          <w:sz w:val="22"/>
          <w:szCs w:val="22"/>
        </w:rPr>
        <w:t xml:space="preserve"> </w:t>
      </w:r>
      <w:r w:rsidR="00566B91" w:rsidRPr="00566B91">
        <w:rPr>
          <w:sz w:val="22"/>
          <w:szCs w:val="22"/>
        </w:rPr>
        <w:t>not have</w:t>
      </w:r>
      <w:r w:rsidR="00AB0859" w:rsidRPr="00566B91">
        <w:rPr>
          <w:sz w:val="22"/>
          <w:szCs w:val="22"/>
        </w:rPr>
        <w:t xml:space="preserve"> statutory authority</w:t>
      </w:r>
      <w:r w:rsidR="00023A56">
        <w:rPr>
          <w:sz w:val="22"/>
          <w:szCs w:val="22"/>
        </w:rPr>
        <w:t xml:space="preserve"> </w:t>
      </w:r>
      <w:r w:rsidR="004C175F">
        <w:rPr>
          <w:sz w:val="22"/>
          <w:szCs w:val="22"/>
        </w:rPr>
        <w:t xml:space="preserve">to </w:t>
      </w:r>
      <w:r w:rsidR="00AB0859">
        <w:rPr>
          <w:sz w:val="22"/>
          <w:szCs w:val="22"/>
        </w:rPr>
        <w:t>cap intrastate rates and fees.</w:t>
      </w:r>
      <w:r w:rsidR="00AB0859">
        <w:rPr>
          <w:rStyle w:val="FootnoteReference"/>
          <w:sz w:val="22"/>
          <w:szCs w:val="22"/>
        </w:rPr>
        <w:footnoteReference w:id="18"/>
      </w:r>
      <w:r>
        <w:rPr>
          <w:sz w:val="22"/>
          <w:szCs w:val="22"/>
        </w:rPr>
        <w:t xml:space="preserve"> That holding </w:t>
      </w:r>
      <w:r w:rsidR="00C574C0">
        <w:rPr>
          <w:sz w:val="22"/>
          <w:szCs w:val="22"/>
        </w:rPr>
        <w:t xml:space="preserve">does not preclude the Commission from collecting information on </w:t>
      </w:r>
      <w:r>
        <w:rPr>
          <w:sz w:val="22"/>
          <w:szCs w:val="22"/>
        </w:rPr>
        <w:t>intrastate rates and fees</w:t>
      </w:r>
      <w:r w:rsidR="00C574C0">
        <w:rPr>
          <w:sz w:val="22"/>
          <w:szCs w:val="22"/>
        </w:rPr>
        <w:t>.</w:t>
      </w:r>
      <w:r w:rsidR="00C574C0" w:rsidRPr="009F3BD2">
        <w:rPr>
          <w:rStyle w:val="FootnoteReference"/>
          <w:sz w:val="20"/>
        </w:rPr>
        <w:footnoteReference w:id="19"/>
      </w:r>
      <w:r w:rsidR="00C574C0">
        <w:rPr>
          <w:sz w:val="22"/>
          <w:szCs w:val="22"/>
        </w:rPr>
        <w:t xml:space="preserve">  Indeed, the Commission has historically </w:t>
      </w:r>
      <w:r>
        <w:rPr>
          <w:sz w:val="22"/>
          <w:szCs w:val="22"/>
        </w:rPr>
        <w:t xml:space="preserve">collected information on </w:t>
      </w:r>
      <w:r w:rsidR="0029774E">
        <w:rPr>
          <w:sz w:val="22"/>
          <w:szCs w:val="22"/>
        </w:rPr>
        <w:t xml:space="preserve">carriers’ </w:t>
      </w:r>
      <w:r>
        <w:rPr>
          <w:sz w:val="22"/>
          <w:szCs w:val="22"/>
        </w:rPr>
        <w:t xml:space="preserve">intrastate telecommunications services </w:t>
      </w:r>
      <w:r w:rsidR="0029774E">
        <w:rPr>
          <w:sz w:val="22"/>
          <w:szCs w:val="22"/>
        </w:rPr>
        <w:t>even though it lacks authority to cap, or otherwise re</w:t>
      </w:r>
      <w:r w:rsidR="005205EC">
        <w:rPr>
          <w:sz w:val="22"/>
          <w:szCs w:val="22"/>
        </w:rPr>
        <w:t>gulate, the associated rates and prices.</w:t>
      </w:r>
      <w:r w:rsidRPr="009F3BD2">
        <w:rPr>
          <w:rStyle w:val="FootnoteReference"/>
          <w:sz w:val="20"/>
        </w:rPr>
        <w:footnoteReference w:id="20"/>
      </w:r>
      <w:r>
        <w:rPr>
          <w:sz w:val="22"/>
          <w:szCs w:val="22"/>
        </w:rPr>
        <w:t xml:space="preserve">  </w:t>
      </w:r>
      <w:r w:rsidR="002C25D2">
        <w:rPr>
          <w:sz w:val="22"/>
          <w:szCs w:val="22"/>
        </w:rPr>
        <w:t xml:space="preserve">Collecting </w:t>
      </w:r>
      <w:r w:rsidR="00F16111">
        <w:rPr>
          <w:sz w:val="22"/>
          <w:szCs w:val="22"/>
        </w:rPr>
        <w:t xml:space="preserve">that </w:t>
      </w:r>
      <w:r w:rsidR="002C25D2">
        <w:rPr>
          <w:sz w:val="22"/>
          <w:szCs w:val="22"/>
        </w:rPr>
        <w:t>information has helped the Commission ensure that carriers do not improperly shift intrastate costs to the interstate jurisdiction</w:t>
      </w:r>
      <w:r w:rsidR="00F16111">
        <w:rPr>
          <w:sz w:val="22"/>
          <w:szCs w:val="22"/>
        </w:rPr>
        <w:t xml:space="preserve">.  </w:t>
      </w:r>
      <w:r w:rsidR="00451EEA">
        <w:rPr>
          <w:sz w:val="22"/>
          <w:szCs w:val="22"/>
        </w:rPr>
        <w:t>Indeed, without knowing carriers’ intrastate costs and rates, the Commission would be unable to detect an overallocation of costs to the interstate jurisdiction.</w:t>
      </w:r>
      <w:r w:rsidR="00402A00">
        <w:rPr>
          <w:sz w:val="22"/>
          <w:szCs w:val="22"/>
        </w:rPr>
        <w:t xml:space="preserve"> </w:t>
      </w:r>
      <w:r w:rsidR="00ED3067">
        <w:rPr>
          <w:sz w:val="22"/>
          <w:szCs w:val="22"/>
        </w:rPr>
        <w:t xml:space="preserve"> </w:t>
      </w:r>
    </w:p>
    <w:bookmarkEnd w:id="9"/>
    <w:p w14:paraId="04A4D71C" w14:textId="1E26B9B3" w:rsidR="00EE3C60" w:rsidRDefault="00C574C0" w:rsidP="00DA7D48">
      <w:pPr>
        <w:pStyle w:val="Numberedparagraphs"/>
        <w:numPr>
          <w:ilvl w:val="0"/>
          <w:numId w:val="0"/>
        </w:numPr>
        <w:tabs>
          <w:tab w:val="clear" w:pos="1440"/>
          <w:tab w:val="left" w:pos="720"/>
        </w:tabs>
        <w:rPr>
          <w:sz w:val="22"/>
          <w:szCs w:val="22"/>
          <w:lang w:eastAsia="ko-KR"/>
        </w:rPr>
      </w:pPr>
      <w:r>
        <w:rPr>
          <w:sz w:val="22"/>
          <w:szCs w:val="22"/>
        </w:rPr>
        <w:tab/>
        <w:t xml:space="preserve">Moreover, </w:t>
      </w:r>
      <w:r w:rsidR="009B5939">
        <w:rPr>
          <w:sz w:val="22"/>
          <w:szCs w:val="22"/>
        </w:rPr>
        <w:t xml:space="preserve">although </w:t>
      </w:r>
      <w:r w:rsidR="00DA7D48">
        <w:rPr>
          <w:sz w:val="22"/>
          <w:szCs w:val="22"/>
        </w:rPr>
        <w:t xml:space="preserve">the D.C. Circuit </w:t>
      </w:r>
      <w:r w:rsidR="009B5939">
        <w:rPr>
          <w:sz w:val="22"/>
          <w:szCs w:val="22"/>
        </w:rPr>
        <w:t>vacated the</w:t>
      </w:r>
      <w:r w:rsidR="00D04B4C">
        <w:rPr>
          <w:sz w:val="22"/>
          <w:szCs w:val="22"/>
        </w:rPr>
        <w:t xml:space="preserve"> Commission’s</w:t>
      </w:r>
      <w:r w:rsidR="009B5939">
        <w:rPr>
          <w:sz w:val="22"/>
          <w:szCs w:val="22"/>
        </w:rPr>
        <w:t xml:space="preserve"> reporting requirement </w:t>
      </w:r>
      <w:r w:rsidR="00D04B4C">
        <w:rPr>
          <w:sz w:val="22"/>
          <w:szCs w:val="22"/>
        </w:rPr>
        <w:t xml:space="preserve">for </w:t>
      </w:r>
      <w:r w:rsidR="009B5939">
        <w:rPr>
          <w:sz w:val="22"/>
          <w:szCs w:val="22"/>
        </w:rPr>
        <w:t>video visitation</w:t>
      </w:r>
      <w:r w:rsidR="00D04B4C">
        <w:rPr>
          <w:sz w:val="22"/>
          <w:szCs w:val="22"/>
        </w:rPr>
        <w:t xml:space="preserve"> services</w:t>
      </w:r>
      <w:r w:rsidR="009B5939">
        <w:rPr>
          <w:sz w:val="22"/>
          <w:szCs w:val="22"/>
        </w:rPr>
        <w:t>, the Court</w:t>
      </w:r>
      <w:r w:rsidR="00D04B4C">
        <w:rPr>
          <w:sz w:val="22"/>
          <w:szCs w:val="22"/>
        </w:rPr>
        <w:t>’s opinion</w:t>
      </w:r>
      <w:r w:rsidR="009B5939">
        <w:rPr>
          <w:sz w:val="22"/>
          <w:szCs w:val="22"/>
        </w:rPr>
        <w:t xml:space="preserve"> </w:t>
      </w:r>
      <w:r w:rsidR="006000B0">
        <w:rPr>
          <w:sz w:val="22"/>
          <w:szCs w:val="22"/>
        </w:rPr>
        <w:t xml:space="preserve">did not address the question </w:t>
      </w:r>
      <w:r w:rsidR="0068301C">
        <w:rPr>
          <w:sz w:val="22"/>
          <w:szCs w:val="22"/>
        </w:rPr>
        <w:t xml:space="preserve">of </w:t>
      </w:r>
      <w:r w:rsidR="006000B0">
        <w:rPr>
          <w:sz w:val="22"/>
          <w:szCs w:val="22"/>
        </w:rPr>
        <w:t xml:space="preserve">whether the Commission could collect </w:t>
      </w:r>
      <w:r w:rsidR="009B5939">
        <w:rPr>
          <w:sz w:val="22"/>
          <w:szCs w:val="22"/>
        </w:rPr>
        <w:t xml:space="preserve">information on intrastate ICS and intrastate ancillary fees.  That opinion therefore does </w:t>
      </w:r>
      <w:r w:rsidR="00DA7D48">
        <w:rPr>
          <w:sz w:val="22"/>
          <w:szCs w:val="22"/>
        </w:rPr>
        <w:t xml:space="preserve">not </w:t>
      </w:r>
      <w:r w:rsidR="00D04B4C">
        <w:rPr>
          <w:sz w:val="22"/>
          <w:szCs w:val="22"/>
        </w:rPr>
        <w:t xml:space="preserve">require that the </w:t>
      </w:r>
      <w:r w:rsidR="00DA7D48">
        <w:rPr>
          <w:sz w:val="22"/>
          <w:szCs w:val="22"/>
        </w:rPr>
        <w:t xml:space="preserve">Commission </w:t>
      </w:r>
      <w:r w:rsidR="00D04B4C">
        <w:rPr>
          <w:sz w:val="22"/>
          <w:szCs w:val="22"/>
        </w:rPr>
        <w:t xml:space="preserve">delete the portions of the annual report that </w:t>
      </w:r>
      <w:r w:rsidR="00DA7D48">
        <w:rPr>
          <w:sz w:val="22"/>
          <w:szCs w:val="22"/>
        </w:rPr>
        <w:t>collect</w:t>
      </w:r>
      <w:r w:rsidR="00D04B4C">
        <w:rPr>
          <w:sz w:val="22"/>
          <w:szCs w:val="22"/>
        </w:rPr>
        <w:t xml:space="preserve"> </w:t>
      </w:r>
      <w:r w:rsidR="00C4347F">
        <w:rPr>
          <w:sz w:val="22"/>
          <w:szCs w:val="22"/>
        </w:rPr>
        <w:t xml:space="preserve">such </w:t>
      </w:r>
      <w:r w:rsidR="00ED6465">
        <w:rPr>
          <w:sz w:val="22"/>
          <w:szCs w:val="22"/>
        </w:rPr>
        <w:t>information</w:t>
      </w:r>
      <w:r w:rsidR="00D04B4C">
        <w:rPr>
          <w:sz w:val="22"/>
          <w:szCs w:val="22"/>
        </w:rPr>
        <w:t>.</w:t>
      </w:r>
      <w:r w:rsidR="009B5939">
        <w:rPr>
          <w:sz w:val="22"/>
          <w:szCs w:val="22"/>
        </w:rPr>
        <w:t xml:space="preserve"> </w:t>
      </w:r>
    </w:p>
    <w:p w14:paraId="4BF200A0" w14:textId="7CB8A3D0" w:rsidR="00FD6B3F" w:rsidRDefault="001645DE" w:rsidP="00FD6B3F">
      <w:pPr>
        <w:pStyle w:val="Numberedparagraphs"/>
        <w:numPr>
          <w:ilvl w:val="0"/>
          <w:numId w:val="0"/>
        </w:numPr>
        <w:tabs>
          <w:tab w:val="clear" w:pos="1440"/>
          <w:tab w:val="left" w:pos="720"/>
        </w:tabs>
        <w:rPr>
          <w:i/>
          <w:sz w:val="22"/>
          <w:szCs w:val="22"/>
        </w:rPr>
      </w:pPr>
      <w:r w:rsidRPr="00507BF4">
        <w:rPr>
          <w:i/>
          <w:sz w:val="22"/>
          <w:szCs w:val="22"/>
        </w:rPr>
        <w:tab/>
      </w:r>
      <w:r w:rsidR="00467F55">
        <w:rPr>
          <w:i/>
          <w:sz w:val="22"/>
          <w:szCs w:val="22"/>
        </w:rPr>
        <w:t>Correctional</w:t>
      </w:r>
      <w:r w:rsidR="00FD6B3F" w:rsidRPr="00507BF4">
        <w:rPr>
          <w:i/>
          <w:sz w:val="22"/>
          <w:szCs w:val="22"/>
        </w:rPr>
        <w:t xml:space="preserve"> Facility Physical Location</w:t>
      </w:r>
    </w:p>
    <w:p w14:paraId="1E0EE7E6" w14:textId="3518A891" w:rsidR="00FD6B3F" w:rsidRDefault="00FD6B3F" w:rsidP="00FD6B3F">
      <w:pPr>
        <w:pStyle w:val="Numberedparagraphs"/>
        <w:numPr>
          <w:ilvl w:val="0"/>
          <w:numId w:val="0"/>
        </w:numPr>
        <w:tabs>
          <w:tab w:val="clear" w:pos="1440"/>
          <w:tab w:val="left" w:pos="720"/>
        </w:tabs>
        <w:rPr>
          <w:sz w:val="22"/>
          <w:szCs w:val="22"/>
        </w:rPr>
      </w:pPr>
      <w:r>
        <w:rPr>
          <w:sz w:val="22"/>
          <w:szCs w:val="22"/>
        </w:rPr>
        <w:tab/>
        <w:t>GTL argues that ICS providers should not be required to list the name and physical location of each individual correctional facility at which they provide ICS.</w:t>
      </w:r>
      <w:r w:rsidR="00DD41D0" w:rsidRPr="009F3BD2">
        <w:rPr>
          <w:rStyle w:val="FootnoteReference"/>
          <w:sz w:val="20"/>
        </w:rPr>
        <w:footnoteReference w:id="21"/>
      </w:r>
      <w:r>
        <w:rPr>
          <w:sz w:val="22"/>
          <w:szCs w:val="22"/>
        </w:rPr>
        <w:t xml:space="preserve">  GTL contends that most ICS providers track information by contract, not by individual facility, and thus it is overly burdensome to provide the city and state in which each of its facilities is located.</w:t>
      </w:r>
      <w:r w:rsidR="00955DB2" w:rsidRPr="00CA240C">
        <w:rPr>
          <w:rStyle w:val="FootnoteReference"/>
          <w:sz w:val="20"/>
        </w:rPr>
        <w:footnoteReference w:id="22"/>
      </w:r>
      <w:r>
        <w:rPr>
          <w:sz w:val="22"/>
          <w:szCs w:val="22"/>
        </w:rPr>
        <w:t xml:space="preserve"> </w:t>
      </w:r>
    </w:p>
    <w:p w14:paraId="3CE31A01" w14:textId="395D654A" w:rsidR="00FD6B3F" w:rsidRDefault="00FD6B3F" w:rsidP="00766733">
      <w:pPr>
        <w:spacing w:after="160" w:line="259" w:lineRule="auto"/>
        <w:ind w:firstLine="720"/>
        <w:rPr>
          <w:sz w:val="22"/>
          <w:szCs w:val="22"/>
        </w:rPr>
      </w:pPr>
      <w:r w:rsidRPr="0013654C">
        <w:rPr>
          <w:i/>
          <w:sz w:val="22"/>
          <w:szCs w:val="22"/>
        </w:rPr>
        <w:t>Response</w:t>
      </w:r>
      <w:r w:rsidR="00D34D4E">
        <w:rPr>
          <w:i/>
          <w:sz w:val="22"/>
          <w:szCs w:val="22"/>
        </w:rPr>
        <w:t>.</w:t>
      </w:r>
      <w:r w:rsidRPr="0013654C">
        <w:rPr>
          <w:sz w:val="22"/>
          <w:szCs w:val="22"/>
        </w:rPr>
        <w:t xml:space="preserve">  </w:t>
      </w:r>
      <w:r>
        <w:rPr>
          <w:sz w:val="22"/>
          <w:szCs w:val="22"/>
        </w:rPr>
        <w:t xml:space="preserve">We will require each ICS provider to report the physical location of each correctional facility at which it provides ICS.  </w:t>
      </w:r>
      <w:r w:rsidR="00FA6BB3">
        <w:rPr>
          <w:sz w:val="22"/>
          <w:szCs w:val="22"/>
        </w:rPr>
        <w:t>A central</w:t>
      </w:r>
      <w:r w:rsidR="00955DB2">
        <w:rPr>
          <w:sz w:val="22"/>
          <w:szCs w:val="22"/>
        </w:rPr>
        <w:t xml:space="preserve"> </w:t>
      </w:r>
      <w:r w:rsidRPr="0013654C">
        <w:rPr>
          <w:sz w:val="22"/>
          <w:szCs w:val="22"/>
        </w:rPr>
        <w:t xml:space="preserve">purpose of the </w:t>
      </w:r>
      <w:r>
        <w:rPr>
          <w:sz w:val="22"/>
          <w:szCs w:val="22"/>
        </w:rPr>
        <w:t>a</w:t>
      </w:r>
      <w:r w:rsidRPr="0013654C">
        <w:rPr>
          <w:sz w:val="22"/>
          <w:szCs w:val="22"/>
        </w:rPr>
        <w:t xml:space="preserve">nnual </w:t>
      </w:r>
      <w:r>
        <w:rPr>
          <w:sz w:val="22"/>
          <w:szCs w:val="22"/>
        </w:rPr>
        <w:t>r</w:t>
      </w:r>
      <w:r w:rsidRPr="0013654C">
        <w:rPr>
          <w:sz w:val="22"/>
          <w:szCs w:val="22"/>
        </w:rPr>
        <w:t xml:space="preserve">eports is to provide each inmate and inmate family with access to information affecting the provision of interstate and international ICS at the facility in which the inmate is incarcerated.  </w:t>
      </w:r>
      <w:r>
        <w:rPr>
          <w:sz w:val="22"/>
          <w:szCs w:val="22"/>
        </w:rPr>
        <w:t xml:space="preserve">For that to happen, the inmate and inmate family must be able to identify the portion of an annual report relating to that facility.  Listing the name and physical location of each facility is a minimally burdensome way of enabling this identification.  </w:t>
      </w:r>
    </w:p>
    <w:p w14:paraId="206CE370" w14:textId="67A4AAEA" w:rsidR="00FD6B3F" w:rsidRPr="00FA6BB3" w:rsidRDefault="00FD6B3F" w:rsidP="00FD6B3F">
      <w:pPr>
        <w:spacing w:after="160" w:line="259" w:lineRule="auto"/>
        <w:ind w:firstLine="720"/>
        <w:rPr>
          <w:sz w:val="22"/>
          <w:szCs w:val="22"/>
        </w:rPr>
      </w:pPr>
      <w:r>
        <w:rPr>
          <w:sz w:val="22"/>
          <w:szCs w:val="22"/>
        </w:rPr>
        <w:t xml:space="preserve">In contrast, listing only the contract under which the provider serves the facility, as GTL proposes, would make it difficult, if not impossible, for the inmate and inmate family to identify the portions of the report relating to the inmate’s facility.  And listing only the name of the facility without also providing the city and state in which it is located would cause uncertainty for facilities having generic names that can be found in multiple cities and states.  Even if providers generally track data at a contract level, as GTL contends, it should be minimally burdensome for them to include the facility name as well as city and state information in the reports.  And, in any event, the benefits of providing that information, far outweigh any such </w:t>
      </w:r>
      <w:r w:rsidRPr="00FA6BB3">
        <w:rPr>
          <w:sz w:val="22"/>
          <w:szCs w:val="22"/>
        </w:rPr>
        <w:t>burden.</w:t>
      </w:r>
    </w:p>
    <w:p w14:paraId="31EABDE3" w14:textId="45500072" w:rsidR="00DA7D48" w:rsidRDefault="001645DE" w:rsidP="00DA7D48">
      <w:pPr>
        <w:pStyle w:val="Numberedparagraphs"/>
        <w:numPr>
          <w:ilvl w:val="0"/>
          <w:numId w:val="0"/>
        </w:numPr>
        <w:tabs>
          <w:tab w:val="clear" w:pos="1440"/>
          <w:tab w:val="left" w:pos="720"/>
        </w:tabs>
        <w:rPr>
          <w:i/>
          <w:sz w:val="22"/>
          <w:szCs w:val="22"/>
        </w:rPr>
      </w:pPr>
      <w:r w:rsidRPr="00507BF4">
        <w:rPr>
          <w:i/>
          <w:sz w:val="22"/>
          <w:szCs w:val="22"/>
        </w:rPr>
        <w:tab/>
      </w:r>
      <w:r w:rsidR="00DA7D48" w:rsidRPr="00507BF4">
        <w:rPr>
          <w:i/>
          <w:sz w:val="22"/>
          <w:szCs w:val="22"/>
        </w:rPr>
        <w:t>Site Commission</w:t>
      </w:r>
      <w:r w:rsidR="00467F55" w:rsidRPr="00467F55">
        <w:rPr>
          <w:i/>
          <w:sz w:val="22"/>
          <w:szCs w:val="22"/>
        </w:rPr>
        <w:t xml:space="preserve"> </w:t>
      </w:r>
      <w:r w:rsidR="00467F55" w:rsidRPr="007A0C4D">
        <w:rPr>
          <w:i/>
          <w:sz w:val="22"/>
          <w:szCs w:val="22"/>
        </w:rPr>
        <w:t>Information</w:t>
      </w:r>
    </w:p>
    <w:p w14:paraId="15838236" w14:textId="0B497C87" w:rsidR="00DA7D48" w:rsidRDefault="00DA7D48" w:rsidP="00DA7D48">
      <w:pPr>
        <w:pStyle w:val="Numberedparagraphs"/>
        <w:numPr>
          <w:ilvl w:val="0"/>
          <w:numId w:val="0"/>
        </w:numPr>
        <w:tabs>
          <w:tab w:val="clear" w:pos="1440"/>
          <w:tab w:val="left" w:pos="720"/>
        </w:tabs>
        <w:rPr>
          <w:sz w:val="22"/>
          <w:szCs w:val="22"/>
        </w:rPr>
      </w:pPr>
      <w:r>
        <w:rPr>
          <w:sz w:val="22"/>
          <w:szCs w:val="22"/>
        </w:rPr>
        <w:tab/>
        <w:t>GTL argues that ICS providers should be allowed to report site commission data by contract, rather than for each correctional facility at which they provide ICS.</w:t>
      </w:r>
      <w:r w:rsidR="0025308F">
        <w:rPr>
          <w:rStyle w:val="FootnoteReference"/>
          <w:sz w:val="22"/>
          <w:szCs w:val="22"/>
        </w:rPr>
        <w:footnoteReference w:id="23"/>
      </w:r>
      <w:r>
        <w:rPr>
          <w:sz w:val="22"/>
          <w:szCs w:val="22"/>
        </w:rPr>
        <w:t xml:space="preserve">  GTL asserts that ICS providers track site commission data by contract and that it is overly burdensome for providers to report site commission data by facility.</w:t>
      </w:r>
      <w:r w:rsidR="00955DB2">
        <w:rPr>
          <w:rStyle w:val="FootnoteReference"/>
          <w:sz w:val="22"/>
          <w:szCs w:val="22"/>
        </w:rPr>
        <w:footnoteReference w:id="24"/>
      </w:r>
    </w:p>
    <w:p w14:paraId="712715CD" w14:textId="6E068596" w:rsidR="00DA7D48" w:rsidRDefault="00DA7D48" w:rsidP="00DA7D48">
      <w:pPr>
        <w:pStyle w:val="Numberedparagraphs"/>
        <w:numPr>
          <w:ilvl w:val="0"/>
          <w:numId w:val="0"/>
        </w:numPr>
        <w:tabs>
          <w:tab w:val="clear" w:pos="1440"/>
          <w:tab w:val="left" w:pos="720"/>
        </w:tabs>
        <w:rPr>
          <w:sz w:val="22"/>
          <w:szCs w:val="22"/>
        </w:rPr>
      </w:pPr>
      <w:r>
        <w:rPr>
          <w:sz w:val="22"/>
          <w:szCs w:val="22"/>
        </w:rPr>
        <w:tab/>
        <w:t>GTL also argues that ICS providers should be required to report only the total site commission amount for each contract, rather than having to report fixed and variable site commissions separately.</w:t>
      </w:r>
      <w:r w:rsidR="0025308F">
        <w:rPr>
          <w:rStyle w:val="FootnoteReference"/>
          <w:sz w:val="22"/>
          <w:szCs w:val="22"/>
        </w:rPr>
        <w:footnoteReference w:id="25"/>
      </w:r>
      <w:r>
        <w:rPr>
          <w:sz w:val="22"/>
          <w:szCs w:val="22"/>
        </w:rPr>
        <w:t xml:space="preserve">  GTL claims that it tracks the total amount of site commission</w:t>
      </w:r>
      <w:r w:rsidR="00FD327B">
        <w:rPr>
          <w:sz w:val="22"/>
          <w:szCs w:val="22"/>
        </w:rPr>
        <w:t>s</w:t>
      </w:r>
      <w:r>
        <w:rPr>
          <w:sz w:val="22"/>
          <w:szCs w:val="22"/>
        </w:rPr>
        <w:t xml:space="preserve"> paid and does not record whether they are fixed or variable, and that allowing providers to report only total site commissions would reduce the burden on providers.</w:t>
      </w:r>
      <w:r w:rsidR="00955DB2">
        <w:rPr>
          <w:rStyle w:val="FootnoteReference"/>
          <w:sz w:val="22"/>
          <w:szCs w:val="22"/>
        </w:rPr>
        <w:footnoteReference w:id="26"/>
      </w:r>
    </w:p>
    <w:p w14:paraId="2C4D3B8A" w14:textId="4F038DB7" w:rsidR="00FD327B" w:rsidRDefault="00DA7D48" w:rsidP="00766733">
      <w:pPr>
        <w:spacing w:after="160" w:line="259" w:lineRule="auto"/>
        <w:ind w:firstLine="720"/>
        <w:rPr>
          <w:sz w:val="22"/>
          <w:szCs w:val="22"/>
        </w:rPr>
      </w:pPr>
      <w:r w:rsidRPr="0013654C">
        <w:rPr>
          <w:i/>
          <w:sz w:val="22"/>
          <w:szCs w:val="22"/>
        </w:rPr>
        <w:t>Response</w:t>
      </w:r>
      <w:r w:rsidR="00D34D4E">
        <w:rPr>
          <w:i/>
          <w:sz w:val="22"/>
          <w:szCs w:val="22"/>
        </w:rPr>
        <w:t>.</w:t>
      </w:r>
      <w:r w:rsidRPr="0013654C">
        <w:rPr>
          <w:sz w:val="22"/>
          <w:szCs w:val="22"/>
        </w:rPr>
        <w:t xml:space="preserve">  </w:t>
      </w:r>
      <w:r>
        <w:rPr>
          <w:sz w:val="22"/>
          <w:szCs w:val="22"/>
        </w:rPr>
        <w:t xml:space="preserve">We will continue to require ICS providers to report site commission payments by facility and type of payment.  </w:t>
      </w:r>
      <w:r w:rsidRPr="0013654C">
        <w:rPr>
          <w:sz w:val="22"/>
          <w:szCs w:val="22"/>
        </w:rPr>
        <w:t>A</w:t>
      </w:r>
      <w:r w:rsidR="00FC1CA1">
        <w:rPr>
          <w:sz w:val="22"/>
          <w:szCs w:val="22"/>
        </w:rPr>
        <w:t>s discussed above, a</w:t>
      </w:r>
      <w:r w:rsidRPr="0013654C">
        <w:rPr>
          <w:sz w:val="22"/>
          <w:szCs w:val="22"/>
        </w:rPr>
        <w:t xml:space="preserve"> central purpose of the </w:t>
      </w:r>
      <w:r w:rsidR="0047588F">
        <w:rPr>
          <w:sz w:val="22"/>
          <w:szCs w:val="22"/>
        </w:rPr>
        <w:t>annual report</w:t>
      </w:r>
      <w:r w:rsidRPr="0013654C">
        <w:rPr>
          <w:sz w:val="22"/>
          <w:szCs w:val="22"/>
        </w:rPr>
        <w:t xml:space="preserve">s is to provide each inmate and inmate family with access to information affecting the provision of interstate and international ICS at the facility in which the inmate is incarcerated.  This information includes both the total amount of site commissions, as well as the amounts of fixed and variable site commissions, for that facility.  </w:t>
      </w:r>
    </w:p>
    <w:p w14:paraId="653A2596" w14:textId="50AAAB52" w:rsidR="00DA7D48" w:rsidRPr="006B54B4" w:rsidRDefault="00DA7D48" w:rsidP="00365DEF">
      <w:pPr>
        <w:spacing w:after="160" w:line="259" w:lineRule="auto"/>
        <w:ind w:firstLine="720"/>
      </w:pPr>
      <w:r>
        <w:rPr>
          <w:sz w:val="22"/>
          <w:szCs w:val="22"/>
        </w:rPr>
        <w:t>Disaggregated site commission payment</w:t>
      </w:r>
      <w:r w:rsidR="00FD327B">
        <w:rPr>
          <w:sz w:val="22"/>
          <w:szCs w:val="22"/>
        </w:rPr>
        <w:t xml:space="preserve"> </w:t>
      </w:r>
      <w:r>
        <w:rPr>
          <w:sz w:val="22"/>
          <w:szCs w:val="22"/>
        </w:rPr>
        <w:t xml:space="preserve">information also </w:t>
      </w:r>
      <w:r w:rsidR="00FD327B">
        <w:rPr>
          <w:sz w:val="22"/>
          <w:szCs w:val="22"/>
        </w:rPr>
        <w:t xml:space="preserve">contributes to the Commission’s and the public’s understanding of the ICS industry.  </w:t>
      </w:r>
      <w:r w:rsidR="00B4023C">
        <w:rPr>
          <w:sz w:val="22"/>
          <w:szCs w:val="22"/>
        </w:rPr>
        <w:t xml:space="preserve">Site commission payments constitute a significant portion of total ICS revenue.  </w:t>
      </w:r>
      <w:r w:rsidR="00FD327B" w:rsidRPr="0013654C">
        <w:rPr>
          <w:sz w:val="22"/>
          <w:szCs w:val="22"/>
        </w:rPr>
        <w:t xml:space="preserve">Among other benefits, </w:t>
      </w:r>
      <w:r w:rsidR="00B4023C">
        <w:rPr>
          <w:sz w:val="22"/>
          <w:szCs w:val="22"/>
        </w:rPr>
        <w:t>disaggregated site commission payment</w:t>
      </w:r>
      <w:r w:rsidR="00FD327B" w:rsidRPr="0013654C">
        <w:rPr>
          <w:sz w:val="22"/>
          <w:szCs w:val="22"/>
        </w:rPr>
        <w:t xml:space="preserve"> information </w:t>
      </w:r>
      <w:r w:rsidR="00E96232">
        <w:rPr>
          <w:sz w:val="22"/>
          <w:szCs w:val="22"/>
        </w:rPr>
        <w:t xml:space="preserve">helps </w:t>
      </w:r>
      <w:r w:rsidR="00FD327B">
        <w:rPr>
          <w:sz w:val="22"/>
          <w:szCs w:val="22"/>
        </w:rPr>
        <w:t xml:space="preserve">the Commission and the public </w:t>
      </w:r>
      <w:r w:rsidR="001872B4">
        <w:rPr>
          <w:sz w:val="22"/>
          <w:szCs w:val="22"/>
        </w:rPr>
        <w:t>understand</w:t>
      </w:r>
      <w:r w:rsidR="00FD327B">
        <w:rPr>
          <w:sz w:val="22"/>
          <w:szCs w:val="22"/>
        </w:rPr>
        <w:t xml:space="preserve"> how </w:t>
      </w:r>
      <w:r w:rsidR="001872B4">
        <w:rPr>
          <w:sz w:val="22"/>
          <w:szCs w:val="22"/>
        </w:rPr>
        <w:t>those payments vary among types of facilities and evaluate whether differences in payment levels affect interstate ICS rates.</w:t>
      </w:r>
      <w:r w:rsidR="00C7318F">
        <w:rPr>
          <w:sz w:val="22"/>
          <w:szCs w:val="22"/>
        </w:rPr>
        <w:t xml:space="preserve">  </w:t>
      </w:r>
      <w:r w:rsidR="00C7318F">
        <w:t>T</w:t>
      </w:r>
      <w:r>
        <w:t xml:space="preserve">hese benefits significantly outweigh any incremental burden on ICS providers from reporting site commission data disaggregated by facility and type of commission.  In this regard, we note that GTL makes no attempt to quantify the additional burden, if any, of calculating site commission payments by facility and type of commission.  We believe that burden to be minimal and, in any event, far </w:t>
      </w:r>
      <w:r w:rsidRPr="006B54B4">
        <w:t xml:space="preserve">outweighed by the benefits described above. </w:t>
      </w:r>
    </w:p>
    <w:p w14:paraId="3BD197D9" w14:textId="292DDD6C" w:rsidR="00DA7D48" w:rsidRDefault="00DA7D48" w:rsidP="00DA7D48">
      <w:pPr>
        <w:pStyle w:val="Numberedparagraphs"/>
        <w:numPr>
          <w:ilvl w:val="0"/>
          <w:numId w:val="0"/>
        </w:numPr>
        <w:tabs>
          <w:tab w:val="clear" w:pos="1440"/>
          <w:tab w:val="left" w:pos="720"/>
        </w:tabs>
        <w:rPr>
          <w:i/>
          <w:sz w:val="22"/>
          <w:szCs w:val="22"/>
        </w:rPr>
      </w:pPr>
      <w:r w:rsidRPr="006B54B4">
        <w:rPr>
          <w:sz w:val="22"/>
          <w:szCs w:val="22"/>
        </w:rPr>
        <w:tab/>
      </w:r>
      <w:r w:rsidRPr="00507BF4">
        <w:rPr>
          <w:i/>
          <w:sz w:val="22"/>
          <w:szCs w:val="22"/>
        </w:rPr>
        <w:t>Contracting Party</w:t>
      </w:r>
      <w:r w:rsidR="006B54B4" w:rsidRPr="006B54B4">
        <w:rPr>
          <w:i/>
          <w:sz w:val="22"/>
          <w:szCs w:val="22"/>
        </w:rPr>
        <w:t xml:space="preserve"> Name</w:t>
      </w:r>
    </w:p>
    <w:p w14:paraId="72BB3A0C" w14:textId="5F944110" w:rsidR="00DA7D48" w:rsidRDefault="00DA7D48" w:rsidP="00DA7D48">
      <w:pPr>
        <w:pStyle w:val="Numberedparagraphs"/>
        <w:numPr>
          <w:ilvl w:val="0"/>
          <w:numId w:val="0"/>
        </w:numPr>
        <w:tabs>
          <w:tab w:val="clear" w:pos="1440"/>
          <w:tab w:val="left" w:pos="720"/>
        </w:tabs>
        <w:rPr>
          <w:sz w:val="22"/>
          <w:szCs w:val="22"/>
        </w:rPr>
      </w:pPr>
      <w:r>
        <w:rPr>
          <w:sz w:val="22"/>
          <w:szCs w:val="22"/>
        </w:rPr>
        <w:tab/>
        <w:t xml:space="preserve">GTL argues that ICS providers should be permitted to provide the account name </w:t>
      </w:r>
      <w:r w:rsidR="007B0852">
        <w:rPr>
          <w:sz w:val="22"/>
          <w:szCs w:val="22"/>
        </w:rPr>
        <w:t xml:space="preserve">under which they provide service to a correctional facility, instead of naming </w:t>
      </w:r>
      <w:r w:rsidR="00C31413">
        <w:rPr>
          <w:sz w:val="22"/>
          <w:szCs w:val="22"/>
        </w:rPr>
        <w:t>“</w:t>
      </w:r>
      <w:r w:rsidR="007B0852">
        <w:rPr>
          <w:sz w:val="22"/>
          <w:szCs w:val="22"/>
        </w:rPr>
        <w:t xml:space="preserve">the </w:t>
      </w:r>
      <w:r w:rsidR="00C31413">
        <w:rPr>
          <w:sz w:val="22"/>
          <w:szCs w:val="22"/>
        </w:rPr>
        <w:t xml:space="preserve">specific </w:t>
      </w:r>
      <w:r w:rsidR="007B0852">
        <w:rPr>
          <w:sz w:val="22"/>
          <w:szCs w:val="22"/>
        </w:rPr>
        <w:t xml:space="preserve">party with which </w:t>
      </w:r>
      <w:r>
        <w:rPr>
          <w:sz w:val="22"/>
          <w:szCs w:val="22"/>
        </w:rPr>
        <w:t xml:space="preserve">the provider </w:t>
      </w:r>
      <w:r w:rsidR="007B0852">
        <w:rPr>
          <w:sz w:val="22"/>
          <w:szCs w:val="22"/>
        </w:rPr>
        <w:t xml:space="preserve">negotiated the contract” for that facility, as our </w:t>
      </w:r>
      <w:r w:rsidR="00C31413">
        <w:rPr>
          <w:sz w:val="22"/>
          <w:szCs w:val="22"/>
        </w:rPr>
        <w:t>dra</w:t>
      </w:r>
      <w:r w:rsidR="0025308F">
        <w:rPr>
          <w:sz w:val="22"/>
          <w:szCs w:val="22"/>
        </w:rPr>
        <w:t>f</w:t>
      </w:r>
      <w:r w:rsidR="00C31413">
        <w:rPr>
          <w:sz w:val="22"/>
          <w:szCs w:val="22"/>
        </w:rPr>
        <w:t xml:space="preserve">t </w:t>
      </w:r>
      <w:r w:rsidR="007B0852">
        <w:rPr>
          <w:sz w:val="22"/>
          <w:szCs w:val="22"/>
        </w:rPr>
        <w:t>instructions for the annual report require.</w:t>
      </w:r>
      <w:r w:rsidR="00A239A0" w:rsidRPr="009F3BD2">
        <w:rPr>
          <w:rStyle w:val="FootnoteReference"/>
          <w:sz w:val="20"/>
        </w:rPr>
        <w:footnoteReference w:id="27"/>
      </w:r>
      <w:r>
        <w:rPr>
          <w:sz w:val="22"/>
          <w:szCs w:val="22"/>
        </w:rPr>
        <w:t xml:space="preserve">  GTL contends that if the account name adequately describes the contracting entity, providers should not be required to </w:t>
      </w:r>
      <w:r w:rsidR="006B54B4">
        <w:rPr>
          <w:sz w:val="22"/>
          <w:szCs w:val="22"/>
        </w:rPr>
        <w:t>name the</w:t>
      </w:r>
      <w:r>
        <w:rPr>
          <w:sz w:val="22"/>
          <w:szCs w:val="22"/>
        </w:rPr>
        <w:t xml:space="preserve"> </w:t>
      </w:r>
      <w:r w:rsidR="00C31413">
        <w:rPr>
          <w:sz w:val="22"/>
          <w:szCs w:val="22"/>
        </w:rPr>
        <w:t>contracting party</w:t>
      </w:r>
      <w:r>
        <w:rPr>
          <w:sz w:val="22"/>
          <w:szCs w:val="22"/>
        </w:rPr>
        <w:t>.</w:t>
      </w:r>
      <w:r w:rsidR="00C31413" w:rsidRPr="009F3BD2">
        <w:rPr>
          <w:rStyle w:val="FootnoteReference"/>
          <w:sz w:val="20"/>
        </w:rPr>
        <w:footnoteReference w:id="28"/>
      </w:r>
    </w:p>
    <w:p w14:paraId="675FB60D" w14:textId="3E7B4613" w:rsidR="007F5109" w:rsidRDefault="00D34D4E" w:rsidP="00DA7D48">
      <w:pPr>
        <w:pStyle w:val="Numberedparagraphs"/>
        <w:numPr>
          <w:ilvl w:val="0"/>
          <w:numId w:val="0"/>
        </w:numPr>
        <w:tabs>
          <w:tab w:val="clear" w:pos="1440"/>
          <w:tab w:val="left" w:pos="720"/>
        </w:tabs>
        <w:rPr>
          <w:sz w:val="22"/>
          <w:szCs w:val="22"/>
        </w:rPr>
      </w:pPr>
      <w:r>
        <w:rPr>
          <w:i/>
          <w:sz w:val="22"/>
          <w:szCs w:val="22"/>
        </w:rPr>
        <w:tab/>
      </w:r>
      <w:r w:rsidR="00DA7D48" w:rsidRPr="0013654C">
        <w:rPr>
          <w:i/>
          <w:sz w:val="22"/>
          <w:szCs w:val="22"/>
        </w:rPr>
        <w:t>Response</w:t>
      </w:r>
      <w:r>
        <w:rPr>
          <w:i/>
          <w:sz w:val="22"/>
          <w:szCs w:val="22"/>
        </w:rPr>
        <w:t>.</w:t>
      </w:r>
      <w:r w:rsidR="00DA7D48" w:rsidRPr="0013654C">
        <w:rPr>
          <w:sz w:val="22"/>
          <w:szCs w:val="22"/>
        </w:rPr>
        <w:t xml:space="preserve">  </w:t>
      </w:r>
      <w:r w:rsidR="00B54043">
        <w:rPr>
          <w:sz w:val="22"/>
          <w:szCs w:val="22"/>
        </w:rPr>
        <w:t>Upon review of GTL’s comments, w</w:t>
      </w:r>
      <w:r w:rsidR="00DA7D48">
        <w:rPr>
          <w:sz w:val="22"/>
          <w:szCs w:val="22"/>
        </w:rPr>
        <w:t xml:space="preserve">e </w:t>
      </w:r>
      <w:r w:rsidR="00B54043">
        <w:rPr>
          <w:sz w:val="22"/>
          <w:szCs w:val="22"/>
        </w:rPr>
        <w:t xml:space="preserve">amend </w:t>
      </w:r>
      <w:r w:rsidR="00C31413">
        <w:rPr>
          <w:sz w:val="22"/>
          <w:szCs w:val="22"/>
        </w:rPr>
        <w:t>the</w:t>
      </w:r>
      <w:r w:rsidR="00DA7D48">
        <w:rPr>
          <w:sz w:val="22"/>
          <w:szCs w:val="22"/>
        </w:rPr>
        <w:t xml:space="preserve"> instructions </w:t>
      </w:r>
      <w:r w:rsidR="00CE120F">
        <w:rPr>
          <w:sz w:val="22"/>
          <w:szCs w:val="22"/>
        </w:rPr>
        <w:t xml:space="preserve">for the annual report </w:t>
      </w:r>
      <w:r w:rsidR="00DA7D48">
        <w:rPr>
          <w:sz w:val="22"/>
          <w:szCs w:val="22"/>
        </w:rPr>
        <w:t xml:space="preserve">to </w:t>
      </w:r>
      <w:r w:rsidR="00CE120F">
        <w:rPr>
          <w:sz w:val="22"/>
          <w:szCs w:val="22"/>
        </w:rPr>
        <w:t>require that</w:t>
      </w:r>
      <w:r w:rsidR="007F5109">
        <w:rPr>
          <w:sz w:val="22"/>
          <w:szCs w:val="22"/>
        </w:rPr>
        <w:t xml:space="preserve"> each</w:t>
      </w:r>
      <w:r w:rsidR="00CE120F">
        <w:rPr>
          <w:sz w:val="22"/>
          <w:szCs w:val="22"/>
        </w:rPr>
        <w:t xml:space="preserve"> ICS provider name </w:t>
      </w:r>
      <w:r w:rsidR="007F5109">
        <w:rPr>
          <w:sz w:val="22"/>
          <w:szCs w:val="22"/>
        </w:rPr>
        <w:t xml:space="preserve">“the specific party with which the provider </w:t>
      </w:r>
      <w:r w:rsidR="00DA7D48">
        <w:rPr>
          <w:sz w:val="22"/>
          <w:szCs w:val="22"/>
        </w:rPr>
        <w:t xml:space="preserve">executed </w:t>
      </w:r>
      <w:r w:rsidR="007F5109">
        <w:rPr>
          <w:sz w:val="22"/>
          <w:szCs w:val="22"/>
        </w:rPr>
        <w:t xml:space="preserve">the contract” under which it provides ICS to a correctional facility.  </w:t>
      </w:r>
      <w:r w:rsidR="00613A35">
        <w:rPr>
          <w:sz w:val="22"/>
          <w:szCs w:val="22"/>
        </w:rPr>
        <w:t xml:space="preserve">We find that </w:t>
      </w:r>
      <w:r w:rsidR="00BC764C">
        <w:rPr>
          <w:sz w:val="22"/>
          <w:szCs w:val="22"/>
        </w:rPr>
        <w:t>thi</w:t>
      </w:r>
      <w:r w:rsidR="007F5109">
        <w:rPr>
          <w:sz w:val="22"/>
          <w:szCs w:val="22"/>
        </w:rPr>
        <w:t xml:space="preserve">s change clarifies our intent in obtaining the name of the contracting party. </w:t>
      </w:r>
    </w:p>
    <w:p w14:paraId="409C0926" w14:textId="1DF6F8F8" w:rsidR="00DA7D48" w:rsidRDefault="007F5109" w:rsidP="00DA7D48">
      <w:pPr>
        <w:pStyle w:val="Numberedparagraphs"/>
        <w:numPr>
          <w:ilvl w:val="0"/>
          <w:numId w:val="0"/>
        </w:numPr>
        <w:tabs>
          <w:tab w:val="clear" w:pos="1440"/>
          <w:tab w:val="left" w:pos="720"/>
        </w:tabs>
        <w:rPr>
          <w:sz w:val="22"/>
          <w:szCs w:val="22"/>
        </w:rPr>
      </w:pPr>
      <w:r>
        <w:rPr>
          <w:sz w:val="22"/>
          <w:szCs w:val="22"/>
        </w:rPr>
        <w:tab/>
        <w:t xml:space="preserve">We do not, however, allow </w:t>
      </w:r>
      <w:r w:rsidR="00DA7D48">
        <w:rPr>
          <w:sz w:val="22"/>
          <w:szCs w:val="22"/>
        </w:rPr>
        <w:t>ICS providers</w:t>
      </w:r>
      <w:r>
        <w:rPr>
          <w:sz w:val="22"/>
          <w:szCs w:val="22"/>
        </w:rPr>
        <w:t xml:space="preserve"> to substitute their account names for the contracting party</w:t>
      </w:r>
      <w:r w:rsidR="00DA7D48">
        <w:rPr>
          <w:sz w:val="22"/>
          <w:szCs w:val="22"/>
        </w:rPr>
        <w:t xml:space="preserve"> </w:t>
      </w:r>
      <w:r w:rsidR="005D0320">
        <w:rPr>
          <w:sz w:val="22"/>
          <w:szCs w:val="22"/>
        </w:rPr>
        <w:t xml:space="preserve">names, as GTL proposes.  </w:t>
      </w:r>
      <w:r w:rsidR="00C70BCC">
        <w:rPr>
          <w:sz w:val="22"/>
          <w:szCs w:val="22"/>
        </w:rPr>
        <w:t xml:space="preserve">In suggesting this change, GTL does not dispute the need to include contracting party information in the annual reports.  Instead, it maintains that </w:t>
      </w:r>
      <w:r w:rsidR="00E55CD2">
        <w:rPr>
          <w:sz w:val="22"/>
          <w:szCs w:val="22"/>
        </w:rPr>
        <w:t xml:space="preserve">an </w:t>
      </w:r>
      <w:r w:rsidR="00C70BCC">
        <w:rPr>
          <w:sz w:val="22"/>
          <w:szCs w:val="22"/>
        </w:rPr>
        <w:t>account name that “adequately describes the contracting entity” should be sufficient.  But t</w:t>
      </w:r>
      <w:r w:rsidR="00C70BCC" w:rsidRPr="002A4016">
        <w:rPr>
          <w:sz w:val="22"/>
          <w:szCs w:val="22"/>
        </w:rPr>
        <w:t>o the extent an account name adequately describe</w:t>
      </w:r>
      <w:r w:rsidR="00C70BCC">
        <w:rPr>
          <w:sz w:val="22"/>
          <w:szCs w:val="22"/>
        </w:rPr>
        <w:t>s</w:t>
      </w:r>
      <w:r w:rsidR="00C70BCC" w:rsidRPr="002A4016">
        <w:rPr>
          <w:sz w:val="22"/>
          <w:szCs w:val="22"/>
        </w:rPr>
        <w:t xml:space="preserve"> the contracting entity, </w:t>
      </w:r>
      <w:r w:rsidR="00702FC6">
        <w:rPr>
          <w:sz w:val="22"/>
          <w:szCs w:val="22"/>
        </w:rPr>
        <w:t xml:space="preserve">GTL should encounter </w:t>
      </w:r>
      <w:r w:rsidR="006B54B4">
        <w:rPr>
          <w:sz w:val="22"/>
          <w:szCs w:val="22"/>
        </w:rPr>
        <w:t>at most</w:t>
      </w:r>
      <w:r w:rsidR="00702FC6">
        <w:rPr>
          <w:sz w:val="22"/>
          <w:szCs w:val="22"/>
        </w:rPr>
        <w:t xml:space="preserve"> a </w:t>
      </w:r>
      <w:r w:rsidR="00C70BCC" w:rsidRPr="002A4016">
        <w:rPr>
          <w:sz w:val="22"/>
          <w:szCs w:val="22"/>
        </w:rPr>
        <w:t>minimal</w:t>
      </w:r>
      <w:r w:rsidR="00702FC6">
        <w:rPr>
          <w:sz w:val="22"/>
          <w:szCs w:val="22"/>
        </w:rPr>
        <w:t xml:space="preserve"> </w:t>
      </w:r>
      <w:r w:rsidR="00C70BCC" w:rsidRPr="002A4016">
        <w:rPr>
          <w:sz w:val="22"/>
          <w:szCs w:val="22"/>
        </w:rPr>
        <w:t xml:space="preserve">burden </w:t>
      </w:r>
      <w:r w:rsidR="00E55CD2">
        <w:rPr>
          <w:sz w:val="22"/>
          <w:szCs w:val="22"/>
        </w:rPr>
        <w:t>in</w:t>
      </w:r>
      <w:r w:rsidR="00C70BCC" w:rsidRPr="002A4016">
        <w:rPr>
          <w:sz w:val="22"/>
          <w:szCs w:val="22"/>
        </w:rPr>
        <w:t xml:space="preserve"> </w:t>
      </w:r>
      <w:r w:rsidR="00E55CD2">
        <w:rPr>
          <w:sz w:val="22"/>
          <w:szCs w:val="22"/>
        </w:rPr>
        <w:t xml:space="preserve">extracting the </w:t>
      </w:r>
      <w:r w:rsidR="00C70BCC" w:rsidRPr="002A4016">
        <w:rPr>
          <w:sz w:val="22"/>
          <w:szCs w:val="22"/>
        </w:rPr>
        <w:t>contracting party</w:t>
      </w:r>
      <w:r w:rsidR="00E55CD2">
        <w:rPr>
          <w:sz w:val="22"/>
          <w:szCs w:val="22"/>
        </w:rPr>
        <w:t>’s name from the account name.  We find that this</w:t>
      </w:r>
      <w:r w:rsidR="00B54043">
        <w:rPr>
          <w:sz w:val="22"/>
          <w:szCs w:val="22"/>
        </w:rPr>
        <w:t xml:space="preserve"> minimal</w:t>
      </w:r>
      <w:r w:rsidR="00E55CD2">
        <w:rPr>
          <w:sz w:val="22"/>
          <w:szCs w:val="22"/>
        </w:rPr>
        <w:t xml:space="preserve"> burden is warranted because </w:t>
      </w:r>
      <w:r w:rsidR="0089018D">
        <w:rPr>
          <w:sz w:val="22"/>
          <w:szCs w:val="22"/>
        </w:rPr>
        <w:t>it would eliminate any potential for confusion regarding the contracting party’s name.</w:t>
      </w:r>
    </w:p>
    <w:p w14:paraId="3D17CEFF" w14:textId="312F8FF2" w:rsidR="00DA7D48" w:rsidRPr="006B54B4" w:rsidRDefault="001645DE" w:rsidP="00DA7D48">
      <w:pPr>
        <w:pStyle w:val="Numberedparagraphs"/>
        <w:numPr>
          <w:ilvl w:val="0"/>
          <w:numId w:val="0"/>
        </w:numPr>
        <w:tabs>
          <w:tab w:val="clear" w:pos="1440"/>
          <w:tab w:val="left" w:pos="720"/>
        </w:tabs>
        <w:rPr>
          <w:i/>
          <w:sz w:val="22"/>
          <w:szCs w:val="22"/>
        </w:rPr>
      </w:pPr>
      <w:r w:rsidRPr="00507BF4">
        <w:rPr>
          <w:sz w:val="22"/>
          <w:szCs w:val="22"/>
        </w:rPr>
        <w:tab/>
      </w:r>
      <w:r w:rsidR="00467F55" w:rsidRPr="0007001F">
        <w:rPr>
          <w:i/>
          <w:sz w:val="22"/>
          <w:szCs w:val="22"/>
        </w:rPr>
        <w:t>Partnership</w:t>
      </w:r>
      <w:r w:rsidR="00467F55" w:rsidRPr="006B54B4">
        <w:rPr>
          <w:i/>
          <w:sz w:val="22"/>
          <w:szCs w:val="22"/>
        </w:rPr>
        <w:t xml:space="preserve"> </w:t>
      </w:r>
      <w:r w:rsidR="00DA7D48" w:rsidRPr="00507BF4">
        <w:rPr>
          <w:i/>
          <w:sz w:val="22"/>
          <w:szCs w:val="22"/>
        </w:rPr>
        <w:t xml:space="preserve">Information </w:t>
      </w:r>
    </w:p>
    <w:p w14:paraId="6AFB64C0" w14:textId="1A3C2637" w:rsidR="000B0385" w:rsidRPr="006B54B4" w:rsidRDefault="00DA7D48" w:rsidP="00DA7D48">
      <w:pPr>
        <w:pStyle w:val="Numberedparagraphs"/>
        <w:numPr>
          <w:ilvl w:val="0"/>
          <w:numId w:val="0"/>
        </w:numPr>
        <w:tabs>
          <w:tab w:val="clear" w:pos="1440"/>
          <w:tab w:val="left" w:pos="720"/>
        </w:tabs>
        <w:rPr>
          <w:sz w:val="22"/>
          <w:szCs w:val="22"/>
        </w:rPr>
      </w:pPr>
      <w:r>
        <w:rPr>
          <w:sz w:val="22"/>
          <w:szCs w:val="22"/>
        </w:rPr>
        <w:tab/>
      </w:r>
      <w:r w:rsidR="005904D2" w:rsidRPr="006B54B4">
        <w:rPr>
          <w:sz w:val="22"/>
          <w:szCs w:val="22"/>
        </w:rPr>
        <w:t xml:space="preserve">The draft instructions </w:t>
      </w:r>
      <w:r w:rsidR="00BE2C2C" w:rsidRPr="006B54B4">
        <w:rPr>
          <w:sz w:val="22"/>
          <w:szCs w:val="22"/>
        </w:rPr>
        <w:t>for the annual report require each ICS provider to provide information on each partnership it has for the provision of ICS</w:t>
      </w:r>
      <w:r w:rsidR="000B0385" w:rsidRPr="006B54B4">
        <w:rPr>
          <w:sz w:val="22"/>
          <w:szCs w:val="22"/>
        </w:rPr>
        <w:t xml:space="preserve">.  The instructions </w:t>
      </w:r>
      <w:r w:rsidR="00BE2C2C" w:rsidRPr="006B54B4">
        <w:rPr>
          <w:sz w:val="22"/>
          <w:szCs w:val="22"/>
        </w:rPr>
        <w:t>define “partnership” as “a contract or other arrangement under which two or more entities jointly provide ICS to inmates at a correctional facility.”</w:t>
      </w:r>
      <w:r w:rsidR="00BE2C2C" w:rsidRPr="006B54B4">
        <w:rPr>
          <w:rStyle w:val="FootnoteReference"/>
          <w:sz w:val="20"/>
        </w:rPr>
        <w:footnoteReference w:id="29"/>
      </w:r>
      <w:r w:rsidR="00BE2C2C" w:rsidRPr="00507BF4">
        <w:rPr>
          <w:sz w:val="20"/>
        </w:rPr>
        <w:t> </w:t>
      </w:r>
      <w:r w:rsidR="006D7357" w:rsidRPr="006B54B4">
        <w:rPr>
          <w:sz w:val="22"/>
          <w:szCs w:val="22"/>
        </w:rPr>
        <w:t xml:space="preserve"> </w:t>
      </w:r>
    </w:p>
    <w:p w14:paraId="556CDE75" w14:textId="76839B62" w:rsidR="00DA7D48" w:rsidRDefault="000B0385" w:rsidP="00DA7D48">
      <w:pPr>
        <w:pStyle w:val="Numberedparagraphs"/>
        <w:numPr>
          <w:ilvl w:val="0"/>
          <w:numId w:val="0"/>
        </w:numPr>
        <w:tabs>
          <w:tab w:val="clear" w:pos="1440"/>
          <w:tab w:val="left" w:pos="720"/>
        </w:tabs>
        <w:rPr>
          <w:sz w:val="22"/>
          <w:szCs w:val="22"/>
        </w:rPr>
      </w:pPr>
      <w:r>
        <w:tab/>
      </w:r>
      <w:r w:rsidR="00DA7D48">
        <w:rPr>
          <w:sz w:val="22"/>
          <w:szCs w:val="22"/>
        </w:rPr>
        <w:t xml:space="preserve">GTL argues that ICS providers should not be required to provide </w:t>
      </w:r>
      <w:r w:rsidR="006D7357">
        <w:rPr>
          <w:sz w:val="22"/>
          <w:szCs w:val="22"/>
        </w:rPr>
        <w:t>partnership information in the annual reports</w:t>
      </w:r>
      <w:r w:rsidR="00DA7D48">
        <w:rPr>
          <w:sz w:val="22"/>
          <w:szCs w:val="22"/>
        </w:rPr>
        <w:t>.  GTL contends that</w:t>
      </w:r>
      <w:r w:rsidR="000E1E08">
        <w:rPr>
          <w:sz w:val="22"/>
          <w:szCs w:val="22"/>
        </w:rPr>
        <w:t>,</w:t>
      </w:r>
      <w:r w:rsidR="00DA7D48">
        <w:rPr>
          <w:sz w:val="22"/>
          <w:szCs w:val="22"/>
        </w:rPr>
        <w:t xml:space="preserve"> because the </w:t>
      </w:r>
      <w:r w:rsidR="0047588F">
        <w:rPr>
          <w:sz w:val="22"/>
          <w:szCs w:val="22"/>
        </w:rPr>
        <w:t>annual report</w:t>
      </w:r>
      <w:r w:rsidR="00DA7D48">
        <w:rPr>
          <w:sz w:val="22"/>
          <w:szCs w:val="22"/>
        </w:rPr>
        <w:t xml:space="preserve"> applies to “any entity that provides ICS</w:t>
      </w:r>
      <w:r w:rsidR="000E1E08">
        <w:rPr>
          <w:sz w:val="22"/>
          <w:szCs w:val="22"/>
        </w:rPr>
        <w:t>,</w:t>
      </w:r>
      <w:r w:rsidR="00DA7D48">
        <w:rPr>
          <w:sz w:val="22"/>
          <w:szCs w:val="22"/>
        </w:rPr>
        <w:t>” the Commission will receive information from the primary partner without the need to delve into private agreements between ICS providers and other parties.</w:t>
      </w:r>
      <w:r w:rsidR="0025308F" w:rsidRPr="009F3BD2">
        <w:rPr>
          <w:rStyle w:val="FootnoteReference"/>
          <w:sz w:val="20"/>
        </w:rPr>
        <w:footnoteReference w:id="30"/>
      </w:r>
      <w:r w:rsidR="00DA7D48">
        <w:rPr>
          <w:sz w:val="22"/>
          <w:szCs w:val="22"/>
        </w:rPr>
        <w:t xml:space="preserve">  GTL further contends that the Commission has no jurisdiction over private agreements and should not require the providers to divulge information regarding their underlying arrangements barring a violation of the Communications Act, Commission rules, or Commission orders.</w:t>
      </w:r>
      <w:r w:rsidR="006D7357" w:rsidRPr="009F3BD2">
        <w:rPr>
          <w:rStyle w:val="FootnoteReference"/>
          <w:sz w:val="20"/>
        </w:rPr>
        <w:footnoteReference w:id="31"/>
      </w:r>
    </w:p>
    <w:p w14:paraId="2EF360D7" w14:textId="296E14A0" w:rsidR="001645DE" w:rsidRPr="00507BF4" w:rsidRDefault="00D34D4E" w:rsidP="00DA7D48">
      <w:pPr>
        <w:pStyle w:val="Numberedparagraphs"/>
        <w:numPr>
          <w:ilvl w:val="0"/>
          <w:numId w:val="0"/>
        </w:numPr>
        <w:tabs>
          <w:tab w:val="clear" w:pos="1440"/>
          <w:tab w:val="left" w:pos="720"/>
        </w:tabs>
        <w:rPr>
          <w:i/>
          <w:sz w:val="22"/>
          <w:szCs w:val="22"/>
        </w:rPr>
      </w:pPr>
      <w:r>
        <w:rPr>
          <w:i/>
          <w:sz w:val="22"/>
          <w:szCs w:val="22"/>
        </w:rPr>
        <w:tab/>
      </w:r>
      <w:r w:rsidR="00DA7D48" w:rsidRPr="0013654C">
        <w:rPr>
          <w:i/>
          <w:sz w:val="22"/>
          <w:szCs w:val="22"/>
        </w:rPr>
        <w:t>Response</w:t>
      </w:r>
      <w:r>
        <w:rPr>
          <w:i/>
          <w:sz w:val="22"/>
          <w:szCs w:val="22"/>
        </w:rPr>
        <w:t>.</w:t>
      </w:r>
      <w:r w:rsidR="00DA7D48" w:rsidRPr="0013654C">
        <w:rPr>
          <w:sz w:val="22"/>
          <w:szCs w:val="22"/>
        </w:rPr>
        <w:t xml:space="preserve">  </w:t>
      </w:r>
      <w:r w:rsidR="000B0385">
        <w:rPr>
          <w:sz w:val="22"/>
          <w:szCs w:val="22"/>
        </w:rPr>
        <w:t>We agree with GTL that our request for partnership information is overbroad</w:t>
      </w:r>
      <w:r w:rsidR="0093682A">
        <w:rPr>
          <w:sz w:val="22"/>
          <w:szCs w:val="22"/>
        </w:rPr>
        <w:t>.  We</w:t>
      </w:r>
      <w:r w:rsidR="000B0385">
        <w:rPr>
          <w:sz w:val="22"/>
          <w:szCs w:val="22"/>
        </w:rPr>
        <w:t xml:space="preserve"> </w:t>
      </w:r>
      <w:r w:rsidR="00492D5A">
        <w:rPr>
          <w:sz w:val="22"/>
          <w:szCs w:val="22"/>
        </w:rPr>
        <w:t xml:space="preserve">therefore amend the draft instructions </w:t>
      </w:r>
      <w:r w:rsidR="0093682A">
        <w:rPr>
          <w:sz w:val="22"/>
          <w:szCs w:val="22"/>
        </w:rPr>
        <w:t xml:space="preserve">to make clear that partnership information is required only when two or more </w:t>
      </w:r>
      <w:r w:rsidR="00533EB5">
        <w:rPr>
          <w:sz w:val="22"/>
          <w:szCs w:val="22"/>
        </w:rPr>
        <w:t xml:space="preserve">entities </w:t>
      </w:r>
      <w:r w:rsidR="0093682A">
        <w:rPr>
          <w:sz w:val="22"/>
          <w:szCs w:val="22"/>
        </w:rPr>
        <w:t xml:space="preserve">potentially bill </w:t>
      </w:r>
      <w:r w:rsidR="00CC2DE2">
        <w:rPr>
          <w:sz w:val="22"/>
          <w:szCs w:val="22"/>
        </w:rPr>
        <w:t>consumers</w:t>
      </w:r>
      <w:r w:rsidR="0093682A">
        <w:rPr>
          <w:sz w:val="22"/>
          <w:szCs w:val="22"/>
        </w:rPr>
        <w:t xml:space="preserve"> </w:t>
      </w:r>
      <w:r w:rsidR="0078013F">
        <w:rPr>
          <w:sz w:val="22"/>
          <w:szCs w:val="22"/>
        </w:rPr>
        <w:t xml:space="preserve">under a single contract </w:t>
      </w:r>
      <w:r w:rsidR="0093682A">
        <w:rPr>
          <w:sz w:val="22"/>
          <w:szCs w:val="22"/>
        </w:rPr>
        <w:t xml:space="preserve">for </w:t>
      </w:r>
      <w:r w:rsidR="0078013F">
        <w:rPr>
          <w:sz w:val="22"/>
          <w:szCs w:val="22"/>
        </w:rPr>
        <w:t xml:space="preserve">the provision of ICS </w:t>
      </w:r>
      <w:r w:rsidR="00CC2DE2">
        <w:rPr>
          <w:sz w:val="22"/>
          <w:szCs w:val="22"/>
        </w:rPr>
        <w:t xml:space="preserve">to inmates at </w:t>
      </w:r>
      <w:r w:rsidR="0093682A">
        <w:rPr>
          <w:sz w:val="22"/>
          <w:szCs w:val="22"/>
        </w:rPr>
        <w:t>a correctional facility.</w:t>
      </w:r>
      <w:r w:rsidR="00151538">
        <w:rPr>
          <w:sz w:val="22"/>
          <w:szCs w:val="22"/>
        </w:rPr>
        <w:t xml:space="preserve">  </w:t>
      </w:r>
      <w:r w:rsidR="004C4593">
        <w:rPr>
          <w:sz w:val="22"/>
          <w:szCs w:val="22"/>
        </w:rPr>
        <w:t xml:space="preserve">In these circumstances, each partner’s annual report shall describe the types of ICS calls billed by each partner, the ICS-related functions provided by each partner, and any revenue sharing arrangement among the partners.  These changes </w:t>
      </w:r>
      <w:r w:rsidR="00151538">
        <w:rPr>
          <w:sz w:val="22"/>
          <w:szCs w:val="22"/>
        </w:rPr>
        <w:t xml:space="preserve">will </w:t>
      </w:r>
      <w:r w:rsidR="003B2CFC">
        <w:rPr>
          <w:sz w:val="22"/>
          <w:szCs w:val="22"/>
        </w:rPr>
        <w:t xml:space="preserve">ensure </w:t>
      </w:r>
      <w:r w:rsidR="00834D64">
        <w:rPr>
          <w:sz w:val="22"/>
          <w:szCs w:val="22"/>
        </w:rPr>
        <w:t xml:space="preserve">each partner’s annual report </w:t>
      </w:r>
      <w:r w:rsidR="00A82195">
        <w:rPr>
          <w:sz w:val="22"/>
          <w:szCs w:val="22"/>
        </w:rPr>
        <w:t xml:space="preserve">provides </w:t>
      </w:r>
      <w:r w:rsidR="00286F11">
        <w:rPr>
          <w:sz w:val="22"/>
          <w:szCs w:val="22"/>
        </w:rPr>
        <w:t>a full picture of</w:t>
      </w:r>
      <w:r w:rsidR="003B2CFC">
        <w:rPr>
          <w:sz w:val="22"/>
          <w:szCs w:val="22"/>
        </w:rPr>
        <w:t xml:space="preserve"> </w:t>
      </w:r>
      <w:r w:rsidR="00151538">
        <w:rPr>
          <w:sz w:val="22"/>
          <w:szCs w:val="22"/>
        </w:rPr>
        <w:t>the</w:t>
      </w:r>
      <w:r w:rsidR="00D65C27">
        <w:rPr>
          <w:sz w:val="22"/>
          <w:szCs w:val="22"/>
        </w:rPr>
        <w:t xml:space="preserve">ir </w:t>
      </w:r>
      <w:r w:rsidR="003B2CFC">
        <w:rPr>
          <w:sz w:val="22"/>
          <w:szCs w:val="22"/>
        </w:rPr>
        <w:t xml:space="preserve">provision of ICS at </w:t>
      </w:r>
      <w:r w:rsidR="00A82195">
        <w:rPr>
          <w:sz w:val="22"/>
          <w:szCs w:val="22"/>
        </w:rPr>
        <w:t xml:space="preserve">a </w:t>
      </w:r>
      <w:r w:rsidR="003B2CFC">
        <w:rPr>
          <w:sz w:val="22"/>
          <w:szCs w:val="22"/>
        </w:rPr>
        <w:t xml:space="preserve">correctional facility, while avoiding any intrusion into otherwise private business </w:t>
      </w:r>
      <w:r w:rsidR="003B2CFC" w:rsidRPr="006B54B4">
        <w:rPr>
          <w:sz w:val="22"/>
          <w:szCs w:val="22"/>
        </w:rPr>
        <w:t>arrangements.</w:t>
      </w:r>
    </w:p>
    <w:p w14:paraId="026E59A3" w14:textId="49D6E475" w:rsidR="00DA7D48" w:rsidRDefault="001645DE" w:rsidP="00DA7D48">
      <w:pPr>
        <w:pStyle w:val="Numberedparagraphs"/>
        <w:numPr>
          <w:ilvl w:val="0"/>
          <w:numId w:val="0"/>
        </w:numPr>
        <w:tabs>
          <w:tab w:val="clear" w:pos="1440"/>
          <w:tab w:val="left" w:pos="720"/>
        </w:tabs>
        <w:rPr>
          <w:i/>
          <w:sz w:val="22"/>
          <w:szCs w:val="22"/>
        </w:rPr>
      </w:pPr>
      <w:r w:rsidRPr="00507BF4">
        <w:rPr>
          <w:i/>
          <w:sz w:val="22"/>
          <w:szCs w:val="22"/>
        </w:rPr>
        <w:tab/>
      </w:r>
      <w:r w:rsidR="00DA7D48" w:rsidRPr="00507BF4">
        <w:rPr>
          <w:i/>
          <w:sz w:val="22"/>
          <w:szCs w:val="22"/>
        </w:rPr>
        <w:t>Video Visitation Information</w:t>
      </w:r>
    </w:p>
    <w:p w14:paraId="5E7174A4" w14:textId="41BDEBCE" w:rsidR="00DA7D48" w:rsidRPr="009D299E" w:rsidRDefault="00DA7D48" w:rsidP="00DA7D48">
      <w:pPr>
        <w:pStyle w:val="Numberedparagraphs"/>
        <w:numPr>
          <w:ilvl w:val="0"/>
          <w:numId w:val="0"/>
        </w:numPr>
        <w:tabs>
          <w:tab w:val="clear" w:pos="1440"/>
          <w:tab w:val="left" w:pos="720"/>
        </w:tabs>
        <w:rPr>
          <w:sz w:val="22"/>
          <w:szCs w:val="22"/>
        </w:rPr>
      </w:pPr>
      <w:r>
        <w:rPr>
          <w:sz w:val="22"/>
          <w:szCs w:val="22"/>
        </w:rPr>
        <w:tab/>
        <w:t>GTL supports</w:t>
      </w:r>
      <w:r w:rsidR="00E14F54">
        <w:rPr>
          <w:sz w:val="22"/>
          <w:szCs w:val="22"/>
        </w:rPr>
        <w:t xml:space="preserve"> our proposal to delete the</w:t>
      </w:r>
      <w:r>
        <w:rPr>
          <w:sz w:val="22"/>
          <w:szCs w:val="22"/>
        </w:rPr>
        <w:t xml:space="preserve"> “Video Calling Services” section from the </w:t>
      </w:r>
      <w:r w:rsidR="0047588F">
        <w:rPr>
          <w:sz w:val="22"/>
          <w:szCs w:val="22"/>
        </w:rPr>
        <w:t>annual report</w:t>
      </w:r>
      <w:r>
        <w:rPr>
          <w:sz w:val="22"/>
          <w:szCs w:val="22"/>
        </w:rPr>
        <w:t>,</w:t>
      </w:r>
      <w:r w:rsidR="009224A0">
        <w:rPr>
          <w:rStyle w:val="FootnoteReference"/>
          <w:sz w:val="22"/>
          <w:szCs w:val="22"/>
        </w:rPr>
        <w:footnoteReference w:id="32"/>
      </w:r>
      <w:r>
        <w:rPr>
          <w:sz w:val="22"/>
          <w:szCs w:val="22"/>
        </w:rPr>
        <w:t xml:space="preserve"> and we will </w:t>
      </w:r>
      <w:r w:rsidR="00C7318F">
        <w:rPr>
          <w:sz w:val="22"/>
          <w:szCs w:val="22"/>
        </w:rPr>
        <w:t xml:space="preserve">proceed </w:t>
      </w:r>
      <w:r>
        <w:rPr>
          <w:sz w:val="22"/>
          <w:szCs w:val="22"/>
        </w:rPr>
        <w:t>with that deletion.</w:t>
      </w:r>
    </w:p>
    <w:p w14:paraId="58DF9C39" w14:textId="4112C7BB" w:rsidR="00ED1458" w:rsidRPr="00507BF4" w:rsidRDefault="001645DE" w:rsidP="00937004">
      <w:pPr>
        <w:pStyle w:val="Numberedparagraphs"/>
        <w:numPr>
          <w:ilvl w:val="0"/>
          <w:numId w:val="0"/>
        </w:numPr>
        <w:tabs>
          <w:tab w:val="clear" w:pos="1440"/>
          <w:tab w:val="left" w:pos="720"/>
        </w:tabs>
        <w:rPr>
          <w:i/>
          <w:sz w:val="22"/>
          <w:szCs w:val="22"/>
        </w:rPr>
      </w:pPr>
      <w:r w:rsidRPr="00507BF4">
        <w:rPr>
          <w:sz w:val="22"/>
          <w:szCs w:val="22"/>
        </w:rPr>
        <w:tab/>
      </w:r>
      <w:bookmarkStart w:id="10" w:name="_Hlk26368662"/>
      <w:r w:rsidR="00A34695" w:rsidRPr="00507BF4">
        <w:rPr>
          <w:i/>
          <w:sz w:val="22"/>
          <w:szCs w:val="22"/>
        </w:rPr>
        <w:t xml:space="preserve">Redactions </w:t>
      </w:r>
      <w:r w:rsidR="009224A0" w:rsidRPr="00CA240C">
        <w:rPr>
          <w:i/>
          <w:sz w:val="22"/>
          <w:szCs w:val="22"/>
        </w:rPr>
        <w:t xml:space="preserve">from </w:t>
      </w:r>
      <w:r w:rsidR="00A34695" w:rsidRPr="00507BF4">
        <w:rPr>
          <w:i/>
          <w:sz w:val="22"/>
          <w:szCs w:val="22"/>
        </w:rPr>
        <w:t xml:space="preserve">the </w:t>
      </w:r>
      <w:r w:rsidR="00E14F54" w:rsidRPr="00507BF4">
        <w:rPr>
          <w:i/>
          <w:sz w:val="22"/>
          <w:szCs w:val="22"/>
        </w:rPr>
        <w:t>A</w:t>
      </w:r>
      <w:r w:rsidR="00A34695" w:rsidRPr="00507BF4">
        <w:rPr>
          <w:i/>
          <w:sz w:val="22"/>
          <w:szCs w:val="22"/>
        </w:rPr>
        <w:t xml:space="preserve">nnual </w:t>
      </w:r>
      <w:r w:rsidR="00E14F54" w:rsidRPr="00507BF4">
        <w:rPr>
          <w:i/>
          <w:sz w:val="22"/>
          <w:szCs w:val="22"/>
        </w:rPr>
        <w:t>R</w:t>
      </w:r>
      <w:r w:rsidR="00A34695" w:rsidRPr="00507BF4">
        <w:rPr>
          <w:i/>
          <w:sz w:val="22"/>
          <w:szCs w:val="22"/>
        </w:rPr>
        <w:t>eports</w:t>
      </w:r>
    </w:p>
    <w:p w14:paraId="15790981" w14:textId="06B36FBE" w:rsidR="00A34695" w:rsidRDefault="00A34695" w:rsidP="00766733">
      <w:pPr>
        <w:autoSpaceDE w:val="0"/>
        <w:autoSpaceDN w:val="0"/>
        <w:adjustRightInd w:val="0"/>
        <w:rPr>
          <w:sz w:val="22"/>
          <w:szCs w:val="22"/>
        </w:rPr>
      </w:pPr>
      <w:r>
        <w:rPr>
          <w:sz w:val="22"/>
          <w:szCs w:val="22"/>
        </w:rPr>
        <w:tab/>
        <w:t xml:space="preserve">Worth Rises </w:t>
      </w:r>
      <w:r w:rsidR="00390644">
        <w:rPr>
          <w:sz w:val="22"/>
          <w:szCs w:val="22"/>
        </w:rPr>
        <w:t xml:space="preserve">agrees that the Commission should continue to collect information from ICS providers through the annual reports and </w:t>
      </w:r>
      <w:r w:rsidR="00CA4943">
        <w:rPr>
          <w:sz w:val="22"/>
          <w:szCs w:val="22"/>
        </w:rPr>
        <w:t xml:space="preserve">argues that the Commission should ensure that </w:t>
      </w:r>
      <w:r w:rsidR="00C4637A">
        <w:rPr>
          <w:sz w:val="22"/>
          <w:szCs w:val="22"/>
        </w:rPr>
        <w:t>the</w:t>
      </w:r>
      <w:r w:rsidR="00CA4943">
        <w:rPr>
          <w:sz w:val="22"/>
          <w:szCs w:val="22"/>
        </w:rPr>
        <w:t xml:space="preserve"> information in </w:t>
      </w:r>
      <w:r w:rsidR="00390644">
        <w:rPr>
          <w:sz w:val="22"/>
          <w:szCs w:val="22"/>
        </w:rPr>
        <w:t>those</w:t>
      </w:r>
      <w:r w:rsidR="00CA4943">
        <w:rPr>
          <w:sz w:val="22"/>
          <w:szCs w:val="22"/>
        </w:rPr>
        <w:t xml:space="preserve"> reports is accessible to the public with only limited redactions.</w:t>
      </w:r>
      <w:r w:rsidR="00CA4943" w:rsidRPr="009F3BD2">
        <w:rPr>
          <w:rStyle w:val="FootnoteReference"/>
          <w:sz w:val="20"/>
        </w:rPr>
        <w:footnoteReference w:id="33"/>
      </w:r>
      <w:r w:rsidR="00CA4943">
        <w:rPr>
          <w:sz w:val="22"/>
          <w:szCs w:val="22"/>
        </w:rPr>
        <w:t xml:space="preserve">  </w:t>
      </w:r>
      <w:r w:rsidR="00D2541B">
        <w:rPr>
          <w:sz w:val="22"/>
          <w:szCs w:val="22"/>
        </w:rPr>
        <w:t>While we recognize that “[</w:t>
      </w:r>
      <w:r w:rsidR="00D2541B">
        <w:rPr>
          <w:rFonts w:ascii="TimesNewRomanPSMT" w:eastAsia="Batang" w:hAnsi="TimesNewRomanPSMT" w:cs="TimesNewRomanPSMT"/>
          <w:sz w:val="22"/>
          <w:szCs w:val="22"/>
        </w:rPr>
        <w:t>u]nwarranted redactions limit the utility of the annual reports by preventing public access to the redacted information,</w:t>
      </w:r>
      <w:r w:rsidR="00D2541B">
        <w:rPr>
          <w:rFonts w:ascii="TimesNewRomanPS-ItalicMT" w:eastAsia="Batang" w:hAnsi="TimesNewRomanPS-ItalicMT" w:cs="TimesNewRomanPS-ItalicMT"/>
          <w:iCs/>
          <w:sz w:val="22"/>
          <w:szCs w:val="22"/>
        </w:rPr>
        <w:t>”</w:t>
      </w:r>
      <w:r w:rsidR="00D2541B">
        <w:rPr>
          <w:rStyle w:val="FootnoteReference"/>
          <w:sz w:val="22"/>
          <w:szCs w:val="22"/>
        </w:rPr>
        <w:footnoteReference w:id="34"/>
      </w:r>
      <w:r w:rsidR="00486409">
        <w:rPr>
          <w:rFonts w:ascii="TimesNewRomanPS-ItalicMT" w:eastAsia="Batang" w:hAnsi="TimesNewRomanPS-ItalicMT" w:cs="TimesNewRomanPS-ItalicMT"/>
          <w:iCs/>
          <w:sz w:val="22"/>
          <w:szCs w:val="22"/>
        </w:rPr>
        <w:t xml:space="preserve"> Worth Rise’s </w:t>
      </w:r>
      <w:r w:rsidR="00390644">
        <w:rPr>
          <w:rFonts w:ascii="TimesNewRomanPS-ItalicMT" w:eastAsia="Batang" w:hAnsi="TimesNewRomanPS-ItalicMT" w:cs="TimesNewRomanPS-ItalicMT"/>
          <w:iCs/>
          <w:sz w:val="22"/>
          <w:szCs w:val="22"/>
        </w:rPr>
        <w:t xml:space="preserve">concern about unwarranted redactions is best addressed </w:t>
      </w:r>
      <w:r w:rsidR="00390644">
        <w:rPr>
          <w:sz w:val="22"/>
          <w:szCs w:val="22"/>
        </w:rPr>
        <w:t>on a case-by-case basis</w:t>
      </w:r>
      <w:r w:rsidR="00CA4943">
        <w:rPr>
          <w:sz w:val="22"/>
          <w:szCs w:val="22"/>
        </w:rPr>
        <w:t>.</w:t>
      </w:r>
      <w:r w:rsidR="00E14F54">
        <w:rPr>
          <w:sz w:val="22"/>
          <w:szCs w:val="22"/>
        </w:rPr>
        <w:t xml:space="preserve">  We therefore do not address it here.</w:t>
      </w:r>
    </w:p>
    <w:bookmarkEnd w:id="10"/>
    <w:p w14:paraId="093262FA" w14:textId="77777777" w:rsidR="00390644" w:rsidRDefault="00390644" w:rsidP="00766733">
      <w:pPr>
        <w:autoSpaceDE w:val="0"/>
        <w:autoSpaceDN w:val="0"/>
        <w:adjustRightInd w:val="0"/>
        <w:rPr>
          <w:sz w:val="22"/>
          <w:szCs w:val="22"/>
        </w:rPr>
      </w:pPr>
    </w:p>
    <w:p w14:paraId="29B30513" w14:textId="77777777"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9.  The Commission does not anticipate providing any payment or gift to respondents.</w:t>
      </w:r>
    </w:p>
    <w:p w14:paraId="53D67B46" w14:textId="719E0E18"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 xml:space="preserve">10.  The </w:t>
      </w:r>
      <w:r w:rsidR="00CF71C4" w:rsidRPr="004460F4">
        <w:rPr>
          <w:i/>
          <w:sz w:val="22"/>
          <w:szCs w:val="22"/>
        </w:rPr>
        <w:t>Pr</w:t>
      </w:r>
      <w:r w:rsidR="00884782" w:rsidRPr="004460F4">
        <w:rPr>
          <w:i/>
          <w:sz w:val="22"/>
          <w:szCs w:val="22"/>
        </w:rPr>
        <w:t xml:space="preserve">otective </w:t>
      </w:r>
      <w:r w:rsidR="00CF71C4" w:rsidRPr="004460F4">
        <w:rPr>
          <w:i/>
          <w:sz w:val="22"/>
          <w:szCs w:val="22"/>
        </w:rPr>
        <w:t>O</w:t>
      </w:r>
      <w:r w:rsidR="00884782" w:rsidRPr="004460F4">
        <w:rPr>
          <w:i/>
          <w:sz w:val="22"/>
          <w:szCs w:val="22"/>
        </w:rPr>
        <w:t>rder</w:t>
      </w:r>
      <w:r w:rsidR="00884782" w:rsidRPr="00AB1E80">
        <w:rPr>
          <w:sz w:val="22"/>
          <w:szCs w:val="22"/>
        </w:rPr>
        <w:t xml:space="preserve"> in this proceeding</w:t>
      </w:r>
      <w:r w:rsidRPr="00AB1E80">
        <w:rPr>
          <w:sz w:val="22"/>
          <w:szCs w:val="22"/>
        </w:rPr>
        <w:t xml:space="preserve"> </w:t>
      </w:r>
      <w:r w:rsidR="00884782" w:rsidRPr="00AB1E80">
        <w:rPr>
          <w:sz w:val="22"/>
          <w:szCs w:val="22"/>
        </w:rPr>
        <w:t>provides</w:t>
      </w:r>
      <w:r w:rsidRPr="004460F4">
        <w:rPr>
          <w:sz w:val="22"/>
          <w:szCs w:val="22"/>
        </w:rPr>
        <w:t xml:space="preserve"> confidential treatment for the proprietary information submitted by ICS providers in response to the </w:t>
      </w:r>
      <w:r w:rsidR="000C5AE1" w:rsidRPr="004460F4">
        <w:rPr>
          <w:sz w:val="22"/>
          <w:szCs w:val="22"/>
        </w:rPr>
        <w:t>annual reporting and certification</w:t>
      </w:r>
      <w:r w:rsidR="00884782" w:rsidRPr="004460F4">
        <w:rPr>
          <w:sz w:val="22"/>
          <w:szCs w:val="22"/>
        </w:rPr>
        <w:t xml:space="preserve"> requirements</w:t>
      </w:r>
      <w:r w:rsidRPr="004460F4">
        <w:rPr>
          <w:sz w:val="22"/>
          <w:szCs w:val="22"/>
        </w:rPr>
        <w:t>.</w:t>
      </w:r>
      <w:r w:rsidR="00E903F0">
        <w:rPr>
          <w:rStyle w:val="FootnoteReference"/>
          <w:sz w:val="22"/>
          <w:szCs w:val="22"/>
        </w:rPr>
        <w:footnoteReference w:id="35"/>
      </w:r>
      <w:r w:rsidRPr="00AB1E80">
        <w:rPr>
          <w:sz w:val="22"/>
          <w:szCs w:val="22"/>
        </w:rPr>
        <w:t xml:space="preserve">  </w:t>
      </w:r>
      <w:r w:rsidR="00884782" w:rsidRPr="00AB1E80">
        <w:rPr>
          <w:sz w:val="22"/>
          <w:szCs w:val="22"/>
        </w:rPr>
        <w:t xml:space="preserve">The Commission will </w:t>
      </w:r>
      <w:r w:rsidR="00CF71C4">
        <w:rPr>
          <w:sz w:val="22"/>
          <w:szCs w:val="22"/>
        </w:rPr>
        <w:t xml:space="preserve">treat as presumptively </w:t>
      </w:r>
      <w:r w:rsidR="00884782" w:rsidRPr="004460F4">
        <w:rPr>
          <w:sz w:val="22"/>
          <w:szCs w:val="22"/>
        </w:rPr>
        <w:t>confidential any particular information identified as confidential by the provider</w:t>
      </w:r>
      <w:r w:rsidR="00CF71C4">
        <w:rPr>
          <w:sz w:val="22"/>
          <w:szCs w:val="22"/>
        </w:rPr>
        <w:t xml:space="preserve"> in accordance with </w:t>
      </w:r>
      <w:r w:rsidR="00AC7A68" w:rsidRPr="00AB1E80">
        <w:rPr>
          <w:sz w:val="22"/>
          <w:szCs w:val="22"/>
        </w:rPr>
        <w:t>the Freedom of Information Act and Commission rules.</w:t>
      </w:r>
      <w:r w:rsidR="00AC7A68" w:rsidRPr="004460F4">
        <w:rPr>
          <w:sz w:val="22"/>
          <w:szCs w:val="22"/>
        </w:rPr>
        <w:t xml:space="preserve"> </w:t>
      </w:r>
      <w:r w:rsidR="00884782" w:rsidRPr="004460F4">
        <w:rPr>
          <w:sz w:val="22"/>
          <w:szCs w:val="22"/>
        </w:rPr>
        <w:t xml:space="preserve"> Each confidential document should be stamped and submitted to the Secretary’s Office with an accompanying cover letter, as specified by </w:t>
      </w:r>
      <w:r w:rsidR="00884782" w:rsidRPr="004460F4">
        <w:rPr>
          <w:i/>
          <w:sz w:val="22"/>
          <w:szCs w:val="22"/>
        </w:rPr>
        <w:t>Protective Order</w:t>
      </w:r>
      <w:r w:rsidR="00884782" w:rsidRPr="004460F4">
        <w:rPr>
          <w:sz w:val="22"/>
          <w:szCs w:val="22"/>
        </w:rPr>
        <w:t xml:space="preserve">.  </w:t>
      </w:r>
      <w:r w:rsidRPr="004460F4">
        <w:rPr>
          <w:sz w:val="22"/>
          <w:szCs w:val="22"/>
        </w:rPr>
        <w:t xml:space="preserve">This is standard practice when the Commission seeks competitively sensitive information for ratemaking or other purposes.  </w:t>
      </w:r>
    </w:p>
    <w:p w14:paraId="6644104F" w14:textId="77777777" w:rsidR="00A92A86"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11.  The information collection does not address any matters of a sensitive nature.</w:t>
      </w:r>
      <w:r w:rsidRPr="004460F4">
        <w:rPr>
          <w:sz w:val="22"/>
          <w:szCs w:val="22"/>
        </w:rPr>
        <w:tab/>
      </w:r>
    </w:p>
    <w:p w14:paraId="5C328568" w14:textId="77777777" w:rsidR="007E0735" w:rsidRPr="004460F4" w:rsidRDefault="001946D2" w:rsidP="007E0735">
      <w:pPr>
        <w:pStyle w:val="Numberedparagraphs"/>
        <w:numPr>
          <w:ilvl w:val="0"/>
          <w:numId w:val="0"/>
        </w:numPr>
        <w:tabs>
          <w:tab w:val="clear" w:pos="1440"/>
          <w:tab w:val="left" w:pos="720"/>
        </w:tabs>
        <w:rPr>
          <w:sz w:val="22"/>
          <w:szCs w:val="22"/>
        </w:rPr>
      </w:pPr>
      <w:r w:rsidRPr="004460F4">
        <w:rPr>
          <w:sz w:val="22"/>
          <w:szCs w:val="22"/>
        </w:rPr>
        <w:tab/>
      </w:r>
      <w:r w:rsidR="007E0735" w:rsidRPr="004460F4">
        <w:rPr>
          <w:sz w:val="22"/>
          <w:szCs w:val="22"/>
        </w:rPr>
        <w:t xml:space="preserve">12.  The following represents the hour burden on the collections of information discussed herein.  </w:t>
      </w:r>
    </w:p>
    <w:p w14:paraId="1934D767" w14:textId="77777777" w:rsidR="007E0735" w:rsidRPr="004460F4" w:rsidRDefault="007E0735" w:rsidP="007E0735">
      <w:pPr>
        <w:pStyle w:val="Numberedparagraphs"/>
        <w:numPr>
          <w:ilvl w:val="0"/>
          <w:numId w:val="0"/>
        </w:numPr>
        <w:tabs>
          <w:tab w:val="clear" w:pos="1440"/>
          <w:tab w:val="left" w:pos="720"/>
        </w:tabs>
        <w:rPr>
          <w:b/>
          <w:sz w:val="22"/>
          <w:szCs w:val="22"/>
        </w:rPr>
      </w:pPr>
      <w:r w:rsidRPr="004460F4">
        <w:rPr>
          <w:b/>
          <w:sz w:val="22"/>
          <w:szCs w:val="22"/>
        </w:rPr>
        <w:t xml:space="preserve">a.  </w:t>
      </w:r>
      <w:r w:rsidR="00AF2FAB" w:rsidRPr="004460F4">
        <w:rPr>
          <w:b/>
          <w:sz w:val="22"/>
          <w:szCs w:val="22"/>
          <w:u w:val="single"/>
        </w:rPr>
        <w:t>Reporting</w:t>
      </w:r>
      <w:r w:rsidRPr="004460F4">
        <w:rPr>
          <w:b/>
          <w:sz w:val="22"/>
          <w:szCs w:val="22"/>
          <w:u w:val="single"/>
        </w:rPr>
        <w:t xml:space="preserve"> Requirement</w:t>
      </w:r>
      <w:r w:rsidR="00C65260" w:rsidRPr="004460F4">
        <w:rPr>
          <w:b/>
          <w:sz w:val="22"/>
          <w:szCs w:val="22"/>
          <w:u w:val="single"/>
        </w:rPr>
        <w:t>:</w:t>
      </w:r>
    </w:p>
    <w:p w14:paraId="1B383E1F" w14:textId="77777777" w:rsidR="007E0735" w:rsidRPr="004460F4" w:rsidRDefault="007E0735" w:rsidP="007E0735">
      <w:pPr>
        <w:keepLines/>
        <w:tabs>
          <w:tab w:val="left" w:pos="-720"/>
        </w:tabs>
        <w:suppressAutoHyphens/>
        <w:rPr>
          <w:spacing w:val="-3"/>
          <w:sz w:val="22"/>
          <w:szCs w:val="22"/>
        </w:rPr>
      </w:pPr>
      <w:r w:rsidRPr="004460F4">
        <w:rPr>
          <w:spacing w:val="-3"/>
          <w:sz w:val="22"/>
          <w:szCs w:val="22"/>
        </w:rPr>
        <w:tab/>
        <w:t xml:space="preserve">(1)  </w:t>
      </w:r>
      <w:r w:rsidRPr="004460F4">
        <w:rPr>
          <w:spacing w:val="-3"/>
          <w:sz w:val="22"/>
          <w:szCs w:val="22"/>
          <w:u w:val="single"/>
        </w:rPr>
        <w:t>Number of respondents</w:t>
      </w:r>
      <w:r w:rsidRPr="004460F4">
        <w:rPr>
          <w:spacing w:val="-3"/>
          <w:sz w:val="22"/>
          <w:szCs w:val="22"/>
        </w:rPr>
        <w:t xml:space="preserve">:  Approximately </w:t>
      </w:r>
      <w:r w:rsidR="00763612" w:rsidRPr="004460F4">
        <w:rPr>
          <w:spacing w:val="-3"/>
          <w:sz w:val="22"/>
          <w:szCs w:val="22"/>
        </w:rPr>
        <w:t>20</w:t>
      </w:r>
      <w:r w:rsidRPr="004460F4">
        <w:rPr>
          <w:spacing w:val="-3"/>
          <w:sz w:val="22"/>
          <w:szCs w:val="22"/>
        </w:rPr>
        <w:t>.</w:t>
      </w:r>
    </w:p>
    <w:p w14:paraId="57B3EB79" w14:textId="77777777" w:rsidR="007E0735" w:rsidRPr="004460F4" w:rsidRDefault="007E0735" w:rsidP="007E0735">
      <w:pPr>
        <w:keepLines/>
        <w:tabs>
          <w:tab w:val="left" w:pos="-720"/>
        </w:tabs>
        <w:suppressAutoHyphens/>
        <w:rPr>
          <w:spacing w:val="-3"/>
          <w:sz w:val="22"/>
          <w:szCs w:val="22"/>
        </w:rPr>
      </w:pPr>
    </w:p>
    <w:p w14:paraId="2C5D7459" w14:textId="77777777" w:rsidR="007E0735" w:rsidRPr="004460F4" w:rsidRDefault="007E0735" w:rsidP="007E0735">
      <w:pPr>
        <w:keepLines/>
        <w:tabs>
          <w:tab w:val="left" w:pos="-720"/>
        </w:tabs>
        <w:suppressAutoHyphens/>
        <w:rPr>
          <w:spacing w:val="-3"/>
          <w:sz w:val="22"/>
          <w:szCs w:val="22"/>
        </w:rPr>
      </w:pPr>
      <w:r w:rsidRPr="004460F4">
        <w:rPr>
          <w:spacing w:val="-3"/>
          <w:sz w:val="22"/>
          <w:szCs w:val="22"/>
        </w:rPr>
        <w:tab/>
        <w:t xml:space="preserve">(2)  </w:t>
      </w:r>
      <w:r w:rsidRPr="004460F4">
        <w:rPr>
          <w:spacing w:val="-3"/>
          <w:sz w:val="22"/>
          <w:szCs w:val="22"/>
          <w:u w:val="single"/>
        </w:rPr>
        <w:t>Frequency of response</w:t>
      </w:r>
      <w:r w:rsidRPr="004460F4">
        <w:rPr>
          <w:spacing w:val="-3"/>
          <w:sz w:val="22"/>
          <w:szCs w:val="22"/>
        </w:rPr>
        <w:t xml:space="preserve">:  Annual.  </w:t>
      </w:r>
    </w:p>
    <w:p w14:paraId="184549AF" w14:textId="77777777" w:rsidR="007E0735" w:rsidRPr="004460F4" w:rsidRDefault="007E0735" w:rsidP="007E0735">
      <w:pPr>
        <w:tabs>
          <w:tab w:val="left" w:pos="-720"/>
        </w:tabs>
        <w:suppressAutoHyphens/>
        <w:rPr>
          <w:spacing w:val="-3"/>
          <w:sz w:val="22"/>
          <w:szCs w:val="22"/>
        </w:rPr>
      </w:pPr>
    </w:p>
    <w:p w14:paraId="35287FC3"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(3)  </w:t>
      </w:r>
      <w:r w:rsidRPr="004460F4">
        <w:rPr>
          <w:spacing w:val="-3"/>
          <w:sz w:val="22"/>
          <w:szCs w:val="22"/>
          <w:u w:val="single"/>
        </w:rPr>
        <w:t>Total number of responses annually</w:t>
      </w:r>
      <w:r w:rsidR="00AF2FAB" w:rsidRPr="004460F4">
        <w:rPr>
          <w:spacing w:val="-3"/>
          <w:sz w:val="22"/>
          <w:szCs w:val="22"/>
        </w:rPr>
        <w:t xml:space="preserve">:  Approximately </w:t>
      </w:r>
      <w:r w:rsidR="00763612" w:rsidRPr="004460F4">
        <w:rPr>
          <w:spacing w:val="-3"/>
          <w:sz w:val="22"/>
          <w:szCs w:val="22"/>
        </w:rPr>
        <w:t>20</w:t>
      </w:r>
      <w:r w:rsidRPr="004460F4">
        <w:rPr>
          <w:spacing w:val="-3"/>
          <w:sz w:val="22"/>
          <w:szCs w:val="22"/>
        </w:rPr>
        <w:t>.</w:t>
      </w:r>
    </w:p>
    <w:p w14:paraId="6DBA36BA" w14:textId="77777777" w:rsidR="007E0735" w:rsidRPr="004460F4" w:rsidRDefault="007E0735" w:rsidP="007E0735">
      <w:pPr>
        <w:tabs>
          <w:tab w:val="left" w:pos="-720"/>
        </w:tabs>
        <w:suppressAutoHyphens/>
        <w:rPr>
          <w:spacing w:val="-3"/>
          <w:sz w:val="22"/>
          <w:szCs w:val="22"/>
        </w:rPr>
      </w:pPr>
    </w:p>
    <w:p w14:paraId="1BD26413"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(4)  </w:t>
      </w:r>
      <w:r w:rsidRPr="004460F4">
        <w:rPr>
          <w:spacing w:val="-3"/>
          <w:sz w:val="22"/>
          <w:szCs w:val="22"/>
          <w:u w:val="single"/>
        </w:rPr>
        <w:t xml:space="preserve">Estimated Time </w:t>
      </w:r>
      <w:r w:rsidR="00073508" w:rsidRPr="004460F4">
        <w:rPr>
          <w:spacing w:val="-3"/>
          <w:sz w:val="22"/>
          <w:szCs w:val="22"/>
          <w:u w:val="single"/>
        </w:rPr>
        <w:t>per</w:t>
      </w:r>
      <w:r w:rsidRPr="004460F4">
        <w:rPr>
          <w:spacing w:val="-3"/>
          <w:sz w:val="22"/>
          <w:szCs w:val="22"/>
          <w:u w:val="single"/>
        </w:rPr>
        <w:t xml:space="preserve"> Response</w:t>
      </w:r>
      <w:r w:rsidRPr="004460F4">
        <w:rPr>
          <w:spacing w:val="-3"/>
          <w:sz w:val="22"/>
          <w:szCs w:val="22"/>
        </w:rPr>
        <w:t xml:space="preserve">:  </w:t>
      </w:r>
      <w:r w:rsidR="00884966">
        <w:rPr>
          <w:spacing w:val="-3"/>
          <w:sz w:val="22"/>
          <w:szCs w:val="22"/>
        </w:rPr>
        <w:t>8</w:t>
      </w:r>
      <w:r w:rsidR="00A92A86" w:rsidRPr="004460F4">
        <w:rPr>
          <w:spacing w:val="-3"/>
          <w:sz w:val="22"/>
          <w:szCs w:val="22"/>
        </w:rPr>
        <w:t>0</w:t>
      </w:r>
      <w:r w:rsidRPr="004460F4">
        <w:rPr>
          <w:spacing w:val="-3"/>
          <w:sz w:val="22"/>
          <w:szCs w:val="22"/>
        </w:rPr>
        <w:t xml:space="preserve"> hours.</w:t>
      </w:r>
    </w:p>
    <w:p w14:paraId="7155F2F5" w14:textId="77777777" w:rsidR="007E0735" w:rsidRPr="004460F4" w:rsidRDefault="007E0735" w:rsidP="007E0735">
      <w:pPr>
        <w:tabs>
          <w:tab w:val="left" w:pos="-720"/>
        </w:tabs>
        <w:suppressAutoHyphens/>
        <w:rPr>
          <w:spacing w:val="-3"/>
          <w:sz w:val="22"/>
          <w:szCs w:val="22"/>
        </w:rPr>
      </w:pPr>
    </w:p>
    <w:p w14:paraId="09569AD7" w14:textId="77777777" w:rsidR="007E0735" w:rsidRPr="004460F4" w:rsidRDefault="007E0735" w:rsidP="007E0735">
      <w:pPr>
        <w:tabs>
          <w:tab w:val="left" w:pos="-720"/>
        </w:tabs>
        <w:suppressAutoHyphens/>
        <w:rPr>
          <w:spacing w:val="-3"/>
          <w:sz w:val="22"/>
          <w:szCs w:val="22"/>
        </w:rPr>
      </w:pPr>
      <w:r w:rsidRPr="004460F4">
        <w:rPr>
          <w:spacing w:val="-3"/>
          <w:sz w:val="22"/>
          <w:szCs w:val="22"/>
        </w:rPr>
        <w:tab/>
      </w:r>
      <w:r w:rsidRPr="004460F4">
        <w:rPr>
          <w:spacing w:val="-3"/>
          <w:sz w:val="22"/>
          <w:szCs w:val="22"/>
        </w:rPr>
        <w:tab/>
      </w:r>
      <w:r w:rsidR="00763612" w:rsidRPr="004460F4">
        <w:rPr>
          <w:spacing w:val="-3"/>
          <w:sz w:val="22"/>
          <w:szCs w:val="22"/>
        </w:rPr>
        <w:t>20</w:t>
      </w:r>
      <w:r w:rsidRPr="004460F4">
        <w:rPr>
          <w:spacing w:val="-3"/>
          <w:sz w:val="22"/>
          <w:szCs w:val="22"/>
        </w:rPr>
        <w:t xml:space="preserve"> respondents x </w:t>
      </w:r>
      <w:r w:rsidR="00884966">
        <w:rPr>
          <w:spacing w:val="-3"/>
          <w:sz w:val="22"/>
          <w:szCs w:val="22"/>
        </w:rPr>
        <w:t>8</w:t>
      </w:r>
      <w:r w:rsidR="00A92A86" w:rsidRPr="004460F4">
        <w:rPr>
          <w:spacing w:val="-3"/>
          <w:sz w:val="22"/>
          <w:szCs w:val="22"/>
        </w:rPr>
        <w:t>0</w:t>
      </w:r>
      <w:r w:rsidRPr="004460F4">
        <w:rPr>
          <w:spacing w:val="-3"/>
          <w:sz w:val="22"/>
          <w:szCs w:val="22"/>
        </w:rPr>
        <w:t xml:space="preserve"> hours per response</w:t>
      </w:r>
      <w:r w:rsidR="00AF2FAB" w:rsidRPr="004460F4">
        <w:rPr>
          <w:spacing w:val="-3"/>
          <w:sz w:val="22"/>
          <w:szCs w:val="22"/>
        </w:rPr>
        <w:t xml:space="preserve"> x </w:t>
      </w:r>
      <w:r w:rsidR="002A5CC3" w:rsidRPr="004460F4">
        <w:rPr>
          <w:spacing w:val="-3"/>
          <w:sz w:val="22"/>
          <w:szCs w:val="22"/>
        </w:rPr>
        <w:t>1</w:t>
      </w:r>
      <w:r w:rsidR="00A92A86" w:rsidRPr="004460F4">
        <w:rPr>
          <w:spacing w:val="-3"/>
          <w:sz w:val="22"/>
          <w:szCs w:val="22"/>
        </w:rPr>
        <w:t xml:space="preserve"> response per respondent =</w:t>
      </w:r>
      <w:r w:rsidR="00884966">
        <w:rPr>
          <w:spacing w:val="-3"/>
          <w:sz w:val="22"/>
          <w:szCs w:val="22"/>
        </w:rPr>
        <w:t xml:space="preserve"> </w:t>
      </w:r>
      <w:r w:rsidR="004974E5">
        <w:rPr>
          <w:spacing w:val="-3"/>
          <w:sz w:val="22"/>
          <w:szCs w:val="22"/>
        </w:rPr>
        <w:t>1,600</w:t>
      </w:r>
      <w:r w:rsidR="00884966">
        <w:rPr>
          <w:spacing w:val="-3"/>
          <w:sz w:val="22"/>
          <w:szCs w:val="22"/>
        </w:rPr>
        <w:t xml:space="preserve"> </w:t>
      </w:r>
      <w:r w:rsidRPr="004460F4">
        <w:rPr>
          <w:spacing w:val="-3"/>
          <w:sz w:val="22"/>
          <w:szCs w:val="22"/>
        </w:rPr>
        <w:t>hours.</w:t>
      </w:r>
    </w:p>
    <w:p w14:paraId="5A7EEB11" w14:textId="77777777" w:rsidR="007E0735" w:rsidRPr="004460F4" w:rsidRDefault="007E0735" w:rsidP="007E0735">
      <w:pPr>
        <w:tabs>
          <w:tab w:val="left" w:pos="-720"/>
        </w:tabs>
        <w:suppressAutoHyphens/>
        <w:rPr>
          <w:spacing w:val="-3"/>
          <w:sz w:val="22"/>
          <w:szCs w:val="22"/>
        </w:rPr>
      </w:pPr>
    </w:p>
    <w:p w14:paraId="520CD785"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(5)  </w:t>
      </w:r>
      <w:r w:rsidRPr="004460F4">
        <w:rPr>
          <w:spacing w:val="-3"/>
          <w:sz w:val="22"/>
          <w:szCs w:val="22"/>
          <w:u w:val="single"/>
        </w:rPr>
        <w:t>Total annual burden</w:t>
      </w:r>
      <w:r w:rsidRPr="004460F4">
        <w:rPr>
          <w:spacing w:val="-3"/>
          <w:sz w:val="22"/>
          <w:szCs w:val="22"/>
        </w:rPr>
        <w:t xml:space="preserve">:  </w:t>
      </w:r>
      <w:r w:rsidR="00763612" w:rsidRPr="004460F4">
        <w:rPr>
          <w:b/>
          <w:spacing w:val="-3"/>
          <w:sz w:val="22"/>
          <w:szCs w:val="22"/>
        </w:rPr>
        <w:t>1</w:t>
      </w:r>
      <w:r w:rsidR="004974E5">
        <w:rPr>
          <w:b/>
          <w:spacing w:val="-3"/>
          <w:sz w:val="22"/>
          <w:szCs w:val="22"/>
        </w:rPr>
        <w:t>,6</w:t>
      </w:r>
      <w:r w:rsidR="00A92A86" w:rsidRPr="004460F4">
        <w:rPr>
          <w:b/>
          <w:spacing w:val="-3"/>
          <w:sz w:val="22"/>
          <w:szCs w:val="22"/>
        </w:rPr>
        <w:t xml:space="preserve">00 </w:t>
      </w:r>
      <w:r w:rsidRPr="004460F4">
        <w:rPr>
          <w:b/>
          <w:spacing w:val="-3"/>
          <w:sz w:val="22"/>
          <w:szCs w:val="22"/>
        </w:rPr>
        <w:t>hours</w:t>
      </w:r>
      <w:r w:rsidRPr="004460F4">
        <w:rPr>
          <w:spacing w:val="-3"/>
          <w:sz w:val="22"/>
          <w:szCs w:val="22"/>
        </w:rPr>
        <w:t>.</w:t>
      </w:r>
    </w:p>
    <w:p w14:paraId="51B4FC2E" w14:textId="77777777" w:rsidR="007E0735" w:rsidRPr="004460F4" w:rsidRDefault="007E0735" w:rsidP="007E0735">
      <w:pPr>
        <w:tabs>
          <w:tab w:val="left" w:pos="-720"/>
        </w:tabs>
        <w:suppressAutoHyphens/>
        <w:rPr>
          <w:spacing w:val="-3"/>
          <w:sz w:val="22"/>
          <w:szCs w:val="22"/>
        </w:rPr>
      </w:pPr>
    </w:p>
    <w:p w14:paraId="273B5C03" w14:textId="77777777" w:rsidR="007E0735" w:rsidRPr="004460F4" w:rsidRDefault="007E0735" w:rsidP="007E0735">
      <w:pPr>
        <w:tabs>
          <w:tab w:val="left" w:pos="-720"/>
        </w:tabs>
        <w:suppressAutoHyphens/>
        <w:ind w:left="1440"/>
        <w:rPr>
          <w:spacing w:val="-3"/>
          <w:sz w:val="22"/>
          <w:szCs w:val="22"/>
        </w:rPr>
      </w:pPr>
      <w:r w:rsidRPr="004460F4">
        <w:rPr>
          <w:spacing w:val="-3"/>
          <w:sz w:val="22"/>
          <w:szCs w:val="22"/>
        </w:rPr>
        <w:t xml:space="preserve">The Commission estimates that approximately </w:t>
      </w:r>
      <w:r w:rsidR="00763612" w:rsidRPr="004460F4">
        <w:rPr>
          <w:spacing w:val="-3"/>
          <w:sz w:val="22"/>
          <w:szCs w:val="22"/>
        </w:rPr>
        <w:t xml:space="preserve">20 </w:t>
      </w:r>
      <w:r w:rsidRPr="004460F4">
        <w:rPr>
          <w:spacing w:val="-3"/>
          <w:sz w:val="22"/>
          <w:szCs w:val="22"/>
        </w:rPr>
        <w:t xml:space="preserve">ICS providers will require </w:t>
      </w:r>
      <w:r w:rsidR="00CD3BD3">
        <w:rPr>
          <w:spacing w:val="-3"/>
          <w:sz w:val="22"/>
          <w:szCs w:val="22"/>
        </w:rPr>
        <w:t>8</w:t>
      </w:r>
      <w:r w:rsidR="00D17D63" w:rsidRPr="004460F4">
        <w:rPr>
          <w:spacing w:val="-3"/>
          <w:sz w:val="22"/>
          <w:szCs w:val="22"/>
        </w:rPr>
        <w:t>0</w:t>
      </w:r>
      <w:r w:rsidRPr="004460F4">
        <w:rPr>
          <w:spacing w:val="-3"/>
          <w:sz w:val="22"/>
          <w:szCs w:val="22"/>
        </w:rPr>
        <w:t xml:space="preserve"> hours of reporting time.  </w:t>
      </w:r>
    </w:p>
    <w:p w14:paraId="2B4596C3" w14:textId="77777777" w:rsidR="007E0735" w:rsidRPr="004460F4" w:rsidRDefault="007E0735" w:rsidP="007E0735">
      <w:pPr>
        <w:tabs>
          <w:tab w:val="left" w:pos="-720"/>
        </w:tabs>
        <w:suppressAutoHyphens/>
        <w:ind w:left="1440"/>
        <w:rPr>
          <w:spacing w:val="-3"/>
          <w:sz w:val="22"/>
          <w:szCs w:val="22"/>
        </w:rPr>
      </w:pPr>
    </w:p>
    <w:p w14:paraId="27B58F1B" w14:textId="77777777" w:rsidR="007E0735" w:rsidRPr="004460F4" w:rsidRDefault="007E0735" w:rsidP="007E0735">
      <w:pPr>
        <w:tabs>
          <w:tab w:val="left" w:pos="-720"/>
        </w:tabs>
        <w:suppressAutoHyphens/>
        <w:ind w:left="1440"/>
        <w:rPr>
          <w:spacing w:val="-3"/>
          <w:sz w:val="22"/>
          <w:szCs w:val="22"/>
        </w:rPr>
      </w:pPr>
      <w:r w:rsidRPr="004460F4">
        <w:rPr>
          <w:spacing w:val="-3"/>
          <w:sz w:val="22"/>
          <w:szCs w:val="22"/>
        </w:rPr>
        <w:t xml:space="preserve">Approximately </w:t>
      </w:r>
      <w:r w:rsidR="00763612" w:rsidRPr="004460F4">
        <w:rPr>
          <w:spacing w:val="-3"/>
          <w:sz w:val="22"/>
          <w:szCs w:val="22"/>
        </w:rPr>
        <w:t xml:space="preserve">20 </w:t>
      </w:r>
      <w:r w:rsidRPr="004460F4">
        <w:rPr>
          <w:spacing w:val="-3"/>
          <w:sz w:val="22"/>
          <w:szCs w:val="22"/>
        </w:rPr>
        <w:t xml:space="preserve">respondents x 1 response x </w:t>
      </w:r>
      <w:r w:rsidR="0043766E">
        <w:rPr>
          <w:spacing w:val="-3"/>
          <w:sz w:val="22"/>
          <w:szCs w:val="22"/>
        </w:rPr>
        <w:t>8</w:t>
      </w:r>
      <w:r w:rsidR="00D17D63" w:rsidRPr="004460F4">
        <w:rPr>
          <w:spacing w:val="-3"/>
          <w:sz w:val="22"/>
          <w:szCs w:val="22"/>
        </w:rPr>
        <w:t>0</w:t>
      </w:r>
      <w:r w:rsidRPr="004460F4">
        <w:rPr>
          <w:spacing w:val="-3"/>
          <w:sz w:val="22"/>
          <w:szCs w:val="22"/>
        </w:rPr>
        <w:t xml:space="preserve"> hours per response = </w:t>
      </w:r>
      <w:r w:rsidR="0043766E">
        <w:rPr>
          <w:spacing w:val="-3"/>
          <w:sz w:val="22"/>
          <w:szCs w:val="22"/>
        </w:rPr>
        <w:t>1,600</w:t>
      </w:r>
      <w:r w:rsidR="00763612" w:rsidRPr="004460F4">
        <w:rPr>
          <w:spacing w:val="-3"/>
          <w:sz w:val="22"/>
          <w:szCs w:val="22"/>
        </w:rPr>
        <w:t xml:space="preserve"> </w:t>
      </w:r>
      <w:r w:rsidRPr="004460F4">
        <w:rPr>
          <w:spacing w:val="-3"/>
          <w:sz w:val="22"/>
          <w:szCs w:val="22"/>
        </w:rPr>
        <w:t>hours.</w:t>
      </w:r>
    </w:p>
    <w:p w14:paraId="7B3FD798" w14:textId="77777777" w:rsidR="007E0735" w:rsidRPr="004460F4" w:rsidRDefault="007E0735" w:rsidP="007E0735">
      <w:pPr>
        <w:tabs>
          <w:tab w:val="left" w:pos="-720"/>
        </w:tabs>
        <w:suppressAutoHyphens/>
        <w:rPr>
          <w:spacing w:val="-3"/>
          <w:sz w:val="22"/>
          <w:szCs w:val="22"/>
        </w:rPr>
      </w:pPr>
    </w:p>
    <w:p w14:paraId="5B3EEBC9"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(6)  </w:t>
      </w:r>
      <w:r w:rsidRPr="004460F4">
        <w:rPr>
          <w:spacing w:val="-3"/>
          <w:sz w:val="22"/>
          <w:szCs w:val="22"/>
          <w:u w:val="single"/>
        </w:rPr>
        <w:t>Total estimate of “in</w:t>
      </w:r>
      <w:r w:rsidR="00D17D63" w:rsidRPr="004460F4">
        <w:rPr>
          <w:spacing w:val="-3"/>
          <w:sz w:val="22"/>
          <w:szCs w:val="22"/>
          <w:u w:val="single"/>
        </w:rPr>
        <w:t>-</w:t>
      </w:r>
      <w:r w:rsidRPr="004460F4">
        <w:rPr>
          <w:spacing w:val="-3"/>
          <w:sz w:val="22"/>
          <w:szCs w:val="22"/>
          <w:u w:val="single"/>
        </w:rPr>
        <w:t>house” cost to respondents:</w:t>
      </w:r>
      <w:r w:rsidRPr="004460F4">
        <w:rPr>
          <w:spacing w:val="-3"/>
          <w:sz w:val="22"/>
          <w:szCs w:val="22"/>
        </w:rPr>
        <w:t xml:space="preserve">  </w:t>
      </w:r>
      <w:r w:rsidRPr="004460F4">
        <w:rPr>
          <w:b/>
          <w:sz w:val="22"/>
          <w:szCs w:val="22"/>
        </w:rPr>
        <w:t>$</w:t>
      </w:r>
      <w:r w:rsidR="0043766E">
        <w:rPr>
          <w:b/>
          <w:sz w:val="22"/>
          <w:szCs w:val="22"/>
        </w:rPr>
        <w:t>72,000</w:t>
      </w:r>
      <w:r w:rsidR="00A92A86" w:rsidRPr="004460F4">
        <w:rPr>
          <w:sz w:val="22"/>
          <w:szCs w:val="22"/>
        </w:rPr>
        <w:t>.</w:t>
      </w:r>
    </w:p>
    <w:p w14:paraId="17E86ABE" w14:textId="77777777" w:rsidR="007E0735" w:rsidRPr="004460F4" w:rsidRDefault="007E0735" w:rsidP="007E0735">
      <w:pPr>
        <w:tabs>
          <w:tab w:val="left" w:pos="-720"/>
        </w:tabs>
        <w:suppressAutoHyphens/>
        <w:rPr>
          <w:spacing w:val="-3"/>
          <w:sz w:val="22"/>
          <w:szCs w:val="22"/>
        </w:rPr>
      </w:pPr>
    </w:p>
    <w:p w14:paraId="4A53C401" w14:textId="77777777" w:rsidR="007E0735" w:rsidRPr="004460F4" w:rsidRDefault="007E0735" w:rsidP="007E0735">
      <w:pPr>
        <w:tabs>
          <w:tab w:val="left" w:pos="-720"/>
        </w:tabs>
        <w:suppressAutoHyphens/>
        <w:rPr>
          <w:sz w:val="22"/>
          <w:szCs w:val="22"/>
        </w:rPr>
      </w:pPr>
      <w:r w:rsidRPr="004460F4">
        <w:rPr>
          <w:sz w:val="22"/>
          <w:szCs w:val="22"/>
        </w:rPr>
        <w:tab/>
        <w:t xml:space="preserve">(7)  </w:t>
      </w:r>
      <w:r w:rsidRPr="004460F4">
        <w:rPr>
          <w:sz w:val="22"/>
          <w:szCs w:val="22"/>
          <w:u w:val="single"/>
        </w:rPr>
        <w:t>Explanation of the calculation</w:t>
      </w:r>
      <w:r w:rsidRPr="004460F4">
        <w:rPr>
          <w:sz w:val="22"/>
          <w:szCs w:val="22"/>
        </w:rPr>
        <w:t xml:space="preserve">:  </w:t>
      </w:r>
    </w:p>
    <w:p w14:paraId="0A93310F" w14:textId="77777777" w:rsidR="007E0735" w:rsidRPr="004460F4" w:rsidRDefault="007E0735" w:rsidP="007E0735">
      <w:pPr>
        <w:tabs>
          <w:tab w:val="left" w:pos="-720"/>
        </w:tabs>
        <w:suppressAutoHyphens/>
        <w:rPr>
          <w:sz w:val="22"/>
          <w:szCs w:val="22"/>
        </w:rPr>
      </w:pPr>
    </w:p>
    <w:p w14:paraId="4BCDC5FE" w14:textId="77777777" w:rsidR="007E0735" w:rsidRPr="004460F4" w:rsidRDefault="007E0735" w:rsidP="007E0735">
      <w:pPr>
        <w:tabs>
          <w:tab w:val="left" w:pos="-720"/>
        </w:tabs>
        <w:suppressAutoHyphens/>
        <w:ind w:left="1440"/>
        <w:rPr>
          <w:sz w:val="22"/>
          <w:szCs w:val="22"/>
        </w:rPr>
      </w:pPr>
      <w:r w:rsidRPr="004460F4">
        <w:rPr>
          <w:sz w:val="22"/>
          <w:szCs w:val="22"/>
        </w:rPr>
        <w:t xml:space="preserve">The Commission estimates that approximately </w:t>
      </w:r>
      <w:r w:rsidR="00763612" w:rsidRPr="004460F4">
        <w:rPr>
          <w:sz w:val="22"/>
          <w:szCs w:val="22"/>
        </w:rPr>
        <w:t>20</w:t>
      </w:r>
      <w:r w:rsidRPr="004460F4">
        <w:rPr>
          <w:sz w:val="22"/>
          <w:szCs w:val="22"/>
        </w:rPr>
        <w:t xml:space="preserve"> ICS providers will be subject to this </w:t>
      </w:r>
      <w:r w:rsidR="0046755C" w:rsidRPr="004460F4">
        <w:rPr>
          <w:sz w:val="22"/>
          <w:szCs w:val="22"/>
        </w:rPr>
        <w:t xml:space="preserve">reporting </w:t>
      </w:r>
      <w:r w:rsidRPr="004460F4">
        <w:rPr>
          <w:sz w:val="22"/>
          <w:szCs w:val="22"/>
        </w:rPr>
        <w:t>requirement.</w:t>
      </w:r>
    </w:p>
    <w:p w14:paraId="30318E4C" w14:textId="77777777" w:rsidR="007E0735" w:rsidRPr="004460F4" w:rsidRDefault="007E0735" w:rsidP="007E0735">
      <w:pPr>
        <w:tabs>
          <w:tab w:val="left" w:pos="-720"/>
        </w:tabs>
        <w:suppressAutoHyphens/>
        <w:rPr>
          <w:sz w:val="22"/>
          <w:szCs w:val="22"/>
        </w:rPr>
      </w:pPr>
    </w:p>
    <w:p w14:paraId="782CB819" w14:textId="77777777" w:rsidR="007E0735" w:rsidRPr="004460F4" w:rsidRDefault="007E0735" w:rsidP="007E0735">
      <w:pPr>
        <w:tabs>
          <w:tab w:val="left" w:pos="-720"/>
        </w:tabs>
        <w:suppressAutoHyphens/>
        <w:ind w:left="1440"/>
        <w:rPr>
          <w:sz w:val="22"/>
          <w:szCs w:val="22"/>
        </w:rPr>
      </w:pPr>
      <w:r w:rsidRPr="004460F4">
        <w:rPr>
          <w:sz w:val="22"/>
          <w:szCs w:val="22"/>
        </w:rPr>
        <w:t xml:space="preserve">We assume that respondents will use </w:t>
      </w:r>
      <w:r w:rsidR="007D7054" w:rsidRPr="004460F4">
        <w:rPr>
          <w:sz w:val="22"/>
          <w:szCs w:val="22"/>
        </w:rPr>
        <w:t xml:space="preserve">60 </w:t>
      </w:r>
      <w:r w:rsidRPr="004460F4">
        <w:rPr>
          <w:sz w:val="22"/>
          <w:szCs w:val="22"/>
        </w:rPr>
        <w:t xml:space="preserve">hours of in-house accounting services (rate of $45/hour) to satisfy this </w:t>
      </w:r>
      <w:r w:rsidR="0046755C" w:rsidRPr="004460F4">
        <w:rPr>
          <w:sz w:val="22"/>
          <w:szCs w:val="22"/>
        </w:rPr>
        <w:t xml:space="preserve">reporting </w:t>
      </w:r>
      <w:r w:rsidRPr="004460F4">
        <w:rPr>
          <w:sz w:val="22"/>
          <w:szCs w:val="22"/>
        </w:rPr>
        <w:t xml:space="preserve">requirement.  Thus </w:t>
      </w:r>
      <w:r w:rsidR="00763612" w:rsidRPr="004460F4">
        <w:rPr>
          <w:sz w:val="22"/>
          <w:szCs w:val="22"/>
        </w:rPr>
        <w:t>1,</w:t>
      </w:r>
      <w:r w:rsidR="0043766E">
        <w:rPr>
          <w:sz w:val="22"/>
          <w:szCs w:val="22"/>
        </w:rPr>
        <w:t>6</w:t>
      </w:r>
      <w:r w:rsidR="007D7054" w:rsidRPr="004460F4">
        <w:rPr>
          <w:sz w:val="22"/>
          <w:szCs w:val="22"/>
        </w:rPr>
        <w:t xml:space="preserve">00 </w:t>
      </w:r>
      <w:r w:rsidRPr="004460F4">
        <w:rPr>
          <w:sz w:val="22"/>
          <w:szCs w:val="22"/>
        </w:rPr>
        <w:t>hours x $45</w:t>
      </w:r>
      <w:r w:rsidR="00A92A86" w:rsidRPr="004460F4">
        <w:rPr>
          <w:sz w:val="22"/>
          <w:szCs w:val="22"/>
        </w:rPr>
        <w:t xml:space="preserve"> = $</w:t>
      </w:r>
      <w:r w:rsidR="0043766E">
        <w:rPr>
          <w:sz w:val="22"/>
          <w:szCs w:val="22"/>
        </w:rPr>
        <w:t>72,000.</w:t>
      </w:r>
    </w:p>
    <w:p w14:paraId="669F83A7" w14:textId="77777777" w:rsidR="007E0735" w:rsidRPr="004460F4" w:rsidRDefault="007E0735" w:rsidP="007E0735">
      <w:pPr>
        <w:keepLines/>
        <w:tabs>
          <w:tab w:val="left" w:pos="-720"/>
        </w:tabs>
        <w:suppressAutoHyphens/>
        <w:rPr>
          <w:b/>
          <w:spacing w:val="-3"/>
          <w:sz w:val="22"/>
          <w:szCs w:val="22"/>
        </w:rPr>
      </w:pPr>
    </w:p>
    <w:p w14:paraId="108A7F27" w14:textId="77777777" w:rsidR="007E0735" w:rsidRPr="00AB1E80" w:rsidRDefault="007E0735" w:rsidP="007E0735">
      <w:pPr>
        <w:keepLines/>
        <w:tabs>
          <w:tab w:val="left" w:pos="-720"/>
        </w:tabs>
        <w:suppressAutoHyphens/>
        <w:rPr>
          <w:b/>
          <w:spacing w:val="-3"/>
          <w:sz w:val="22"/>
          <w:szCs w:val="22"/>
        </w:rPr>
      </w:pPr>
      <w:r w:rsidRPr="004460F4">
        <w:rPr>
          <w:b/>
          <w:spacing w:val="-3"/>
          <w:sz w:val="22"/>
          <w:szCs w:val="22"/>
        </w:rPr>
        <w:t>b.</w:t>
      </w:r>
      <w:r w:rsidR="00CF71C4">
        <w:rPr>
          <w:b/>
          <w:spacing w:val="-3"/>
          <w:sz w:val="22"/>
          <w:szCs w:val="22"/>
        </w:rPr>
        <w:t xml:space="preserve"> </w:t>
      </w:r>
      <w:r w:rsidRPr="00AB1E80">
        <w:rPr>
          <w:b/>
          <w:spacing w:val="-3"/>
          <w:sz w:val="22"/>
          <w:szCs w:val="22"/>
        </w:rPr>
        <w:t xml:space="preserve"> </w:t>
      </w:r>
      <w:r w:rsidR="00C65260" w:rsidRPr="004460F4">
        <w:rPr>
          <w:b/>
          <w:spacing w:val="-3"/>
          <w:sz w:val="22"/>
          <w:szCs w:val="22"/>
          <w:u w:val="single"/>
        </w:rPr>
        <w:t xml:space="preserve">Certification </w:t>
      </w:r>
      <w:r w:rsidRPr="004460F4">
        <w:rPr>
          <w:b/>
          <w:spacing w:val="-3"/>
          <w:sz w:val="22"/>
          <w:szCs w:val="22"/>
          <w:u w:val="single"/>
        </w:rPr>
        <w:t>Requiremen</w:t>
      </w:r>
      <w:r w:rsidR="00C65260" w:rsidRPr="004460F4">
        <w:rPr>
          <w:b/>
          <w:spacing w:val="-3"/>
          <w:sz w:val="22"/>
          <w:szCs w:val="22"/>
          <w:u w:val="single"/>
        </w:rPr>
        <w:t>t</w:t>
      </w:r>
      <w:r w:rsidR="006129A5" w:rsidRPr="004460F4">
        <w:rPr>
          <w:b/>
          <w:spacing w:val="-3"/>
          <w:sz w:val="22"/>
          <w:szCs w:val="22"/>
          <w:u w:val="single"/>
        </w:rPr>
        <w:t>:</w:t>
      </w:r>
    </w:p>
    <w:p w14:paraId="2C3CBAB5" w14:textId="77777777" w:rsidR="007E0735" w:rsidRPr="004460F4" w:rsidRDefault="007E0735" w:rsidP="007E0735">
      <w:pPr>
        <w:keepLines/>
        <w:tabs>
          <w:tab w:val="left" w:pos="-720"/>
        </w:tabs>
        <w:suppressAutoHyphens/>
        <w:rPr>
          <w:spacing w:val="-3"/>
          <w:sz w:val="22"/>
          <w:szCs w:val="22"/>
        </w:rPr>
      </w:pPr>
    </w:p>
    <w:p w14:paraId="30D38CCB" w14:textId="77777777" w:rsidR="007E0735" w:rsidRPr="004460F4" w:rsidRDefault="007E0735" w:rsidP="00993512">
      <w:pPr>
        <w:pStyle w:val="ListParagraph"/>
        <w:keepLines/>
        <w:numPr>
          <w:ilvl w:val="0"/>
          <w:numId w:val="3"/>
        </w:numPr>
        <w:tabs>
          <w:tab w:val="left" w:pos="-720"/>
        </w:tabs>
        <w:suppressAutoHyphens/>
        <w:rPr>
          <w:spacing w:val="-3"/>
          <w:sz w:val="22"/>
          <w:szCs w:val="22"/>
        </w:rPr>
      </w:pPr>
      <w:r w:rsidRPr="004460F4">
        <w:rPr>
          <w:spacing w:val="-3"/>
          <w:sz w:val="22"/>
          <w:szCs w:val="22"/>
          <w:u w:val="single"/>
        </w:rPr>
        <w:t>Number of respondents</w:t>
      </w:r>
      <w:r w:rsidRPr="004460F4">
        <w:rPr>
          <w:spacing w:val="-3"/>
          <w:sz w:val="22"/>
          <w:szCs w:val="22"/>
        </w:rPr>
        <w:t xml:space="preserve">:  Approximately </w:t>
      </w:r>
      <w:r w:rsidR="00A019AC" w:rsidRPr="004460F4">
        <w:rPr>
          <w:spacing w:val="-3"/>
          <w:sz w:val="22"/>
          <w:szCs w:val="22"/>
        </w:rPr>
        <w:t>20</w:t>
      </w:r>
      <w:r w:rsidRPr="004460F4">
        <w:rPr>
          <w:spacing w:val="-3"/>
          <w:sz w:val="22"/>
          <w:szCs w:val="22"/>
        </w:rPr>
        <w:t>.</w:t>
      </w:r>
    </w:p>
    <w:p w14:paraId="3ECD15D2" w14:textId="77777777" w:rsidR="007E0735" w:rsidRPr="004460F4" w:rsidRDefault="007E0735" w:rsidP="007E0735">
      <w:pPr>
        <w:keepLines/>
        <w:tabs>
          <w:tab w:val="left" w:pos="-720"/>
        </w:tabs>
        <w:suppressAutoHyphens/>
        <w:rPr>
          <w:spacing w:val="-3"/>
          <w:sz w:val="22"/>
          <w:szCs w:val="22"/>
        </w:rPr>
      </w:pPr>
    </w:p>
    <w:p w14:paraId="5CCAFD77" w14:textId="77777777" w:rsidR="007E0735" w:rsidRPr="004460F4" w:rsidRDefault="007E0735" w:rsidP="007E0735">
      <w:pPr>
        <w:keepLines/>
        <w:tabs>
          <w:tab w:val="left" w:pos="-720"/>
        </w:tabs>
        <w:suppressAutoHyphens/>
        <w:rPr>
          <w:spacing w:val="-3"/>
          <w:sz w:val="22"/>
          <w:szCs w:val="22"/>
        </w:rPr>
      </w:pPr>
      <w:r w:rsidRPr="004460F4">
        <w:rPr>
          <w:spacing w:val="-3"/>
          <w:sz w:val="22"/>
          <w:szCs w:val="22"/>
        </w:rPr>
        <w:tab/>
        <w:t xml:space="preserve">(2)  </w:t>
      </w:r>
      <w:r w:rsidRPr="004460F4">
        <w:rPr>
          <w:spacing w:val="-3"/>
          <w:sz w:val="22"/>
          <w:szCs w:val="22"/>
          <w:u w:val="single"/>
        </w:rPr>
        <w:t>Frequency of response</w:t>
      </w:r>
      <w:r w:rsidRPr="004460F4">
        <w:rPr>
          <w:spacing w:val="-3"/>
          <w:sz w:val="22"/>
          <w:szCs w:val="22"/>
        </w:rPr>
        <w:t xml:space="preserve">:  </w:t>
      </w:r>
      <w:r w:rsidR="00F41E80" w:rsidRPr="004460F4">
        <w:rPr>
          <w:spacing w:val="-3"/>
          <w:sz w:val="22"/>
          <w:szCs w:val="22"/>
        </w:rPr>
        <w:t>Annual</w:t>
      </w:r>
      <w:r w:rsidRPr="004460F4">
        <w:rPr>
          <w:spacing w:val="-3"/>
          <w:sz w:val="22"/>
          <w:szCs w:val="22"/>
        </w:rPr>
        <w:t xml:space="preserve">.  </w:t>
      </w:r>
    </w:p>
    <w:p w14:paraId="726AB8CF" w14:textId="77777777" w:rsidR="007E0735" w:rsidRPr="004460F4" w:rsidRDefault="007E0735" w:rsidP="007E0735">
      <w:pPr>
        <w:tabs>
          <w:tab w:val="left" w:pos="-720"/>
        </w:tabs>
        <w:suppressAutoHyphens/>
        <w:rPr>
          <w:spacing w:val="-3"/>
          <w:sz w:val="22"/>
          <w:szCs w:val="22"/>
        </w:rPr>
      </w:pPr>
    </w:p>
    <w:p w14:paraId="0340E3B3"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(3)  </w:t>
      </w:r>
      <w:r w:rsidRPr="004460F4">
        <w:rPr>
          <w:spacing w:val="-3"/>
          <w:sz w:val="22"/>
          <w:szCs w:val="22"/>
          <w:u w:val="single"/>
        </w:rPr>
        <w:t>Total number of responses annually</w:t>
      </w:r>
      <w:r w:rsidRPr="004460F4">
        <w:rPr>
          <w:spacing w:val="-3"/>
          <w:sz w:val="22"/>
          <w:szCs w:val="22"/>
        </w:rPr>
        <w:t xml:space="preserve">:  Approximately </w:t>
      </w:r>
      <w:r w:rsidR="00A019AC" w:rsidRPr="004460F4">
        <w:rPr>
          <w:spacing w:val="-3"/>
          <w:sz w:val="22"/>
          <w:szCs w:val="22"/>
        </w:rPr>
        <w:t>20</w:t>
      </w:r>
      <w:r w:rsidRPr="004460F4">
        <w:rPr>
          <w:spacing w:val="-3"/>
          <w:sz w:val="22"/>
          <w:szCs w:val="22"/>
        </w:rPr>
        <w:t>.</w:t>
      </w:r>
    </w:p>
    <w:p w14:paraId="6B6BFF4D" w14:textId="77777777" w:rsidR="007E0735" w:rsidRPr="004460F4" w:rsidRDefault="007E0735" w:rsidP="007E0735">
      <w:pPr>
        <w:tabs>
          <w:tab w:val="left" w:pos="-720"/>
        </w:tabs>
        <w:suppressAutoHyphens/>
        <w:rPr>
          <w:spacing w:val="-3"/>
          <w:sz w:val="22"/>
          <w:szCs w:val="22"/>
        </w:rPr>
      </w:pPr>
    </w:p>
    <w:p w14:paraId="292E0C6F"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(4)  </w:t>
      </w:r>
      <w:r w:rsidRPr="004460F4">
        <w:rPr>
          <w:spacing w:val="-3"/>
          <w:sz w:val="22"/>
          <w:szCs w:val="22"/>
          <w:u w:val="single"/>
        </w:rPr>
        <w:t xml:space="preserve">Estimated Time </w:t>
      </w:r>
      <w:r w:rsidR="00073508" w:rsidRPr="004460F4">
        <w:rPr>
          <w:spacing w:val="-3"/>
          <w:sz w:val="22"/>
          <w:szCs w:val="22"/>
          <w:u w:val="single"/>
        </w:rPr>
        <w:t>per</w:t>
      </w:r>
      <w:r w:rsidRPr="004460F4">
        <w:rPr>
          <w:spacing w:val="-3"/>
          <w:sz w:val="22"/>
          <w:szCs w:val="22"/>
          <w:u w:val="single"/>
        </w:rPr>
        <w:t xml:space="preserve"> Response</w:t>
      </w:r>
      <w:r w:rsidR="00A92A86" w:rsidRPr="004460F4">
        <w:rPr>
          <w:spacing w:val="-3"/>
          <w:sz w:val="22"/>
          <w:szCs w:val="22"/>
        </w:rPr>
        <w:t xml:space="preserve">:  </w:t>
      </w:r>
      <w:r w:rsidR="00B305EF" w:rsidRPr="004460F4">
        <w:rPr>
          <w:spacing w:val="-3"/>
          <w:sz w:val="22"/>
          <w:szCs w:val="22"/>
        </w:rPr>
        <w:t xml:space="preserve">5 </w:t>
      </w:r>
      <w:r w:rsidRPr="004460F4">
        <w:rPr>
          <w:spacing w:val="-3"/>
          <w:sz w:val="22"/>
          <w:szCs w:val="22"/>
        </w:rPr>
        <w:t>hours.</w:t>
      </w:r>
    </w:p>
    <w:p w14:paraId="669FD89C" w14:textId="77777777" w:rsidR="007E0735" w:rsidRPr="004460F4" w:rsidRDefault="007E0735" w:rsidP="007E0735">
      <w:pPr>
        <w:tabs>
          <w:tab w:val="left" w:pos="-720"/>
        </w:tabs>
        <w:suppressAutoHyphens/>
        <w:rPr>
          <w:spacing w:val="-3"/>
          <w:sz w:val="22"/>
          <w:szCs w:val="22"/>
        </w:rPr>
      </w:pPr>
    </w:p>
    <w:p w14:paraId="1D45D428" w14:textId="77777777" w:rsidR="007E0735" w:rsidRPr="004460F4" w:rsidRDefault="007E0735" w:rsidP="007E0735">
      <w:pPr>
        <w:tabs>
          <w:tab w:val="left" w:pos="-720"/>
        </w:tabs>
        <w:suppressAutoHyphens/>
        <w:rPr>
          <w:spacing w:val="-3"/>
          <w:sz w:val="22"/>
          <w:szCs w:val="22"/>
        </w:rPr>
      </w:pPr>
      <w:r w:rsidRPr="004460F4">
        <w:rPr>
          <w:spacing w:val="-3"/>
          <w:sz w:val="22"/>
          <w:szCs w:val="22"/>
        </w:rPr>
        <w:tab/>
      </w:r>
      <w:r w:rsidRPr="004460F4">
        <w:rPr>
          <w:spacing w:val="-3"/>
          <w:sz w:val="22"/>
          <w:szCs w:val="22"/>
        </w:rPr>
        <w:tab/>
      </w:r>
      <w:r w:rsidR="00A019AC" w:rsidRPr="004460F4">
        <w:rPr>
          <w:spacing w:val="-3"/>
          <w:sz w:val="22"/>
          <w:szCs w:val="22"/>
        </w:rPr>
        <w:t xml:space="preserve">20 </w:t>
      </w:r>
      <w:r w:rsidR="00A92A86" w:rsidRPr="004460F4">
        <w:rPr>
          <w:spacing w:val="-3"/>
          <w:sz w:val="22"/>
          <w:szCs w:val="22"/>
        </w:rPr>
        <w:t xml:space="preserve">x </w:t>
      </w:r>
      <w:r w:rsidR="00B305EF" w:rsidRPr="004460F4">
        <w:rPr>
          <w:spacing w:val="-3"/>
          <w:sz w:val="22"/>
          <w:szCs w:val="22"/>
        </w:rPr>
        <w:t>5</w:t>
      </w:r>
      <w:r w:rsidR="00A92A86" w:rsidRPr="004460F4">
        <w:rPr>
          <w:spacing w:val="-3"/>
          <w:sz w:val="22"/>
          <w:szCs w:val="22"/>
        </w:rPr>
        <w:t xml:space="preserve"> </w:t>
      </w:r>
      <w:r w:rsidRPr="004460F4">
        <w:rPr>
          <w:spacing w:val="-3"/>
          <w:sz w:val="22"/>
          <w:szCs w:val="22"/>
        </w:rPr>
        <w:t xml:space="preserve">hours per response x 1 response per year per respondent = </w:t>
      </w:r>
      <w:r w:rsidR="00A019AC" w:rsidRPr="004460F4">
        <w:rPr>
          <w:spacing w:val="-3"/>
          <w:sz w:val="22"/>
          <w:szCs w:val="22"/>
        </w:rPr>
        <w:t xml:space="preserve">100 </w:t>
      </w:r>
      <w:r w:rsidRPr="004460F4">
        <w:rPr>
          <w:spacing w:val="-3"/>
          <w:sz w:val="22"/>
          <w:szCs w:val="22"/>
        </w:rPr>
        <w:t>hours.</w:t>
      </w:r>
    </w:p>
    <w:p w14:paraId="1AE8C332" w14:textId="77777777" w:rsidR="007E0735" w:rsidRPr="004460F4" w:rsidRDefault="007E0735" w:rsidP="007E0735">
      <w:pPr>
        <w:tabs>
          <w:tab w:val="left" w:pos="-720"/>
        </w:tabs>
        <w:suppressAutoHyphens/>
        <w:rPr>
          <w:spacing w:val="-3"/>
          <w:sz w:val="22"/>
          <w:szCs w:val="22"/>
        </w:rPr>
      </w:pPr>
    </w:p>
    <w:p w14:paraId="6E9525A2"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(5)  </w:t>
      </w:r>
      <w:r w:rsidRPr="004460F4">
        <w:rPr>
          <w:spacing w:val="-3"/>
          <w:sz w:val="22"/>
          <w:szCs w:val="22"/>
          <w:u w:val="single"/>
        </w:rPr>
        <w:t>Total annual burden</w:t>
      </w:r>
      <w:r w:rsidRPr="004460F4">
        <w:rPr>
          <w:spacing w:val="-3"/>
          <w:sz w:val="22"/>
          <w:szCs w:val="22"/>
        </w:rPr>
        <w:t xml:space="preserve">:  </w:t>
      </w:r>
      <w:r w:rsidR="00A019AC" w:rsidRPr="004460F4">
        <w:rPr>
          <w:b/>
          <w:spacing w:val="-3"/>
          <w:sz w:val="22"/>
          <w:szCs w:val="22"/>
        </w:rPr>
        <w:t xml:space="preserve">100 </w:t>
      </w:r>
      <w:r w:rsidRPr="004460F4">
        <w:rPr>
          <w:b/>
          <w:spacing w:val="-3"/>
          <w:sz w:val="22"/>
          <w:szCs w:val="22"/>
        </w:rPr>
        <w:t>hours</w:t>
      </w:r>
      <w:r w:rsidRPr="004460F4">
        <w:rPr>
          <w:spacing w:val="-3"/>
          <w:sz w:val="22"/>
          <w:szCs w:val="22"/>
        </w:rPr>
        <w:t>.</w:t>
      </w:r>
    </w:p>
    <w:p w14:paraId="6AD1BB33" w14:textId="77777777" w:rsidR="007E0735" w:rsidRPr="004460F4" w:rsidRDefault="007E0735" w:rsidP="007E0735">
      <w:pPr>
        <w:tabs>
          <w:tab w:val="left" w:pos="-720"/>
        </w:tabs>
        <w:suppressAutoHyphens/>
        <w:rPr>
          <w:spacing w:val="-3"/>
          <w:sz w:val="22"/>
          <w:szCs w:val="22"/>
        </w:rPr>
      </w:pPr>
    </w:p>
    <w:p w14:paraId="0B077D68" w14:textId="77777777" w:rsidR="007E0735" w:rsidRPr="004460F4" w:rsidRDefault="007E0735" w:rsidP="007E0735">
      <w:pPr>
        <w:tabs>
          <w:tab w:val="left" w:pos="-720"/>
        </w:tabs>
        <w:suppressAutoHyphens/>
        <w:ind w:left="1440"/>
        <w:rPr>
          <w:spacing w:val="-3"/>
          <w:sz w:val="22"/>
          <w:szCs w:val="22"/>
        </w:rPr>
      </w:pPr>
      <w:r w:rsidRPr="004460F4">
        <w:rPr>
          <w:spacing w:val="-3"/>
          <w:sz w:val="22"/>
          <w:szCs w:val="22"/>
        </w:rPr>
        <w:t xml:space="preserve">The Commission estimates that approximately </w:t>
      </w:r>
      <w:r w:rsidR="00A019AC" w:rsidRPr="004460F4">
        <w:rPr>
          <w:spacing w:val="-3"/>
          <w:sz w:val="22"/>
          <w:szCs w:val="22"/>
        </w:rPr>
        <w:t xml:space="preserve">20 </w:t>
      </w:r>
      <w:r w:rsidR="00BE0E62" w:rsidRPr="004460F4">
        <w:rPr>
          <w:spacing w:val="-3"/>
          <w:sz w:val="22"/>
          <w:szCs w:val="22"/>
        </w:rPr>
        <w:t>ICS</w:t>
      </w:r>
      <w:r w:rsidRPr="004460F4">
        <w:rPr>
          <w:spacing w:val="-3"/>
          <w:sz w:val="22"/>
          <w:szCs w:val="22"/>
        </w:rPr>
        <w:t xml:space="preserve"> providers will require </w:t>
      </w:r>
      <w:r w:rsidR="00B305EF" w:rsidRPr="004460F4">
        <w:rPr>
          <w:spacing w:val="-3"/>
          <w:sz w:val="22"/>
          <w:szCs w:val="22"/>
        </w:rPr>
        <w:t>5</w:t>
      </w:r>
      <w:r w:rsidR="00985F5C" w:rsidRPr="004460F4">
        <w:rPr>
          <w:spacing w:val="-3"/>
          <w:sz w:val="22"/>
          <w:szCs w:val="22"/>
        </w:rPr>
        <w:t xml:space="preserve"> hours </w:t>
      </w:r>
      <w:r w:rsidRPr="004460F4">
        <w:rPr>
          <w:spacing w:val="-3"/>
          <w:sz w:val="22"/>
          <w:szCs w:val="22"/>
        </w:rPr>
        <w:t xml:space="preserve">of time per annual filing.  </w:t>
      </w:r>
    </w:p>
    <w:p w14:paraId="3962A538" w14:textId="77777777" w:rsidR="007E0735" w:rsidRPr="004460F4" w:rsidRDefault="007E0735" w:rsidP="007E0735">
      <w:pPr>
        <w:tabs>
          <w:tab w:val="left" w:pos="-720"/>
        </w:tabs>
        <w:suppressAutoHyphens/>
        <w:ind w:left="1440"/>
        <w:rPr>
          <w:spacing w:val="-3"/>
          <w:sz w:val="22"/>
          <w:szCs w:val="22"/>
        </w:rPr>
      </w:pPr>
    </w:p>
    <w:p w14:paraId="18693627" w14:textId="77777777" w:rsidR="007E0735" w:rsidRPr="004460F4" w:rsidRDefault="00A92A86" w:rsidP="007E0735">
      <w:pPr>
        <w:tabs>
          <w:tab w:val="left" w:pos="-720"/>
        </w:tabs>
        <w:suppressAutoHyphens/>
        <w:ind w:left="1440"/>
        <w:rPr>
          <w:spacing w:val="-3"/>
          <w:sz w:val="22"/>
          <w:szCs w:val="22"/>
        </w:rPr>
      </w:pPr>
      <w:r w:rsidRPr="004460F4">
        <w:rPr>
          <w:spacing w:val="-3"/>
          <w:sz w:val="22"/>
          <w:szCs w:val="22"/>
        </w:rPr>
        <w:t xml:space="preserve">Approximately </w:t>
      </w:r>
      <w:r w:rsidR="00A019AC" w:rsidRPr="004460F4">
        <w:rPr>
          <w:spacing w:val="-3"/>
          <w:sz w:val="22"/>
          <w:szCs w:val="22"/>
        </w:rPr>
        <w:t xml:space="preserve">20 </w:t>
      </w:r>
      <w:r w:rsidR="007E0735" w:rsidRPr="004460F4">
        <w:rPr>
          <w:spacing w:val="-3"/>
          <w:sz w:val="22"/>
          <w:szCs w:val="22"/>
        </w:rPr>
        <w:t>respondents an</w:t>
      </w:r>
      <w:r w:rsidRPr="004460F4">
        <w:rPr>
          <w:spacing w:val="-3"/>
          <w:sz w:val="22"/>
          <w:szCs w:val="22"/>
        </w:rPr>
        <w:t xml:space="preserve">nually x 1 response annually x </w:t>
      </w:r>
      <w:r w:rsidR="00B305EF" w:rsidRPr="004460F4">
        <w:rPr>
          <w:spacing w:val="-3"/>
          <w:sz w:val="22"/>
          <w:szCs w:val="22"/>
        </w:rPr>
        <w:t>5</w:t>
      </w:r>
      <w:r w:rsidRPr="004460F4">
        <w:rPr>
          <w:spacing w:val="-3"/>
          <w:sz w:val="22"/>
          <w:szCs w:val="22"/>
        </w:rPr>
        <w:t xml:space="preserve"> hours per response = </w:t>
      </w:r>
      <w:r w:rsidR="00A019AC" w:rsidRPr="004460F4">
        <w:rPr>
          <w:spacing w:val="-3"/>
          <w:sz w:val="22"/>
          <w:szCs w:val="22"/>
        </w:rPr>
        <w:t xml:space="preserve">100 </w:t>
      </w:r>
      <w:r w:rsidR="007E0735" w:rsidRPr="004460F4">
        <w:rPr>
          <w:spacing w:val="-3"/>
          <w:sz w:val="22"/>
          <w:szCs w:val="22"/>
        </w:rPr>
        <w:t>hours.</w:t>
      </w:r>
    </w:p>
    <w:p w14:paraId="174F43B9" w14:textId="77777777" w:rsidR="007E0735" w:rsidRPr="004460F4" w:rsidRDefault="007E0735" w:rsidP="007E0735">
      <w:pPr>
        <w:tabs>
          <w:tab w:val="left" w:pos="-720"/>
        </w:tabs>
        <w:suppressAutoHyphens/>
        <w:rPr>
          <w:spacing w:val="-3"/>
          <w:sz w:val="22"/>
          <w:szCs w:val="22"/>
        </w:rPr>
      </w:pPr>
    </w:p>
    <w:p w14:paraId="56E5C39B" w14:textId="77777777" w:rsidR="007E0735" w:rsidRPr="004460F4" w:rsidRDefault="007E0735" w:rsidP="007E0735">
      <w:pPr>
        <w:tabs>
          <w:tab w:val="left" w:pos="-720"/>
        </w:tabs>
        <w:suppressAutoHyphens/>
        <w:rPr>
          <w:spacing w:val="-3"/>
          <w:sz w:val="22"/>
          <w:szCs w:val="22"/>
        </w:rPr>
      </w:pPr>
      <w:r w:rsidRPr="004460F4">
        <w:rPr>
          <w:spacing w:val="-3"/>
          <w:sz w:val="22"/>
          <w:szCs w:val="22"/>
        </w:rPr>
        <w:tab/>
        <w:t xml:space="preserve">(6)  </w:t>
      </w:r>
      <w:r w:rsidRPr="004460F4">
        <w:rPr>
          <w:spacing w:val="-3"/>
          <w:sz w:val="22"/>
          <w:szCs w:val="22"/>
          <w:u w:val="single"/>
        </w:rPr>
        <w:t>Total estimate of “in</w:t>
      </w:r>
      <w:r w:rsidR="00D17D63" w:rsidRPr="004460F4">
        <w:rPr>
          <w:spacing w:val="-3"/>
          <w:sz w:val="22"/>
          <w:szCs w:val="22"/>
          <w:u w:val="single"/>
        </w:rPr>
        <w:t>-</w:t>
      </w:r>
      <w:r w:rsidRPr="004460F4">
        <w:rPr>
          <w:spacing w:val="-3"/>
          <w:sz w:val="22"/>
          <w:szCs w:val="22"/>
          <w:u w:val="single"/>
        </w:rPr>
        <w:t>house” cost to respondents:</w:t>
      </w:r>
      <w:r w:rsidRPr="004460F4">
        <w:rPr>
          <w:spacing w:val="-3"/>
          <w:sz w:val="22"/>
          <w:szCs w:val="22"/>
        </w:rPr>
        <w:t xml:space="preserve">  </w:t>
      </w:r>
      <w:r w:rsidRPr="004460F4">
        <w:rPr>
          <w:sz w:val="22"/>
          <w:szCs w:val="22"/>
        </w:rPr>
        <w:t>$</w:t>
      </w:r>
      <w:r w:rsidR="00A019AC" w:rsidRPr="004460F4">
        <w:rPr>
          <w:b/>
          <w:sz w:val="22"/>
          <w:szCs w:val="22"/>
        </w:rPr>
        <w:t>12,500</w:t>
      </w:r>
      <w:r w:rsidRPr="004460F4">
        <w:rPr>
          <w:sz w:val="22"/>
          <w:szCs w:val="22"/>
        </w:rPr>
        <w:t>.</w:t>
      </w:r>
    </w:p>
    <w:p w14:paraId="478E0260" w14:textId="77777777" w:rsidR="007E0735" w:rsidRPr="004460F4" w:rsidRDefault="007E0735" w:rsidP="007E0735">
      <w:pPr>
        <w:tabs>
          <w:tab w:val="left" w:pos="-720"/>
        </w:tabs>
        <w:suppressAutoHyphens/>
        <w:rPr>
          <w:spacing w:val="-3"/>
          <w:sz w:val="22"/>
          <w:szCs w:val="22"/>
        </w:rPr>
      </w:pPr>
    </w:p>
    <w:p w14:paraId="2DFDFA63" w14:textId="77777777" w:rsidR="007E0735" w:rsidRPr="004460F4" w:rsidRDefault="007E0735" w:rsidP="007E0735">
      <w:pPr>
        <w:tabs>
          <w:tab w:val="left" w:pos="-720"/>
        </w:tabs>
        <w:suppressAutoHyphens/>
        <w:rPr>
          <w:sz w:val="22"/>
          <w:szCs w:val="22"/>
        </w:rPr>
      </w:pPr>
      <w:r w:rsidRPr="004460F4">
        <w:rPr>
          <w:sz w:val="22"/>
          <w:szCs w:val="22"/>
        </w:rPr>
        <w:tab/>
        <w:t xml:space="preserve">(7)  </w:t>
      </w:r>
      <w:r w:rsidRPr="004460F4">
        <w:rPr>
          <w:sz w:val="22"/>
          <w:szCs w:val="22"/>
          <w:u w:val="single"/>
        </w:rPr>
        <w:t>Explanation of the calculation</w:t>
      </w:r>
      <w:r w:rsidRPr="004460F4">
        <w:rPr>
          <w:sz w:val="22"/>
          <w:szCs w:val="22"/>
        </w:rPr>
        <w:t xml:space="preserve">:  </w:t>
      </w:r>
    </w:p>
    <w:p w14:paraId="037B75D2" w14:textId="77777777" w:rsidR="007E0735" w:rsidRPr="004460F4" w:rsidRDefault="007E0735" w:rsidP="007E0735">
      <w:pPr>
        <w:tabs>
          <w:tab w:val="left" w:pos="-720"/>
        </w:tabs>
        <w:suppressAutoHyphens/>
        <w:rPr>
          <w:sz w:val="22"/>
          <w:szCs w:val="22"/>
        </w:rPr>
      </w:pPr>
    </w:p>
    <w:p w14:paraId="3263A233" w14:textId="77777777" w:rsidR="007E0735" w:rsidRPr="004460F4" w:rsidRDefault="007E0735" w:rsidP="007E0735">
      <w:pPr>
        <w:tabs>
          <w:tab w:val="left" w:pos="-720"/>
        </w:tabs>
        <w:suppressAutoHyphens/>
        <w:ind w:left="1440"/>
        <w:rPr>
          <w:sz w:val="22"/>
          <w:szCs w:val="22"/>
        </w:rPr>
      </w:pPr>
      <w:r w:rsidRPr="004460F4">
        <w:rPr>
          <w:sz w:val="22"/>
          <w:szCs w:val="22"/>
        </w:rPr>
        <w:t xml:space="preserve">The Commission estimates that </w:t>
      </w:r>
      <w:r w:rsidR="00A019AC" w:rsidRPr="004460F4">
        <w:rPr>
          <w:sz w:val="22"/>
          <w:szCs w:val="22"/>
        </w:rPr>
        <w:t xml:space="preserve">20 </w:t>
      </w:r>
      <w:r w:rsidRPr="004460F4">
        <w:rPr>
          <w:sz w:val="22"/>
          <w:szCs w:val="22"/>
        </w:rPr>
        <w:t xml:space="preserve">ICS providers will be subject to this </w:t>
      </w:r>
      <w:r w:rsidR="00B45F9C" w:rsidRPr="004460F4">
        <w:rPr>
          <w:sz w:val="22"/>
          <w:szCs w:val="22"/>
        </w:rPr>
        <w:t xml:space="preserve">certification </w:t>
      </w:r>
      <w:r w:rsidRPr="004460F4">
        <w:rPr>
          <w:sz w:val="22"/>
          <w:szCs w:val="22"/>
        </w:rPr>
        <w:t>requirement.</w:t>
      </w:r>
    </w:p>
    <w:p w14:paraId="33525F1C" w14:textId="77777777" w:rsidR="007E0735" w:rsidRPr="004460F4" w:rsidRDefault="007E0735" w:rsidP="007E0735">
      <w:pPr>
        <w:tabs>
          <w:tab w:val="left" w:pos="-720"/>
        </w:tabs>
        <w:suppressAutoHyphens/>
        <w:rPr>
          <w:sz w:val="22"/>
          <w:szCs w:val="22"/>
        </w:rPr>
      </w:pPr>
    </w:p>
    <w:p w14:paraId="7A17942D" w14:textId="77777777" w:rsidR="007E0735" w:rsidRPr="004460F4" w:rsidRDefault="007E0735" w:rsidP="007E0735">
      <w:pPr>
        <w:tabs>
          <w:tab w:val="left" w:pos="-720"/>
        </w:tabs>
        <w:suppressAutoHyphens/>
        <w:ind w:left="1440"/>
        <w:rPr>
          <w:sz w:val="22"/>
          <w:szCs w:val="22"/>
        </w:rPr>
      </w:pPr>
      <w:r w:rsidRPr="004460F4">
        <w:rPr>
          <w:sz w:val="22"/>
          <w:szCs w:val="22"/>
        </w:rPr>
        <w:t xml:space="preserve">We assume that respondents will use </w:t>
      </w:r>
      <w:r w:rsidR="00FC796C" w:rsidRPr="004460F4">
        <w:rPr>
          <w:sz w:val="22"/>
          <w:szCs w:val="22"/>
        </w:rPr>
        <w:t>5</w:t>
      </w:r>
      <w:r w:rsidR="00DD740A" w:rsidRPr="004460F4">
        <w:rPr>
          <w:sz w:val="22"/>
          <w:szCs w:val="22"/>
        </w:rPr>
        <w:t xml:space="preserve"> </w:t>
      </w:r>
      <w:r w:rsidRPr="004460F4">
        <w:rPr>
          <w:sz w:val="22"/>
          <w:szCs w:val="22"/>
        </w:rPr>
        <w:t>hours of an officer of the company’s time (rate of $1</w:t>
      </w:r>
      <w:r w:rsidR="00DD740A" w:rsidRPr="004460F4">
        <w:rPr>
          <w:sz w:val="22"/>
          <w:szCs w:val="22"/>
        </w:rPr>
        <w:t>25</w:t>
      </w:r>
      <w:r w:rsidRPr="004460F4">
        <w:rPr>
          <w:sz w:val="22"/>
          <w:szCs w:val="22"/>
        </w:rPr>
        <w:t xml:space="preserve">/hour) to satisfy this </w:t>
      </w:r>
      <w:r w:rsidR="00B45F9C" w:rsidRPr="004460F4">
        <w:rPr>
          <w:sz w:val="22"/>
          <w:szCs w:val="22"/>
        </w:rPr>
        <w:t xml:space="preserve">certification </w:t>
      </w:r>
      <w:r w:rsidRPr="004460F4">
        <w:rPr>
          <w:sz w:val="22"/>
          <w:szCs w:val="22"/>
        </w:rPr>
        <w:t>requirement.  Thus</w:t>
      </w:r>
      <w:r w:rsidR="00B45F9C" w:rsidRPr="004460F4">
        <w:rPr>
          <w:sz w:val="22"/>
          <w:szCs w:val="22"/>
        </w:rPr>
        <w:t>,</w:t>
      </w:r>
      <w:r w:rsidRPr="004460F4">
        <w:rPr>
          <w:sz w:val="22"/>
          <w:szCs w:val="22"/>
        </w:rPr>
        <w:t xml:space="preserve"> </w:t>
      </w:r>
      <w:r w:rsidR="00A019AC" w:rsidRPr="004460F4">
        <w:rPr>
          <w:sz w:val="22"/>
          <w:szCs w:val="22"/>
        </w:rPr>
        <w:t xml:space="preserve">100 </w:t>
      </w:r>
      <w:r w:rsidRPr="004460F4">
        <w:rPr>
          <w:sz w:val="22"/>
          <w:szCs w:val="22"/>
        </w:rPr>
        <w:t>hours per year x $1</w:t>
      </w:r>
      <w:r w:rsidR="00DD740A" w:rsidRPr="004460F4">
        <w:rPr>
          <w:sz w:val="22"/>
          <w:szCs w:val="22"/>
        </w:rPr>
        <w:t>25</w:t>
      </w:r>
      <w:r w:rsidRPr="004460F4">
        <w:rPr>
          <w:sz w:val="22"/>
          <w:szCs w:val="22"/>
        </w:rPr>
        <w:t xml:space="preserve"> = $</w:t>
      </w:r>
      <w:r w:rsidR="00A019AC" w:rsidRPr="004460F4">
        <w:rPr>
          <w:sz w:val="22"/>
          <w:szCs w:val="22"/>
        </w:rPr>
        <w:t>12,500</w:t>
      </w:r>
      <w:r w:rsidRPr="004460F4">
        <w:rPr>
          <w:sz w:val="22"/>
          <w:szCs w:val="22"/>
        </w:rPr>
        <w:t xml:space="preserve">. </w:t>
      </w:r>
    </w:p>
    <w:p w14:paraId="759C8ED6" w14:textId="77777777" w:rsidR="007E0735" w:rsidRPr="004460F4" w:rsidRDefault="007E0735" w:rsidP="007E0735">
      <w:pPr>
        <w:tabs>
          <w:tab w:val="left" w:pos="-720"/>
        </w:tabs>
        <w:suppressAutoHyphens/>
        <w:rPr>
          <w:sz w:val="22"/>
          <w:szCs w:val="22"/>
        </w:rPr>
      </w:pPr>
    </w:p>
    <w:p w14:paraId="122097C3" w14:textId="77777777" w:rsidR="00D136C4" w:rsidRPr="004460F4" w:rsidRDefault="007E0735" w:rsidP="007E0735">
      <w:pPr>
        <w:keepLines/>
        <w:tabs>
          <w:tab w:val="left" w:pos="-720"/>
        </w:tabs>
        <w:suppressAutoHyphens/>
        <w:rPr>
          <w:b/>
          <w:spacing w:val="-3"/>
          <w:sz w:val="22"/>
          <w:szCs w:val="22"/>
        </w:rPr>
      </w:pPr>
      <w:r w:rsidRPr="004460F4">
        <w:rPr>
          <w:b/>
          <w:spacing w:val="-3"/>
          <w:sz w:val="22"/>
          <w:szCs w:val="22"/>
        </w:rPr>
        <w:t>c.</w:t>
      </w:r>
      <w:r w:rsidR="00CF71C4">
        <w:rPr>
          <w:b/>
          <w:spacing w:val="-3"/>
          <w:sz w:val="22"/>
          <w:szCs w:val="22"/>
        </w:rPr>
        <w:t xml:space="preserve"> </w:t>
      </w:r>
      <w:r w:rsidR="00D136C4" w:rsidRPr="00AB1E80">
        <w:rPr>
          <w:b/>
          <w:spacing w:val="-3"/>
          <w:sz w:val="22"/>
          <w:szCs w:val="22"/>
        </w:rPr>
        <w:t xml:space="preserve"> </w:t>
      </w:r>
      <w:r w:rsidR="001A1A75" w:rsidRPr="004460F4">
        <w:rPr>
          <w:b/>
          <w:spacing w:val="-3"/>
          <w:sz w:val="22"/>
          <w:szCs w:val="22"/>
          <w:u w:val="single"/>
        </w:rPr>
        <w:t>Consumer Disclosure</w:t>
      </w:r>
      <w:r w:rsidR="008F7AFE" w:rsidRPr="004460F4">
        <w:rPr>
          <w:b/>
          <w:spacing w:val="-3"/>
          <w:sz w:val="22"/>
          <w:szCs w:val="22"/>
          <w:u w:val="single"/>
        </w:rPr>
        <w:t xml:space="preserve"> Requirement</w:t>
      </w:r>
      <w:r w:rsidR="00A019AC" w:rsidRPr="004460F4">
        <w:rPr>
          <w:b/>
          <w:spacing w:val="-3"/>
          <w:sz w:val="22"/>
          <w:szCs w:val="22"/>
          <w:u w:val="single"/>
        </w:rPr>
        <w:t>:</w:t>
      </w:r>
    </w:p>
    <w:p w14:paraId="076ADC99" w14:textId="77777777" w:rsidR="00183BF5" w:rsidRPr="004460F4" w:rsidRDefault="00183BF5" w:rsidP="00183BF5">
      <w:pPr>
        <w:keepLines/>
        <w:tabs>
          <w:tab w:val="left" w:pos="-720"/>
        </w:tabs>
        <w:suppressAutoHyphens/>
        <w:rPr>
          <w:spacing w:val="-3"/>
          <w:sz w:val="22"/>
          <w:szCs w:val="22"/>
        </w:rPr>
      </w:pPr>
      <w:r w:rsidRPr="004460F4">
        <w:rPr>
          <w:spacing w:val="-3"/>
          <w:sz w:val="22"/>
          <w:szCs w:val="22"/>
        </w:rPr>
        <w:tab/>
      </w:r>
    </w:p>
    <w:p w14:paraId="299D9B5F" w14:textId="77777777" w:rsidR="00183BF5" w:rsidRPr="004460F4" w:rsidRDefault="00183BF5" w:rsidP="00183BF5">
      <w:pPr>
        <w:keepLines/>
        <w:tabs>
          <w:tab w:val="left" w:pos="-720"/>
        </w:tabs>
        <w:suppressAutoHyphens/>
        <w:rPr>
          <w:spacing w:val="-3"/>
          <w:sz w:val="22"/>
          <w:szCs w:val="22"/>
        </w:rPr>
      </w:pPr>
      <w:r w:rsidRPr="004460F4">
        <w:rPr>
          <w:spacing w:val="-3"/>
          <w:sz w:val="22"/>
          <w:szCs w:val="22"/>
        </w:rPr>
        <w:tab/>
        <w:t xml:space="preserve">(1)  </w:t>
      </w:r>
      <w:r w:rsidRPr="004460F4">
        <w:rPr>
          <w:spacing w:val="-3"/>
          <w:sz w:val="22"/>
          <w:szCs w:val="22"/>
          <w:u w:val="single"/>
        </w:rPr>
        <w:t>Number of respondents</w:t>
      </w:r>
      <w:r w:rsidRPr="004460F4">
        <w:rPr>
          <w:spacing w:val="-3"/>
          <w:sz w:val="22"/>
          <w:szCs w:val="22"/>
        </w:rPr>
        <w:t xml:space="preserve">:  Approximately </w:t>
      </w:r>
      <w:r w:rsidR="00A019AC" w:rsidRPr="004460F4">
        <w:rPr>
          <w:spacing w:val="-3"/>
          <w:sz w:val="22"/>
          <w:szCs w:val="22"/>
        </w:rPr>
        <w:t>20</w:t>
      </w:r>
      <w:r w:rsidRPr="004460F4">
        <w:rPr>
          <w:spacing w:val="-3"/>
          <w:sz w:val="22"/>
          <w:szCs w:val="22"/>
        </w:rPr>
        <w:t>.</w:t>
      </w:r>
    </w:p>
    <w:p w14:paraId="1E5E516C" w14:textId="77777777" w:rsidR="00183BF5" w:rsidRPr="004460F4" w:rsidRDefault="00183BF5" w:rsidP="00183BF5">
      <w:pPr>
        <w:keepLines/>
        <w:tabs>
          <w:tab w:val="left" w:pos="-720"/>
        </w:tabs>
        <w:suppressAutoHyphens/>
        <w:rPr>
          <w:spacing w:val="-3"/>
          <w:sz w:val="22"/>
          <w:szCs w:val="22"/>
        </w:rPr>
      </w:pPr>
    </w:p>
    <w:p w14:paraId="236661C5" w14:textId="78A135C5" w:rsidR="00183BF5" w:rsidRPr="004460F4" w:rsidRDefault="00183BF5" w:rsidP="00E61CDE">
      <w:pPr>
        <w:keepLines/>
        <w:tabs>
          <w:tab w:val="left" w:pos="-720"/>
        </w:tabs>
        <w:suppressAutoHyphens/>
        <w:ind w:left="720"/>
        <w:rPr>
          <w:spacing w:val="-3"/>
          <w:sz w:val="22"/>
          <w:szCs w:val="22"/>
        </w:rPr>
      </w:pPr>
      <w:r w:rsidRPr="004460F4">
        <w:rPr>
          <w:spacing w:val="-3"/>
          <w:sz w:val="22"/>
          <w:szCs w:val="22"/>
        </w:rPr>
        <w:t xml:space="preserve">(2)  </w:t>
      </w:r>
      <w:r w:rsidRPr="004460F4">
        <w:rPr>
          <w:spacing w:val="-3"/>
          <w:sz w:val="22"/>
          <w:szCs w:val="22"/>
          <w:u w:val="single"/>
        </w:rPr>
        <w:t>Frequency of response</w:t>
      </w:r>
      <w:r w:rsidRPr="004460F4">
        <w:rPr>
          <w:spacing w:val="-3"/>
          <w:sz w:val="22"/>
          <w:szCs w:val="22"/>
        </w:rPr>
        <w:t xml:space="preserve">:  </w:t>
      </w:r>
      <w:r w:rsidR="002E1B8D" w:rsidRPr="004460F4">
        <w:rPr>
          <w:spacing w:val="-3"/>
          <w:sz w:val="22"/>
          <w:szCs w:val="22"/>
        </w:rPr>
        <w:t>T</w:t>
      </w:r>
      <w:r w:rsidR="007F05B9" w:rsidRPr="004460F4">
        <w:rPr>
          <w:spacing w:val="-3"/>
          <w:sz w:val="22"/>
          <w:szCs w:val="22"/>
        </w:rPr>
        <w:t xml:space="preserve">hird party disclosure requirement. </w:t>
      </w:r>
    </w:p>
    <w:p w14:paraId="29C18BA0" w14:textId="77777777" w:rsidR="00183BF5" w:rsidRPr="004460F4" w:rsidRDefault="00183BF5" w:rsidP="00183BF5">
      <w:pPr>
        <w:tabs>
          <w:tab w:val="left" w:pos="-720"/>
        </w:tabs>
        <w:suppressAutoHyphens/>
        <w:rPr>
          <w:spacing w:val="-3"/>
          <w:sz w:val="22"/>
          <w:szCs w:val="22"/>
        </w:rPr>
      </w:pPr>
    </w:p>
    <w:p w14:paraId="0116306D" w14:textId="77777777" w:rsidR="00183BF5" w:rsidRPr="004460F4" w:rsidRDefault="00183BF5" w:rsidP="00183BF5">
      <w:pPr>
        <w:tabs>
          <w:tab w:val="left" w:pos="-720"/>
        </w:tabs>
        <w:suppressAutoHyphens/>
        <w:rPr>
          <w:spacing w:val="-3"/>
          <w:sz w:val="22"/>
          <w:szCs w:val="22"/>
        </w:rPr>
      </w:pPr>
      <w:r w:rsidRPr="004460F4">
        <w:rPr>
          <w:spacing w:val="-3"/>
          <w:sz w:val="22"/>
          <w:szCs w:val="22"/>
        </w:rPr>
        <w:tab/>
        <w:t xml:space="preserve">(3)  </w:t>
      </w:r>
      <w:r w:rsidRPr="004460F4">
        <w:rPr>
          <w:spacing w:val="-3"/>
          <w:sz w:val="22"/>
          <w:szCs w:val="22"/>
          <w:u w:val="single"/>
        </w:rPr>
        <w:t>Total number of responses annually</w:t>
      </w:r>
      <w:r w:rsidRPr="004460F4">
        <w:rPr>
          <w:spacing w:val="-3"/>
          <w:sz w:val="22"/>
          <w:szCs w:val="22"/>
        </w:rPr>
        <w:t xml:space="preserve">:  Approximately </w:t>
      </w:r>
      <w:r w:rsidR="00A019AC" w:rsidRPr="004460F4">
        <w:rPr>
          <w:spacing w:val="-3"/>
          <w:sz w:val="22"/>
          <w:szCs w:val="22"/>
        </w:rPr>
        <w:t>20</w:t>
      </w:r>
      <w:r w:rsidRPr="004460F4">
        <w:rPr>
          <w:spacing w:val="-3"/>
          <w:sz w:val="22"/>
          <w:szCs w:val="22"/>
        </w:rPr>
        <w:t>.</w:t>
      </w:r>
    </w:p>
    <w:p w14:paraId="4B4C7B05" w14:textId="77777777" w:rsidR="00183BF5" w:rsidRPr="004460F4" w:rsidRDefault="00183BF5" w:rsidP="00183BF5">
      <w:pPr>
        <w:tabs>
          <w:tab w:val="left" w:pos="-720"/>
        </w:tabs>
        <w:suppressAutoHyphens/>
        <w:rPr>
          <w:spacing w:val="-3"/>
          <w:sz w:val="22"/>
          <w:szCs w:val="22"/>
        </w:rPr>
      </w:pPr>
    </w:p>
    <w:p w14:paraId="50185C36" w14:textId="77777777" w:rsidR="00183BF5" w:rsidRPr="004460F4" w:rsidRDefault="00183BF5" w:rsidP="005070CD">
      <w:pPr>
        <w:tabs>
          <w:tab w:val="left" w:pos="-720"/>
        </w:tabs>
        <w:suppressAutoHyphens/>
        <w:ind w:left="720"/>
        <w:rPr>
          <w:sz w:val="22"/>
          <w:szCs w:val="22"/>
        </w:rPr>
      </w:pPr>
      <w:r w:rsidRPr="004460F4">
        <w:rPr>
          <w:spacing w:val="-3"/>
          <w:sz w:val="22"/>
          <w:szCs w:val="22"/>
        </w:rPr>
        <w:t xml:space="preserve">(4)  </w:t>
      </w:r>
      <w:r w:rsidRPr="004460F4">
        <w:rPr>
          <w:spacing w:val="-3"/>
          <w:sz w:val="22"/>
          <w:szCs w:val="22"/>
          <w:u w:val="single"/>
        </w:rPr>
        <w:t xml:space="preserve">Estimated Time </w:t>
      </w:r>
      <w:r w:rsidR="00073508" w:rsidRPr="004460F4">
        <w:rPr>
          <w:spacing w:val="-3"/>
          <w:sz w:val="22"/>
          <w:szCs w:val="22"/>
          <w:u w:val="single"/>
        </w:rPr>
        <w:t>per</w:t>
      </w:r>
      <w:r w:rsidRPr="004460F4">
        <w:rPr>
          <w:spacing w:val="-3"/>
          <w:sz w:val="22"/>
          <w:szCs w:val="22"/>
          <w:u w:val="single"/>
        </w:rPr>
        <w:t xml:space="preserve"> Response</w:t>
      </w:r>
      <w:r w:rsidR="00D601EE" w:rsidRPr="004460F4">
        <w:rPr>
          <w:spacing w:val="-3"/>
          <w:sz w:val="22"/>
          <w:szCs w:val="22"/>
        </w:rPr>
        <w:t xml:space="preserve">:  </w:t>
      </w:r>
      <w:r w:rsidR="00904581" w:rsidRPr="004460F4">
        <w:rPr>
          <w:spacing w:val="-3"/>
          <w:sz w:val="22"/>
          <w:szCs w:val="22"/>
        </w:rPr>
        <w:t xml:space="preserve">Approximately </w:t>
      </w:r>
      <w:r w:rsidR="00B305EF" w:rsidRPr="004460F4">
        <w:rPr>
          <w:spacing w:val="-3"/>
          <w:sz w:val="22"/>
          <w:szCs w:val="22"/>
        </w:rPr>
        <w:t xml:space="preserve">15 </w:t>
      </w:r>
      <w:r w:rsidRPr="004460F4">
        <w:rPr>
          <w:spacing w:val="-3"/>
          <w:sz w:val="22"/>
          <w:szCs w:val="22"/>
        </w:rPr>
        <w:t>hours.</w:t>
      </w:r>
      <w:r w:rsidR="008F7AFE" w:rsidRPr="004460F4">
        <w:rPr>
          <w:sz w:val="22"/>
          <w:szCs w:val="22"/>
        </w:rPr>
        <w:t xml:space="preserve">  It is difficult to estimate the time per respons</w:t>
      </w:r>
      <w:r w:rsidR="005070CD" w:rsidRPr="004460F4">
        <w:rPr>
          <w:sz w:val="22"/>
          <w:szCs w:val="22"/>
        </w:rPr>
        <w:t>e because the Commission is not dictating the precise form of the consumer disclosure.</w:t>
      </w:r>
      <w:r w:rsidR="007F05B9" w:rsidRPr="004460F4">
        <w:rPr>
          <w:sz w:val="22"/>
          <w:szCs w:val="22"/>
        </w:rPr>
        <w:t xml:space="preserve">  Each provider will post</w:t>
      </w:r>
      <w:r w:rsidR="0091113A" w:rsidRPr="004460F4">
        <w:rPr>
          <w:sz w:val="22"/>
          <w:szCs w:val="22"/>
        </w:rPr>
        <w:t xml:space="preserve"> the</w:t>
      </w:r>
      <w:r w:rsidR="007F05B9" w:rsidRPr="004460F4">
        <w:rPr>
          <w:sz w:val="22"/>
          <w:szCs w:val="22"/>
        </w:rPr>
        <w:t xml:space="preserve"> relevant information on its website</w:t>
      </w:r>
      <w:r w:rsidR="00D76571" w:rsidRPr="004460F4">
        <w:rPr>
          <w:sz w:val="22"/>
          <w:szCs w:val="22"/>
        </w:rPr>
        <w:t xml:space="preserve"> or </w:t>
      </w:r>
      <w:r w:rsidR="00CF71C4">
        <w:rPr>
          <w:sz w:val="22"/>
          <w:szCs w:val="22"/>
        </w:rPr>
        <w:t xml:space="preserve">provide the information </w:t>
      </w:r>
      <w:r w:rsidR="00D76571" w:rsidRPr="00AB1E80">
        <w:rPr>
          <w:sz w:val="22"/>
          <w:szCs w:val="22"/>
        </w:rPr>
        <w:t>in another manner readily available to consumers</w:t>
      </w:r>
      <w:r w:rsidR="00D75DDF">
        <w:rPr>
          <w:sz w:val="22"/>
          <w:szCs w:val="22"/>
        </w:rPr>
        <w:t xml:space="preserve"> </w:t>
      </w:r>
      <w:r w:rsidR="007F05B9" w:rsidRPr="00AB1E80">
        <w:rPr>
          <w:sz w:val="22"/>
          <w:szCs w:val="22"/>
        </w:rPr>
        <w:t>a</w:t>
      </w:r>
      <w:r w:rsidR="007F05B9" w:rsidRPr="004460F4">
        <w:rPr>
          <w:sz w:val="22"/>
          <w:szCs w:val="22"/>
        </w:rPr>
        <w:t xml:space="preserve">nd will be required to update the information only when the </w:t>
      </w:r>
      <w:r w:rsidR="000B2D17" w:rsidRPr="004460F4">
        <w:rPr>
          <w:sz w:val="22"/>
          <w:szCs w:val="22"/>
        </w:rPr>
        <w:t xml:space="preserve">provider </w:t>
      </w:r>
      <w:r w:rsidR="007F05B9" w:rsidRPr="004460F4">
        <w:rPr>
          <w:sz w:val="22"/>
          <w:szCs w:val="22"/>
        </w:rPr>
        <w:t>changes</w:t>
      </w:r>
      <w:r w:rsidR="000B2D17" w:rsidRPr="004460F4">
        <w:rPr>
          <w:sz w:val="22"/>
          <w:szCs w:val="22"/>
        </w:rPr>
        <w:t xml:space="preserve"> an ICS rate</w:t>
      </w:r>
      <w:r w:rsidR="007F05B9" w:rsidRPr="004460F4">
        <w:rPr>
          <w:sz w:val="22"/>
          <w:szCs w:val="22"/>
        </w:rPr>
        <w:t xml:space="preserve">. </w:t>
      </w:r>
      <w:r w:rsidR="00121942">
        <w:rPr>
          <w:sz w:val="22"/>
          <w:szCs w:val="22"/>
        </w:rPr>
        <w:t xml:space="preserve"> </w:t>
      </w:r>
      <w:r w:rsidR="00B5163F" w:rsidRPr="004460F4">
        <w:rPr>
          <w:sz w:val="22"/>
          <w:szCs w:val="22"/>
        </w:rPr>
        <w:t xml:space="preserve">We estimate that </w:t>
      </w:r>
      <w:r w:rsidR="00D50157" w:rsidRPr="004460F4">
        <w:rPr>
          <w:sz w:val="22"/>
          <w:szCs w:val="22"/>
        </w:rPr>
        <w:t xml:space="preserve">compliance will require approximately </w:t>
      </w:r>
      <w:r w:rsidR="00B305EF" w:rsidRPr="004460F4">
        <w:rPr>
          <w:sz w:val="22"/>
          <w:szCs w:val="22"/>
        </w:rPr>
        <w:t xml:space="preserve">15 </w:t>
      </w:r>
      <w:r w:rsidR="00D50157" w:rsidRPr="004460F4">
        <w:rPr>
          <w:sz w:val="22"/>
          <w:szCs w:val="22"/>
        </w:rPr>
        <w:t>hours per provider</w:t>
      </w:r>
      <w:r w:rsidR="007F05B9" w:rsidRPr="004460F4">
        <w:rPr>
          <w:sz w:val="22"/>
          <w:szCs w:val="22"/>
        </w:rPr>
        <w:t xml:space="preserve"> annually</w:t>
      </w:r>
      <w:r w:rsidR="00D76571" w:rsidRPr="004460F4">
        <w:rPr>
          <w:sz w:val="22"/>
          <w:szCs w:val="22"/>
        </w:rPr>
        <w:t xml:space="preserve">, with </w:t>
      </w:r>
      <w:r w:rsidR="00B305EF" w:rsidRPr="004460F4">
        <w:rPr>
          <w:sz w:val="22"/>
          <w:szCs w:val="22"/>
        </w:rPr>
        <w:t xml:space="preserve">10 </w:t>
      </w:r>
      <w:r w:rsidR="00D76571" w:rsidRPr="004460F4">
        <w:rPr>
          <w:sz w:val="22"/>
          <w:szCs w:val="22"/>
        </w:rPr>
        <w:t xml:space="preserve">hours allocated to </w:t>
      </w:r>
      <w:r w:rsidR="00E25E2A">
        <w:rPr>
          <w:sz w:val="22"/>
          <w:szCs w:val="22"/>
        </w:rPr>
        <w:t xml:space="preserve">verifying that the provider has </w:t>
      </w:r>
      <w:r w:rsidR="00D76571" w:rsidRPr="004460F4">
        <w:rPr>
          <w:sz w:val="22"/>
          <w:szCs w:val="22"/>
        </w:rPr>
        <w:t>post</w:t>
      </w:r>
      <w:r w:rsidR="00E25E2A">
        <w:rPr>
          <w:sz w:val="22"/>
          <w:szCs w:val="22"/>
        </w:rPr>
        <w:t xml:space="preserve">ed </w:t>
      </w:r>
      <w:r w:rsidR="00CF71C4">
        <w:rPr>
          <w:sz w:val="22"/>
          <w:szCs w:val="22"/>
        </w:rPr>
        <w:t xml:space="preserve">or </w:t>
      </w:r>
      <w:r w:rsidR="00E25E2A">
        <w:rPr>
          <w:sz w:val="22"/>
          <w:szCs w:val="22"/>
        </w:rPr>
        <w:t xml:space="preserve">is </w:t>
      </w:r>
      <w:r w:rsidR="00CF71C4">
        <w:rPr>
          <w:sz w:val="22"/>
          <w:szCs w:val="22"/>
        </w:rPr>
        <w:t xml:space="preserve">providing </w:t>
      </w:r>
      <w:r w:rsidR="00D76571" w:rsidRPr="00AB1E80">
        <w:rPr>
          <w:sz w:val="22"/>
          <w:szCs w:val="22"/>
        </w:rPr>
        <w:t xml:space="preserve">the </w:t>
      </w:r>
      <w:r w:rsidR="00E25E2A">
        <w:rPr>
          <w:sz w:val="22"/>
          <w:szCs w:val="22"/>
        </w:rPr>
        <w:t xml:space="preserve">required </w:t>
      </w:r>
      <w:r w:rsidR="00D76571" w:rsidRPr="00AB1E80">
        <w:rPr>
          <w:sz w:val="22"/>
          <w:szCs w:val="22"/>
        </w:rPr>
        <w:t xml:space="preserve">information, and another </w:t>
      </w:r>
      <w:r w:rsidR="00B305EF" w:rsidRPr="00AB1E80">
        <w:rPr>
          <w:sz w:val="22"/>
          <w:szCs w:val="22"/>
        </w:rPr>
        <w:t xml:space="preserve">5 </w:t>
      </w:r>
      <w:r w:rsidR="00D76571" w:rsidRPr="004460F4">
        <w:rPr>
          <w:sz w:val="22"/>
          <w:szCs w:val="22"/>
        </w:rPr>
        <w:t xml:space="preserve">hours allocated to updating the information throughout the year. </w:t>
      </w:r>
    </w:p>
    <w:p w14:paraId="5196706A" w14:textId="77777777" w:rsidR="00183BF5" w:rsidRPr="004460F4" w:rsidRDefault="00183BF5" w:rsidP="00183BF5">
      <w:pPr>
        <w:tabs>
          <w:tab w:val="left" w:pos="-720"/>
        </w:tabs>
        <w:suppressAutoHyphens/>
        <w:rPr>
          <w:spacing w:val="-3"/>
          <w:sz w:val="22"/>
          <w:szCs w:val="22"/>
        </w:rPr>
      </w:pPr>
    </w:p>
    <w:p w14:paraId="13636276" w14:textId="77777777" w:rsidR="00183BF5" w:rsidRPr="004460F4" w:rsidRDefault="004412A3" w:rsidP="00306CAB">
      <w:pPr>
        <w:tabs>
          <w:tab w:val="left" w:pos="-720"/>
          <w:tab w:val="left" w:pos="990"/>
        </w:tabs>
        <w:suppressAutoHyphens/>
        <w:ind w:left="720"/>
        <w:rPr>
          <w:spacing w:val="-3"/>
          <w:sz w:val="22"/>
          <w:szCs w:val="22"/>
        </w:rPr>
      </w:pPr>
      <w:r w:rsidRPr="004460F4">
        <w:rPr>
          <w:spacing w:val="-3"/>
          <w:sz w:val="22"/>
          <w:szCs w:val="22"/>
        </w:rPr>
        <w:tab/>
      </w:r>
      <w:r w:rsidR="00306CAB" w:rsidRPr="004460F4">
        <w:rPr>
          <w:spacing w:val="-3"/>
          <w:sz w:val="22"/>
          <w:szCs w:val="22"/>
        </w:rPr>
        <w:tab/>
      </w:r>
      <w:r w:rsidR="000B2D17" w:rsidRPr="004460F4">
        <w:rPr>
          <w:spacing w:val="-3"/>
          <w:sz w:val="22"/>
          <w:szCs w:val="22"/>
        </w:rPr>
        <w:t>20</w:t>
      </w:r>
      <w:r w:rsidR="00031A49" w:rsidRPr="004460F4">
        <w:rPr>
          <w:spacing w:val="-3"/>
          <w:sz w:val="22"/>
          <w:szCs w:val="22"/>
        </w:rPr>
        <w:t xml:space="preserve"> </w:t>
      </w:r>
      <w:r w:rsidR="006205BF" w:rsidRPr="004460F4">
        <w:rPr>
          <w:spacing w:val="-3"/>
          <w:sz w:val="22"/>
          <w:szCs w:val="22"/>
        </w:rPr>
        <w:t xml:space="preserve">respondents </w:t>
      </w:r>
      <w:r w:rsidR="00031A49" w:rsidRPr="004460F4">
        <w:rPr>
          <w:spacing w:val="-3"/>
          <w:sz w:val="22"/>
          <w:szCs w:val="22"/>
        </w:rPr>
        <w:t xml:space="preserve">x </w:t>
      </w:r>
      <w:r w:rsidR="00B305EF" w:rsidRPr="004460F4">
        <w:rPr>
          <w:spacing w:val="-3"/>
          <w:sz w:val="22"/>
          <w:szCs w:val="22"/>
        </w:rPr>
        <w:t xml:space="preserve">15 </w:t>
      </w:r>
      <w:r w:rsidR="00183BF5" w:rsidRPr="004460F4">
        <w:rPr>
          <w:spacing w:val="-3"/>
          <w:sz w:val="22"/>
          <w:szCs w:val="22"/>
        </w:rPr>
        <w:t>hours per response x 1 respo</w:t>
      </w:r>
      <w:r w:rsidR="00031A49" w:rsidRPr="004460F4">
        <w:rPr>
          <w:spacing w:val="-3"/>
          <w:sz w:val="22"/>
          <w:szCs w:val="22"/>
        </w:rPr>
        <w:t xml:space="preserve">nse per year per respondent = </w:t>
      </w:r>
      <w:r w:rsidR="000B2D17" w:rsidRPr="004460F4">
        <w:rPr>
          <w:spacing w:val="-3"/>
          <w:sz w:val="22"/>
          <w:szCs w:val="22"/>
        </w:rPr>
        <w:t xml:space="preserve">300 </w:t>
      </w:r>
      <w:r w:rsidR="00183BF5" w:rsidRPr="004460F4">
        <w:rPr>
          <w:spacing w:val="-3"/>
          <w:sz w:val="22"/>
          <w:szCs w:val="22"/>
        </w:rPr>
        <w:t>hours.</w:t>
      </w:r>
    </w:p>
    <w:p w14:paraId="66C4F513" w14:textId="77777777" w:rsidR="00183BF5" w:rsidRPr="004460F4" w:rsidRDefault="00183BF5" w:rsidP="00183BF5">
      <w:pPr>
        <w:tabs>
          <w:tab w:val="left" w:pos="-720"/>
        </w:tabs>
        <w:suppressAutoHyphens/>
        <w:rPr>
          <w:spacing w:val="-3"/>
          <w:sz w:val="22"/>
          <w:szCs w:val="22"/>
        </w:rPr>
      </w:pPr>
    </w:p>
    <w:p w14:paraId="2CFABA30" w14:textId="77777777" w:rsidR="00183BF5" w:rsidRPr="004460F4" w:rsidRDefault="00183BF5" w:rsidP="00183BF5">
      <w:pPr>
        <w:tabs>
          <w:tab w:val="left" w:pos="-720"/>
        </w:tabs>
        <w:suppressAutoHyphens/>
        <w:rPr>
          <w:spacing w:val="-3"/>
          <w:sz w:val="22"/>
          <w:szCs w:val="22"/>
        </w:rPr>
      </w:pPr>
      <w:r w:rsidRPr="004460F4">
        <w:rPr>
          <w:spacing w:val="-3"/>
          <w:sz w:val="22"/>
          <w:szCs w:val="22"/>
        </w:rPr>
        <w:tab/>
        <w:t xml:space="preserve">(5)  </w:t>
      </w:r>
      <w:r w:rsidRPr="004460F4">
        <w:rPr>
          <w:spacing w:val="-3"/>
          <w:sz w:val="22"/>
          <w:szCs w:val="22"/>
          <w:u w:val="single"/>
        </w:rPr>
        <w:t>Total annual burden</w:t>
      </w:r>
      <w:r w:rsidRPr="004460F4">
        <w:rPr>
          <w:spacing w:val="-3"/>
          <w:sz w:val="22"/>
          <w:szCs w:val="22"/>
        </w:rPr>
        <w:t xml:space="preserve">:  </w:t>
      </w:r>
      <w:r w:rsidR="00992695" w:rsidRPr="004460F4">
        <w:rPr>
          <w:spacing w:val="-3"/>
          <w:sz w:val="22"/>
          <w:szCs w:val="22"/>
        </w:rPr>
        <w:t>A</w:t>
      </w:r>
      <w:r w:rsidR="002E1B8D" w:rsidRPr="004460F4">
        <w:rPr>
          <w:spacing w:val="-3"/>
          <w:sz w:val="22"/>
          <w:szCs w:val="22"/>
        </w:rPr>
        <w:t>p</w:t>
      </w:r>
      <w:r w:rsidR="00992695" w:rsidRPr="004460F4">
        <w:rPr>
          <w:spacing w:val="-3"/>
          <w:sz w:val="22"/>
          <w:szCs w:val="22"/>
        </w:rPr>
        <w:t>proximately</w:t>
      </w:r>
      <w:r w:rsidR="002E1B8D" w:rsidRPr="004460F4">
        <w:rPr>
          <w:spacing w:val="-3"/>
          <w:sz w:val="22"/>
          <w:szCs w:val="22"/>
        </w:rPr>
        <w:t xml:space="preserve"> </w:t>
      </w:r>
      <w:r w:rsidR="000B2D17" w:rsidRPr="004460F4">
        <w:rPr>
          <w:b/>
          <w:spacing w:val="-3"/>
          <w:sz w:val="22"/>
          <w:szCs w:val="22"/>
        </w:rPr>
        <w:t xml:space="preserve">300 </w:t>
      </w:r>
      <w:r w:rsidRPr="004460F4">
        <w:rPr>
          <w:b/>
          <w:spacing w:val="-3"/>
          <w:sz w:val="22"/>
          <w:szCs w:val="22"/>
        </w:rPr>
        <w:t>hours</w:t>
      </w:r>
      <w:r w:rsidRPr="004460F4">
        <w:rPr>
          <w:spacing w:val="-3"/>
          <w:sz w:val="22"/>
          <w:szCs w:val="22"/>
        </w:rPr>
        <w:t>.</w:t>
      </w:r>
    </w:p>
    <w:p w14:paraId="29C58693" w14:textId="77777777" w:rsidR="00183BF5" w:rsidRPr="004460F4" w:rsidRDefault="00183BF5" w:rsidP="004460F4">
      <w:pPr>
        <w:tabs>
          <w:tab w:val="left" w:pos="-720"/>
        </w:tabs>
        <w:suppressAutoHyphens/>
        <w:rPr>
          <w:spacing w:val="-3"/>
          <w:sz w:val="22"/>
          <w:szCs w:val="22"/>
        </w:rPr>
      </w:pPr>
    </w:p>
    <w:p w14:paraId="19C885A7" w14:textId="77777777" w:rsidR="00C634BF" w:rsidRPr="004460F4" w:rsidRDefault="00C634BF" w:rsidP="00B71ED6">
      <w:pPr>
        <w:tabs>
          <w:tab w:val="left" w:pos="-720"/>
        </w:tabs>
        <w:suppressAutoHyphens/>
        <w:ind w:left="1440"/>
        <w:rPr>
          <w:spacing w:val="-3"/>
          <w:sz w:val="22"/>
          <w:szCs w:val="22"/>
        </w:rPr>
      </w:pPr>
      <w:r w:rsidRPr="004460F4">
        <w:rPr>
          <w:spacing w:val="-3"/>
          <w:sz w:val="22"/>
          <w:szCs w:val="22"/>
        </w:rPr>
        <w:t xml:space="preserve">The Commission estimates that approximately </w:t>
      </w:r>
      <w:r w:rsidR="000B2D17" w:rsidRPr="004460F4">
        <w:rPr>
          <w:spacing w:val="-3"/>
          <w:sz w:val="22"/>
          <w:szCs w:val="22"/>
        </w:rPr>
        <w:t>20</w:t>
      </w:r>
      <w:r w:rsidR="00EA55AF" w:rsidRPr="004460F4">
        <w:rPr>
          <w:spacing w:val="-3"/>
          <w:sz w:val="22"/>
          <w:szCs w:val="22"/>
        </w:rPr>
        <w:t xml:space="preserve"> ICS providers will require approximately </w:t>
      </w:r>
      <w:r w:rsidR="00B305EF" w:rsidRPr="004460F4">
        <w:rPr>
          <w:spacing w:val="-3"/>
          <w:sz w:val="22"/>
          <w:szCs w:val="22"/>
        </w:rPr>
        <w:t xml:space="preserve">15 </w:t>
      </w:r>
      <w:r w:rsidRPr="004460F4">
        <w:rPr>
          <w:spacing w:val="-3"/>
          <w:sz w:val="22"/>
          <w:szCs w:val="22"/>
        </w:rPr>
        <w:t xml:space="preserve">hours </w:t>
      </w:r>
      <w:r w:rsidR="006B0EB7" w:rsidRPr="004460F4">
        <w:rPr>
          <w:spacing w:val="-3"/>
          <w:sz w:val="22"/>
          <w:szCs w:val="22"/>
        </w:rPr>
        <w:t>each to comply with this requirement</w:t>
      </w:r>
      <w:r w:rsidRPr="004460F4">
        <w:rPr>
          <w:spacing w:val="-3"/>
          <w:sz w:val="22"/>
          <w:szCs w:val="22"/>
        </w:rPr>
        <w:t xml:space="preserve">.  </w:t>
      </w:r>
    </w:p>
    <w:p w14:paraId="3CBC1FC0" w14:textId="77777777" w:rsidR="00C634BF" w:rsidRPr="004460F4" w:rsidRDefault="00C634BF" w:rsidP="00C634BF">
      <w:pPr>
        <w:tabs>
          <w:tab w:val="left" w:pos="-720"/>
        </w:tabs>
        <w:suppressAutoHyphens/>
        <w:ind w:left="1440"/>
        <w:rPr>
          <w:spacing w:val="-3"/>
          <w:sz w:val="22"/>
          <w:szCs w:val="22"/>
        </w:rPr>
      </w:pPr>
    </w:p>
    <w:p w14:paraId="181AD88D" w14:textId="77777777" w:rsidR="00183BF5" w:rsidRPr="004460F4" w:rsidRDefault="00EA55AF" w:rsidP="004412A3">
      <w:pPr>
        <w:tabs>
          <w:tab w:val="left" w:pos="-720"/>
        </w:tabs>
        <w:suppressAutoHyphens/>
        <w:ind w:left="1440"/>
        <w:rPr>
          <w:spacing w:val="-3"/>
          <w:sz w:val="22"/>
          <w:szCs w:val="22"/>
        </w:rPr>
      </w:pPr>
      <w:r w:rsidRPr="004460F4">
        <w:rPr>
          <w:spacing w:val="-3"/>
          <w:sz w:val="22"/>
          <w:szCs w:val="22"/>
        </w:rPr>
        <w:t xml:space="preserve">Approximately </w:t>
      </w:r>
      <w:r w:rsidR="000B2D17" w:rsidRPr="004460F4">
        <w:rPr>
          <w:spacing w:val="-3"/>
          <w:sz w:val="22"/>
          <w:szCs w:val="22"/>
        </w:rPr>
        <w:t>20</w:t>
      </w:r>
      <w:r w:rsidR="00183BF5" w:rsidRPr="004460F4">
        <w:rPr>
          <w:spacing w:val="-3"/>
          <w:sz w:val="22"/>
          <w:szCs w:val="22"/>
        </w:rPr>
        <w:t xml:space="preserve"> respondents x </w:t>
      </w:r>
      <w:r w:rsidR="00985F5C" w:rsidRPr="004460F4">
        <w:rPr>
          <w:spacing w:val="-3"/>
          <w:sz w:val="22"/>
          <w:szCs w:val="22"/>
        </w:rPr>
        <w:t>a</w:t>
      </w:r>
      <w:r w:rsidRPr="004460F4">
        <w:rPr>
          <w:spacing w:val="-3"/>
          <w:sz w:val="22"/>
          <w:szCs w:val="22"/>
        </w:rPr>
        <w:t>pproximately 1 response annually</w:t>
      </w:r>
      <w:r w:rsidR="00183BF5" w:rsidRPr="004460F4">
        <w:rPr>
          <w:spacing w:val="-3"/>
          <w:sz w:val="22"/>
          <w:szCs w:val="22"/>
        </w:rPr>
        <w:t xml:space="preserve"> x</w:t>
      </w:r>
      <w:r w:rsidR="001C4F67" w:rsidRPr="004460F4">
        <w:rPr>
          <w:spacing w:val="-3"/>
          <w:sz w:val="22"/>
          <w:szCs w:val="22"/>
        </w:rPr>
        <w:t xml:space="preserve"> </w:t>
      </w:r>
      <w:r w:rsidR="00166DFE" w:rsidRPr="004460F4">
        <w:rPr>
          <w:spacing w:val="-3"/>
          <w:sz w:val="22"/>
          <w:szCs w:val="22"/>
        </w:rPr>
        <w:t xml:space="preserve">approximately </w:t>
      </w:r>
      <w:r w:rsidR="00B305EF" w:rsidRPr="004460F4">
        <w:rPr>
          <w:spacing w:val="-3"/>
          <w:sz w:val="22"/>
          <w:szCs w:val="22"/>
        </w:rPr>
        <w:t xml:space="preserve">15 </w:t>
      </w:r>
      <w:r w:rsidR="00183BF5" w:rsidRPr="004460F4">
        <w:rPr>
          <w:spacing w:val="-3"/>
          <w:sz w:val="22"/>
          <w:szCs w:val="22"/>
        </w:rPr>
        <w:t xml:space="preserve">hours per response = </w:t>
      </w:r>
      <w:r w:rsidRPr="004460F4">
        <w:rPr>
          <w:spacing w:val="-3"/>
          <w:sz w:val="22"/>
          <w:szCs w:val="22"/>
        </w:rPr>
        <w:t>approximately</w:t>
      </w:r>
      <w:r w:rsidR="002E1B8D" w:rsidRPr="004460F4">
        <w:rPr>
          <w:spacing w:val="-3"/>
          <w:sz w:val="22"/>
          <w:szCs w:val="22"/>
        </w:rPr>
        <w:t xml:space="preserve"> </w:t>
      </w:r>
      <w:r w:rsidR="000B2D17" w:rsidRPr="004460F4">
        <w:rPr>
          <w:spacing w:val="-3"/>
          <w:sz w:val="22"/>
          <w:szCs w:val="22"/>
        </w:rPr>
        <w:t>300</w:t>
      </w:r>
      <w:r w:rsidR="00B305EF" w:rsidRPr="004460F4">
        <w:rPr>
          <w:spacing w:val="-3"/>
          <w:sz w:val="22"/>
          <w:szCs w:val="22"/>
        </w:rPr>
        <w:t xml:space="preserve"> </w:t>
      </w:r>
      <w:r w:rsidR="00183BF5" w:rsidRPr="004460F4">
        <w:rPr>
          <w:spacing w:val="-3"/>
          <w:sz w:val="22"/>
          <w:szCs w:val="22"/>
        </w:rPr>
        <w:t>hours.</w:t>
      </w:r>
    </w:p>
    <w:p w14:paraId="58F25DDB" w14:textId="77777777" w:rsidR="00183BF5" w:rsidRPr="004460F4" w:rsidRDefault="00183BF5" w:rsidP="00183BF5">
      <w:pPr>
        <w:tabs>
          <w:tab w:val="left" w:pos="-720"/>
        </w:tabs>
        <w:suppressAutoHyphens/>
        <w:rPr>
          <w:spacing w:val="-3"/>
          <w:sz w:val="22"/>
          <w:szCs w:val="22"/>
        </w:rPr>
      </w:pPr>
    </w:p>
    <w:p w14:paraId="65078315" w14:textId="77777777" w:rsidR="00183BF5" w:rsidRPr="004460F4" w:rsidRDefault="00183BF5" w:rsidP="00183BF5">
      <w:pPr>
        <w:tabs>
          <w:tab w:val="left" w:pos="-720"/>
        </w:tabs>
        <w:suppressAutoHyphens/>
        <w:rPr>
          <w:spacing w:val="-3"/>
          <w:sz w:val="22"/>
          <w:szCs w:val="22"/>
        </w:rPr>
      </w:pPr>
      <w:r w:rsidRPr="004460F4">
        <w:rPr>
          <w:spacing w:val="-3"/>
          <w:sz w:val="22"/>
          <w:szCs w:val="22"/>
        </w:rPr>
        <w:tab/>
        <w:t xml:space="preserve">(6)  </w:t>
      </w:r>
      <w:r w:rsidRPr="004460F4">
        <w:rPr>
          <w:spacing w:val="-3"/>
          <w:sz w:val="22"/>
          <w:szCs w:val="22"/>
          <w:u w:val="single"/>
        </w:rPr>
        <w:t>Total estimate of “</w:t>
      </w:r>
      <w:r w:rsidR="002E1B8D" w:rsidRPr="004460F4">
        <w:rPr>
          <w:spacing w:val="-3"/>
          <w:sz w:val="22"/>
          <w:szCs w:val="22"/>
          <w:u w:val="single"/>
        </w:rPr>
        <w:t>in-</w:t>
      </w:r>
      <w:r w:rsidRPr="004460F4">
        <w:rPr>
          <w:spacing w:val="-3"/>
          <w:sz w:val="22"/>
          <w:szCs w:val="22"/>
          <w:u w:val="single"/>
        </w:rPr>
        <w:t>house” cost to respondents:</w:t>
      </w:r>
      <w:r w:rsidRPr="004460F4">
        <w:rPr>
          <w:spacing w:val="-3"/>
          <w:sz w:val="22"/>
          <w:szCs w:val="22"/>
        </w:rPr>
        <w:t xml:space="preserve">  </w:t>
      </w:r>
      <w:r w:rsidRPr="004460F4">
        <w:rPr>
          <w:b/>
          <w:sz w:val="22"/>
          <w:szCs w:val="22"/>
        </w:rPr>
        <w:t>$</w:t>
      </w:r>
      <w:r w:rsidR="00565190" w:rsidRPr="004460F4">
        <w:rPr>
          <w:b/>
          <w:sz w:val="22"/>
          <w:szCs w:val="22"/>
        </w:rPr>
        <w:t>37,500</w:t>
      </w:r>
      <w:r w:rsidRPr="004460F4">
        <w:rPr>
          <w:sz w:val="22"/>
          <w:szCs w:val="22"/>
        </w:rPr>
        <w:t>.</w:t>
      </w:r>
    </w:p>
    <w:p w14:paraId="6C3CA560" w14:textId="77777777" w:rsidR="00183BF5" w:rsidRPr="004460F4" w:rsidRDefault="00183BF5" w:rsidP="00183BF5">
      <w:pPr>
        <w:tabs>
          <w:tab w:val="left" w:pos="-720"/>
        </w:tabs>
        <w:suppressAutoHyphens/>
        <w:rPr>
          <w:spacing w:val="-3"/>
          <w:sz w:val="22"/>
          <w:szCs w:val="22"/>
        </w:rPr>
      </w:pPr>
    </w:p>
    <w:p w14:paraId="6DA15187" w14:textId="77777777" w:rsidR="00183BF5" w:rsidRPr="004460F4" w:rsidRDefault="00183BF5" w:rsidP="00183BF5">
      <w:pPr>
        <w:tabs>
          <w:tab w:val="left" w:pos="-720"/>
        </w:tabs>
        <w:suppressAutoHyphens/>
        <w:rPr>
          <w:sz w:val="22"/>
          <w:szCs w:val="22"/>
        </w:rPr>
      </w:pPr>
      <w:r w:rsidRPr="004460F4">
        <w:rPr>
          <w:sz w:val="22"/>
          <w:szCs w:val="22"/>
        </w:rPr>
        <w:tab/>
        <w:t xml:space="preserve">(7)  </w:t>
      </w:r>
      <w:r w:rsidRPr="004460F4">
        <w:rPr>
          <w:sz w:val="22"/>
          <w:szCs w:val="22"/>
          <w:u w:val="single"/>
        </w:rPr>
        <w:t>Explanation of the calculation</w:t>
      </w:r>
      <w:r w:rsidRPr="004460F4">
        <w:rPr>
          <w:sz w:val="22"/>
          <w:szCs w:val="22"/>
        </w:rPr>
        <w:t xml:space="preserve">:  </w:t>
      </w:r>
    </w:p>
    <w:p w14:paraId="60C19968" w14:textId="77777777" w:rsidR="00183BF5" w:rsidRPr="004460F4" w:rsidRDefault="00183BF5" w:rsidP="00183BF5">
      <w:pPr>
        <w:tabs>
          <w:tab w:val="left" w:pos="-720"/>
        </w:tabs>
        <w:suppressAutoHyphens/>
        <w:rPr>
          <w:sz w:val="22"/>
          <w:szCs w:val="22"/>
        </w:rPr>
      </w:pPr>
    </w:p>
    <w:p w14:paraId="7E27243D" w14:textId="77777777" w:rsidR="00183BF5" w:rsidRPr="004460F4" w:rsidRDefault="00183BF5" w:rsidP="00183BF5">
      <w:pPr>
        <w:tabs>
          <w:tab w:val="left" w:pos="-720"/>
        </w:tabs>
        <w:suppressAutoHyphens/>
        <w:ind w:left="1440"/>
        <w:rPr>
          <w:sz w:val="22"/>
          <w:szCs w:val="22"/>
        </w:rPr>
      </w:pPr>
      <w:r w:rsidRPr="004460F4">
        <w:rPr>
          <w:sz w:val="22"/>
          <w:szCs w:val="22"/>
        </w:rPr>
        <w:t xml:space="preserve">The Commission estimates that </w:t>
      </w:r>
      <w:r w:rsidR="000B2D17" w:rsidRPr="004460F4">
        <w:rPr>
          <w:sz w:val="22"/>
          <w:szCs w:val="22"/>
        </w:rPr>
        <w:t>20</w:t>
      </w:r>
      <w:r w:rsidRPr="004460F4">
        <w:rPr>
          <w:sz w:val="22"/>
          <w:szCs w:val="22"/>
        </w:rPr>
        <w:t xml:space="preserve"> ICS providers will be subject to the consumer disclosure requirements.</w:t>
      </w:r>
    </w:p>
    <w:p w14:paraId="3EA622DC" w14:textId="77777777" w:rsidR="00183BF5" w:rsidRPr="004460F4" w:rsidRDefault="00183BF5" w:rsidP="00183BF5">
      <w:pPr>
        <w:tabs>
          <w:tab w:val="left" w:pos="-720"/>
        </w:tabs>
        <w:suppressAutoHyphens/>
        <w:rPr>
          <w:sz w:val="22"/>
          <w:szCs w:val="22"/>
        </w:rPr>
      </w:pPr>
    </w:p>
    <w:p w14:paraId="06941E94" w14:textId="77777777" w:rsidR="004127AC" w:rsidRPr="00AB1E80" w:rsidRDefault="00183BF5" w:rsidP="00E63DCE">
      <w:pPr>
        <w:tabs>
          <w:tab w:val="left" w:pos="-720"/>
        </w:tabs>
        <w:suppressAutoHyphens/>
        <w:ind w:left="1440"/>
        <w:rPr>
          <w:sz w:val="22"/>
          <w:szCs w:val="22"/>
        </w:rPr>
      </w:pPr>
      <w:r w:rsidRPr="004460F4">
        <w:rPr>
          <w:sz w:val="22"/>
          <w:szCs w:val="22"/>
        </w:rPr>
        <w:t>We assume t</w:t>
      </w:r>
      <w:r w:rsidR="00763527" w:rsidRPr="004460F4">
        <w:rPr>
          <w:sz w:val="22"/>
          <w:szCs w:val="22"/>
        </w:rPr>
        <w:t xml:space="preserve">hat respondents will use </w:t>
      </w:r>
      <w:r w:rsidR="000740E9" w:rsidRPr="004460F4">
        <w:rPr>
          <w:sz w:val="22"/>
          <w:szCs w:val="22"/>
        </w:rPr>
        <w:t xml:space="preserve">approximately </w:t>
      </w:r>
      <w:r w:rsidR="007D7054" w:rsidRPr="004460F4">
        <w:rPr>
          <w:sz w:val="22"/>
          <w:szCs w:val="22"/>
        </w:rPr>
        <w:t xml:space="preserve">15 </w:t>
      </w:r>
      <w:r w:rsidRPr="004460F4">
        <w:rPr>
          <w:sz w:val="22"/>
          <w:szCs w:val="22"/>
        </w:rPr>
        <w:t xml:space="preserve">hours of an officer of the </w:t>
      </w:r>
      <w:r w:rsidR="00AB1E80">
        <w:rPr>
          <w:sz w:val="22"/>
          <w:szCs w:val="22"/>
        </w:rPr>
        <w:t>c</w:t>
      </w:r>
      <w:r w:rsidRPr="00AB1E80">
        <w:rPr>
          <w:sz w:val="22"/>
          <w:szCs w:val="22"/>
        </w:rPr>
        <w:t>ompany’s time (rate of $</w:t>
      </w:r>
      <w:r w:rsidR="00DD740A" w:rsidRPr="00AB1E80">
        <w:rPr>
          <w:sz w:val="22"/>
          <w:szCs w:val="22"/>
        </w:rPr>
        <w:t>125</w:t>
      </w:r>
      <w:r w:rsidRPr="00AB1E80">
        <w:rPr>
          <w:sz w:val="22"/>
          <w:szCs w:val="22"/>
        </w:rPr>
        <w:t xml:space="preserve">/hour) to satisfy this requirement.  Thus </w:t>
      </w:r>
      <w:r w:rsidR="00565190" w:rsidRPr="00AB1E80">
        <w:rPr>
          <w:sz w:val="22"/>
          <w:szCs w:val="22"/>
        </w:rPr>
        <w:t>300</w:t>
      </w:r>
      <w:r w:rsidR="007D7054" w:rsidRPr="004460F4">
        <w:rPr>
          <w:sz w:val="22"/>
          <w:szCs w:val="22"/>
        </w:rPr>
        <w:t xml:space="preserve"> </w:t>
      </w:r>
      <w:r w:rsidRPr="004460F4">
        <w:rPr>
          <w:sz w:val="22"/>
          <w:szCs w:val="22"/>
        </w:rPr>
        <w:t>hours per year x $1</w:t>
      </w:r>
      <w:r w:rsidR="00DD740A" w:rsidRPr="004460F4">
        <w:rPr>
          <w:sz w:val="22"/>
          <w:szCs w:val="22"/>
        </w:rPr>
        <w:t>25</w:t>
      </w:r>
      <w:r w:rsidRPr="004460F4">
        <w:rPr>
          <w:sz w:val="22"/>
          <w:szCs w:val="22"/>
        </w:rPr>
        <w:t xml:space="preserve"> = $</w:t>
      </w:r>
      <w:r w:rsidR="00565190" w:rsidRPr="004460F4">
        <w:rPr>
          <w:sz w:val="22"/>
          <w:szCs w:val="22"/>
        </w:rPr>
        <w:t>37,500</w:t>
      </w:r>
      <w:r w:rsidR="00DD740A" w:rsidRPr="00AB1E80">
        <w:rPr>
          <w:sz w:val="22"/>
          <w:szCs w:val="22"/>
        </w:rPr>
        <w:t>.</w:t>
      </w:r>
    </w:p>
    <w:p w14:paraId="7B65C045" w14:textId="77777777" w:rsidR="00D136C4" w:rsidRPr="004460F4" w:rsidRDefault="00D136C4" w:rsidP="00306CAB">
      <w:pPr>
        <w:tabs>
          <w:tab w:val="left" w:pos="-720"/>
        </w:tabs>
        <w:suppressAutoHyphens/>
        <w:rPr>
          <w:sz w:val="22"/>
          <w:szCs w:val="22"/>
        </w:rPr>
      </w:pPr>
    </w:p>
    <w:p w14:paraId="098E133A" w14:textId="77777777" w:rsidR="007E0735" w:rsidRPr="00AB1E80" w:rsidRDefault="00D136C4" w:rsidP="007E0735">
      <w:pPr>
        <w:keepLines/>
        <w:tabs>
          <w:tab w:val="left" w:pos="-720"/>
        </w:tabs>
        <w:suppressAutoHyphens/>
        <w:rPr>
          <w:b/>
          <w:spacing w:val="-3"/>
          <w:sz w:val="22"/>
          <w:szCs w:val="22"/>
        </w:rPr>
      </w:pPr>
      <w:r w:rsidRPr="004460F4">
        <w:rPr>
          <w:b/>
          <w:spacing w:val="-3"/>
          <w:sz w:val="22"/>
          <w:szCs w:val="22"/>
        </w:rPr>
        <w:t xml:space="preserve">d. </w:t>
      </w:r>
      <w:r w:rsidR="00763527" w:rsidRPr="004460F4">
        <w:rPr>
          <w:b/>
          <w:spacing w:val="-3"/>
          <w:sz w:val="22"/>
          <w:szCs w:val="22"/>
        </w:rPr>
        <w:tab/>
      </w:r>
      <w:r w:rsidR="007E0735" w:rsidRPr="004460F4">
        <w:rPr>
          <w:b/>
          <w:spacing w:val="-3"/>
          <w:sz w:val="22"/>
          <w:szCs w:val="22"/>
          <w:u w:val="single"/>
        </w:rPr>
        <w:t>Total Annual Burden Hours:</w:t>
      </w:r>
    </w:p>
    <w:p w14:paraId="2A844ACC" w14:textId="77777777" w:rsidR="007E0735" w:rsidRPr="004460F4" w:rsidRDefault="007E0735" w:rsidP="007E0735">
      <w:pPr>
        <w:tabs>
          <w:tab w:val="left" w:pos="-720"/>
        </w:tabs>
        <w:suppressAutoHyphens/>
        <w:rPr>
          <w:b/>
          <w:spacing w:val="-3"/>
          <w:sz w:val="22"/>
          <w:szCs w:val="22"/>
        </w:rPr>
      </w:pPr>
    </w:p>
    <w:p w14:paraId="30364CD3" w14:textId="77777777" w:rsidR="007E0735" w:rsidRPr="00AB1E80" w:rsidRDefault="007E0735" w:rsidP="007E0735">
      <w:pPr>
        <w:tabs>
          <w:tab w:val="left" w:pos="-720"/>
        </w:tabs>
        <w:suppressAutoHyphens/>
        <w:ind w:left="1440"/>
        <w:rPr>
          <w:spacing w:val="-3"/>
          <w:sz w:val="22"/>
          <w:szCs w:val="22"/>
        </w:rPr>
      </w:pPr>
      <w:r w:rsidRPr="004460F4">
        <w:rPr>
          <w:spacing w:val="-3"/>
          <w:sz w:val="22"/>
          <w:szCs w:val="22"/>
        </w:rPr>
        <w:t xml:space="preserve"> (</w:t>
      </w:r>
      <w:r w:rsidR="00F41E80" w:rsidRPr="004460F4">
        <w:rPr>
          <w:spacing w:val="-3"/>
          <w:sz w:val="22"/>
          <w:szCs w:val="22"/>
        </w:rPr>
        <w:t>a)</w:t>
      </w:r>
      <w:r w:rsidR="00F41E80" w:rsidRPr="004460F4">
        <w:rPr>
          <w:spacing w:val="-3"/>
          <w:sz w:val="22"/>
          <w:szCs w:val="22"/>
        </w:rPr>
        <w:tab/>
        <w:t>Re</w:t>
      </w:r>
      <w:r w:rsidR="003B712A" w:rsidRPr="004460F4">
        <w:rPr>
          <w:spacing w:val="-3"/>
          <w:sz w:val="22"/>
          <w:szCs w:val="22"/>
        </w:rPr>
        <w:t>porting</w:t>
      </w:r>
      <w:r w:rsidR="00F41E80" w:rsidRPr="004460F4">
        <w:rPr>
          <w:spacing w:val="-3"/>
          <w:sz w:val="22"/>
          <w:szCs w:val="22"/>
        </w:rPr>
        <w:t xml:space="preserve"> Requirement:</w:t>
      </w:r>
      <w:r w:rsidR="00F41E80" w:rsidRPr="004460F4">
        <w:rPr>
          <w:spacing w:val="-3"/>
          <w:sz w:val="22"/>
          <w:szCs w:val="22"/>
        </w:rPr>
        <w:tab/>
      </w:r>
      <w:r w:rsidR="003B712A" w:rsidRPr="004460F4">
        <w:rPr>
          <w:spacing w:val="-3"/>
          <w:sz w:val="22"/>
          <w:szCs w:val="22"/>
        </w:rPr>
        <w:tab/>
      </w:r>
      <w:r w:rsidR="00763527" w:rsidRPr="004460F4">
        <w:rPr>
          <w:spacing w:val="-3"/>
          <w:sz w:val="22"/>
          <w:szCs w:val="22"/>
        </w:rPr>
        <w:t xml:space="preserve">   </w:t>
      </w:r>
      <w:r w:rsidR="00CF71C4">
        <w:rPr>
          <w:spacing w:val="-3"/>
          <w:sz w:val="22"/>
          <w:szCs w:val="22"/>
        </w:rPr>
        <w:tab/>
      </w:r>
      <w:r w:rsidR="0043766E">
        <w:rPr>
          <w:spacing w:val="-3"/>
          <w:sz w:val="22"/>
          <w:szCs w:val="22"/>
        </w:rPr>
        <w:t>1,600</w:t>
      </w:r>
    </w:p>
    <w:p w14:paraId="2E2E16E4" w14:textId="77777777" w:rsidR="007E0735" w:rsidRPr="00AB1E80" w:rsidRDefault="007E0735" w:rsidP="007E0735">
      <w:pPr>
        <w:tabs>
          <w:tab w:val="left" w:pos="-720"/>
        </w:tabs>
        <w:suppressAutoHyphens/>
        <w:ind w:left="1440"/>
        <w:rPr>
          <w:spacing w:val="-3"/>
          <w:sz w:val="22"/>
          <w:szCs w:val="22"/>
        </w:rPr>
      </w:pPr>
      <w:r w:rsidRPr="004460F4">
        <w:rPr>
          <w:spacing w:val="-3"/>
          <w:sz w:val="22"/>
          <w:szCs w:val="22"/>
        </w:rPr>
        <w:t xml:space="preserve"> (b)</w:t>
      </w:r>
      <w:r w:rsidRPr="004460F4">
        <w:rPr>
          <w:spacing w:val="-3"/>
          <w:sz w:val="22"/>
          <w:szCs w:val="22"/>
        </w:rPr>
        <w:tab/>
      </w:r>
      <w:r w:rsidR="003B712A" w:rsidRPr="004460F4">
        <w:rPr>
          <w:spacing w:val="-3"/>
          <w:sz w:val="22"/>
          <w:szCs w:val="22"/>
        </w:rPr>
        <w:t xml:space="preserve">Certification </w:t>
      </w:r>
      <w:r w:rsidRPr="004460F4">
        <w:rPr>
          <w:spacing w:val="-3"/>
          <w:sz w:val="22"/>
          <w:szCs w:val="22"/>
        </w:rPr>
        <w:t>Requirement:</w:t>
      </w:r>
      <w:r w:rsidR="003B712A" w:rsidRPr="004460F4">
        <w:rPr>
          <w:spacing w:val="-3"/>
          <w:sz w:val="22"/>
          <w:szCs w:val="22"/>
        </w:rPr>
        <w:tab/>
      </w:r>
      <w:r w:rsidR="003B712A" w:rsidRPr="004460F4">
        <w:rPr>
          <w:spacing w:val="-3"/>
          <w:sz w:val="22"/>
          <w:szCs w:val="22"/>
        </w:rPr>
        <w:tab/>
      </w:r>
      <w:r w:rsidR="00AA4BC6">
        <w:rPr>
          <w:spacing w:val="-3"/>
          <w:sz w:val="22"/>
          <w:szCs w:val="22"/>
        </w:rPr>
        <w:t xml:space="preserve"> </w:t>
      </w:r>
      <w:r w:rsidR="003B712A" w:rsidRPr="004460F4">
        <w:rPr>
          <w:spacing w:val="-3"/>
          <w:sz w:val="22"/>
          <w:szCs w:val="22"/>
        </w:rPr>
        <w:t xml:space="preserve">  </w:t>
      </w:r>
      <w:r w:rsidR="00CF71C4">
        <w:rPr>
          <w:spacing w:val="-3"/>
          <w:sz w:val="22"/>
          <w:szCs w:val="22"/>
        </w:rPr>
        <w:t>100</w:t>
      </w:r>
      <w:r w:rsidR="00183BF5" w:rsidRPr="00AB1E80">
        <w:rPr>
          <w:spacing w:val="-3"/>
          <w:sz w:val="22"/>
          <w:szCs w:val="22"/>
          <w:u w:val="single"/>
        </w:rPr>
        <w:br/>
      </w:r>
      <w:r w:rsidR="00183BF5" w:rsidRPr="00AB1E80">
        <w:rPr>
          <w:spacing w:val="-3"/>
          <w:sz w:val="22"/>
          <w:szCs w:val="22"/>
        </w:rPr>
        <w:t xml:space="preserve"> (c)        Consumer Disclosure Requirement:</w:t>
      </w:r>
      <w:r w:rsidR="00763527" w:rsidRPr="00AB1E80">
        <w:rPr>
          <w:spacing w:val="-3"/>
          <w:sz w:val="22"/>
          <w:szCs w:val="22"/>
        </w:rPr>
        <w:t xml:space="preserve">            </w:t>
      </w:r>
      <w:r w:rsidR="00AA4BC6">
        <w:rPr>
          <w:spacing w:val="-3"/>
          <w:sz w:val="22"/>
          <w:szCs w:val="22"/>
        </w:rPr>
        <w:t xml:space="preserve"> </w:t>
      </w:r>
      <w:r w:rsidR="00763527" w:rsidRPr="00AB1E80">
        <w:rPr>
          <w:spacing w:val="-3"/>
          <w:sz w:val="22"/>
          <w:szCs w:val="22"/>
        </w:rPr>
        <w:t xml:space="preserve"> </w:t>
      </w:r>
      <w:r w:rsidR="00AB1E80">
        <w:rPr>
          <w:spacing w:val="-3"/>
          <w:sz w:val="22"/>
          <w:szCs w:val="22"/>
        </w:rPr>
        <w:t>300</w:t>
      </w:r>
    </w:p>
    <w:p w14:paraId="3930F34F" w14:textId="77777777" w:rsidR="007E0735" w:rsidRPr="004460F4" w:rsidRDefault="007E0735" w:rsidP="007E0735">
      <w:pPr>
        <w:tabs>
          <w:tab w:val="left" w:pos="-720"/>
        </w:tabs>
        <w:suppressAutoHyphens/>
        <w:rPr>
          <w:b/>
          <w:spacing w:val="-3"/>
          <w:sz w:val="22"/>
          <w:szCs w:val="22"/>
        </w:rPr>
      </w:pPr>
      <w:r w:rsidRPr="004460F4">
        <w:rPr>
          <w:b/>
          <w:spacing w:val="-3"/>
          <w:sz w:val="22"/>
          <w:szCs w:val="22"/>
        </w:rPr>
        <w:tab/>
      </w:r>
      <w:r w:rsidRPr="004460F4">
        <w:rPr>
          <w:b/>
          <w:spacing w:val="-3"/>
          <w:sz w:val="22"/>
          <w:szCs w:val="22"/>
        </w:rPr>
        <w:tab/>
      </w:r>
      <w:r w:rsidRPr="004460F4">
        <w:rPr>
          <w:b/>
          <w:spacing w:val="-3"/>
          <w:sz w:val="22"/>
          <w:szCs w:val="22"/>
        </w:rPr>
        <w:tab/>
        <w:t xml:space="preserve"> </w:t>
      </w:r>
    </w:p>
    <w:p w14:paraId="25F2E64F" w14:textId="77777777" w:rsidR="001946D2" w:rsidRPr="00AB1E80" w:rsidRDefault="001946D2" w:rsidP="007E0735">
      <w:pPr>
        <w:tabs>
          <w:tab w:val="left" w:pos="-720"/>
        </w:tabs>
        <w:suppressAutoHyphens/>
        <w:ind w:left="720"/>
        <w:rPr>
          <w:b/>
          <w:spacing w:val="-3"/>
          <w:sz w:val="22"/>
          <w:szCs w:val="22"/>
        </w:rPr>
      </w:pPr>
      <w:r w:rsidRPr="004460F4">
        <w:rPr>
          <w:b/>
          <w:spacing w:val="-3"/>
          <w:sz w:val="22"/>
          <w:szCs w:val="22"/>
        </w:rPr>
        <w:t xml:space="preserve">Total Respondents:  </w:t>
      </w:r>
      <w:r w:rsidR="00AB1E80">
        <w:rPr>
          <w:b/>
          <w:spacing w:val="-3"/>
          <w:sz w:val="22"/>
          <w:szCs w:val="22"/>
        </w:rPr>
        <w:t>20</w:t>
      </w:r>
    </w:p>
    <w:p w14:paraId="727A188C" w14:textId="77777777" w:rsidR="001946D2" w:rsidRPr="00AB1E80" w:rsidRDefault="001946D2" w:rsidP="007E0735">
      <w:pPr>
        <w:tabs>
          <w:tab w:val="left" w:pos="-720"/>
        </w:tabs>
        <w:suppressAutoHyphens/>
        <w:ind w:left="720"/>
        <w:rPr>
          <w:b/>
          <w:spacing w:val="-3"/>
          <w:sz w:val="22"/>
          <w:szCs w:val="22"/>
        </w:rPr>
      </w:pPr>
      <w:r w:rsidRPr="00AB1E80">
        <w:rPr>
          <w:b/>
          <w:spacing w:val="-3"/>
          <w:sz w:val="22"/>
          <w:szCs w:val="22"/>
        </w:rPr>
        <w:t xml:space="preserve">Total Responses: </w:t>
      </w:r>
      <w:r w:rsidR="00AB1E80">
        <w:rPr>
          <w:b/>
          <w:spacing w:val="-3"/>
          <w:sz w:val="22"/>
          <w:szCs w:val="22"/>
        </w:rPr>
        <w:t>20</w:t>
      </w:r>
      <w:r w:rsidRPr="00AB1E80">
        <w:rPr>
          <w:b/>
          <w:spacing w:val="-3"/>
          <w:sz w:val="22"/>
          <w:szCs w:val="22"/>
        </w:rPr>
        <w:t xml:space="preserve"> </w:t>
      </w:r>
    </w:p>
    <w:p w14:paraId="510CA75F" w14:textId="77777777" w:rsidR="001946D2" w:rsidRPr="00AB1E80" w:rsidRDefault="001946D2" w:rsidP="007E0735">
      <w:pPr>
        <w:tabs>
          <w:tab w:val="left" w:pos="-720"/>
        </w:tabs>
        <w:suppressAutoHyphens/>
        <w:ind w:left="720"/>
        <w:rPr>
          <w:spacing w:val="-3"/>
          <w:sz w:val="22"/>
          <w:szCs w:val="22"/>
        </w:rPr>
      </w:pPr>
      <w:r w:rsidRPr="00AB1E80">
        <w:rPr>
          <w:b/>
          <w:spacing w:val="-3"/>
          <w:sz w:val="22"/>
          <w:szCs w:val="22"/>
        </w:rPr>
        <w:t xml:space="preserve">Total In-House Costs:  </w:t>
      </w:r>
      <w:r w:rsidRPr="00AB1E80">
        <w:rPr>
          <w:spacing w:val="-3"/>
          <w:sz w:val="22"/>
          <w:szCs w:val="22"/>
        </w:rPr>
        <w:t>$</w:t>
      </w:r>
      <w:r w:rsidR="008A450D">
        <w:rPr>
          <w:spacing w:val="-3"/>
          <w:sz w:val="22"/>
          <w:szCs w:val="22"/>
        </w:rPr>
        <w:t>72,000</w:t>
      </w:r>
      <w:r w:rsidRPr="00AB1E80">
        <w:rPr>
          <w:spacing w:val="-3"/>
          <w:sz w:val="22"/>
          <w:szCs w:val="22"/>
        </w:rPr>
        <w:t xml:space="preserve"> + $</w:t>
      </w:r>
      <w:r w:rsidR="00AB1E80">
        <w:rPr>
          <w:spacing w:val="-3"/>
          <w:sz w:val="22"/>
          <w:szCs w:val="22"/>
        </w:rPr>
        <w:t>12</w:t>
      </w:r>
      <w:r w:rsidR="007D7054" w:rsidRPr="00AB1E80">
        <w:rPr>
          <w:spacing w:val="-3"/>
          <w:sz w:val="22"/>
          <w:szCs w:val="22"/>
        </w:rPr>
        <w:t>,</w:t>
      </w:r>
      <w:r w:rsidR="00AB1E80">
        <w:rPr>
          <w:spacing w:val="-3"/>
          <w:sz w:val="22"/>
          <w:szCs w:val="22"/>
        </w:rPr>
        <w:t>500</w:t>
      </w:r>
      <w:r w:rsidR="00DD740A" w:rsidRPr="00AB1E80">
        <w:rPr>
          <w:spacing w:val="-3"/>
          <w:sz w:val="22"/>
          <w:szCs w:val="22"/>
        </w:rPr>
        <w:t xml:space="preserve"> </w:t>
      </w:r>
      <w:r w:rsidRPr="00AB1E80">
        <w:rPr>
          <w:spacing w:val="-3"/>
          <w:sz w:val="22"/>
          <w:szCs w:val="22"/>
        </w:rPr>
        <w:t>+ $</w:t>
      </w:r>
      <w:r w:rsidR="00AB1E80">
        <w:rPr>
          <w:spacing w:val="-3"/>
          <w:sz w:val="22"/>
          <w:szCs w:val="22"/>
        </w:rPr>
        <w:t>37</w:t>
      </w:r>
      <w:r w:rsidR="00DD740A" w:rsidRPr="00AB1E80">
        <w:rPr>
          <w:spacing w:val="-3"/>
          <w:sz w:val="22"/>
          <w:szCs w:val="22"/>
        </w:rPr>
        <w:t>,</w:t>
      </w:r>
      <w:r w:rsidR="00AB1E80">
        <w:rPr>
          <w:spacing w:val="-3"/>
          <w:sz w:val="22"/>
          <w:szCs w:val="22"/>
        </w:rPr>
        <w:t>500</w:t>
      </w:r>
      <w:r w:rsidRPr="00AB1E80">
        <w:rPr>
          <w:spacing w:val="-3"/>
          <w:sz w:val="22"/>
          <w:szCs w:val="22"/>
        </w:rPr>
        <w:t xml:space="preserve"> = </w:t>
      </w:r>
      <w:r w:rsidRPr="00AB1E80">
        <w:rPr>
          <w:b/>
          <w:spacing w:val="-3"/>
          <w:sz w:val="22"/>
          <w:szCs w:val="22"/>
        </w:rPr>
        <w:t>$</w:t>
      </w:r>
      <w:r w:rsidR="003439EC">
        <w:rPr>
          <w:b/>
          <w:spacing w:val="-3"/>
          <w:sz w:val="22"/>
          <w:szCs w:val="22"/>
        </w:rPr>
        <w:t>122,000</w:t>
      </w:r>
      <w:r w:rsidR="00DD740A" w:rsidRPr="00AB1E80">
        <w:rPr>
          <w:b/>
          <w:spacing w:val="-3"/>
          <w:sz w:val="22"/>
          <w:szCs w:val="22"/>
        </w:rPr>
        <w:t>.</w:t>
      </w:r>
    </w:p>
    <w:p w14:paraId="6D7DD2BB" w14:textId="77777777" w:rsidR="007E0735" w:rsidRPr="00AB1E80" w:rsidRDefault="007E0735" w:rsidP="007E0735">
      <w:pPr>
        <w:tabs>
          <w:tab w:val="left" w:pos="-720"/>
        </w:tabs>
        <w:suppressAutoHyphens/>
        <w:ind w:left="720"/>
        <w:rPr>
          <w:b/>
          <w:spacing w:val="-3"/>
          <w:sz w:val="22"/>
          <w:szCs w:val="22"/>
        </w:rPr>
      </w:pPr>
      <w:r w:rsidRPr="00AB1E80">
        <w:rPr>
          <w:b/>
          <w:spacing w:val="-3"/>
          <w:sz w:val="22"/>
          <w:szCs w:val="22"/>
        </w:rPr>
        <w:t xml:space="preserve">Total Annual Burden Hours = </w:t>
      </w:r>
      <w:r w:rsidRPr="00AB1E80">
        <w:rPr>
          <w:b/>
          <w:spacing w:val="-3"/>
          <w:sz w:val="22"/>
          <w:szCs w:val="22"/>
        </w:rPr>
        <w:tab/>
      </w:r>
      <w:r w:rsidR="008A450D">
        <w:rPr>
          <w:spacing w:val="-3"/>
          <w:sz w:val="22"/>
          <w:szCs w:val="22"/>
        </w:rPr>
        <w:t>1,600</w:t>
      </w:r>
      <w:r w:rsidR="007D7054" w:rsidRPr="00AB1E80">
        <w:rPr>
          <w:spacing w:val="-3"/>
          <w:sz w:val="22"/>
          <w:szCs w:val="22"/>
        </w:rPr>
        <w:t xml:space="preserve"> </w:t>
      </w:r>
      <w:r w:rsidR="001946D2" w:rsidRPr="00AB1E80">
        <w:rPr>
          <w:spacing w:val="-3"/>
          <w:sz w:val="22"/>
          <w:szCs w:val="22"/>
        </w:rPr>
        <w:t>+</w:t>
      </w:r>
      <w:r w:rsidR="00AA4BC6">
        <w:rPr>
          <w:spacing w:val="-3"/>
          <w:sz w:val="22"/>
          <w:szCs w:val="22"/>
        </w:rPr>
        <w:t xml:space="preserve"> </w:t>
      </w:r>
      <w:r w:rsidR="00AB1E80">
        <w:rPr>
          <w:spacing w:val="-3"/>
          <w:sz w:val="22"/>
          <w:szCs w:val="22"/>
        </w:rPr>
        <w:t>100</w:t>
      </w:r>
      <w:r w:rsidR="001946D2" w:rsidRPr="00AB1E80">
        <w:rPr>
          <w:spacing w:val="-3"/>
          <w:sz w:val="22"/>
          <w:szCs w:val="22"/>
        </w:rPr>
        <w:t xml:space="preserve"> +</w:t>
      </w:r>
      <w:r w:rsidR="00AB1E80">
        <w:rPr>
          <w:spacing w:val="-3"/>
          <w:sz w:val="22"/>
          <w:szCs w:val="22"/>
        </w:rPr>
        <w:t xml:space="preserve"> 300</w:t>
      </w:r>
      <w:r w:rsidR="001946D2" w:rsidRPr="00AB1E80">
        <w:rPr>
          <w:b/>
          <w:spacing w:val="-3"/>
          <w:sz w:val="22"/>
          <w:szCs w:val="22"/>
        </w:rPr>
        <w:t xml:space="preserve"> = </w:t>
      </w:r>
      <w:r w:rsidR="003439EC">
        <w:rPr>
          <w:b/>
          <w:spacing w:val="-3"/>
          <w:sz w:val="22"/>
          <w:szCs w:val="22"/>
        </w:rPr>
        <w:t>2,000</w:t>
      </w:r>
      <w:r w:rsidR="007D7054" w:rsidRPr="00AB1E80">
        <w:rPr>
          <w:b/>
          <w:spacing w:val="-3"/>
          <w:sz w:val="22"/>
          <w:szCs w:val="22"/>
        </w:rPr>
        <w:t xml:space="preserve"> </w:t>
      </w:r>
      <w:r w:rsidRPr="00AB1E80">
        <w:rPr>
          <w:b/>
          <w:spacing w:val="-3"/>
          <w:sz w:val="22"/>
          <w:szCs w:val="22"/>
        </w:rPr>
        <w:t>hours.</w:t>
      </w:r>
    </w:p>
    <w:p w14:paraId="0F0A4D5E" w14:textId="77777777" w:rsidR="007E0735" w:rsidRPr="004460F4" w:rsidRDefault="007E0735" w:rsidP="007E0735">
      <w:pPr>
        <w:tabs>
          <w:tab w:val="left" w:pos="-720"/>
        </w:tabs>
        <w:suppressAutoHyphens/>
        <w:rPr>
          <w:b/>
          <w:spacing w:val="-3"/>
          <w:sz w:val="22"/>
          <w:szCs w:val="22"/>
        </w:rPr>
      </w:pPr>
    </w:p>
    <w:p w14:paraId="1946C553" w14:textId="77777777" w:rsidR="007E0735" w:rsidRPr="004460F4" w:rsidRDefault="007E0735" w:rsidP="007E0735">
      <w:pPr>
        <w:pStyle w:val="Numberedparagraphs"/>
        <w:numPr>
          <w:ilvl w:val="0"/>
          <w:numId w:val="0"/>
        </w:numPr>
        <w:tabs>
          <w:tab w:val="clear" w:pos="1440"/>
        </w:tabs>
        <w:ind w:firstLine="720"/>
        <w:rPr>
          <w:sz w:val="22"/>
          <w:szCs w:val="22"/>
        </w:rPr>
      </w:pPr>
      <w:r w:rsidRPr="004460F4">
        <w:rPr>
          <w:spacing w:val="-3"/>
          <w:sz w:val="22"/>
          <w:szCs w:val="22"/>
        </w:rPr>
        <w:t>13.  E</w:t>
      </w:r>
      <w:r w:rsidRPr="004460F4">
        <w:rPr>
          <w:sz w:val="22"/>
          <w:szCs w:val="22"/>
        </w:rPr>
        <w:t>stimated operations and maintenance (O&amp;M) costs of respondents resulting from the collection of information:</w:t>
      </w:r>
    </w:p>
    <w:p w14:paraId="4B0CC124" w14:textId="77777777" w:rsidR="00443F78"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(a)</w:t>
      </w:r>
      <w:r w:rsidRPr="004460F4">
        <w:rPr>
          <w:sz w:val="22"/>
          <w:szCs w:val="22"/>
        </w:rPr>
        <w:tab/>
      </w:r>
      <w:r w:rsidRPr="004460F4">
        <w:rPr>
          <w:sz w:val="22"/>
          <w:szCs w:val="22"/>
          <w:u w:val="single"/>
        </w:rPr>
        <w:t>Total capital start-up costs component annualized over its expected useful life:</w:t>
      </w:r>
      <w:r w:rsidRPr="004460F4">
        <w:rPr>
          <w:sz w:val="22"/>
          <w:szCs w:val="22"/>
        </w:rPr>
        <w:t xml:space="preserve"> $0.  </w:t>
      </w:r>
    </w:p>
    <w:p w14:paraId="435A6090" w14:textId="77777777" w:rsidR="007E0735" w:rsidRPr="004460F4" w:rsidRDefault="00443F78" w:rsidP="007E0735">
      <w:pPr>
        <w:pStyle w:val="Numberedparagraphs"/>
        <w:numPr>
          <w:ilvl w:val="0"/>
          <w:numId w:val="0"/>
        </w:numPr>
        <w:tabs>
          <w:tab w:val="clear" w:pos="1440"/>
          <w:tab w:val="left" w:pos="720"/>
        </w:tabs>
        <w:rPr>
          <w:sz w:val="22"/>
          <w:szCs w:val="22"/>
        </w:rPr>
      </w:pPr>
      <w:r w:rsidRPr="004460F4">
        <w:rPr>
          <w:sz w:val="22"/>
          <w:szCs w:val="22"/>
        </w:rPr>
        <w:tab/>
      </w:r>
      <w:r w:rsidR="007E0735" w:rsidRPr="004460F4">
        <w:rPr>
          <w:sz w:val="22"/>
          <w:szCs w:val="22"/>
        </w:rPr>
        <w:t xml:space="preserve">The collections will not result in additional capital expenditures such as computers or software.  </w:t>
      </w:r>
    </w:p>
    <w:p w14:paraId="7D375005" w14:textId="77777777"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(b)</w:t>
      </w:r>
      <w:r w:rsidRPr="004460F4">
        <w:rPr>
          <w:sz w:val="22"/>
          <w:szCs w:val="22"/>
        </w:rPr>
        <w:tab/>
      </w:r>
      <w:r w:rsidRPr="004460F4">
        <w:rPr>
          <w:sz w:val="22"/>
          <w:szCs w:val="22"/>
          <w:u w:val="single"/>
        </w:rPr>
        <w:t>Total operation and maintenance and purchase of services component:</w:t>
      </w:r>
      <w:r w:rsidRPr="004460F4">
        <w:rPr>
          <w:sz w:val="22"/>
          <w:szCs w:val="22"/>
        </w:rPr>
        <w:t xml:space="preserve">  $0.</w:t>
      </w:r>
    </w:p>
    <w:p w14:paraId="4E05DC9B" w14:textId="77777777" w:rsidR="007E0735" w:rsidRPr="004460F4" w:rsidRDefault="007E0735" w:rsidP="007E0735">
      <w:pPr>
        <w:pStyle w:val="Numberedparagraphs"/>
        <w:numPr>
          <w:ilvl w:val="0"/>
          <w:numId w:val="0"/>
        </w:numPr>
        <w:tabs>
          <w:tab w:val="clear" w:pos="1440"/>
          <w:tab w:val="left" w:pos="720"/>
        </w:tabs>
        <w:rPr>
          <w:sz w:val="22"/>
          <w:szCs w:val="22"/>
        </w:rPr>
      </w:pPr>
      <w:r w:rsidRPr="004460F4">
        <w:rPr>
          <w:sz w:val="22"/>
          <w:szCs w:val="22"/>
        </w:rPr>
        <w:tab/>
        <w:t>(c)</w:t>
      </w:r>
      <w:r w:rsidRPr="004460F4">
        <w:rPr>
          <w:sz w:val="22"/>
          <w:szCs w:val="22"/>
        </w:rPr>
        <w:tab/>
      </w:r>
      <w:r w:rsidRPr="004460F4">
        <w:rPr>
          <w:sz w:val="22"/>
          <w:szCs w:val="22"/>
          <w:u w:val="single"/>
        </w:rPr>
        <w:t>Total annualized cost requested</w:t>
      </w:r>
      <w:r w:rsidRPr="004460F4">
        <w:rPr>
          <w:sz w:val="22"/>
          <w:szCs w:val="22"/>
        </w:rPr>
        <w:t xml:space="preserve">:  </w:t>
      </w:r>
      <w:r w:rsidRPr="004460F4">
        <w:rPr>
          <w:b/>
          <w:sz w:val="22"/>
          <w:szCs w:val="22"/>
        </w:rPr>
        <w:t>$0</w:t>
      </w:r>
      <w:r w:rsidRPr="004460F4">
        <w:rPr>
          <w:sz w:val="22"/>
          <w:szCs w:val="22"/>
        </w:rPr>
        <w:t>.</w:t>
      </w:r>
    </w:p>
    <w:p w14:paraId="51ED0BD6" w14:textId="5B98C006" w:rsidR="007E0735" w:rsidRPr="004460F4" w:rsidRDefault="007E0735" w:rsidP="007E0735">
      <w:pPr>
        <w:pStyle w:val="Numberedparagraphs"/>
        <w:numPr>
          <w:ilvl w:val="0"/>
          <w:numId w:val="0"/>
        </w:numPr>
        <w:tabs>
          <w:tab w:val="clear" w:pos="1440"/>
        </w:tabs>
        <w:ind w:firstLine="720"/>
        <w:rPr>
          <w:sz w:val="22"/>
          <w:szCs w:val="22"/>
        </w:rPr>
      </w:pPr>
      <w:r w:rsidRPr="004460F4">
        <w:rPr>
          <w:sz w:val="22"/>
          <w:szCs w:val="22"/>
        </w:rPr>
        <w:t>14.  There are unlikely to be any additional costs to the Commission because the data will be submitted by ICS providers in WC Docket No. 12-375 via the Commission’s Electronic Comment Filing System, requiring no additional Commission resources to process or publish.</w:t>
      </w:r>
    </w:p>
    <w:p w14:paraId="0DEBEF4E" w14:textId="77777777" w:rsidR="00905510" w:rsidRDefault="007E0735" w:rsidP="004460F4">
      <w:pPr>
        <w:pStyle w:val="Numberedparagraphs"/>
        <w:numPr>
          <w:ilvl w:val="0"/>
          <w:numId w:val="0"/>
        </w:numPr>
        <w:tabs>
          <w:tab w:val="clear" w:pos="1440"/>
        </w:tabs>
        <w:ind w:firstLine="720"/>
        <w:rPr>
          <w:sz w:val="22"/>
          <w:szCs w:val="22"/>
        </w:rPr>
      </w:pPr>
      <w:r w:rsidRPr="004460F4">
        <w:rPr>
          <w:sz w:val="22"/>
          <w:szCs w:val="22"/>
        </w:rPr>
        <w:t xml:space="preserve">15.  </w:t>
      </w:r>
      <w:r w:rsidR="00845E1B">
        <w:rPr>
          <w:sz w:val="22"/>
          <w:szCs w:val="22"/>
        </w:rPr>
        <w:t>Since the last submission to OMB, t</w:t>
      </w:r>
      <w:r w:rsidR="003E4D0A" w:rsidRPr="00BA594A">
        <w:rPr>
          <w:sz w:val="22"/>
          <w:szCs w:val="22"/>
        </w:rPr>
        <w:t>he Commission is reporting a program change</w:t>
      </w:r>
      <w:r w:rsidR="00AF3351" w:rsidRPr="00BA594A">
        <w:rPr>
          <w:sz w:val="22"/>
          <w:szCs w:val="22"/>
        </w:rPr>
        <w:t>/increase</w:t>
      </w:r>
      <w:r w:rsidR="003E4D0A" w:rsidRPr="00BA594A">
        <w:rPr>
          <w:sz w:val="22"/>
          <w:szCs w:val="22"/>
        </w:rPr>
        <w:t xml:space="preserve"> to this collection as a result </w:t>
      </w:r>
      <w:r w:rsidR="00B5589D" w:rsidRPr="00BA594A">
        <w:rPr>
          <w:sz w:val="22"/>
          <w:szCs w:val="22"/>
        </w:rPr>
        <w:t xml:space="preserve">of </w:t>
      </w:r>
      <w:r w:rsidR="0053403D" w:rsidRPr="00BA594A">
        <w:rPr>
          <w:sz w:val="22"/>
          <w:szCs w:val="22"/>
        </w:rPr>
        <w:t>revisions</w:t>
      </w:r>
      <w:r w:rsidR="00BC55F4" w:rsidRPr="00BA594A">
        <w:rPr>
          <w:sz w:val="22"/>
          <w:szCs w:val="22"/>
        </w:rPr>
        <w:t xml:space="preserve"> to </w:t>
      </w:r>
      <w:r w:rsidR="00B5589D" w:rsidRPr="00BA594A">
        <w:rPr>
          <w:sz w:val="22"/>
          <w:szCs w:val="22"/>
        </w:rPr>
        <w:t xml:space="preserve">Form 2301(a) </w:t>
      </w:r>
      <w:r w:rsidR="00F82CCA">
        <w:rPr>
          <w:sz w:val="22"/>
          <w:szCs w:val="22"/>
        </w:rPr>
        <w:t xml:space="preserve">and FCC Form 2301(b) </w:t>
      </w:r>
      <w:r w:rsidR="00B5589D" w:rsidRPr="00BA594A">
        <w:rPr>
          <w:sz w:val="22"/>
          <w:szCs w:val="22"/>
        </w:rPr>
        <w:t xml:space="preserve">and the accompanying instructions. The burden hours have increased from </w:t>
      </w:r>
      <w:r w:rsidR="00151825" w:rsidRPr="00BA594A">
        <w:rPr>
          <w:sz w:val="22"/>
          <w:szCs w:val="22"/>
        </w:rPr>
        <w:t>1,2</w:t>
      </w:r>
      <w:r w:rsidR="00B5589D" w:rsidRPr="00BA594A">
        <w:rPr>
          <w:sz w:val="22"/>
          <w:szCs w:val="22"/>
        </w:rPr>
        <w:t xml:space="preserve">00 to 2,000 hours (+800).  The number of </w:t>
      </w:r>
      <w:r w:rsidR="007C5C5A" w:rsidRPr="00BA594A">
        <w:rPr>
          <w:sz w:val="22"/>
          <w:szCs w:val="22"/>
        </w:rPr>
        <w:t xml:space="preserve">respondents </w:t>
      </w:r>
      <w:r w:rsidR="00905510" w:rsidRPr="00BA594A">
        <w:rPr>
          <w:sz w:val="22"/>
          <w:szCs w:val="22"/>
        </w:rPr>
        <w:t>and responses have</w:t>
      </w:r>
      <w:r w:rsidR="00B5589D" w:rsidRPr="00BA594A">
        <w:rPr>
          <w:sz w:val="22"/>
          <w:szCs w:val="22"/>
        </w:rPr>
        <w:t xml:space="preserve"> increased from 15 to 20 due to changes in the ICS marketplace.</w:t>
      </w:r>
      <w:r w:rsidR="007C5C5A">
        <w:rPr>
          <w:sz w:val="22"/>
          <w:szCs w:val="22"/>
        </w:rPr>
        <w:t xml:space="preserve"> </w:t>
      </w:r>
      <w:r w:rsidR="00AF3351">
        <w:rPr>
          <w:sz w:val="22"/>
          <w:szCs w:val="22"/>
        </w:rPr>
        <w:t xml:space="preserve"> </w:t>
      </w:r>
    </w:p>
    <w:p w14:paraId="2F483FA8" w14:textId="77777777" w:rsidR="007E0735" w:rsidRPr="00AB1E80" w:rsidRDefault="007E0735" w:rsidP="004460F4">
      <w:pPr>
        <w:pStyle w:val="Numberedparagraphs"/>
        <w:numPr>
          <w:ilvl w:val="0"/>
          <w:numId w:val="0"/>
        </w:numPr>
        <w:tabs>
          <w:tab w:val="clear" w:pos="1440"/>
        </w:tabs>
        <w:ind w:firstLine="720"/>
        <w:rPr>
          <w:sz w:val="22"/>
          <w:szCs w:val="22"/>
        </w:rPr>
      </w:pPr>
      <w:r w:rsidRPr="004460F4">
        <w:rPr>
          <w:sz w:val="22"/>
          <w:szCs w:val="22"/>
        </w:rPr>
        <w:t>16.  The Commission does not anticipate publishing any of the information collected.  Rather, the ICS provider</w:t>
      </w:r>
      <w:r w:rsidR="00AB1E80">
        <w:rPr>
          <w:sz w:val="22"/>
          <w:szCs w:val="22"/>
        </w:rPr>
        <w:t>s’ annual reports and</w:t>
      </w:r>
      <w:r w:rsidRPr="00AB1E80">
        <w:rPr>
          <w:sz w:val="22"/>
          <w:szCs w:val="22"/>
        </w:rPr>
        <w:t xml:space="preserve"> certifications will be available for public review via the Commission’s ECFS.</w:t>
      </w:r>
    </w:p>
    <w:p w14:paraId="01BECBFA" w14:textId="77777777" w:rsidR="007E0735" w:rsidRPr="004460F4" w:rsidRDefault="007E0735" w:rsidP="004460F4">
      <w:pPr>
        <w:pStyle w:val="Numberedparagraphs"/>
        <w:numPr>
          <w:ilvl w:val="0"/>
          <w:numId w:val="0"/>
        </w:numPr>
        <w:tabs>
          <w:tab w:val="clear" w:pos="1440"/>
        </w:tabs>
        <w:ind w:firstLine="720"/>
        <w:rPr>
          <w:sz w:val="22"/>
          <w:szCs w:val="22"/>
        </w:rPr>
      </w:pPr>
      <w:r w:rsidRPr="004460F4">
        <w:rPr>
          <w:sz w:val="22"/>
          <w:szCs w:val="22"/>
        </w:rPr>
        <w:t>17.  The Commission is not seeking approval not to display an OMB expiration date.</w:t>
      </w:r>
    </w:p>
    <w:p w14:paraId="0FA3F54A" w14:textId="77777777" w:rsidR="00BA7DEE" w:rsidRPr="00AB1E80" w:rsidRDefault="007E0735" w:rsidP="00354239">
      <w:pPr>
        <w:pStyle w:val="Numberedparagraphs"/>
        <w:numPr>
          <w:ilvl w:val="0"/>
          <w:numId w:val="0"/>
        </w:numPr>
        <w:tabs>
          <w:tab w:val="clear" w:pos="1440"/>
        </w:tabs>
        <w:ind w:firstLine="720"/>
        <w:rPr>
          <w:sz w:val="22"/>
          <w:szCs w:val="22"/>
        </w:rPr>
      </w:pPr>
      <w:r w:rsidRPr="004460F4">
        <w:rPr>
          <w:sz w:val="22"/>
          <w:szCs w:val="22"/>
        </w:rPr>
        <w:t xml:space="preserve">18.  </w:t>
      </w:r>
      <w:r w:rsidR="00845E1B">
        <w:rPr>
          <w:sz w:val="22"/>
          <w:szCs w:val="22"/>
        </w:rPr>
        <w:t xml:space="preserve">There are no exceptions to the </w:t>
      </w:r>
      <w:r w:rsidR="006518C0">
        <w:rPr>
          <w:sz w:val="22"/>
          <w:szCs w:val="22"/>
        </w:rPr>
        <w:t xml:space="preserve">Certification Statement. </w:t>
      </w:r>
    </w:p>
    <w:p w14:paraId="2005C598" w14:textId="77777777" w:rsidR="007E0735" w:rsidRPr="004460F4" w:rsidRDefault="007E0735" w:rsidP="007E0735">
      <w:pPr>
        <w:rPr>
          <w:b/>
          <w:sz w:val="22"/>
          <w:szCs w:val="22"/>
        </w:rPr>
      </w:pPr>
      <w:r w:rsidRPr="004460F4">
        <w:rPr>
          <w:b/>
          <w:sz w:val="22"/>
          <w:szCs w:val="22"/>
        </w:rPr>
        <w:t xml:space="preserve">B.  </w:t>
      </w:r>
      <w:r w:rsidRPr="004460F4">
        <w:rPr>
          <w:b/>
          <w:sz w:val="22"/>
          <w:szCs w:val="22"/>
        </w:rPr>
        <w:tab/>
      </w:r>
      <w:r w:rsidRPr="004460F4">
        <w:rPr>
          <w:b/>
          <w:sz w:val="22"/>
          <w:szCs w:val="22"/>
          <w:u w:val="single"/>
        </w:rPr>
        <w:t>Collections of Information Employing Statistical Methods:</w:t>
      </w:r>
    </w:p>
    <w:p w14:paraId="187A1B0F" w14:textId="77777777" w:rsidR="007E0735" w:rsidRPr="004460F4" w:rsidRDefault="007E0735" w:rsidP="007E0735">
      <w:pPr>
        <w:rPr>
          <w:sz w:val="22"/>
          <w:szCs w:val="22"/>
        </w:rPr>
      </w:pPr>
    </w:p>
    <w:p w14:paraId="1F6CC2D4" w14:textId="77777777" w:rsidR="007E0735" w:rsidRPr="004460F4" w:rsidRDefault="00DC538F" w:rsidP="00B136F6">
      <w:pPr>
        <w:pStyle w:val="Numberedparagraphs"/>
        <w:numPr>
          <w:ilvl w:val="0"/>
          <w:numId w:val="0"/>
        </w:numPr>
        <w:tabs>
          <w:tab w:val="clear" w:pos="1440"/>
        </w:tabs>
        <w:ind w:firstLine="720"/>
        <w:rPr>
          <w:sz w:val="22"/>
          <w:szCs w:val="22"/>
        </w:rPr>
      </w:pPr>
      <w:r>
        <w:rPr>
          <w:sz w:val="22"/>
          <w:szCs w:val="22"/>
        </w:rPr>
        <w:t xml:space="preserve">19.  </w:t>
      </w:r>
      <w:r w:rsidR="007E0735" w:rsidRPr="004460F4">
        <w:rPr>
          <w:sz w:val="22"/>
          <w:szCs w:val="22"/>
        </w:rPr>
        <w:t>The Commission does not anticipate that the proposed collection of information will employ statistical methods.</w:t>
      </w:r>
    </w:p>
    <w:sectPr w:rsidR="007E0735" w:rsidRPr="004460F4" w:rsidSect="00306CA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37BBD" w14:textId="77777777" w:rsidR="00A5745A" w:rsidRDefault="00A5745A" w:rsidP="00C72C3F">
      <w:r>
        <w:separator/>
      </w:r>
    </w:p>
  </w:endnote>
  <w:endnote w:type="continuationSeparator" w:id="0">
    <w:p w14:paraId="60E4DACF" w14:textId="77777777" w:rsidR="00A5745A" w:rsidRDefault="00A5745A" w:rsidP="00C72C3F">
      <w:r>
        <w:continuationSeparator/>
      </w:r>
    </w:p>
  </w:endnote>
  <w:endnote w:type="continuationNotice" w:id="1">
    <w:p w14:paraId="2F7F52DA" w14:textId="77777777" w:rsidR="00A5745A" w:rsidRDefault="00A57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0C3C" w14:textId="77777777" w:rsidR="000600B6" w:rsidRDefault="000600B6" w:rsidP="008B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F0C12" w14:textId="77777777" w:rsidR="000600B6" w:rsidRDefault="00060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53616337"/>
      <w:docPartObj>
        <w:docPartGallery w:val="Page Numbers (Bottom of Page)"/>
        <w:docPartUnique/>
      </w:docPartObj>
    </w:sdtPr>
    <w:sdtEndPr>
      <w:rPr>
        <w:noProof/>
      </w:rPr>
    </w:sdtEndPr>
    <w:sdtContent>
      <w:p w14:paraId="7D5608BB" w14:textId="32934C31" w:rsidR="000600B6" w:rsidRPr="00CA240C" w:rsidRDefault="000600B6">
        <w:pPr>
          <w:pStyle w:val="Footer"/>
          <w:jc w:val="center"/>
          <w:rPr>
            <w:sz w:val="22"/>
            <w:szCs w:val="22"/>
          </w:rPr>
        </w:pPr>
        <w:r w:rsidRPr="00CA240C">
          <w:rPr>
            <w:sz w:val="22"/>
            <w:szCs w:val="22"/>
          </w:rPr>
          <w:fldChar w:fldCharType="begin"/>
        </w:r>
        <w:r w:rsidRPr="00CA240C">
          <w:rPr>
            <w:sz w:val="22"/>
            <w:szCs w:val="22"/>
          </w:rPr>
          <w:instrText xml:space="preserve"> PAGE   \* MERGEFORMAT </w:instrText>
        </w:r>
        <w:r w:rsidRPr="00CA240C">
          <w:rPr>
            <w:sz w:val="22"/>
            <w:szCs w:val="22"/>
          </w:rPr>
          <w:fldChar w:fldCharType="separate"/>
        </w:r>
        <w:r w:rsidR="00611B6B" w:rsidRPr="00CA240C">
          <w:rPr>
            <w:noProof/>
            <w:sz w:val="22"/>
            <w:szCs w:val="22"/>
          </w:rPr>
          <w:t>9</w:t>
        </w:r>
        <w:r w:rsidRPr="00CA240C">
          <w:rPr>
            <w:noProof/>
            <w:sz w:val="22"/>
            <w:szCs w:val="22"/>
          </w:rPr>
          <w:fldChar w:fldCharType="end"/>
        </w:r>
      </w:p>
    </w:sdtContent>
  </w:sdt>
  <w:p w14:paraId="6899EA8A" w14:textId="77777777" w:rsidR="000600B6" w:rsidRPr="00CA240C" w:rsidRDefault="000600B6">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828A9" w14:textId="77777777" w:rsidR="00A5745A" w:rsidRDefault="00A5745A" w:rsidP="00C72C3F">
      <w:r>
        <w:separator/>
      </w:r>
    </w:p>
  </w:footnote>
  <w:footnote w:type="continuationSeparator" w:id="0">
    <w:p w14:paraId="428ECB8E" w14:textId="77777777" w:rsidR="00A5745A" w:rsidRDefault="00A5745A" w:rsidP="00C72C3F">
      <w:r>
        <w:continuationSeparator/>
      </w:r>
    </w:p>
  </w:footnote>
  <w:footnote w:type="continuationNotice" w:id="1">
    <w:p w14:paraId="29DB8D7B" w14:textId="77777777" w:rsidR="00A5745A" w:rsidRDefault="00A5745A"/>
  </w:footnote>
  <w:footnote w:id="2">
    <w:p w14:paraId="2A7AF138" w14:textId="77777777" w:rsidR="006E78ED" w:rsidRPr="00B9212C" w:rsidRDefault="000600B6" w:rsidP="0005170F">
      <w:pPr>
        <w:autoSpaceDE w:val="0"/>
        <w:autoSpaceDN w:val="0"/>
        <w:adjustRightInd w:val="0"/>
        <w:spacing w:after="80"/>
        <w:rPr>
          <w:sz w:val="20"/>
        </w:rPr>
      </w:pPr>
      <w:r w:rsidRPr="007834B7">
        <w:rPr>
          <w:rStyle w:val="FootnoteReference"/>
          <w:sz w:val="20"/>
        </w:rPr>
        <w:footnoteRef/>
      </w:r>
      <w:r w:rsidR="004C04D2">
        <w:rPr>
          <w:i/>
          <w:sz w:val="20"/>
        </w:rPr>
        <w:t xml:space="preserve"> Rates for</w:t>
      </w:r>
      <w:r w:rsidRPr="007834B7">
        <w:rPr>
          <w:i/>
          <w:sz w:val="20"/>
        </w:rPr>
        <w:t xml:space="preserve"> Interstate Inmate Calling Services</w:t>
      </w:r>
      <w:r w:rsidRPr="007834B7">
        <w:rPr>
          <w:sz w:val="20"/>
        </w:rPr>
        <w:t xml:space="preserve">, WC Docket No. 12-375, Second Report and Order and Third Further Notice of Proposed Rulemaking, 30 FCC Rcd 12763 (2015) </w:t>
      </w:r>
      <w:r w:rsidR="00A94CD2">
        <w:rPr>
          <w:sz w:val="20"/>
        </w:rPr>
        <w:t>(</w:t>
      </w:r>
      <w:r w:rsidR="004153C5">
        <w:rPr>
          <w:i/>
          <w:sz w:val="20"/>
        </w:rPr>
        <w:t xml:space="preserve">2015 </w:t>
      </w:r>
      <w:r w:rsidRPr="007834B7">
        <w:rPr>
          <w:i/>
          <w:sz w:val="20"/>
        </w:rPr>
        <w:t>Order</w:t>
      </w:r>
      <w:r w:rsidRPr="00CC3E29">
        <w:rPr>
          <w:sz w:val="20"/>
        </w:rPr>
        <w:t>).</w:t>
      </w:r>
    </w:p>
  </w:footnote>
  <w:footnote w:id="3">
    <w:p w14:paraId="4984BFA5" w14:textId="3436E801" w:rsidR="00E431D2" w:rsidRPr="00AB1E80" w:rsidRDefault="00E431D2" w:rsidP="00E431D2">
      <w:pPr>
        <w:autoSpaceDE w:val="0"/>
        <w:autoSpaceDN w:val="0"/>
        <w:adjustRightInd w:val="0"/>
        <w:spacing w:after="80"/>
        <w:rPr>
          <w:rFonts w:eastAsiaTheme="minorHAnsi"/>
          <w:iCs/>
          <w:color w:val="231F20"/>
          <w:sz w:val="20"/>
        </w:rPr>
      </w:pPr>
      <w:r w:rsidRPr="007834B7">
        <w:rPr>
          <w:rStyle w:val="FootnoteReference"/>
          <w:sz w:val="20"/>
        </w:rPr>
        <w:footnoteRef/>
      </w:r>
      <w:r w:rsidRPr="007834B7">
        <w:rPr>
          <w:sz w:val="20"/>
        </w:rPr>
        <w:t xml:space="preserve"> </w:t>
      </w:r>
      <w:r w:rsidR="002F474E">
        <w:rPr>
          <w:sz w:val="20"/>
        </w:rPr>
        <w:t xml:space="preserve">In </w:t>
      </w:r>
      <w:r w:rsidR="003818BB" w:rsidRPr="004460F4">
        <w:rPr>
          <w:rFonts w:eastAsiaTheme="minorHAnsi"/>
          <w:i/>
          <w:iCs/>
          <w:color w:val="231F20"/>
          <w:sz w:val="20"/>
        </w:rPr>
        <w:t>Global Tel*Link v. FCC</w:t>
      </w:r>
      <w:r w:rsidR="003818BB" w:rsidRPr="004460F4">
        <w:rPr>
          <w:rFonts w:eastAsiaTheme="minorHAnsi"/>
          <w:iCs/>
          <w:color w:val="231F20"/>
          <w:sz w:val="20"/>
        </w:rPr>
        <w:t>, 866 F.3d 397, 4</w:t>
      </w:r>
      <w:r w:rsidR="00FF444C">
        <w:rPr>
          <w:rFonts w:eastAsiaTheme="minorHAnsi"/>
          <w:iCs/>
          <w:color w:val="231F20"/>
          <w:sz w:val="20"/>
        </w:rPr>
        <w:t>08</w:t>
      </w:r>
      <w:r w:rsidR="001B0DCC">
        <w:rPr>
          <w:rFonts w:eastAsiaTheme="minorHAnsi"/>
          <w:iCs/>
          <w:color w:val="231F20"/>
          <w:sz w:val="20"/>
        </w:rPr>
        <w:t>-</w:t>
      </w:r>
      <w:r w:rsidR="003818BB" w:rsidRPr="004460F4">
        <w:rPr>
          <w:rFonts w:eastAsiaTheme="minorHAnsi"/>
          <w:iCs/>
          <w:color w:val="231F20"/>
          <w:sz w:val="20"/>
        </w:rPr>
        <w:t xml:space="preserve">15 (D.C. Cir. 2017), </w:t>
      </w:r>
      <w:r w:rsidR="003818BB" w:rsidRPr="004460F4">
        <w:rPr>
          <w:rFonts w:eastAsiaTheme="minorHAnsi"/>
          <w:i/>
          <w:iCs/>
          <w:color w:val="231F20"/>
          <w:sz w:val="20"/>
        </w:rPr>
        <w:t>clarifying and amending</w:t>
      </w:r>
      <w:r w:rsidR="003818BB" w:rsidRPr="004460F4">
        <w:rPr>
          <w:rFonts w:eastAsiaTheme="minorHAnsi"/>
          <w:iCs/>
          <w:color w:val="231F20"/>
          <w:sz w:val="20"/>
        </w:rPr>
        <w:t>, 859 F.3d 39 (D.C. Cir. 2017) (</w:t>
      </w:r>
      <w:r w:rsidR="003818BB" w:rsidRPr="004460F4">
        <w:rPr>
          <w:rFonts w:eastAsiaTheme="minorHAnsi"/>
          <w:i/>
          <w:iCs/>
          <w:color w:val="231F20"/>
          <w:sz w:val="20"/>
        </w:rPr>
        <w:t>GTL v. FCC</w:t>
      </w:r>
      <w:r w:rsidR="003818BB" w:rsidRPr="004460F4">
        <w:rPr>
          <w:rFonts w:eastAsiaTheme="minorHAnsi"/>
          <w:iCs/>
          <w:color w:val="231F20"/>
          <w:sz w:val="20"/>
        </w:rPr>
        <w:t>)</w:t>
      </w:r>
      <w:r w:rsidR="002F474E">
        <w:rPr>
          <w:rFonts w:eastAsiaTheme="minorHAnsi"/>
          <w:iCs/>
          <w:color w:val="231F20"/>
          <w:sz w:val="20"/>
        </w:rPr>
        <w:t xml:space="preserve">, the D.C. Circuit </w:t>
      </w:r>
      <w:r w:rsidR="002F474E" w:rsidRPr="00491B47">
        <w:rPr>
          <w:rFonts w:eastAsiaTheme="minorHAnsi"/>
          <w:iCs/>
          <w:color w:val="231F20"/>
          <w:sz w:val="20"/>
        </w:rPr>
        <w:t>held that</w:t>
      </w:r>
      <w:r w:rsidR="004F5A0C">
        <w:rPr>
          <w:rFonts w:eastAsiaTheme="minorHAnsi"/>
          <w:iCs/>
          <w:color w:val="231F20"/>
          <w:sz w:val="20"/>
        </w:rPr>
        <w:t>, on the record in that case,</w:t>
      </w:r>
      <w:r w:rsidR="002F474E" w:rsidRPr="00491B47">
        <w:rPr>
          <w:rFonts w:eastAsiaTheme="minorHAnsi"/>
          <w:iCs/>
          <w:color w:val="231F20"/>
          <w:sz w:val="20"/>
        </w:rPr>
        <w:t xml:space="preserve"> the Commission </w:t>
      </w:r>
      <w:r w:rsidR="002F474E" w:rsidRPr="00544A46">
        <w:rPr>
          <w:rFonts w:eastAsiaTheme="minorHAnsi"/>
          <w:iCs/>
          <w:color w:val="231F20"/>
          <w:sz w:val="20"/>
        </w:rPr>
        <w:t>lacked</w:t>
      </w:r>
      <w:r w:rsidR="002F474E" w:rsidRPr="00491B47">
        <w:rPr>
          <w:rFonts w:eastAsiaTheme="minorHAnsi"/>
          <w:iCs/>
          <w:color w:val="231F20"/>
          <w:sz w:val="20"/>
        </w:rPr>
        <w:t xml:space="preserve"> jurisdiction </w:t>
      </w:r>
      <w:r w:rsidR="004F5A0C">
        <w:rPr>
          <w:rFonts w:eastAsiaTheme="minorHAnsi"/>
          <w:iCs/>
          <w:color w:val="231F20"/>
          <w:sz w:val="20"/>
        </w:rPr>
        <w:t xml:space="preserve">pursuant to 47 U.S.C. § 276 </w:t>
      </w:r>
      <w:r w:rsidR="002F474E">
        <w:rPr>
          <w:rFonts w:eastAsiaTheme="minorHAnsi"/>
          <w:iCs/>
          <w:color w:val="231F20"/>
          <w:sz w:val="20"/>
        </w:rPr>
        <w:t xml:space="preserve">to </w:t>
      </w:r>
      <w:r w:rsidR="009D0CAF">
        <w:rPr>
          <w:rFonts w:eastAsiaTheme="minorHAnsi"/>
          <w:iCs/>
          <w:color w:val="231F20"/>
          <w:sz w:val="20"/>
        </w:rPr>
        <w:t xml:space="preserve">cap </w:t>
      </w:r>
      <w:r w:rsidR="002F474E">
        <w:rPr>
          <w:rFonts w:eastAsiaTheme="minorHAnsi"/>
          <w:iCs/>
          <w:color w:val="231F20"/>
          <w:sz w:val="20"/>
        </w:rPr>
        <w:t xml:space="preserve">rates for </w:t>
      </w:r>
      <w:r w:rsidR="002F474E" w:rsidRPr="00491B47">
        <w:rPr>
          <w:rFonts w:eastAsiaTheme="minorHAnsi"/>
          <w:iCs/>
          <w:color w:val="231F20"/>
          <w:sz w:val="20"/>
        </w:rPr>
        <w:t xml:space="preserve">intrastate ICS calls </w:t>
      </w:r>
      <w:r w:rsidR="002F474E">
        <w:rPr>
          <w:rFonts w:eastAsiaTheme="minorHAnsi"/>
          <w:iCs/>
          <w:color w:val="231F20"/>
          <w:sz w:val="20"/>
        </w:rPr>
        <w:t xml:space="preserve">and </w:t>
      </w:r>
      <w:r w:rsidR="002F474E" w:rsidRPr="00491B47">
        <w:rPr>
          <w:rFonts w:eastAsiaTheme="minorHAnsi"/>
          <w:iCs/>
          <w:color w:val="231F20"/>
          <w:sz w:val="20"/>
        </w:rPr>
        <w:t xml:space="preserve">that the rate caps the Commission </w:t>
      </w:r>
      <w:r w:rsidR="002F474E">
        <w:rPr>
          <w:rFonts w:eastAsiaTheme="minorHAnsi"/>
          <w:iCs/>
          <w:color w:val="231F20"/>
          <w:sz w:val="20"/>
        </w:rPr>
        <w:t xml:space="preserve">had </w:t>
      </w:r>
      <w:r w:rsidR="002F474E" w:rsidRPr="00491B47">
        <w:rPr>
          <w:rFonts w:eastAsiaTheme="minorHAnsi"/>
          <w:iCs/>
          <w:color w:val="231F20"/>
          <w:sz w:val="20"/>
        </w:rPr>
        <w:t>adopted for interstate calls were arbitrary and capricious</w:t>
      </w:r>
      <w:r w:rsidR="002F474E">
        <w:rPr>
          <w:rFonts w:eastAsiaTheme="minorHAnsi"/>
          <w:iCs/>
          <w:color w:val="231F20"/>
          <w:sz w:val="20"/>
        </w:rPr>
        <w:t xml:space="preserve">.  </w:t>
      </w:r>
      <w:r w:rsidR="003818BB" w:rsidRPr="004460F4">
        <w:rPr>
          <w:rFonts w:eastAsiaTheme="minorHAnsi"/>
          <w:iCs/>
          <w:color w:val="231F20"/>
          <w:sz w:val="20"/>
        </w:rPr>
        <w:t xml:space="preserve">The </w:t>
      </w:r>
      <w:r w:rsidR="002F474E">
        <w:rPr>
          <w:rFonts w:eastAsiaTheme="minorHAnsi"/>
          <w:iCs/>
          <w:color w:val="231F20"/>
          <w:sz w:val="20"/>
        </w:rPr>
        <w:t>C</w:t>
      </w:r>
      <w:r w:rsidR="003818BB" w:rsidRPr="004460F4">
        <w:rPr>
          <w:rFonts w:eastAsiaTheme="minorHAnsi"/>
          <w:iCs/>
          <w:color w:val="231F20"/>
          <w:sz w:val="20"/>
        </w:rPr>
        <w:t xml:space="preserve">ourt also remanded the Commission’s caps on ancillary fees.  </w:t>
      </w:r>
      <w:r w:rsidR="001B0DCC">
        <w:rPr>
          <w:rFonts w:eastAsiaTheme="minorHAnsi"/>
          <w:i/>
          <w:iCs/>
          <w:color w:val="231F20"/>
          <w:sz w:val="20"/>
        </w:rPr>
        <w:t xml:space="preserve">Id. </w:t>
      </w:r>
      <w:r w:rsidR="001B0DCC">
        <w:rPr>
          <w:rFonts w:eastAsiaTheme="minorHAnsi"/>
          <w:iCs/>
          <w:color w:val="231F20"/>
          <w:sz w:val="20"/>
        </w:rPr>
        <w:t xml:space="preserve">at 415.  </w:t>
      </w:r>
      <w:r w:rsidR="003818BB" w:rsidRPr="004460F4">
        <w:rPr>
          <w:rFonts w:eastAsiaTheme="minorHAnsi"/>
          <w:iCs/>
          <w:color w:val="231F20"/>
          <w:sz w:val="20"/>
        </w:rPr>
        <w:t xml:space="preserve">As a result, the interim rate caps that the Commission </w:t>
      </w:r>
      <w:r w:rsidR="002F474E">
        <w:rPr>
          <w:rFonts w:eastAsiaTheme="minorHAnsi"/>
          <w:iCs/>
          <w:color w:val="231F20"/>
          <w:sz w:val="20"/>
        </w:rPr>
        <w:t xml:space="preserve">had </w:t>
      </w:r>
      <w:r w:rsidR="003818BB" w:rsidRPr="004460F4">
        <w:rPr>
          <w:rFonts w:eastAsiaTheme="minorHAnsi"/>
          <w:iCs/>
          <w:color w:val="231F20"/>
          <w:sz w:val="20"/>
        </w:rPr>
        <w:t xml:space="preserve">adopted in 2013 </w:t>
      </w:r>
      <w:r w:rsidR="002F474E">
        <w:rPr>
          <w:rFonts w:eastAsiaTheme="minorHAnsi"/>
          <w:iCs/>
          <w:color w:val="231F20"/>
          <w:sz w:val="20"/>
        </w:rPr>
        <w:t xml:space="preserve">for interstate ICS calls </w:t>
      </w:r>
      <w:r w:rsidR="003818BB" w:rsidRPr="004460F4">
        <w:rPr>
          <w:rFonts w:eastAsiaTheme="minorHAnsi"/>
          <w:iCs/>
          <w:color w:val="231F20"/>
          <w:sz w:val="20"/>
        </w:rPr>
        <w:t xml:space="preserve">($0.21 per minute for debit/prepaid ICS calls and $0.25 per minute for collect calls) are in effect.  </w:t>
      </w:r>
      <w:r w:rsidRPr="004460F4">
        <w:rPr>
          <w:rFonts w:eastAsiaTheme="minorHAnsi"/>
          <w:i/>
          <w:iCs/>
          <w:color w:val="231F20"/>
          <w:sz w:val="20"/>
        </w:rPr>
        <w:t xml:space="preserve">See </w:t>
      </w:r>
      <w:r w:rsidRPr="007834B7">
        <w:rPr>
          <w:rFonts w:eastAsiaTheme="minorHAnsi"/>
          <w:i/>
          <w:iCs/>
          <w:color w:val="231F20"/>
          <w:sz w:val="20"/>
        </w:rPr>
        <w:t>Rates for Interstate Inmate Calling Services</w:t>
      </w:r>
      <w:r w:rsidRPr="007834B7">
        <w:rPr>
          <w:rFonts w:eastAsiaTheme="minorHAnsi"/>
          <w:color w:val="231F20"/>
          <w:sz w:val="20"/>
        </w:rPr>
        <w:t>, Report and Order and Further Notice of Proposed Rulemaking, WC Docket No. 12-375, 28 FCC Rcd 14107 (2013)</w:t>
      </w:r>
      <w:r w:rsidR="002F474E">
        <w:rPr>
          <w:rFonts w:eastAsiaTheme="minorHAnsi"/>
          <w:color w:val="231F20"/>
          <w:sz w:val="20"/>
        </w:rPr>
        <w:t>.</w:t>
      </w:r>
    </w:p>
  </w:footnote>
  <w:footnote w:id="4">
    <w:p w14:paraId="04B8EFAB" w14:textId="77777777" w:rsidR="00C230BA" w:rsidRPr="003C7C87" w:rsidRDefault="00C230BA" w:rsidP="004460F4">
      <w:pPr>
        <w:autoSpaceDE w:val="0"/>
        <w:autoSpaceDN w:val="0"/>
        <w:adjustRightInd w:val="0"/>
        <w:spacing w:after="80"/>
      </w:pPr>
      <w:r w:rsidRPr="00521EA5">
        <w:rPr>
          <w:rStyle w:val="FootnoteReference"/>
          <w:sz w:val="20"/>
        </w:rPr>
        <w:footnoteRef/>
      </w:r>
      <w:r w:rsidR="00F354C7">
        <w:rPr>
          <w:sz w:val="20"/>
        </w:rPr>
        <w:t xml:space="preserve"> </w:t>
      </w:r>
      <w:r w:rsidR="00F2630E" w:rsidRPr="004460F4">
        <w:rPr>
          <w:rFonts w:eastAsiaTheme="minorHAnsi"/>
          <w:i/>
          <w:color w:val="231F20"/>
          <w:sz w:val="20"/>
        </w:rPr>
        <w:t xml:space="preserve">See </w:t>
      </w:r>
      <w:r w:rsidR="003C7C87" w:rsidRPr="00200589">
        <w:rPr>
          <w:sz w:val="20"/>
        </w:rPr>
        <w:t>47 CFR § 64.6060(a</w:t>
      </w:r>
      <w:r w:rsidR="00C35CD4">
        <w:rPr>
          <w:sz w:val="20"/>
        </w:rPr>
        <w:t>)</w:t>
      </w:r>
      <w:r w:rsidR="003C7C87" w:rsidRPr="00200589">
        <w:rPr>
          <w:sz w:val="20"/>
        </w:rPr>
        <w:t>.</w:t>
      </w:r>
    </w:p>
  </w:footnote>
  <w:footnote w:id="5">
    <w:p w14:paraId="45CF149D" w14:textId="53F3AF19" w:rsidR="0010673F" w:rsidRPr="00B136F6" w:rsidRDefault="0010673F" w:rsidP="0010673F">
      <w:pPr>
        <w:autoSpaceDE w:val="0"/>
        <w:autoSpaceDN w:val="0"/>
        <w:adjustRightInd w:val="0"/>
        <w:spacing w:after="80"/>
        <w:rPr>
          <w:sz w:val="20"/>
        </w:rPr>
      </w:pPr>
      <w:r w:rsidRPr="00645326">
        <w:rPr>
          <w:rStyle w:val="FootnoteReference"/>
          <w:sz w:val="20"/>
        </w:rPr>
        <w:footnoteRef/>
      </w:r>
      <w:r w:rsidRPr="00645326">
        <w:rPr>
          <w:sz w:val="20"/>
        </w:rPr>
        <w:t xml:space="preserve"> </w:t>
      </w:r>
      <w:r w:rsidRPr="00645326">
        <w:rPr>
          <w:rFonts w:eastAsiaTheme="minorHAnsi"/>
          <w:i/>
          <w:color w:val="231F20"/>
          <w:sz w:val="20"/>
        </w:rPr>
        <w:t xml:space="preserve">See </w:t>
      </w:r>
      <w:r w:rsidRPr="00645326">
        <w:rPr>
          <w:sz w:val="20"/>
        </w:rPr>
        <w:t>47 CFR § 64.6060(b)</w:t>
      </w:r>
      <w:r w:rsidR="000858BC">
        <w:rPr>
          <w:sz w:val="20"/>
        </w:rPr>
        <w:t xml:space="preserve">; </w:t>
      </w:r>
      <w:r w:rsidR="000858BC">
        <w:rPr>
          <w:i/>
          <w:sz w:val="20"/>
        </w:rPr>
        <w:t xml:space="preserve">2015 </w:t>
      </w:r>
      <w:r w:rsidR="000858BC" w:rsidRPr="007834B7">
        <w:rPr>
          <w:i/>
          <w:sz w:val="20"/>
        </w:rPr>
        <w:t>Order</w:t>
      </w:r>
      <w:r w:rsidR="000858BC">
        <w:rPr>
          <w:sz w:val="20"/>
        </w:rPr>
        <w:t xml:space="preserve">, </w:t>
      </w:r>
      <w:r w:rsidR="000858BC" w:rsidRPr="007834B7">
        <w:rPr>
          <w:sz w:val="20"/>
        </w:rPr>
        <w:t>30 FCC Rcd</w:t>
      </w:r>
      <w:r w:rsidR="000858BC">
        <w:rPr>
          <w:sz w:val="20"/>
        </w:rPr>
        <w:t xml:space="preserve"> at 12891, para. 266</w:t>
      </w:r>
      <w:r w:rsidRPr="00645326">
        <w:rPr>
          <w:sz w:val="20"/>
        </w:rPr>
        <w:t>.</w:t>
      </w:r>
    </w:p>
  </w:footnote>
  <w:footnote w:id="6">
    <w:p w14:paraId="3456AC4B" w14:textId="77777777" w:rsidR="0010673F" w:rsidRPr="00D30B02" w:rsidRDefault="0010673F" w:rsidP="00B136F6">
      <w:pPr>
        <w:autoSpaceDE w:val="0"/>
        <w:autoSpaceDN w:val="0"/>
        <w:adjustRightInd w:val="0"/>
        <w:spacing w:after="80"/>
      </w:pPr>
      <w:r w:rsidRPr="00D30B02">
        <w:rPr>
          <w:rStyle w:val="FootnoteReference"/>
          <w:sz w:val="20"/>
        </w:rPr>
        <w:footnoteRef/>
      </w:r>
      <w:r w:rsidRPr="00D30B02">
        <w:rPr>
          <w:sz w:val="20"/>
        </w:rPr>
        <w:t xml:space="preserve"> 47 CFR § 64.6110.</w:t>
      </w:r>
    </w:p>
  </w:footnote>
  <w:footnote w:id="7">
    <w:p w14:paraId="7C1C8A3E" w14:textId="77777777" w:rsidR="007105F3" w:rsidRPr="00D30B02" w:rsidRDefault="0095669B" w:rsidP="00B136F6">
      <w:pPr>
        <w:autoSpaceDE w:val="0"/>
        <w:autoSpaceDN w:val="0"/>
        <w:adjustRightInd w:val="0"/>
        <w:spacing w:after="80"/>
      </w:pPr>
      <w:r w:rsidRPr="00D30B02">
        <w:rPr>
          <w:rStyle w:val="FootnoteReference"/>
          <w:sz w:val="20"/>
        </w:rPr>
        <w:footnoteRef/>
      </w:r>
      <w:r w:rsidRPr="00D30B02">
        <w:rPr>
          <w:sz w:val="20"/>
        </w:rPr>
        <w:t xml:space="preserve"> </w:t>
      </w:r>
      <w:r w:rsidR="00284F42" w:rsidRPr="00D30B02">
        <w:rPr>
          <w:sz w:val="20"/>
        </w:rPr>
        <w:t xml:space="preserve">47 CFR § 64.6060(a)(4); </w:t>
      </w:r>
      <w:r w:rsidR="00284F42" w:rsidRPr="00D30B02">
        <w:rPr>
          <w:i/>
          <w:sz w:val="20"/>
        </w:rPr>
        <w:t xml:space="preserve">see </w:t>
      </w:r>
      <w:r w:rsidR="00F354C7" w:rsidRPr="00D30B02">
        <w:rPr>
          <w:i/>
          <w:sz w:val="20"/>
        </w:rPr>
        <w:t>GTL</w:t>
      </w:r>
      <w:r w:rsidR="00F354C7" w:rsidRPr="00B136F6">
        <w:rPr>
          <w:i/>
          <w:sz w:val="20"/>
        </w:rPr>
        <w:t xml:space="preserve"> </w:t>
      </w:r>
      <w:r w:rsidR="00F354C7" w:rsidRPr="00D30B02">
        <w:rPr>
          <w:i/>
          <w:sz w:val="20"/>
        </w:rPr>
        <w:t>v. FCC</w:t>
      </w:r>
      <w:r w:rsidR="00284F42" w:rsidRPr="00D30B02">
        <w:rPr>
          <w:sz w:val="20"/>
        </w:rPr>
        <w:t xml:space="preserve">, 866 F.3d </w:t>
      </w:r>
      <w:r w:rsidR="00F354C7" w:rsidRPr="00D30B02">
        <w:rPr>
          <w:sz w:val="20"/>
        </w:rPr>
        <w:t xml:space="preserve">at </w:t>
      </w:r>
      <w:r w:rsidR="00284F42" w:rsidRPr="00D30B02">
        <w:rPr>
          <w:sz w:val="20"/>
        </w:rPr>
        <w:t>415.</w:t>
      </w:r>
      <w:r w:rsidRPr="00D30B02">
        <w:rPr>
          <w:sz w:val="20"/>
        </w:rPr>
        <w:t xml:space="preserve"> </w:t>
      </w:r>
      <w:r w:rsidR="006F1A9B" w:rsidRPr="00D30B02">
        <w:rPr>
          <w:sz w:val="20"/>
        </w:rPr>
        <w:t xml:space="preserve"> </w:t>
      </w:r>
      <w:r w:rsidRPr="00D30B02">
        <w:rPr>
          <w:sz w:val="20"/>
        </w:rPr>
        <w:t xml:space="preserve">The </w:t>
      </w:r>
      <w:r w:rsidR="00200589" w:rsidRPr="00D30B02">
        <w:rPr>
          <w:sz w:val="20"/>
        </w:rPr>
        <w:t>C</w:t>
      </w:r>
      <w:r w:rsidRPr="00D30B02">
        <w:rPr>
          <w:sz w:val="20"/>
        </w:rPr>
        <w:t>ourt</w:t>
      </w:r>
      <w:r w:rsidR="002D4BB7" w:rsidRPr="00D30B02">
        <w:rPr>
          <w:sz w:val="20"/>
        </w:rPr>
        <w:t xml:space="preserve"> did not address any other aspect of the </w:t>
      </w:r>
      <w:r w:rsidR="00200589" w:rsidRPr="00D30B02">
        <w:rPr>
          <w:sz w:val="20"/>
        </w:rPr>
        <w:t>a</w:t>
      </w:r>
      <w:r w:rsidR="002D4BB7" w:rsidRPr="00D30B02">
        <w:rPr>
          <w:sz w:val="20"/>
        </w:rPr>
        <w:t xml:space="preserve">nnual </w:t>
      </w:r>
      <w:r w:rsidR="00200589" w:rsidRPr="00D30B02">
        <w:rPr>
          <w:sz w:val="20"/>
        </w:rPr>
        <w:t>re</w:t>
      </w:r>
      <w:r w:rsidR="002D4BB7" w:rsidRPr="00D30B02">
        <w:rPr>
          <w:sz w:val="20"/>
        </w:rPr>
        <w:t>port</w:t>
      </w:r>
      <w:r w:rsidR="00F82B9E">
        <w:rPr>
          <w:sz w:val="20"/>
        </w:rPr>
        <w:t xml:space="preserve"> </w:t>
      </w:r>
      <w:r w:rsidR="00200589" w:rsidRPr="00D30B02">
        <w:rPr>
          <w:sz w:val="20"/>
        </w:rPr>
        <w:t>and did not address the c</w:t>
      </w:r>
      <w:r w:rsidR="002D4BB7" w:rsidRPr="00D30B02">
        <w:rPr>
          <w:sz w:val="20"/>
        </w:rPr>
        <w:t>ertification</w:t>
      </w:r>
      <w:r w:rsidR="00200589" w:rsidRPr="00D30B02">
        <w:rPr>
          <w:sz w:val="20"/>
        </w:rPr>
        <w:t xml:space="preserve"> requirement or </w:t>
      </w:r>
      <w:r w:rsidR="002D4BB7" w:rsidRPr="00D30B02">
        <w:rPr>
          <w:sz w:val="20"/>
        </w:rPr>
        <w:t>consumer disclosure rule.</w:t>
      </w:r>
      <w:r w:rsidR="004D0D1F" w:rsidRPr="00D30B02">
        <w:rPr>
          <w:sz w:val="20"/>
        </w:rPr>
        <w:t xml:space="preserve">  </w:t>
      </w:r>
      <w:r w:rsidR="004D0D1F" w:rsidRPr="00D30B02">
        <w:rPr>
          <w:i/>
          <w:sz w:val="20"/>
        </w:rPr>
        <w:t>See id. passim</w:t>
      </w:r>
      <w:r w:rsidR="004D0D1F" w:rsidRPr="00D30B02">
        <w:rPr>
          <w:sz w:val="20"/>
        </w:rPr>
        <w:t>.</w:t>
      </w:r>
    </w:p>
  </w:footnote>
  <w:footnote w:id="8">
    <w:p w14:paraId="6DF053EC" w14:textId="77777777" w:rsidR="008A5EA2" w:rsidRPr="00D30B02" w:rsidRDefault="008A5EA2" w:rsidP="00CA240C">
      <w:pPr>
        <w:autoSpaceDE w:val="0"/>
        <w:autoSpaceDN w:val="0"/>
        <w:adjustRightInd w:val="0"/>
        <w:spacing w:after="80"/>
      </w:pPr>
      <w:r w:rsidRPr="00D30B02">
        <w:rPr>
          <w:rStyle w:val="FootnoteReference"/>
          <w:sz w:val="20"/>
        </w:rPr>
        <w:footnoteRef/>
      </w:r>
      <w:r w:rsidRPr="00B136F6">
        <w:rPr>
          <w:rStyle w:val="FootnoteReference"/>
        </w:rPr>
        <w:t xml:space="preserve"> </w:t>
      </w:r>
      <w:r w:rsidRPr="00D30B02">
        <w:rPr>
          <w:i/>
          <w:sz w:val="20"/>
        </w:rPr>
        <w:t>See</w:t>
      </w:r>
      <w:r w:rsidRPr="00B136F6">
        <w:rPr>
          <w:sz w:val="20"/>
        </w:rPr>
        <w:t xml:space="preserve"> </w:t>
      </w:r>
      <w:r w:rsidR="007A537B" w:rsidRPr="00D30B02">
        <w:rPr>
          <w:sz w:val="20"/>
        </w:rPr>
        <w:t>Letter from Pamela Arluk, Chief</w:t>
      </w:r>
      <w:r w:rsidR="00D30B02" w:rsidRPr="00D30B02">
        <w:rPr>
          <w:sz w:val="20"/>
        </w:rPr>
        <w:t>,</w:t>
      </w:r>
      <w:r w:rsidR="007A537B" w:rsidRPr="00D30B02">
        <w:rPr>
          <w:sz w:val="20"/>
        </w:rPr>
        <w:t xml:space="preserve"> Pricing Policy Division, </w:t>
      </w:r>
      <w:r w:rsidR="00D30B02" w:rsidRPr="00D30B02">
        <w:rPr>
          <w:sz w:val="20"/>
        </w:rPr>
        <w:t>Wireline Competition Bureau</w:t>
      </w:r>
      <w:r w:rsidR="007A537B" w:rsidRPr="00D30B02">
        <w:rPr>
          <w:sz w:val="20"/>
        </w:rPr>
        <w:t>, FCC, to Marcus Trathen, Counsel for Pay Tel Communications, Inc., 32 FCC Rcd 4154 (WCB 201</w:t>
      </w:r>
      <w:r w:rsidR="00D30B02" w:rsidRPr="00D30B02">
        <w:rPr>
          <w:sz w:val="20"/>
        </w:rPr>
        <w:t>7</w:t>
      </w:r>
      <w:r w:rsidR="007A537B" w:rsidRPr="00D30B02">
        <w:rPr>
          <w:sz w:val="20"/>
        </w:rPr>
        <w:t>)</w:t>
      </w:r>
      <w:r w:rsidR="00D30B02" w:rsidRPr="00D30B02">
        <w:rPr>
          <w:sz w:val="20"/>
        </w:rPr>
        <w:t xml:space="preserve"> (</w:t>
      </w:r>
      <w:r w:rsidR="00D30B02" w:rsidRPr="00B136F6">
        <w:rPr>
          <w:sz w:val="20"/>
        </w:rPr>
        <w:t>responding to a request for clarification of aspects of the annual reporting requirements</w:t>
      </w:r>
      <w:r w:rsidR="00D30B02" w:rsidRPr="00D30B02">
        <w:rPr>
          <w:sz w:val="20"/>
        </w:rPr>
        <w:t>)</w:t>
      </w:r>
      <w:r w:rsidR="007A537B" w:rsidRPr="00D30B02">
        <w:rPr>
          <w:sz w:val="20"/>
        </w:rPr>
        <w:t>.</w:t>
      </w:r>
    </w:p>
  </w:footnote>
  <w:footnote w:id="9">
    <w:p w14:paraId="539A532D" w14:textId="4AF9229A" w:rsidR="00E30F72" w:rsidRDefault="00E30F72" w:rsidP="00CA240C">
      <w:pPr>
        <w:pStyle w:val="FootnoteText"/>
        <w:spacing w:after="80"/>
      </w:pPr>
      <w:r>
        <w:rPr>
          <w:rStyle w:val="FootnoteReference"/>
        </w:rPr>
        <w:footnoteRef/>
      </w:r>
      <w:r>
        <w:t xml:space="preserve"> Worth Rises Comments at 1.</w:t>
      </w:r>
    </w:p>
  </w:footnote>
  <w:footnote w:id="10">
    <w:p w14:paraId="5DEBDB4D" w14:textId="14F37855" w:rsidR="00597437" w:rsidRDefault="002D2049" w:rsidP="00CA240C">
      <w:pPr>
        <w:pStyle w:val="FootnoteText"/>
        <w:spacing w:after="80"/>
      </w:pPr>
      <w:r>
        <w:rPr>
          <w:rStyle w:val="FootnoteReference"/>
        </w:rPr>
        <w:footnoteRef/>
      </w:r>
      <w:r>
        <w:t xml:space="preserve"> </w:t>
      </w:r>
      <w:r w:rsidR="00085F84">
        <w:t>Leadership</w:t>
      </w:r>
      <w:r>
        <w:t xml:space="preserve"> Conference Comments at </w:t>
      </w:r>
      <w:r w:rsidR="0081092F">
        <w:t>2.</w:t>
      </w:r>
    </w:p>
  </w:footnote>
  <w:footnote w:id="11">
    <w:p w14:paraId="58132AA7" w14:textId="1B35CF6C" w:rsidR="00597437" w:rsidRDefault="0081092F" w:rsidP="00CA240C">
      <w:pPr>
        <w:pStyle w:val="FootnoteText"/>
        <w:spacing w:after="80"/>
      </w:pPr>
      <w:r>
        <w:rPr>
          <w:rStyle w:val="FootnoteReference"/>
        </w:rPr>
        <w:footnoteRef/>
      </w:r>
      <w:r>
        <w:t xml:space="preserve"> </w:t>
      </w:r>
      <w:r w:rsidRPr="00286E70">
        <w:rPr>
          <w:i/>
        </w:rPr>
        <w:t>Id</w:t>
      </w:r>
      <w:r>
        <w:t>.</w:t>
      </w:r>
    </w:p>
  </w:footnote>
  <w:footnote w:id="12">
    <w:p w14:paraId="3B9DB67A" w14:textId="7A63351A" w:rsidR="00597437" w:rsidRDefault="00820664" w:rsidP="00CA240C">
      <w:pPr>
        <w:pStyle w:val="FootnoteText"/>
        <w:spacing w:after="80"/>
      </w:pPr>
      <w:r>
        <w:rPr>
          <w:rStyle w:val="FootnoteReference"/>
        </w:rPr>
        <w:footnoteRef/>
      </w:r>
      <w:r>
        <w:t xml:space="preserve"> </w:t>
      </w:r>
      <w:r w:rsidRPr="00286E70">
        <w:rPr>
          <w:i/>
        </w:rPr>
        <w:t>Id</w:t>
      </w:r>
      <w:r>
        <w:t>. at 1.</w:t>
      </w:r>
    </w:p>
  </w:footnote>
  <w:footnote w:id="13">
    <w:p w14:paraId="05FE2C37" w14:textId="52B14709" w:rsidR="004D4D1D" w:rsidRDefault="004D4D1D" w:rsidP="00CA240C">
      <w:pPr>
        <w:pStyle w:val="FootnoteText"/>
        <w:spacing w:after="80"/>
      </w:pPr>
      <w:r>
        <w:rPr>
          <w:rStyle w:val="FootnoteReference"/>
        </w:rPr>
        <w:footnoteRef/>
      </w:r>
      <w:r>
        <w:t xml:space="preserve"> </w:t>
      </w:r>
      <w:r w:rsidR="00A64064">
        <w:t xml:space="preserve">GTL Comments at </w:t>
      </w:r>
      <w:r w:rsidR="00507BF4">
        <w:t>3 (citations omitted)</w:t>
      </w:r>
      <w:r w:rsidR="00A64064">
        <w:t>.</w:t>
      </w:r>
    </w:p>
  </w:footnote>
  <w:footnote w:id="14">
    <w:p w14:paraId="3BD47B74" w14:textId="657D94CB" w:rsidR="004D4D1D" w:rsidRDefault="004D4D1D" w:rsidP="00CA240C">
      <w:pPr>
        <w:pStyle w:val="FootnoteText"/>
        <w:spacing w:after="80"/>
      </w:pPr>
      <w:r>
        <w:rPr>
          <w:rStyle w:val="FootnoteReference"/>
        </w:rPr>
        <w:footnoteRef/>
      </w:r>
      <w:r>
        <w:t xml:space="preserve"> </w:t>
      </w:r>
      <w:r w:rsidR="00A64064">
        <w:rPr>
          <w:i/>
        </w:rPr>
        <w:t xml:space="preserve">Id. </w:t>
      </w:r>
      <w:r w:rsidR="00EC3A4C">
        <w:t xml:space="preserve">at </w:t>
      </w:r>
      <w:r w:rsidR="00507BF4">
        <w:t>3-4 (</w:t>
      </w:r>
      <w:r w:rsidR="0001755F">
        <w:t xml:space="preserve">citation and </w:t>
      </w:r>
      <w:r w:rsidR="00507BF4">
        <w:t>internal quotation marks omitted)</w:t>
      </w:r>
      <w:r w:rsidR="00EC3A4C">
        <w:t>.</w:t>
      </w:r>
    </w:p>
  </w:footnote>
  <w:footnote w:id="15">
    <w:p w14:paraId="25642E76" w14:textId="62A473A8" w:rsidR="00EC3A4C" w:rsidRPr="00085F84" w:rsidRDefault="00EC3A4C" w:rsidP="00CA240C">
      <w:pPr>
        <w:pStyle w:val="FootnoteText"/>
        <w:spacing w:after="80"/>
      </w:pPr>
      <w:r w:rsidRPr="00085F84">
        <w:rPr>
          <w:rStyle w:val="FootnoteReference"/>
        </w:rPr>
        <w:footnoteRef/>
      </w:r>
      <w:r w:rsidRPr="00085F84">
        <w:t xml:space="preserve"> </w:t>
      </w:r>
      <w:r w:rsidR="00085F84" w:rsidRPr="00085F84">
        <w:t>Leadership Conference Comments at 1.</w:t>
      </w:r>
    </w:p>
  </w:footnote>
  <w:footnote w:id="16">
    <w:p w14:paraId="18C6B0FB" w14:textId="69688892" w:rsidR="00EC3A4C" w:rsidRPr="00CA240C" w:rsidRDefault="00EC3A4C" w:rsidP="00CA240C">
      <w:pPr>
        <w:pStyle w:val="FootnoteText"/>
        <w:spacing w:after="80"/>
        <w:rPr>
          <w:i/>
        </w:rPr>
      </w:pPr>
      <w:r w:rsidRPr="00085F84">
        <w:rPr>
          <w:rStyle w:val="FootnoteReference"/>
        </w:rPr>
        <w:footnoteRef/>
      </w:r>
      <w:r w:rsidRPr="00085F84">
        <w:t xml:space="preserve"> </w:t>
      </w:r>
      <w:r w:rsidR="0081720F" w:rsidRPr="00085F84">
        <w:t>GTL Comments</w:t>
      </w:r>
      <w:r w:rsidRPr="00085F84">
        <w:t xml:space="preserve"> at 3-4 (citing Draft FCC Form 2301(a) Instructions (“The form…is designed to facilitate transparency in ICS rates, terms, and fees</w:t>
      </w:r>
      <w:r>
        <w:t xml:space="preserve"> </w:t>
      </w:r>
      <w:r w:rsidR="00507BF4">
        <w:t xml:space="preserve">and </w:t>
      </w:r>
      <w:r>
        <w:t>to help ensure that providers of ICS comply with the Commission’s rules.”))</w:t>
      </w:r>
      <w:r w:rsidR="000A0ABE">
        <w:t xml:space="preserve">; </w:t>
      </w:r>
      <w:r w:rsidR="000A0ABE">
        <w:rPr>
          <w:i/>
        </w:rPr>
        <w:t xml:space="preserve">see 2015 </w:t>
      </w:r>
      <w:r w:rsidR="000A0ABE" w:rsidRPr="007834B7">
        <w:rPr>
          <w:i/>
        </w:rPr>
        <w:t>Order</w:t>
      </w:r>
      <w:r w:rsidR="000A0ABE">
        <w:t xml:space="preserve">, </w:t>
      </w:r>
      <w:r w:rsidR="000A0ABE" w:rsidRPr="007834B7">
        <w:t>30 FCC Rcd</w:t>
      </w:r>
      <w:r w:rsidR="000A0ABE">
        <w:t xml:space="preserve"> at 12891, para. 266.</w:t>
      </w:r>
    </w:p>
  </w:footnote>
  <w:footnote w:id="17">
    <w:p w14:paraId="41949AC9" w14:textId="00C1C8A0" w:rsidR="00DA7D48" w:rsidRPr="00A233DD" w:rsidRDefault="00DA7D48" w:rsidP="00CA240C">
      <w:pPr>
        <w:pStyle w:val="FootnoteText"/>
        <w:spacing w:after="80"/>
      </w:pPr>
      <w:r>
        <w:rPr>
          <w:rStyle w:val="FootnoteReference"/>
        </w:rPr>
        <w:footnoteRef/>
      </w:r>
      <w:r>
        <w:t xml:space="preserve"> GTL Comments at 4 (citing </w:t>
      </w:r>
      <w:r>
        <w:rPr>
          <w:i/>
        </w:rPr>
        <w:t>GTL v. FCC</w:t>
      </w:r>
      <w:r>
        <w:t>, 866 F.3d at 409-11</w:t>
      </w:r>
      <w:r w:rsidR="00572BA5">
        <w:t>)</w:t>
      </w:r>
      <w:r>
        <w:t>.</w:t>
      </w:r>
    </w:p>
  </w:footnote>
  <w:footnote w:id="18">
    <w:p w14:paraId="47114BB0" w14:textId="2F953149" w:rsidR="00AB0859" w:rsidRPr="00AB0859" w:rsidRDefault="00AB0859" w:rsidP="0021050B">
      <w:pPr>
        <w:pStyle w:val="FootnoteText"/>
        <w:spacing w:after="80"/>
      </w:pPr>
      <w:r>
        <w:rPr>
          <w:rStyle w:val="FootnoteReference"/>
        </w:rPr>
        <w:footnoteRef/>
      </w:r>
      <w:r>
        <w:t xml:space="preserve"> </w:t>
      </w:r>
      <w:r>
        <w:rPr>
          <w:i/>
        </w:rPr>
        <w:t>GTL v. FCC</w:t>
      </w:r>
      <w:r>
        <w:t xml:space="preserve">, 866 F.3d at </w:t>
      </w:r>
      <w:r w:rsidR="007735FE">
        <w:t>409</w:t>
      </w:r>
      <w:r w:rsidR="005F5AB2">
        <w:t>.</w:t>
      </w:r>
      <w:r w:rsidR="005F5AB2" w:rsidDel="005F5AB2">
        <w:t xml:space="preserve"> </w:t>
      </w:r>
    </w:p>
  </w:footnote>
  <w:footnote w:id="19">
    <w:p w14:paraId="358CD604" w14:textId="77777777" w:rsidR="00C574C0" w:rsidRPr="00CD711F" w:rsidRDefault="00C574C0" w:rsidP="00C574C0">
      <w:pPr>
        <w:pStyle w:val="FootnoteText"/>
        <w:spacing w:after="80"/>
      </w:pPr>
      <w:r w:rsidRPr="00CD711F">
        <w:rPr>
          <w:rStyle w:val="FootnoteReference"/>
        </w:rPr>
        <w:footnoteRef/>
      </w:r>
      <w:r w:rsidRPr="00CD711F">
        <w:t xml:space="preserve"> </w:t>
      </w:r>
      <w:r w:rsidRPr="00CD711F">
        <w:rPr>
          <w:lang w:eastAsia="ko-KR"/>
        </w:rPr>
        <w:t>47 U.S.C. § </w:t>
      </w:r>
      <w:r>
        <w:rPr>
          <w:lang w:eastAsia="ko-KR"/>
        </w:rPr>
        <w:t xml:space="preserve">201(b).  </w:t>
      </w:r>
    </w:p>
  </w:footnote>
  <w:footnote w:id="20">
    <w:p w14:paraId="2956D457" w14:textId="7AE4F795" w:rsidR="00D25081" w:rsidRPr="00D25081" w:rsidRDefault="00A210C2" w:rsidP="00D25081">
      <w:pPr>
        <w:pStyle w:val="FootnoteText"/>
        <w:spacing w:after="80"/>
      </w:pPr>
      <w:r w:rsidRPr="00CA240C">
        <w:rPr>
          <w:rStyle w:val="FootnoteReference"/>
        </w:rPr>
        <w:footnoteRef/>
      </w:r>
      <w:r w:rsidRPr="00CA240C">
        <w:t xml:space="preserve"> </w:t>
      </w:r>
      <w:r w:rsidRPr="00CA240C">
        <w:rPr>
          <w:i/>
        </w:rPr>
        <w:t>See, e.g.</w:t>
      </w:r>
      <w:r w:rsidRPr="00CA240C">
        <w:t>,</w:t>
      </w:r>
      <w:r w:rsidRPr="00CA240C">
        <w:rPr>
          <w:i/>
        </w:rPr>
        <w:t xml:space="preserve"> </w:t>
      </w:r>
      <w:r w:rsidR="00853CE7">
        <w:rPr>
          <w:i/>
        </w:rPr>
        <w:t>Wireline Competition Bureau Releases the 2019 Telecommunications Reporting Worksheets and Accompanying Instructions</w:t>
      </w:r>
      <w:r w:rsidR="00853CE7">
        <w:t>, WC Docket No. 06-122, Public Notice, DA 19-84</w:t>
      </w:r>
      <w:r w:rsidR="00853CE7">
        <w:rPr>
          <w:i/>
        </w:rPr>
        <w:t xml:space="preserve"> </w:t>
      </w:r>
      <w:r w:rsidR="00853CE7">
        <w:t xml:space="preserve">(WCB Feb. 14, 2019); </w:t>
      </w:r>
      <w:r w:rsidR="00853CE7">
        <w:rPr>
          <w:i/>
        </w:rPr>
        <w:t>see also</w:t>
      </w:r>
      <w:r w:rsidR="00853CE7">
        <w:t xml:space="preserve"> </w:t>
      </w:r>
      <w:r w:rsidRPr="00CD711F">
        <w:rPr>
          <w:i/>
        </w:rPr>
        <w:t>Automated Reporting Requirements for Certain Class A and Tier 1 Telephone Companies (Parts 31, 43, 67, and 69 of the</w:t>
      </w:r>
      <w:r>
        <w:rPr>
          <w:i/>
        </w:rPr>
        <w:t xml:space="preserve"> FCC’s Rules)</w:t>
      </w:r>
      <w:r>
        <w:t>, CC Docket No. 86-182, Report and Order, 2 FCC Rcd 5770 (1987)</w:t>
      </w:r>
      <w:r w:rsidR="00A519D9">
        <w:t xml:space="preserve">; </w:t>
      </w:r>
      <w:r w:rsidR="00A519D9" w:rsidRPr="00AD7059">
        <w:rPr>
          <w:i/>
        </w:rPr>
        <w:t xml:space="preserve">Telecommunications Industry Revenues: </w:t>
      </w:r>
      <w:r w:rsidR="00D25081" w:rsidRPr="00AD7059">
        <w:rPr>
          <w:i/>
        </w:rPr>
        <w:t>2009</w:t>
      </w:r>
      <w:r w:rsidR="00D25081">
        <w:t xml:space="preserve">, 1 (WCB/IATD 2011), available at: </w:t>
      </w:r>
      <w:hyperlink r:id="rId1" w:history="1">
        <w:r w:rsidR="00343277" w:rsidRPr="00AD7059">
          <w:rPr>
            <w:rStyle w:val="Hyperlink"/>
          </w:rPr>
          <w:t>https://www.fcc.gov/ general/telecommunications-industry-revenue-data-0</w:t>
        </w:r>
      </w:hyperlink>
      <w:r w:rsidR="00343277">
        <w:t xml:space="preserve"> </w:t>
      </w:r>
      <w:r w:rsidR="00D25081">
        <w:t xml:space="preserve">(describing the collection of </w:t>
      </w:r>
      <w:r w:rsidR="00D25081" w:rsidRPr="00AD7059">
        <w:t xml:space="preserve">information </w:t>
      </w:r>
      <w:r w:rsidR="00D25081">
        <w:t xml:space="preserve">on interstate and intrastate </w:t>
      </w:r>
      <w:r w:rsidR="00D25081" w:rsidRPr="00AD7059">
        <w:t xml:space="preserve">telecommunications </w:t>
      </w:r>
      <w:r w:rsidR="00D25081">
        <w:t>services and</w:t>
      </w:r>
      <w:r w:rsidR="00D25081" w:rsidRPr="00AD7059">
        <w:t xml:space="preserve"> nonregulated</w:t>
      </w:r>
      <w:r w:rsidR="00D25081">
        <w:t xml:space="preserve"> </w:t>
      </w:r>
      <w:r w:rsidR="00D25081" w:rsidRPr="00AD7059">
        <w:t>services</w:t>
      </w:r>
      <w:r w:rsidR="00D25081">
        <w:t>).</w:t>
      </w:r>
    </w:p>
  </w:footnote>
  <w:footnote w:id="21">
    <w:p w14:paraId="229FF5AD" w14:textId="023A0092" w:rsidR="00DD41D0" w:rsidRPr="009F3BD2" w:rsidRDefault="00DD41D0" w:rsidP="00CA240C">
      <w:pPr>
        <w:pStyle w:val="FootnoteText"/>
        <w:spacing w:after="80"/>
        <w:rPr>
          <w:rFonts w:eastAsia="Malgun Gothic"/>
          <w:lang w:eastAsia="ko-KR"/>
        </w:rPr>
      </w:pPr>
      <w:r>
        <w:rPr>
          <w:rStyle w:val="FootnoteReference"/>
        </w:rPr>
        <w:footnoteRef/>
      </w:r>
      <w:r>
        <w:t xml:space="preserve"> </w:t>
      </w:r>
      <w:r>
        <w:rPr>
          <w:rFonts w:eastAsia="Malgun Gothic"/>
          <w:lang w:eastAsia="ko-KR"/>
        </w:rPr>
        <w:t xml:space="preserve">GTL </w:t>
      </w:r>
      <w:r w:rsidRPr="00CA240C">
        <w:t>Comments</w:t>
      </w:r>
      <w:r>
        <w:rPr>
          <w:rFonts w:eastAsia="Malgun Gothic"/>
          <w:lang w:eastAsia="ko-KR"/>
        </w:rPr>
        <w:t xml:space="preserve"> at 4.</w:t>
      </w:r>
    </w:p>
  </w:footnote>
  <w:footnote w:id="22">
    <w:p w14:paraId="0E078836" w14:textId="4D1B93CE" w:rsidR="00955DB2" w:rsidRDefault="00955DB2" w:rsidP="00CA240C">
      <w:pPr>
        <w:pStyle w:val="FootnoteText"/>
        <w:spacing w:after="80"/>
      </w:pPr>
      <w:r>
        <w:rPr>
          <w:rStyle w:val="FootnoteReference"/>
        </w:rPr>
        <w:footnoteRef/>
      </w:r>
      <w:r>
        <w:t xml:space="preserve"> </w:t>
      </w:r>
      <w:r w:rsidR="00CA240C" w:rsidRPr="00CA240C">
        <w:rPr>
          <w:i/>
        </w:rPr>
        <w:t>Id</w:t>
      </w:r>
      <w:r w:rsidR="00CA240C">
        <w:t>.</w:t>
      </w:r>
    </w:p>
  </w:footnote>
  <w:footnote w:id="23">
    <w:p w14:paraId="7C6E6342" w14:textId="38704EEE" w:rsidR="0025308F" w:rsidRPr="009F3BD2" w:rsidRDefault="0025308F" w:rsidP="00CA240C">
      <w:pPr>
        <w:pStyle w:val="FootnoteText"/>
        <w:spacing w:after="80"/>
        <w:rPr>
          <w:rFonts w:eastAsia="Malgun Gothic"/>
          <w:lang w:eastAsia="ko-KR"/>
        </w:rPr>
      </w:pPr>
      <w:r>
        <w:rPr>
          <w:rStyle w:val="FootnoteReference"/>
        </w:rPr>
        <w:footnoteRef/>
      </w:r>
      <w:r>
        <w:t xml:space="preserve"> </w:t>
      </w:r>
      <w:r>
        <w:rPr>
          <w:rFonts w:eastAsia="Malgun Gothic"/>
          <w:lang w:eastAsia="ko-KR"/>
        </w:rPr>
        <w:t xml:space="preserve">GTL </w:t>
      </w:r>
      <w:r w:rsidRPr="00CA240C">
        <w:t>Comments</w:t>
      </w:r>
      <w:r>
        <w:rPr>
          <w:rFonts w:eastAsia="Malgun Gothic"/>
          <w:lang w:eastAsia="ko-KR"/>
        </w:rPr>
        <w:t xml:space="preserve"> at 5.</w:t>
      </w:r>
    </w:p>
  </w:footnote>
  <w:footnote w:id="24">
    <w:p w14:paraId="1D3B0DC7" w14:textId="36022645" w:rsidR="00955DB2" w:rsidRDefault="00955DB2" w:rsidP="00CA240C">
      <w:pPr>
        <w:pStyle w:val="FootnoteText"/>
        <w:spacing w:after="80"/>
      </w:pPr>
      <w:r>
        <w:rPr>
          <w:rStyle w:val="FootnoteReference"/>
        </w:rPr>
        <w:footnoteRef/>
      </w:r>
      <w:r>
        <w:t xml:space="preserve"> </w:t>
      </w:r>
      <w:r w:rsidR="00CA240C" w:rsidRPr="00CA240C">
        <w:rPr>
          <w:i/>
        </w:rPr>
        <w:t>Id</w:t>
      </w:r>
      <w:r w:rsidR="00CA240C">
        <w:t>.</w:t>
      </w:r>
    </w:p>
  </w:footnote>
  <w:footnote w:id="25">
    <w:p w14:paraId="1C63DE84" w14:textId="60D3BBD6" w:rsidR="0025308F" w:rsidRPr="009F3BD2" w:rsidRDefault="0025308F" w:rsidP="00CA240C">
      <w:pPr>
        <w:pStyle w:val="FootnoteText"/>
        <w:spacing w:after="80"/>
        <w:rPr>
          <w:rFonts w:eastAsia="Malgun Gothic"/>
          <w:lang w:eastAsia="ko-KR"/>
        </w:rPr>
      </w:pPr>
      <w:r>
        <w:rPr>
          <w:rStyle w:val="FootnoteReference"/>
        </w:rPr>
        <w:footnoteRef/>
      </w:r>
      <w:r>
        <w:t xml:space="preserve"> </w:t>
      </w:r>
      <w:r w:rsidRPr="009F3BD2">
        <w:rPr>
          <w:rFonts w:eastAsia="Malgun Gothic"/>
          <w:i/>
          <w:lang w:eastAsia="ko-KR"/>
        </w:rPr>
        <w:t>Id</w:t>
      </w:r>
      <w:r>
        <w:rPr>
          <w:rFonts w:eastAsia="Malgun Gothic"/>
          <w:lang w:eastAsia="ko-KR"/>
        </w:rPr>
        <w:t>.</w:t>
      </w:r>
    </w:p>
  </w:footnote>
  <w:footnote w:id="26">
    <w:p w14:paraId="0B3FBE5C" w14:textId="0B82F624" w:rsidR="00955DB2" w:rsidRDefault="00955DB2" w:rsidP="00CA240C">
      <w:pPr>
        <w:pStyle w:val="FootnoteText"/>
        <w:spacing w:after="80"/>
      </w:pPr>
      <w:r>
        <w:rPr>
          <w:rStyle w:val="FootnoteReference"/>
        </w:rPr>
        <w:footnoteRef/>
      </w:r>
      <w:r>
        <w:t xml:space="preserve"> </w:t>
      </w:r>
      <w:r w:rsidR="00CA240C" w:rsidRPr="00CA240C">
        <w:rPr>
          <w:i/>
        </w:rPr>
        <w:t>Id</w:t>
      </w:r>
      <w:r w:rsidR="00CA240C" w:rsidRPr="00CA240C">
        <w:t>.</w:t>
      </w:r>
    </w:p>
  </w:footnote>
  <w:footnote w:id="27">
    <w:p w14:paraId="7DD277A9" w14:textId="4253687E" w:rsidR="00A239A0" w:rsidRDefault="00A239A0" w:rsidP="00A239A0">
      <w:pPr>
        <w:pStyle w:val="FootnoteText"/>
        <w:spacing w:after="80"/>
      </w:pPr>
      <w:r>
        <w:rPr>
          <w:rStyle w:val="FootnoteReference"/>
        </w:rPr>
        <w:footnoteRef/>
      </w:r>
      <w:r>
        <w:t xml:space="preserve"> </w:t>
      </w:r>
      <w:r w:rsidR="0025308F" w:rsidRPr="009F3BD2">
        <w:rPr>
          <w:i/>
        </w:rPr>
        <w:t>Id</w:t>
      </w:r>
      <w:r w:rsidR="0025308F">
        <w:t>.</w:t>
      </w:r>
      <w:r>
        <w:t xml:space="preserve"> (citing draft Form 2301(a) Instructions at 4</w:t>
      </w:r>
      <w:r w:rsidR="0025308F">
        <w:t>)</w:t>
      </w:r>
      <w:r>
        <w:t>.</w:t>
      </w:r>
    </w:p>
  </w:footnote>
  <w:footnote w:id="28">
    <w:p w14:paraId="38165E99" w14:textId="6FACF684" w:rsidR="00C31413" w:rsidRPr="00C31413" w:rsidRDefault="00C31413" w:rsidP="00CA240C">
      <w:pPr>
        <w:pStyle w:val="FootnoteText"/>
        <w:spacing w:after="80"/>
        <w:rPr>
          <w:i/>
        </w:rPr>
      </w:pPr>
      <w:r>
        <w:rPr>
          <w:rStyle w:val="FootnoteReference"/>
        </w:rPr>
        <w:footnoteRef/>
      </w:r>
      <w:r>
        <w:t xml:space="preserve"> </w:t>
      </w:r>
      <w:r>
        <w:rPr>
          <w:i/>
        </w:rPr>
        <w:t xml:space="preserve">Id. </w:t>
      </w:r>
    </w:p>
  </w:footnote>
  <w:footnote w:id="29">
    <w:p w14:paraId="3FB62950" w14:textId="4AF82C76" w:rsidR="00BE2C2C" w:rsidRDefault="00BE2C2C" w:rsidP="00CA240C">
      <w:pPr>
        <w:pStyle w:val="FootnoteText"/>
        <w:spacing w:after="80"/>
      </w:pPr>
      <w:r w:rsidRPr="001F4D14">
        <w:rPr>
          <w:rStyle w:val="FootnoteReference"/>
        </w:rPr>
        <w:footnoteRef/>
      </w:r>
      <w:r w:rsidRPr="001F4D14">
        <w:t xml:space="preserve"> Draft Form</w:t>
      </w:r>
      <w:r w:rsidR="00BC764C" w:rsidRPr="001F4D14">
        <w:t xml:space="preserve"> 2301(a)</w:t>
      </w:r>
      <w:r w:rsidRPr="001F4D14">
        <w:t xml:space="preserve"> Instructions at </w:t>
      </w:r>
      <w:r w:rsidR="00CE063A" w:rsidRPr="001F4D14">
        <w:t>Item 1(a).3.</w:t>
      </w:r>
    </w:p>
  </w:footnote>
  <w:footnote w:id="30">
    <w:p w14:paraId="402F17FE" w14:textId="5FD062F1" w:rsidR="0025308F" w:rsidRPr="009F3BD2" w:rsidRDefault="0025308F" w:rsidP="00CA240C">
      <w:pPr>
        <w:pStyle w:val="FootnoteText"/>
        <w:spacing w:after="80"/>
        <w:rPr>
          <w:rFonts w:eastAsia="Malgun Gothic"/>
          <w:lang w:eastAsia="ko-KR"/>
        </w:rPr>
      </w:pPr>
      <w:r>
        <w:rPr>
          <w:rStyle w:val="FootnoteReference"/>
        </w:rPr>
        <w:footnoteRef/>
      </w:r>
      <w:r>
        <w:t xml:space="preserve"> </w:t>
      </w:r>
      <w:r>
        <w:rPr>
          <w:rFonts w:eastAsia="Malgun Gothic"/>
          <w:lang w:eastAsia="ko-KR"/>
        </w:rPr>
        <w:t>GTL Comments at 6.</w:t>
      </w:r>
    </w:p>
  </w:footnote>
  <w:footnote w:id="31">
    <w:p w14:paraId="43140800" w14:textId="14DC7AB3" w:rsidR="006D7357" w:rsidRDefault="006D7357" w:rsidP="00CA240C">
      <w:pPr>
        <w:pStyle w:val="FootnoteText"/>
        <w:spacing w:after="80"/>
      </w:pPr>
      <w:r>
        <w:rPr>
          <w:rStyle w:val="FootnoteReference"/>
        </w:rPr>
        <w:footnoteRef/>
      </w:r>
      <w:r>
        <w:t xml:space="preserve"> </w:t>
      </w:r>
      <w:r w:rsidR="0025308F" w:rsidRPr="009F3BD2">
        <w:rPr>
          <w:i/>
        </w:rPr>
        <w:t>Id</w:t>
      </w:r>
      <w:r w:rsidR="0025308F">
        <w:t>.</w:t>
      </w:r>
    </w:p>
  </w:footnote>
  <w:footnote w:id="32">
    <w:p w14:paraId="59AC5511" w14:textId="67BBBDBA" w:rsidR="009224A0" w:rsidRDefault="009224A0" w:rsidP="00CA240C">
      <w:pPr>
        <w:pStyle w:val="FootnoteText"/>
        <w:spacing w:after="80"/>
      </w:pPr>
      <w:r>
        <w:rPr>
          <w:rStyle w:val="FootnoteReference"/>
        </w:rPr>
        <w:footnoteRef/>
      </w:r>
      <w:r>
        <w:t xml:space="preserve"> </w:t>
      </w:r>
      <w:r w:rsidR="00CA240C" w:rsidRPr="00CA240C">
        <w:rPr>
          <w:i/>
        </w:rPr>
        <w:t>Id</w:t>
      </w:r>
      <w:r w:rsidR="00CA240C">
        <w:t>.</w:t>
      </w:r>
    </w:p>
  </w:footnote>
  <w:footnote w:id="33">
    <w:p w14:paraId="0ECA50EA" w14:textId="66C993D2" w:rsidR="00CA4943" w:rsidRDefault="00CA4943" w:rsidP="00CA240C">
      <w:pPr>
        <w:pStyle w:val="FootnoteText"/>
        <w:spacing w:after="80"/>
      </w:pPr>
      <w:r>
        <w:rPr>
          <w:rStyle w:val="FootnoteReference"/>
        </w:rPr>
        <w:footnoteRef/>
      </w:r>
      <w:r>
        <w:t xml:space="preserve"> Worth Rises at 2-5.</w:t>
      </w:r>
    </w:p>
  </w:footnote>
  <w:footnote w:id="34">
    <w:p w14:paraId="17E60CA0" w14:textId="3B1D209B" w:rsidR="00D2541B" w:rsidRPr="00533EB5" w:rsidRDefault="00D2541B">
      <w:pPr>
        <w:pStyle w:val="FootnoteText"/>
      </w:pPr>
      <w:r>
        <w:rPr>
          <w:rStyle w:val="FootnoteReference"/>
        </w:rPr>
        <w:footnoteRef/>
      </w:r>
      <w:r>
        <w:t xml:space="preserve"> </w:t>
      </w:r>
      <w:r>
        <w:rPr>
          <w:i/>
        </w:rPr>
        <w:t>Wireline Competition Bureau Reminds Providers of Inmate Calling Services of the April 1, 2019 Deadline for Annual Reports and Certifications</w:t>
      </w:r>
      <w:r>
        <w:t xml:space="preserve">, WC Docket No 12-375, Public Notice, 34 FCC Rcd 1292, 1294 (WCB 2019) (citing </w:t>
      </w:r>
      <w:r w:rsidR="00B0598A">
        <w:rPr>
          <w:i/>
        </w:rPr>
        <w:t>2015 Order</w:t>
      </w:r>
      <w:r w:rsidR="00B0598A">
        <w:t xml:space="preserve">, 30 FCC Rcd at </w:t>
      </w:r>
      <w:r w:rsidR="00B0598A">
        <w:rPr>
          <w:rFonts w:ascii="TimesNewRomanPSMT" w:eastAsia="Batang" w:hAnsi="TimesNewRomanPSMT" w:cs="TimesNewRomanPSMT"/>
        </w:rPr>
        <w:t>12892, paras. 269-71</w:t>
      </w:r>
      <w:r w:rsidR="00486409">
        <w:rPr>
          <w:rFonts w:ascii="TimesNewRomanPSMT" w:eastAsia="Batang" w:hAnsi="TimesNewRomanPSMT" w:cs="TimesNewRomanPSMT"/>
        </w:rPr>
        <w:t>).</w:t>
      </w:r>
    </w:p>
  </w:footnote>
  <w:footnote w:id="35">
    <w:p w14:paraId="3E09F8BE" w14:textId="1F6228CE" w:rsidR="00CA4943" w:rsidRDefault="00E903F0" w:rsidP="00CA240C">
      <w:pPr>
        <w:pStyle w:val="FootnoteText"/>
        <w:spacing w:after="80"/>
      </w:pPr>
      <w:r>
        <w:rPr>
          <w:rStyle w:val="FootnoteReference"/>
        </w:rPr>
        <w:footnoteRef/>
      </w:r>
      <w:r>
        <w:t xml:space="preserve"> </w:t>
      </w:r>
      <w:r w:rsidR="00CA4943">
        <w:t xml:space="preserve">Leadership Conference </w:t>
      </w:r>
      <w:r w:rsidR="00955DB2">
        <w:t>C</w:t>
      </w:r>
      <w:r w:rsidR="00CA4943">
        <w:t>omments at 3-4</w:t>
      </w:r>
      <w:r w:rsidR="00CA240C">
        <w:t xml:space="preserve">; </w:t>
      </w:r>
      <w:r w:rsidR="00CA240C" w:rsidRPr="000534FD">
        <w:rPr>
          <w:i/>
        </w:rPr>
        <w:t>Rates for Interstate Inmate Calling Services</w:t>
      </w:r>
      <w:r w:rsidR="00CA240C" w:rsidRPr="000534FD">
        <w:t>, WC Docket 12-375, Protective Order, 28 FCC Rcd 16954 (2013) (</w:t>
      </w:r>
      <w:r w:rsidR="00CA240C" w:rsidRPr="00D633B7">
        <w:rPr>
          <w:i/>
        </w:rPr>
        <w:t>Protective Order</w:t>
      </w:r>
      <w:r w:rsidR="00CA240C" w:rsidRPr="00D633B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A66"/>
    <w:multiLevelType w:val="hybridMultilevel"/>
    <w:tmpl w:val="C0809F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192563"/>
    <w:multiLevelType w:val="multilevel"/>
    <w:tmpl w:val="16A40868"/>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24A00B5"/>
    <w:multiLevelType w:val="hybridMultilevel"/>
    <w:tmpl w:val="703058AC"/>
    <w:lvl w:ilvl="0" w:tplc="D7068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56B76128"/>
    <w:multiLevelType w:val="hybridMultilevel"/>
    <w:tmpl w:val="96F24634"/>
    <w:lvl w:ilvl="0" w:tplc="B302C7E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8728D"/>
    <w:multiLevelType w:val="hybridMultilevel"/>
    <w:tmpl w:val="53A2C534"/>
    <w:lvl w:ilvl="0" w:tplc="93CA35C6">
      <w:start w:val="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C608C7"/>
    <w:multiLevelType w:val="hybridMultilevel"/>
    <w:tmpl w:val="2F1CC4F4"/>
    <w:lvl w:ilvl="0" w:tplc="B3BCC2D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C96DA2"/>
    <w:multiLevelType w:val="hybridMultilevel"/>
    <w:tmpl w:val="BCE6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8481B"/>
    <w:multiLevelType w:val="hybridMultilevel"/>
    <w:tmpl w:val="A1C0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82925"/>
    <w:multiLevelType w:val="singleLevel"/>
    <w:tmpl w:val="A9EE9842"/>
    <w:lvl w:ilvl="0">
      <w:start w:val="1"/>
      <w:numFmt w:val="decimal"/>
      <w:lvlText w:val="%1."/>
      <w:lvlJc w:val="left"/>
      <w:pPr>
        <w:tabs>
          <w:tab w:val="num" w:pos="1080"/>
        </w:tabs>
        <w:ind w:left="0" w:firstLine="720"/>
      </w:pPr>
    </w:lvl>
  </w:abstractNum>
  <w:abstractNum w:abstractNumId="11">
    <w:nsid w:val="6ACE2AFA"/>
    <w:multiLevelType w:val="hybridMultilevel"/>
    <w:tmpl w:val="47EEE210"/>
    <w:lvl w:ilvl="0" w:tplc="63541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10"/>
  </w:num>
  <w:num w:numId="7">
    <w:abstractNumId w:val="5"/>
  </w:num>
  <w:num w:numId="8">
    <w:abstractNumId w:val="9"/>
  </w:num>
  <w:num w:numId="9">
    <w:abstractNumId w:val="0"/>
  </w:num>
  <w:num w:numId="10">
    <w:abstractNumId w:val="7"/>
  </w:num>
  <w:num w:numId="11">
    <w:abstractNumId w:val="8"/>
  </w:num>
  <w:num w:numId="12">
    <w:abstractNumId w:val="11"/>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023F2"/>
    <w:rsid w:val="00003469"/>
    <w:rsid w:val="00003C05"/>
    <w:rsid w:val="0000460F"/>
    <w:rsid w:val="00010AF4"/>
    <w:rsid w:val="0001401B"/>
    <w:rsid w:val="00015695"/>
    <w:rsid w:val="00015BEB"/>
    <w:rsid w:val="0001604C"/>
    <w:rsid w:val="0001755F"/>
    <w:rsid w:val="000203C5"/>
    <w:rsid w:val="00020514"/>
    <w:rsid w:val="00023A56"/>
    <w:rsid w:val="000256E9"/>
    <w:rsid w:val="00025B60"/>
    <w:rsid w:val="00026C7D"/>
    <w:rsid w:val="000270C4"/>
    <w:rsid w:val="00030A44"/>
    <w:rsid w:val="00030AC2"/>
    <w:rsid w:val="00031A49"/>
    <w:rsid w:val="00032FBD"/>
    <w:rsid w:val="0003428C"/>
    <w:rsid w:val="00035B66"/>
    <w:rsid w:val="00035D86"/>
    <w:rsid w:val="0003674F"/>
    <w:rsid w:val="000410FE"/>
    <w:rsid w:val="00045055"/>
    <w:rsid w:val="0004511E"/>
    <w:rsid w:val="0004515D"/>
    <w:rsid w:val="000476AD"/>
    <w:rsid w:val="0005146E"/>
    <w:rsid w:val="0005170F"/>
    <w:rsid w:val="00051E08"/>
    <w:rsid w:val="000534FD"/>
    <w:rsid w:val="000537D2"/>
    <w:rsid w:val="00055E2D"/>
    <w:rsid w:val="00057923"/>
    <w:rsid w:val="000600B6"/>
    <w:rsid w:val="00061E3D"/>
    <w:rsid w:val="00062010"/>
    <w:rsid w:val="0006415C"/>
    <w:rsid w:val="00065AAD"/>
    <w:rsid w:val="00066CCB"/>
    <w:rsid w:val="00067718"/>
    <w:rsid w:val="00070841"/>
    <w:rsid w:val="00071945"/>
    <w:rsid w:val="00072FE6"/>
    <w:rsid w:val="00073508"/>
    <w:rsid w:val="000740E9"/>
    <w:rsid w:val="00075D2E"/>
    <w:rsid w:val="00077520"/>
    <w:rsid w:val="00081A45"/>
    <w:rsid w:val="00081B8D"/>
    <w:rsid w:val="000835A7"/>
    <w:rsid w:val="000858BC"/>
    <w:rsid w:val="00085CCC"/>
    <w:rsid w:val="00085F84"/>
    <w:rsid w:val="00086ADF"/>
    <w:rsid w:val="000902A8"/>
    <w:rsid w:val="00092EC3"/>
    <w:rsid w:val="00094398"/>
    <w:rsid w:val="00094A8E"/>
    <w:rsid w:val="000959D4"/>
    <w:rsid w:val="00095C2D"/>
    <w:rsid w:val="00096821"/>
    <w:rsid w:val="000A0ABE"/>
    <w:rsid w:val="000A0B76"/>
    <w:rsid w:val="000A50AC"/>
    <w:rsid w:val="000A6111"/>
    <w:rsid w:val="000A7661"/>
    <w:rsid w:val="000B0385"/>
    <w:rsid w:val="000B0F32"/>
    <w:rsid w:val="000B2D17"/>
    <w:rsid w:val="000B71A9"/>
    <w:rsid w:val="000C2392"/>
    <w:rsid w:val="000C28F8"/>
    <w:rsid w:val="000C5AE1"/>
    <w:rsid w:val="000C718B"/>
    <w:rsid w:val="000D08F4"/>
    <w:rsid w:val="000D14FC"/>
    <w:rsid w:val="000D675B"/>
    <w:rsid w:val="000D6E50"/>
    <w:rsid w:val="000E18BD"/>
    <w:rsid w:val="000E1E08"/>
    <w:rsid w:val="000E2FCD"/>
    <w:rsid w:val="000E3070"/>
    <w:rsid w:val="000E3225"/>
    <w:rsid w:val="000E7967"/>
    <w:rsid w:val="000F0C41"/>
    <w:rsid w:val="000F15C0"/>
    <w:rsid w:val="000F2188"/>
    <w:rsid w:val="000F2994"/>
    <w:rsid w:val="00100279"/>
    <w:rsid w:val="00100344"/>
    <w:rsid w:val="00101C6B"/>
    <w:rsid w:val="001026CB"/>
    <w:rsid w:val="0010673F"/>
    <w:rsid w:val="001076F9"/>
    <w:rsid w:val="001125FD"/>
    <w:rsid w:val="00113DD9"/>
    <w:rsid w:val="001153CA"/>
    <w:rsid w:val="00115EDD"/>
    <w:rsid w:val="00116F53"/>
    <w:rsid w:val="001203EF"/>
    <w:rsid w:val="00121942"/>
    <w:rsid w:val="001238E0"/>
    <w:rsid w:val="00125B7E"/>
    <w:rsid w:val="001263DB"/>
    <w:rsid w:val="00126F3E"/>
    <w:rsid w:val="00130322"/>
    <w:rsid w:val="00130CEA"/>
    <w:rsid w:val="00131FA8"/>
    <w:rsid w:val="0013430A"/>
    <w:rsid w:val="00135A53"/>
    <w:rsid w:val="00135C2F"/>
    <w:rsid w:val="001362E7"/>
    <w:rsid w:val="00137377"/>
    <w:rsid w:val="0014049D"/>
    <w:rsid w:val="00141125"/>
    <w:rsid w:val="001436C9"/>
    <w:rsid w:val="001450A4"/>
    <w:rsid w:val="0014586D"/>
    <w:rsid w:val="00145999"/>
    <w:rsid w:val="00145F7B"/>
    <w:rsid w:val="0014606F"/>
    <w:rsid w:val="001467D9"/>
    <w:rsid w:val="00146BD4"/>
    <w:rsid w:val="001476BC"/>
    <w:rsid w:val="00150D56"/>
    <w:rsid w:val="001511A4"/>
    <w:rsid w:val="00151538"/>
    <w:rsid w:val="00151825"/>
    <w:rsid w:val="00151BD2"/>
    <w:rsid w:val="001523D8"/>
    <w:rsid w:val="00152BFD"/>
    <w:rsid w:val="0015371B"/>
    <w:rsid w:val="00153C31"/>
    <w:rsid w:val="00154025"/>
    <w:rsid w:val="00154F0B"/>
    <w:rsid w:val="0016241F"/>
    <w:rsid w:val="00162CC6"/>
    <w:rsid w:val="001645DE"/>
    <w:rsid w:val="00164A8B"/>
    <w:rsid w:val="00164B8F"/>
    <w:rsid w:val="00165996"/>
    <w:rsid w:val="0016668B"/>
    <w:rsid w:val="00166DFE"/>
    <w:rsid w:val="00167ACD"/>
    <w:rsid w:val="001737FE"/>
    <w:rsid w:val="00174255"/>
    <w:rsid w:val="00175166"/>
    <w:rsid w:val="001755DC"/>
    <w:rsid w:val="00176DDA"/>
    <w:rsid w:val="001770F8"/>
    <w:rsid w:val="00180AFD"/>
    <w:rsid w:val="001814EE"/>
    <w:rsid w:val="00181D64"/>
    <w:rsid w:val="00182782"/>
    <w:rsid w:val="00183BF5"/>
    <w:rsid w:val="00184ACB"/>
    <w:rsid w:val="00185E13"/>
    <w:rsid w:val="00186BB8"/>
    <w:rsid w:val="00186CAC"/>
    <w:rsid w:val="001870FA"/>
    <w:rsid w:val="001872B4"/>
    <w:rsid w:val="0018790C"/>
    <w:rsid w:val="001913BA"/>
    <w:rsid w:val="001946D2"/>
    <w:rsid w:val="001948F2"/>
    <w:rsid w:val="00194C59"/>
    <w:rsid w:val="00194E5E"/>
    <w:rsid w:val="00195FD3"/>
    <w:rsid w:val="001960CD"/>
    <w:rsid w:val="00196CF0"/>
    <w:rsid w:val="00197A0E"/>
    <w:rsid w:val="001A1A75"/>
    <w:rsid w:val="001A2055"/>
    <w:rsid w:val="001A3135"/>
    <w:rsid w:val="001A3239"/>
    <w:rsid w:val="001A394E"/>
    <w:rsid w:val="001A398B"/>
    <w:rsid w:val="001A5942"/>
    <w:rsid w:val="001A5DAE"/>
    <w:rsid w:val="001A7026"/>
    <w:rsid w:val="001B0DCC"/>
    <w:rsid w:val="001B24C4"/>
    <w:rsid w:val="001B40C1"/>
    <w:rsid w:val="001C2215"/>
    <w:rsid w:val="001C2467"/>
    <w:rsid w:val="001C4F67"/>
    <w:rsid w:val="001C6A7F"/>
    <w:rsid w:val="001D0EFA"/>
    <w:rsid w:val="001D126D"/>
    <w:rsid w:val="001D4CA2"/>
    <w:rsid w:val="001D5C33"/>
    <w:rsid w:val="001D6C17"/>
    <w:rsid w:val="001D6CD5"/>
    <w:rsid w:val="001E0039"/>
    <w:rsid w:val="001E0801"/>
    <w:rsid w:val="001E2BD7"/>
    <w:rsid w:val="001E3B70"/>
    <w:rsid w:val="001E589B"/>
    <w:rsid w:val="001E609E"/>
    <w:rsid w:val="001F0C91"/>
    <w:rsid w:val="001F17D0"/>
    <w:rsid w:val="001F23C8"/>
    <w:rsid w:val="001F4768"/>
    <w:rsid w:val="001F4D14"/>
    <w:rsid w:val="001F52CD"/>
    <w:rsid w:val="001F5803"/>
    <w:rsid w:val="0020021D"/>
    <w:rsid w:val="00200589"/>
    <w:rsid w:val="00203A8F"/>
    <w:rsid w:val="0021050B"/>
    <w:rsid w:val="00211000"/>
    <w:rsid w:val="00211E8D"/>
    <w:rsid w:val="002125C9"/>
    <w:rsid w:val="00212C7D"/>
    <w:rsid w:val="00213406"/>
    <w:rsid w:val="002141B2"/>
    <w:rsid w:val="002178B4"/>
    <w:rsid w:val="00220F9B"/>
    <w:rsid w:val="00221A66"/>
    <w:rsid w:val="0022325C"/>
    <w:rsid w:val="00224EDC"/>
    <w:rsid w:val="00225529"/>
    <w:rsid w:val="00226C84"/>
    <w:rsid w:val="0023096A"/>
    <w:rsid w:val="00231EBE"/>
    <w:rsid w:val="00240B54"/>
    <w:rsid w:val="00240EA1"/>
    <w:rsid w:val="0024198A"/>
    <w:rsid w:val="00241DC3"/>
    <w:rsid w:val="00246B04"/>
    <w:rsid w:val="002507CA"/>
    <w:rsid w:val="00252BBD"/>
    <w:rsid w:val="0025308F"/>
    <w:rsid w:val="00254139"/>
    <w:rsid w:val="00255597"/>
    <w:rsid w:val="00255ECD"/>
    <w:rsid w:val="00256CE5"/>
    <w:rsid w:val="0026132B"/>
    <w:rsid w:val="002644BA"/>
    <w:rsid w:val="00264AE7"/>
    <w:rsid w:val="00271EB4"/>
    <w:rsid w:val="002735A3"/>
    <w:rsid w:val="00273820"/>
    <w:rsid w:val="00276033"/>
    <w:rsid w:val="002774A2"/>
    <w:rsid w:val="00281529"/>
    <w:rsid w:val="002831D7"/>
    <w:rsid w:val="002843B2"/>
    <w:rsid w:val="00284B0B"/>
    <w:rsid w:val="00284E18"/>
    <w:rsid w:val="00284F42"/>
    <w:rsid w:val="0028550E"/>
    <w:rsid w:val="0028571D"/>
    <w:rsid w:val="00286E70"/>
    <w:rsid w:val="00286F11"/>
    <w:rsid w:val="00287012"/>
    <w:rsid w:val="0029304C"/>
    <w:rsid w:val="002950C2"/>
    <w:rsid w:val="0029774E"/>
    <w:rsid w:val="002979F9"/>
    <w:rsid w:val="002A1710"/>
    <w:rsid w:val="002A2C53"/>
    <w:rsid w:val="002A366E"/>
    <w:rsid w:val="002A591A"/>
    <w:rsid w:val="002A5CC3"/>
    <w:rsid w:val="002A69B7"/>
    <w:rsid w:val="002B001C"/>
    <w:rsid w:val="002B2013"/>
    <w:rsid w:val="002B4A07"/>
    <w:rsid w:val="002B6F3A"/>
    <w:rsid w:val="002C25D2"/>
    <w:rsid w:val="002C3886"/>
    <w:rsid w:val="002C3D23"/>
    <w:rsid w:val="002C5590"/>
    <w:rsid w:val="002C6D41"/>
    <w:rsid w:val="002D1BF2"/>
    <w:rsid w:val="002D2049"/>
    <w:rsid w:val="002D28A9"/>
    <w:rsid w:val="002D4BB7"/>
    <w:rsid w:val="002E078A"/>
    <w:rsid w:val="002E1B8D"/>
    <w:rsid w:val="002E4B70"/>
    <w:rsid w:val="002F312B"/>
    <w:rsid w:val="002F3135"/>
    <w:rsid w:val="002F474E"/>
    <w:rsid w:val="002F69FE"/>
    <w:rsid w:val="0030045E"/>
    <w:rsid w:val="00306CAB"/>
    <w:rsid w:val="00310023"/>
    <w:rsid w:val="00313D68"/>
    <w:rsid w:val="00315030"/>
    <w:rsid w:val="00316292"/>
    <w:rsid w:val="00317654"/>
    <w:rsid w:val="003201B3"/>
    <w:rsid w:val="00326C66"/>
    <w:rsid w:val="00326E1C"/>
    <w:rsid w:val="00326FEB"/>
    <w:rsid w:val="00332008"/>
    <w:rsid w:val="003323D3"/>
    <w:rsid w:val="003345D4"/>
    <w:rsid w:val="003348B9"/>
    <w:rsid w:val="00335744"/>
    <w:rsid w:val="0033578E"/>
    <w:rsid w:val="00335D3D"/>
    <w:rsid w:val="00336972"/>
    <w:rsid w:val="00337264"/>
    <w:rsid w:val="00337A48"/>
    <w:rsid w:val="00341160"/>
    <w:rsid w:val="00341BEA"/>
    <w:rsid w:val="00342300"/>
    <w:rsid w:val="00343277"/>
    <w:rsid w:val="00343285"/>
    <w:rsid w:val="003439EC"/>
    <w:rsid w:val="00346388"/>
    <w:rsid w:val="00352F56"/>
    <w:rsid w:val="003532AB"/>
    <w:rsid w:val="00354239"/>
    <w:rsid w:val="00355F5A"/>
    <w:rsid w:val="00356317"/>
    <w:rsid w:val="00357A72"/>
    <w:rsid w:val="00357CEA"/>
    <w:rsid w:val="00361355"/>
    <w:rsid w:val="0036180E"/>
    <w:rsid w:val="0036407B"/>
    <w:rsid w:val="003641B2"/>
    <w:rsid w:val="0036430C"/>
    <w:rsid w:val="00364F41"/>
    <w:rsid w:val="003650B1"/>
    <w:rsid w:val="00365DEF"/>
    <w:rsid w:val="00370080"/>
    <w:rsid w:val="0037183B"/>
    <w:rsid w:val="00371ADD"/>
    <w:rsid w:val="0037256F"/>
    <w:rsid w:val="00374FDA"/>
    <w:rsid w:val="0037793B"/>
    <w:rsid w:val="00377C35"/>
    <w:rsid w:val="003818BB"/>
    <w:rsid w:val="00382BA5"/>
    <w:rsid w:val="003835FC"/>
    <w:rsid w:val="00384034"/>
    <w:rsid w:val="00385C0F"/>
    <w:rsid w:val="00387192"/>
    <w:rsid w:val="00390644"/>
    <w:rsid w:val="00390E1F"/>
    <w:rsid w:val="00390EB1"/>
    <w:rsid w:val="00393297"/>
    <w:rsid w:val="00394157"/>
    <w:rsid w:val="00394880"/>
    <w:rsid w:val="00396CB1"/>
    <w:rsid w:val="00397499"/>
    <w:rsid w:val="003A0972"/>
    <w:rsid w:val="003A1813"/>
    <w:rsid w:val="003A1D2C"/>
    <w:rsid w:val="003A2431"/>
    <w:rsid w:val="003A379A"/>
    <w:rsid w:val="003A48E4"/>
    <w:rsid w:val="003A5F11"/>
    <w:rsid w:val="003B2CFC"/>
    <w:rsid w:val="003B30BE"/>
    <w:rsid w:val="003B56D1"/>
    <w:rsid w:val="003B5DBD"/>
    <w:rsid w:val="003B712A"/>
    <w:rsid w:val="003B7D4A"/>
    <w:rsid w:val="003C2C08"/>
    <w:rsid w:val="003C4F41"/>
    <w:rsid w:val="003C7C87"/>
    <w:rsid w:val="003C7E0A"/>
    <w:rsid w:val="003D25A5"/>
    <w:rsid w:val="003D2E01"/>
    <w:rsid w:val="003D4B90"/>
    <w:rsid w:val="003D4CB7"/>
    <w:rsid w:val="003D6D05"/>
    <w:rsid w:val="003E31BD"/>
    <w:rsid w:val="003E3674"/>
    <w:rsid w:val="003E38F8"/>
    <w:rsid w:val="003E4D0A"/>
    <w:rsid w:val="003E59F8"/>
    <w:rsid w:val="003F012B"/>
    <w:rsid w:val="003F027E"/>
    <w:rsid w:val="003F0561"/>
    <w:rsid w:val="003F0792"/>
    <w:rsid w:val="003F143D"/>
    <w:rsid w:val="003F1A5A"/>
    <w:rsid w:val="003F4793"/>
    <w:rsid w:val="003F5D0F"/>
    <w:rsid w:val="003F5F43"/>
    <w:rsid w:val="003F63AF"/>
    <w:rsid w:val="003F701F"/>
    <w:rsid w:val="003F7029"/>
    <w:rsid w:val="003F7DA0"/>
    <w:rsid w:val="00402382"/>
    <w:rsid w:val="00402416"/>
    <w:rsid w:val="0040259F"/>
    <w:rsid w:val="00402A00"/>
    <w:rsid w:val="00402A52"/>
    <w:rsid w:val="00402A53"/>
    <w:rsid w:val="004036B3"/>
    <w:rsid w:val="004036D6"/>
    <w:rsid w:val="00403878"/>
    <w:rsid w:val="00405121"/>
    <w:rsid w:val="00406599"/>
    <w:rsid w:val="004067EE"/>
    <w:rsid w:val="004111EF"/>
    <w:rsid w:val="004127AC"/>
    <w:rsid w:val="00412E8B"/>
    <w:rsid w:val="004134EC"/>
    <w:rsid w:val="004151E8"/>
    <w:rsid w:val="004153C5"/>
    <w:rsid w:val="004166ED"/>
    <w:rsid w:val="00420ACA"/>
    <w:rsid w:val="00421736"/>
    <w:rsid w:val="00422B67"/>
    <w:rsid w:val="00423B3E"/>
    <w:rsid w:val="00423F09"/>
    <w:rsid w:val="0042624D"/>
    <w:rsid w:val="00430D37"/>
    <w:rsid w:val="0043125F"/>
    <w:rsid w:val="0043215D"/>
    <w:rsid w:val="004326E7"/>
    <w:rsid w:val="0043319F"/>
    <w:rsid w:val="0043766E"/>
    <w:rsid w:val="004412A3"/>
    <w:rsid w:val="00441524"/>
    <w:rsid w:val="0044188B"/>
    <w:rsid w:val="00441954"/>
    <w:rsid w:val="00442E32"/>
    <w:rsid w:val="0044340B"/>
    <w:rsid w:val="00443B0C"/>
    <w:rsid w:val="00443F78"/>
    <w:rsid w:val="00444714"/>
    <w:rsid w:val="00444860"/>
    <w:rsid w:val="00444942"/>
    <w:rsid w:val="004453A1"/>
    <w:rsid w:val="004460F4"/>
    <w:rsid w:val="00446781"/>
    <w:rsid w:val="00446B10"/>
    <w:rsid w:val="00447230"/>
    <w:rsid w:val="00447638"/>
    <w:rsid w:val="00451AF1"/>
    <w:rsid w:val="00451EEA"/>
    <w:rsid w:val="00451FFC"/>
    <w:rsid w:val="0045218F"/>
    <w:rsid w:val="00453E91"/>
    <w:rsid w:val="00454112"/>
    <w:rsid w:val="0046043E"/>
    <w:rsid w:val="00460660"/>
    <w:rsid w:val="004610DC"/>
    <w:rsid w:val="0046233C"/>
    <w:rsid w:val="0046497C"/>
    <w:rsid w:val="004650FD"/>
    <w:rsid w:val="00465987"/>
    <w:rsid w:val="0046616A"/>
    <w:rsid w:val="0046618B"/>
    <w:rsid w:val="00466382"/>
    <w:rsid w:val="0046755C"/>
    <w:rsid w:val="0046762C"/>
    <w:rsid w:val="00467F55"/>
    <w:rsid w:val="00472A28"/>
    <w:rsid w:val="00473340"/>
    <w:rsid w:val="00474DC0"/>
    <w:rsid w:val="0047516C"/>
    <w:rsid w:val="0047588F"/>
    <w:rsid w:val="004764B5"/>
    <w:rsid w:val="00480DB7"/>
    <w:rsid w:val="004817AC"/>
    <w:rsid w:val="004842B9"/>
    <w:rsid w:val="004844A3"/>
    <w:rsid w:val="00486409"/>
    <w:rsid w:val="004864C9"/>
    <w:rsid w:val="0049182B"/>
    <w:rsid w:val="00492D5A"/>
    <w:rsid w:val="0049317E"/>
    <w:rsid w:val="00494BAF"/>
    <w:rsid w:val="004974E5"/>
    <w:rsid w:val="00497727"/>
    <w:rsid w:val="004A069A"/>
    <w:rsid w:val="004A0C0A"/>
    <w:rsid w:val="004A3194"/>
    <w:rsid w:val="004A3D20"/>
    <w:rsid w:val="004A5356"/>
    <w:rsid w:val="004B132E"/>
    <w:rsid w:val="004B1E0F"/>
    <w:rsid w:val="004B4904"/>
    <w:rsid w:val="004B72D6"/>
    <w:rsid w:val="004B78D6"/>
    <w:rsid w:val="004B7D01"/>
    <w:rsid w:val="004C035A"/>
    <w:rsid w:val="004C04D2"/>
    <w:rsid w:val="004C0521"/>
    <w:rsid w:val="004C175F"/>
    <w:rsid w:val="004C2414"/>
    <w:rsid w:val="004C4593"/>
    <w:rsid w:val="004C4797"/>
    <w:rsid w:val="004C707A"/>
    <w:rsid w:val="004C720C"/>
    <w:rsid w:val="004D0D1F"/>
    <w:rsid w:val="004D2369"/>
    <w:rsid w:val="004D4CB4"/>
    <w:rsid w:val="004D4D1D"/>
    <w:rsid w:val="004D4F59"/>
    <w:rsid w:val="004E464B"/>
    <w:rsid w:val="004E6998"/>
    <w:rsid w:val="004F112E"/>
    <w:rsid w:val="004F3846"/>
    <w:rsid w:val="004F433D"/>
    <w:rsid w:val="004F589C"/>
    <w:rsid w:val="004F597F"/>
    <w:rsid w:val="004F5A0C"/>
    <w:rsid w:val="00500677"/>
    <w:rsid w:val="005011EB"/>
    <w:rsid w:val="005046C1"/>
    <w:rsid w:val="005050BB"/>
    <w:rsid w:val="005070CD"/>
    <w:rsid w:val="00507BF4"/>
    <w:rsid w:val="0051080B"/>
    <w:rsid w:val="00510A8F"/>
    <w:rsid w:val="00511DE3"/>
    <w:rsid w:val="005147EC"/>
    <w:rsid w:val="0051641F"/>
    <w:rsid w:val="005174B1"/>
    <w:rsid w:val="005205EC"/>
    <w:rsid w:val="00521EA5"/>
    <w:rsid w:val="00522FC3"/>
    <w:rsid w:val="005232FD"/>
    <w:rsid w:val="0052356C"/>
    <w:rsid w:val="00526EBF"/>
    <w:rsid w:val="00527902"/>
    <w:rsid w:val="00533EB5"/>
    <w:rsid w:val="0053403D"/>
    <w:rsid w:val="005342CC"/>
    <w:rsid w:val="0053435B"/>
    <w:rsid w:val="005424F2"/>
    <w:rsid w:val="00543391"/>
    <w:rsid w:val="005435C7"/>
    <w:rsid w:val="00544A46"/>
    <w:rsid w:val="00544E9C"/>
    <w:rsid w:val="00545DAD"/>
    <w:rsid w:val="00546896"/>
    <w:rsid w:val="00547393"/>
    <w:rsid w:val="00551511"/>
    <w:rsid w:val="00551930"/>
    <w:rsid w:val="00552BED"/>
    <w:rsid w:val="005535E0"/>
    <w:rsid w:val="0055532E"/>
    <w:rsid w:val="005613D9"/>
    <w:rsid w:val="00562134"/>
    <w:rsid w:val="0056302F"/>
    <w:rsid w:val="00563A4C"/>
    <w:rsid w:val="00565190"/>
    <w:rsid w:val="00566AF3"/>
    <w:rsid w:val="00566B91"/>
    <w:rsid w:val="005674C0"/>
    <w:rsid w:val="00567EEE"/>
    <w:rsid w:val="00567FFD"/>
    <w:rsid w:val="0057069C"/>
    <w:rsid w:val="00570C88"/>
    <w:rsid w:val="00572BA5"/>
    <w:rsid w:val="00573664"/>
    <w:rsid w:val="005736D0"/>
    <w:rsid w:val="00573747"/>
    <w:rsid w:val="00574FD5"/>
    <w:rsid w:val="00575A7B"/>
    <w:rsid w:val="00576FFE"/>
    <w:rsid w:val="00577724"/>
    <w:rsid w:val="00577F39"/>
    <w:rsid w:val="0058004B"/>
    <w:rsid w:val="005802B9"/>
    <w:rsid w:val="00581178"/>
    <w:rsid w:val="005825A4"/>
    <w:rsid w:val="00583FCD"/>
    <w:rsid w:val="005844D9"/>
    <w:rsid w:val="00585747"/>
    <w:rsid w:val="00587D66"/>
    <w:rsid w:val="005904D2"/>
    <w:rsid w:val="00590EE8"/>
    <w:rsid w:val="00592B89"/>
    <w:rsid w:val="0059336B"/>
    <w:rsid w:val="005957F7"/>
    <w:rsid w:val="005958B5"/>
    <w:rsid w:val="00595BB8"/>
    <w:rsid w:val="00596794"/>
    <w:rsid w:val="00597437"/>
    <w:rsid w:val="005A151D"/>
    <w:rsid w:val="005A22D2"/>
    <w:rsid w:val="005A2BBD"/>
    <w:rsid w:val="005A404E"/>
    <w:rsid w:val="005A7E8A"/>
    <w:rsid w:val="005B2848"/>
    <w:rsid w:val="005B3B7B"/>
    <w:rsid w:val="005B55D7"/>
    <w:rsid w:val="005B5BC0"/>
    <w:rsid w:val="005B619F"/>
    <w:rsid w:val="005B63CB"/>
    <w:rsid w:val="005B63F6"/>
    <w:rsid w:val="005B655C"/>
    <w:rsid w:val="005C2778"/>
    <w:rsid w:val="005C3D8A"/>
    <w:rsid w:val="005C5204"/>
    <w:rsid w:val="005C6DA5"/>
    <w:rsid w:val="005D0320"/>
    <w:rsid w:val="005D0586"/>
    <w:rsid w:val="005D1E29"/>
    <w:rsid w:val="005D1E56"/>
    <w:rsid w:val="005D335E"/>
    <w:rsid w:val="005D52B2"/>
    <w:rsid w:val="005D689B"/>
    <w:rsid w:val="005D689E"/>
    <w:rsid w:val="005D78C7"/>
    <w:rsid w:val="005E1B35"/>
    <w:rsid w:val="005E282B"/>
    <w:rsid w:val="005F2FF3"/>
    <w:rsid w:val="005F5AB2"/>
    <w:rsid w:val="005F7197"/>
    <w:rsid w:val="005F795A"/>
    <w:rsid w:val="006000B0"/>
    <w:rsid w:val="006008E8"/>
    <w:rsid w:val="00602678"/>
    <w:rsid w:val="0060378D"/>
    <w:rsid w:val="006071D2"/>
    <w:rsid w:val="006075C1"/>
    <w:rsid w:val="006108EE"/>
    <w:rsid w:val="00611063"/>
    <w:rsid w:val="00611B6B"/>
    <w:rsid w:val="0061274C"/>
    <w:rsid w:val="006129A5"/>
    <w:rsid w:val="00613A35"/>
    <w:rsid w:val="00613EC3"/>
    <w:rsid w:val="00614D56"/>
    <w:rsid w:val="00614E14"/>
    <w:rsid w:val="0061544B"/>
    <w:rsid w:val="00615D1B"/>
    <w:rsid w:val="00617C12"/>
    <w:rsid w:val="006205BF"/>
    <w:rsid w:val="00621DAE"/>
    <w:rsid w:val="00622B7B"/>
    <w:rsid w:val="006232B9"/>
    <w:rsid w:val="0062372B"/>
    <w:rsid w:val="0062432F"/>
    <w:rsid w:val="00625F87"/>
    <w:rsid w:val="00627570"/>
    <w:rsid w:val="006276CB"/>
    <w:rsid w:val="00630BB3"/>
    <w:rsid w:val="006310EF"/>
    <w:rsid w:val="0063177E"/>
    <w:rsid w:val="00632469"/>
    <w:rsid w:val="00635EFD"/>
    <w:rsid w:val="00637086"/>
    <w:rsid w:val="00640B4E"/>
    <w:rsid w:val="0064247A"/>
    <w:rsid w:val="00642872"/>
    <w:rsid w:val="006437B7"/>
    <w:rsid w:val="00645190"/>
    <w:rsid w:val="00645326"/>
    <w:rsid w:val="0065091B"/>
    <w:rsid w:val="006516AB"/>
    <w:rsid w:val="006518C0"/>
    <w:rsid w:val="00652D18"/>
    <w:rsid w:val="0065525A"/>
    <w:rsid w:val="00657DB4"/>
    <w:rsid w:val="00661954"/>
    <w:rsid w:val="00662A40"/>
    <w:rsid w:val="00665964"/>
    <w:rsid w:val="0066727F"/>
    <w:rsid w:val="006718D7"/>
    <w:rsid w:val="00671E70"/>
    <w:rsid w:val="00671F91"/>
    <w:rsid w:val="00672AFB"/>
    <w:rsid w:val="006741B6"/>
    <w:rsid w:val="0067458D"/>
    <w:rsid w:val="0067765F"/>
    <w:rsid w:val="006779F8"/>
    <w:rsid w:val="00677CC2"/>
    <w:rsid w:val="0068301C"/>
    <w:rsid w:val="00683CEC"/>
    <w:rsid w:val="00685A16"/>
    <w:rsid w:val="00685CB0"/>
    <w:rsid w:val="00685E31"/>
    <w:rsid w:val="0069257D"/>
    <w:rsid w:val="006926C7"/>
    <w:rsid w:val="00693A4B"/>
    <w:rsid w:val="00693ACE"/>
    <w:rsid w:val="006A0270"/>
    <w:rsid w:val="006A11A2"/>
    <w:rsid w:val="006A1D73"/>
    <w:rsid w:val="006A28E8"/>
    <w:rsid w:val="006A511A"/>
    <w:rsid w:val="006A6B9F"/>
    <w:rsid w:val="006A6E50"/>
    <w:rsid w:val="006A70D1"/>
    <w:rsid w:val="006B0772"/>
    <w:rsid w:val="006B0EB7"/>
    <w:rsid w:val="006B1746"/>
    <w:rsid w:val="006B1DCC"/>
    <w:rsid w:val="006B29E8"/>
    <w:rsid w:val="006B2AE3"/>
    <w:rsid w:val="006B54B4"/>
    <w:rsid w:val="006B6AE4"/>
    <w:rsid w:val="006C1DD8"/>
    <w:rsid w:val="006C2228"/>
    <w:rsid w:val="006C227A"/>
    <w:rsid w:val="006C31C1"/>
    <w:rsid w:val="006C4AEC"/>
    <w:rsid w:val="006C4ED5"/>
    <w:rsid w:val="006C5490"/>
    <w:rsid w:val="006C558D"/>
    <w:rsid w:val="006C685C"/>
    <w:rsid w:val="006D1310"/>
    <w:rsid w:val="006D3167"/>
    <w:rsid w:val="006D335A"/>
    <w:rsid w:val="006D587E"/>
    <w:rsid w:val="006D5B47"/>
    <w:rsid w:val="006D646C"/>
    <w:rsid w:val="006D6924"/>
    <w:rsid w:val="006D6E14"/>
    <w:rsid w:val="006D7336"/>
    <w:rsid w:val="006D7357"/>
    <w:rsid w:val="006E053B"/>
    <w:rsid w:val="006E0DF4"/>
    <w:rsid w:val="006E0F97"/>
    <w:rsid w:val="006E1EF0"/>
    <w:rsid w:val="006E3DA3"/>
    <w:rsid w:val="006E65EE"/>
    <w:rsid w:val="006E6ED5"/>
    <w:rsid w:val="006E735D"/>
    <w:rsid w:val="006E78ED"/>
    <w:rsid w:val="006F1A9B"/>
    <w:rsid w:val="006F2C99"/>
    <w:rsid w:val="006F52EA"/>
    <w:rsid w:val="006F545D"/>
    <w:rsid w:val="006F78BE"/>
    <w:rsid w:val="007013E6"/>
    <w:rsid w:val="00702605"/>
    <w:rsid w:val="00702FC6"/>
    <w:rsid w:val="00705BC0"/>
    <w:rsid w:val="00710160"/>
    <w:rsid w:val="00710176"/>
    <w:rsid w:val="007103AF"/>
    <w:rsid w:val="007105F3"/>
    <w:rsid w:val="00710FAE"/>
    <w:rsid w:val="00711BB9"/>
    <w:rsid w:val="00713380"/>
    <w:rsid w:val="007148FF"/>
    <w:rsid w:val="00717B14"/>
    <w:rsid w:val="007207E4"/>
    <w:rsid w:val="00721191"/>
    <w:rsid w:val="00722107"/>
    <w:rsid w:val="007221FA"/>
    <w:rsid w:val="00724932"/>
    <w:rsid w:val="0072532F"/>
    <w:rsid w:val="00727861"/>
    <w:rsid w:val="00730349"/>
    <w:rsid w:val="007307D2"/>
    <w:rsid w:val="00733934"/>
    <w:rsid w:val="007348AB"/>
    <w:rsid w:val="0074211D"/>
    <w:rsid w:val="007437AA"/>
    <w:rsid w:val="007446F6"/>
    <w:rsid w:val="00745159"/>
    <w:rsid w:val="007463E2"/>
    <w:rsid w:val="007534D3"/>
    <w:rsid w:val="00753632"/>
    <w:rsid w:val="0076313E"/>
    <w:rsid w:val="00763527"/>
    <w:rsid w:val="00763612"/>
    <w:rsid w:val="007659EE"/>
    <w:rsid w:val="00766733"/>
    <w:rsid w:val="00770E2D"/>
    <w:rsid w:val="00771493"/>
    <w:rsid w:val="0077264C"/>
    <w:rsid w:val="007726CC"/>
    <w:rsid w:val="007735FE"/>
    <w:rsid w:val="007754E6"/>
    <w:rsid w:val="007762DD"/>
    <w:rsid w:val="0078013F"/>
    <w:rsid w:val="007834B7"/>
    <w:rsid w:val="007838A0"/>
    <w:rsid w:val="00787F33"/>
    <w:rsid w:val="00790B3A"/>
    <w:rsid w:val="007912EB"/>
    <w:rsid w:val="00792E84"/>
    <w:rsid w:val="0079341B"/>
    <w:rsid w:val="0079488E"/>
    <w:rsid w:val="00796D26"/>
    <w:rsid w:val="007A1345"/>
    <w:rsid w:val="007A180D"/>
    <w:rsid w:val="007A18BE"/>
    <w:rsid w:val="007A1EAE"/>
    <w:rsid w:val="007A25FF"/>
    <w:rsid w:val="007A3567"/>
    <w:rsid w:val="007A3B65"/>
    <w:rsid w:val="007A4A45"/>
    <w:rsid w:val="007A537B"/>
    <w:rsid w:val="007A57A8"/>
    <w:rsid w:val="007A64AC"/>
    <w:rsid w:val="007A7A22"/>
    <w:rsid w:val="007B02D8"/>
    <w:rsid w:val="007B0852"/>
    <w:rsid w:val="007B0EC8"/>
    <w:rsid w:val="007B1AFB"/>
    <w:rsid w:val="007B39AD"/>
    <w:rsid w:val="007B4B95"/>
    <w:rsid w:val="007B520F"/>
    <w:rsid w:val="007B5725"/>
    <w:rsid w:val="007B5F3A"/>
    <w:rsid w:val="007B72CA"/>
    <w:rsid w:val="007C468B"/>
    <w:rsid w:val="007C4950"/>
    <w:rsid w:val="007C5C5A"/>
    <w:rsid w:val="007D0624"/>
    <w:rsid w:val="007D1FAA"/>
    <w:rsid w:val="007D494D"/>
    <w:rsid w:val="007D4E7C"/>
    <w:rsid w:val="007D7054"/>
    <w:rsid w:val="007D7DDC"/>
    <w:rsid w:val="007E0735"/>
    <w:rsid w:val="007E07E9"/>
    <w:rsid w:val="007E0CC4"/>
    <w:rsid w:val="007E0DF7"/>
    <w:rsid w:val="007E4A94"/>
    <w:rsid w:val="007E6313"/>
    <w:rsid w:val="007E63C2"/>
    <w:rsid w:val="007E7F80"/>
    <w:rsid w:val="007F05B9"/>
    <w:rsid w:val="007F1E7A"/>
    <w:rsid w:val="007F2843"/>
    <w:rsid w:val="007F44FD"/>
    <w:rsid w:val="007F5109"/>
    <w:rsid w:val="007F58F3"/>
    <w:rsid w:val="007F5E65"/>
    <w:rsid w:val="007F6195"/>
    <w:rsid w:val="008012F4"/>
    <w:rsid w:val="00801DB2"/>
    <w:rsid w:val="00802336"/>
    <w:rsid w:val="008025AF"/>
    <w:rsid w:val="00803E18"/>
    <w:rsid w:val="008058D3"/>
    <w:rsid w:val="00807703"/>
    <w:rsid w:val="00810818"/>
    <w:rsid w:val="0081092F"/>
    <w:rsid w:val="00810E9A"/>
    <w:rsid w:val="0081123A"/>
    <w:rsid w:val="00811381"/>
    <w:rsid w:val="0081348F"/>
    <w:rsid w:val="0081629A"/>
    <w:rsid w:val="0081640F"/>
    <w:rsid w:val="0081720F"/>
    <w:rsid w:val="00820664"/>
    <w:rsid w:val="008219B5"/>
    <w:rsid w:val="008220FF"/>
    <w:rsid w:val="008221B2"/>
    <w:rsid w:val="00824470"/>
    <w:rsid w:val="00824D29"/>
    <w:rsid w:val="00824E5E"/>
    <w:rsid w:val="00826139"/>
    <w:rsid w:val="00830057"/>
    <w:rsid w:val="008310D5"/>
    <w:rsid w:val="00831E96"/>
    <w:rsid w:val="00834D64"/>
    <w:rsid w:val="008360A3"/>
    <w:rsid w:val="008360E2"/>
    <w:rsid w:val="0083716F"/>
    <w:rsid w:val="00842DB3"/>
    <w:rsid w:val="00844E13"/>
    <w:rsid w:val="00845CB9"/>
    <w:rsid w:val="00845E1B"/>
    <w:rsid w:val="00851058"/>
    <w:rsid w:val="00851AA0"/>
    <w:rsid w:val="00851CE0"/>
    <w:rsid w:val="0085271E"/>
    <w:rsid w:val="00852D58"/>
    <w:rsid w:val="00852D68"/>
    <w:rsid w:val="00853CE7"/>
    <w:rsid w:val="008557D8"/>
    <w:rsid w:val="00856815"/>
    <w:rsid w:val="0085703A"/>
    <w:rsid w:val="008615EA"/>
    <w:rsid w:val="0086266C"/>
    <w:rsid w:val="00870B60"/>
    <w:rsid w:val="00873901"/>
    <w:rsid w:val="00873CD8"/>
    <w:rsid w:val="00874D41"/>
    <w:rsid w:val="00880557"/>
    <w:rsid w:val="00884782"/>
    <w:rsid w:val="00884966"/>
    <w:rsid w:val="0088598E"/>
    <w:rsid w:val="00886BBD"/>
    <w:rsid w:val="00886EC2"/>
    <w:rsid w:val="0089018D"/>
    <w:rsid w:val="00891BA4"/>
    <w:rsid w:val="00892464"/>
    <w:rsid w:val="0089429C"/>
    <w:rsid w:val="00897B87"/>
    <w:rsid w:val="008A06EB"/>
    <w:rsid w:val="008A450D"/>
    <w:rsid w:val="008A5248"/>
    <w:rsid w:val="008A5AB1"/>
    <w:rsid w:val="008A5EA2"/>
    <w:rsid w:val="008A732D"/>
    <w:rsid w:val="008A7650"/>
    <w:rsid w:val="008B0542"/>
    <w:rsid w:val="008B08E4"/>
    <w:rsid w:val="008B2CF2"/>
    <w:rsid w:val="008B4243"/>
    <w:rsid w:val="008B5118"/>
    <w:rsid w:val="008B6597"/>
    <w:rsid w:val="008B6A62"/>
    <w:rsid w:val="008B715E"/>
    <w:rsid w:val="008C2B0B"/>
    <w:rsid w:val="008C5FD1"/>
    <w:rsid w:val="008C7F21"/>
    <w:rsid w:val="008D15BF"/>
    <w:rsid w:val="008D2AA5"/>
    <w:rsid w:val="008D3CC2"/>
    <w:rsid w:val="008D3F1E"/>
    <w:rsid w:val="008D6033"/>
    <w:rsid w:val="008D7821"/>
    <w:rsid w:val="008E16F4"/>
    <w:rsid w:val="008E256D"/>
    <w:rsid w:val="008E3843"/>
    <w:rsid w:val="008F012C"/>
    <w:rsid w:val="008F03B2"/>
    <w:rsid w:val="008F0DB6"/>
    <w:rsid w:val="008F0DF2"/>
    <w:rsid w:val="008F0F57"/>
    <w:rsid w:val="008F40F4"/>
    <w:rsid w:val="008F4E19"/>
    <w:rsid w:val="008F5A9E"/>
    <w:rsid w:val="008F6B4A"/>
    <w:rsid w:val="008F7AFE"/>
    <w:rsid w:val="00900D9D"/>
    <w:rsid w:val="00904581"/>
    <w:rsid w:val="00905510"/>
    <w:rsid w:val="009063AF"/>
    <w:rsid w:val="0090652D"/>
    <w:rsid w:val="0091029E"/>
    <w:rsid w:val="00910798"/>
    <w:rsid w:val="0091106A"/>
    <w:rsid w:val="0091113A"/>
    <w:rsid w:val="00911377"/>
    <w:rsid w:val="00911973"/>
    <w:rsid w:val="00911DA8"/>
    <w:rsid w:val="009121A2"/>
    <w:rsid w:val="00913CE8"/>
    <w:rsid w:val="009202FD"/>
    <w:rsid w:val="009209B0"/>
    <w:rsid w:val="009224A0"/>
    <w:rsid w:val="00923039"/>
    <w:rsid w:val="00924315"/>
    <w:rsid w:val="009256BF"/>
    <w:rsid w:val="00927BB4"/>
    <w:rsid w:val="00934268"/>
    <w:rsid w:val="00936568"/>
    <w:rsid w:val="0093682A"/>
    <w:rsid w:val="00936EEA"/>
    <w:rsid w:val="00937004"/>
    <w:rsid w:val="0093712D"/>
    <w:rsid w:val="0093767E"/>
    <w:rsid w:val="00937BF9"/>
    <w:rsid w:val="00940ED7"/>
    <w:rsid w:val="00941498"/>
    <w:rsid w:val="009421B0"/>
    <w:rsid w:val="009432C2"/>
    <w:rsid w:val="009448B8"/>
    <w:rsid w:val="00945CFE"/>
    <w:rsid w:val="00946667"/>
    <w:rsid w:val="00946BAD"/>
    <w:rsid w:val="00946E43"/>
    <w:rsid w:val="00950B13"/>
    <w:rsid w:val="009520AB"/>
    <w:rsid w:val="00952B63"/>
    <w:rsid w:val="009546D0"/>
    <w:rsid w:val="009552BA"/>
    <w:rsid w:val="00955DB2"/>
    <w:rsid w:val="00955E57"/>
    <w:rsid w:val="0095669B"/>
    <w:rsid w:val="00956BD5"/>
    <w:rsid w:val="00960A39"/>
    <w:rsid w:val="00961CFD"/>
    <w:rsid w:val="00963140"/>
    <w:rsid w:val="00963AC1"/>
    <w:rsid w:val="00963F31"/>
    <w:rsid w:val="00964474"/>
    <w:rsid w:val="00965934"/>
    <w:rsid w:val="00971611"/>
    <w:rsid w:val="00973C62"/>
    <w:rsid w:val="00973E3D"/>
    <w:rsid w:val="0097585C"/>
    <w:rsid w:val="0097676F"/>
    <w:rsid w:val="0098247C"/>
    <w:rsid w:val="00985F5C"/>
    <w:rsid w:val="0098615E"/>
    <w:rsid w:val="009869EF"/>
    <w:rsid w:val="00987989"/>
    <w:rsid w:val="00990E94"/>
    <w:rsid w:val="009913B1"/>
    <w:rsid w:val="00992387"/>
    <w:rsid w:val="00992695"/>
    <w:rsid w:val="00992B8D"/>
    <w:rsid w:val="009933F5"/>
    <w:rsid w:val="00993512"/>
    <w:rsid w:val="00994D20"/>
    <w:rsid w:val="0099601B"/>
    <w:rsid w:val="009A3611"/>
    <w:rsid w:val="009A3735"/>
    <w:rsid w:val="009A43C8"/>
    <w:rsid w:val="009A4A23"/>
    <w:rsid w:val="009A6500"/>
    <w:rsid w:val="009A6D77"/>
    <w:rsid w:val="009A6E30"/>
    <w:rsid w:val="009A72D3"/>
    <w:rsid w:val="009B04F0"/>
    <w:rsid w:val="009B0753"/>
    <w:rsid w:val="009B2AE3"/>
    <w:rsid w:val="009B54AD"/>
    <w:rsid w:val="009B5614"/>
    <w:rsid w:val="009B5939"/>
    <w:rsid w:val="009B6DD8"/>
    <w:rsid w:val="009B759C"/>
    <w:rsid w:val="009C0056"/>
    <w:rsid w:val="009C1E8D"/>
    <w:rsid w:val="009C21C2"/>
    <w:rsid w:val="009C3C4C"/>
    <w:rsid w:val="009C6C93"/>
    <w:rsid w:val="009C7891"/>
    <w:rsid w:val="009D013D"/>
    <w:rsid w:val="009D0CAF"/>
    <w:rsid w:val="009D1E3E"/>
    <w:rsid w:val="009D2639"/>
    <w:rsid w:val="009D38D4"/>
    <w:rsid w:val="009D4B76"/>
    <w:rsid w:val="009D5858"/>
    <w:rsid w:val="009D630B"/>
    <w:rsid w:val="009E14F3"/>
    <w:rsid w:val="009E403F"/>
    <w:rsid w:val="009E4351"/>
    <w:rsid w:val="009E4745"/>
    <w:rsid w:val="009E5BAD"/>
    <w:rsid w:val="009E5E9C"/>
    <w:rsid w:val="009E616B"/>
    <w:rsid w:val="009E725E"/>
    <w:rsid w:val="009F13BE"/>
    <w:rsid w:val="009F3235"/>
    <w:rsid w:val="009F38FA"/>
    <w:rsid w:val="009F3BD2"/>
    <w:rsid w:val="009F3C96"/>
    <w:rsid w:val="009F4D26"/>
    <w:rsid w:val="009F785E"/>
    <w:rsid w:val="00A01079"/>
    <w:rsid w:val="00A019AC"/>
    <w:rsid w:val="00A01B8E"/>
    <w:rsid w:val="00A03F5D"/>
    <w:rsid w:val="00A04E38"/>
    <w:rsid w:val="00A058FB"/>
    <w:rsid w:val="00A06C41"/>
    <w:rsid w:val="00A0711C"/>
    <w:rsid w:val="00A07144"/>
    <w:rsid w:val="00A102A0"/>
    <w:rsid w:val="00A10546"/>
    <w:rsid w:val="00A11417"/>
    <w:rsid w:val="00A13721"/>
    <w:rsid w:val="00A15A51"/>
    <w:rsid w:val="00A210C2"/>
    <w:rsid w:val="00A228D4"/>
    <w:rsid w:val="00A23058"/>
    <w:rsid w:val="00A239A0"/>
    <w:rsid w:val="00A25460"/>
    <w:rsid w:val="00A2646E"/>
    <w:rsid w:val="00A26F28"/>
    <w:rsid w:val="00A27BF5"/>
    <w:rsid w:val="00A312B6"/>
    <w:rsid w:val="00A31B83"/>
    <w:rsid w:val="00A34695"/>
    <w:rsid w:val="00A34B71"/>
    <w:rsid w:val="00A4078D"/>
    <w:rsid w:val="00A415A7"/>
    <w:rsid w:val="00A46898"/>
    <w:rsid w:val="00A5024E"/>
    <w:rsid w:val="00A502CC"/>
    <w:rsid w:val="00A5038C"/>
    <w:rsid w:val="00A5043B"/>
    <w:rsid w:val="00A519D9"/>
    <w:rsid w:val="00A52D6F"/>
    <w:rsid w:val="00A52F06"/>
    <w:rsid w:val="00A52F8B"/>
    <w:rsid w:val="00A537D0"/>
    <w:rsid w:val="00A54F78"/>
    <w:rsid w:val="00A56CA4"/>
    <w:rsid w:val="00A57169"/>
    <w:rsid w:val="00A5745A"/>
    <w:rsid w:val="00A5756D"/>
    <w:rsid w:val="00A613AA"/>
    <w:rsid w:val="00A64064"/>
    <w:rsid w:val="00A640F9"/>
    <w:rsid w:val="00A64123"/>
    <w:rsid w:val="00A65E9B"/>
    <w:rsid w:val="00A6612C"/>
    <w:rsid w:val="00A6619B"/>
    <w:rsid w:val="00A711EA"/>
    <w:rsid w:val="00A71505"/>
    <w:rsid w:val="00A717B1"/>
    <w:rsid w:val="00A72B28"/>
    <w:rsid w:val="00A72E4C"/>
    <w:rsid w:val="00A73032"/>
    <w:rsid w:val="00A75989"/>
    <w:rsid w:val="00A767EB"/>
    <w:rsid w:val="00A769C1"/>
    <w:rsid w:val="00A80909"/>
    <w:rsid w:val="00A82195"/>
    <w:rsid w:val="00A8391D"/>
    <w:rsid w:val="00A87E8D"/>
    <w:rsid w:val="00A90038"/>
    <w:rsid w:val="00A92A86"/>
    <w:rsid w:val="00A94885"/>
    <w:rsid w:val="00A94CD2"/>
    <w:rsid w:val="00A95D7A"/>
    <w:rsid w:val="00A95EF0"/>
    <w:rsid w:val="00A96005"/>
    <w:rsid w:val="00AA01AD"/>
    <w:rsid w:val="00AA0889"/>
    <w:rsid w:val="00AA0988"/>
    <w:rsid w:val="00AA15C9"/>
    <w:rsid w:val="00AA2F8D"/>
    <w:rsid w:val="00AA3245"/>
    <w:rsid w:val="00AA4BC6"/>
    <w:rsid w:val="00AA5D7D"/>
    <w:rsid w:val="00AA67BA"/>
    <w:rsid w:val="00AA7716"/>
    <w:rsid w:val="00AB0859"/>
    <w:rsid w:val="00AB1E80"/>
    <w:rsid w:val="00AB2E21"/>
    <w:rsid w:val="00AB4BAF"/>
    <w:rsid w:val="00AB6551"/>
    <w:rsid w:val="00AC19AC"/>
    <w:rsid w:val="00AC2853"/>
    <w:rsid w:val="00AC6B50"/>
    <w:rsid w:val="00AC7A68"/>
    <w:rsid w:val="00AD0413"/>
    <w:rsid w:val="00AD0D71"/>
    <w:rsid w:val="00AD1E31"/>
    <w:rsid w:val="00AD376D"/>
    <w:rsid w:val="00AD39C1"/>
    <w:rsid w:val="00AD7059"/>
    <w:rsid w:val="00AD7A92"/>
    <w:rsid w:val="00AE034D"/>
    <w:rsid w:val="00AE098B"/>
    <w:rsid w:val="00AE4A4D"/>
    <w:rsid w:val="00AF1F9B"/>
    <w:rsid w:val="00AF2F1D"/>
    <w:rsid w:val="00AF2FAB"/>
    <w:rsid w:val="00AF3351"/>
    <w:rsid w:val="00AF5339"/>
    <w:rsid w:val="00AF5817"/>
    <w:rsid w:val="00AF5C11"/>
    <w:rsid w:val="00AF5E66"/>
    <w:rsid w:val="00B020F6"/>
    <w:rsid w:val="00B02BBF"/>
    <w:rsid w:val="00B039F2"/>
    <w:rsid w:val="00B04131"/>
    <w:rsid w:val="00B0463C"/>
    <w:rsid w:val="00B0598A"/>
    <w:rsid w:val="00B0643B"/>
    <w:rsid w:val="00B067C7"/>
    <w:rsid w:val="00B06BB6"/>
    <w:rsid w:val="00B10929"/>
    <w:rsid w:val="00B10B6C"/>
    <w:rsid w:val="00B136F6"/>
    <w:rsid w:val="00B14E49"/>
    <w:rsid w:val="00B1567C"/>
    <w:rsid w:val="00B17A19"/>
    <w:rsid w:val="00B22590"/>
    <w:rsid w:val="00B24D36"/>
    <w:rsid w:val="00B26F30"/>
    <w:rsid w:val="00B2772C"/>
    <w:rsid w:val="00B30360"/>
    <w:rsid w:val="00B305EF"/>
    <w:rsid w:val="00B32969"/>
    <w:rsid w:val="00B32EAF"/>
    <w:rsid w:val="00B3300D"/>
    <w:rsid w:val="00B332EA"/>
    <w:rsid w:val="00B35C92"/>
    <w:rsid w:val="00B4023C"/>
    <w:rsid w:val="00B409A9"/>
    <w:rsid w:val="00B42E85"/>
    <w:rsid w:val="00B43B05"/>
    <w:rsid w:val="00B45470"/>
    <w:rsid w:val="00B45BAD"/>
    <w:rsid w:val="00B45F9C"/>
    <w:rsid w:val="00B47C32"/>
    <w:rsid w:val="00B5163F"/>
    <w:rsid w:val="00B54043"/>
    <w:rsid w:val="00B55865"/>
    <w:rsid w:val="00B5589D"/>
    <w:rsid w:val="00B61578"/>
    <w:rsid w:val="00B63FCE"/>
    <w:rsid w:val="00B64F39"/>
    <w:rsid w:val="00B64FDD"/>
    <w:rsid w:val="00B67B55"/>
    <w:rsid w:val="00B709DF"/>
    <w:rsid w:val="00B710F8"/>
    <w:rsid w:val="00B71ED6"/>
    <w:rsid w:val="00B72278"/>
    <w:rsid w:val="00B73A68"/>
    <w:rsid w:val="00B770CC"/>
    <w:rsid w:val="00B81D7A"/>
    <w:rsid w:val="00B85536"/>
    <w:rsid w:val="00B8583D"/>
    <w:rsid w:val="00B90B7D"/>
    <w:rsid w:val="00B9212C"/>
    <w:rsid w:val="00B9292D"/>
    <w:rsid w:val="00B92C6A"/>
    <w:rsid w:val="00B94519"/>
    <w:rsid w:val="00B95027"/>
    <w:rsid w:val="00B964FC"/>
    <w:rsid w:val="00B978D7"/>
    <w:rsid w:val="00BA20FF"/>
    <w:rsid w:val="00BA23C0"/>
    <w:rsid w:val="00BA3B6B"/>
    <w:rsid w:val="00BA594A"/>
    <w:rsid w:val="00BA7DEE"/>
    <w:rsid w:val="00BB2D21"/>
    <w:rsid w:val="00BB4153"/>
    <w:rsid w:val="00BB4C23"/>
    <w:rsid w:val="00BB51C2"/>
    <w:rsid w:val="00BB5F7C"/>
    <w:rsid w:val="00BB5FBD"/>
    <w:rsid w:val="00BC09EA"/>
    <w:rsid w:val="00BC243B"/>
    <w:rsid w:val="00BC26C2"/>
    <w:rsid w:val="00BC2D3B"/>
    <w:rsid w:val="00BC352C"/>
    <w:rsid w:val="00BC3AD5"/>
    <w:rsid w:val="00BC55F4"/>
    <w:rsid w:val="00BC764C"/>
    <w:rsid w:val="00BD244E"/>
    <w:rsid w:val="00BD3F7D"/>
    <w:rsid w:val="00BD577C"/>
    <w:rsid w:val="00BD6E08"/>
    <w:rsid w:val="00BD7984"/>
    <w:rsid w:val="00BE0E62"/>
    <w:rsid w:val="00BE2A13"/>
    <w:rsid w:val="00BE2C2C"/>
    <w:rsid w:val="00BE2DF1"/>
    <w:rsid w:val="00BE5DD1"/>
    <w:rsid w:val="00BE6085"/>
    <w:rsid w:val="00BF0B98"/>
    <w:rsid w:val="00C007D9"/>
    <w:rsid w:val="00C02639"/>
    <w:rsid w:val="00C02FB7"/>
    <w:rsid w:val="00C03465"/>
    <w:rsid w:val="00C05186"/>
    <w:rsid w:val="00C057B2"/>
    <w:rsid w:val="00C07C65"/>
    <w:rsid w:val="00C102A8"/>
    <w:rsid w:val="00C1128E"/>
    <w:rsid w:val="00C115D3"/>
    <w:rsid w:val="00C12D00"/>
    <w:rsid w:val="00C12D01"/>
    <w:rsid w:val="00C132A0"/>
    <w:rsid w:val="00C14195"/>
    <w:rsid w:val="00C14EDC"/>
    <w:rsid w:val="00C16EB1"/>
    <w:rsid w:val="00C20C5E"/>
    <w:rsid w:val="00C2123A"/>
    <w:rsid w:val="00C21DF7"/>
    <w:rsid w:val="00C230BA"/>
    <w:rsid w:val="00C247B0"/>
    <w:rsid w:val="00C25AC4"/>
    <w:rsid w:val="00C260A2"/>
    <w:rsid w:val="00C26BF3"/>
    <w:rsid w:val="00C271F1"/>
    <w:rsid w:val="00C27202"/>
    <w:rsid w:val="00C3069B"/>
    <w:rsid w:val="00C31413"/>
    <w:rsid w:val="00C3161E"/>
    <w:rsid w:val="00C3190C"/>
    <w:rsid w:val="00C32330"/>
    <w:rsid w:val="00C35CD4"/>
    <w:rsid w:val="00C37F79"/>
    <w:rsid w:val="00C411A1"/>
    <w:rsid w:val="00C417EA"/>
    <w:rsid w:val="00C421DB"/>
    <w:rsid w:val="00C4347F"/>
    <w:rsid w:val="00C458FA"/>
    <w:rsid w:val="00C45B55"/>
    <w:rsid w:val="00C4637A"/>
    <w:rsid w:val="00C46CF4"/>
    <w:rsid w:val="00C51196"/>
    <w:rsid w:val="00C5474D"/>
    <w:rsid w:val="00C574C0"/>
    <w:rsid w:val="00C6009E"/>
    <w:rsid w:val="00C634BF"/>
    <w:rsid w:val="00C64C49"/>
    <w:rsid w:val="00C64C56"/>
    <w:rsid w:val="00C65260"/>
    <w:rsid w:val="00C66140"/>
    <w:rsid w:val="00C70BCC"/>
    <w:rsid w:val="00C7105A"/>
    <w:rsid w:val="00C71230"/>
    <w:rsid w:val="00C72C3F"/>
    <w:rsid w:val="00C7318F"/>
    <w:rsid w:val="00C74315"/>
    <w:rsid w:val="00C81473"/>
    <w:rsid w:val="00C81FDA"/>
    <w:rsid w:val="00C824ED"/>
    <w:rsid w:val="00C82A34"/>
    <w:rsid w:val="00C83558"/>
    <w:rsid w:val="00C84048"/>
    <w:rsid w:val="00C90A0A"/>
    <w:rsid w:val="00C93795"/>
    <w:rsid w:val="00CA0954"/>
    <w:rsid w:val="00CA09AF"/>
    <w:rsid w:val="00CA1DE6"/>
    <w:rsid w:val="00CA1EC0"/>
    <w:rsid w:val="00CA240C"/>
    <w:rsid w:val="00CA331F"/>
    <w:rsid w:val="00CA3358"/>
    <w:rsid w:val="00CA4943"/>
    <w:rsid w:val="00CA4DFF"/>
    <w:rsid w:val="00CA51F1"/>
    <w:rsid w:val="00CA5A96"/>
    <w:rsid w:val="00CB04C5"/>
    <w:rsid w:val="00CB0F98"/>
    <w:rsid w:val="00CB151A"/>
    <w:rsid w:val="00CB2931"/>
    <w:rsid w:val="00CB520C"/>
    <w:rsid w:val="00CB7654"/>
    <w:rsid w:val="00CB77F2"/>
    <w:rsid w:val="00CB7CA2"/>
    <w:rsid w:val="00CB7CC3"/>
    <w:rsid w:val="00CC06DD"/>
    <w:rsid w:val="00CC070C"/>
    <w:rsid w:val="00CC163B"/>
    <w:rsid w:val="00CC16CE"/>
    <w:rsid w:val="00CC18FF"/>
    <w:rsid w:val="00CC2DE2"/>
    <w:rsid w:val="00CC3086"/>
    <w:rsid w:val="00CC3E29"/>
    <w:rsid w:val="00CC4CE3"/>
    <w:rsid w:val="00CC5CA5"/>
    <w:rsid w:val="00CC7A3E"/>
    <w:rsid w:val="00CD163A"/>
    <w:rsid w:val="00CD3BD3"/>
    <w:rsid w:val="00CD6BDD"/>
    <w:rsid w:val="00CD711F"/>
    <w:rsid w:val="00CD73E8"/>
    <w:rsid w:val="00CE042A"/>
    <w:rsid w:val="00CE063A"/>
    <w:rsid w:val="00CE08CA"/>
    <w:rsid w:val="00CE120F"/>
    <w:rsid w:val="00CE12E8"/>
    <w:rsid w:val="00CE1B36"/>
    <w:rsid w:val="00CE76AA"/>
    <w:rsid w:val="00CF0A79"/>
    <w:rsid w:val="00CF21D0"/>
    <w:rsid w:val="00CF2A19"/>
    <w:rsid w:val="00CF3D52"/>
    <w:rsid w:val="00CF71C4"/>
    <w:rsid w:val="00D00FEF"/>
    <w:rsid w:val="00D01027"/>
    <w:rsid w:val="00D0315C"/>
    <w:rsid w:val="00D0395F"/>
    <w:rsid w:val="00D039F8"/>
    <w:rsid w:val="00D04A7A"/>
    <w:rsid w:val="00D04B4C"/>
    <w:rsid w:val="00D06263"/>
    <w:rsid w:val="00D063FA"/>
    <w:rsid w:val="00D0682B"/>
    <w:rsid w:val="00D06D7F"/>
    <w:rsid w:val="00D12287"/>
    <w:rsid w:val="00D136C4"/>
    <w:rsid w:val="00D137E9"/>
    <w:rsid w:val="00D13BA5"/>
    <w:rsid w:val="00D13E06"/>
    <w:rsid w:val="00D16C2F"/>
    <w:rsid w:val="00D17D0B"/>
    <w:rsid w:val="00D17D63"/>
    <w:rsid w:val="00D208A2"/>
    <w:rsid w:val="00D22517"/>
    <w:rsid w:val="00D22FD4"/>
    <w:rsid w:val="00D232F6"/>
    <w:rsid w:val="00D2345C"/>
    <w:rsid w:val="00D23DE6"/>
    <w:rsid w:val="00D244BC"/>
    <w:rsid w:val="00D25081"/>
    <w:rsid w:val="00D2541B"/>
    <w:rsid w:val="00D26196"/>
    <w:rsid w:val="00D2779E"/>
    <w:rsid w:val="00D30B02"/>
    <w:rsid w:val="00D326D4"/>
    <w:rsid w:val="00D34D19"/>
    <w:rsid w:val="00D34D4E"/>
    <w:rsid w:val="00D350BF"/>
    <w:rsid w:val="00D3520F"/>
    <w:rsid w:val="00D3604C"/>
    <w:rsid w:val="00D3758E"/>
    <w:rsid w:val="00D376B7"/>
    <w:rsid w:val="00D37AD6"/>
    <w:rsid w:val="00D4021E"/>
    <w:rsid w:val="00D40299"/>
    <w:rsid w:val="00D41B3A"/>
    <w:rsid w:val="00D50157"/>
    <w:rsid w:val="00D53B96"/>
    <w:rsid w:val="00D54B67"/>
    <w:rsid w:val="00D54DB3"/>
    <w:rsid w:val="00D55DA4"/>
    <w:rsid w:val="00D56E08"/>
    <w:rsid w:val="00D57247"/>
    <w:rsid w:val="00D57D4C"/>
    <w:rsid w:val="00D601EE"/>
    <w:rsid w:val="00D633B7"/>
    <w:rsid w:val="00D63B77"/>
    <w:rsid w:val="00D65905"/>
    <w:rsid w:val="00D65C27"/>
    <w:rsid w:val="00D708AA"/>
    <w:rsid w:val="00D70AFB"/>
    <w:rsid w:val="00D726C5"/>
    <w:rsid w:val="00D7324D"/>
    <w:rsid w:val="00D73399"/>
    <w:rsid w:val="00D7465E"/>
    <w:rsid w:val="00D74AD5"/>
    <w:rsid w:val="00D75AAC"/>
    <w:rsid w:val="00D75C36"/>
    <w:rsid w:val="00D75DDF"/>
    <w:rsid w:val="00D76571"/>
    <w:rsid w:val="00D778E5"/>
    <w:rsid w:val="00D809A8"/>
    <w:rsid w:val="00D810B2"/>
    <w:rsid w:val="00D81929"/>
    <w:rsid w:val="00D94F0C"/>
    <w:rsid w:val="00D96394"/>
    <w:rsid w:val="00D97674"/>
    <w:rsid w:val="00DA0FC4"/>
    <w:rsid w:val="00DA2BE4"/>
    <w:rsid w:val="00DA3A07"/>
    <w:rsid w:val="00DA7D48"/>
    <w:rsid w:val="00DB003C"/>
    <w:rsid w:val="00DB1D92"/>
    <w:rsid w:val="00DB38F4"/>
    <w:rsid w:val="00DB6143"/>
    <w:rsid w:val="00DB73E4"/>
    <w:rsid w:val="00DB76C2"/>
    <w:rsid w:val="00DC17D9"/>
    <w:rsid w:val="00DC1A4D"/>
    <w:rsid w:val="00DC4B45"/>
    <w:rsid w:val="00DC51B7"/>
    <w:rsid w:val="00DC538F"/>
    <w:rsid w:val="00DC7578"/>
    <w:rsid w:val="00DD04D9"/>
    <w:rsid w:val="00DD074D"/>
    <w:rsid w:val="00DD1A83"/>
    <w:rsid w:val="00DD41D0"/>
    <w:rsid w:val="00DD740A"/>
    <w:rsid w:val="00DE1F76"/>
    <w:rsid w:val="00DE7666"/>
    <w:rsid w:val="00DF1A36"/>
    <w:rsid w:val="00DF3669"/>
    <w:rsid w:val="00DF39CE"/>
    <w:rsid w:val="00DF3D38"/>
    <w:rsid w:val="00DF41E9"/>
    <w:rsid w:val="00DF5230"/>
    <w:rsid w:val="00DF7843"/>
    <w:rsid w:val="00DF7F69"/>
    <w:rsid w:val="00E01A83"/>
    <w:rsid w:val="00E05CFD"/>
    <w:rsid w:val="00E10387"/>
    <w:rsid w:val="00E1147C"/>
    <w:rsid w:val="00E11B0E"/>
    <w:rsid w:val="00E13C82"/>
    <w:rsid w:val="00E13CCF"/>
    <w:rsid w:val="00E142E5"/>
    <w:rsid w:val="00E14F54"/>
    <w:rsid w:val="00E15B79"/>
    <w:rsid w:val="00E16166"/>
    <w:rsid w:val="00E1644B"/>
    <w:rsid w:val="00E17BF4"/>
    <w:rsid w:val="00E21E22"/>
    <w:rsid w:val="00E2213C"/>
    <w:rsid w:val="00E229FB"/>
    <w:rsid w:val="00E25E2A"/>
    <w:rsid w:val="00E27F9C"/>
    <w:rsid w:val="00E30CE5"/>
    <w:rsid w:val="00E30F72"/>
    <w:rsid w:val="00E3107F"/>
    <w:rsid w:val="00E36EE1"/>
    <w:rsid w:val="00E41374"/>
    <w:rsid w:val="00E41469"/>
    <w:rsid w:val="00E41AC3"/>
    <w:rsid w:val="00E41BB8"/>
    <w:rsid w:val="00E41CCA"/>
    <w:rsid w:val="00E41E10"/>
    <w:rsid w:val="00E431D2"/>
    <w:rsid w:val="00E43328"/>
    <w:rsid w:val="00E46E5F"/>
    <w:rsid w:val="00E502B6"/>
    <w:rsid w:val="00E537C9"/>
    <w:rsid w:val="00E5386F"/>
    <w:rsid w:val="00E544DA"/>
    <w:rsid w:val="00E54C38"/>
    <w:rsid w:val="00E55798"/>
    <w:rsid w:val="00E55CD2"/>
    <w:rsid w:val="00E56B46"/>
    <w:rsid w:val="00E5757A"/>
    <w:rsid w:val="00E6185D"/>
    <w:rsid w:val="00E61CDE"/>
    <w:rsid w:val="00E6330C"/>
    <w:rsid w:val="00E63910"/>
    <w:rsid w:val="00E63DCE"/>
    <w:rsid w:val="00E652F4"/>
    <w:rsid w:val="00E67A94"/>
    <w:rsid w:val="00E7168C"/>
    <w:rsid w:val="00E72579"/>
    <w:rsid w:val="00E76C92"/>
    <w:rsid w:val="00E83E3C"/>
    <w:rsid w:val="00E84EAB"/>
    <w:rsid w:val="00E86974"/>
    <w:rsid w:val="00E903F0"/>
    <w:rsid w:val="00E90EAA"/>
    <w:rsid w:val="00E91FA5"/>
    <w:rsid w:val="00E92236"/>
    <w:rsid w:val="00E952CE"/>
    <w:rsid w:val="00E960B4"/>
    <w:rsid w:val="00E96232"/>
    <w:rsid w:val="00EA03C2"/>
    <w:rsid w:val="00EA15F3"/>
    <w:rsid w:val="00EA29B1"/>
    <w:rsid w:val="00EA3205"/>
    <w:rsid w:val="00EA498A"/>
    <w:rsid w:val="00EA55AF"/>
    <w:rsid w:val="00EA5B00"/>
    <w:rsid w:val="00EA5F2E"/>
    <w:rsid w:val="00EA69B7"/>
    <w:rsid w:val="00EA7773"/>
    <w:rsid w:val="00EB2C24"/>
    <w:rsid w:val="00EB2CDF"/>
    <w:rsid w:val="00EB3808"/>
    <w:rsid w:val="00EB3DE2"/>
    <w:rsid w:val="00EB41C9"/>
    <w:rsid w:val="00EB4C0F"/>
    <w:rsid w:val="00EC0277"/>
    <w:rsid w:val="00EC2FA1"/>
    <w:rsid w:val="00EC3A4C"/>
    <w:rsid w:val="00EC4DB5"/>
    <w:rsid w:val="00EC5298"/>
    <w:rsid w:val="00EC6333"/>
    <w:rsid w:val="00ED1458"/>
    <w:rsid w:val="00ED165E"/>
    <w:rsid w:val="00ED224D"/>
    <w:rsid w:val="00ED2410"/>
    <w:rsid w:val="00ED2522"/>
    <w:rsid w:val="00ED3067"/>
    <w:rsid w:val="00ED33C9"/>
    <w:rsid w:val="00ED371E"/>
    <w:rsid w:val="00ED48CC"/>
    <w:rsid w:val="00ED5A0F"/>
    <w:rsid w:val="00ED5F04"/>
    <w:rsid w:val="00ED6353"/>
    <w:rsid w:val="00ED6465"/>
    <w:rsid w:val="00EE07AC"/>
    <w:rsid w:val="00EE0D9C"/>
    <w:rsid w:val="00EE0E40"/>
    <w:rsid w:val="00EE18B8"/>
    <w:rsid w:val="00EE21C5"/>
    <w:rsid w:val="00EE3C60"/>
    <w:rsid w:val="00EE6AEE"/>
    <w:rsid w:val="00EE7D3D"/>
    <w:rsid w:val="00EF0474"/>
    <w:rsid w:val="00EF0DB4"/>
    <w:rsid w:val="00EF19DE"/>
    <w:rsid w:val="00EF1AF4"/>
    <w:rsid w:val="00EF42E3"/>
    <w:rsid w:val="00EF74C9"/>
    <w:rsid w:val="00F00560"/>
    <w:rsid w:val="00F010AD"/>
    <w:rsid w:val="00F024FE"/>
    <w:rsid w:val="00F03B9A"/>
    <w:rsid w:val="00F050B5"/>
    <w:rsid w:val="00F053E0"/>
    <w:rsid w:val="00F1129C"/>
    <w:rsid w:val="00F12073"/>
    <w:rsid w:val="00F12995"/>
    <w:rsid w:val="00F13B5D"/>
    <w:rsid w:val="00F1417E"/>
    <w:rsid w:val="00F155F2"/>
    <w:rsid w:val="00F16111"/>
    <w:rsid w:val="00F16E9D"/>
    <w:rsid w:val="00F17DCB"/>
    <w:rsid w:val="00F24796"/>
    <w:rsid w:val="00F26176"/>
    <w:rsid w:val="00F2630E"/>
    <w:rsid w:val="00F26E03"/>
    <w:rsid w:val="00F27B01"/>
    <w:rsid w:val="00F323F7"/>
    <w:rsid w:val="00F32BC3"/>
    <w:rsid w:val="00F354C7"/>
    <w:rsid w:val="00F358ED"/>
    <w:rsid w:val="00F3613C"/>
    <w:rsid w:val="00F365FA"/>
    <w:rsid w:val="00F37655"/>
    <w:rsid w:val="00F41E80"/>
    <w:rsid w:val="00F41FCA"/>
    <w:rsid w:val="00F44070"/>
    <w:rsid w:val="00F443F3"/>
    <w:rsid w:val="00F511A8"/>
    <w:rsid w:val="00F526D9"/>
    <w:rsid w:val="00F53E75"/>
    <w:rsid w:val="00F54B58"/>
    <w:rsid w:val="00F557AA"/>
    <w:rsid w:val="00F574B7"/>
    <w:rsid w:val="00F65469"/>
    <w:rsid w:val="00F6560A"/>
    <w:rsid w:val="00F66810"/>
    <w:rsid w:val="00F66BA4"/>
    <w:rsid w:val="00F66DCD"/>
    <w:rsid w:val="00F71A79"/>
    <w:rsid w:val="00F73D09"/>
    <w:rsid w:val="00F73E48"/>
    <w:rsid w:val="00F74A07"/>
    <w:rsid w:val="00F767A6"/>
    <w:rsid w:val="00F80726"/>
    <w:rsid w:val="00F80E9A"/>
    <w:rsid w:val="00F81F00"/>
    <w:rsid w:val="00F82A85"/>
    <w:rsid w:val="00F82B9E"/>
    <w:rsid w:val="00F82CCA"/>
    <w:rsid w:val="00F83AF1"/>
    <w:rsid w:val="00F843B6"/>
    <w:rsid w:val="00F87AEF"/>
    <w:rsid w:val="00F956CC"/>
    <w:rsid w:val="00F95985"/>
    <w:rsid w:val="00F95991"/>
    <w:rsid w:val="00FA0904"/>
    <w:rsid w:val="00FA095E"/>
    <w:rsid w:val="00FA24EC"/>
    <w:rsid w:val="00FA2980"/>
    <w:rsid w:val="00FA5A43"/>
    <w:rsid w:val="00FA64A4"/>
    <w:rsid w:val="00FA6BB3"/>
    <w:rsid w:val="00FB05B5"/>
    <w:rsid w:val="00FB0830"/>
    <w:rsid w:val="00FB0928"/>
    <w:rsid w:val="00FB2154"/>
    <w:rsid w:val="00FB61FA"/>
    <w:rsid w:val="00FB69BD"/>
    <w:rsid w:val="00FB713D"/>
    <w:rsid w:val="00FB7562"/>
    <w:rsid w:val="00FC1CA1"/>
    <w:rsid w:val="00FC275B"/>
    <w:rsid w:val="00FC2B82"/>
    <w:rsid w:val="00FC3866"/>
    <w:rsid w:val="00FC470A"/>
    <w:rsid w:val="00FC5366"/>
    <w:rsid w:val="00FC5B27"/>
    <w:rsid w:val="00FC5BD2"/>
    <w:rsid w:val="00FC7953"/>
    <w:rsid w:val="00FC796C"/>
    <w:rsid w:val="00FD0207"/>
    <w:rsid w:val="00FD327B"/>
    <w:rsid w:val="00FD52FD"/>
    <w:rsid w:val="00FD6B3F"/>
    <w:rsid w:val="00FE3EB5"/>
    <w:rsid w:val="00FE42F6"/>
    <w:rsid w:val="00FE7DC4"/>
    <w:rsid w:val="00FF1A2B"/>
    <w:rsid w:val="00FF1BCC"/>
    <w:rsid w:val="00FF3566"/>
    <w:rsid w:val="00FF3CCF"/>
    <w:rsid w:val="00FF3EDA"/>
    <w:rsid w:val="00FF444C"/>
    <w:rsid w:val="00FF6908"/>
    <w:rsid w:val="00FF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A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3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0735"/>
    <w:pPr>
      <w:keepNext/>
      <w:numPr>
        <w:ilvl w:val="1"/>
        <w:numId w:val="1"/>
      </w:numPr>
      <w:spacing w:after="220"/>
      <w:outlineLvl w:val="1"/>
    </w:pPr>
    <w:rPr>
      <w:rFonts w:ascii="Times New Roman Bold" w:hAnsi="Times New Roman Bold"/>
      <w:b/>
    </w:rPr>
  </w:style>
  <w:style w:type="paragraph" w:styleId="Heading3">
    <w:name w:val="heading 3"/>
    <w:basedOn w:val="Normal"/>
    <w:next w:val="Normal"/>
    <w:link w:val="Heading3Char"/>
    <w:qFormat/>
    <w:rsid w:val="007E0735"/>
    <w:pPr>
      <w:keepNext/>
      <w:outlineLvl w:val="2"/>
    </w:pPr>
    <w:rPr>
      <w:u w:val="single"/>
    </w:rPr>
  </w:style>
  <w:style w:type="paragraph" w:styleId="Heading4">
    <w:name w:val="heading 4"/>
    <w:basedOn w:val="Normal"/>
    <w:next w:val="Normal"/>
    <w:link w:val="Heading4Char"/>
    <w:qFormat/>
    <w:rsid w:val="007E0735"/>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7E0735"/>
    <w:pPr>
      <w:numPr>
        <w:ilvl w:val="4"/>
        <w:numId w:val="1"/>
      </w:numPr>
      <w:spacing w:before="240" w:after="60"/>
      <w:outlineLvl w:val="4"/>
    </w:pPr>
    <w:rPr>
      <w:sz w:val="22"/>
    </w:rPr>
  </w:style>
  <w:style w:type="paragraph" w:styleId="Heading6">
    <w:name w:val="heading 6"/>
    <w:basedOn w:val="Normal"/>
    <w:next w:val="Normal"/>
    <w:link w:val="Heading6Char"/>
    <w:qFormat/>
    <w:rsid w:val="007E0735"/>
    <w:pPr>
      <w:numPr>
        <w:ilvl w:val="5"/>
        <w:numId w:val="1"/>
      </w:numPr>
      <w:spacing w:before="240" w:after="60"/>
      <w:outlineLvl w:val="5"/>
    </w:pPr>
    <w:rPr>
      <w:i/>
      <w:sz w:val="22"/>
    </w:rPr>
  </w:style>
  <w:style w:type="paragraph" w:styleId="Heading7">
    <w:name w:val="heading 7"/>
    <w:basedOn w:val="Normal"/>
    <w:next w:val="Normal"/>
    <w:link w:val="Heading7Char"/>
    <w:qFormat/>
    <w:rsid w:val="007E0735"/>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E0735"/>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E073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7E0735"/>
    <w:rPr>
      <w:rFonts w:ascii="Arial" w:eastAsia="Times New Roman" w:hAnsi="Arial" w:cs="Times New Roman"/>
      <w:b/>
      <w:sz w:val="24"/>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i/>
      <w:szCs w:val="20"/>
    </w:rPr>
  </w:style>
  <w:style w:type="character" w:customStyle="1" w:styleId="Heading7Char">
    <w:name w:val="Heading 7 Char"/>
    <w:basedOn w:val="DefaultParagraphFont"/>
    <w:link w:val="Heading7"/>
    <w:rsid w:val="007E0735"/>
    <w:rPr>
      <w:rFonts w:ascii="Arial" w:eastAsia="Times New Roman" w:hAnsi="Arial" w:cs="Times New Roman"/>
      <w:sz w:val="24"/>
      <w:szCs w:val="20"/>
    </w:rPr>
  </w:style>
  <w:style w:type="character" w:customStyle="1" w:styleId="Heading8Char">
    <w:name w:val="Heading 8 Char"/>
    <w:basedOn w:val="DefaultParagraphFont"/>
    <w:link w:val="Heading8"/>
    <w:rsid w:val="007E0735"/>
    <w:rPr>
      <w:rFonts w:ascii="Arial" w:eastAsia="Times New Roman" w:hAnsi="Arial" w:cs="Times New Roman"/>
      <w:i/>
      <w:sz w:val="24"/>
      <w:szCs w:val="20"/>
    </w:rPr>
  </w:style>
  <w:style w:type="character" w:customStyle="1" w:styleId="Heading9Char">
    <w:name w:val="Heading 9 Char"/>
    <w:basedOn w:val="DefaultParagraphFont"/>
    <w:link w:val="Heading9"/>
    <w:rsid w:val="007E0735"/>
    <w:rPr>
      <w:rFonts w:ascii="Arial" w:eastAsia="Times New Roman" w:hAnsi="Arial" w:cs="Times New Roman"/>
      <w:b/>
      <w:i/>
      <w:sz w:val="1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rsid w:val="007E0735"/>
    <w:pPr>
      <w:widowControl w:val="0"/>
      <w:numPr>
        <w:numId w:val="2"/>
      </w:numPr>
      <w:spacing w:after="220"/>
      <w:ind w:firstLine="720"/>
      <w:jc w:val="both"/>
    </w:pPr>
    <w:rPr>
      <w:snapToGrid w:val="0"/>
      <w:kern w:val="28"/>
      <w:sz w:val="22"/>
    </w:rPr>
  </w:style>
  <w:style w:type="paragraph" w:customStyle="1" w:styleId="ParaNumChar1">
    <w:name w:val="ParaNum Char1"/>
    <w:basedOn w:val="Normal"/>
    <w:link w:val="ParaNumChar1Char"/>
    <w:rsid w:val="007E0735"/>
    <w:pPr>
      <w:widowControl w:val="0"/>
      <w:tabs>
        <w:tab w:val="num" w:pos="1080"/>
        <w:tab w:val="left" w:pos="1440"/>
      </w:tabs>
      <w:spacing w:after="220"/>
      <w:ind w:firstLine="720"/>
    </w:pPr>
    <w:rPr>
      <w:sz w:val="22"/>
    </w:r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uiPriority w:val="99"/>
    <w:unhideWhenUsed/>
    <w:rsid w:val="00C72C3F"/>
    <w:pPr>
      <w:tabs>
        <w:tab w:val="center" w:pos="4680"/>
        <w:tab w:val="right" w:pos="9360"/>
      </w:tabs>
    </w:pPr>
  </w:style>
  <w:style w:type="character" w:customStyle="1" w:styleId="HeaderChar">
    <w:name w:val="Header Char"/>
    <w:basedOn w:val="DefaultParagraphFont"/>
    <w:link w:val="Header"/>
    <w:uiPriority w:val="99"/>
    <w:rsid w:val="00C72C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2C3F"/>
    <w:pPr>
      <w:tabs>
        <w:tab w:val="center" w:pos="4680"/>
        <w:tab w:val="right" w:pos="9360"/>
      </w:tabs>
    </w:pPr>
  </w:style>
  <w:style w:type="character" w:customStyle="1" w:styleId="FooterChar">
    <w:name w:val="Footer Char"/>
    <w:basedOn w:val="DefaultParagraphFont"/>
    <w:link w:val="Footer"/>
    <w:uiPriority w:val="99"/>
    <w:rsid w:val="00C72C3F"/>
    <w:rPr>
      <w:rFonts w:ascii="Times New Roman" w:eastAsia="Times New Roman" w:hAnsi="Times New Roman" w:cs="Times New Roman"/>
      <w:sz w:val="24"/>
      <w:szCs w:val="20"/>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basedOn w:val="Normal"/>
    <w:link w:val="FootnoteTextChar"/>
    <w:uiPriority w:val="99"/>
    <w:unhideWhenUsed/>
    <w:rsid w:val="009520AB"/>
    <w:rPr>
      <w:sz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7"/>
    <w:basedOn w:val="DefaultParagraphFont"/>
    <w:uiPriority w:val="99"/>
    <w:unhideWhenUsed/>
    <w:rsid w:val="009520AB"/>
    <w:rPr>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semiHidden/>
    <w:unhideWhenUsed/>
    <w:rsid w:val="00BC2D3B"/>
    <w:rPr>
      <w:sz w:val="20"/>
    </w:rPr>
  </w:style>
  <w:style w:type="character" w:customStyle="1" w:styleId="CommentTextChar">
    <w:name w:val="Comment Text Char"/>
    <w:basedOn w:val="DefaultParagraphFont"/>
    <w:link w:val="CommentText"/>
    <w:uiPriority w:val="99"/>
    <w:semiHidden/>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uiPriority w:val="99"/>
    <w:semiHidden/>
    <w:unhideWhenUsed/>
    <w:rsid w:val="00BC352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basedOn w:val="DefaultParagraphFont"/>
    <w:uiPriority w:val="99"/>
    <w:unhideWhenUsed/>
    <w:rsid w:val="00343277"/>
    <w:rPr>
      <w:color w:val="0563C1" w:themeColor="hyperlink"/>
      <w:u w:val="single"/>
    </w:rPr>
  </w:style>
  <w:style w:type="character" w:customStyle="1" w:styleId="UnresolvedMention">
    <w:name w:val="Unresolved Mention"/>
    <w:basedOn w:val="DefaultParagraphFont"/>
    <w:uiPriority w:val="99"/>
    <w:semiHidden/>
    <w:unhideWhenUsed/>
    <w:rsid w:val="00343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3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0735"/>
    <w:pPr>
      <w:keepNext/>
      <w:numPr>
        <w:ilvl w:val="1"/>
        <w:numId w:val="1"/>
      </w:numPr>
      <w:spacing w:after="220"/>
      <w:outlineLvl w:val="1"/>
    </w:pPr>
    <w:rPr>
      <w:rFonts w:ascii="Times New Roman Bold" w:hAnsi="Times New Roman Bold"/>
      <w:b/>
    </w:rPr>
  </w:style>
  <w:style w:type="paragraph" w:styleId="Heading3">
    <w:name w:val="heading 3"/>
    <w:basedOn w:val="Normal"/>
    <w:next w:val="Normal"/>
    <w:link w:val="Heading3Char"/>
    <w:qFormat/>
    <w:rsid w:val="007E0735"/>
    <w:pPr>
      <w:keepNext/>
      <w:outlineLvl w:val="2"/>
    </w:pPr>
    <w:rPr>
      <w:u w:val="single"/>
    </w:rPr>
  </w:style>
  <w:style w:type="paragraph" w:styleId="Heading4">
    <w:name w:val="heading 4"/>
    <w:basedOn w:val="Normal"/>
    <w:next w:val="Normal"/>
    <w:link w:val="Heading4Char"/>
    <w:qFormat/>
    <w:rsid w:val="007E0735"/>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7E0735"/>
    <w:pPr>
      <w:numPr>
        <w:ilvl w:val="4"/>
        <w:numId w:val="1"/>
      </w:numPr>
      <w:spacing w:before="240" w:after="60"/>
      <w:outlineLvl w:val="4"/>
    </w:pPr>
    <w:rPr>
      <w:sz w:val="22"/>
    </w:rPr>
  </w:style>
  <w:style w:type="paragraph" w:styleId="Heading6">
    <w:name w:val="heading 6"/>
    <w:basedOn w:val="Normal"/>
    <w:next w:val="Normal"/>
    <w:link w:val="Heading6Char"/>
    <w:qFormat/>
    <w:rsid w:val="007E0735"/>
    <w:pPr>
      <w:numPr>
        <w:ilvl w:val="5"/>
        <w:numId w:val="1"/>
      </w:numPr>
      <w:spacing w:before="240" w:after="60"/>
      <w:outlineLvl w:val="5"/>
    </w:pPr>
    <w:rPr>
      <w:i/>
      <w:sz w:val="22"/>
    </w:rPr>
  </w:style>
  <w:style w:type="paragraph" w:styleId="Heading7">
    <w:name w:val="heading 7"/>
    <w:basedOn w:val="Normal"/>
    <w:next w:val="Normal"/>
    <w:link w:val="Heading7Char"/>
    <w:qFormat/>
    <w:rsid w:val="007E0735"/>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E0735"/>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E073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7E0735"/>
    <w:rPr>
      <w:rFonts w:ascii="Arial" w:eastAsia="Times New Roman" w:hAnsi="Arial" w:cs="Times New Roman"/>
      <w:b/>
      <w:sz w:val="24"/>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i/>
      <w:szCs w:val="20"/>
    </w:rPr>
  </w:style>
  <w:style w:type="character" w:customStyle="1" w:styleId="Heading7Char">
    <w:name w:val="Heading 7 Char"/>
    <w:basedOn w:val="DefaultParagraphFont"/>
    <w:link w:val="Heading7"/>
    <w:rsid w:val="007E0735"/>
    <w:rPr>
      <w:rFonts w:ascii="Arial" w:eastAsia="Times New Roman" w:hAnsi="Arial" w:cs="Times New Roman"/>
      <w:sz w:val="24"/>
      <w:szCs w:val="20"/>
    </w:rPr>
  </w:style>
  <w:style w:type="character" w:customStyle="1" w:styleId="Heading8Char">
    <w:name w:val="Heading 8 Char"/>
    <w:basedOn w:val="DefaultParagraphFont"/>
    <w:link w:val="Heading8"/>
    <w:rsid w:val="007E0735"/>
    <w:rPr>
      <w:rFonts w:ascii="Arial" w:eastAsia="Times New Roman" w:hAnsi="Arial" w:cs="Times New Roman"/>
      <w:i/>
      <w:sz w:val="24"/>
      <w:szCs w:val="20"/>
    </w:rPr>
  </w:style>
  <w:style w:type="character" w:customStyle="1" w:styleId="Heading9Char">
    <w:name w:val="Heading 9 Char"/>
    <w:basedOn w:val="DefaultParagraphFont"/>
    <w:link w:val="Heading9"/>
    <w:rsid w:val="007E0735"/>
    <w:rPr>
      <w:rFonts w:ascii="Arial" w:eastAsia="Times New Roman" w:hAnsi="Arial" w:cs="Times New Roman"/>
      <w:b/>
      <w:i/>
      <w:sz w:val="1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rsid w:val="007E0735"/>
    <w:pPr>
      <w:widowControl w:val="0"/>
      <w:numPr>
        <w:numId w:val="2"/>
      </w:numPr>
      <w:spacing w:after="220"/>
      <w:ind w:firstLine="720"/>
      <w:jc w:val="both"/>
    </w:pPr>
    <w:rPr>
      <w:snapToGrid w:val="0"/>
      <w:kern w:val="28"/>
      <w:sz w:val="22"/>
    </w:rPr>
  </w:style>
  <w:style w:type="paragraph" w:customStyle="1" w:styleId="ParaNumChar1">
    <w:name w:val="ParaNum Char1"/>
    <w:basedOn w:val="Normal"/>
    <w:link w:val="ParaNumChar1Char"/>
    <w:rsid w:val="007E0735"/>
    <w:pPr>
      <w:widowControl w:val="0"/>
      <w:tabs>
        <w:tab w:val="num" w:pos="1080"/>
        <w:tab w:val="left" w:pos="1440"/>
      </w:tabs>
      <w:spacing w:after="220"/>
      <w:ind w:firstLine="720"/>
    </w:pPr>
    <w:rPr>
      <w:sz w:val="22"/>
    </w:r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uiPriority w:val="99"/>
    <w:unhideWhenUsed/>
    <w:rsid w:val="00C72C3F"/>
    <w:pPr>
      <w:tabs>
        <w:tab w:val="center" w:pos="4680"/>
        <w:tab w:val="right" w:pos="9360"/>
      </w:tabs>
    </w:pPr>
  </w:style>
  <w:style w:type="character" w:customStyle="1" w:styleId="HeaderChar">
    <w:name w:val="Header Char"/>
    <w:basedOn w:val="DefaultParagraphFont"/>
    <w:link w:val="Header"/>
    <w:uiPriority w:val="99"/>
    <w:rsid w:val="00C72C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2C3F"/>
    <w:pPr>
      <w:tabs>
        <w:tab w:val="center" w:pos="4680"/>
        <w:tab w:val="right" w:pos="9360"/>
      </w:tabs>
    </w:pPr>
  </w:style>
  <w:style w:type="character" w:customStyle="1" w:styleId="FooterChar">
    <w:name w:val="Footer Char"/>
    <w:basedOn w:val="DefaultParagraphFont"/>
    <w:link w:val="Footer"/>
    <w:uiPriority w:val="99"/>
    <w:rsid w:val="00C72C3F"/>
    <w:rPr>
      <w:rFonts w:ascii="Times New Roman" w:eastAsia="Times New Roman" w:hAnsi="Times New Roman" w:cs="Times New Roman"/>
      <w:sz w:val="24"/>
      <w:szCs w:val="20"/>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basedOn w:val="Normal"/>
    <w:link w:val="FootnoteTextChar"/>
    <w:uiPriority w:val="99"/>
    <w:unhideWhenUsed/>
    <w:rsid w:val="009520AB"/>
    <w:rPr>
      <w:sz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7"/>
    <w:basedOn w:val="DefaultParagraphFont"/>
    <w:uiPriority w:val="99"/>
    <w:unhideWhenUsed/>
    <w:rsid w:val="009520AB"/>
    <w:rPr>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semiHidden/>
    <w:unhideWhenUsed/>
    <w:rsid w:val="00BC2D3B"/>
    <w:rPr>
      <w:sz w:val="20"/>
    </w:rPr>
  </w:style>
  <w:style w:type="character" w:customStyle="1" w:styleId="CommentTextChar">
    <w:name w:val="Comment Text Char"/>
    <w:basedOn w:val="DefaultParagraphFont"/>
    <w:link w:val="CommentText"/>
    <w:uiPriority w:val="99"/>
    <w:semiHidden/>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uiPriority w:val="99"/>
    <w:semiHidden/>
    <w:unhideWhenUsed/>
    <w:rsid w:val="00BC352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basedOn w:val="DefaultParagraphFont"/>
    <w:uiPriority w:val="99"/>
    <w:unhideWhenUsed/>
    <w:rsid w:val="00343277"/>
    <w:rPr>
      <w:color w:val="0563C1" w:themeColor="hyperlink"/>
      <w:u w:val="single"/>
    </w:rPr>
  </w:style>
  <w:style w:type="character" w:customStyle="1" w:styleId="UnresolvedMention">
    <w:name w:val="Unresolved Mention"/>
    <w:basedOn w:val="DefaultParagraphFont"/>
    <w:uiPriority w:val="99"/>
    <w:semiHidden/>
    <w:unhideWhenUsed/>
    <w:rsid w:val="0034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20general/telecommunications-industry-revenue-dat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ED4E-72E4-4D5C-BBF0-E2F3C8D1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SYSTEM</cp:lastModifiedBy>
  <cp:revision>2</cp:revision>
  <cp:lastPrinted>2019-12-19T16:50:00Z</cp:lastPrinted>
  <dcterms:created xsi:type="dcterms:W3CDTF">2019-12-27T01:56:00Z</dcterms:created>
  <dcterms:modified xsi:type="dcterms:W3CDTF">2019-12-27T01:56:00Z</dcterms:modified>
</cp:coreProperties>
</file>