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340" w:rsidRDefault="00EE5340"/>
    <w:p w:rsidR="004A7771" w:rsidP="00C320C8" w:rsidRDefault="00B64E1D">
      <w:pPr>
        <w:jc w:val="center"/>
        <w:outlineLvl w:val="0"/>
        <w:rPr>
          <w:b/>
        </w:rPr>
      </w:pPr>
      <w:r w:rsidRPr="00B64E1D">
        <w:rPr>
          <w:b/>
        </w:rPr>
        <w:t>SUPPORTING STATEMENT</w:t>
      </w:r>
    </w:p>
    <w:p w:rsidRPr="00B64E1D" w:rsidR="00B64E1D" w:rsidP="00B64E1D" w:rsidRDefault="00B64E1D">
      <w:pPr>
        <w:jc w:val="center"/>
        <w:rPr>
          <w:b/>
        </w:rPr>
      </w:pPr>
    </w:p>
    <w:p w:rsidRPr="005D4BA7" w:rsidR="004A7771" w:rsidRDefault="004A7771">
      <w:pPr>
        <w:rPr>
          <w:b/>
          <w:sz w:val="22"/>
          <w:szCs w:val="22"/>
        </w:rPr>
      </w:pPr>
      <w:r w:rsidRPr="005D4BA7">
        <w:rPr>
          <w:b/>
          <w:sz w:val="22"/>
          <w:szCs w:val="22"/>
        </w:rPr>
        <w:t>A.</w:t>
      </w:r>
      <w:r w:rsidRPr="005D4BA7">
        <w:rPr>
          <w:b/>
          <w:sz w:val="22"/>
          <w:szCs w:val="22"/>
        </w:rPr>
        <w:tab/>
        <w:t>Justification</w:t>
      </w:r>
    </w:p>
    <w:p w:rsidRPr="005D4BA7" w:rsidR="004A7771" w:rsidRDefault="004A7771">
      <w:pPr>
        <w:rPr>
          <w:b/>
          <w:sz w:val="22"/>
          <w:szCs w:val="22"/>
        </w:rPr>
      </w:pPr>
    </w:p>
    <w:p w:rsidR="00564FCF" w:rsidP="00B01B65" w:rsidRDefault="00B01B65">
      <w:pPr>
        <w:tabs>
          <w:tab w:val="left" w:pos="720"/>
        </w:tabs>
        <w:ind w:left="90"/>
        <w:rPr>
          <w:sz w:val="22"/>
          <w:szCs w:val="22"/>
        </w:rPr>
      </w:pPr>
      <w:r>
        <w:rPr>
          <w:sz w:val="22"/>
          <w:szCs w:val="22"/>
        </w:rPr>
        <w:t>1.</w:t>
      </w:r>
      <w:r w:rsidR="00EF581C">
        <w:rPr>
          <w:sz w:val="22"/>
          <w:szCs w:val="22"/>
        </w:rPr>
        <w:t xml:space="preserve">  </w:t>
      </w:r>
      <w:r w:rsidR="00A94EA0">
        <w:rPr>
          <w:sz w:val="22"/>
          <w:szCs w:val="22"/>
        </w:rPr>
        <w:t>In</w:t>
      </w:r>
      <w:r w:rsidR="004D0C8B">
        <w:rPr>
          <w:sz w:val="22"/>
          <w:szCs w:val="22"/>
        </w:rPr>
        <w:t xml:space="preserve"> </w:t>
      </w:r>
      <w:r w:rsidR="00B60368">
        <w:rPr>
          <w:sz w:val="22"/>
          <w:szCs w:val="22"/>
        </w:rPr>
        <w:t>1998, t</w:t>
      </w:r>
      <w:r w:rsidRPr="005D4BA7" w:rsidR="004A7771">
        <w:rPr>
          <w:sz w:val="22"/>
          <w:szCs w:val="22"/>
        </w:rPr>
        <w:t xml:space="preserve">he Commission </w:t>
      </w:r>
      <w:r w:rsidR="00B60368">
        <w:rPr>
          <w:sz w:val="22"/>
          <w:szCs w:val="22"/>
        </w:rPr>
        <w:t xml:space="preserve">adopted </w:t>
      </w:r>
      <w:r w:rsidRPr="00C846D7" w:rsidR="004A7771">
        <w:rPr>
          <w:sz w:val="22"/>
          <w:szCs w:val="22"/>
        </w:rPr>
        <w:t xml:space="preserve">a </w:t>
      </w:r>
      <w:r w:rsidRPr="00C846D7" w:rsidR="004A7771">
        <w:rPr>
          <w:i/>
          <w:sz w:val="22"/>
          <w:szCs w:val="22"/>
        </w:rPr>
        <w:t xml:space="preserve">Second Report and Order and Order on </w:t>
      </w:r>
      <w:r>
        <w:rPr>
          <w:i/>
          <w:sz w:val="22"/>
          <w:szCs w:val="22"/>
        </w:rPr>
        <w:t>R</w:t>
      </w:r>
      <w:r w:rsidRPr="00C846D7" w:rsidR="004A7771">
        <w:rPr>
          <w:i/>
          <w:sz w:val="22"/>
          <w:szCs w:val="22"/>
        </w:rPr>
        <w:t>econsideration</w:t>
      </w:r>
      <w:r w:rsidRPr="00C846D7" w:rsidR="0025263C">
        <w:rPr>
          <w:i/>
          <w:sz w:val="22"/>
          <w:szCs w:val="22"/>
        </w:rPr>
        <w:t xml:space="preserve"> (“Second Report and Order”)</w:t>
      </w:r>
      <w:r w:rsidRPr="00C846D7" w:rsidR="004A7771">
        <w:rPr>
          <w:sz w:val="22"/>
          <w:szCs w:val="22"/>
        </w:rPr>
        <w:t xml:space="preserve">, CC Docket No. 92-77, FCC </w:t>
      </w:r>
      <w:r w:rsidR="00EE6FF2">
        <w:rPr>
          <w:sz w:val="22"/>
          <w:szCs w:val="22"/>
        </w:rPr>
        <w:t>98-9</w:t>
      </w:r>
      <w:r w:rsidRPr="00C846D7" w:rsidR="004A7771">
        <w:rPr>
          <w:sz w:val="22"/>
          <w:szCs w:val="22"/>
        </w:rPr>
        <w:t>, released January 29, 1998</w:t>
      </w:r>
      <w:r w:rsidRPr="00C846D7" w:rsidR="0037298A">
        <w:rPr>
          <w:sz w:val="22"/>
          <w:szCs w:val="22"/>
        </w:rPr>
        <w:t xml:space="preserve">.   The </w:t>
      </w:r>
      <w:r w:rsidRPr="00C846D7" w:rsidR="0037298A">
        <w:rPr>
          <w:i/>
          <w:sz w:val="22"/>
          <w:szCs w:val="22"/>
        </w:rPr>
        <w:t>Second Report and Order</w:t>
      </w:r>
      <w:r w:rsidR="003E188B">
        <w:rPr>
          <w:sz w:val="22"/>
          <w:szCs w:val="22"/>
        </w:rPr>
        <w:t xml:space="preserve"> </w:t>
      </w:r>
      <w:r w:rsidRPr="00C846D7" w:rsidR="004A7771">
        <w:rPr>
          <w:sz w:val="22"/>
          <w:szCs w:val="22"/>
        </w:rPr>
        <w:t>address</w:t>
      </w:r>
      <w:r w:rsidRPr="00C846D7" w:rsidR="00730176">
        <w:rPr>
          <w:sz w:val="22"/>
          <w:szCs w:val="22"/>
        </w:rPr>
        <w:t>ed</w:t>
      </w:r>
      <w:r w:rsidRPr="00C846D7" w:rsidR="004A7771">
        <w:rPr>
          <w:sz w:val="22"/>
          <w:szCs w:val="22"/>
        </w:rPr>
        <w:t xml:space="preserve"> the problem of widespread consumer dissatisfaction with the high rates charged by many </w:t>
      </w:r>
      <w:r w:rsidRPr="00C846D7" w:rsidR="00564FCF">
        <w:rPr>
          <w:sz w:val="22"/>
          <w:szCs w:val="22"/>
        </w:rPr>
        <w:t>operator</w:t>
      </w:r>
      <w:r w:rsidRPr="00C846D7" w:rsidR="004A7771">
        <w:rPr>
          <w:sz w:val="22"/>
          <w:szCs w:val="22"/>
        </w:rPr>
        <w:t xml:space="preserve"> services providers (OSPs) for calls from public phones and other aggregator locations such as hotels, hospitals, and educational institutions</w:t>
      </w:r>
      <w:r w:rsidR="00564FCF">
        <w:rPr>
          <w:sz w:val="22"/>
          <w:szCs w:val="22"/>
        </w:rPr>
        <w:t xml:space="preserve">.  </w:t>
      </w:r>
      <w:r w:rsidRPr="00C846D7" w:rsidR="004A7771">
        <w:rPr>
          <w:sz w:val="22"/>
          <w:szCs w:val="22"/>
        </w:rPr>
        <w:t>At th</w:t>
      </w:r>
      <w:r w:rsidR="00564FCF">
        <w:rPr>
          <w:sz w:val="22"/>
          <w:szCs w:val="22"/>
        </w:rPr>
        <w:t>e</w:t>
      </w:r>
      <w:r w:rsidRPr="00C846D7" w:rsidR="004A7771">
        <w:rPr>
          <w:sz w:val="22"/>
          <w:szCs w:val="22"/>
        </w:rPr>
        <w:t xml:space="preserve"> time</w:t>
      </w:r>
      <w:r w:rsidR="00564FCF">
        <w:rPr>
          <w:sz w:val="22"/>
          <w:szCs w:val="22"/>
        </w:rPr>
        <w:t xml:space="preserve"> the </w:t>
      </w:r>
      <w:r w:rsidR="00564FCF">
        <w:rPr>
          <w:i/>
          <w:sz w:val="22"/>
          <w:szCs w:val="22"/>
        </w:rPr>
        <w:t>Second Report and Order</w:t>
      </w:r>
      <w:r w:rsidR="00564FCF">
        <w:rPr>
          <w:sz w:val="22"/>
          <w:szCs w:val="22"/>
        </w:rPr>
        <w:t xml:space="preserve"> was released</w:t>
      </w:r>
      <w:r w:rsidRPr="00C846D7" w:rsidR="004A7771">
        <w:rPr>
          <w:sz w:val="22"/>
          <w:szCs w:val="22"/>
        </w:rPr>
        <w:t>, an away-from-home caller who dialed “0” followed by an inter</w:t>
      </w:r>
      <w:r w:rsidRPr="00C846D7" w:rsidR="001978E6">
        <w:rPr>
          <w:sz w:val="22"/>
          <w:szCs w:val="22"/>
        </w:rPr>
        <w:t>-</w:t>
      </w:r>
      <w:r w:rsidRPr="00C846D7" w:rsidR="004A7771">
        <w:rPr>
          <w:sz w:val="22"/>
          <w:szCs w:val="22"/>
        </w:rPr>
        <w:t xml:space="preserve">exchange number typically did not know what rates the particular OSP would be charging.  The Commission responded to this problem in the </w:t>
      </w:r>
      <w:r w:rsidRPr="00C846D7" w:rsidR="004A7771">
        <w:rPr>
          <w:i/>
          <w:sz w:val="22"/>
          <w:szCs w:val="22"/>
        </w:rPr>
        <w:t>Second Report and Order</w:t>
      </w:r>
      <w:r w:rsidRPr="00C846D7" w:rsidR="004A7771">
        <w:rPr>
          <w:sz w:val="22"/>
          <w:szCs w:val="22"/>
        </w:rPr>
        <w:t xml:space="preserve"> by adopting price disclosure rules that apply</w:t>
      </w:r>
      <w:r w:rsidRPr="00C846D7" w:rsidR="00234687">
        <w:rPr>
          <w:sz w:val="22"/>
          <w:szCs w:val="22"/>
        </w:rPr>
        <w:t>:</w:t>
      </w:r>
    </w:p>
    <w:p w:rsidRPr="00C846D7" w:rsidR="00564FCF" w:rsidP="00564FCF" w:rsidRDefault="00564FCF">
      <w:pPr>
        <w:ind w:left="360"/>
        <w:rPr>
          <w:sz w:val="22"/>
          <w:szCs w:val="22"/>
        </w:rPr>
      </w:pPr>
    </w:p>
    <w:p w:rsidR="00234687" w:rsidP="00564FCF" w:rsidRDefault="00564FCF">
      <w:pPr>
        <w:ind w:left="360"/>
        <w:rPr>
          <w:sz w:val="22"/>
          <w:szCs w:val="22"/>
        </w:rPr>
      </w:pPr>
      <w:r>
        <w:rPr>
          <w:sz w:val="22"/>
          <w:szCs w:val="22"/>
        </w:rPr>
        <w:tab/>
        <w:t xml:space="preserve">(1) </w:t>
      </w:r>
      <w:r w:rsidRPr="00C846D7" w:rsidR="004A7771">
        <w:rPr>
          <w:sz w:val="22"/>
          <w:szCs w:val="22"/>
        </w:rPr>
        <w:t>to providers of interstate operator services from such phones</w:t>
      </w:r>
      <w:r w:rsidRPr="00C846D7" w:rsidR="00234687">
        <w:rPr>
          <w:sz w:val="22"/>
          <w:szCs w:val="22"/>
        </w:rPr>
        <w:t>,</w:t>
      </w:r>
      <w:r w:rsidRPr="00C846D7" w:rsidR="004A7771">
        <w:rPr>
          <w:sz w:val="22"/>
          <w:szCs w:val="22"/>
        </w:rPr>
        <w:t xml:space="preserve"> and </w:t>
      </w:r>
    </w:p>
    <w:p w:rsidRPr="00C846D7" w:rsidR="00564FCF" w:rsidP="00564FCF" w:rsidRDefault="00564FCF">
      <w:pPr>
        <w:ind w:left="360"/>
        <w:rPr>
          <w:sz w:val="22"/>
          <w:szCs w:val="22"/>
        </w:rPr>
      </w:pPr>
    </w:p>
    <w:p w:rsidRPr="00C846D7" w:rsidR="00234687" w:rsidP="00DD1937" w:rsidRDefault="00564FCF">
      <w:pPr>
        <w:ind w:left="720"/>
        <w:rPr>
          <w:sz w:val="22"/>
          <w:szCs w:val="22"/>
        </w:rPr>
      </w:pPr>
      <w:r>
        <w:rPr>
          <w:sz w:val="22"/>
          <w:szCs w:val="22"/>
        </w:rPr>
        <w:t xml:space="preserve">(2) </w:t>
      </w:r>
      <w:r w:rsidRPr="00C846D7" w:rsidR="004A7771">
        <w:rPr>
          <w:sz w:val="22"/>
          <w:szCs w:val="22"/>
        </w:rPr>
        <w:t xml:space="preserve">to providers of operator services from phones set aside for use by inmates at correctional institutions.  </w:t>
      </w:r>
    </w:p>
    <w:p w:rsidRPr="00C846D7" w:rsidR="00234687" w:rsidP="00234687" w:rsidRDefault="00234687">
      <w:pPr>
        <w:rPr>
          <w:sz w:val="22"/>
          <w:szCs w:val="22"/>
        </w:rPr>
      </w:pPr>
    </w:p>
    <w:p w:rsidRPr="00C846D7" w:rsidR="004A7771" w:rsidP="003B4FC4" w:rsidRDefault="004A7771">
      <w:pPr>
        <w:rPr>
          <w:sz w:val="22"/>
          <w:szCs w:val="22"/>
        </w:rPr>
      </w:pPr>
      <w:r w:rsidRPr="00C846D7">
        <w:rPr>
          <w:sz w:val="22"/>
          <w:szCs w:val="22"/>
        </w:rPr>
        <w:t xml:space="preserve">These rules were designed to ensure that consumers receive sufficient information about the rates for operator services at public phones and other aggregator locations, thereby fostering a more competitive OSP marketplace.  </w:t>
      </w:r>
    </w:p>
    <w:p w:rsidRPr="00C846D7" w:rsidR="004A7771" w:rsidP="003B4FC4" w:rsidRDefault="004A7771">
      <w:pPr>
        <w:tabs>
          <w:tab w:val="num" w:pos="360"/>
        </w:tabs>
        <w:rPr>
          <w:sz w:val="22"/>
          <w:szCs w:val="22"/>
        </w:rPr>
      </w:pPr>
    </w:p>
    <w:p w:rsidRPr="00C846D7" w:rsidR="00730176" w:rsidP="003B4FC4" w:rsidRDefault="00A94EA0">
      <w:pPr>
        <w:rPr>
          <w:sz w:val="22"/>
          <w:szCs w:val="22"/>
        </w:rPr>
      </w:pPr>
      <w:r>
        <w:rPr>
          <w:sz w:val="22"/>
          <w:szCs w:val="22"/>
        </w:rPr>
        <w:t>In</w:t>
      </w:r>
      <w:r w:rsidRPr="00C846D7" w:rsidR="004A7771">
        <w:rPr>
          <w:sz w:val="22"/>
          <w:szCs w:val="22"/>
        </w:rPr>
        <w:t xml:space="preserve"> 2001, the Commission adopted a </w:t>
      </w:r>
      <w:r w:rsidRPr="00C846D7" w:rsidR="004A7771">
        <w:rPr>
          <w:i/>
          <w:sz w:val="22"/>
          <w:szCs w:val="22"/>
        </w:rPr>
        <w:t>Second Order on Reconsideration</w:t>
      </w:r>
      <w:r w:rsidRPr="00C846D7" w:rsidR="004A7771">
        <w:rPr>
          <w:sz w:val="22"/>
          <w:szCs w:val="22"/>
        </w:rPr>
        <w:t>, CC Docket 92-77, FCC 01-355, released December 12, 2001</w:t>
      </w:r>
      <w:r w:rsidRPr="00C846D7" w:rsidR="00730176">
        <w:rPr>
          <w:sz w:val="22"/>
          <w:szCs w:val="22"/>
        </w:rPr>
        <w:t xml:space="preserve">.  The </w:t>
      </w:r>
      <w:r w:rsidRPr="00C846D7" w:rsidR="00730176">
        <w:rPr>
          <w:i/>
          <w:sz w:val="22"/>
          <w:szCs w:val="22"/>
        </w:rPr>
        <w:t>Second Order on Reconsideration</w:t>
      </w:r>
      <w:r>
        <w:rPr>
          <w:i/>
          <w:sz w:val="22"/>
          <w:szCs w:val="22"/>
        </w:rPr>
        <w:t xml:space="preserve"> </w:t>
      </w:r>
      <w:r w:rsidRPr="00C846D7" w:rsidR="004A7771">
        <w:rPr>
          <w:sz w:val="22"/>
          <w:szCs w:val="22"/>
        </w:rPr>
        <w:t>affirm</w:t>
      </w:r>
      <w:r w:rsidRPr="00C846D7" w:rsidR="00730176">
        <w:rPr>
          <w:sz w:val="22"/>
          <w:szCs w:val="22"/>
        </w:rPr>
        <w:t>ed</w:t>
      </w:r>
      <w:r w:rsidRPr="00C846D7" w:rsidR="004A7771">
        <w:rPr>
          <w:sz w:val="22"/>
          <w:szCs w:val="22"/>
        </w:rPr>
        <w:t xml:space="preserve"> rules and dispose</w:t>
      </w:r>
      <w:r w:rsidR="00E9416E">
        <w:rPr>
          <w:sz w:val="22"/>
          <w:szCs w:val="22"/>
        </w:rPr>
        <w:t>d</w:t>
      </w:r>
      <w:r w:rsidRPr="00C846D7" w:rsidR="004A7771">
        <w:rPr>
          <w:sz w:val="22"/>
          <w:szCs w:val="22"/>
        </w:rPr>
        <w:t xml:space="preserve"> of outstanding petitions for reconsideration. </w:t>
      </w:r>
      <w:r w:rsidR="00DF1261">
        <w:rPr>
          <w:sz w:val="22"/>
          <w:szCs w:val="22"/>
        </w:rPr>
        <w:t xml:space="preserve"> </w:t>
      </w:r>
      <w:r w:rsidRPr="00C846D7" w:rsidR="004A7771">
        <w:rPr>
          <w:sz w:val="22"/>
          <w:szCs w:val="22"/>
        </w:rPr>
        <w:t>The Commission also made several minor modifications and clarifications to the rules</w:t>
      </w:r>
      <w:r w:rsidR="00B21118">
        <w:rPr>
          <w:sz w:val="22"/>
          <w:szCs w:val="22"/>
        </w:rPr>
        <w:t>.  Specifically:</w:t>
      </w:r>
    </w:p>
    <w:p w:rsidRPr="00C846D7" w:rsidR="00730176" w:rsidP="00DE671B" w:rsidRDefault="00730176">
      <w:pPr>
        <w:tabs>
          <w:tab w:val="num" w:pos="360"/>
        </w:tabs>
        <w:ind w:left="360"/>
        <w:rPr>
          <w:sz w:val="22"/>
          <w:szCs w:val="22"/>
        </w:rPr>
      </w:pPr>
    </w:p>
    <w:p w:rsidRPr="00C846D7" w:rsidR="00730176" w:rsidP="00CB71C6" w:rsidRDefault="004A7771">
      <w:pPr>
        <w:numPr>
          <w:ilvl w:val="1"/>
          <w:numId w:val="12"/>
        </w:numPr>
        <w:tabs>
          <w:tab w:val="clear" w:pos="1440"/>
          <w:tab w:val="num" w:pos="1080"/>
        </w:tabs>
        <w:ind w:left="1080"/>
        <w:rPr>
          <w:sz w:val="22"/>
          <w:szCs w:val="22"/>
        </w:rPr>
      </w:pPr>
      <w:r w:rsidRPr="00C846D7">
        <w:rPr>
          <w:sz w:val="22"/>
          <w:szCs w:val="22"/>
        </w:rPr>
        <w:t>the Commission clarified that the price disclosure rules apply to all interstate non-access code operator service calls, even those that are initiated by dialing 0</w:t>
      </w:r>
      <w:r w:rsidRPr="00C846D7" w:rsidR="002C2CB8">
        <w:rPr>
          <w:sz w:val="22"/>
          <w:szCs w:val="22"/>
        </w:rPr>
        <w:t>+</w:t>
      </w:r>
      <w:r w:rsidRPr="00C846D7">
        <w:rPr>
          <w:sz w:val="22"/>
          <w:szCs w:val="22"/>
        </w:rPr>
        <w:t>, if the consumer will be liable for interstate</w:t>
      </w:r>
      <w:r w:rsidRPr="00C846D7" w:rsidR="00677A12">
        <w:rPr>
          <w:sz w:val="22"/>
          <w:szCs w:val="22"/>
        </w:rPr>
        <w:t xml:space="preserve"> operator service charges for such calls</w:t>
      </w:r>
      <w:r w:rsidR="00F830E5">
        <w:rPr>
          <w:sz w:val="22"/>
          <w:szCs w:val="22"/>
        </w:rPr>
        <w:t>;</w:t>
      </w:r>
      <w:r w:rsidRPr="00C846D7" w:rsidR="00677A12">
        <w:rPr>
          <w:sz w:val="22"/>
          <w:szCs w:val="22"/>
        </w:rPr>
        <w:t xml:space="preserve">  </w:t>
      </w:r>
    </w:p>
    <w:p w:rsidRPr="00C846D7" w:rsidR="00730176" w:rsidP="00730176" w:rsidRDefault="00730176">
      <w:pPr>
        <w:ind w:left="360"/>
        <w:rPr>
          <w:sz w:val="22"/>
          <w:szCs w:val="22"/>
        </w:rPr>
      </w:pPr>
    </w:p>
    <w:p w:rsidR="007F3ECA" w:rsidP="00CB71C6" w:rsidRDefault="00B21118">
      <w:pPr>
        <w:numPr>
          <w:ilvl w:val="1"/>
          <w:numId w:val="12"/>
        </w:numPr>
        <w:tabs>
          <w:tab w:val="clear" w:pos="1440"/>
          <w:tab w:val="num" w:pos="1080"/>
        </w:tabs>
        <w:ind w:left="1080"/>
        <w:rPr>
          <w:sz w:val="22"/>
          <w:szCs w:val="22"/>
        </w:rPr>
      </w:pPr>
      <w:r>
        <w:rPr>
          <w:sz w:val="22"/>
          <w:szCs w:val="22"/>
        </w:rPr>
        <w:t>t</w:t>
      </w:r>
      <w:r w:rsidRPr="00C846D7" w:rsidR="00677A12">
        <w:rPr>
          <w:sz w:val="22"/>
          <w:szCs w:val="22"/>
        </w:rPr>
        <w:t xml:space="preserve">he Commission </w:t>
      </w:r>
      <w:r w:rsidRPr="00C846D7" w:rsidR="00730176">
        <w:rPr>
          <w:sz w:val="22"/>
          <w:szCs w:val="22"/>
        </w:rPr>
        <w:t xml:space="preserve">also </w:t>
      </w:r>
      <w:r w:rsidRPr="00C846D7" w:rsidR="00677A12">
        <w:rPr>
          <w:sz w:val="22"/>
          <w:szCs w:val="22"/>
        </w:rPr>
        <w:t>confirm</w:t>
      </w:r>
      <w:r w:rsidRPr="00C846D7" w:rsidR="00730176">
        <w:rPr>
          <w:sz w:val="22"/>
          <w:szCs w:val="22"/>
        </w:rPr>
        <w:t>ed</w:t>
      </w:r>
      <w:r w:rsidRPr="00C846D7" w:rsidR="00677A12">
        <w:rPr>
          <w:sz w:val="22"/>
          <w:szCs w:val="22"/>
        </w:rPr>
        <w:t xml:space="preserve"> that section 226 of the Communications Act requires price disclosure for all interstate non-access code operator service calls</w:t>
      </w:r>
      <w:r w:rsidRPr="00C846D7" w:rsidR="00730176">
        <w:rPr>
          <w:sz w:val="22"/>
          <w:szCs w:val="22"/>
        </w:rPr>
        <w:t>,</w:t>
      </w:r>
      <w:r w:rsidRPr="00C846D7" w:rsidR="00677A12">
        <w:rPr>
          <w:sz w:val="22"/>
          <w:szCs w:val="22"/>
        </w:rPr>
        <w:t xml:space="preserve"> and therefore declin</w:t>
      </w:r>
      <w:r w:rsidRPr="00C846D7" w:rsidR="00730176">
        <w:rPr>
          <w:sz w:val="22"/>
          <w:szCs w:val="22"/>
        </w:rPr>
        <w:t>ed</w:t>
      </w:r>
      <w:r w:rsidRPr="00C846D7" w:rsidR="00677A12">
        <w:rPr>
          <w:sz w:val="22"/>
          <w:szCs w:val="22"/>
        </w:rPr>
        <w:t xml:space="preserve"> to exempt interstate intra</w:t>
      </w:r>
      <w:r w:rsidRPr="00C846D7" w:rsidR="001978E6">
        <w:rPr>
          <w:sz w:val="22"/>
          <w:szCs w:val="22"/>
        </w:rPr>
        <w:t>-</w:t>
      </w:r>
      <w:r w:rsidRPr="00C846D7" w:rsidR="00677A12">
        <w:rPr>
          <w:sz w:val="22"/>
          <w:szCs w:val="22"/>
        </w:rPr>
        <w:t>LATA toll calls from the price disclosure obligation under the Commission</w:t>
      </w:r>
      <w:r>
        <w:rPr>
          <w:sz w:val="22"/>
          <w:szCs w:val="22"/>
        </w:rPr>
        <w:t>’s</w:t>
      </w:r>
      <w:r w:rsidRPr="00C846D7" w:rsidR="00677A12">
        <w:rPr>
          <w:sz w:val="22"/>
          <w:szCs w:val="22"/>
        </w:rPr>
        <w:t xml:space="preserve"> rules</w:t>
      </w:r>
      <w:r w:rsidR="00F830E5">
        <w:rPr>
          <w:sz w:val="22"/>
          <w:szCs w:val="22"/>
        </w:rPr>
        <w:t>;</w:t>
      </w:r>
      <w:r w:rsidRPr="00C846D7" w:rsidR="00677A12">
        <w:rPr>
          <w:sz w:val="22"/>
          <w:szCs w:val="22"/>
        </w:rPr>
        <w:t xml:space="preserve">  </w:t>
      </w:r>
    </w:p>
    <w:p w:rsidR="00021C9A" w:rsidP="00021C9A" w:rsidRDefault="00021C9A">
      <w:pPr>
        <w:ind w:left="1080"/>
        <w:rPr>
          <w:sz w:val="22"/>
          <w:szCs w:val="22"/>
        </w:rPr>
      </w:pPr>
    </w:p>
    <w:p w:rsidR="000801BC" w:rsidP="00B21118" w:rsidRDefault="00B21118">
      <w:pPr>
        <w:numPr>
          <w:ilvl w:val="1"/>
          <w:numId w:val="12"/>
        </w:numPr>
        <w:tabs>
          <w:tab w:val="clear" w:pos="1440"/>
          <w:tab w:val="num" w:pos="1080"/>
        </w:tabs>
        <w:ind w:left="1080"/>
        <w:rPr>
          <w:sz w:val="22"/>
          <w:szCs w:val="22"/>
        </w:rPr>
      </w:pPr>
      <w:r w:rsidRPr="00021C9A">
        <w:rPr>
          <w:sz w:val="22"/>
          <w:szCs w:val="22"/>
        </w:rPr>
        <w:t>t</w:t>
      </w:r>
      <w:r w:rsidRPr="00021C9A" w:rsidR="00677A12">
        <w:rPr>
          <w:sz w:val="22"/>
          <w:szCs w:val="22"/>
        </w:rPr>
        <w:t xml:space="preserve">he Commission also clarified that the disclosure of price information is limited to those </w:t>
      </w:r>
      <w:r w:rsidRPr="00021C9A">
        <w:rPr>
          <w:sz w:val="22"/>
          <w:szCs w:val="22"/>
        </w:rPr>
        <w:t>ch</w:t>
      </w:r>
      <w:r w:rsidRPr="00021C9A" w:rsidR="00677A12">
        <w:rPr>
          <w:sz w:val="22"/>
          <w:szCs w:val="22"/>
        </w:rPr>
        <w:t>arges that are billed by, or on behalf of, the interstate operator service provider and amended</w:t>
      </w:r>
      <w:r w:rsidR="008D0118">
        <w:rPr>
          <w:sz w:val="22"/>
          <w:szCs w:val="22"/>
        </w:rPr>
        <w:t xml:space="preserve"> </w:t>
      </w:r>
      <w:r w:rsidRPr="00021C9A" w:rsidR="00677A12">
        <w:rPr>
          <w:sz w:val="22"/>
          <w:szCs w:val="22"/>
        </w:rPr>
        <w:t>the rules accordingly</w:t>
      </w:r>
      <w:r w:rsidRPr="00021C9A" w:rsidR="00F830E5">
        <w:rPr>
          <w:sz w:val="22"/>
          <w:szCs w:val="22"/>
        </w:rPr>
        <w:t>;</w:t>
      </w:r>
      <w:r w:rsidRPr="00021C9A" w:rsidR="00677A12">
        <w:rPr>
          <w:sz w:val="22"/>
          <w:szCs w:val="22"/>
        </w:rPr>
        <w:t xml:space="preserve">  </w:t>
      </w:r>
    </w:p>
    <w:p w:rsidR="00021C9A" w:rsidP="00021C9A" w:rsidRDefault="00021C9A">
      <w:pPr>
        <w:ind w:left="1080"/>
        <w:rPr>
          <w:sz w:val="22"/>
          <w:szCs w:val="22"/>
        </w:rPr>
      </w:pPr>
    </w:p>
    <w:p w:rsidR="000801BC" w:rsidP="00021C9A" w:rsidRDefault="00E702AA">
      <w:pPr>
        <w:numPr>
          <w:ilvl w:val="1"/>
          <w:numId w:val="12"/>
        </w:numPr>
        <w:tabs>
          <w:tab w:val="clear" w:pos="1440"/>
          <w:tab w:val="num" w:pos="1080"/>
        </w:tabs>
        <w:ind w:left="1080"/>
        <w:rPr>
          <w:sz w:val="22"/>
          <w:szCs w:val="22"/>
        </w:rPr>
      </w:pPr>
      <w:r w:rsidRPr="00021C9A">
        <w:rPr>
          <w:sz w:val="22"/>
          <w:szCs w:val="22"/>
        </w:rPr>
        <w:t xml:space="preserve">the Commission </w:t>
      </w:r>
      <w:r w:rsidRPr="00021C9A" w:rsidR="0090614B">
        <w:rPr>
          <w:sz w:val="22"/>
          <w:szCs w:val="22"/>
        </w:rPr>
        <w:t xml:space="preserve">also </w:t>
      </w:r>
      <w:r w:rsidRPr="00021C9A">
        <w:rPr>
          <w:sz w:val="22"/>
          <w:szCs w:val="22"/>
        </w:rPr>
        <w:t xml:space="preserve">retained the requirement that oral rate information must be provided to both parties on a collect call in </w:t>
      </w:r>
      <w:r w:rsidRPr="00021C9A" w:rsidR="00677A12">
        <w:rPr>
          <w:sz w:val="22"/>
          <w:szCs w:val="22"/>
        </w:rPr>
        <w:t xml:space="preserve">view of the statutory definition of “consumer” in the context of </w:t>
      </w:r>
      <w:r w:rsidRPr="00021C9A" w:rsidR="0090614B">
        <w:rPr>
          <w:sz w:val="22"/>
          <w:szCs w:val="22"/>
        </w:rPr>
        <w:t>o</w:t>
      </w:r>
      <w:r w:rsidRPr="00021C9A" w:rsidR="00677A12">
        <w:rPr>
          <w:sz w:val="22"/>
          <w:szCs w:val="22"/>
        </w:rPr>
        <w:t>perator services</w:t>
      </w:r>
      <w:r w:rsidRPr="00021C9A" w:rsidR="00F830E5">
        <w:rPr>
          <w:sz w:val="22"/>
          <w:szCs w:val="22"/>
        </w:rPr>
        <w:t>;</w:t>
      </w:r>
      <w:r w:rsidRPr="00021C9A" w:rsidR="00677A12">
        <w:rPr>
          <w:sz w:val="22"/>
          <w:szCs w:val="22"/>
        </w:rPr>
        <w:t xml:space="preserve"> </w:t>
      </w:r>
    </w:p>
    <w:p w:rsidR="00021C9A" w:rsidP="00021C9A" w:rsidRDefault="00021C9A">
      <w:pPr>
        <w:ind w:left="1080"/>
        <w:rPr>
          <w:sz w:val="22"/>
          <w:szCs w:val="22"/>
        </w:rPr>
      </w:pPr>
    </w:p>
    <w:p w:rsidRPr="008D0118" w:rsidR="000801BC" w:rsidP="008D0118" w:rsidRDefault="00F830E5">
      <w:pPr>
        <w:numPr>
          <w:ilvl w:val="1"/>
          <w:numId w:val="12"/>
        </w:numPr>
        <w:tabs>
          <w:tab w:val="clear" w:pos="1440"/>
          <w:tab w:val="num" w:pos="1080"/>
        </w:tabs>
        <w:ind w:left="1080"/>
        <w:rPr>
          <w:sz w:val="22"/>
          <w:szCs w:val="22"/>
        </w:rPr>
      </w:pPr>
      <w:r w:rsidRPr="00021C9A">
        <w:rPr>
          <w:sz w:val="22"/>
          <w:szCs w:val="22"/>
        </w:rPr>
        <w:t xml:space="preserve">lastly, </w:t>
      </w:r>
      <w:r w:rsidRPr="00021C9A" w:rsidR="00677A12">
        <w:rPr>
          <w:sz w:val="22"/>
          <w:szCs w:val="22"/>
        </w:rPr>
        <w:t xml:space="preserve">the Commission amended the rules to reflect the finding in the </w:t>
      </w:r>
      <w:r w:rsidRPr="00021C9A" w:rsidR="00677A12">
        <w:rPr>
          <w:i/>
          <w:sz w:val="22"/>
          <w:szCs w:val="22"/>
        </w:rPr>
        <w:t>Second Report and</w:t>
      </w:r>
      <w:r w:rsidR="00E97411">
        <w:rPr>
          <w:i/>
          <w:sz w:val="22"/>
          <w:szCs w:val="22"/>
        </w:rPr>
        <w:t xml:space="preserve"> </w:t>
      </w:r>
      <w:r w:rsidRPr="00021C9A" w:rsidR="00677A12">
        <w:rPr>
          <w:i/>
          <w:sz w:val="22"/>
          <w:szCs w:val="22"/>
        </w:rPr>
        <w:t>Order</w:t>
      </w:r>
      <w:r w:rsidRPr="00021C9A" w:rsidR="00677A12">
        <w:rPr>
          <w:sz w:val="22"/>
          <w:szCs w:val="22"/>
        </w:rPr>
        <w:t xml:space="preserve"> that, in a bill-to-third-number situation, the rate disclosure</w:t>
      </w:r>
      <w:r w:rsidRPr="00021C9A" w:rsidR="007F3ECA">
        <w:rPr>
          <w:sz w:val="22"/>
          <w:szCs w:val="22"/>
        </w:rPr>
        <w:t xml:space="preserve"> option must be offered to </w:t>
      </w:r>
      <w:r w:rsidRPr="00021C9A" w:rsidR="007F3ECA">
        <w:rPr>
          <w:sz w:val="22"/>
          <w:szCs w:val="22"/>
        </w:rPr>
        <w:lastRenderedPageBreak/>
        <w:t xml:space="preserve">the </w:t>
      </w:r>
      <w:r w:rsidRPr="008D0118" w:rsidR="007F3ECA">
        <w:rPr>
          <w:sz w:val="22"/>
          <w:szCs w:val="22"/>
        </w:rPr>
        <w:t>party to be billed, if the OSP contacts that person to secure approval for billing, as well as to the</w:t>
      </w:r>
      <w:r w:rsidR="008D0118">
        <w:rPr>
          <w:sz w:val="22"/>
          <w:szCs w:val="22"/>
        </w:rPr>
        <w:t xml:space="preserve"> </w:t>
      </w:r>
      <w:r w:rsidRPr="008D0118" w:rsidR="007F3ECA">
        <w:rPr>
          <w:sz w:val="22"/>
          <w:szCs w:val="22"/>
        </w:rPr>
        <w:t xml:space="preserve">caller.  </w:t>
      </w:r>
    </w:p>
    <w:p w:rsidR="009F1771" w:rsidP="003B4FC4" w:rsidRDefault="009F1771">
      <w:pPr>
        <w:rPr>
          <w:sz w:val="22"/>
          <w:szCs w:val="22"/>
        </w:rPr>
      </w:pPr>
    </w:p>
    <w:p w:rsidR="009C3B0B" w:rsidP="003B4FC4" w:rsidRDefault="007F3ECA">
      <w:pPr>
        <w:rPr>
          <w:sz w:val="22"/>
          <w:szCs w:val="22"/>
        </w:rPr>
      </w:pPr>
      <w:r w:rsidRPr="00C846D7">
        <w:rPr>
          <w:sz w:val="22"/>
          <w:szCs w:val="22"/>
        </w:rPr>
        <w:t xml:space="preserve">These minor clarifications and changes </w:t>
      </w:r>
      <w:r w:rsidR="00B238C3">
        <w:rPr>
          <w:sz w:val="22"/>
          <w:szCs w:val="22"/>
        </w:rPr>
        <w:t>help</w:t>
      </w:r>
      <w:r w:rsidRPr="00C846D7">
        <w:rPr>
          <w:sz w:val="22"/>
          <w:szCs w:val="22"/>
        </w:rPr>
        <w:t xml:space="preserve"> consumers take advantage of competition in the operator services marketplace, while minimizing administrative burdens.</w:t>
      </w:r>
    </w:p>
    <w:p w:rsidR="009C3B0B" w:rsidP="003B4FC4" w:rsidRDefault="009C3B0B">
      <w:pPr>
        <w:rPr>
          <w:sz w:val="22"/>
          <w:szCs w:val="22"/>
        </w:rPr>
      </w:pPr>
    </w:p>
    <w:p w:rsidR="005155A0" w:rsidP="003B4FC4" w:rsidRDefault="005155A0">
      <w:pPr>
        <w:rPr>
          <w:sz w:val="22"/>
          <w:szCs w:val="22"/>
        </w:rPr>
      </w:pPr>
      <w:r w:rsidRPr="00C75A45">
        <w:rPr>
          <w:sz w:val="22"/>
          <w:szCs w:val="22"/>
        </w:rPr>
        <w:t>Therefore, the information collection requirements that are a</w:t>
      </w:r>
      <w:r w:rsidR="008D2C49">
        <w:rPr>
          <w:sz w:val="22"/>
          <w:szCs w:val="22"/>
        </w:rPr>
        <w:t xml:space="preserve"> </w:t>
      </w:r>
      <w:r w:rsidRPr="00C75A45">
        <w:rPr>
          <w:sz w:val="22"/>
          <w:szCs w:val="22"/>
        </w:rPr>
        <w:t>part of this information collection are as follows:</w:t>
      </w:r>
    </w:p>
    <w:p w:rsidRPr="00C846D7" w:rsidR="005155A0" w:rsidP="003B4FC4" w:rsidRDefault="005155A0">
      <w:pPr>
        <w:rPr>
          <w:sz w:val="22"/>
          <w:szCs w:val="22"/>
        </w:rPr>
      </w:pPr>
    </w:p>
    <w:p w:rsidRPr="00C846D7" w:rsidR="00DF4149" w:rsidP="003B4FC4" w:rsidRDefault="009C3B0B">
      <w:pPr>
        <w:rPr>
          <w:sz w:val="22"/>
          <w:szCs w:val="22"/>
        </w:rPr>
      </w:pPr>
      <w:r w:rsidRPr="00EF581C">
        <w:rPr>
          <w:sz w:val="22"/>
          <w:szCs w:val="22"/>
        </w:rPr>
        <w:t>47 CFR §</w:t>
      </w:r>
      <w:r>
        <w:rPr>
          <w:sz w:val="22"/>
          <w:szCs w:val="22"/>
        </w:rPr>
        <w:t xml:space="preserve"> </w:t>
      </w:r>
      <w:r w:rsidRPr="00C846D7" w:rsidR="00DF4149">
        <w:rPr>
          <w:sz w:val="22"/>
          <w:szCs w:val="22"/>
        </w:rPr>
        <w:t>64.703(a)(1)</w:t>
      </w:r>
      <w:r w:rsidRPr="00C846D7" w:rsidR="00F25298">
        <w:rPr>
          <w:sz w:val="22"/>
          <w:szCs w:val="22"/>
        </w:rPr>
        <w:t>-</w:t>
      </w:r>
      <w:r w:rsidRPr="00C846D7" w:rsidR="00DF4149">
        <w:rPr>
          <w:sz w:val="22"/>
          <w:szCs w:val="22"/>
        </w:rPr>
        <w:t>(3)</w:t>
      </w:r>
      <w:r w:rsidR="00BE484B">
        <w:rPr>
          <w:sz w:val="22"/>
          <w:szCs w:val="22"/>
        </w:rPr>
        <w:t xml:space="preserve"> of the Commission’s rules</w:t>
      </w:r>
      <w:r w:rsidRPr="00C846D7" w:rsidR="00DF4149">
        <w:rPr>
          <w:sz w:val="22"/>
          <w:szCs w:val="22"/>
        </w:rPr>
        <w:t xml:space="preserve"> require</w:t>
      </w:r>
      <w:r w:rsidR="005155A0">
        <w:rPr>
          <w:sz w:val="22"/>
          <w:szCs w:val="22"/>
        </w:rPr>
        <w:t>s</w:t>
      </w:r>
      <w:r w:rsidRPr="00C846D7" w:rsidR="00DF4149">
        <w:rPr>
          <w:sz w:val="22"/>
          <w:szCs w:val="22"/>
        </w:rPr>
        <w:t xml:space="preserve"> that </w:t>
      </w:r>
      <w:r>
        <w:rPr>
          <w:sz w:val="22"/>
          <w:szCs w:val="22"/>
        </w:rPr>
        <w:t>OSPs</w:t>
      </w:r>
      <w:r w:rsidR="00E9416E">
        <w:rPr>
          <w:sz w:val="22"/>
          <w:szCs w:val="22"/>
        </w:rPr>
        <w:t xml:space="preserve"> </w:t>
      </w:r>
      <w:r w:rsidRPr="00C846D7" w:rsidR="00DF4149">
        <w:rPr>
          <w:sz w:val="22"/>
          <w:szCs w:val="22"/>
        </w:rPr>
        <w:t>disclose their identity, and upon request by the consumer, the rates for the call, collection methods for the charges, and complain</w:t>
      </w:r>
      <w:r w:rsidRPr="00C846D7" w:rsidR="00C14703">
        <w:rPr>
          <w:sz w:val="22"/>
          <w:szCs w:val="22"/>
        </w:rPr>
        <w:t>t</w:t>
      </w:r>
      <w:r w:rsidRPr="00C846D7" w:rsidR="00DF4149">
        <w:rPr>
          <w:sz w:val="22"/>
          <w:szCs w:val="22"/>
        </w:rPr>
        <w:t xml:space="preserve"> procedures</w:t>
      </w:r>
      <w:r>
        <w:rPr>
          <w:sz w:val="22"/>
          <w:szCs w:val="22"/>
        </w:rPr>
        <w:t xml:space="preserve">.  </w:t>
      </w:r>
      <w:r w:rsidRPr="00C846D7" w:rsidR="00DF4149">
        <w:rPr>
          <w:sz w:val="22"/>
          <w:szCs w:val="22"/>
        </w:rPr>
        <w:t xml:space="preserve">A provider of operator services is required to identify itself, audibly and distinctly, to both the calling party and the called party. </w:t>
      </w:r>
      <w:r>
        <w:rPr>
          <w:sz w:val="22"/>
          <w:szCs w:val="22"/>
        </w:rPr>
        <w:t xml:space="preserve"> </w:t>
      </w:r>
      <w:r w:rsidRPr="00C846D7" w:rsidR="00DF4149">
        <w:rPr>
          <w:sz w:val="22"/>
          <w:szCs w:val="22"/>
        </w:rPr>
        <w:t xml:space="preserve">This requirement was </w:t>
      </w:r>
      <w:r w:rsidR="00E9416E">
        <w:rPr>
          <w:sz w:val="22"/>
          <w:szCs w:val="22"/>
        </w:rPr>
        <w:t>in</w:t>
      </w:r>
      <w:r w:rsidRPr="00C846D7" w:rsidR="00DF4149">
        <w:rPr>
          <w:sz w:val="22"/>
          <w:szCs w:val="22"/>
        </w:rPr>
        <w:t xml:space="preserve"> response to </w:t>
      </w:r>
      <w:r w:rsidR="00E82A4B">
        <w:rPr>
          <w:sz w:val="22"/>
          <w:szCs w:val="22"/>
        </w:rPr>
        <w:t>the</w:t>
      </w:r>
      <w:r w:rsidRPr="00C846D7" w:rsidR="00DF4149">
        <w:rPr>
          <w:sz w:val="22"/>
          <w:szCs w:val="22"/>
        </w:rPr>
        <w:t xml:space="preserve"> failure of operator service providers to disclose information necessary for informed consumer choice in the marketplace.</w:t>
      </w:r>
    </w:p>
    <w:p w:rsidRPr="00C846D7" w:rsidR="00A1575A" w:rsidP="003B4FC4" w:rsidRDefault="00A1575A">
      <w:pPr>
        <w:tabs>
          <w:tab w:val="num" w:pos="360"/>
        </w:tabs>
        <w:rPr>
          <w:sz w:val="22"/>
          <w:szCs w:val="22"/>
        </w:rPr>
      </w:pPr>
    </w:p>
    <w:p w:rsidRPr="00C846D7" w:rsidR="00A226A3" w:rsidP="003B4FC4" w:rsidRDefault="005155A0">
      <w:pPr>
        <w:tabs>
          <w:tab w:val="num" w:pos="360"/>
          <w:tab w:val="left" w:pos="720"/>
        </w:tabs>
        <w:rPr>
          <w:sz w:val="22"/>
          <w:szCs w:val="22"/>
        </w:rPr>
      </w:pPr>
      <w:r w:rsidRPr="00C75A45">
        <w:rPr>
          <w:sz w:val="22"/>
          <w:szCs w:val="22"/>
        </w:rPr>
        <w:t>47 CFR</w:t>
      </w:r>
      <w:r w:rsidRPr="00C75A45" w:rsidR="00A226A3">
        <w:rPr>
          <w:sz w:val="22"/>
          <w:szCs w:val="22"/>
        </w:rPr>
        <w:t xml:space="preserve"> </w:t>
      </w:r>
      <w:r w:rsidRPr="00C75A45">
        <w:rPr>
          <w:sz w:val="22"/>
          <w:szCs w:val="22"/>
        </w:rPr>
        <w:t xml:space="preserve">§ </w:t>
      </w:r>
      <w:r w:rsidRPr="00C75A45" w:rsidR="00A226A3">
        <w:rPr>
          <w:sz w:val="22"/>
          <w:szCs w:val="22"/>
        </w:rPr>
        <w:t>64.703(a)(4)</w:t>
      </w:r>
      <w:r>
        <w:rPr>
          <w:sz w:val="22"/>
          <w:szCs w:val="22"/>
        </w:rPr>
        <w:t xml:space="preserve"> of the Commission’s rules requires</w:t>
      </w:r>
      <w:r w:rsidRPr="00C846D7" w:rsidR="00A226A3">
        <w:rPr>
          <w:sz w:val="22"/>
          <w:szCs w:val="22"/>
        </w:rPr>
        <w:t xml:space="preserve"> OSPs to disclose orally to away-from-home callers, at no cost to such callers, how they may obtain all applicable charges for a call placed through an OSP, without the caller having to hang up to dial a separate number.  The rule is intended to make </w:t>
      </w:r>
      <w:r w:rsidRPr="00C846D7" w:rsidR="00A82A9B">
        <w:rPr>
          <w:sz w:val="22"/>
          <w:szCs w:val="22"/>
        </w:rPr>
        <w:t xml:space="preserve">it </w:t>
      </w:r>
      <w:r w:rsidRPr="00C846D7" w:rsidR="00A226A3">
        <w:rPr>
          <w:sz w:val="22"/>
          <w:szCs w:val="22"/>
        </w:rPr>
        <w:t xml:space="preserve">easier for callers using operator services at pay phones, hotels and other call aggregator locations to immediately obtain the total cost of making a call using the carrier selected by the pay phone or premises owner before the call is made.  </w:t>
      </w:r>
      <w:r w:rsidR="00BE19A3">
        <w:rPr>
          <w:sz w:val="22"/>
          <w:szCs w:val="22"/>
        </w:rPr>
        <w:t>Furthermore, s</w:t>
      </w:r>
      <w:r w:rsidRPr="00C846D7" w:rsidR="00A226A3">
        <w:rPr>
          <w:sz w:val="22"/>
          <w:szCs w:val="22"/>
        </w:rPr>
        <w:t>ection 64.703(a)(4) requires each OSP to disclose, audibly and distinctly to the consumer, at no charge and before connecting any interstate call, how to obtain rate quotations, including any applicable surcharges, if the call is to be placed through the carrier selected by the payphone or premises owner.</w:t>
      </w:r>
    </w:p>
    <w:p w:rsidRPr="00C846D7" w:rsidR="00A226A3" w:rsidP="003B4FC4" w:rsidRDefault="00A226A3">
      <w:pPr>
        <w:tabs>
          <w:tab w:val="num" w:pos="360"/>
        </w:tabs>
        <w:rPr>
          <w:sz w:val="22"/>
          <w:szCs w:val="22"/>
        </w:rPr>
      </w:pPr>
    </w:p>
    <w:p w:rsidRPr="00C846D7" w:rsidR="00192465" w:rsidP="003B4FC4" w:rsidRDefault="00E82A4B">
      <w:pPr>
        <w:tabs>
          <w:tab w:val="left" w:pos="720"/>
        </w:tabs>
        <w:rPr>
          <w:sz w:val="22"/>
          <w:szCs w:val="22"/>
        </w:rPr>
      </w:pPr>
      <w:r>
        <w:rPr>
          <w:sz w:val="22"/>
          <w:szCs w:val="22"/>
        </w:rPr>
        <w:t xml:space="preserve">47 CFR § 64.709 of the </w:t>
      </w:r>
      <w:r w:rsidRPr="00C846D7">
        <w:rPr>
          <w:sz w:val="22"/>
          <w:szCs w:val="22"/>
        </w:rPr>
        <w:t>Commission</w:t>
      </w:r>
      <w:r>
        <w:rPr>
          <w:sz w:val="22"/>
          <w:szCs w:val="22"/>
        </w:rPr>
        <w:t xml:space="preserve">’s rules </w:t>
      </w:r>
      <w:r w:rsidR="00011030">
        <w:rPr>
          <w:sz w:val="22"/>
          <w:szCs w:val="22"/>
        </w:rPr>
        <w:t xml:space="preserve">codifies </w:t>
      </w:r>
      <w:r>
        <w:rPr>
          <w:sz w:val="22"/>
          <w:szCs w:val="22"/>
        </w:rPr>
        <w:t>OSP informational tariff filings.</w:t>
      </w:r>
      <w:r w:rsidRPr="00C75A45" w:rsidR="005155A0">
        <w:rPr>
          <w:rStyle w:val="FootnoteReference"/>
          <w:sz w:val="22"/>
          <w:szCs w:val="22"/>
        </w:rPr>
        <w:footnoteReference w:id="2"/>
      </w:r>
      <w:r w:rsidRPr="00C846D7">
        <w:rPr>
          <w:sz w:val="22"/>
          <w:szCs w:val="22"/>
        </w:rPr>
        <w:t xml:space="preserve"> </w:t>
      </w:r>
      <w:r>
        <w:rPr>
          <w:sz w:val="22"/>
          <w:szCs w:val="22"/>
        </w:rPr>
        <w:t xml:space="preserve"> </w:t>
      </w:r>
      <w:r w:rsidRPr="00C846D7" w:rsidR="00A80562">
        <w:rPr>
          <w:sz w:val="22"/>
          <w:szCs w:val="22"/>
        </w:rPr>
        <w:t xml:space="preserve">The Commission </w:t>
      </w:r>
      <w:r>
        <w:rPr>
          <w:sz w:val="22"/>
          <w:szCs w:val="22"/>
        </w:rPr>
        <w:t xml:space="preserve">also </w:t>
      </w:r>
      <w:r w:rsidRPr="00C846D7" w:rsidR="00A80562">
        <w:rPr>
          <w:sz w:val="22"/>
          <w:szCs w:val="22"/>
        </w:rPr>
        <w:t>amended the rules to increase the usefulness of informational tariffs by requiring that such tariffs include specific rates expressed in dollars and cents as well as applicable per-call aggregator surcharges or per-call fees, if any, that are collected from consumers.</w:t>
      </w:r>
    </w:p>
    <w:p w:rsidRPr="00C846D7" w:rsidR="00192465" w:rsidP="003B4FC4" w:rsidRDefault="00192465">
      <w:pPr>
        <w:tabs>
          <w:tab w:val="num" w:pos="360"/>
        </w:tabs>
        <w:rPr>
          <w:sz w:val="22"/>
          <w:szCs w:val="22"/>
        </w:rPr>
      </w:pPr>
    </w:p>
    <w:p w:rsidR="00B238C3" w:rsidP="003B4FC4" w:rsidRDefault="00BE484B">
      <w:pPr>
        <w:tabs>
          <w:tab w:val="left" w:pos="360"/>
        </w:tabs>
        <w:rPr>
          <w:sz w:val="22"/>
          <w:szCs w:val="22"/>
        </w:rPr>
      </w:pPr>
      <w:r>
        <w:rPr>
          <w:sz w:val="22"/>
          <w:szCs w:val="22"/>
        </w:rPr>
        <w:t xml:space="preserve">47 CFR § </w:t>
      </w:r>
      <w:r w:rsidRPr="00C846D7" w:rsidR="00192465">
        <w:rPr>
          <w:sz w:val="22"/>
          <w:szCs w:val="22"/>
        </w:rPr>
        <w:t>64.710</w:t>
      </w:r>
      <w:r>
        <w:rPr>
          <w:sz w:val="22"/>
          <w:szCs w:val="22"/>
        </w:rPr>
        <w:t xml:space="preserve"> of the Commission’s rules</w:t>
      </w:r>
      <w:r w:rsidRPr="00C846D7" w:rsidR="00192465">
        <w:rPr>
          <w:sz w:val="22"/>
          <w:szCs w:val="22"/>
        </w:rPr>
        <w:t xml:space="preserve"> requires providers of </w:t>
      </w:r>
      <w:r>
        <w:rPr>
          <w:sz w:val="22"/>
          <w:szCs w:val="22"/>
        </w:rPr>
        <w:t xml:space="preserve">inmate </w:t>
      </w:r>
      <w:r w:rsidRPr="00C846D7" w:rsidR="00192465">
        <w:rPr>
          <w:sz w:val="22"/>
          <w:szCs w:val="22"/>
        </w:rPr>
        <w:t>operator services</w:t>
      </w:r>
      <w:r w:rsidRPr="00C846D7" w:rsidR="00A82A9B">
        <w:rPr>
          <w:sz w:val="22"/>
          <w:szCs w:val="22"/>
        </w:rPr>
        <w:t xml:space="preserve"> </w:t>
      </w:r>
      <w:r>
        <w:rPr>
          <w:sz w:val="22"/>
          <w:szCs w:val="22"/>
        </w:rPr>
        <w:t xml:space="preserve">at </w:t>
      </w:r>
      <w:r w:rsidRPr="00C846D7" w:rsidR="00192465">
        <w:rPr>
          <w:sz w:val="22"/>
          <w:szCs w:val="22"/>
        </w:rPr>
        <w:t>correctional institutions to identify themselves, audibly and distinctly, to the party to be billed for the call</w:t>
      </w:r>
      <w:r w:rsidR="00E9416E">
        <w:rPr>
          <w:sz w:val="22"/>
          <w:szCs w:val="22"/>
        </w:rPr>
        <w:t>.  T</w:t>
      </w:r>
      <w:r w:rsidRPr="00C846D7" w:rsidR="00A82A9B">
        <w:rPr>
          <w:sz w:val="22"/>
          <w:szCs w:val="22"/>
        </w:rPr>
        <w:t>he OSPs must a</w:t>
      </w:r>
      <w:r w:rsidRPr="00C846D7" w:rsidR="00192465">
        <w:rPr>
          <w:sz w:val="22"/>
          <w:szCs w:val="22"/>
        </w:rPr>
        <w:t xml:space="preserve">lso disclose immediately thereafter to that </w:t>
      </w:r>
      <w:r w:rsidRPr="00C846D7" w:rsidR="00666893">
        <w:rPr>
          <w:sz w:val="22"/>
          <w:szCs w:val="22"/>
        </w:rPr>
        <w:t xml:space="preserve">calling </w:t>
      </w:r>
      <w:r w:rsidRPr="00C846D7" w:rsidR="00192465">
        <w:rPr>
          <w:sz w:val="22"/>
          <w:szCs w:val="22"/>
        </w:rPr>
        <w:t>party how he or she</w:t>
      </w:r>
      <w:r w:rsidRPr="00C846D7" w:rsidR="00666893">
        <w:rPr>
          <w:sz w:val="22"/>
          <w:szCs w:val="22"/>
        </w:rPr>
        <w:t xml:space="preserve"> may obtain the charges for the call and the bill for a call,</w:t>
      </w:r>
      <w:r w:rsidRPr="00C846D7" w:rsidR="00192465">
        <w:rPr>
          <w:sz w:val="22"/>
          <w:szCs w:val="22"/>
        </w:rPr>
        <w:t xml:space="preserve"> without having to hang up to dial a separate number, </w:t>
      </w:r>
      <w:r w:rsidRPr="00C846D7" w:rsidR="00666893">
        <w:rPr>
          <w:sz w:val="22"/>
          <w:szCs w:val="22"/>
        </w:rPr>
        <w:t xml:space="preserve">and </w:t>
      </w:r>
      <w:r w:rsidRPr="00C846D7" w:rsidR="00192465">
        <w:rPr>
          <w:sz w:val="22"/>
          <w:szCs w:val="22"/>
        </w:rPr>
        <w:t xml:space="preserve">before the carrier </w:t>
      </w:r>
      <w:r w:rsidRPr="00C846D7" w:rsidR="00666893">
        <w:rPr>
          <w:sz w:val="22"/>
          <w:szCs w:val="22"/>
        </w:rPr>
        <w:t xml:space="preserve">will </w:t>
      </w:r>
      <w:r w:rsidRPr="00C846D7" w:rsidR="00192465">
        <w:rPr>
          <w:sz w:val="22"/>
          <w:szCs w:val="22"/>
        </w:rPr>
        <w:t>connect</w:t>
      </w:r>
      <w:r w:rsidRPr="00C846D7" w:rsidR="00666893">
        <w:rPr>
          <w:sz w:val="22"/>
          <w:szCs w:val="22"/>
        </w:rPr>
        <w:t xml:space="preserve"> the call</w:t>
      </w:r>
      <w:r w:rsidRPr="00C846D7" w:rsidR="00192465">
        <w:rPr>
          <w:sz w:val="22"/>
          <w:szCs w:val="22"/>
        </w:rPr>
        <w:t>.</w:t>
      </w:r>
    </w:p>
    <w:p w:rsidR="00BE484B" w:rsidP="003C224A" w:rsidRDefault="00BE484B">
      <w:pPr>
        <w:tabs>
          <w:tab w:val="left" w:pos="-720"/>
        </w:tabs>
        <w:rPr>
          <w:sz w:val="22"/>
          <w:szCs w:val="22"/>
        </w:rPr>
      </w:pPr>
    </w:p>
    <w:p w:rsidRPr="00C846D7" w:rsidR="00B238C3" w:rsidP="00BE484B" w:rsidRDefault="00B238C3">
      <w:pPr>
        <w:tabs>
          <w:tab w:val="left" w:pos="-720"/>
          <w:tab w:val="left" w:pos="0"/>
        </w:tabs>
        <w:rPr>
          <w:sz w:val="22"/>
          <w:szCs w:val="22"/>
        </w:rPr>
      </w:pPr>
      <w:r>
        <w:rPr>
          <w:sz w:val="22"/>
          <w:szCs w:val="22"/>
        </w:rPr>
        <w:t>The Commission is requesting</w:t>
      </w:r>
      <w:r w:rsidR="00D356B0">
        <w:rPr>
          <w:sz w:val="22"/>
          <w:szCs w:val="22"/>
        </w:rPr>
        <w:t xml:space="preserve"> an extension of this </w:t>
      </w:r>
      <w:r>
        <w:rPr>
          <w:sz w:val="22"/>
          <w:szCs w:val="22"/>
        </w:rPr>
        <w:t>information collection</w:t>
      </w:r>
      <w:r w:rsidR="00D356B0">
        <w:rPr>
          <w:sz w:val="22"/>
          <w:szCs w:val="22"/>
        </w:rPr>
        <w:t xml:space="preserve"> in order to receive the full three</w:t>
      </w:r>
      <w:r w:rsidR="00A94EA0">
        <w:rPr>
          <w:sz w:val="22"/>
          <w:szCs w:val="22"/>
        </w:rPr>
        <w:t>-</w:t>
      </w:r>
      <w:r w:rsidR="00D356B0">
        <w:rPr>
          <w:sz w:val="22"/>
          <w:szCs w:val="22"/>
        </w:rPr>
        <w:t>year OMB approval/clearance for this collection</w:t>
      </w:r>
      <w:r>
        <w:rPr>
          <w:sz w:val="22"/>
          <w:szCs w:val="22"/>
        </w:rPr>
        <w:t>.</w:t>
      </w:r>
    </w:p>
    <w:p w:rsidRPr="00C846D7" w:rsidR="00EB0B2F" w:rsidP="004357FF" w:rsidRDefault="00EB0B2F">
      <w:pPr>
        <w:tabs>
          <w:tab w:val="num" w:pos="360"/>
        </w:tabs>
        <w:ind w:hanging="360"/>
        <w:rPr>
          <w:sz w:val="22"/>
          <w:szCs w:val="22"/>
        </w:rPr>
      </w:pPr>
    </w:p>
    <w:p w:rsidR="00C8561D" w:rsidP="003B4FC4" w:rsidRDefault="00EE6FF2">
      <w:pPr>
        <w:tabs>
          <w:tab w:val="num" w:pos="360"/>
        </w:tabs>
        <w:rPr>
          <w:sz w:val="22"/>
          <w:szCs w:val="22"/>
        </w:rPr>
      </w:pPr>
      <w:r>
        <w:rPr>
          <w:sz w:val="22"/>
          <w:szCs w:val="22"/>
        </w:rPr>
        <w:t>T</w:t>
      </w:r>
      <w:r w:rsidRPr="00043DE6" w:rsidR="00EB0B2F">
        <w:rPr>
          <w:sz w:val="22"/>
          <w:szCs w:val="22"/>
        </w:rPr>
        <w:t>his information collection does not affect individuals or household</w:t>
      </w:r>
      <w:r w:rsidR="00E9416E">
        <w:rPr>
          <w:sz w:val="22"/>
          <w:szCs w:val="22"/>
        </w:rPr>
        <w:t>s</w:t>
      </w:r>
      <w:r w:rsidRPr="00043DE6" w:rsidR="00EB0B2F">
        <w:rPr>
          <w:sz w:val="22"/>
          <w:szCs w:val="22"/>
        </w:rPr>
        <w:t xml:space="preserve">; thus, there </w:t>
      </w:r>
      <w:r w:rsidR="00E9416E">
        <w:rPr>
          <w:sz w:val="22"/>
          <w:szCs w:val="22"/>
        </w:rPr>
        <w:t>is</w:t>
      </w:r>
      <w:r w:rsidRPr="00043DE6" w:rsidR="00EB0B2F">
        <w:rPr>
          <w:sz w:val="22"/>
          <w:szCs w:val="22"/>
        </w:rPr>
        <w:t xml:space="preserve"> no impact under the Privacy Act</w:t>
      </w:r>
      <w:r>
        <w:rPr>
          <w:sz w:val="22"/>
          <w:szCs w:val="22"/>
        </w:rPr>
        <w:t>.</w:t>
      </w:r>
    </w:p>
    <w:p w:rsidR="00C8561D" w:rsidP="003B4FC4" w:rsidRDefault="00C8561D">
      <w:pPr>
        <w:tabs>
          <w:tab w:val="num" w:pos="360"/>
        </w:tabs>
        <w:rPr>
          <w:sz w:val="22"/>
          <w:szCs w:val="22"/>
        </w:rPr>
      </w:pPr>
    </w:p>
    <w:p w:rsidRPr="00043DE6" w:rsidR="00EB0B2F" w:rsidP="003B4FC4" w:rsidRDefault="00043DE6">
      <w:pPr>
        <w:tabs>
          <w:tab w:val="num" w:pos="360"/>
        </w:tabs>
        <w:rPr>
          <w:sz w:val="22"/>
          <w:szCs w:val="22"/>
        </w:rPr>
      </w:pPr>
      <w:r>
        <w:rPr>
          <w:sz w:val="22"/>
          <w:szCs w:val="22"/>
        </w:rPr>
        <w:t>The statutory authority for this information collection is found at 47 U.S.C</w:t>
      </w:r>
      <w:r w:rsidR="00E82A4B">
        <w:rPr>
          <w:sz w:val="22"/>
          <w:szCs w:val="22"/>
        </w:rPr>
        <w:t>.</w:t>
      </w:r>
      <w:r>
        <w:rPr>
          <w:sz w:val="22"/>
          <w:szCs w:val="22"/>
        </w:rPr>
        <w:t xml:space="preserve"> </w:t>
      </w:r>
      <w:r w:rsidR="00E82A4B">
        <w:rPr>
          <w:sz w:val="22"/>
          <w:szCs w:val="22"/>
        </w:rPr>
        <w:t xml:space="preserve">§ </w:t>
      </w:r>
      <w:r>
        <w:rPr>
          <w:sz w:val="22"/>
          <w:szCs w:val="22"/>
        </w:rPr>
        <w:t>226</w:t>
      </w:r>
      <w:r w:rsidR="00E82A4B">
        <w:rPr>
          <w:sz w:val="22"/>
          <w:szCs w:val="22"/>
        </w:rPr>
        <w:t>,</w:t>
      </w:r>
      <w:r>
        <w:rPr>
          <w:sz w:val="22"/>
          <w:szCs w:val="22"/>
        </w:rPr>
        <w:t xml:space="preserve"> </w:t>
      </w:r>
      <w:r w:rsidRPr="00E9416E">
        <w:rPr>
          <w:caps/>
          <w:sz w:val="22"/>
          <w:szCs w:val="22"/>
        </w:rPr>
        <w:t>T</w:t>
      </w:r>
      <w:r w:rsidRPr="00E9416E" w:rsidR="008C77A8">
        <w:rPr>
          <w:sz w:val="22"/>
          <w:szCs w:val="22"/>
        </w:rPr>
        <w:t>elephone</w:t>
      </w:r>
      <w:r w:rsidRPr="00E9416E">
        <w:rPr>
          <w:caps/>
          <w:sz w:val="22"/>
          <w:szCs w:val="22"/>
        </w:rPr>
        <w:t xml:space="preserve"> O</w:t>
      </w:r>
      <w:r w:rsidRPr="00E9416E" w:rsidR="008C77A8">
        <w:rPr>
          <w:sz w:val="22"/>
          <w:szCs w:val="22"/>
        </w:rPr>
        <w:t>perator</w:t>
      </w:r>
      <w:r w:rsidRPr="00E9416E">
        <w:rPr>
          <w:caps/>
          <w:sz w:val="22"/>
          <w:szCs w:val="22"/>
        </w:rPr>
        <w:t xml:space="preserve"> S</w:t>
      </w:r>
      <w:r w:rsidRPr="00E9416E" w:rsidR="008C77A8">
        <w:rPr>
          <w:sz w:val="22"/>
          <w:szCs w:val="22"/>
        </w:rPr>
        <w:t>ervices</w:t>
      </w:r>
      <w:r w:rsidR="00E9416E">
        <w:rPr>
          <w:sz w:val="22"/>
          <w:szCs w:val="22"/>
        </w:rPr>
        <w:t>, Public Law Number 101-435, 104 Stat. 986,</w:t>
      </w:r>
      <w:r>
        <w:rPr>
          <w:sz w:val="22"/>
          <w:szCs w:val="22"/>
        </w:rPr>
        <w:t xml:space="preserve"> codified at 47 CFR sections 64.703(a) Consumer Information, 64.709 Informational Tariffs, and 64.710 Operator Services for Prison Inmate Phones.</w:t>
      </w:r>
    </w:p>
    <w:p w:rsidRPr="00C846D7" w:rsidR="00B01B65" w:rsidP="003B4FC4" w:rsidRDefault="00B01B65">
      <w:pPr>
        <w:tabs>
          <w:tab w:val="num" w:pos="360"/>
        </w:tabs>
        <w:rPr>
          <w:sz w:val="22"/>
          <w:szCs w:val="22"/>
        </w:rPr>
      </w:pPr>
    </w:p>
    <w:p w:rsidRPr="00C846D7" w:rsidR="00EB0B2F" w:rsidP="003B4FC4" w:rsidRDefault="00B01B65">
      <w:pPr>
        <w:tabs>
          <w:tab w:val="num" w:pos="1080"/>
        </w:tabs>
        <w:rPr>
          <w:sz w:val="22"/>
          <w:szCs w:val="22"/>
        </w:rPr>
      </w:pPr>
      <w:r>
        <w:rPr>
          <w:sz w:val="22"/>
          <w:szCs w:val="22"/>
        </w:rPr>
        <w:lastRenderedPageBreak/>
        <w:t>2.</w:t>
      </w:r>
      <w:r w:rsidR="00044361">
        <w:rPr>
          <w:sz w:val="22"/>
          <w:szCs w:val="22"/>
        </w:rPr>
        <w:t xml:space="preserve">  </w:t>
      </w:r>
      <w:r w:rsidRPr="00C846D7" w:rsidR="00EB0B2F">
        <w:rPr>
          <w:sz w:val="22"/>
          <w:szCs w:val="22"/>
        </w:rPr>
        <w:t xml:space="preserve">The </w:t>
      </w:r>
      <w:r w:rsidRPr="00C846D7" w:rsidR="00B06DD8">
        <w:rPr>
          <w:sz w:val="22"/>
          <w:szCs w:val="22"/>
        </w:rPr>
        <w:t xml:space="preserve">Commission believes that the </w:t>
      </w:r>
      <w:r w:rsidRPr="00C846D7" w:rsidR="00EB0B2F">
        <w:rPr>
          <w:sz w:val="22"/>
          <w:szCs w:val="22"/>
        </w:rPr>
        <w:t xml:space="preserve">disclosure rules </w:t>
      </w:r>
      <w:r>
        <w:rPr>
          <w:sz w:val="22"/>
          <w:szCs w:val="22"/>
        </w:rPr>
        <w:t>help to ensure that consumers receive information necessary to determine what the charges associated with an OSP-assisted call will be, thereby enhancing</w:t>
      </w:r>
      <w:r w:rsidR="0097402C">
        <w:rPr>
          <w:sz w:val="22"/>
          <w:szCs w:val="22"/>
        </w:rPr>
        <w:t xml:space="preserve"> informed consumer choice in the operator services marketplace.</w:t>
      </w:r>
    </w:p>
    <w:p w:rsidR="00044361" w:rsidP="003B4FC4" w:rsidRDefault="00044361">
      <w:pPr>
        <w:tabs>
          <w:tab w:val="left" w:pos="360"/>
          <w:tab w:val="left" w:pos="810"/>
        </w:tabs>
        <w:rPr>
          <w:sz w:val="22"/>
          <w:szCs w:val="22"/>
        </w:rPr>
      </w:pPr>
    </w:p>
    <w:p w:rsidR="00B44362" w:rsidP="003B4FC4" w:rsidRDefault="0097402C">
      <w:pPr>
        <w:tabs>
          <w:tab w:val="left" w:pos="360"/>
          <w:tab w:val="left" w:pos="810"/>
        </w:tabs>
        <w:rPr>
          <w:sz w:val="22"/>
          <w:szCs w:val="22"/>
        </w:rPr>
      </w:pPr>
      <w:r>
        <w:rPr>
          <w:sz w:val="22"/>
          <w:szCs w:val="22"/>
        </w:rPr>
        <w:t>3.</w:t>
      </w:r>
      <w:r w:rsidR="00044361">
        <w:rPr>
          <w:sz w:val="22"/>
          <w:szCs w:val="22"/>
        </w:rPr>
        <w:t xml:space="preserve">  </w:t>
      </w:r>
      <w:r w:rsidR="00B44362">
        <w:rPr>
          <w:sz w:val="22"/>
          <w:szCs w:val="22"/>
        </w:rPr>
        <w:t xml:space="preserve">Pursuant to 47 CFR § 64.703(a)(1) of the Commission’s rules </w:t>
      </w:r>
      <w:r w:rsidRPr="00C03F7E" w:rsidR="00011030">
        <w:rPr>
          <w:sz w:val="22"/>
          <w:szCs w:val="22"/>
        </w:rPr>
        <w:t>which codifies</w:t>
      </w:r>
      <w:r w:rsidR="00011030">
        <w:rPr>
          <w:sz w:val="22"/>
          <w:szCs w:val="22"/>
        </w:rPr>
        <w:t xml:space="preserve"> </w:t>
      </w:r>
      <w:r w:rsidR="00B44362">
        <w:rPr>
          <w:sz w:val="22"/>
          <w:szCs w:val="22"/>
        </w:rPr>
        <w:t>Section 226(b)(1)(A) of the Communications Act, OS</w:t>
      </w:r>
      <w:r w:rsidRPr="00C846D7" w:rsidR="00EB0B2F">
        <w:rPr>
          <w:sz w:val="22"/>
          <w:szCs w:val="22"/>
        </w:rPr>
        <w:t xml:space="preserve">Ps must identify themselves audibly and distinctly to the consumer at the beginning of each telephone call.  The oral disclosure must immediately follow </w:t>
      </w:r>
      <w:r w:rsidRPr="00C846D7" w:rsidR="0031608A">
        <w:rPr>
          <w:sz w:val="22"/>
          <w:szCs w:val="22"/>
        </w:rPr>
        <w:t xml:space="preserve">the </w:t>
      </w:r>
      <w:r w:rsidRPr="00C846D7" w:rsidR="00EB0B2F">
        <w:rPr>
          <w:sz w:val="22"/>
          <w:szCs w:val="22"/>
        </w:rPr>
        <w:t xml:space="preserve">oral identification </w:t>
      </w:r>
      <w:r w:rsidRPr="00C846D7" w:rsidR="0031608A">
        <w:rPr>
          <w:sz w:val="22"/>
          <w:szCs w:val="22"/>
        </w:rPr>
        <w:t xml:space="preserve">of the telephone service </w:t>
      </w:r>
      <w:r w:rsidRPr="00C846D7" w:rsidR="00EB0B2F">
        <w:rPr>
          <w:sz w:val="22"/>
          <w:szCs w:val="22"/>
        </w:rPr>
        <w:t xml:space="preserve">brand and may be incorporated in the same automated, electronic recording, without the need </w:t>
      </w:r>
      <w:r w:rsidR="00E82A4B">
        <w:rPr>
          <w:sz w:val="22"/>
          <w:szCs w:val="22"/>
        </w:rPr>
        <w:t>for</w:t>
      </w:r>
      <w:r w:rsidRPr="00C846D7" w:rsidR="00EB0B2F">
        <w:rPr>
          <w:sz w:val="22"/>
          <w:szCs w:val="22"/>
        </w:rPr>
        <w:t xml:space="preserve"> intervention by a live operator.  Further, </w:t>
      </w:r>
      <w:r w:rsidR="00B44362">
        <w:rPr>
          <w:sz w:val="22"/>
          <w:szCs w:val="22"/>
        </w:rPr>
        <w:t>carriers with less intricate rate structures could disclose their rates and relative surcharges, if any, electronically to callers and prospective consumers.</w:t>
      </w:r>
    </w:p>
    <w:p w:rsidR="00B44362" w:rsidP="003B4FC4" w:rsidRDefault="00B44362">
      <w:pPr>
        <w:rPr>
          <w:sz w:val="22"/>
          <w:szCs w:val="22"/>
        </w:rPr>
      </w:pPr>
    </w:p>
    <w:p w:rsidR="00B44362" w:rsidP="003B4FC4" w:rsidRDefault="00B44362">
      <w:pPr>
        <w:tabs>
          <w:tab w:val="left" w:pos="360"/>
        </w:tabs>
        <w:rPr>
          <w:sz w:val="22"/>
          <w:szCs w:val="22"/>
        </w:rPr>
      </w:pPr>
      <w:r>
        <w:rPr>
          <w:sz w:val="22"/>
          <w:szCs w:val="22"/>
        </w:rPr>
        <w:t>4.</w:t>
      </w:r>
      <w:r w:rsidR="00044361">
        <w:rPr>
          <w:sz w:val="22"/>
          <w:szCs w:val="22"/>
        </w:rPr>
        <w:t xml:space="preserve">  </w:t>
      </w:r>
      <w:r w:rsidRPr="005D4BA7" w:rsidR="00EB0B2F">
        <w:rPr>
          <w:sz w:val="22"/>
          <w:szCs w:val="22"/>
        </w:rPr>
        <w:t>The</w:t>
      </w:r>
      <w:r w:rsidR="007D0133">
        <w:rPr>
          <w:sz w:val="22"/>
          <w:szCs w:val="22"/>
        </w:rPr>
        <w:t xml:space="preserve"> information collection requirements are not duplicative of any existing federal regulatory obligation</w:t>
      </w:r>
      <w:r w:rsidRPr="005D4BA7" w:rsidR="00EB0B2F">
        <w:rPr>
          <w:sz w:val="22"/>
          <w:szCs w:val="22"/>
        </w:rPr>
        <w:t>.</w:t>
      </w:r>
    </w:p>
    <w:p w:rsidR="00B44362" w:rsidP="00B44362" w:rsidRDefault="00B44362">
      <w:pPr>
        <w:tabs>
          <w:tab w:val="left" w:pos="360"/>
        </w:tabs>
        <w:ind w:left="360" w:hanging="450"/>
        <w:rPr>
          <w:sz w:val="22"/>
          <w:szCs w:val="22"/>
        </w:rPr>
      </w:pPr>
    </w:p>
    <w:p w:rsidRPr="005D4BA7" w:rsidR="00B44362" w:rsidP="003B4FC4" w:rsidRDefault="00B44362">
      <w:pPr>
        <w:rPr>
          <w:sz w:val="22"/>
          <w:szCs w:val="22"/>
        </w:rPr>
      </w:pPr>
      <w:r>
        <w:rPr>
          <w:sz w:val="22"/>
          <w:szCs w:val="22"/>
        </w:rPr>
        <w:t>5.</w:t>
      </w:r>
      <w:r w:rsidR="00044361">
        <w:rPr>
          <w:sz w:val="22"/>
          <w:szCs w:val="22"/>
        </w:rPr>
        <w:t xml:space="preserve">  </w:t>
      </w:r>
      <w:r>
        <w:rPr>
          <w:sz w:val="22"/>
          <w:szCs w:val="22"/>
        </w:rPr>
        <w:t>There will not be a significant impact on a substantial number of small businesses/entities by this information being collected.</w:t>
      </w:r>
    </w:p>
    <w:p w:rsidR="00271771" w:rsidP="00B44362" w:rsidRDefault="00271771">
      <w:pPr>
        <w:tabs>
          <w:tab w:val="left" w:pos="360"/>
        </w:tabs>
        <w:ind w:left="-180" w:firstLine="90"/>
        <w:rPr>
          <w:sz w:val="22"/>
          <w:szCs w:val="22"/>
        </w:rPr>
      </w:pPr>
    </w:p>
    <w:p w:rsidR="00271771" w:rsidP="00271771" w:rsidRDefault="00271771">
      <w:pPr>
        <w:rPr>
          <w:sz w:val="22"/>
          <w:szCs w:val="22"/>
        </w:rPr>
      </w:pPr>
      <w:r>
        <w:rPr>
          <w:sz w:val="22"/>
          <w:szCs w:val="22"/>
        </w:rPr>
        <w:t>6.</w:t>
      </w:r>
      <w:r w:rsidR="0032346C">
        <w:rPr>
          <w:sz w:val="22"/>
          <w:szCs w:val="22"/>
        </w:rPr>
        <w:t xml:space="preserve">  </w:t>
      </w:r>
      <w:r>
        <w:rPr>
          <w:sz w:val="22"/>
          <w:szCs w:val="22"/>
        </w:rPr>
        <w:t xml:space="preserve">Without these information collection requirements, </w:t>
      </w:r>
      <w:r w:rsidRPr="00C846D7" w:rsidR="001F390B">
        <w:rPr>
          <w:sz w:val="22"/>
          <w:szCs w:val="22"/>
        </w:rPr>
        <w:t>consumer</w:t>
      </w:r>
      <w:r w:rsidRPr="00C846D7" w:rsidR="000D3690">
        <w:rPr>
          <w:sz w:val="22"/>
          <w:szCs w:val="22"/>
        </w:rPr>
        <w:t>s</w:t>
      </w:r>
      <w:r w:rsidRPr="00C846D7" w:rsidR="001F390B">
        <w:rPr>
          <w:sz w:val="22"/>
          <w:szCs w:val="22"/>
        </w:rPr>
        <w:t xml:space="preserve"> </w:t>
      </w:r>
      <w:r w:rsidR="00E9416E">
        <w:rPr>
          <w:sz w:val="22"/>
          <w:szCs w:val="22"/>
        </w:rPr>
        <w:t xml:space="preserve">could </w:t>
      </w:r>
      <w:r w:rsidRPr="00C846D7" w:rsidR="001F390B">
        <w:rPr>
          <w:sz w:val="22"/>
          <w:szCs w:val="22"/>
        </w:rPr>
        <w:t>be burdened with high charges and related surcharges for payphone calls and calls from other aggregator locations, such as hotels, hospitals, airports, and educational institutions</w:t>
      </w:r>
      <w:r w:rsidRPr="00C846D7" w:rsidR="000D3690">
        <w:rPr>
          <w:sz w:val="22"/>
          <w:szCs w:val="22"/>
        </w:rPr>
        <w:t xml:space="preserve">.  </w:t>
      </w:r>
      <w:r>
        <w:rPr>
          <w:sz w:val="22"/>
          <w:szCs w:val="22"/>
        </w:rPr>
        <w:t>Thus</w:t>
      </w:r>
      <w:r w:rsidRPr="00C846D7" w:rsidR="000D3690">
        <w:rPr>
          <w:sz w:val="22"/>
          <w:szCs w:val="22"/>
        </w:rPr>
        <w:t xml:space="preserve">, </w:t>
      </w:r>
      <w:r w:rsidR="00E9416E">
        <w:rPr>
          <w:sz w:val="22"/>
          <w:szCs w:val="22"/>
        </w:rPr>
        <w:t xml:space="preserve">the number of </w:t>
      </w:r>
      <w:r w:rsidRPr="00C846D7" w:rsidR="000D3690">
        <w:rPr>
          <w:sz w:val="22"/>
          <w:szCs w:val="22"/>
        </w:rPr>
        <w:t>c</w:t>
      </w:r>
      <w:r w:rsidRPr="00C846D7" w:rsidR="001F390B">
        <w:rPr>
          <w:sz w:val="22"/>
          <w:szCs w:val="22"/>
        </w:rPr>
        <w:t xml:space="preserve">onsumer complaints to the Commission </w:t>
      </w:r>
      <w:r w:rsidR="00E9416E">
        <w:rPr>
          <w:sz w:val="22"/>
          <w:szCs w:val="22"/>
        </w:rPr>
        <w:t xml:space="preserve">could increase </w:t>
      </w:r>
      <w:r w:rsidRPr="00C846D7" w:rsidR="001F390B">
        <w:rPr>
          <w:sz w:val="22"/>
          <w:szCs w:val="22"/>
        </w:rPr>
        <w:t>with respect to these</w:t>
      </w:r>
      <w:r w:rsidRPr="005D4BA7" w:rsidR="001F390B">
        <w:rPr>
          <w:sz w:val="22"/>
          <w:szCs w:val="22"/>
        </w:rPr>
        <w:t xml:space="preserve"> segments of the </w:t>
      </w:r>
      <w:r w:rsidRPr="00C846D7" w:rsidR="000D3690">
        <w:rPr>
          <w:sz w:val="22"/>
          <w:szCs w:val="22"/>
        </w:rPr>
        <w:t>“</w:t>
      </w:r>
      <w:r w:rsidRPr="00C846D7" w:rsidR="001F390B">
        <w:rPr>
          <w:sz w:val="22"/>
          <w:szCs w:val="22"/>
        </w:rPr>
        <w:t>inter</w:t>
      </w:r>
      <w:r w:rsidRPr="00C846D7" w:rsidR="000D3690">
        <w:rPr>
          <w:sz w:val="22"/>
          <w:szCs w:val="22"/>
        </w:rPr>
        <w:t>-</w:t>
      </w:r>
      <w:r w:rsidRPr="00C846D7" w:rsidR="001F390B">
        <w:rPr>
          <w:sz w:val="22"/>
          <w:szCs w:val="22"/>
        </w:rPr>
        <w:t>exchange</w:t>
      </w:r>
      <w:r w:rsidRPr="00C846D7" w:rsidR="000D3690">
        <w:rPr>
          <w:sz w:val="22"/>
          <w:szCs w:val="22"/>
        </w:rPr>
        <w:t>”</w:t>
      </w:r>
      <w:r w:rsidRPr="005D4BA7" w:rsidR="001F390B">
        <w:rPr>
          <w:sz w:val="22"/>
          <w:szCs w:val="22"/>
        </w:rPr>
        <w:t xml:space="preserve"> market in which </w:t>
      </w:r>
      <w:bookmarkStart w:name="_GoBack" w:id="0"/>
      <w:bookmarkEnd w:id="0"/>
      <w:r w:rsidRPr="005D4BA7" w:rsidR="001F390B">
        <w:rPr>
          <w:sz w:val="22"/>
          <w:szCs w:val="22"/>
        </w:rPr>
        <w:t>carriers historically have competed more for the business of call aggregators and prison administrators than for the business of consumers.</w:t>
      </w:r>
    </w:p>
    <w:p w:rsidR="00271771" w:rsidP="00271771" w:rsidRDefault="00271771">
      <w:pPr>
        <w:rPr>
          <w:sz w:val="22"/>
          <w:szCs w:val="22"/>
        </w:rPr>
      </w:pPr>
    </w:p>
    <w:p w:rsidRPr="005D4BA7" w:rsidR="001F390B" w:rsidP="00271771" w:rsidRDefault="00226553">
      <w:pPr>
        <w:rPr>
          <w:sz w:val="22"/>
          <w:szCs w:val="22"/>
        </w:rPr>
      </w:pPr>
      <w:r>
        <w:rPr>
          <w:sz w:val="22"/>
          <w:szCs w:val="22"/>
        </w:rPr>
        <w:t>7.</w:t>
      </w:r>
      <w:r w:rsidR="0032346C">
        <w:rPr>
          <w:sz w:val="22"/>
          <w:szCs w:val="22"/>
        </w:rPr>
        <w:t xml:space="preserve"> N</w:t>
      </w:r>
      <w:r w:rsidR="0096583B">
        <w:rPr>
          <w:sz w:val="22"/>
          <w:szCs w:val="22"/>
        </w:rPr>
        <w:t>o special circumstances exist that would cause this c</w:t>
      </w:r>
      <w:r w:rsidR="007D0133">
        <w:rPr>
          <w:sz w:val="22"/>
          <w:szCs w:val="22"/>
        </w:rPr>
        <w:t xml:space="preserve">ollection </w:t>
      </w:r>
      <w:r w:rsidR="0096583B">
        <w:rPr>
          <w:sz w:val="22"/>
          <w:szCs w:val="22"/>
        </w:rPr>
        <w:t>to be</w:t>
      </w:r>
      <w:r w:rsidR="007D0133">
        <w:rPr>
          <w:sz w:val="22"/>
          <w:szCs w:val="22"/>
        </w:rPr>
        <w:t xml:space="preserve"> conducted in any manner that is inconsistent with t</w:t>
      </w:r>
      <w:r w:rsidR="00B45EA1">
        <w:rPr>
          <w:sz w:val="22"/>
          <w:szCs w:val="22"/>
        </w:rPr>
        <w:t>he guidelines in 5 CFR § 1320.</w:t>
      </w:r>
    </w:p>
    <w:p w:rsidR="0032346C" w:rsidP="004357FF" w:rsidRDefault="0032346C">
      <w:pPr>
        <w:tabs>
          <w:tab w:val="num" w:pos="360"/>
        </w:tabs>
        <w:ind w:hanging="360"/>
        <w:rPr>
          <w:sz w:val="22"/>
          <w:szCs w:val="22"/>
        </w:rPr>
      </w:pPr>
    </w:p>
    <w:p w:rsidR="0032346C" w:rsidP="0032346C" w:rsidRDefault="0032346C">
      <w:pPr>
        <w:tabs>
          <w:tab w:val="num" w:pos="360"/>
        </w:tabs>
        <w:ind w:hanging="360"/>
        <w:rPr>
          <w:sz w:val="22"/>
          <w:szCs w:val="22"/>
        </w:rPr>
      </w:pPr>
      <w:r>
        <w:rPr>
          <w:sz w:val="22"/>
          <w:szCs w:val="22"/>
        </w:rPr>
        <w:tab/>
        <w:t xml:space="preserve">8.  </w:t>
      </w:r>
      <w:r w:rsidR="0096583B">
        <w:rPr>
          <w:sz w:val="22"/>
          <w:szCs w:val="22"/>
        </w:rPr>
        <w:t>T</w:t>
      </w:r>
      <w:r w:rsidRPr="005D4BA7" w:rsidR="00C03C4B">
        <w:rPr>
          <w:sz w:val="22"/>
          <w:szCs w:val="22"/>
        </w:rPr>
        <w:t xml:space="preserve">he Commission placed a </w:t>
      </w:r>
      <w:r w:rsidR="00DE22CD">
        <w:rPr>
          <w:sz w:val="22"/>
          <w:szCs w:val="22"/>
        </w:rPr>
        <w:t>60</w:t>
      </w:r>
      <w:r w:rsidR="00A94EA0">
        <w:rPr>
          <w:sz w:val="22"/>
          <w:szCs w:val="22"/>
        </w:rPr>
        <w:t>-</w:t>
      </w:r>
      <w:r w:rsidR="00DE22CD">
        <w:rPr>
          <w:sz w:val="22"/>
          <w:szCs w:val="22"/>
        </w:rPr>
        <w:t xml:space="preserve">day </w:t>
      </w:r>
      <w:r w:rsidRPr="005D4BA7" w:rsidR="00C03C4B">
        <w:rPr>
          <w:sz w:val="22"/>
          <w:szCs w:val="22"/>
        </w:rPr>
        <w:t xml:space="preserve">notice in the </w:t>
      </w:r>
      <w:r w:rsidRPr="005D4BA7" w:rsidR="00C03C4B">
        <w:rPr>
          <w:i/>
          <w:sz w:val="22"/>
          <w:szCs w:val="22"/>
        </w:rPr>
        <w:t>Federal Register</w:t>
      </w:r>
      <w:r w:rsidRPr="005D4BA7" w:rsidR="00C03C4B">
        <w:rPr>
          <w:sz w:val="22"/>
          <w:szCs w:val="22"/>
        </w:rPr>
        <w:t xml:space="preserve"> </w:t>
      </w:r>
      <w:r w:rsidR="0096583B">
        <w:rPr>
          <w:sz w:val="22"/>
          <w:szCs w:val="22"/>
        </w:rPr>
        <w:t>p</w:t>
      </w:r>
      <w:r w:rsidRPr="005D4BA7" w:rsidR="0096583B">
        <w:rPr>
          <w:sz w:val="22"/>
          <w:szCs w:val="22"/>
        </w:rPr>
        <w:t xml:space="preserve">ursuant to 5 CFR </w:t>
      </w:r>
      <w:r w:rsidR="0096583B">
        <w:rPr>
          <w:sz w:val="22"/>
          <w:szCs w:val="22"/>
        </w:rPr>
        <w:t xml:space="preserve">§ </w:t>
      </w:r>
      <w:r w:rsidRPr="005D4BA7" w:rsidR="0096583B">
        <w:rPr>
          <w:sz w:val="22"/>
          <w:szCs w:val="22"/>
        </w:rPr>
        <w:t>1320.8</w:t>
      </w:r>
      <w:r w:rsidR="00D356B0">
        <w:rPr>
          <w:sz w:val="22"/>
          <w:szCs w:val="22"/>
        </w:rPr>
        <w:t>(d)</w:t>
      </w:r>
      <w:r w:rsidR="0096583B">
        <w:rPr>
          <w:sz w:val="22"/>
          <w:szCs w:val="22"/>
        </w:rPr>
        <w:t>.</w:t>
      </w:r>
      <w:r w:rsidRPr="005D4BA7" w:rsidR="00C03C4B">
        <w:rPr>
          <w:sz w:val="22"/>
          <w:szCs w:val="22"/>
        </w:rPr>
        <w:t xml:space="preserve">  </w:t>
      </w:r>
      <w:r w:rsidRPr="005D4BA7" w:rsidR="00C03C4B">
        <w:rPr>
          <w:i/>
          <w:sz w:val="22"/>
          <w:szCs w:val="22"/>
        </w:rPr>
        <w:t>See</w:t>
      </w:r>
      <w:r w:rsidRPr="005D4BA7" w:rsidR="00C03C4B">
        <w:rPr>
          <w:sz w:val="22"/>
          <w:szCs w:val="22"/>
        </w:rPr>
        <w:t xml:space="preserve"> </w:t>
      </w:r>
      <w:r w:rsidR="00244938">
        <w:rPr>
          <w:sz w:val="22"/>
          <w:szCs w:val="22"/>
        </w:rPr>
        <w:t>84</w:t>
      </w:r>
      <w:r w:rsidR="00CE11BE">
        <w:rPr>
          <w:sz w:val="22"/>
          <w:szCs w:val="22"/>
        </w:rPr>
        <w:t xml:space="preserve"> </w:t>
      </w:r>
      <w:r w:rsidR="00F42299">
        <w:rPr>
          <w:sz w:val="22"/>
          <w:szCs w:val="22"/>
        </w:rPr>
        <w:t xml:space="preserve">FR </w:t>
      </w:r>
      <w:r w:rsidR="00244938">
        <w:rPr>
          <w:sz w:val="22"/>
          <w:szCs w:val="22"/>
        </w:rPr>
        <w:t>66186</w:t>
      </w:r>
      <w:r w:rsidR="00F42299">
        <w:rPr>
          <w:sz w:val="22"/>
          <w:szCs w:val="22"/>
        </w:rPr>
        <w:t xml:space="preserve">, </w:t>
      </w:r>
      <w:r w:rsidR="00244938">
        <w:rPr>
          <w:sz w:val="22"/>
          <w:szCs w:val="22"/>
        </w:rPr>
        <w:t>December 3</w:t>
      </w:r>
      <w:r w:rsidR="00F42299">
        <w:rPr>
          <w:sz w:val="22"/>
          <w:szCs w:val="22"/>
        </w:rPr>
        <w:t>, 20</w:t>
      </w:r>
      <w:r w:rsidR="00244938">
        <w:rPr>
          <w:sz w:val="22"/>
          <w:szCs w:val="22"/>
        </w:rPr>
        <w:t>19</w:t>
      </w:r>
      <w:r w:rsidRPr="0062486B" w:rsidR="00D356B0">
        <w:rPr>
          <w:sz w:val="22"/>
          <w:szCs w:val="22"/>
        </w:rPr>
        <w:t>,</w:t>
      </w:r>
      <w:r w:rsidR="00D356B0">
        <w:rPr>
          <w:sz w:val="22"/>
          <w:szCs w:val="22"/>
        </w:rPr>
        <w:t xml:space="preserve"> seeking comments from the public on the information collection requirements contained in this supporting statement.</w:t>
      </w:r>
      <w:r w:rsidR="00CE11BE">
        <w:rPr>
          <w:sz w:val="22"/>
          <w:szCs w:val="22"/>
        </w:rPr>
        <w:t xml:space="preserve"> </w:t>
      </w:r>
      <w:r w:rsidR="00D356B0">
        <w:rPr>
          <w:sz w:val="22"/>
          <w:szCs w:val="22"/>
        </w:rPr>
        <w:t xml:space="preserve"> N</w:t>
      </w:r>
      <w:r w:rsidR="00DE22CD">
        <w:rPr>
          <w:sz w:val="22"/>
          <w:szCs w:val="22"/>
        </w:rPr>
        <w:t xml:space="preserve">o comments </w:t>
      </w:r>
      <w:r w:rsidR="00D356B0">
        <w:rPr>
          <w:sz w:val="22"/>
          <w:szCs w:val="22"/>
        </w:rPr>
        <w:t xml:space="preserve">were received </w:t>
      </w:r>
      <w:r w:rsidR="00DE22CD">
        <w:rPr>
          <w:sz w:val="22"/>
          <w:szCs w:val="22"/>
        </w:rPr>
        <w:t>following publication of this notice.</w:t>
      </w:r>
    </w:p>
    <w:p w:rsidRPr="005D4BA7" w:rsidR="0032346C" w:rsidP="0032346C" w:rsidRDefault="0032346C">
      <w:pPr>
        <w:tabs>
          <w:tab w:val="num" w:pos="360"/>
        </w:tabs>
        <w:ind w:hanging="360"/>
        <w:rPr>
          <w:sz w:val="22"/>
          <w:szCs w:val="22"/>
        </w:rPr>
      </w:pPr>
    </w:p>
    <w:p w:rsidRPr="005D4BA7" w:rsidR="0032346C" w:rsidP="00226553" w:rsidRDefault="0032346C">
      <w:pPr>
        <w:tabs>
          <w:tab w:val="num" w:pos="360"/>
        </w:tabs>
        <w:rPr>
          <w:sz w:val="22"/>
          <w:szCs w:val="22"/>
        </w:rPr>
      </w:pPr>
      <w:r>
        <w:rPr>
          <w:sz w:val="22"/>
          <w:szCs w:val="22"/>
        </w:rPr>
        <w:t>9.</w:t>
      </w:r>
      <w:r w:rsidR="00226553">
        <w:rPr>
          <w:sz w:val="22"/>
          <w:szCs w:val="22"/>
        </w:rPr>
        <w:t xml:space="preserve">  </w:t>
      </w:r>
      <w:r w:rsidRPr="005D4BA7" w:rsidR="00F808DD">
        <w:rPr>
          <w:sz w:val="22"/>
          <w:szCs w:val="22"/>
        </w:rPr>
        <w:t>The Commission does not anticipate providing any payment or gift to respondents.</w:t>
      </w:r>
    </w:p>
    <w:p w:rsidR="0032346C" w:rsidP="0032346C" w:rsidRDefault="0032346C">
      <w:pPr>
        <w:tabs>
          <w:tab w:val="num" w:pos="360"/>
        </w:tabs>
        <w:ind w:hanging="90"/>
        <w:rPr>
          <w:sz w:val="22"/>
          <w:szCs w:val="22"/>
        </w:rPr>
      </w:pPr>
    </w:p>
    <w:p w:rsidR="0032346C" w:rsidP="00226553" w:rsidRDefault="0032346C">
      <w:pPr>
        <w:rPr>
          <w:sz w:val="22"/>
          <w:szCs w:val="22"/>
        </w:rPr>
      </w:pPr>
      <w:r>
        <w:rPr>
          <w:sz w:val="22"/>
          <w:szCs w:val="22"/>
        </w:rPr>
        <w:t xml:space="preserve">10. </w:t>
      </w:r>
      <w:r w:rsidR="00226553">
        <w:rPr>
          <w:sz w:val="22"/>
          <w:szCs w:val="22"/>
        </w:rPr>
        <w:t xml:space="preserve"> </w:t>
      </w:r>
      <w:r w:rsidR="00067A2F">
        <w:rPr>
          <w:sz w:val="22"/>
          <w:szCs w:val="22"/>
        </w:rPr>
        <w:t>The Commission is not requesting that respondents submit c</w:t>
      </w:r>
      <w:r w:rsidRPr="005D4BA7" w:rsidR="00F808DD">
        <w:rPr>
          <w:sz w:val="22"/>
          <w:szCs w:val="22"/>
        </w:rPr>
        <w:t>onfidential</w:t>
      </w:r>
      <w:r w:rsidR="00067A2F">
        <w:rPr>
          <w:sz w:val="22"/>
          <w:szCs w:val="22"/>
        </w:rPr>
        <w:t xml:space="preserve"> information to the Commission.  </w:t>
      </w:r>
    </w:p>
    <w:p w:rsidR="0032346C" w:rsidP="0032346C" w:rsidRDefault="0032346C">
      <w:pPr>
        <w:ind w:left="-90" w:firstLine="90"/>
        <w:rPr>
          <w:sz w:val="22"/>
          <w:szCs w:val="22"/>
        </w:rPr>
      </w:pPr>
    </w:p>
    <w:p w:rsidRPr="005D4BA7" w:rsidR="00F808DD" w:rsidP="0032346C" w:rsidRDefault="0032346C">
      <w:pPr>
        <w:tabs>
          <w:tab w:val="left" w:pos="360"/>
        </w:tabs>
        <w:rPr>
          <w:sz w:val="22"/>
          <w:szCs w:val="22"/>
        </w:rPr>
      </w:pPr>
      <w:r>
        <w:rPr>
          <w:sz w:val="22"/>
          <w:szCs w:val="22"/>
        </w:rPr>
        <w:t>11</w:t>
      </w:r>
      <w:r w:rsidR="00226553">
        <w:rPr>
          <w:sz w:val="22"/>
          <w:szCs w:val="22"/>
        </w:rPr>
        <w:t>.</w:t>
      </w:r>
      <w:r w:rsidRPr="005D4BA7" w:rsidR="00226553">
        <w:rPr>
          <w:sz w:val="22"/>
          <w:szCs w:val="22"/>
        </w:rPr>
        <w:t xml:space="preserve"> </w:t>
      </w:r>
      <w:r w:rsidR="006B6DB5">
        <w:rPr>
          <w:sz w:val="22"/>
          <w:szCs w:val="22"/>
        </w:rPr>
        <w:t xml:space="preserve"> </w:t>
      </w:r>
      <w:r w:rsidRPr="005D4BA7" w:rsidR="00226553">
        <w:rPr>
          <w:sz w:val="22"/>
          <w:szCs w:val="22"/>
        </w:rPr>
        <w:t>This</w:t>
      </w:r>
      <w:r w:rsidRPr="005D4BA7" w:rsidR="00F808DD">
        <w:rPr>
          <w:sz w:val="22"/>
          <w:szCs w:val="22"/>
        </w:rPr>
        <w:t xml:space="preserve"> information collection does not raise any questions or issues of a sensitive nature.</w:t>
      </w:r>
    </w:p>
    <w:p w:rsidR="0032346C" w:rsidP="009A20C6" w:rsidRDefault="0032346C">
      <w:pPr>
        <w:tabs>
          <w:tab w:val="num" w:pos="360"/>
        </w:tabs>
        <w:ind w:left="360" w:hanging="360"/>
        <w:rPr>
          <w:sz w:val="22"/>
          <w:szCs w:val="22"/>
        </w:rPr>
      </w:pPr>
    </w:p>
    <w:p w:rsidR="00F808DD" w:rsidP="0032346C" w:rsidRDefault="0032346C">
      <w:pPr>
        <w:tabs>
          <w:tab w:val="num" w:pos="360"/>
        </w:tabs>
        <w:ind w:left="360" w:hanging="360"/>
        <w:rPr>
          <w:sz w:val="22"/>
          <w:szCs w:val="22"/>
        </w:rPr>
      </w:pPr>
      <w:r>
        <w:rPr>
          <w:sz w:val="22"/>
          <w:szCs w:val="22"/>
        </w:rPr>
        <w:t xml:space="preserve">12.  </w:t>
      </w:r>
      <w:r w:rsidRPr="005D4BA7" w:rsidR="00F808DD">
        <w:rPr>
          <w:sz w:val="22"/>
          <w:szCs w:val="22"/>
        </w:rPr>
        <w:t>Estimates of the hour burden for the collection of information are as follows:</w:t>
      </w:r>
    </w:p>
    <w:p w:rsidR="00540013" w:rsidP="0032346C" w:rsidRDefault="00540013">
      <w:pPr>
        <w:tabs>
          <w:tab w:val="num" w:pos="360"/>
        </w:tabs>
        <w:ind w:left="360" w:hanging="360"/>
        <w:rPr>
          <w:sz w:val="22"/>
          <w:szCs w:val="22"/>
        </w:rPr>
      </w:pPr>
    </w:p>
    <w:p w:rsidR="00123611" w:rsidP="0032346C" w:rsidRDefault="00123611">
      <w:pPr>
        <w:tabs>
          <w:tab w:val="num" w:pos="360"/>
        </w:tabs>
        <w:ind w:left="360" w:hanging="360"/>
        <w:rPr>
          <w:sz w:val="22"/>
          <w:szCs w:val="22"/>
        </w:rPr>
      </w:pPr>
      <w:r w:rsidRPr="00123611">
        <w:rPr>
          <w:b/>
          <w:sz w:val="22"/>
          <w:szCs w:val="22"/>
        </w:rPr>
        <w:t>NOTE:</w:t>
      </w:r>
      <w:r>
        <w:rPr>
          <w:sz w:val="22"/>
          <w:szCs w:val="22"/>
        </w:rPr>
        <w:t xml:space="preserve">  </w:t>
      </w:r>
      <w:r w:rsidR="00540013">
        <w:rPr>
          <w:sz w:val="22"/>
          <w:szCs w:val="22"/>
        </w:rPr>
        <w:t>The Commission estimates that “operator assisted calls,</w:t>
      </w:r>
      <w:r w:rsidR="00E546D5">
        <w:rPr>
          <w:sz w:val="22"/>
          <w:szCs w:val="22"/>
        </w:rPr>
        <w:t>”</w:t>
      </w:r>
      <w:r w:rsidR="00540013">
        <w:rPr>
          <w:sz w:val="22"/>
          <w:szCs w:val="22"/>
        </w:rPr>
        <w:t xml:space="preserve"> </w:t>
      </w:r>
      <w:r w:rsidRPr="008D6702" w:rsidR="00540013">
        <w:rPr>
          <w:sz w:val="22"/>
          <w:szCs w:val="22"/>
        </w:rPr>
        <w:t>i.e.</w:t>
      </w:r>
      <w:r w:rsidR="00540013">
        <w:rPr>
          <w:sz w:val="22"/>
          <w:szCs w:val="22"/>
        </w:rPr>
        <w:t xml:space="preserve">, collect </w:t>
      </w:r>
      <w:r>
        <w:rPr>
          <w:sz w:val="22"/>
          <w:szCs w:val="22"/>
        </w:rPr>
        <w:t>calls, credit card calls, calls</w:t>
      </w:r>
    </w:p>
    <w:p w:rsidR="0018695E" w:rsidP="0032346C" w:rsidRDefault="00540013">
      <w:pPr>
        <w:tabs>
          <w:tab w:val="num" w:pos="360"/>
        </w:tabs>
        <w:ind w:left="360" w:hanging="360"/>
        <w:rPr>
          <w:sz w:val="22"/>
          <w:szCs w:val="22"/>
        </w:rPr>
      </w:pPr>
      <w:r>
        <w:rPr>
          <w:sz w:val="22"/>
          <w:szCs w:val="22"/>
        </w:rPr>
        <w:t xml:space="preserve">from prisons, and calls from telephone booths, </w:t>
      </w:r>
      <w:r w:rsidRPr="008D6702">
        <w:rPr>
          <w:sz w:val="22"/>
          <w:szCs w:val="22"/>
        </w:rPr>
        <w:t>etc</w:t>
      </w:r>
      <w:r w:rsidRPr="00E77A6F">
        <w:rPr>
          <w:sz w:val="22"/>
          <w:szCs w:val="22"/>
        </w:rPr>
        <w:t>.</w:t>
      </w:r>
      <w:r>
        <w:rPr>
          <w:sz w:val="22"/>
          <w:szCs w:val="22"/>
        </w:rPr>
        <w:t xml:space="preserve"> may comprise no more</w:t>
      </w:r>
      <w:r w:rsidR="00123611">
        <w:rPr>
          <w:sz w:val="22"/>
          <w:szCs w:val="22"/>
        </w:rPr>
        <w:t xml:space="preserve"> than </w:t>
      </w:r>
      <w:r w:rsidRPr="00CB46BE" w:rsidR="00123611">
        <w:rPr>
          <w:sz w:val="22"/>
          <w:szCs w:val="22"/>
        </w:rPr>
        <w:t>.</w:t>
      </w:r>
      <w:r w:rsidRPr="00CB46BE" w:rsidR="00E95C91">
        <w:rPr>
          <w:sz w:val="22"/>
          <w:szCs w:val="22"/>
        </w:rPr>
        <w:t>000</w:t>
      </w:r>
      <w:r w:rsidRPr="00CB46BE" w:rsidR="0018695E">
        <w:rPr>
          <w:sz w:val="22"/>
          <w:szCs w:val="22"/>
        </w:rPr>
        <w:t>25</w:t>
      </w:r>
      <w:r w:rsidR="0018695E">
        <w:rPr>
          <w:sz w:val="22"/>
          <w:szCs w:val="22"/>
        </w:rPr>
        <w:t>% of the total</w:t>
      </w:r>
    </w:p>
    <w:p w:rsidR="00123611" w:rsidP="0032346C" w:rsidRDefault="00123611">
      <w:pPr>
        <w:tabs>
          <w:tab w:val="num" w:pos="360"/>
        </w:tabs>
        <w:ind w:left="360" w:hanging="360"/>
        <w:rPr>
          <w:sz w:val="22"/>
          <w:szCs w:val="22"/>
        </w:rPr>
      </w:pPr>
      <w:r>
        <w:rPr>
          <w:sz w:val="22"/>
          <w:szCs w:val="22"/>
        </w:rPr>
        <w:t>number</w:t>
      </w:r>
      <w:r w:rsidR="0018695E">
        <w:rPr>
          <w:sz w:val="22"/>
          <w:szCs w:val="22"/>
        </w:rPr>
        <w:t xml:space="preserve"> of interstate telephone calls made annually (45,000,000,000).</w:t>
      </w:r>
    </w:p>
    <w:p w:rsidR="00BD0C5A" w:rsidP="00BD0C5A" w:rsidRDefault="00BD0C5A">
      <w:pPr>
        <w:rPr>
          <w:sz w:val="22"/>
          <w:szCs w:val="22"/>
        </w:rPr>
      </w:pPr>
    </w:p>
    <w:p w:rsidR="00123611" w:rsidP="00BD0C5A" w:rsidRDefault="00123611">
      <w:pPr>
        <w:rPr>
          <w:sz w:val="22"/>
          <w:szCs w:val="22"/>
        </w:rPr>
      </w:pPr>
      <w:r w:rsidRPr="00EE6FF2">
        <w:rPr>
          <w:sz w:val="22"/>
          <w:szCs w:val="22"/>
        </w:rPr>
        <w:t>45,000,000</w:t>
      </w:r>
      <w:r w:rsidRPr="00EE6FF2" w:rsidR="00E95C91">
        <w:rPr>
          <w:sz w:val="22"/>
          <w:szCs w:val="22"/>
        </w:rPr>
        <w:t>,000</w:t>
      </w:r>
      <w:r w:rsidRPr="00EE6FF2">
        <w:rPr>
          <w:sz w:val="22"/>
          <w:szCs w:val="22"/>
        </w:rPr>
        <w:t xml:space="preserve"> interstate calls x .</w:t>
      </w:r>
      <w:r w:rsidRPr="00EE6FF2" w:rsidR="00E95C91">
        <w:rPr>
          <w:sz w:val="22"/>
          <w:szCs w:val="22"/>
        </w:rPr>
        <w:t>000</w:t>
      </w:r>
      <w:r w:rsidRPr="00EE6FF2">
        <w:rPr>
          <w:sz w:val="22"/>
          <w:szCs w:val="22"/>
        </w:rPr>
        <w:t>25 “operator assisted” = 11,250,000 interstate operator assisted calls</w:t>
      </w:r>
    </w:p>
    <w:p w:rsidR="002B2CDF" w:rsidP="008D6702" w:rsidRDefault="002600E6">
      <w:pPr>
        <w:tabs>
          <w:tab w:val="left" w:pos="2010"/>
        </w:tabs>
        <w:rPr>
          <w:sz w:val="22"/>
          <w:szCs w:val="22"/>
        </w:rPr>
      </w:pPr>
      <w:r>
        <w:rPr>
          <w:sz w:val="22"/>
          <w:szCs w:val="22"/>
        </w:rPr>
        <w:tab/>
      </w:r>
    </w:p>
    <w:p w:rsidR="00123611" w:rsidP="00BD0C5A" w:rsidRDefault="00123611">
      <w:pPr>
        <w:rPr>
          <w:sz w:val="22"/>
          <w:szCs w:val="22"/>
        </w:rPr>
      </w:pPr>
    </w:p>
    <w:p w:rsidRPr="005D4BA7" w:rsidR="009E3844" w:rsidP="0076325B" w:rsidRDefault="0076325B">
      <w:pPr>
        <w:ind w:left="360"/>
        <w:rPr>
          <w:sz w:val="22"/>
          <w:szCs w:val="22"/>
        </w:rPr>
      </w:pPr>
      <w:r w:rsidRPr="0076325B">
        <w:rPr>
          <w:sz w:val="22"/>
          <w:szCs w:val="22"/>
        </w:rPr>
        <w:t>(a)</w:t>
      </w:r>
      <w:r w:rsidRPr="0076325B">
        <w:rPr>
          <w:sz w:val="22"/>
          <w:szCs w:val="22"/>
        </w:rPr>
        <w:tab/>
      </w:r>
      <w:r w:rsidRPr="00E860DB" w:rsidR="009E3844">
        <w:rPr>
          <w:sz w:val="22"/>
          <w:szCs w:val="22"/>
          <w:u w:val="single"/>
        </w:rPr>
        <w:t>Section 64.703(a)(1)-(</w:t>
      </w:r>
      <w:r w:rsidR="00827DE9">
        <w:rPr>
          <w:sz w:val="22"/>
          <w:szCs w:val="22"/>
          <w:u w:val="single"/>
        </w:rPr>
        <w:t>4</w:t>
      </w:r>
      <w:r w:rsidRPr="00E860DB" w:rsidR="009E3844">
        <w:rPr>
          <w:sz w:val="22"/>
          <w:szCs w:val="22"/>
          <w:u w:val="single"/>
        </w:rPr>
        <w:t>)</w:t>
      </w:r>
      <w:r w:rsidRPr="00E860DB" w:rsidR="00E860DB">
        <w:rPr>
          <w:sz w:val="22"/>
          <w:szCs w:val="22"/>
          <w:u w:val="single"/>
        </w:rPr>
        <w:t>, Consumer Information</w:t>
      </w:r>
      <w:r w:rsidR="00E860DB">
        <w:rPr>
          <w:sz w:val="22"/>
          <w:szCs w:val="22"/>
        </w:rPr>
        <w:t>:</w:t>
      </w:r>
    </w:p>
    <w:p w:rsidRPr="005D4BA7" w:rsidR="009E3844" w:rsidP="009E3844" w:rsidRDefault="009E3844">
      <w:pPr>
        <w:rPr>
          <w:sz w:val="22"/>
          <w:szCs w:val="22"/>
        </w:rPr>
      </w:pPr>
    </w:p>
    <w:p w:rsidR="00B220DA" w:rsidP="0019506D" w:rsidRDefault="00B220DA">
      <w:pPr>
        <w:ind w:left="3150" w:hanging="2430"/>
        <w:rPr>
          <w:sz w:val="22"/>
          <w:szCs w:val="22"/>
        </w:rPr>
      </w:pPr>
      <w:r w:rsidRPr="00B220DA">
        <w:rPr>
          <w:sz w:val="22"/>
          <w:szCs w:val="22"/>
        </w:rPr>
        <w:t>(1)</w:t>
      </w:r>
      <w:r>
        <w:rPr>
          <w:b/>
          <w:sz w:val="22"/>
          <w:szCs w:val="22"/>
        </w:rPr>
        <w:t xml:space="preserve"> </w:t>
      </w:r>
      <w:r w:rsidR="006B6DB5">
        <w:rPr>
          <w:b/>
          <w:sz w:val="22"/>
          <w:szCs w:val="22"/>
        </w:rPr>
        <w:t xml:space="preserve"> </w:t>
      </w:r>
      <w:r w:rsidRPr="0019506D" w:rsidR="0019506D">
        <w:rPr>
          <w:b/>
          <w:sz w:val="22"/>
          <w:szCs w:val="22"/>
        </w:rPr>
        <w:t>Number of Respondents:</w:t>
      </w:r>
      <w:r w:rsidR="0019506D">
        <w:rPr>
          <w:sz w:val="22"/>
          <w:szCs w:val="22"/>
        </w:rPr>
        <w:t xml:space="preserve"> </w:t>
      </w:r>
      <w:r w:rsidRPr="00EE6FF2" w:rsidR="00B46E26">
        <w:rPr>
          <w:sz w:val="22"/>
          <w:szCs w:val="22"/>
        </w:rPr>
        <w:t>1,418</w:t>
      </w:r>
      <w:r w:rsidRPr="00EE6FF2">
        <w:rPr>
          <w:sz w:val="22"/>
          <w:szCs w:val="22"/>
        </w:rPr>
        <w:t xml:space="preserve"> respondents</w:t>
      </w:r>
    </w:p>
    <w:p w:rsidR="00B220DA" w:rsidP="0019506D" w:rsidRDefault="00B220DA">
      <w:pPr>
        <w:ind w:left="3150" w:hanging="2430"/>
        <w:rPr>
          <w:sz w:val="22"/>
          <w:szCs w:val="22"/>
        </w:rPr>
      </w:pPr>
    </w:p>
    <w:p w:rsidR="00FD52A8" w:rsidP="004A0967" w:rsidRDefault="000F4557">
      <w:pPr>
        <w:tabs>
          <w:tab w:val="left" w:pos="1080"/>
        </w:tabs>
        <w:ind w:left="1080"/>
        <w:rPr>
          <w:sz w:val="22"/>
          <w:szCs w:val="22"/>
        </w:rPr>
      </w:pPr>
      <w:r>
        <w:rPr>
          <w:sz w:val="22"/>
          <w:szCs w:val="22"/>
        </w:rPr>
        <w:t xml:space="preserve">The Commission </w:t>
      </w:r>
      <w:r w:rsidR="00831A0A">
        <w:rPr>
          <w:sz w:val="22"/>
          <w:szCs w:val="22"/>
        </w:rPr>
        <w:t xml:space="preserve">estimates there are approximately </w:t>
      </w:r>
      <w:r w:rsidR="00EE6FF2">
        <w:rPr>
          <w:sz w:val="22"/>
          <w:szCs w:val="22"/>
        </w:rPr>
        <w:t>1,418</w:t>
      </w:r>
      <w:r w:rsidR="00831A0A">
        <w:rPr>
          <w:sz w:val="22"/>
          <w:szCs w:val="22"/>
        </w:rPr>
        <w:t xml:space="preserve"> OSPs</w:t>
      </w:r>
      <w:r w:rsidR="0019506D">
        <w:rPr>
          <w:sz w:val="22"/>
          <w:szCs w:val="22"/>
        </w:rPr>
        <w:t xml:space="preserve"> (respondents)</w:t>
      </w:r>
      <w:r w:rsidR="00831A0A">
        <w:rPr>
          <w:sz w:val="22"/>
          <w:szCs w:val="22"/>
        </w:rPr>
        <w:t xml:space="preserve"> </w:t>
      </w:r>
      <w:r w:rsidR="007C0792">
        <w:rPr>
          <w:sz w:val="22"/>
          <w:szCs w:val="22"/>
        </w:rPr>
        <w:t>that must provide th</w:t>
      </w:r>
      <w:r w:rsidR="00011030">
        <w:rPr>
          <w:sz w:val="22"/>
          <w:szCs w:val="22"/>
        </w:rPr>
        <w:t>e information collection requirements contained in this rule section</w:t>
      </w:r>
      <w:r w:rsidR="007C0792">
        <w:rPr>
          <w:sz w:val="22"/>
          <w:szCs w:val="22"/>
        </w:rPr>
        <w:t xml:space="preserve"> to </w:t>
      </w:r>
      <w:r w:rsidR="00831A0A">
        <w:rPr>
          <w:sz w:val="22"/>
          <w:szCs w:val="22"/>
        </w:rPr>
        <w:t>consumers</w:t>
      </w:r>
      <w:r w:rsidR="00540013">
        <w:rPr>
          <w:sz w:val="22"/>
          <w:szCs w:val="22"/>
        </w:rPr>
        <w:t>.</w:t>
      </w:r>
      <w:r w:rsidR="00831A0A">
        <w:rPr>
          <w:sz w:val="22"/>
          <w:szCs w:val="22"/>
        </w:rPr>
        <w:t xml:space="preserve"> </w:t>
      </w:r>
    </w:p>
    <w:p w:rsidR="00FD52A8" w:rsidP="00744E62" w:rsidRDefault="00FD52A8">
      <w:pPr>
        <w:ind w:left="720"/>
        <w:rPr>
          <w:sz w:val="22"/>
          <w:szCs w:val="22"/>
        </w:rPr>
      </w:pPr>
    </w:p>
    <w:p w:rsidRPr="00DE7BAF" w:rsidR="00DE7BAF" w:rsidP="00744E62" w:rsidRDefault="00B220DA">
      <w:pPr>
        <w:ind w:left="720"/>
        <w:rPr>
          <w:b/>
          <w:sz w:val="22"/>
          <w:szCs w:val="22"/>
        </w:rPr>
      </w:pPr>
      <w:r w:rsidRPr="00B220DA">
        <w:rPr>
          <w:sz w:val="22"/>
          <w:szCs w:val="22"/>
        </w:rPr>
        <w:t>(2)</w:t>
      </w:r>
      <w:r>
        <w:rPr>
          <w:b/>
          <w:sz w:val="22"/>
          <w:szCs w:val="22"/>
        </w:rPr>
        <w:t xml:space="preserve"> </w:t>
      </w:r>
      <w:r w:rsidR="006B6DB5">
        <w:rPr>
          <w:b/>
          <w:sz w:val="22"/>
          <w:szCs w:val="22"/>
        </w:rPr>
        <w:t xml:space="preserve"> </w:t>
      </w:r>
      <w:r w:rsidRPr="00DE7BAF" w:rsidR="00DE7BAF">
        <w:rPr>
          <w:b/>
          <w:sz w:val="22"/>
          <w:szCs w:val="22"/>
        </w:rPr>
        <w:t xml:space="preserve">Frequency of Response: </w:t>
      </w:r>
      <w:r w:rsidR="00DE7BAF">
        <w:rPr>
          <w:b/>
          <w:sz w:val="22"/>
          <w:szCs w:val="22"/>
        </w:rPr>
        <w:t xml:space="preserve"> </w:t>
      </w:r>
      <w:r w:rsidRPr="00DE7BAF" w:rsidR="00DE7BAF">
        <w:rPr>
          <w:sz w:val="22"/>
          <w:szCs w:val="22"/>
        </w:rPr>
        <w:t>On occasion reporting requirements</w:t>
      </w:r>
    </w:p>
    <w:p w:rsidR="00DE7BAF" w:rsidP="00744E62" w:rsidRDefault="00DE7BAF">
      <w:pPr>
        <w:ind w:left="720"/>
        <w:rPr>
          <w:sz w:val="22"/>
          <w:szCs w:val="22"/>
        </w:rPr>
      </w:pPr>
    </w:p>
    <w:p w:rsidR="00BA3404" w:rsidP="00BA3404" w:rsidRDefault="00BA3404">
      <w:pPr>
        <w:ind w:left="1080"/>
        <w:rPr>
          <w:sz w:val="22"/>
          <w:szCs w:val="22"/>
        </w:rPr>
      </w:pPr>
      <w:r w:rsidRPr="005D4BA7">
        <w:rPr>
          <w:sz w:val="22"/>
          <w:szCs w:val="22"/>
        </w:rPr>
        <w:t>The frequency of response</w:t>
      </w:r>
      <w:r>
        <w:rPr>
          <w:sz w:val="22"/>
          <w:szCs w:val="22"/>
        </w:rPr>
        <w:t xml:space="preserve"> </w:t>
      </w:r>
      <w:r w:rsidRPr="005D4BA7">
        <w:rPr>
          <w:sz w:val="22"/>
          <w:szCs w:val="22"/>
        </w:rPr>
        <w:t>var</w:t>
      </w:r>
      <w:r>
        <w:rPr>
          <w:sz w:val="22"/>
          <w:szCs w:val="22"/>
        </w:rPr>
        <w:t>ies</w:t>
      </w:r>
      <w:r w:rsidRPr="005D4BA7">
        <w:rPr>
          <w:sz w:val="22"/>
          <w:szCs w:val="22"/>
        </w:rPr>
        <w:t xml:space="preserve"> according to the number of </w:t>
      </w:r>
      <w:r w:rsidR="00827DE9">
        <w:rPr>
          <w:sz w:val="22"/>
          <w:szCs w:val="22"/>
        </w:rPr>
        <w:t xml:space="preserve">non-prison </w:t>
      </w:r>
      <w:r>
        <w:rPr>
          <w:sz w:val="22"/>
          <w:szCs w:val="22"/>
        </w:rPr>
        <w:t>“</w:t>
      </w:r>
      <w:r w:rsidRPr="005D4BA7">
        <w:rPr>
          <w:sz w:val="22"/>
          <w:szCs w:val="22"/>
        </w:rPr>
        <w:t>operator</w:t>
      </w:r>
      <w:r>
        <w:rPr>
          <w:sz w:val="22"/>
          <w:szCs w:val="22"/>
        </w:rPr>
        <w:t xml:space="preserve"> </w:t>
      </w:r>
      <w:r w:rsidRPr="005D4BA7">
        <w:rPr>
          <w:sz w:val="22"/>
          <w:szCs w:val="22"/>
        </w:rPr>
        <w:t>assisted</w:t>
      </w:r>
      <w:r>
        <w:rPr>
          <w:sz w:val="22"/>
          <w:szCs w:val="22"/>
        </w:rPr>
        <w:t>” interstate telephone</w:t>
      </w:r>
      <w:r w:rsidRPr="005D4BA7">
        <w:rPr>
          <w:sz w:val="22"/>
          <w:szCs w:val="22"/>
        </w:rPr>
        <w:t xml:space="preserve"> calls </w:t>
      </w:r>
      <w:r>
        <w:rPr>
          <w:sz w:val="22"/>
          <w:szCs w:val="22"/>
        </w:rPr>
        <w:t xml:space="preserve">the </w:t>
      </w:r>
      <w:r w:rsidR="00C92410">
        <w:rPr>
          <w:sz w:val="22"/>
          <w:szCs w:val="22"/>
        </w:rPr>
        <w:t xml:space="preserve">respondents </w:t>
      </w:r>
      <w:r w:rsidRPr="005D4BA7">
        <w:rPr>
          <w:sz w:val="22"/>
          <w:szCs w:val="22"/>
        </w:rPr>
        <w:t>handle</w:t>
      </w:r>
      <w:r>
        <w:rPr>
          <w:sz w:val="22"/>
          <w:szCs w:val="22"/>
        </w:rPr>
        <w:t xml:space="preserve"> annually.</w:t>
      </w:r>
      <w:r w:rsidRPr="005D4BA7">
        <w:rPr>
          <w:sz w:val="22"/>
          <w:szCs w:val="22"/>
        </w:rPr>
        <w:t xml:space="preserve"> </w:t>
      </w:r>
    </w:p>
    <w:p w:rsidR="00072D02" w:rsidP="00744E62" w:rsidRDefault="00072D02">
      <w:pPr>
        <w:ind w:left="720"/>
        <w:rPr>
          <w:sz w:val="22"/>
          <w:szCs w:val="22"/>
        </w:rPr>
      </w:pPr>
    </w:p>
    <w:p w:rsidR="00827DE9" w:rsidP="00FD52A8" w:rsidRDefault="00827DE9">
      <w:pPr>
        <w:ind w:left="1080" w:hanging="360"/>
        <w:rPr>
          <w:b/>
          <w:sz w:val="22"/>
          <w:szCs w:val="22"/>
        </w:rPr>
      </w:pPr>
      <w:r>
        <w:rPr>
          <w:sz w:val="22"/>
          <w:szCs w:val="22"/>
        </w:rPr>
        <w:t xml:space="preserve">(3)  </w:t>
      </w:r>
      <w:r w:rsidRPr="00827DE9">
        <w:rPr>
          <w:b/>
          <w:sz w:val="22"/>
          <w:szCs w:val="22"/>
        </w:rPr>
        <w:t>Number of Responses:</w:t>
      </w:r>
    </w:p>
    <w:p w:rsidR="00827DE9" w:rsidP="00FD52A8" w:rsidRDefault="00827DE9">
      <w:pPr>
        <w:ind w:left="1080" w:hanging="360"/>
        <w:rPr>
          <w:sz w:val="22"/>
          <w:szCs w:val="22"/>
        </w:rPr>
      </w:pPr>
    </w:p>
    <w:p w:rsidRPr="00CB46BE" w:rsidR="00827DE9" w:rsidP="00827DE9" w:rsidRDefault="00827DE9">
      <w:pPr>
        <w:ind w:left="1080"/>
        <w:rPr>
          <w:sz w:val="22"/>
          <w:szCs w:val="22"/>
        </w:rPr>
      </w:pPr>
      <w:r>
        <w:rPr>
          <w:sz w:val="22"/>
          <w:szCs w:val="22"/>
        </w:rPr>
        <w:t xml:space="preserve">Of the </w:t>
      </w:r>
      <w:r w:rsidRPr="00CB46BE">
        <w:rPr>
          <w:sz w:val="22"/>
          <w:szCs w:val="22"/>
        </w:rPr>
        <w:t xml:space="preserve">11,250,000 “operator assisted” calls, the Commission estimates that approximately 45% (.45) are made by consumers who are </w:t>
      </w:r>
      <w:r w:rsidRPr="00CB46BE">
        <w:rPr>
          <w:sz w:val="22"/>
          <w:szCs w:val="22"/>
          <w:u w:val="single"/>
        </w:rPr>
        <w:t>not</w:t>
      </w:r>
      <w:r w:rsidRPr="00CB46BE">
        <w:rPr>
          <w:sz w:val="22"/>
          <w:szCs w:val="22"/>
        </w:rPr>
        <w:t xml:space="preserve"> residents of penal institutions (</w:t>
      </w:r>
      <w:r w:rsidRPr="00CE11BE">
        <w:rPr>
          <w:sz w:val="22"/>
          <w:szCs w:val="22"/>
        </w:rPr>
        <w:t>i.e.,</w:t>
      </w:r>
      <w:r w:rsidRPr="00CB46BE">
        <w:rPr>
          <w:sz w:val="22"/>
          <w:szCs w:val="22"/>
        </w:rPr>
        <w:t xml:space="preserve"> from pay phones, hotels, hospitals, collect calls):</w:t>
      </w:r>
    </w:p>
    <w:p w:rsidRPr="00CB46BE" w:rsidR="00827DE9" w:rsidP="00827DE9" w:rsidRDefault="00827DE9">
      <w:pPr>
        <w:ind w:left="720"/>
        <w:rPr>
          <w:sz w:val="22"/>
          <w:szCs w:val="22"/>
        </w:rPr>
      </w:pPr>
    </w:p>
    <w:p w:rsidR="00827DE9" w:rsidP="00827DE9" w:rsidRDefault="00827DE9">
      <w:pPr>
        <w:ind w:left="1440"/>
        <w:rPr>
          <w:sz w:val="22"/>
          <w:szCs w:val="22"/>
        </w:rPr>
      </w:pPr>
      <w:r w:rsidRPr="00CB46BE">
        <w:rPr>
          <w:sz w:val="22"/>
          <w:szCs w:val="22"/>
        </w:rPr>
        <w:t>11,250,000 x .45/non-penal institutional consumers = 5</w:t>
      </w:r>
      <w:r w:rsidRPr="00CB46BE" w:rsidR="00DA6431">
        <w:rPr>
          <w:sz w:val="22"/>
          <w:szCs w:val="22"/>
        </w:rPr>
        <w:t>,</w:t>
      </w:r>
      <w:r w:rsidRPr="00CB46BE">
        <w:rPr>
          <w:sz w:val="22"/>
          <w:szCs w:val="22"/>
        </w:rPr>
        <w:t>062</w:t>
      </w:r>
      <w:r w:rsidRPr="00CB46BE" w:rsidR="00DA6431">
        <w:rPr>
          <w:sz w:val="22"/>
          <w:szCs w:val="22"/>
        </w:rPr>
        <w:t>,</w:t>
      </w:r>
      <w:r w:rsidRPr="00CB46BE">
        <w:rPr>
          <w:sz w:val="22"/>
          <w:szCs w:val="22"/>
        </w:rPr>
        <w:t>50</w:t>
      </w:r>
      <w:r w:rsidRPr="00CB46BE" w:rsidR="00DA6431">
        <w:rPr>
          <w:sz w:val="22"/>
          <w:szCs w:val="22"/>
        </w:rPr>
        <w:t>0</w:t>
      </w:r>
      <w:r w:rsidRPr="00CB46BE">
        <w:rPr>
          <w:sz w:val="22"/>
          <w:szCs w:val="22"/>
        </w:rPr>
        <w:t xml:space="preserve"> “operator assisted” calls</w:t>
      </w:r>
    </w:p>
    <w:p w:rsidR="00827DE9" w:rsidP="00FD52A8" w:rsidRDefault="00827DE9">
      <w:pPr>
        <w:ind w:left="1080" w:hanging="360"/>
        <w:rPr>
          <w:sz w:val="22"/>
          <w:szCs w:val="22"/>
        </w:rPr>
      </w:pPr>
    </w:p>
    <w:p w:rsidR="00EC6A8F" w:rsidP="00827DE9" w:rsidRDefault="00FD52A8">
      <w:pPr>
        <w:ind w:firstLine="720"/>
        <w:rPr>
          <w:sz w:val="22"/>
          <w:szCs w:val="22"/>
        </w:rPr>
      </w:pPr>
      <w:r>
        <w:rPr>
          <w:sz w:val="22"/>
          <w:szCs w:val="22"/>
        </w:rPr>
        <w:t>(</w:t>
      </w:r>
      <w:r w:rsidR="00827DE9">
        <w:rPr>
          <w:sz w:val="22"/>
          <w:szCs w:val="22"/>
        </w:rPr>
        <w:t>4</w:t>
      </w:r>
      <w:r>
        <w:rPr>
          <w:sz w:val="22"/>
          <w:szCs w:val="22"/>
        </w:rPr>
        <w:t xml:space="preserve">)  </w:t>
      </w:r>
      <w:r w:rsidRPr="00EC6A8F" w:rsidR="00EC6A8F">
        <w:rPr>
          <w:b/>
          <w:sz w:val="22"/>
          <w:szCs w:val="22"/>
        </w:rPr>
        <w:t>Annual Hourly Burden:</w:t>
      </w:r>
      <w:r w:rsidR="00EC6A8F">
        <w:rPr>
          <w:sz w:val="22"/>
          <w:szCs w:val="22"/>
        </w:rPr>
        <w:t xml:space="preserve"> </w:t>
      </w:r>
    </w:p>
    <w:p w:rsidR="00EC6A8F" w:rsidP="00FD52A8" w:rsidRDefault="00EC6A8F">
      <w:pPr>
        <w:ind w:left="1080" w:hanging="360"/>
        <w:rPr>
          <w:sz w:val="22"/>
          <w:szCs w:val="22"/>
        </w:rPr>
      </w:pPr>
    </w:p>
    <w:p w:rsidR="00540013" w:rsidP="00BF4675" w:rsidRDefault="00441CD2">
      <w:pPr>
        <w:ind w:left="1440" w:hanging="360"/>
        <w:rPr>
          <w:sz w:val="22"/>
          <w:szCs w:val="22"/>
        </w:rPr>
      </w:pPr>
      <w:r>
        <w:rPr>
          <w:sz w:val="22"/>
          <w:szCs w:val="22"/>
        </w:rPr>
        <w:t>(a)</w:t>
      </w:r>
      <w:r>
        <w:rPr>
          <w:sz w:val="22"/>
          <w:szCs w:val="22"/>
        </w:rPr>
        <w:tab/>
      </w:r>
      <w:r w:rsidR="00E32A6C">
        <w:rPr>
          <w:sz w:val="22"/>
          <w:szCs w:val="22"/>
        </w:rPr>
        <w:t>Among</w:t>
      </w:r>
      <w:r w:rsidR="00BF4675">
        <w:rPr>
          <w:sz w:val="22"/>
          <w:szCs w:val="22"/>
        </w:rPr>
        <w:t xml:space="preserve"> </w:t>
      </w:r>
      <w:r w:rsidR="00E32A6C">
        <w:rPr>
          <w:sz w:val="22"/>
          <w:szCs w:val="22"/>
        </w:rPr>
        <w:t>the information</w:t>
      </w:r>
      <w:r w:rsidR="001E09C3">
        <w:rPr>
          <w:sz w:val="22"/>
          <w:szCs w:val="22"/>
        </w:rPr>
        <w:t xml:space="preserve"> contained in the automated service recordings</w:t>
      </w:r>
      <w:r w:rsidR="00E32A6C">
        <w:rPr>
          <w:sz w:val="22"/>
          <w:szCs w:val="22"/>
        </w:rPr>
        <w:t xml:space="preserve"> that </w:t>
      </w:r>
      <w:r w:rsidR="00C92410">
        <w:rPr>
          <w:sz w:val="22"/>
          <w:szCs w:val="22"/>
        </w:rPr>
        <w:t xml:space="preserve">respondents </w:t>
      </w:r>
      <w:r w:rsidR="00E32A6C">
        <w:rPr>
          <w:sz w:val="22"/>
          <w:szCs w:val="22"/>
        </w:rPr>
        <w:t xml:space="preserve">must disclose to the consumer </w:t>
      </w:r>
      <w:r w:rsidR="00E86A8E">
        <w:rPr>
          <w:sz w:val="22"/>
          <w:szCs w:val="22"/>
        </w:rPr>
        <w:t xml:space="preserve">during the “operator assisted” </w:t>
      </w:r>
      <w:r w:rsidR="0006484D">
        <w:rPr>
          <w:sz w:val="22"/>
          <w:szCs w:val="22"/>
        </w:rPr>
        <w:t>int</w:t>
      </w:r>
      <w:r w:rsidR="00450DDA">
        <w:rPr>
          <w:sz w:val="22"/>
          <w:szCs w:val="22"/>
        </w:rPr>
        <w:t>e</w:t>
      </w:r>
      <w:r w:rsidR="0006484D">
        <w:rPr>
          <w:sz w:val="22"/>
          <w:szCs w:val="22"/>
        </w:rPr>
        <w:t xml:space="preserve">rstate </w:t>
      </w:r>
      <w:r w:rsidR="00517205">
        <w:rPr>
          <w:sz w:val="22"/>
          <w:szCs w:val="22"/>
        </w:rPr>
        <w:t>call</w:t>
      </w:r>
      <w:r w:rsidR="005D06D8">
        <w:rPr>
          <w:sz w:val="22"/>
          <w:szCs w:val="22"/>
        </w:rPr>
        <w:t>s made annually</w:t>
      </w:r>
      <w:r w:rsidR="00517205">
        <w:rPr>
          <w:sz w:val="22"/>
          <w:szCs w:val="22"/>
        </w:rPr>
        <w:t xml:space="preserve"> </w:t>
      </w:r>
      <w:r w:rsidR="001B4716">
        <w:rPr>
          <w:sz w:val="22"/>
          <w:szCs w:val="22"/>
        </w:rPr>
        <w:t>are</w:t>
      </w:r>
      <w:r w:rsidR="00E32A6C">
        <w:rPr>
          <w:sz w:val="22"/>
          <w:szCs w:val="22"/>
        </w:rPr>
        <w:t xml:space="preserve">:  </w:t>
      </w:r>
    </w:p>
    <w:p w:rsidR="00BF4675" w:rsidP="00BF4675" w:rsidRDefault="00BF4675">
      <w:pPr>
        <w:ind w:left="1440" w:hanging="360"/>
        <w:rPr>
          <w:sz w:val="22"/>
          <w:szCs w:val="22"/>
        </w:rPr>
      </w:pPr>
    </w:p>
    <w:p w:rsidR="008D0118" w:rsidP="008D0118" w:rsidRDefault="00E32A6C">
      <w:pPr>
        <w:tabs>
          <w:tab w:val="left" w:pos="1080"/>
        </w:tabs>
        <w:ind w:left="2160"/>
        <w:rPr>
          <w:sz w:val="22"/>
          <w:szCs w:val="22"/>
        </w:rPr>
      </w:pPr>
      <w:r w:rsidRPr="005D4BA7">
        <w:rPr>
          <w:sz w:val="22"/>
          <w:szCs w:val="22"/>
        </w:rPr>
        <w:t>identity</w:t>
      </w:r>
      <w:r w:rsidR="00E82A4B">
        <w:rPr>
          <w:sz w:val="22"/>
          <w:szCs w:val="22"/>
        </w:rPr>
        <w:t xml:space="preserve"> of OSP</w:t>
      </w:r>
      <w:r w:rsidR="00517205">
        <w:rPr>
          <w:sz w:val="22"/>
          <w:szCs w:val="22"/>
        </w:rPr>
        <w:t>;</w:t>
      </w:r>
      <w:r w:rsidRPr="005D4BA7">
        <w:rPr>
          <w:sz w:val="22"/>
          <w:szCs w:val="22"/>
        </w:rPr>
        <w:t xml:space="preserve"> </w:t>
      </w:r>
      <w:r>
        <w:rPr>
          <w:sz w:val="22"/>
          <w:szCs w:val="22"/>
        </w:rPr>
        <w:t xml:space="preserve">call </w:t>
      </w:r>
      <w:r w:rsidR="009F5F91">
        <w:rPr>
          <w:sz w:val="22"/>
          <w:szCs w:val="22"/>
        </w:rPr>
        <w:t>charges</w:t>
      </w:r>
      <w:r>
        <w:rPr>
          <w:sz w:val="22"/>
          <w:szCs w:val="22"/>
        </w:rPr>
        <w:t>;</w:t>
      </w:r>
      <w:r w:rsidR="00540013">
        <w:rPr>
          <w:sz w:val="22"/>
          <w:szCs w:val="22"/>
        </w:rPr>
        <w:t xml:space="preserve"> </w:t>
      </w:r>
      <w:r w:rsidRPr="005D4BA7">
        <w:rPr>
          <w:sz w:val="22"/>
          <w:szCs w:val="22"/>
        </w:rPr>
        <w:t>collection methods for the charges</w:t>
      </w:r>
      <w:r>
        <w:rPr>
          <w:sz w:val="22"/>
          <w:szCs w:val="22"/>
        </w:rPr>
        <w:t xml:space="preserve">; </w:t>
      </w:r>
      <w:r w:rsidRPr="005D4BA7">
        <w:rPr>
          <w:sz w:val="22"/>
          <w:szCs w:val="22"/>
        </w:rPr>
        <w:t>complain</w:t>
      </w:r>
      <w:r>
        <w:rPr>
          <w:sz w:val="22"/>
          <w:szCs w:val="22"/>
        </w:rPr>
        <w:t>t</w:t>
      </w:r>
      <w:r w:rsidRPr="005D4BA7">
        <w:rPr>
          <w:sz w:val="22"/>
          <w:szCs w:val="22"/>
        </w:rPr>
        <w:t xml:space="preserve"> procedures</w:t>
      </w:r>
      <w:r w:rsidR="0036474F">
        <w:rPr>
          <w:sz w:val="22"/>
          <w:szCs w:val="22"/>
        </w:rPr>
        <w:t>; and</w:t>
      </w:r>
      <w:r w:rsidRPr="005D4BA7">
        <w:rPr>
          <w:sz w:val="22"/>
          <w:szCs w:val="22"/>
        </w:rPr>
        <w:t xml:space="preserve"> </w:t>
      </w:r>
      <w:r w:rsidR="0036474F">
        <w:rPr>
          <w:sz w:val="22"/>
          <w:szCs w:val="22"/>
        </w:rPr>
        <w:t>how consumers may obtain all applicable charges for a call placed through the OSP, without the caller having to hang up to dial a separate number.</w:t>
      </w:r>
    </w:p>
    <w:p w:rsidR="008D0118" w:rsidP="008D0118" w:rsidRDefault="008D0118">
      <w:pPr>
        <w:tabs>
          <w:tab w:val="left" w:pos="1080"/>
        </w:tabs>
        <w:ind w:left="2160"/>
        <w:rPr>
          <w:sz w:val="22"/>
          <w:szCs w:val="22"/>
        </w:rPr>
      </w:pPr>
    </w:p>
    <w:p w:rsidR="001B4716" w:rsidP="008D0118" w:rsidRDefault="00670130">
      <w:pPr>
        <w:ind w:left="1440" w:hanging="360"/>
        <w:rPr>
          <w:sz w:val="22"/>
          <w:szCs w:val="22"/>
        </w:rPr>
      </w:pPr>
      <w:r>
        <w:rPr>
          <w:sz w:val="22"/>
          <w:szCs w:val="22"/>
        </w:rPr>
        <w:t>(</w:t>
      </w:r>
      <w:r w:rsidR="00827DE9">
        <w:rPr>
          <w:sz w:val="22"/>
          <w:szCs w:val="22"/>
        </w:rPr>
        <w:t>b</w:t>
      </w:r>
      <w:r>
        <w:rPr>
          <w:sz w:val="22"/>
          <w:szCs w:val="22"/>
        </w:rPr>
        <w:t>)</w:t>
      </w:r>
      <w:r w:rsidR="008D0118">
        <w:rPr>
          <w:sz w:val="22"/>
          <w:szCs w:val="22"/>
        </w:rPr>
        <w:tab/>
      </w:r>
      <w:r w:rsidR="001320ED">
        <w:rPr>
          <w:sz w:val="22"/>
          <w:szCs w:val="22"/>
        </w:rPr>
        <w:t xml:space="preserve">The Commission believes that </w:t>
      </w:r>
      <w:r w:rsidR="0072578A">
        <w:rPr>
          <w:sz w:val="22"/>
          <w:szCs w:val="22"/>
        </w:rPr>
        <w:t xml:space="preserve">even when “operator assistance” is required, </w:t>
      </w:r>
      <w:r w:rsidR="008C77A8">
        <w:rPr>
          <w:sz w:val="22"/>
          <w:szCs w:val="22"/>
        </w:rPr>
        <w:t xml:space="preserve">respondents </w:t>
      </w:r>
      <w:r w:rsidR="00FD52A8">
        <w:rPr>
          <w:sz w:val="22"/>
          <w:szCs w:val="22"/>
        </w:rPr>
        <w:t xml:space="preserve">will use </w:t>
      </w:r>
      <w:r w:rsidRPr="005D4BA7" w:rsidR="009E3844">
        <w:rPr>
          <w:sz w:val="22"/>
          <w:szCs w:val="22"/>
        </w:rPr>
        <w:t>automated recording</w:t>
      </w:r>
      <w:r w:rsidR="00FD52A8">
        <w:rPr>
          <w:sz w:val="22"/>
          <w:szCs w:val="22"/>
        </w:rPr>
        <w:t>s</w:t>
      </w:r>
      <w:r w:rsidR="00F64CDB">
        <w:rPr>
          <w:sz w:val="22"/>
          <w:szCs w:val="22"/>
        </w:rPr>
        <w:t xml:space="preserve"> and other computer</w:t>
      </w:r>
      <w:r w:rsidR="008F0C5E">
        <w:rPr>
          <w:sz w:val="22"/>
          <w:szCs w:val="22"/>
        </w:rPr>
        <w:t>-</w:t>
      </w:r>
      <w:r w:rsidR="00F64CDB">
        <w:rPr>
          <w:sz w:val="22"/>
          <w:szCs w:val="22"/>
        </w:rPr>
        <w:t>assisted mechanisms</w:t>
      </w:r>
      <w:r w:rsidRPr="005D4BA7" w:rsidR="009E3844">
        <w:rPr>
          <w:sz w:val="22"/>
          <w:szCs w:val="22"/>
        </w:rPr>
        <w:t xml:space="preserve"> </w:t>
      </w:r>
      <w:r w:rsidR="00FD52A8">
        <w:rPr>
          <w:sz w:val="22"/>
          <w:szCs w:val="22"/>
        </w:rPr>
        <w:t>t</w:t>
      </w:r>
      <w:r w:rsidRPr="005D4BA7" w:rsidR="009E3844">
        <w:rPr>
          <w:sz w:val="22"/>
          <w:szCs w:val="22"/>
        </w:rPr>
        <w:t>o</w:t>
      </w:r>
      <w:r w:rsidR="00FD52A8">
        <w:rPr>
          <w:sz w:val="22"/>
          <w:szCs w:val="22"/>
        </w:rPr>
        <w:t xml:space="preserve"> provide this </w:t>
      </w:r>
      <w:r w:rsidRPr="005D4BA7" w:rsidR="009E3844">
        <w:rPr>
          <w:sz w:val="22"/>
          <w:szCs w:val="22"/>
        </w:rPr>
        <w:t>information</w:t>
      </w:r>
      <w:r w:rsidR="00D4006E">
        <w:rPr>
          <w:sz w:val="22"/>
          <w:szCs w:val="22"/>
        </w:rPr>
        <w:t>, as allowed by 47 CFR §64.703(a)(</w:t>
      </w:r>
      <w:r w:rsidR="00AE0AF0">
        <w:rPr>
          <w:sz w:val="22"/>
          <w:szCs w:val="22"/>
        </w:rPr>
        <w:t>1)-(3</w:t>
      </w:r>
      <w:r w:rsidR="00D4006E">
        <w:rPr>
          <w:sz w:val="22"/>
          <w:szCs w:val="22"/>
        </w:rPr>
        <w:t>)</w:t>
      </w:r>
      <w:r w:rsidR="0072578A">
        <w:rPr>
          <w:sz w:val="22"/>
          <w:szCs w:val="22"/>
        </w:rPr>
        <w:t>.  Thus:</w:t>
      </w:r>
    </w:p>
    <w:p w:rsidR="00C74B8D" w:rsidP="00C74B8D" w:rsidRDefault="00C74B8D">
      <w:pPr>
        <w:ind w:left="1080"/>
        <w:rPr>
          <w:sz w:val="22"/>
          <w:szCs w:val="22"/>
        </w:rPr>
      </w:pPr>
    </w:p>
    <w:p w:rsidR="0072227D" w:rsidP="00540013" w:rsidRDefault="0072227D">
      <w:pPr>
        <w:ind w:left="2160"/>
        <w:rPr>
          <w:sz w:val="22"/>
          <w:szCs w:val="22"/>
        </w:rPr>
      </w:pPr>
      <w:r w:rsidRPr="005D4BA7">
        <w:rPr>
          <w:sz w:val="22"/>
          <w:szCs w:val="22"/>
        </w:rPr>
        <w:t xml:space="preserve">The </w:t>
      </w:r>
      <w:r>
        <w:rPr>
          <w:sz w:val="22"/>
          <w:szCs w:val="22"/>
        </w:rPr>
        <w:t>Commission estimates that current technology and message information processes require OSP</w:t>
      </w:r>
      <w:r w:rsidR="00D367B2">
        <w:rPr>
          <w:sz w:val="22"/>
          <w:szCs w:val="22"/>
        </w:rPr>
        <w:t>s</w:t>
      </w:r>
      <w:r>
        <w:rPr>
          <w:sz w:val="22"/>
          <w:szCs w:val="22"/>
        </w:rPr>
        <w:t xml:space="preserve"> to spend approximately </w:t>
      </w:r>
      <w:r w:rsidR="0036474F">
        <w:rPr>
          <w:sz w:val="22"/>
          <w:szCs w:val="22"/>
        </w:rPr>
        <w:t>4</w:t>
      </w:r>
      <w:r>
        <w:rPr>
          <w:sz w:val="22"/>
          <w:szCs w:val="22"/>
        </w:rPr>
        <w:t xml:space="preserve"> hours annually preparing</w:t>
      </w:r>
      <w:r w:rsidR="00773210">
        <w:rPr>
          <w:sz w:val="22"/>
          <w:szCs w:val="22"/>
        </w:rPr>
        <w:t xml:space="preserve"> the message</w:t>
      </w:r>
      <w:r w:rsidRPr="009A75BA">
        <w:rPr>
          <w:sz w:val="22"/>
          <w:szCs w:val="22"/>
        </w:rPr>
        <w:t xml:space="preserve"> </w:t>
      </w:r>
      <w:r w:rsidR="00D367B2">
        <w:rPr>
          <w:sz w:val="22"/>
          <w:szCs w:val="22"/>
        </w:rPr>
        <w:t>and</w:t>
      </w:r>
      <w:r>
        <w:rPr>
          <w:sz w:val="22"/>
          <w:szCs w:val="22"/>
        </w:rPr>
        <w:t xml:space="preserve"> </w:t>
      </w:r>
      <w:r w:rsidR="009A75BA">
        <w:rPr>
          <w:sz w:val="22"/>
          <w:szCs w:val="22"/>
        </w:rPr>
        <w:t>th</w:t>
      </w:r>
      <w:r w:rsidR="00540013">
        <w:rPr>
          <w:sz w:val="22"/>
          <w:szCs w:val="22"/>
        </w:rPr>
        <w:t>e</w:t>
      </w:r>
      <w:r w:rsidR="009A75BA">
        <w:rPr>
          <w:sz w:val="22"/>
          <w:szCs w:val="22"/>
        </w:rPr>
        <w:t xml:space="preserve"> </w:t>
      </w:r>
      <w:r w:rsidR="00C92410">
        <w:rPr>
          <w:sz w:val="22"/>
          <w:szCs w:val="22"/>
        </w:rPr>
        <w:t xml:space="preserve">respondents </w:t>
      </w:r>
      <w:r w:rsidR="009A75BA">
        <w:rPr>
          <w:sz w:val="22"/>
          <w:szCs w:val="22"/>
        </w:rPr>
        <w:t>will use their “in house” engineering staff to prepare these record</w:t>
      </w:r>
      <w:r w:rsidR="00773210">
        <w:rPr>
          <w:sz w:val="22"/>
          <w:szCs w:val="22"/>
        </w:rPr>
        <w:t>ing</w:t>
      </w:r>
      <w:r w:rsidR="009A75BA">
        <w:rPr>
          <w:sz w:val="22"/>
          <w:szCs w:val="22"/>
        </w:rPr>
        <w:t>s</w:t>
      </w:r>
      <w:r w:rsidR="00D367B2">
        <w:rPr>
          <w:sz w:val="22"/>
          <w:szCs w:val="22"/>
        </w:rPr>
        <w:t>.</w:t>
      </w:r>
    </w:p>
    <w:p w:rsidR="009A75BA" w:rsidP="009A75BA" w:rsidRDefault="009A75BA">
      <w:pPr>
        <w:rPr>
          <w:sz w:val="22"/>
          <w:szCs w:val="22"/>
        </w:rPr>
      </w:pPr>
    </w:p>
    <w:p w:rsidR="004C4E28" w:rsidP="00123611" w:rsidRDefault="00EE6FF2">
      <w:pPr>
        <w:ind w:left="1800" w:firstLine="360"/>
        <w:rPr>
          <w:sz w:val="22"/>
          <w:szCs w:val="22"/>
        </w:rPr>
      </w:pPr>
      <w:r>
        <w:rPr>
          <w:sz w:val="22"/>
          <w:szCs w:val="22"/>
        </w:rPr>
        <w:t>1,418</w:t>
      </w:r>
      <w:r w:rsidR="004C4E28">
        <w:rPr>
          <w:sz w:val="22"/>
          <w:szCs w:val="22"/>
        </w:rPr>
        <w:t xml:space="preserve"> </w:t>
      </w:r>
      <w:r w:rsidR="00C92410">
        <w:rPr>
          <w:sz w:val="22"/>
          <w:szCs w:val="22"/>
        </w:rPr>
        <w:t>r</w:t>
      </w:r>
      <w:r w:rsidR="004C4E28">
        <w:rPr>
          <w:sz w:val="22"/>
          <w:szCs w:val="22"/>
        </w:rPr>
        <w:t xml:space="preserve">espondents x </w:t>
      </w:r>
      <w:r w:rsidR="0036474F">
        <w:rPr>
          <w:sz w:val="22"/>
          <w:szCs w:val="22"/>
        </w:rPr>
        <w:t>4</w:t>
      </w:r>
      <w:r w:rsidR="004C4E28">
        <w:rPr>
          <w:sz w:val="22"/>
          <w:szCs w:val="22"/>
        </w:rPr>
        <w:t xml:space="preserve"> hours/year/recording = </w:t>
      </w:r>
      <w:r w:rsidR="00D356B0">
        <w:rPr>
          <w:sz w:val="22"/>
          <w:szCs w:val="22"/>
        </w:rPr>
        <w:t>5,672</w:t>
      </w:r>
      <w:r w:rsidRPr="00A516EC" w:rsidR="004C4E28">
        <w:rPr>
          <w:sz w:val="22"/>
          <w:szCs w:val="22"/>
        </w:rPr>
        <w:t xml:space="preserve"> hours</w:t>
      </w:r>
    </w:p>
    <w:p w:rsidR="00AA094C" w:rsidP="008F0C5E" w:rsidRDefault="00AA094C">
      <w:pPr>
        <w:rPr>
          <w:sz w:val="22"/>
          <w:szCs w:val="22"/>
        </w:rPr>
      </w:pPr>
    </w:p>
    <w:p w:rsidR="007E5D1A" w:rsidP="008D0118" w:rsidRDefault="002E4632">
      <w:pPr>
        <w:tabs>
          <w:tab w:val="left" w:pos="1440"/>
        </w:tabs>
        <w:ind w:left="1440" w:hanging="360"/>
        <w:rPr>
          <w:sz w:val="22"/>
          <w:szCs w:val="22"/>
        </w:rPr>
      </w:pPr>
      <w:bookmarkStart w:name="_Hlk24616060" w:id="1"/>
      <w:r>
        <w:rPr>
          <w:sz w:val="22"/>
          <w:szCs w:val="22"/>
        </w:rPr>
        <w:t>(</w:t>
      </w:r>
      <w:r w:rsidR="00827DE9">
        <w:rPr>
          <w:sz w:val="22"/>
          <w:szCs w:val="22"/>
        </w:rPr>
        <w:t>c</w:t>
      </w:r>
      <w:r>
        <w:rPr>
          <w:sz w:val="22"/>
          <w:szCs w:val="22"/>
        </w:rPr>
        <w:t>)</w:t>
      </w:r>
      <w:r>
        <w:rPr>
          <w:sz w:val="22"/>
          <w:szCs w:val="22"/>
        </w:rPr>
        <w:tab/>
      </w:r>
      <w:bookmarkEnd w:id="1"/>
      <w:r>
        <w:rPr>
          <w:sz w:val="22"/>
          <w:szCs w:val="22"/>
        </w:rPr>
        <w:t>The Commission believes that</w:t>
      </w:r>
      <w:r w:rsidR="00773210">
        <w:rPr>
          <w:sz w:val="22"/>
          <w:szCs w:val="22"/>
        </w:rPr>
        <w:t xml:space="preserve"> </w:t>
      </w:r>
      <w:r w:rsidR="00C92410">
        <w:rPr>
          <w:sz w:val="22"/>
          <w:szCs w:val="22"/>
        </w:rPr>
        <w:t xml:space="preserve">respondents </w:t>
      </w:r>
      <w:r>
        <w:rPr>
          <w:sz w:val="22"/>
          <w:szCs w:val="22"/>
        </w:rPr>
        <w:t xml:space="preserve">will </w:t>
      </w:r>
      <w:r w:rsidR="00147E6D">
        <w:rPr>
          <w:sz w:val="22"/>
          <w:szCs w:val="22"/>
        </w:rPr>
        <w:t>s</w:t>
      </w:r>
      <w:r>
        <w:rPr>
          <w:sz w:val="22"/>
          <w:szCs w:val="22"/>
        </w:rPr>
        <w:t xml:space="preserve">pend </w:t>
      </w:r>
      <w:r w:rsidR="00D367B2">
        <w:rPr>
          <w:sz w:val="22"/>
          <w:szCs w:val="22"/>
        </w:rPr>
        <w:t>on average</w:t>
      </w:r>
      <w:r>
        <w:rPr>
          <w:sz w:val="22"/>
          <w:szCs w:val="22"/>
        </w:rPr>
        <w:t xml:space="preserve"> </w:t>
      </w:r>
      <w:r w:rsidR="001D1F1B">
        <w:rPr>
          <w:sz w:val="22"/>
          <w:szCs w:val="22"/>
        </w:rPr>
        <w:t>1 minute (.017 hours)</w:t>
      </w:r>
      <w:r>
        <w:rPr>
          <w:sz w:val="22"/>
          <w:szCs w:val="22"/>
        </w:rPr>
        <w:t xml:space="preserve"> to provide automated information</w:t>
      </w:r>
      <w:r w:rsidR="00147E6D">
        <w:rPr>
          <w:sz w:val="22"/>
          <w:szCs w:val="22"/>
        </w:rPr>
        <w:t xml:space="preserve"> and/or live operator assistance, if necessary,</w:t>
      </w:r>
      <w:r w:rsidR="00D367B2">
        <w:rPr>
          <w:sz w:val="22"/>
          <w:szCs w:val="22"/>
        </w:rPr>
        <w:t xml:space="preserve"> </w:t>
      </w:r>
      <w:r>
        <w:rPr>
          <w:sz w:val="22"/>
          <w:szCs w:val="22"/>
        </w:rPr>
        <w:t>to “non p</w:t>
      </w:r>
      <w:r w:rsidR="0036474F">
        <w:rPr>
          <w:sz w:val="22"/>
          <w:szCs w:val="22"/>
        </w:rPr>
        <w:t>rison</w:t>
      </w:r>
      <w:r>
        <w:rPr>
          <w:sz w:val="22"/>
          <w:szCs w:val="22"/>
        </w:rPr>
        <w:t>” callers who require “operator assistance</w:t>
      </w:r>
      <w:r w:rsidR="002E34A1">
        <w:rPr>
          <w:sz w:val="22"/>
          <w:szCs w:val="22"/>
        </w:rPr>
        <w:t>”</w:t>
      </w:r>
      <w:r>
        <w:rPr>
          <w:sz w:val="22"/>
          <w:szCs w:val="22"/>
        </w:rPr>
        <w:t xml:space="preserve">: </w:t>
      </w:r>
    </w:p>
    <w:p w:rsidR="001F0ED3" w:rsidP="007E5D1A" w:rsidRDefault="001F0ED3">
      <w:pPr>
        <w:tabs>
          <w:tab w:val="left" w:pos="1440"/>
        </w:tabs>
        <w:ind w:left="1800" w:hanging="720"/>
        <w:rPr>
          <w:sz w:val="22"/>
          <w:szCs w:val="22"/>
        </w:rPr>
      </w:pPr>
    </w:p>
    <w:p w:rsidR="002E4632" w:rsidP="007E5D1A" w:rsidRDefault="007E5D1A">
      <w:pPr>
        <w:tabs>
          <w:tab w:val="left" w:pos="1440"/>
        </w:tabs>
        <w:ind w:left="1800" w:hanging="720"/>
        <w:rPr>
          <w:sz w:val="22"/>
          <w:szCs w:val="22"/>
        </w:rPr>
      </w:pPr>
      <w:r>
        <w:rPr>
          <w:sz w:val="22"/>
          <w:szCs w:val="22"/>
        </w:rPr>
        <w:tab/>
      </w:r>
      <w:r>
        <w:rPr>
          <w:sz w:val="22"/>
          <w:szCs w:val="22"/>
        </w:rPr>
        <w:tab/>
      </w:r>
      <w:r w:rsidR="00123611">
        <w:rPr>
          <w:sz w:val="22"/>
          <w:szCs w:val="22"/>
        </w:rPr>
        <w:tab/>
      </w:r>
      <w:r w:rsidRPr="00CB46BE" w:rsidR="00827DE9">
        <w:rPr>
          <w:sz w:val="22"/>
          <w:szCs w:val="22"/>
        </w:rPr>
        <w:t>5</w:t>
      </w:r>
      <w:r w:rsidRPr="00CB46BE" w:rsidR="002E4632">
        <w:rPr>
          <w:sz w:val="22"/>
          <w:szCs w:val="22"/>
        </w:rPr>
        <w:t>,</w:t>
      </w:r>
      <w:r w:rsidRPr="00CB46BE" w:rsidR="00827DE9">
        <w:rPr>
          <w:sz w:val="22"/>
          <w:szCs w:val="22"/>
        </w:rPr>
        <w:t>062</w:t>
      </w:r>
      <w:r w:rsidRPr="00CB46BE" w:rsidR="002E4632">
        <w:rPr>
          <w:sz w:val="22"/>
          <w:szCs w:val="22"/>
        </w:rPr>
        <w:t>,</w:t>
      </w:r>
      <w:r w:rsidRPr="00CB46BE" w:rsidR="001D1F1B">
        <w:rPr>
          <w:sz w:val="22"/>
          <w:szCs w:val="22"/>
        </w:rPr>
        <w:t>5</w:t>
      </w:r>
      <w:r w:rsidRPr="00CB46BE" w:rsidR="002E4632">
        <w:rPr>
          <w:sz w:val="22"/>
          <w:szCs w:val="22"/>
        </w:rPr>
        <w:t>00 “operator assisted” telephone calls x .</w:t>
      </w:r>
      <w:r w:rsidRPr="00CB46BE" w:rsidR="001D1F1B">
        <w:rPr>
          <w:sz w:val="22"/>
          <w:szCs w:val="22"/>
        </w:rPr>
        <w:t>017</w:t>
      </w:r>
      <w:r w:rsidRPr="00CB46BE" w:rsidR="002E4632">
        <w:rPr>
          <w:sz w:val="22"/>
          <w:szCs w:val="22"/>
        </w:rPr>
        <w:t xml:space="preserve"> hours = </w:t>
      </w:r>
      <w:r w:rsidRPr="00CB46BE" w:rsidR="001D1F1B">
        <w:rPr>
          <w:sz w:val="22"/>
          <w:szCs w:val="22"/>
        </w:rPr>
        <w:t>86,063</w:t>
      </w:r>
      <w:r w:rsidRPr="00CB46BE" w:rsidR="002E4632">
        <w:rPr>
          <w:sz w:val="22"/>
          <w:szCs w:val="22"/>
        </w:rPr>
        <w:t xml:space="preserve"> h</w:t>
      </w:r>
      <w:r w:rsidRPr="00CB46BE" w:rsidR="00123611">
        <w:rPr>
          <w:sz w:val="22"/>
          <w:szCs w:val="22"/>
        </w:rPr>
        <w:t>ou</w:t>
      </w:r>
      <w:r w:rsidRPr="00CB46BE" w:rsidR="002E4632">
        <w:rPr>
          <w:sz w:val="22"/>
          <w:szCs w:val="22"/>
        </w:rPr>
        <w:t>rs</w:t>
      </w:r>
      <w:r w:rsidR="002E4632">
        <w:rPr>
          <w:sz w:val="22"/>
          <w:szCs w:val="22"/>
        </w:rPr>
        <w:t xml:space="preserve"> </w:t>
      </w:r>
    </w:p>
    <w:p w:rsidR="00FD0728" w:rsidP="00C44177" w:rsidRDefault="00FD0728">
      <w:pPr>
        <w:tabs>
          <w:tab w:val="left" w:pos="1080"/>
        </w:tabs>
        <w:ind w:left="1080" w:hanging="360"/>
        <w:rPr>
          <w:sz w:val="22"/>
          <w:szCs w:val="22"/>
        </w:rPr>
      </w:pPr>
      <w:r>
        <w:rPr>
          <w:sz w:val="22"/>
          <w:szCs w:val="22"/>
        </w:rPr>
        <w:tab/>
      </w:r>
    </w:p>
    <w:p w:rsidRPr="00441CD2" w:rsidR="00C44177" w:rsidP="00C44177" w:rsidRDefault="00C44177">
      <w:pPr>
        <w:tabs>
          <w:tab w:val="left" w:pos="1080"/>
        </w:tabs>
        <w:ind w:left="1080" w:hanging="360"/>
        <w:rPr>
          <w:b/>
          <w:sz w:val="22"/>
          <w:szCs w:val="22"/>
        </w:rPr>
      </w:pPr>
      <w:r>
        <w:rPr>
          <w:sz w:val="22"/>
          <w:szCs w:val="22"/>
        </w:rPr>
        <w:t>(</w:t>
      </w:r>
      <w:r w:rsidR="00827DE9">
        <w:rPr>
          <w:sz w:val="22"/>
          <w:szCs w:val="22"/>
        </w:rPr>
        <w:t>5</w:t>
      </w:r>
      <w:r>
        <w:rPr>
          <w:sz w:val="22"/>
          <w:szCs w:val="22"/>
        </w:rPr>
        <w:t xml:space="preserve">) </w:t>
      </w:r>
      <w:r w:rsidRPr="00441CD2">
        <w:rPr>
          <w:b/>
          <w:sz w:val="22"/>
          <w:szCs w:val="22"/>
        </w:rPr>
        <w:t xml:space="preserve"> Annual</w:t>
      </w:r>
      <w:r w:rsidR="00DE22CD">
        <w:rPr>
          <w:b/>
          <w:sz w:val="22"/>
          <w:szCs w:val="22"/>
        </w:rPr>
        <w:t xml:space="preserve"> “In-House”</w:t>
      </w:r>
      <w:r w:rsidRPr="00441CD2">
        <w:rPr>
          <w:b/>
          <w:sz w:val="22"/>
          <w:szCs w:val="22"/>
        </w:rPr>
        <w:t xml:space="preserve"> Cost:</w:t>
      </w:r>
    </w:p>
    <w:p w:rsidR="00C44177" w:rsidP="00585D39" w:rsidRDefault="00C44177">
      <w:pPr>
        <w:ind w:left="1440"/>
        <w:rPr>
          <w:sz w:val="22"/>
          <w:szCs w:val="22"/>
        </w:rPr>
      </w:pPr>
    </w:p>
    <w:p w:rsidR="00DD1FA0" w:rsidP="00DD1FA0" w:rsidRDefault="0084485B">
      <w:pPr>
        <w:tabs>
          <w:tab w:val="left" w:pos="1080"/>
        </w:tabs>
        <w:ind w:left="720"/>
        <w:rPr>
          <w:sz w:val="22"/>
          <w:szCs w:val="22"/>
        </w:rPr>
      </w:pPr>
      <w:r>
        <w:rPr>
          <w:sz w:val="22"/>
          <w:szCs w:val="22"/>
        </w:rPr>
        <w:lastRenderedPageBreak/>
        <w:tab/>
      </w:r>
      <w:r w:rsidR="00DA6431">
        <w:rPr>
          <w:sz w:val="22"/>
          <w:szCs w:val="22"/>
        </w:rPr>
        <w:t xml:space="preserve">The </w:t>
      </w:r>
      <w:r w:rsidR="00326730">
        <w:rPr>
          <w:sz w:val="22"/>
          <w:szCs w:val="22"/>
        </w:rPr>
        <w:t xml:space="preserve">Commission </w:t>
      </w:r>
      <w:r w:rsidR="00DA6431">
        <w:rPr>
          <w:sz w:val="22"/>
          <w:szCs w:val="22"/>
        </w:rPr>
        <w:t xml:space="preserve">estimates that respondents will </w:t>
      </w:r>
      <w:r w:rsidR="00326730">
        <w:rPr>
          <w:sz w:val="22"/>
          <w:szCs w:val="22"/>
        </w:rPr>
        <w:t xml:space="preserve">use </w:t>
      </w:r>
      <w:r w:rsidR="00DA6431">
        <w:rPr>
          <w:sz w:val="22"/>
          <w:szCs w:val="22"/>
        </w:rPr>
        <w:t xml:space="preserve">three </w:t>
      </w:r>
      <w:r w:rsidR="00326730">
        <w:rPr>
          <w:sz w:val="22"/>
          <w:szCs w:val="22"/>
        </w:rPr>
        <w:t>“</w:t>
      </w:r>
      <w:r w:rsidR="00DA6431">
        <w:rPr>
          <w:sz w:val="22"/>
          <w:szCs w:val="22"/>
        </w:rPr>
        <w:t>in house</w:t>
      </w:r>
      <w:r w:rsidR="00326730">
        <w:rPr>
          <w:sz w:val="22"/>
          <w:szCs w:val="22"/>
        </w:rPr>
        <w:t xml:space="preserve">” </w:t>
      </w:r>
      <w:r w:rsidR="00DA6431">
        <w:rPr>
          <w:sz w:val="22"/>
          <w:szCs w:val="22"/>
        </w:rPr>
        <w:t xml:space="preserve">engineers earning $50 </w:t>
      </w:r>
      <w:r w:rsidR="00DD1FA0">
        <w:rPr>
          <w:sz w:val="22"/>
          <w:szCs w:val="22"/>
        </w:rPr>
        <w:tab/>
      </w:r>
      <w:r w:rsidR="00DA6431">
        <w:rPr>
          <w:sz w:val="22"/>
          <w:szCs w:val="22"/>
        </w:rPr>
        <w:t>per hour</w:t>
      </w:r>
      <w:r w:rsidR="00326730">
        <w:rPr>
          <w:sz w:val="22"/>
          <w:szCs w:val="22"/>
        </w:rPr>
        <w:t>,</w:t>
      </w:r>
      <w:r w:rsidR="00DA6431">
        <w:rPr>
          <w:sz w:val="22"/>
          <w:szCs w:val="22"/>
        </w:rPr>
        <w:t xml:space="preserve"> spending appro</w:t>
      </w:r>
      <w:r w:rsidR="00326730">
        <w:rPr>
          <w:sz w:val="22"/>
          <w:szCs w:val="22"/>
        </w:rPr>
        <w:t>xi</w:t>
      </w:r>
      <w:r w:rsidR="00DA6431">
        <w:rPr>
          <w:sz w:val="22"/>
          <w:szCs w:val="22"/>
        </w:rPr>
        <w:t>mately four hours per year to create the automated message.</w:t>
      </w:r>
      <w:r w:rsidR="00DD1FA0">
        <w:rPr>
          <w:sz w:val="22"/>
          <w:szCs w:val="22"/>
        </w:rPr>
        <w:t xml:space="preserve">  Staff </w:t>
      </w:r>
      <w:r w:rsidR="00DD1FA0">
        <w:rPr>
          <w:sz w:val="22"/>
          <w:szCs w:val="22"/>
        </w:rPr>
        <w:tab/>
      </w:r>
      <w:r w:rsidR="00DD1FA0">
        <w:rPr>
          <w:sz w:val="22"/>
          <w:szCs w:val="22"/>
        </w:rPr>
        <w:tab/>
        <w:t xml:space="preserve">will spend </w:t>
      </w:r>
      <w:r w:rsidR="001D1F1B">
        <w:rPr>
          <w:sz w:val="22"/>
          <w:szCs w:val="22"/>
        </w:rPr>
        <w:t xml:space="preserve">1 minute </w:t>
      </w:r>
      <w:r w:rsidR="00DD1FA0">
        <w:rPr>
          <w:sz w:val="22"/>
          <w:szCs w:val="22"/>
        </w:rPr>
        <w:t xml:space="preserve">per year to provide automated information and/or live operator assistance </w:t>
      </w:r>
      <w:r w:rsidR="00546A4E">
        <w:rPr>
          <w:sz w:val="22"/>
          <w:szCs w:val="22"/>
        </w:rPr>
        <w:tab/>
      </w:r>
      <w:r w:rsidR="00DD1FA0">
        <w:rPr>
          <w:sz w:val="22"/>
          <w:szCs w:val="22"/>
        </w:rPr>
        <w:t>to non</w:t>
      </w:r>
      <w:r w:rsidR="0032599B">
        <w:rPr>
          <w:sz w:val="22"/>
          <w:szCs w:val="22"/>
        </w:rPr>
        <w:t>-</w:t>
      </w:r>
      <w:r w:rsidR="00DD1FA0">
        <w:rPr>
          <w:sz w:val="22"/>
          <w:szCs w:val="22"/>
        </w:rPr>
        <w:t>penal institution callers who require operator assistance</w:t>
      </w:r>
      <w:r w:rsidR="00716121">
        <w:rPr>
          <w:sz w:val="22"/>
          <w:szCs w:val="22"/>
        </w:rPr>
        <w:t xml:space="preserve"> at a rate of $50 per hour</w:t>
      </w:r>
      <w:r w:rsidR="00DD1FA0">
        <w:rPr>
          <w:sz w:val="22"/>
          <w:szCs w:val="22"/>
        </w:rPr>
        <w:t>.</w:t>
      </w:r>
    </w:p>
    <w:p w:rsidR="006E1B84" w:rsidP="00D367B2" w:rsidRDefault="006E1B84">
      <w:pPr>
        <w:ind w:left="1440"/>
        <w:rPr>
          <w:sz w:val="22"/>
          <w:szCs w:val="22"/>
        </w:rPr>
      </w:pPr>
    </w:p>
    <w:p w:rsidR="00304E74" w:rsidP="00D367B2" w:rsidRDefault="00EE6FF2">
      <w:pPr>
        <w:ind w:left="1440"/>
        <w:rPr>
          <w:sz w:val="22"/>
          <w:szCs w:val="22"/>
        </w:rPr>
      </w:pPr>
      <w:r>
        <w:rPr>
          <w:sz w:val="22"/>
          <w:szCs w:val="22"/>
        </w:rPr>
        <w:t>1,418</w:t>
      </w:r>
      <w:r w:rsidR="00DA6431">
        <w:rPr>
          <w:sz w:val="22"/>
          <w:szCs w:val="22"/>
        </w:rPr>
        <w:t xml:space="preserve"> respondents x 4 hours/year/recording </w:t>
      </w:r>
      <w:r w:rsidRPr="00CB46BE" w:rsidR="00DA6431">
        <w:rPr>
          <w:sz w:val="22"/>
          <w:szCs w:val="22"/>
        </w:rPr>
        <w:t>x $150/hour</w:t>
      </w:r>
      <w:r w:rsidR="00DA6431">
        <w:rPr>
          <w:sz w:val="22"/>
          <w:szCs w:val="22"/>
        </w:rPr>
        <w:t xml:space="preserve"> ($50/</w:t>
      </w:r>
      <w:proofErr w:type="spellStart"/>
      <w:r w:rsidR="00DA6431">
        <w:rPr>
          <w:sz w:val="22"/>
          <w:szCs w:val="22"/>
        </w:rPr>
        <w:t>hr</w:t>
      </w:r>
      <w:proofErr w:type="spellEnd"/>
      <w:r w:rsidR="00DA6431">
        <w:rPr>
          <w:sz w:val="22"/>
          <w:szCs w:val="22"/>
        </w:rPr>
        <w:t xml:space="preserve">/engineer) </w:t>
      </w:r>
      <w:r w:rsidR="0094026A">
        <w:rPr>
          <w:sz w:val="22"/>
          <w:szCs w:val="22"/>
        </w:rPr>
        <w:t xml:space="preserve"> </w:t>
      </w:r>
      <w:r w:rsidR="00CE11BE">
        <w:rPr>
          <w:sz w:val="22"/>
          <w:szCs w:val="22"/>
        </w:rPr>
        <w:t xml:space="preserve"> </w:t>
      </w:r>
      <w:r w:rsidR="00DA6431">
        <w:rPr>
          <w:sz w:val="22"/>
          <w:szCs w:val="22"/>
        </w:rPr>
        <w:t xml:space="preserve">= </w:t>
      </w:r>
      <w:r w:rsidR="0094026A">
        <w:rPr>
          <w:sz w:val="22"/>
          <w:szCs w:val="22"/>
        </w:rPr>
        <w:t xml:space="preserve">$ </w:t>
      </w:r>
      <w:r w:rsidR="00CE11BE">
        <w:rPr>
          <w:sz w:val="22"/>
          <w:szCs w:val="22"/>
        </w:rPr>
        <w:t xml:space="preserve"> </w:t>
      </w:r>
      <w:r w:rsidR="00DD1FA0">
        <w:rPr>
          <w:sz w:val="22"/>
          <w:szCs w:val="22"/>
        </w:rPr>
        <w:t xml:space="preserve"> </w:t>
      </w:r>
      <w:r w:rsidR="001D1F1B">
        <w:rPr>
          <w:sz w:val="22"/>
          <w:szCs w:val="22"/>
        </w:rPr>
        <w:t>850,800</w:t>
      </w:r>
      <w:r w:rsidR="00DA6431">
        <w:rPr>
          <w:sz w:val="22"/>
          <w:szCs w:val="22"/>
        </w:rPr>
        <w:t xml:space="preserve">                              </w:t>
      </w:r>
    </w:p>
    <w:p w:rsidR="00DA6431" w:rsidP="00D367B2" w:rsidRDefault="00DA6431">
      <w:pPr>
        <w:ind w:left="1440"/>
        <w:rPr>
          <w:sz w:val="22"/>
          <w:szCs w:val="22"/>
        </w:rPr>
      </w:pPr>
      <w:r>
        <w:rPr>
          <w:sz w:val="22"/>
          <w:szCs w:val="22"/>
        </w:rPr>
        <w:t>5,062,</w:t>
      </w:r>
      <w:r w:rsidR="001D1F1B">
        <w:rPr>
          <w:sz w:val="22"/>
          <w:szCs w:val="22"/>
        </w:rPr>
        <w:t>5</w:t>
      </w:r>
      <w:r>
        <w:rPr>
          <w:sz w:val="22"/>
          <w:szCs w:val="22"/>
        </w:rPr>
        <w:t xml:space="preserve">00 “operator assisted” telephone calls x </w:t>
      </w:r>
      <w:r w:rsidR="001D1F1B">
        <w:rPr>
          <w:sz w:val="22"/>
          <w:szCs w:val="22"/>
        </w:rPr>
        <w:t>.017</w:t>
      </w:r>
      <w:r>
        <w:rPr>
          <w:sz w:val="22"/>
          <w:szCs w:val="22"/>
        </w:rPr>
        <w:t xml:space="preserve"> hours x $50/hour</w:t>
      </w:r>
      <w:r w:rsidR="00DD1FA0">
        <w:rPr>
          <w:sz w:val="22"/>
          <w:szCs w:val="22"/>
        </w:rPr>
        <w:t xml:space="preserve">    </w:t>
      </w:r>
      <w:r>
        <w:rPr>
          <w:sz w:val="22"/>
          <w:szCs w:val="22"/>
        </w:rPr>
        <w:t xml:space="preserve"> </w:t>
      </w:r>
      <w:r w:rsidR="00571325">
        <w:rPr>
          <w:sz w:val="22"/>
          <w:szCs w:val="22"/>
        </w:rPr>
        <w:t xml:space="preserve">     </w:t>
      </w:r>
      <w:r>
        <w:rPr>
          <w:sz w:val="22"/>
          <w:szCs w:val="22"/>
        </w:rPr>
        <w:t xml:space="preserve">= </w:t>
      </w:r>
      <w:r w:rsidRPr="00DA6431">
        <w:rPr>
          <w:sz w:val="22"/>
          <w:szCs w:val="22"/>
          <w:u w:val="single"/>
        </w:rPr>
        <w:t>$</w:t>
      </w:r>
      <w:r w:rsidR="00CE11BE">
        <w:rPr>
          <w:sz w:val="22"/>
          <w:szCs w:val="22"/>
          <w:u w:val="single"/>
        </w:rPr>
        <w:t xml:space="preserve"> </w:t>
      </w:r>
      <w:r w:rsidR="00DD1FA0">
        <w:rPr>
          <w:sz w:val="22"/>
          <w:szCs w:val="22"/>
          <w:u w:val="single"/>
        </w:rPr>
        <w:t>4,</w:t>
      </w:r>
      <w:r w:rsidR="001D1F1B">
        <w:rPr>
          <w:sz w:val="22"/>
          <w:szCs w:val="22"/>
          <w:u w:val="single"/>
        </w:rPr>
        <w:t>303,125</w:t>
      </w:r>
    </w:p>
    <w:p w:rsidR="00304E74" w:rsidP="00D367B2" w:rsidRDefault="00DA6431">
      <w:pPr>
        <w:ind w:left="1440"/>
        <w:rPr>
          <w:sz w:val="22"/>
          <w:szCs w:val="22"/>
        </w:rPr>
      </w:pPr>
      <w:r>
        <w:rPr>
          <w:sz w:val="22"/>
          <w:szCs w:val="22"/>
        </w:rPr>
        <w:t xml:space="preserve">                                                                                                                       </w:t>
      </w:r>
      <w:r w:rsidR="0094026A">
        <w:rPr>
          <w:sz w:val="22"/>
          <w:szCs w:val="22"/>
        </w:rPr>
        <w:t xml:space="preserve">    </w:t>
      </w:r>
      <w:r w:rsidR="00571325">
        <w:rPr>
          <w:sz w:val="22"/>
          <w:szCs w:val="22"/>
        </w:rPr>
        <w:t xml:space="preserve"> </w:t>
      </w:r>
      <w:r w:rsidR="00DD1FA0">
        <w:rPr>
          <w:sz w:val="22"/>
          <w:szCs w:val="22"/>
        </w:rPr>
        <w:t xml:space="preserve"> </w:t>
      </w:r>
      <w:r w:rsidR="0094026A">
        <w:rPr>
          <w:sz w:val="22"/>
          <w:szCs w:val="22"/>
        </w:rPr>
        <w:t>$</w:t>
      </w:r>
      <w:r w:rsidR="001D1F1B">
        <w:rPr>
          <w:sz w:val="22"/>
          <w:szCs w:val="22"/>
        </w:rPr>
        <w:t>5,153,925</w:t>
      </w:r>
    </w:p>
    <w:p w:rsidR="00BD7337" w:rsidP="00EA060E" w:rsidRDefault="002E599A">
      <w:pPr>
        <w:rPr>
          <w:sz w:val="22"/>
          <w:szCs w:val="22"/>
        </w:rPr>
      </w:pPr>
      <w:r w:rsidRPr="00BE4063">
        <w:rPr>
          <w:sz w:val="22"/>
          <w:szCs w:val="22"/>
        </w:rPr>
        <w:t xml:space="preserve"> </w:t>
      </w:r>
    </w:p>
    <w:p w:rsidRPr="005D4BA7" w:rsidR="00AB552C" w:rsidP="00EA060E" w:rsidRDefault="00AB552C">
      <w:pPr>
        <w:tabs>
          <w:tab w:val="left" w:pos="720"/>
          <w:tab w:val="left" w:pos="1080"/>
        </w:tabs>
        <w:rPr>
          <w:sz w:val="22"/>
          <w:szCs w:val="22"/>
        </w:rPr>
      </w:pPr>
      <w:r w:rsidRPr="0076325B">
        <w:rPr>
          <w:sz w:val="22"/>
          <w:szCs w:val="22"/>
        </w:rPr>
        <w:t>(</w:t>
      </w:r>
      <w:r w:rsidR="00EA060E">
        <w:rPr>
          <w:sz w:val="22"/>
          <w:szCs w:val="22"/>
        </w:rPr>
        <w:t>b</w:t>
      </w:r>
      <w:r w:rsidRPr="0076325B">
        <w:rPr>
          <w:sz w:val="22"/>
          <w:szCs w:val="22"/>
        </w:rPr>
        <w:t>)</w:t>
      </w:r>
      <w:r w:rsidRPr="0076325B">
        <w:rPr>
          <w:sz w:val="22"/>
          <w:szCs w:val="22"/>
        </w:rPr>
        <w:tab/>
      </w:r>
      <w:r w:rsidRPr="00E860DB">
        <w:rPr>
          <w:sz w:val="22"/>
          <w:szCs w:val="22"/>
          <w:u w:val="single"/>
        </w:rPr>
        <w:t>Section 64.70</w:t>
      </w:r>
      <w:r>
        <w:rPr>
          <w:sz w:val="22"/>
          <w:szCs w:val="22"/>
          <w:u w:val="single"/>
        </w:rPr>
        <w:t>9</w:t>
      </w:r>
      <w:r w:rsidRPr="00E860DB">
        <w:rPr>
          <w:sz w:val="22"/>
          <w:szCs w:val="22"/>
          <w:u w:val="single"/>
        </w:rPr>
        <w:t xml:space="preserve">, </w:t>
      </w:r>
      <w:r>
        <w:rPr>
          <w:sz w:val="22"/>
          <w:szCs w:val="22"/>
          <w:u w:val="single"/>
        </w:rPr>
        <w:t>Informational Tariffs</w:t>
      </w:r>
      <w:r>
        <w:rPr>
          <w:sz w:val="22"/>
          <w:szCs w:val="22"/>
        </w:rPr>
        <w:t>:</w:t>
      </w:r>
    </w:p>
    <w:p w:rsidR="005B1B83" w:rsidP="00652218" w:rsidRDefault="005B1B83">
      <w:pPr>
        <w:ind w:left="720"/>
        <w:rPr>
          <w:sz w:val="22"/>
          <w:szCs w:val="22"/>
        </w:rPr>
      </w:pPr>
    </w:p>
    <w:p w:rsidRPr="0033249D" w:rsidR="00FF1423" w:rsidP="00E66299" w:rsidRDefault="00E66299">
      <w:pPr>
        <w:tabs>
          <w:tab w:val="left" w:pos="1080"/>
        </w:tabs>
        <w:ind w:left="720"/>
        <w:rPr>
          <w:b/>
          <w:sz w:val="22"/>
          <w:szCs w:val="22"/>
        </w:rPr>
      </w:pPr>
      <w:r w:rsidRPr="00E66299">
        <w:rPr>
          <w:sz w:val="22"/>
          <w:szCs w:val="22"/>
        </w:rPr>
        <w:t>(1)</w:t>
      </w:r>
      <w:r>
        <w:rPr>
          <w:b/>
          <w:sz w:val="22"/>
          <w:szCs w:val="22"/>
        </w:rPr>
        <w:tab/>
      </w:r>
      <w:r w:rsidRPr="0033249D" w:rsidR="00013EC4">
        <w:rPr>
          <w:b/>
          <w:sz w:val="22"/>
          <w:szCs w:val="22"/>
        </w:rPr>
        <w:t xml:space="preserve">Number of Respondents: </w:t>
      </w:r>
      <w:r w:rsidRPr="00674EFD" w:rsidR="0023568B">
        <w:rPr>
          <w:sz w:val="22"/>
          <w:szCs w:val="22"/>
        </w:rPr>
        <w:t>1</w:t>
      </w:r>
      <w:r w:rsidR="00BD7337">
        <w:rPr>
          <w:sz w:val="22"/>
          <w:szCs w:val="22"/>
        </w:rPr>
        <w:t>5</w:t>
      </w:r>
      <w:r w:rsidRPr="00A606A3" w:rsidR="00013EC4">
        <w:rPr>
          <w:sz w:val="22"/>
          <w:szCs w:val="22"/>
        </w:rPr>
        <w:t>0 respondents</w:t>
      </w:r>
      <w:r w:rsidRPr="0033249D" w:rsidR="003534B7">
        <w:rPr>
          <w:b/>
          <w:sz w:val="22"/>
          <w:szCs w:val="22"/>
        </w:rPr>
        <w:t xml:space="preserve"> </w:t>
      </w:r>
    </w:p>
    <w:p w:rsidR="00547E85" w:rsidP="00013EC4" w:rsidRDefault="00547E85">
      <w:pPr>
        <w:ind w:left="720"/>
        <w:rPr>
          <w:sz w:val="22"/>
          <w:szCs w:val="22"/>
        </w:rPr>
      </w:pPr>
    </w:p>
    <w:p w:rsidR="007074E9" w:rsidP="00CB4770" w:rsidRDefault="0033249D">
      <w:pPr>
        <w:ind w:left="1080"/>
        <w:rPr>
          <w:sz w:val="22"/>
          <w:szCs w:val="22"/>
        </w:rPr>
      </w:pPr>
      <w:r>
        <w:rPr>
          <w:sz w:val="22"/>
          <w:szCs w:val="22"/>
        </w:rPr>
        <w:t xml:space="preserve">The Commission estimates that </w:t>
      </w:r>
      <w:r w:rsidR="00BD7337">
        <w:rPr>
          <w:sz w:val="22"/>
          <w:szCs w:val="22"/>
        </w:rPr>
        <w:t xml:space="preserve">approximately </w:t>
      </w:r>
      <w:r w:rsidRPr="00CB46BE" w:rsidR="00D81376">
        <w:rPr>
          <w:sz w:val="22"/>
          <w:szCs w:val="22"/>
        </w:rPr>
        <w:t>1</w:t>
      </w:r>
      <w:r w:rsidRPr="00CB46BE" w:rsidR="00BD7337">
        <w:rPr>
          <w:sz w:val="22"/>
          <w:szCs w:val="22"/>
        </w:rPr>
        <w:t xml:space="preserve">50 </w:t>
      </w:r>
      <w:r w:rsidRPr="00CB46BE" w:rsidR="00D404BE">
        <w:rPr>
          <w:sz w:val="22"/>
          <w:szCs w:val="22"/>
        </w:rPr>
        <w:t xml:space="preserve">respondents </w:t>
      </w:r>
      <w:r w:rsidRPr="00CB46BE" w:rsidR="00C92410">
        <w:rPr>
          <w:sz w:val="22"/>
          <w:szCs w:val="22"/>
        </w:rPr>
        <w:t>will</w:t>
      </w:r>
      <w:r w:rsidR="00C92410">
        <w:rPr>
          <w:sz w:val="22"/>
          <w:szCs w:val="22"/>
        </w:rPr>
        <w:t xml:space="preserve"> </w:t>
      </w:r>
      <w:r w:rsidRPr="005D4BA7" w:rsidR="007074E9">
        <w:rPr>
          <w:sz w:val="22"/>
          <w:szCs w:val="22"/>
        </w:rPr>
        <w:t xml:space="preserve">file new </w:t>
      </w:r>
      <w:r>
        <w:rPr>
          <w:sz w:val="22"/>
          <w:szCs w:val="22"/>
        </w:rPr>
        <w:t xml:space="preserve">informational </w:t>
      </w:r>
      <w:r w:rsidRPr="005D4BA7" w:rsidR="007074E9">
        <w:rPr>
          <w:sz w:val="22"/>
          <w:szCs w:val="22"/>
        </w:rPr>
        <w:t xml:space="preserve">tariffs </w:t>
      </w:r>
      <w:r>
        <w:rPr>
          <w:sz w:val="22"/>
          <w:szCs w:val="22"/>
        </w:rPr>
        <w:t xml:space="preserve">annually, </w:t>
      </w:r>
      <w:r w:rsidRPr="005D4BA7" w:rsidR="007074E9">
        <w:rPr>
          <w:sz w:val="22"/>
          <w:szCs w:val="22"/>
        </w:rPr>
        <w:t xml:space="preserve">at an average of 1 filing per year.  </w:t>
      </w:r>
    </w:p>
    <w:p w:rsidR="009E3844" w:rsidP="009E3844" w:rsidRDefault="009E3844">
      <w:pPr>
        <w:rPr>
          <w:sz w:val="22"/>
          <w:szCs w:val="22"/>
        </w:rPr>
      </w:pPr>
    </w:p>
    <w:p w:rsidR="00A40F4F" w:rsidP="00E66299" w:rsidRDefault="00E66299">
      <w:pPr>
        <w:tabs>
          <w:tab w:val="left" w:pos="1080"/>
        </w:tabs>
        <w:ind w:left="2880" w:hanging="2160"/>
        <w:rPr>
          <w:sz w:val="22"/>
          <w:szCs w:val="22"/>
        </w:rPr>
      </w:pPr>
      <w:r w:rsidRPr="00E66299">
        <w:rPr>
          <w:sz w:val="22"/>
          <w:szCs w:val="22"/>
        </w:rPr>
        <w:t>(2)</w:t>
      </w:r>
      <w:r>
        <w:rPr>
          <w:b/>
          <w:sz w:val="22"/>
          <w:szCs w:val="22"/>
        </w:rPr>
        <w:tab/>
      </w:r>
      <w:r w:rsidRPr="0033249D" w:rsidR="009E3844">
        <w:rPr>
          <w:b/>
          <w:sz w:val="22"/>
          <w:szCs w:val="22"/>
        </w:rPr>
        <w:t>Frequency of response:</w:t>
      </w:r>
      <w:r w:rsidRPr="005D4BA7" w:rsidR="009E3844">
        <w:rPr>
          <w:sz w:val="22"/>
          <w:szCs w:val="22"/>
        </w:rPr>
        <w:t xml:space="preserve"> </w:t>
      </w:r>
      <w:r w:rsidR="00E82A4B">
        <w:rPr>
          <w:sz w:val="22"/>
          <w:szCs w:val="22"/>
        </w:rPr>
        <w:t>Annual</w:t>
      </w:r>
      <w:r w:rsidR="00D166DB">
        <w:rPr>
          <w:sz w:val="22"/>
          <w:szCs w:val="22"/>
        </w:rPr>
        <w:t xml:space="preserve"> reporting requirements</w:t>
      </w:r>
    </w:p>
    <w:p w:rsidR="00A40F4F" w:rsidP="00D166DB" w:rsidRDefault="00A40F4F">
      <w:pPr>
        <w:ind w:left="2880" w:hanging="2160"/>
        <w:rPr>
          <w:sz w:val="22"/>
          <w:szCs w:val="22"/>
        </w:rPr>
      </w:pPr>
    </w:p>
    <w:p w:rsidR="009E3844" w:rsidP="00C320C8" w:rsidRDefault="007074E9">
      <w:pPr>
        <w:tabs>
          <w:tab w:val="left" w:pos="1080"/>
        </w:tabs>
        <w:ind w:left="2880" w:hanging="1800"/>
        <w:outlineLvl w:val="0"/>
        <w:rPr>
          <w:sz w:val="22"/>
          <w:szCs w:val="22"/>
        </w:rPr>
      </w:pPr>
      <w:r>
        <w:rPr>
          <w:sz w:val="22"/>
          <w:szCs w:val="22"/>
        </w:rPr>
        <w:t xml:space="preserve">The Commission estimates that </w:t>
      </w:r>
      <w:r w:rsidR="00C92410">
        <w:rPr>
          <w:sz w:val="22"/>
          <w:szCs w:val="22"/>
        </w:rPr>
        <w:t xml:space="preserve">respondents </w:t>
      </w:r>
      <w:r w:rsidRPr="005D4BA7" w:rsidR="009E3844">
        <w:rPr>
          <w:sz w:val="22"/>
          <w:szCs w:val="22"/>
        </w:rPr>
        <w:t>mak</w:t>
      </w:r>
      <w:r w:rsidR="00E37F6C">
        <w:rPr>
          <w:sz w:val="22"/>
          <w:szCs w:val="22"/>
        </w:rPr>
        <w:t>e</w:t>
      </w:r>
      <w:r w:rsidRPr="005D4BA7" w:rsidR="009E3844">
        <w:rPr>
          <w:sz w:val="22"/>
          <w:szCs w:val="22"/>
        </w:rPr>
        <w:t xml:space="preserve"> an estimated 1 filing per year.</w:t>
      </w:r>
    </w:p>
    <w:p w:rsidR="00772972" w:rsidP="00772972" w:rsidRDefault="00772972">
      <w:pPr>
        <w:ind w:left="360" w:firstLine="360"/>
        <w:rPr>
          <w:sz w:val="22"/>
          <w:szCs w:val="22"/>
          <w:u w:val="single"/>
        </w:rPr>
      </w:pPr>
    </w:p>
    <w:p w:rsidR="00E66299" w:rsidP="008D0118" w:rsidRDefault="00E66299">
      <w:pPr>
        <w:tabs>
          <w:tab w:val="left" w:pos="1080"/>
        </w:tabs>
        <w:ind w:left="720"/>
        <w:rPr>
          <w:sz w:val="22"/>
          <w:szCs w:val="22"/>
        </w:rPr>
      </w:pPr>
      <w:r w:rsidRPr="00E66299">
        <w:rPr>
          <w:sz w:val="22"/>
          <w:szCs w:val="22"/>
        </w:rPr>
        <w:t>(3)</w:t>
      </w:r>
      <w:r w:rsidR="008D0118">
        <w:rPr>
          <w:sz w:val="22"/>
          <w:szCs w:val="22"/>
        </w:rPr>
        <w:tab/>
      </w:r>
      <w:r w:rsidRPr="006D7AF1" w:rsidR="00F95D20">
        <w:rPr>
          <w:b/>
          <w:sz w:val="22"/>
          <w:szCs w:val="22"/>
        </w:rPr>
        <w:t>Number of Responses Annually:</w:t>
      </w:r>
      <w:r w:rsidR="00F95D20">
        <w:rPr>
          <w:sz w:val="22"/>
          <w:szCs w:val="22"/>
        </w:rPr>
        <w:t xml:space="preserve"> </w:t>
      </w:r>
    </w:p>
    <w:p w:rsidR="00E66299" w:rsidP="00E66299" w:rsidRDefault="00E66299">
      <w:pPr>
        <w:ind w:left="4680" w:hanging="3960"/>
        <w:rPr>
          <w:sz w:val="22"/>
          <w:szCs w:val="22"/>
        </w:rPr>
      </w:pPr>
    </w:p>
    <w:p w:rsidR="00F95D20" w:rsidP="00CB4770" w:rsidRDefault="00D81376">
      <w:pPr>
        <w:ind w:left="4680" w:hanging="3600"/>
        <w:rPr>
          <w:sz w:val="22"/>
          <w:szCs w:val="22"/>
        </w:rPr>
      </w:pPr>
      <w:r>
        <w:rPr>
          <w:sz w:val="22"/>
          <w:szCs w:val="22"/>
        </w:rPr>
        <w:t>1</w:t>
      </w:r>
      <w:r w:rsidR="00BD7337">
        <w:rPr>
          <w:sz w:val="22"/>
          <w:szCs w:val="22"/>
        </w:rPr>
        <w:t>5</w:t>
      </w:r>
      <w:r w:rsidRPr="005D4BA7" w:rsidR="00F95D20">
        <w:rPr>
          <w:sz w:val="22"/>
          <w:szCs w:val="22"/>
        </w:rPr>
        <w:t>0</w:t>
      </w:r>
      <w:r w:rsidR="00F95D20">
        <w:rPr>
          <w:sz w:val="22"/>
          <w:szCs w:val="22"/>
        </w:rPr>
        <w:t xml:space="preserve"> </w:t>
      </w:r>
      <w:r w:rsidRPr="005D4BA7" w:rsidR="00F95D20">
        <w:rPr>
          <w:sz w:val="22"/>
          <w:szCs w:val="22"/>
        </w:rPr>
        <w:t>respondents</w:t>
      </w:r>
      <w:r w:rsidR="00F95D20">
        <w:rPr>
          <w:sz w:val="22"/>
          <w:szCs w:val="22"/>
        </w:rPr>
        <w:t xml:space="preserve"> x</w:t>
      </w:r>
      <w:r w:rsidRPr="005D4BA7" w:rsidR="00F95D20">
        <w:rPr>
          <w:sz w:val="22"/>
          <w:szCs w:val="22"/>
        </w:rPr>
        <w:t xml:space="preserve"> 1 filing</w:t>
      </w:r>
      <w:r w:rsidR="00F95D20">
        <w:rPr>
          <w:sz w:val="22"/>
          <w:szCs w:val="22"/>
        </w:rPr>
        <w:t>/</w:t>
      </w:r>
      <w:r w:rsidRPr="005D4BA7" w:rsidR="00F95D20">
        <w:rPr>
          <w:sz w:val="22"/>
          <w:szCs w:val="22"/>
        </w:rPr>
        <w:t xml:space="preserve">year </w:t>
      </w:r>
      <w:r w:rsidR="00F95D20">
        <w:rPr>
          <w:sz w:val="22"/>
          <w:szCs w:val="22"/>
        </w:rPr>
        <w:t xml:space="preserve">= </w:t>
      </w:r>
      <w:r>
        <w:rPr>
          <w:sz w:val="22"/>
          <w:szCs w:val="22"/>
        </w:rPr>
        <w:t>1</w:t>
      </w:r>
      <w:r w:rsidR="00BD7337">
        <w:rPr>
          <w:sz w:val="22"/>
          <w:szCs w:val="22"/>
        </w:rPr>
        <w:t>5</w:t>
      </w:r>
      <w:r w:rsidR="00B0430A">
        <w:rPr>
          <w:sz w:val="22"/>
          <w:szCs w:val="22"/>
        </w:rPr>
        <w:t>0</w:t>
      </w:r>
      <w:r w:rsidRPr="005D4BA7" w:rsidR="00BD7337">
        <w:rPr>
          <w:sz w:val="22"/>
          <w:szCs w:val="22"/>
        </w:rPr>
        <w:t xml:space="preserve"> </w:t>
      </w:r>
      <w:r w:rsidR="00F95D20">
        <w:rPr>
          <w:sz w:val="22"/>
          <w:szCs w:val="22"/>
        </w:rPr>
        <w:t xml:space="preserve">filings </w:t>
      </w:r>
      <w:r w:rsidR="006D2965">
        <w:rPr>
          <w:sz w:val="22"/>
          <w:szCs w:val="22"/>
        </w:rPr>
        <w:t>(responses)</w:t>
      </w:r>
    </w:p>
    <w:p w:rsidR="00525FDD" w:rsidP="00773210" w:rsidRDefault="00525FDD">
      <w:pPr>
        <w:rPr>
          <w:sz w:val="22"/>
          <w:szCs w:val="22"/>
        </w:rPr>
      </w:pPr>
    </w:p>
    <w:p w:rsidR="00470971" w:rsidP="00470971" w:rsidRDefault="00470971">
      <w:pPr>
        <w:tabs>
          <w:tab w:val="left" w:pos="1080"/>
        </w:tabs>
        <w:ind w:left="360" w:firstLine="360"/>
        <w:rPr>
          <w:sz w:val="22"/>
          <w:szCs w:val="22"/>
        </w:rPr>
      </w:pPr>
      <w:r w:rsidRPr="00470971">
        <w:rPr>
          <w:sz w:val="22"/>
          <w:szCs w:val="22"/>
        </w:rPr>
        <w:t>(4)</w:t>
      </w:r>
      <w:r>
        <w:rPr>
          <w:b/>
          <w:sz w:val="22"/>
          <w:szCs w:val="22"/>
        </w:rPr>
        <w:tab/>
      </w:r>
      <w:r w:rsidRPr="006D7AF1" w:rsidR="006D7AF1">
        <w:rPr>
          <w:b/>
          <w:sz w:val="22"/>
          <w:szCs w:val="22"/>
        </w:rPr>
        <w:t>Annual Hourly Burden:</w:t>
      </w:r>
      <w:r w:rsidR="006D7AF1">
        <w:rPr>
          <w:sz w:val="22"/>
          <w:szCs w:val="22"/>
        </w:rPr>
        <w:t xml:space="preserve"> </w:t>
      </w:r>
    </w:p>
    <w:p w:rsidR="00773210" w:rsidP="00470971" w:rsidRDefault="00773210">
      <w:pPr>
        <w:tabs>
          <w:tab w:val="left" w:pos="1080"/>
        </w:tabs>
        <w:ind w:left="360" w:firstLine="360"/>
        <w:rPr>
          <w:sz w:val="22"/>
          <w:szCs w:val="22"/>
        </w:rPr>
      </w:pPr>
    </w:p>
    <w:p w:rsidRPr="00CB46BE" w:rsidR="00773210" w:rsidP="00773210" w:rsidRDefault="00773210">
      <w:pPr>
        <w:ind w:left="1080"/>
        <w:rPr>
          <w:sz w:val="22"/>
          <w:szCs w:val="22"/>
        </w:rPr>
      </w:pPr>
      <w:r>
        <w:rPr>
          <w:sz w:val="22"/>
          <w:szCs w:val="22"/>
        </w:rPr>
        <w:t xml:space="preserve">The Commission estimates that each </w:t>
      </w:r>
      <w:r w:rsidR="00C92410">
        <w:rPr>
          <w:sz w:val="22"/>
          <w:szCs w:val="22"/>
        </w:rPr>
        <w:t xml:space="preserve">respondent </w:t>
      </w:r>
      <w:r>
        <w:rPr>
          <w:sz w:val="22"/>
          <w:szCs w:val="22"/>
        </w:rPr>
        <w:t xml:space="preserve">files an informational tariff will spend approximately </w:t>
      </w:r>
      <w:r w:rsidRPr="00CB46BE">
        <w:rPr>
          <w:sz w:val="22"/>
          <w:szCs w:val="22"/>
        </w:rPr>
        <w:t>50 hours annually to comply with this requirement:</w:t>
      </w:r>
    </w:p>
    <w:p w:rsidRPr="00CB46BE" w:rsidR="00773210" w:rsidP="00470971" w:rsidRDefault="00773210">
      <w:pPr>
        <w:tabs>
          <w:tab w:val="left" w:pos="1080"/>
        </w:tabs>
        <w:ind w:left="360" w:firstLine="360"/>
        <w:rPr>
          <w:sz w:val="22"/>
          <w:szCs w:val="22"/>
        </w:rPr>
      </w:pPr>
    </w:p>
    <w:p w:rsidR="00105D12" w:rsidP="00D81376" w:rsidRDefault="00D81376">
      <w:pPr>
        <w:tabs>
          <w:tab w:val="left" w:pos="1080"/>
        </w:tabs>
        <w:ind w:left="1080"/>
        <w:rPr>
          <w:sz w:val="22"/>
          <w:szCs w:val="22"/>
        </w:rPr>
      </w:pPr>
      <w:r w:rsidRPr="00CB46BE">
        <w:rPr>
          <w:sz w:val="22"/>
          <w:szCs w:val="22"/>
        </w:rPr>
        <w:t>1</w:t>
      </w:r>
      <w:r w:rsidRPr="00CB46BE" w:rsidR="00BD7337">
        <w:rPr>
          <w:sz w:val="22"/>
          <w:szCs w:val="22"/>
        </w:rPr>
        <w:t>5</w:t>
      </w:r>
      <w:r w:rsidRPr="00CB46BE" w:rsidR="0035111B">
        <w:rPr>
          <w:sz w:val="22"/>
          <w:szCs w:val="22"/>
        </w:rPr>
        <w:t xml:space="preserve">0 </w:t>
      </w:r>
      <w:r w:rsidRPr="00CB46BE" w:rsidR="006D2965">
        <w:rPr>
          <w:sz w:val="22"/>
          <w:szCs w:val="22"/>
        </w:rPr>
        <w:t xml:space="preserve">responses </w:t>
      </w:r>
      <w:r w:rsidRPr="00CB46BE" w:rsidR="0035111B">
        <w:rPr>
          <w:sz w:val="22"/>
          <w:szCs w:val="22"/>
        </w:rPr>
        <w:t>x 50 hours</w:t>
      </w:r>
      <w:r w:rsidRPr="00CB46BE" w:rsidR="000139DE">
        <w:rPr>
          <w:sz w:val="22"/>
          <w:szCs w:val="22"/>
        </w:rPr>
        <w:t>/tariff filing</w:t>
      </w:r>
      <w:r w:rsidRPr="00CB46BE" w:rsidR="0035111B">
        <w:rPr>
          <w:sz w:val="22"/>
          <w:szCs w:val="22"/>
        </w:rPr>
        <w:t xml:space="preserve"> </w:t>
      </w:r>
      <w:r w:rsidRPr="00CB46BE" w:rsidR="003534B7">
        <w:rPr>
          <w:sz w:val="22"/>
          <w:szCs w:val="22"/>
        </w:rPr>
        <w:t xml:space="preserve">x 1 filing/year </w:t>
      </w:r>
      <w:r w:rsidRPr="00CB46BE" w:rsidR="0035111B">
        <w:rPr>
          <w:sz w:val="22"/>
          <w:szCs w:val="22"/>
        </w:rPr>
        <w:t xml:space="preserve">= </w:t>
      </w:r>
      <w:r w:rsidRPr="00CB46BE">
        <w:rPr>
          <w:sz w:val="22"/>
          <w:szCs w:val="22"/>
        </w:rPr>
        <w:t>7</w:t>
      </w:r>
      <w:r w:rsidRPr="00CB46BE" w:rsidR="00B0430A">
        <w:rPr>
          <w:sz w:val="22"/>
          <w:szCs w:val="22"/>
        </w:rPr>
        <w:t>,50</w:t>
      </w:r>
      <w:r w:rsidRPr="00CB46BE" w:rsidR="00BD7337">
        <w:rPr>
          <w:sz w:val="22"/>
          <w:szCs w:val="22"/>
        </w:rPr>
        <w:t>0</w:t>
      </w:r>
      <w:r w:rsidRPr="00CB46BE" w:rsidR="00047C76">
        <w:rPr>
          <w:sz w:val="22"/>
          <w:szCs w:val="22"/>
        </w:rPr>
        <w:t xml:space="preserve"> </w:t>
      </w:r>
      <w:proofErr w:type="spellStart"/>
      <w:r w:rsidRPr="00CB46BE" w:rsidR="00047C76">
        <w:rPr>
          <w:sz w:val="22"/>
          <w:szCs w:val="22"/>
        </w:rPr>
        <w:t>hrs</w:t>
      </w:r>
      <w:proofErr w:type="spellEnd"/>
      <w:r w:rsidR="002A12E9">
        <w:rPr>
          <w:sz w:val="22"/>
          <w:szCs w:val="22"/>
        </w:rPr>
        <w:t xml:space="preserve">  </w:t>
      </w:r>
    </w:p>
    <w:p w:rsidR="00D81376" w:rsidP="00D81376" w:rsidRDefault="00D81376">
      <w:pPr>
        <w:tabs>
          <w:tab w:val="left" w:pos="1080"/>
        </w:tabs>
        <w:ind w:left="1080"/>
        <w:rPr>
          <w:sz w:val="22"/>
          <w:szCs w:val="22"/>
        </w:rPr>
      </w:pPr>
    </w:p>
    <w:p w:rsidRPr="003E383B" w:rsidR="00AD5266" w:rsidP="00470971" w:rsidRDefault="00470971">
      <w:pPr>
        <w:tabs>
          <w:tab w:val="left" w:pos="1080"/>
        </w:tabs>
        <w:ind w:left="720"/>
        <w:rPr>
          <w:b/>
          <w:sz w:val="22"/>
          <w:szCs w:val="22"/>
        </w:rPr>
      </w:pPr>
      <w:r w:rsidRPr="00470971">
        <w:rPr>
          <w:sz w:val="22"/>
          <w:szCs w:val="22"/>
        </w:rPr>
        <w:t>(5)</w:t>
      </w:r>
      <w:r w:rsidRPr="00470971">
        <w:rPr>
          <w:sz w:val="22"/>
          <w:szCs w:val="22"/>
        </w:rPr>
        <w:tab/>
      </w:r>
      <w:r w:rsidRPr="003E383B" w:rsidR="00A40F4F">
        <w:rPr>
          <w:b/>
          <w:sz w:val="22"/>
          <w:szCs w:val="22"/>
        </w:rPr>
        <w:t xml:space="preserve">Annual “In House” Cost: </w:t>
      </w:r>
    </w:p>
    <w:p w:rsidR="00AD5266" w:rsidP="00772972" w:rsidRDefault="00AD5266">
      <w:pPr>
        <w:ind w:left="720"/>
        <w:rPr>
          <w:sz w:val="22"/>
          <w:szCs w:val="22"/>
        </w:rPr>
      </w:pPr>
    </w:p>
    <w:p w:rsidR="006D2965" w:rsidP="00C92410" w:rsidRDefault="006D2965">
      <w:pPr>
        <w:ind w:left="1080"/>
        <w:rPr>
          <w:sz w:val="22"/>
          <w:szCs w:val="22"/>
        </w:rPr>
      </w:pPr>
      <w:r>
        <w:rPr>
          <w:sz w:val="22"/>
          <w:szCs w:val="22"/>
        </w:rPr>
        <w:t>The Commission estimates that respondents will use “in-house” staff to prepare the information tariff filings at the rate of $50 per hour, spending approximately 50 hours annually to comply with this requirement:</w:t>
      </w:r>
    </w:p>
    <w:p w:rsidR="006D2965" w:rsidP="00C92410" w:rsidRDefault="006D2965">
      <w:pPr>
        <w:ind w:left="1080"/>
        <w:rPr>
          <w:sz w:val="22"/>
          <w:szCs w:val="22"/>
        </w:rPr>
      </w:pPr>
    </w:p>
    <w:p w:rsidR="00947FCE" w:rsidP="00C92410" w:rsidRDefault="006D2965">
      <w:pPr>
        <w:ind w:left="1080"/>
        <w:rPr>
          <w:sz w:val="22"/>
          <w:szCs w:val="22"/>
        </w:rPr>
      </w:pPr>
      <w:r>
        <w:rPr>
          <w:sz w:val="22"/>
          <w:szCs w:val="22"/>
        </w:rPr>
        <w:t>150 responses x 50 hours/annually x $50/hour = $375,000</w:t>
      </w:r>
    </w:p>
    <w:p w:rsidR="009B4C1B" w:rsidP="009E3844" w:rsidRDefault="009B4C1B">
      <w:pPr>
        <w:rPr>
          <w:sz w:val="22"/>
          <w:szCs w:val="22"/>
        </w:rPr>
      </w:pPr>
    </w:p>
    <w:p w:rsidR="0094026A" w:rsidP="009E3844" w:rsidRDefault="0094026A">
      <w:pPr>
        <w:rPr>
          <w:sz w:val="22"/>
          <w:szCs w:val="22"/>
        </w:rPr>
      </w:pPr>
    </w:p>
    <w:p w:rsidRPr="005D4BA7" w:rsidR="009E3844" w:rsidP="00C9183B" w:rsidRDefault="00C9183B">
      <w:pPr>
        <w:ind w:left="360" w:hanging="360"/>
        <w:rPr>
          <w:sz w:val="22"/>
          <w:szCs w:val="22"/>
        </w:rPr>
      </w:pPr>
      <w:r w:rsidRPr="0074534E">
        <w:rPr>
          <w:sz w:val="22"/>
          <w:szCs w:val="22"/>
        </w:rPr>
        <w:t>(c)</w:t>
      </w:r>
      <w:r w:rsidRPr="0074534E">
        <w:rPr>
          <w:sz w:val="22"/>
          <w:szCs w:val="22"/>
        </w:rPr>
        <w:tab/>
      </w:r>
      <w:r w:rsidRPr="0074534E">
        <w:rPr>
          <w:sz w:val="22"/>
          <w:szCs w:val="22"/>
        </w:rPr>
        <w:tab/>
      </w:r>
      <w:r w:rsidRPr="0012615D" w:rsidR="009E3844">
        <w:rPr>
          <w:sz w:val="22"/>
          <w:szCs w:val="22"/>
          <w:u w:val="single"/>
        </w:rPr>
        <w:t xml:space="preserve">Section 64.710, </w:t>
      </w:r>
      <w:r w:rsidR="002854B5">
        <w:rPr>
          <w:sz w:val="22"/>
          <w:szCs w:val="22"/>
          <w:u w:val="single"/>
        </w:rPr>
        <w:t>Operator services for prison inmate phones</w:t>
      </w:r>
      <w:r w:rsidR="0012615D">
        <w:rPr>
          <w:sz w:val="22"/>
          <w:szCs w:val="22"/>
        </w:rPr>
        <w:t>:</w:t>
      </w:r>
    </w:p>
    <w:p w:rsidRPr="005D4BA7" w:rsidR="00A52097" w:rsidP="00A52097" w:rsidRDefault="00A52097">
      <w:pPr>
        <w:ind w:left="360"/>
        <w:rPr>
          <w:sz w:val="22"/>
          <w:szCs w:val="22"/>
        </w:rPr>
      </w:pPr>
    </w:p>
    <w:p w:rsidRPr="00CB46BE" w:rsidR="00D404BE" w:rsidP="00D404BE" w:rsidRDefault="00470971">
      <w:pPr>
        <w:tabs>
          <w:tab w:val="left" w:pos="1080"/>
        </w:tabs>
        <w:ind w:left="720"/>
        <w:rPr>
          <w:b/>
          <w:sz w:val="22"/>
          <w:szCs w:val="22"/>
        </w:rPr>
      </w:pPr>
      <w:r>
        <w:rPr>
          <w:sz w:val="22"/>
          <w:szCs w:val="22"/>
        </w:rPr>
        <w:t>(1)</w:t>
      </w:r>
      <w:r>
        <w:rPr>
          <w:sz w:val="22"/>
          <w:szCs w:val="22"/>
        </w:rPr>
        <w:tab/>
      </w:r>
      <w:r w:rsidRPr="00470971" w:rsidR="009E3844">
        <w:rPr>
          <w:b/>
          <w:sz w:val="22"/>
          <w:szCs w:val="22"/>
        </w:rPr>
        <w:t>Number of respondents:</w:t>
      </w:r>
      <w:r w:rsidRPr="005D4BA7" w:rsidR="009E3844">
        <w:rPr>
          <w:sz w:val="22"/>
          <w:szCs w:val="22"/>
        </w:rPr>
        <w:t xml:space="preserve"> </w:t>
      </w:r>
      <w:r w:rsidRPr="00CB46BE" w:rsidR="00D81376">
        <w:rPr>
          <w:sz w:val="22"/>
          <w:szCs w:val="22"/>
        </w:rPr>
        <w:t>1</w:t>
      </w:r>
      <w:r w:rsidRPr="00CB46BE" w:rsidR="00BD7337">
        <w:rPr>
          <w:sz w:val="22"/>
          <w:szCs w:val="22"/>
        </w:rPr>
        <w:t>50</w:t>
      </w:r>
      <w:r w:rsidRPr="00CB46BE" w:rsidR="0096649B">
        <w:rPr>
          <w:sz w:val="22"/>
          <w:szCs w:val="22"/>
        </w:rPr>
        <w:t xml:space="preserve"> </w:t>
      </w:r>
      <w:r w:rsidRPr="00CB46BE" w:rsidR="00D404BE">
        <w:rPr>
          <w:sz w:val="22"/>
          <w:szCs w:val="22"/>
        </w:rPr>
        <w:t>respondents</w:t>
      </w:r>
      <w:r w:rsidRPr="00CB46BE" w:rsidR="00D404BE">
        <w:rPr>
          <w:b/>
          <w:sz w:val="22"/>
          <w:szCs w:val="22"/>
        </w:rPr>
        <w:t xml:space="preserve"> </w:t>
      </w:r>
    </w:p>
    <w:p w:rsidRPr="00CB46BE" w:rsidR="0096649B" w:rsidP="00996E59" w:rsidRDefault="0096649B">
      <w:pPr>
        <w:ind w:left="720"/>
        <w:rPr>
          <w:sz w:val="22"/>
          <w:szCs w:val="22"/>
        </w:rPr>
      </w:pPr>
    </w:p>
    <w:p w:rsidR="009E3844" w:rsidP="005A1BC2" w:rsidRDefault="009E3844">
      <w:pPr>
        <w:tabs>
          <w:tab w:val="left" w:pos="1080"/>
        </w:tabs>
        <w:ind w:left="1080"/>
        <w:rPr>
          <w:sz w:val="22"/>
          <w:szCs w:val="22"/>
        </w:rPr>
      </w:pPr>
      <w:r w:rsidRPr="00CB46BE">
        <w:rPr>
          <w:sz w:val="22"/>
          <w:szCs w:val="22"/>
        </w:rPr>
        <w:t xml:space="preserve">The record lacks any quantifiable evidence of the number of providers of operator services for interstate calls from inmates at correctional institutions.  </w:t>
      </w:r>
      <w:r w:rsidRPr="00CB46BE" w:rsidR="0096649B">
        <w:rPr>
          <w:sz w:val="22"/>
          <w:szCs w:val="22"/>
        </w:rPr>
        <w:t xml:space="preserve">The Commission </w:t>
      </w:r>
      <w:r w:rsidRPr="00CB46BE">
        <w:rPr>
          <w:sz w:val="22"/>
          <w:szCs w:val="22"/>
        </w:rPr>
        <w:t>estimate</w:t>
      </w:r>
      <w:r w:rsidRPr="00CB46BE" w:rsidR="0096649B">
        <w:rPr>
          <w:sz w:val="22"/>
          <w:szCs w:val="22"/>
        </w:rPr>
        <w:t>s</w:t>
      </w:r>
      <w:r w:rsidRPr="00CB46BE">
        <w:rPr>
          <w:sz w:val="22"/>
          <w:szCs w:val="22"/>
        </w:rPr>
        <w:t xml:space="preserve"> that</w:t>
      </w:r>
      <w:r w:rsidRPr="005D4BA7">
        <w:rPr>
          <w:sz w:val="22"/>
          <w:szCs w:val="22"/>
        </w:rPr>
        <w:t xml:space="preserve"> </w:t>
      </w:r>
      <w:r w:rsidR="00D81376">
        <w:rPr>
          <w:sz w:val="22"/>
          <w:szCs w:val="22"/>
        </w:rPr>
        <w:t>1</w:t>
      </w:r>
      <w:r w:rsidRPr="005D4BA7">
        <w:rPr>
          <w:sz w:val="22"/>
          <w:szCs w:val="22"/>
        </w:rPr>
        <w:t>5</w:t>
      </w:r>
      <w:r w:rsidR="00BD7337">
        <w:rPr>
          <w:sz w:val="22"/>
          <w:szCs w:val="22"/>
        </w:rPr>
        <w:t>0</w:t>
      </w:r>
      <w:r w:rsidRPr="005D4BA7">
        <w:rPr>
          <w:sz w:val="22"/>
          <w:szCs w:val="22"/>
        </w:rPr>
        <w:t xml:space="preserve"> </w:t>
      </w:r>
      <w:r w:rsidR="00C92410">
        <w:rPr>
          <w:sz w:val="22"/>
          <w:szCs w:val="22"/>
        </w:rPr>
        <w:t xml:space="preserve">respondents </w:t>
      </w:r>
      <w:r w:rsidR="0096649B">
        <w:rPr>
          <w:sz w:val="22"/>
          <w:szCs w:val="22"/>
        </w:rPr>
        <w:t xml:space="preserve">are </w:t>
      </w:r>
      <w:r w:rsidRPr="005D4BA7">
        <w:rPr>
          <w:sz w:val="22"/>
          <w:szCs w:val="22"/>
        </w:rPr>
        <w:t>subject to this requirement.</w:t>
      </w:r>
    </w:p>
    <w:p w:rsidRPr="005D4BA7" w:rsidR="00996E59" w:rsidP="00996E59" w:rsidRDefault="00996E59">
      <w:pPr>
        <w:ind w:left="720"/>
        <w:rPr>
          <w:sz w:val="22"/>
          <w:szCs w:val="22"/>
        </w:rPr>
      </w:pPr>
    </w:p>
    <w:p w:rsidR="00B948AA" w:rsidP="00470971" w:rsidRDefault="00470971">
      <w:pPr>
        <w:tabs>
          <w:tab w:val="left" w:pos="1080"/>
        </w:tabs>
        <w:ind w:left="2880" w:hanging="2160"/>
        <w:rPr>
          <w:sz w:val="22"/>
          <w:szCs w:val="22"/>
        </w:rPr>
      </w:pPr>
      <w:r>
        <w:rPr>
          <w:sz w:val="22"/>
          <w:szCs w:val="22"/>
        </w:rPr>
        <w:t>(2)</w:t>
      </w:r>
      <w:r>
        <w:rPr>
          <w:sz w:val="22"/>
          <w:szCs w:val="22"/>
        </w:rPr>
        <w:tab/>
      </w:r>
      <w:r w:rsidRPr="00470971" w:rsidR="009E3844">
        <w:rPr>
          <w:b/>
          <w:sz w:val="22"/>
          <w:szCs w:val="22"/>
        </w:rPr>
        <w:t>Frequency of response:</w:t>
      </w:r>
      <w:r w:rsidR="00CE11BE">
        <w:rPr>
          <w:b/>
          <w:sz w:val="22"/>
          <w:szCs w:val="22"/>
        </w:rPr>
        <w:t xml:space="preserve"> </w:t>
      </w:r>
      <w:r w:rsidRPr="005D4BA7" w:rsidR="009E3844">
        <w:rPr>
          <w:sz w:val="22"/>
          <w:szCs w:val="22"/>
        </w:rPr>
        <w:t xml:space="preserve"> </w:t>
      </w:r>
      <w:r w:rsidR="00B948AA">
        <w:rPr>
          <w:sz w:val="22"/>
          <w:szCs w:val="22"/>
        </w:rPr>
        <w:t>On occasion reporting requirements</w:t>
      </w:r>
    </w:p>
    <w:p w:rsidR="00B948AA" w:rsidP="00B948AA" w:rsidRDefault="00B948AA">
      <w:pPr>
        <w:ind w:left="2880" w:hanging="2160"/>
        <w:rPr>
          <w:sz w:val="22"/>
          <w:szCs w:val="22"/>
        </w:rPr>
      </w:pPr>
    </w:p>
    <w:p w:rsidR="00EA060E" w:rsidP="005A1BC2" w:rsidRDefault="00B948AA">
      <w:pPr>
        <w:ind w:left="1080"/>
        <w:rPr>
          <w:sz w:val="22"/>
          <w:szCs w:val="22"/>
        </w:rPr>
      </w:pPr>
      <w:r>
        <w:rPr>
          <w:sz w:val="22"/>
          <w:szCs w:val="22"/>
        </w:rPr>
        <w:t xml:space="preserve">The </w:t>
      </w:r>
      <w:r w:rsidRPr="005D4BA7" w:rsidR="009E3844">
        <w:rPr>
          <w:sz w:val="22"/>
          <w:szCs w:val="22"/>
        </w:rPr>
        <w:t>frequency of response var</w:t>
      </w:r>
      <w:r>
        <w:rPr>
          <w:sz w:val="22"/>
          <w:szCs w:val="22"/>
        </w:rPr>
        <w:t>ies</w:t>
      </w:r>
      <w:r w:rsidRPr="005D4BA7" w:rsidR="009E3844">
        <w:rPr>
          <w:sz w:val="22"/>
          <w:szCs w:val="22"/>
        </w:rPr>
        <w:t xml:space="preserve"> according to the number of interstate operator service calls initiated from correctional institution</w:t>
      </w:r>
      <w:r w:rsidR="00B0430A">
        <w:rPr>
          <w:sz w:val="22"/>
          <w:szCs w:val="22"/>
        </w:rPr>
        <w:t>s</w:t>
      </w:r>
      <w:r w:rsidR="008251AD">
        <w:rPr>
          <w:sz w:val="22"/>
          <w:szCs w:val="22"/>
        </w:rPr>
        <w:t xml:space="preserve">.  </w:t>
      </w:r>
    </w:p>
    <w:p w:rsidR="00EA060E" w:rsidP="005A1BC2" w:rsidRDefault="00EA060E">
      <w:pPr>
        <w:ind w:left="1080"/>
        <w:rPr>
          <w:sz w:val="22"/>
          <w:szCs w:val="22"/>
        </w:rPr>
      </w:pPr>
    </w:p>
    <w:p w:rsidR="00EA060E" w:rsidP="00EA060E" w:rsidRDefault="00EA060E">
      <w:pPr>
        <w:ind w:left="1080" w:hanging="360"/>
        <w:rPr>
          <w:sz w:val="22"/>
          <w:szCs w:val="22"/>
        </w:rPr>
      </w:pPr>
      <w:r w:rsidRPr="00EA060E">
        <w:rPr>
          <w:sz w:val="22"/>
          <w:szCs w:val="22"/>
        </w:rPr>
        <w:t>(3</w:t>
      </w:r>
      <w:r>
        <w:rPr>
          <w:sz w:val="22"/>
          <w:szCs w:val="22"/>
        </w:rPr>
        <w:t>)</w:t>
      </w:r>
      <w:r w:rsidR="008D0118">
        <w:rPr>
          <w:sz w:val="22"/>
          <w:szCs w:val="22"/>
        </w:rPr>
        <w:tab/>
      </w:r>
      <w:r w:rsidRPr="00EA060E">
        <w:rPr>
          <w:b/>
          <w:sz w:val="22"/>
          <w:szCs w:val="22"/>
        </w:rPr>
        <w:t>Number of Responses</w:t>
      </w:r>
      <w:r>
        <w:rPr>
          <w:b/>
          <w:sz w:val="22"/>
          <w:szCs w:val="22"/>
        </w:rPr>
        <w:t xml:space="preserve"> Annually</w:t>
      </w:r>
      <w:r w:rsidRPr="00EA060E">
        <w:rPr>
          <w:b/>
          <w:sz w:val="22"/>
          <w:szCs w:val="22"/>
        </w:rPr>
        <w:t>:</w:t>
      </w:r>
    </w:p>
    <w:p w:rsidR="00EA060E" w:rsidP="00EA060E" w:rsidRDefault="00EA060E">
      <w:pPr>
        <w:ind w:left="1080" w:hanging="360"/>
        <w:rPr>
          <w:sz w:val="22"/>
          <w:szCs w:val="22"/>
        </w:rPr>
      </w:pPr>
    </w:p>
    <w:p w:rsidR="00FC2DC5" w:rsidP="005A1BC2" w:rsidRDefault="00B948AA">
      <w:pPr>
        <w:ind w:left="1080"/>
        <w:rPr>
          <w:sz w:val="22"/>
          <w:szCs w:val="22"/>
        </w:rPr>
      </w:pPr>
      <w:r>
        <w:rPr>
          <w:sz w:val="22"/>
          <w:szCs w:val="22"/>
        </w:rPr>
        <w:t xml:space="preserve">The Commission </w:t>
      </w:r>
      <w:r w:rsidRPr="005D4BA7" w:rsidR="009E3844">
        <w:rPr>
          <w:sz w:val="22"/>
          <w:szCs w:val="22"/>
        </w:rPr>
        <w:t>estimate</w:t>
      </w:r>
      <w:r>
        <w:rPr>
          <w:sz w:val="22"/>
          <w:szCs w:val="22"/>
        </w:rPr>
        <w:t>s</w:t>
      </w:r>
      <w:r w:rsidRPr="005D4BA7" w:rsidR="009E3844">
        <w:rPr>
          <w:sz w:val="22"/>
          <w:szCs w:val="22"/>
        </w:rPr>
        <w:t xml:space="preserve"> that prison inmates</w:t>
      </w:r>
      <w:r w:rsidR="004C4F07">
        <w:rPr>
          <w:sz w:val="22"/>
          <w:szCs w:val="22"/>
        </w:rPr>
        <w:t xml:space="preserve"> may make approximately </w:t>
      </w:r>
      <w:r w:rsidRPr="00CB46BE" w:rsidR="002566DA">
        <w:rPr>
          <w:sz w:val="22"/>
          <w:szCs w:val="22"/>
        </w:rPr>
        <w:t>5</w:t>
      </w:r>
      <w:r w:rsidRPr="00CB46BE" w:rsidR="00C976E4">
        <w:rPr>
          <w:sz w:val="22"/>
          <w:szCs w:val="22"/>
        </w:rPr>
        <w:t>5</w:t>
      </w:r>
      <w:r w:rsidRPr="00CB46BE" w:rsidR="004C4F07">
        <w:rPr>
          <w:sz w:val="22"/>
          <w:szCs w:val="22"/>
        </w:rPr>
        <w:t xml:space="preserve">% of the </w:t>
      </w:r>
      <w:r w:rsidRPr="00CB46BE" w:rsidR="00D43421">
        <w:rPr>
          <w:sz w:val="22"/>
          <w:szCs w:val="22"/>
        </w:rPr>
        <w:t>11</w:t>
      </w:r>
      <w:r w:rsidRPr="00CB46BE" w:rsidR="00E2521D">
        <w:rPr>
          <w:sz w:val="22"/>
          <w:szCs w:val="22"/>
        </w:rPr>
        <w:t>,</w:t>
      </w:r>
      <w:r w:rsidRPr="00CB46BE" w:rsidR="00D43421">
        <w:rPr>
          <w:sz w:val="22"/>
          <w:szCs w:val="22"/>
        </w:rPr>
        <w:t>25</w:t>
      </w:r>
      <w:r w:rsidRPr="00CB46BE" w:rsidR="00E2521D">
        <w:rPr>
          <w:sz w:val="22"/>
          <w:szCs w:val="22"/>
        </w:rPr>
        <w:t xml:space="preserve">0,000 </w:t>
      </w:r>
      <w:r w:rsidRPr="00CB46BE" w:rsidR="004C4F07">
        <w:rPr>
          <w:sz w:val="22"/>
          <w:szCs w:val="22"/>
        </w:rPr>
        <w:t xml:space="preserve">“operator assisted” </w:t>
      </w:r>
      <w:r w:rsidRPr="00CB46BE" w:rsidR="00FC2DC5">
        <w:rPr>
          <w:sz w:val="22"/>
          <w:szCs w:val="22"/>
        </w:rPr>
        <w:t xml:space="preserve">interstate </w:t>
      </w:r>
      <w:r w:rsidRPr="00CB46BE" w:rsidR="004C4F07">
        <w:rPr>
          <w:sz w:val="22"/>
          <w:szCs w:val="22"/>
        </w:rPr>
        <w:t>telephone calls</w:t>
      </w:r>
      <w:r w:rsidRPr="00CB46BE" w:rsidR="00F83ECD">
        <w:rPr>
          <w:sz w:val="22"/>
          <w:szCs w:val="22"/>
        </w:rPr>
        <w:t xml:space="preserve"> because they lack access to other calling options, </w:t>
      </w:r>
      <w:r w:rsidRPr="004326B2" w:rsidR="00F83ECD">
        <w:rPr>
          <w:sz w:val="22"/>
          <w:szCs w:val="22"/>
        </w:rPr>
        <w:t>i.e.</w:t>
      </w:r>
      <w:r w:rsidR="004326B2">
        <w:rPr>
          <w:sz w:val="22"/>
          <w:szCs w:val="22"/>
        </w:rPr>
        <w:t>,</w:t>
      </w:r>
      <w:r w:rsidRPr="00CB46BE" w:rsidR="00F83ECD">
        <w:rPr>
          <w:sz w:val="22"/>
          <w:szCs w:val="22"/>
        </w:rPr>
        <w:t xml:space="preserve"> cell phones and residential phone lines</w:t>
      </w:r>
      <w:r w:rsidRPr="00CB46BE" w:rsidR="00FC2DC5">
        <w:rPr>
          <w:sz w:val="22"/>
          <w:szCs w:val="22"/>
        </w:rPr>
        <w:t>:</w:t>
      </w:r>
    </w:p>
    <w:p w:rsidR="00FC2DC5" w:rsidP="00B948AA" w:rsidRDefault="00FC2DC5">
      <w:pPr>
        <w:ind w:left="720"/>
        <w:rPr>
          <w:sz w:val="22"/>
          <w:szCs w:val="22"/>
        </w:rPr>
      </w:pPr>
    </w:p>
    <w:p w:rsidR="009E3844" w:rsidP="0083178A" w:rsidRDefault="00D43421">
      <w:pPr>
        <w:ind w:left="720" w:firstLine="360"/>
        <w:rPr>
          <w:sz w:val="22"/>
          <w:szCs w:val="22"/>
        </w:rPr>
      </w:pPr>
      <w:r>
        <w:rPr>
          <w:sz w:val="22"/>
          <w:szCs w:val="22"/>
        </w:rPr>
        <w:t>11</w:t>
      </w:r>
      <w:r w:rsidR="00E157E5">
        <w:rPr>
          <w:sz w:val="22"/>
          <w:szCs w:val="22"/>
        </w:rPr>
        <w:t>,</w:t>
      </w:r>
      <w:r>
        <w:rPr>
          <w:sz w:val="22"/>
          <w:szCs w:val="22"/>
        </w:rPr>
        <w:t>25</w:t>
      </w:r>
      <w:r w:rsidR="00FC2DC5">
        <w:rPr>
          <w:sz w:val="22"/>
          <w:szCs w:val="22"/>
        </w:rPr>
        <w:t>0,000 interstate calls x .</w:t>
      </w:r>
      <w:r w:rsidR="00A90943">
        <w:rPr>
          <w:sz w:val="22"/>
          <w:szCs w:val="22"/>
        </w:rPr>
        <w:t>5</w:t>
      </w:r>
      <w:r w:rsidR="00D02800">
        <w:rPr>
          <w:sz w:val="22"/>
          <w:szCs w:val="22"/>
        </w:rPr>
        <w:t>5</w:t>
      </w:r>
      <w:r w:rsidR="00FC2DC5">
        <w:rPr>
          <w:sz w:val="22"/>
          <w:szCs w:val="22"/>
        </w:rPr>
        <w:t>/</w:t>
      </w:r>
      <w:r w:rsidR="00EA060E">
        <w:rPr>
          <w:sz w:val="22"/>
          <w:szCs w:val="22"/>
        </w:rPr>
        <w:t xml:space="preserve">prison </w:t>
      </w:r>
      <w:r w:rsidR="00FC2DC5">
        <w:rPr>
          <w:sz w:val="22"/>
          <w:szCs w:val="22"/>
        </w:rPr>
        <w:t xml:space="preserve">inmate calls = </w:t>
      </w:r>
      <w:r w:rsidRPr="002D4B2A" w:rsidR="00B0430A">
        <w:rPr>
          <w:sz w:val="22"/>
          <w:szCs w:val="22"/>
        </w:rPr>
        <w:t>6,187,500</w:t>
      </w:r>
      <w:r w:rsidR="007C5951">
        <w:rPr>
          <w:sz w:val="22"/>
          <w:szCs w:val="22"/>
        </w:rPr>
        <w:t xml:space="preserve"> </w:t>
      </w:r>
      <w:r w:rsidR="00224FFA">
        <w:rPr>
          <w:sz w:val="22"/>
          <w:szCs w:val="22"/>
        </w:rPr>
        <w:t xml:space="preserve">“operator assisted” </w:t>
      </w:r>
      <w:r w:rsidR="0083178A">
        <w:rPr>
          <w:sz w:val="22"/>
          <w:szCs w:val="22"/>
        </w:rPr>
        <w:t>c</w:t>
      </w:r>
      <w:r w:rsidR="007C5951">
        <w:rPr>
          <w:sz w:val="22"/>
          <w:szCs w:val="22"/>
        </w:rPr>
        <w:t>alls</w:t>
      </w:r>
    </w:p>
    <w:p w:rsidR="00996E59" w:rsidP="00996E59" w:rsidRDefault="00996E59">
      <w:pPr>
        <w:ind w:left="360"/>
        <w:rPr>
          <w:sz w:val="22"/>
          <w:szCs w:val="22"/>
          <w:u w:val="single"/>
        </w:rPr>
      </w:pPr>
    </w:p>
    <w:p w:rsidR="00681829" w:rsidP="00D03A35" w:rsidRDefault="00D03A35">
      <w:pPr>
        <w:tabs>
          <w:tab w:val="left" w:pos="1080"/>
        </w:tabs>
        <w:ind w:left="1080" w:hanging="360"/>
        <w:rPr>
          <w:sz w:val="22"/>
          <w:szCs w:val="22"/>
        </w:rPr>
      </w:pPr>
      <w:r>
        <w:rPr>
          <w:sz w:val="22"/>
          <w:szCs w:val="22"/>
        </w:rPr>
        <w:t>(</w:t>
      </w:r>
      <w:r w:rsidR="00C9183B">
        <w:rPr>
          <w:sz w:val="22"/>
          <w:szCs w:val="22"/>
        </w:rPr>
        <w:t>4</w:t>
      </w:r>
      <w:r>
        <w:rPr>
          <w:sz w:val="22"/>
          <w:szCs w:val="22"/>
        </w:rPr>
        <w:t>)</w:t>
      </w:r>
      <w:r>
        <w:rPr>
          <w:sz w:val="22"/>
          <w:szCs w:val="22"/>
        </w:rPr>
        <w:tab/>
      </w:r>
      <w:r w:rsidRPr="00681829" w:rsidR="00681829">
        <w:rPr>
          <w:b/>
          <w:sz w:val="22"/>
          <w:szCs w:val="22"/>
        </w:rPr>
        <w:t>Annual Hourly Burden:</w:t>
      </w:r>
      <w:r w:rsidR="00681829">
        <w:rPr>
          <w:sz w:val="22"/>
          <w:szCs w:val="22"/>
        </w:rPr>
        <w:t xml:space="preserve"> </w:t>
      </w:r>
    </w:p>
    <w:p w:rsidR="002A12E9" w:rsidP="00D03A35" w:rsidRDefault="002A12E9">
      <w:pPr>
        <w:tabs>
          <w:tab w:val="left" w:pos="1080"/>
        </w:tabs>
        <w:ind w:left="1080" w:hanging="360"/>
        <w:rPr>
          <w:sz w:val="22"/>
          <w:szCs w:val="22"/>
        </w:rPr>
      </w:pPr>
    </w:p>
    <w:p w:rsidR="002A12E9" w:rsidP="002A12E9" w:rsidRDefault="002A12E9">
      <w:pPr>
        <w:tabs>
          <w:tab w:val="left" w:pos="1080"/>
        </w:tabs>
        <w:rPr>
          <w:sz w:val="22"/>
          <w:szCs w:val="22"/>
        </w:rPr>
      </w:pPr>
      <w:r>
        <w:rPr>
          <w:sz w:val="22"/>
          <w:szCs w:val="22"/>
        </w:rPr>
        <w:tab/>
      </w:r>
      <w:r w:rsidR="00475256">
        <w:rPr>
          <w:sz w:val="22"/>
          <w:szCs w:val="22"/>
        </w:rPr>
        <w:t>(a)</w:t>
      </w:r>
      <w:r>
        <w:rPr>
          <w:sz w:val="22"/>
          <w:szCs w:val="22"/>
        </w:rPr>
        <w:t xml:space="preserve">  </w:t>
      </w:r>
      <w:r w:rsidRPr="005D4BA7" w:rsidR="00796CAE">
        <w:rPr>
          <w:sz w:val="22"/>
          <w:szCs w:val="22"/>
        </w:rPr>
        <w:t xml:space="preserve">The </w:t>
      </w:r>
      <w:r w:rsidR="00796CAE">
        <w:rPr>
          <w:sz w:val="22"/>
          <w:szCs w:val="22"/>
        </w:rPr>
        <w:t>Commission estimates that current technology and message information processe</w:t>
      </w:r>
      <w:r>
        <w:rPr>
          <w:sz w:val="22"/>
          <w:szCs w:val="22"/>
        </w:rPr>
        <w:t>s</w:t>
      </w:r>
    </w:p>
    <w:p w:rsidR="00796CAE" w:rsidP="002A12E9" w:rsidRDefault="002D4B2A">
      <w:pPr>
        <w:tabs>
          <w:tab w:val="left" w:pos="1080"/>
        </w:tabs>
        <w:ind w:left="1440"/>
        <w:rPr>
          <w:sz w:val="22"/>
          <w:szCs w:val="22"/>
        </w:rPr>
      </w:pPr>
      <w:r>
        <w:rPr>
          <w:sz w:val="22"/>
          <w:szCs w:val="22"/>
        </w:rPr>
        <w:t>r</w:t>
      </w:r>
      <w:r w:rsidR="00796CAE">
        <w:rPr>
          <w:sz w:val="22"/>
          <w:szCs w:val="22"/>
        </w:rPr>
        <w:t>equire</w:t>
      </w:r>
      <w:r>
        <w:rPr>
          <w:sz w:val="22"/>
          <w:szCs w:val="22"/>
        </w:rPr>
        <w:t xml:space="preserve"> </w:t>
      </w:r>
      <w:r w:rsidR="00796CAE">
        <w:rPr>
          <w:sz w:val="22"/>
          <w:szCs w:val="22"/>
        </w:rPr>
        <w:t xml:space="preserve">each </w:t>
      </w:r>
      <w:r w:rsidR="00AD25AE">
        <w:rPr>
          <w:sz w:val="22"/>
          <w:szCs w:val="22"/>
        </w:rPr>
        <w:t xml:space="preserve">respondent </w:t>
      </w:r>
      <w:r w:rsidR="00796CAE">
        <w:rPr>
          <w:sz w:val="22"/>
          <w:szCs w:val="22"/>
        </w:rPr>
        <w:t xml:space="preserve">to spend approximately </w:t>
      </w:r>
      <w:r w:rsidR="00EA060E">
        <w:rPr>
          <w:sz w:val="22"/>
          <w:szCs w:val="22"/>
        </w:rPr>
        <w:t>4</w:t>
      </w:r>
      <w:r w:rsidR="00796CAE">
        <w:rPr>
          <w:sz w:val="22"/>
          <w:szCs w:val="22"/>
        </w:rPr>
        <w:t xml:space="preserve"> hours annually preparing</w:t>
      </w:r>
      <w:r w:rsidR="00773210">
        <w:rPr>
          <w:sz w:val="22"/>
          <w:szCs w:val="22"/>
        </w:rPr>
        <w:t xml:space="preserve"> the messages </w:t>
      </w:r>
      <w:r w:rsidR="00796CAE">
        <w:rPr>
          <w:sz w:val="22"/>
          <w:szCs w:val="22"/>
        </w:rPr>
        <w:t xml:space="preserve">that </w:t>
      </w:r>
      <w:r w:rsidR="00B0430A">
        <w:rPr>
          <w:sz w:val="22"/>
          <w:szCs w:val="22"/>
        </w:rPr>
        <w:t>prison</w:t>
      </w:r>
      <w:r w:rsidR="002A12E9">
        <w:rPr>
          <w:sz w:val="22"/>
          <w:szCs w:val="22"/>
        </w:rPr>
        <w:t xml:space="preserve"> </w:t>
      </w:r>
      <w:r w:rsidR="00B0430A">
        <w:rPr>
          <w:sz w:val="22"/>
          <w:szCs w:val="22"/>
        </w:rPr>
        <w:t>inmates and other consumers</w:t>
      </w:r>
      <w:r w:rsidR="00796CAE">
        <w:rPr>
          <w:sz w:val="22"/>
          <w:szCs w:val="22"/>
        </w:rPr>
        <w:t xml:space="preserve"> will hear</w:t>
      </w:r>
      <w:r w:rsidR="00B0430A">
        <w:rPr>
          <w:sz w:val="22"/>
          <w:szCs w:val="22"/>
        </w:rPr>
        <w:t>;</w:t>
      </w:r>
      <w:r w:rsidR="00796CAE">
        <w:rPr>
          <w:sz w:val="22"/>
          <w:szCs w:val="22"/>
        </w:rPr>
        <w:t xml:space="preserve">  </w:t>
      </w:r>
    </w:p>
    <w:p w:rsidR="00796CAE" w:rsidP="00796CAE" w:rsidRDefault="00796CAE">
      <w:pPr>
        <w:ind w:left="720"/>
        <w:rPr>
          <w:sz w:val="22"/>
          <w:szCs w:val="22"/>
        </w:rPr>
      </w:pPr>
    </w:p>
    <w:p w:rsidR="00796CAE" w:rsidP="00773210" w:rsidRDefault="00773210">
      <w:pPr>
        <w:rPr>
          <w:sz w:val="22"/>
          <w:szCs w:val="22"/>
        </w:rPr>
      </w:pPr>
      <w:r>
        <w:rPr>
          <w:sz w:val="22"/>
          <w:szCs w:val="22"/>
        </w:rPr>
        <w:tab/>
      </w:r>
      <w:r>
        <w:rPr>
          <w:sz w:val="22"/>
          <w:szCs w:val="22"/>
        </w:rPr>
        <w:tab/>
      </w:r>
      <w:r w:rsidR="00D81376">
        <w:rPr>
          <w:sz w:val="22"/>
          <w:szCs w:val="22"/>
        </w:rPr>
        <w:t>1</w:t>
      </w:r>
      <w:r w:rsidR="00850555">
        <w:rPr>
          <w:sz w:val="22"/>
          <w:szCs w:val="22"/>
        </w:rPr>
        <w:t>50</w:t>
      </w:r>
      <w:r w:rsidR="00796CAE">
        <w:rPr>
          <w:sz w:val="22"/>
          <w:szCs w:val="22"/>
        </w:rPr>
        <w:t xml:space="preserve"> </w:t>
      </w:r>
      <w:r w:rsidR="00C92410">
        <w:rPr>
          <w:sz w:val="22"/>
          <w:szCs w:val="22"/>
        </w:rPr>
        <w:t>respondents</w:t>
      </w:r>
      <w:r w:rsidR="00796CAE">
        <w:rPr>
          <w:sz w:val="22"/>
          <w:szCs w:val="22"/>
        </w:rPr>
        <w:t xml:space="preserve"> x </w:t>
      </w:r>
      <w:r w:rsidR="00E82A4B">
        <w:rPr>
          <w:sz w:val="22"/>
          <w:szCs w:val="22"/>
        </w:rPr>
        <w:t>4</w:t>
      </w:r>
      <w:r w:rsidR="00796CAE">
        <w:rPr>
          <w:sz w:val="22"/>
          <w:szCs w:val="22"/>
        </w:rPr>
        <w:t xml:space="preserve"> hours/year/recording = </w:t>
      </w:r>
      <w:r w:rsidR="00D81376">
        <w:rPr>
          <w:sz w:val="22"/>
          <w:szCs w:val="22"/>
        </w:rPr>
        <w:t>6</w:t>
      </w:r>
      <w:r w:rsidR="00B0430A">
        <w:rPr>
          <w:sz w:val="22"/>
          <w:szCs w:val="22"/>
        </w:rPr>
        <w:t>00</w:t>
      </w:r>
      <w:r w:rsidRPr="006D7AF1" w:rsidR="00796CAE">
        <w:rPr>
          <w:sz w:val="22"/>
          <w:szCs w:val="22"/>
        </w:rPr>
        <w:t xml:space="preserve"> hours</w:t>
      </w:r>
    </w:p>
    <w:p w:rsidR="00304E74" w:rsidP="00304E74" w:rsidRDefault="00304E74">
      <w:pPr>
        <w:tabs>
          <w:tab w:val="left" w:pos="1440"/>
        </w:tabs>
        <w:rPr>
          <w:sz w:val="22"/>
          <w:szCs w:val="22"/>
        </w:rPr>
      </w:pPr>
    </w:p>
    <w:p w:rsidR="00475256" w:rsidP="00304E74" w:rsidRDefault="00304E74">
      <w:pPr>
        <w:tabs>
          <w:tab w:val="left" w:pos="1080"/>
        </w:tabs>
        <w:ind w:left="1440" w:hanging="1080"/>
        <w:rPr>
          <w:sz w:val="22"/>
          <w:szCs w:val="22"/>
        </w:rPr>
      </w:pPr>
      <w:r w:rsidRPr="00304E74">
        <w:rPr>
          <w:sz w:val="22"/>
          <w:szCs w:val="22"/>
        </w:rPr>
        <w:tab/>
        <w:t>(</w:t>
      </w:r>
      <w:r>
        <w:rPr>
          <w:sz w:val="22"/>
          <w:szCs w:val="22"/>
        </w:rPr>
        <w:t xml:space="preserve">b)  </w:t>
      </w:r>
      <w:r w:rsidR="00475256">
        <w:rPr>
          <w:sz w:val="22"/>
          <w:szCs w:val="22"/>
        </w:rPr>
        <w:t xml:space="preserve">To comply with the consumer information message requirement, the Commission believes that: </w:t>
      </w:r>
    </w:p>
    <w:p w:rsidR="00304E74" w:rsidP="00304E74" w:rsidRDefault="00304E74">
      <w:pPr>
        <w:tabs>
          <w:tab w:val="left" w:pos="1440"/>
        </w:tabs>
        <w:ind w:left="1080" w:hanging="1080"/>
        <w:rPr>
          <w:sz w:val="22"/>
          <w:szCs w:val="22"/>
        </w:rPr>
      </w:pPr>
    </w:p>
    <w:p w:rsidR="00475256" w:rsidP="00475256" w:rsidRDefault="00475256">
      <w:pPr>
        <w:tabs>
          <w:tab w:val="left" w:pos="1440"/>
        </w:tabs>
        <w:ind w:left="1440" w:hanging="360"/>
        <w:rPr>
          <w:sz w:val="22"/>
          <w:szCs w:val="22"/>
        </w:rPr>
      </w:pPr>
      <w:r>
        <w:rPr>
          <w:sz w:val="22"/>
          <w:szCs w:val="22"/>
        </w:rPr>
        <w:tab/>
      </w:r>
      <w:r w:rsidR="00C92410">
        <w:rPr>
          <w:sz w:val="22"/>
          <w:szCs w:val="22"/>
        </w:rPr>
        <w:t xml:space="preserve">Respondents </w:t>
      </w:r>
      <w:r>
        <w:rPr>
          <w:sz w:val="22"/>
          <w:szCs w:val="22"/>
        </w:rPr>
        <w:t xml:space="preserve">will spend on average </w:t>
      </w:r>
      <w:r w:rsidR="002D4B2A">
        <w:rPr>
          <w:sz w:val="22"/>
          <w:szCs w:val="22"/>
        </w:rPr>
        <w:t xml:space="preserve">1 minute </w:t>
      </w:r>
      <w:r>
        <w:rPr>
          <w:sz w:val="22"/>
          <w:szCs w:val="22"/>
        </w:rPr>
        <w:t>(.01</w:t>
      </w:r>
      <w:r w:rsidR="002D4B2A">
        <w:rPr>
          <w:sz w:val="22"/>
          <w:szCs w:val="22"/>
        </w:rPr>
        <w:t>7</w:t>
      </w:r>
      <w:r>
        <w:rPr>
          <w:sz w:val="22"/>
          <w:szCs w:val="22"/>
        </w:rPr>
        <w:t xml:space="preserve"> hours) to provide automated information and/or live operator assistance, if necessary, to “non</w:t>
      </w:r>
      <w:r w:rsidR="00CC0943">
        <w:rPr>
          <w:sz w:val="22"/>
          <w:szCs w:val="22"/>
        </w:rPr>
        <w:t>-</w:t>
      </w:r>
      <w:r>
        <w:rPr>
          <w:sz w:val="22"/>
          <w:szCs w:val="22"/>
        </w:rPr>
        <w:t>penal institution” callers who require “operator assistance</w:t>
      </w:r>
      <w:r w:rsidR="004326B2">
        <w:rPr>
          <w:sz w:val="22"/>
          <w:szCs w:val="22"/>
        </w:rPr>
        <w:t>;</w:t>
      </w:r>
      <w:r>
        <w:rPr>
          <w:sz w:val="22"/>
          <w:szCs w:val="22"/>
        </w:rPr>
        <w:t xml:space="preserve">” </w:t>
      </w:r>
    </w:p>
    <w:p w:rsidR="00475256" w:rsidP="00475256" w:rsidRDefault="00475256">
      <w:pPr>
        <w:tabs>
          <w:tab w:val="left" w:pos="1440"/>
        </w:tabs>
        <w:ind w:left="1800" w:hanging="720"/>
        <w:rPr>
          <w:sz w:val="22"/>
          <w:szCs w:val="22"/>
        </w:rPr>
      </w:pPr>
    </w:p>
    <w:p w:rsidR="00475256" w:rsidP="00475256" w:rsidRDefault="00475256">
      <w:pPr>
        <w:tabs>
          <w:tab w:val="left" w:pos="1440"/>
        </w:tabs>
        <w:ind w:left="1800" w:hanging="720"/>
        <w:rPr>
          <w:sz w:val="22"/>
          <w:szCs w:val="22"/>
        </w:rPr>
      </w:pPr>
      <w:r>
        <w:rPr>
          <w:sz w:val="22"/>
          <w:szCs w:val="22"/>
        </w:rPr>
        <w:tab/>
        <w:t>6,187,500 “operator assisted” telephone calls x .01</w:t>
      </w:r>
      <w:r w:rsidR="002D4B2A">
        <w:rPr>
          <w:sz w:val="22"/>
          <w:szCs w:val="22"/>
        </w:rPr>
        <w:t>7</w:t>
      </w:r>
      <w:r>
        <w:rPr>
          <w:sz w:val="22"/>
          <w:szCs w:val="22"/>
        </w:rPr>
        <w:t xml:space="preserve"> hours = 10</w:t>
      </w:r>
      <w:r w:rsidR="002D4B2A">
        <w:rPr>
          <w:sz w:val="22"/>
          <w:szCs w:val="22"/>
        </w:rPr>
        <w:t>5,188</w:t>
      </w:r>
      <w:r>
        <w:rPr>
          <w:sz w:val="22"/>
          <w:szCs w:val="22"/>
        </w:rPr>
        <w:t xml:space="preserve"> </w:t>
      </w:r>
      <w:proofErr w:type="spellStart"/>
      <w:r>
        <w:rPr>
          <w:sz w:val="22"/>
          <w:szCs w:val="22"/>
        </w:rPr>
        <w:t>hrs</w:t>
      </w:r>
      <w:proofErr w:type="spellEnd"/>
      <w:r>
        <w:rPr>
          <w:sz w:val="22"/>
          <w:szCs w:val="22"/>
        </w:rPr>
        <w:t xml:space="preserve"> </w:t>
      </w:r>
    </w:p>
    <w:p w:rsidR="00B30F57" w:rsidP="002C1355" w:rsidRDefault="00B30F57">
      <w:pPr>
        <w:ind w:left="720"/>
        <w:rPr>
          <w:sz w:val="22"/>
          <w:szCs w:val="22"/>
        </w:rPr>
      </w:pPr>
    </w:p>
    <w:p w:rsidR="00B266A1" w:rsidP="00B266A1" w:rsidRDefault="00681829">
      <w:pPr>
        <w:tabs>
          <w:tab w:val="left" w:pos="1080"/>
        </w:tabs>
        <w:ind w:left="720"/>
        <w:rPr>
          <w:sz w:val="22"/>
          <w:szCs w:val="22"/>
        </w:rPr>
      </w:pPr>
      <w:r>
        <w:rPr>
          <w:sz w:val="22"/>
          <w:szCs w:val="22"/>
        </w:rPr>
        <w:t>(</w:t>
      </w:r>
      <w:r w:rsidR="00C9183B">
        <w:rPr>
          <w:sz w:val="22"/>
          <w:szCs w:val="22"/>
        </w:rPr>
        <w:t>5</w:t>
      </w:r>
      <w:r>
        <w:rPr>
          <w:sz w:val="22"/>
          <w:szCs w:val="22"/>
        </w:rPr>
        <w:t>)</w:t>
      </w:r>
      <w:r>
        <w:rPr>
          <w:sz w:val="22"/>
          <w:szCs w:val="22"/>
        </w:rPr>
        <w:tab/>
      </w:r>
      <w:r w:rsidRPr="00B266A1" w:rsidR="00B266A1">
        <w:rPr>
          <w:b/>
          <w:sz w:val="22"/>
          <w:szCs w:val="22"/>
        </w:rPr>
        <w:t>Annual</w:t>
      </w:r>
      <w:r w:rsidR="00D404BE">
        <w:rPr>
          <w:b/>
          <w:sz w:val="22"/>
          <w:szCs w:val="22"/>
        </w:rPr>
        <w:t xml:space="preserve"> “In-House”</w:t>
      </w:r>
      <w:r w:rsidRPr="00B266A1" w:rsidR="00B266A1">
        <w:rPr>
          <w:b/>
          <w:sz w:val="22"/>
          <w:szCs w:val="22"/>
        </w:rPr>
        <w:t xml:space="preserve"> Cost:</w:t>
      </w:r>
      <w:r w:rsidR="00B266A1">
        <w:rPr>
          <w:sz w:val="22"/>
          <w:szCs w:val="22"/>
        </w:rPr>
        <w:t xml:space="preserve"> </w:t>
      </w:r>
    </w:p>
    <w:p w:rsidR="00B266A1" w:rsidP="00B266A1" w:rsidRDefault="00326730">
      <w:pPr>
        <w:tabs>
          <w:tab w:val="left" w:pos="1080"/>
        </w:tabs>
        <w:ind w:left="720"/>
        <w:rPr>
          <w:sz w:val="22"/>
          <w:szCs w:val="22"/>
        </w:rPr>
      </w:pPr>
      <w:r>
        <w:rPr>
          <w:sz w:val="22"/>
          <w:szCs w:val="22"/>
        </w:rPr>
        <w:tab/>
      </w:r>
      <w:r>
        <w:rPr>
          <w:sz w:val="22"/>
          <w:szCs w:val="22"/>
        </w:rPr>
        <w:tab/>
      </w:r>
    </w:p>
    <w:p w:rsidR="00326730" w:rsidP="002D4B2A" w:rsidRDefault="00326730">
      <w:pPr>
        <w:tabs>
          <w:tab w:val="left" w:pos="1080"/>
        </w:tabs>
        <w:ind w:left="1080"/>
        <w:rPr>
          <w:sz w:val="22"/>
          <w:szCs w:val="22"/>
        </w:rPr>
      </w:pPr>
      <w:r>
        <w:rPr>
          <w:sz w:val="22"/>
          <w:szCs w:val="22"/>
        </w:rPr>
        <w:t>The Commission estimates that respondents will use three “in house” engineers earning $50 per hour, spending approximately 4 hours</w:t>
      </w:r>
      <w:r w:rsidR="00DD1FA0">
        <w:rPr>
          <w:sz w:val="22"/>
          <w:szCs w:val="22"/>
        </w:rPr>
        <w:t xml:space="preserve"> preparing the automated messages</w:t>
      </w:r>
      <w:r>
        <w:rPr>
          <w:sz w:val="22"/>
          <w:szCs w:val="22"/>
        </w:rPr>
        <w:t xml:space="preserve">.  Staff will spend </w:t>
      </w:r>
      <w:r w:rsidR="002D4B2A">
        <w:rPr>
          <w:sz w:val="22"/>
          <w:szCs w:val="22"/>
        </w:rPr>
        <w:t xml:space="preserve">1 minute </w:t>
      </w:r>
      <w:r>
        <w:rPr>
          <w:sz w:val="22"/>
          <w:szCs w:val="22"/>
        </w:rPr>
        <w:t>per year to provide automated information and/or live operator</w:t>
      </w:r>
      <w:r w:rsidR="002D4B2A">
        <w:rPr>
          <w:sz w:val="22"/>
          <w:szCs w:val="22"/>
        </w:rPr>
        <w:t xml:space="preserve"> </w:t>
      </w:r>
      <w:r>
        <w:rPr>
          <w:sz w:val="22"/>
          <w:szCs w:val="22"/>
        </w:rPr>
        <w:t xml:space="preserve">assistance to </w:t>
      </w:r>
      <w:proofErr w:type="spellStart"/>
      <w:r>
        <w:rPr>
          <w:sz w:val="22"/>
          <w:szCs w:val="22"/>
        </w:rPr>
        <w:t>non penal</w:t>
      </w:r>
      <w:proofErr w:type="spellEnd"/>
      <w:r>
        <w:rPr>
          <w:sz w:val="22"/>
          <w:szCs w:val="22"/>
        </w:rPr>
        <w:t xml:space="preserve"> institution callers who require operator assistance</w:t>
      </w:r>
      <w:r w:rsidR="00716121">
        <w:rPr>
          <w:sz w:val="22"/>
          <w:szCs w:val="22"/>
        </w:rPr>
        <w:t xml:space="preserve"> at a rate of </w:t>
      </w:r>
      <w:r w:rsidRPr="005603EB" w:rsidR="00716121">
        <w:rPr>
          <w:sz w:val="22"/>
          <w:szCs w:val="22"/>
        </w:rPr>
        <w:t>$50 per hour</w:t>
      </w:r>
      <w:r w:rsidRPr="005603EB">
        <w:rPr>
          <w:sz w:val="22"/>
          <w:szCs w:val="22"/>
        </w:rPr>
        <w:t>.</w:t>
      </w:r>
    </w:p>
    <w:p w:rsidR="00C320C8" w:rsidP="00B266A1" w:rsidRDefault="00C320C8">
      <w:pPr>
        <w:tabs>
          <w:tab w:val="left" w:pos="1080"/>
        </w:tabs>
        <w:ind w:left="720"/>
        <w:rPr>
          <w:sz w:val="22"/>
          <w:szCs w:val="22"/>
        </w:rPr>
      </w:pPr>
    </w:p>
    <w:p w:rsidR="00B0430A" w:rsidP="00B0430A" w:rsidRDefault="0094026A">
      <w:pPr>
        <w:ind w:left="1440"/>
        <w:rPr>
          <w:sz w:val="22"/>
          <w:szCs w:val="22"/>
        </w:rPr>
      </w:pPr>
      <w:r>
        <w:rPr>
          <w:sz w:val="22"/>
          <w:szCs w:val="22"/>
        </w:rPr>
        <w:t xml:space="preserve">150 respondents x 4 hours/year/recording x </w:t>
      </w:r>
      <w:r w:rsidR="0032599B">
        <w:rPr>
          <w:sz w:val="22"/>
          <w:szCs w:val="22"/>
        </w:rPr>
        <w:t>$</w:t>
      </w:r>
      <w:r>
        <w:rPr>
          <w:sz w:val="22"/>
          <w:szCs w:val="22"/>
        </w:rPr>
        <w:t>150/hour ($50/</w:t>
      </w:r>
      <w:proofErr w:type="spellStart"/>
      <w:r>
        <w:rPr>
          <w:sz w:val="22"/>
          <w:szCs w:val="22"/>
        </w:rPr>
        <w:t>hr</w:t>
      </w:r>
      <w:proofErr w:type="spellEnd"/>
      <w:r>
        <w:rPr>
          <w:sz w:val="22"/>
          <w:szCs w:val="22"/>
        </w:rPr>
        <w:t xml:space="preserve">/engineer) </w:t>
      </w:r>
      <w:r w:rsidR="00642FD6">
        <w:rPr>
          <w:sz w:val="22"/>
          <w:szCs w:val="22"/>
        </w:rPr>
        <w:t xml:space="preserve"> </w:t>
      </w:r>
      <w:r>
        <w:rPr>
          <w:sz w:val="22"/>
          <w:szCs w:val="22"/>
        </w:rPr>
        <w:t>=</w:t>
      </w:r>
      <w:r w:rsidR="004326B2">
        <w:rPr>
          <w:sz w:val="22"/>
          <w:szCs w:val="22"/>
        </w:rPr>
        <w:t xml:space="preserve"> </w:t>
      </w:r>
      <w:r>
        <w:rPr>
          <w:sz w:val="22"/>
          <w:szCs w:val="22"/>
        </w:rPr>
        <w:t>$</w:t>
      </w:r>
      <w:r w:rsidR="00642FD6">
        <w:rPr>
          <w:sz w:val="22"/>
          <w:szCs w:val="22"/>
        </w:rPr>
        <w:t xml:space="preserve"> </w:t>
      </w:r>
      <w:r w:rsidR="00571325">
        <w:rPr>
          <w:sz w:val="22"/>
          <w:szCs w:val="22"/>
        </w:rPr>
        <w:t xml:space="preserve">  </w:t>
      </w:r>
      <w:r w:rsidR="004326B2">
        <w:rPr>
          <w:sz w:val="22"/>
          <w:szCs w:val="22"/>
        </w:rPr>
        <w:t xml:space="preserve"> </w:t>
      </w:r>
      <w:r w:rsidR="00571325">
        <w:rPr>
          <w:sz w:val="22"/>
          <w:szCs w:val="22"/>
        </w:rPr>
        <w:t xml:space="preserve"> </w:t>
      </w:r>
      <w:r>
        <w:rPr>
          <w:sz w:val="22"/>
          <w:szCs w:val="22"/>
        </w:rPr>
        <w:t>90,000</w:t>
      </w:r>
    </w:p>
    <w:p w:rsidR="004C3EC6" w:rsidP="00B0430A" w:rsidRDefault="0094026A">
      <w:pPr>
        <w:ind w:left="1440"/>
        <w:rPr>
          <w:sz w:val="22"/>
          <w:szCs w:val="22"/>
        </w:rPr>
      </w:pPr>
      <w:r>
        <w:rPr>
          <w:sz w:val="22"/>
          <w:szCs w:val="22"/>
        </w:rPr>
        <w:t xml:space="preserve">6,187,500 “operator assisted” telephone calls x </w:t>
      </w:r>
      <w:r w:rsidR="002D4B2A">
        <w:rPr>
          <w:sz w:val="22"/>
          <w:szCs w:val="22"/>
        </w:rPr>
        <w:t>.017</w:t>
      </w:r>
      <w:r>
        <w:rPr>
          <w:sz w:val="22"/>
          <w:szCs w:val="22"/>
        </w:rPr>
        <w:t xml:space="preserve"> hours x $50/hour</w:t>
      </w:r>
      <w:r w:rsidR="00DD1FA0">
        <w:rPr>
          <w:sz w:val="22"/>
          <w:szCs w:val="22"/>
        </w:rPr>
        <w:t xml:space="preserve"> </w:t>
      </w:r>
      <w:r w:rsidR="00571325">
        <w:rPr>
          <w:sz w:val="22"/>
          <w:szCs w:val="22"/>
        </w:rPr>
        <w:t xml:space="preserve">     </w:t>
      </w:r>
      <w:r>
        <w:rPr>
          <w:sz w:val="22"/>
          <w:szCs w:val="22"/>
        </w:rPr>
        <w:t xml:space="preserve">= </w:t>
      </w:r>
      <w:r w:rsidRPr="0094026A">
        <w:rPr>
          <w:sz w:val="22"/>
          <w:szCs w:val="22"/>
          <w:u w:val="single"/>
        </w:rPr>
        <w:t>$</w:t>
      </w:r>
      <w:r w:rsidR="004326B2">
        <w:rPr>
          <w:sz w:val="22"/>
          <w:szCs w:val="22"/>
          <w:u w:val="single"/>
        </w:rPr>
        <w:t xml:space="preserve"> </w:t>
      </w:r>
      <w:r w:rsidR="00DD1FA0">
        <w:rPr>
          <w:sz w:val="22"/>
          <w:szCs w:val="22"/>
          <w:u w:val="single"/>
        </w:rPr>
        <w:t>5,</w:t>
      </w:r>
      <w:r w:rsidR="001A0B6B">
        <w:rPr>
          <w:sz w:val="22"/>
          <w:szCs w:val="22"/>
          <w:u w:val="single"/>
        </w:rPr>
        <w:t>259,375</w:t>
      </w:r>
    </w:p>
    <w:p w:rsidR="00571325" w:rsidP="00C320C8" w:rsidRDefault="0094026A">
      <w:pPr>
        <w:tabs>
          <w:tab w:val="left" w:pos="1080"/>
        </w:tabs>
        <w:outlineLvl w:val="0"/>
        <w:rPr>
          <w:sz w:val="22"/>
          <w:szCs w:val="22"/>
        </w:rPr>
      </w:pPr>
      <w:r>
        <w:rPr>
          <w:sz w:val="22"/>
          <w:szCs w:val="22"/>
        </w:rPr>
        <w:t xml:space="preserve">                                                                                                                                                   </w:t>
      </w:r>
      <w:r w:rsidRPr="00DF755A">
        <w:rPr>
          <w:sz w:val="22"/>
          <w:szCs w:val="22"/>
        </w:rPr>
        <w:t>$</w:t>
      </w:r>
      <w:r w:rsidR="004326B2">
        <w:rPr>
          <w:sz w:val="22"/>
          <w:szCs w:val="22"/>
        </w:rPr>
        <w:t xml:space="preserve"> </w:t>
      </w:r>
      <w:r w:rsidRPr="00DF755A" w:rsidR="00DD1FA0">
        <w:rPr>
          <w:sz w:val="22"/>
          <w:szCs w:val="22"/>
        </w:rPr>
        <w:t>5,</w:t>
      </w:r>
      <w:r w:rsidRPr="00DF755A" w:rsidR="00335269">
        <w:rPr>
          <w:sz w:val="22"/>
          <w:szCs w:val="22"/>
        </w:rPr>
        <w:t>349,375</w:t>
      </w:r>
    </w:p>
    <w:p w:rsidR="00571325" w:rsidP="00C320C8" w:rsidRDefault="00571325">
      <w:pPr>
        <w:tabs>
          <w:tab w:val="left" w:pos="1080"/>
        </w:tabs>
        <w:outlineLvl w:val="0"/>
        <w:rPr>
          <w:sz w:val="22"/>
          <w:szCs w:val="22"/>
        </w:rPr>
      </w:pPr>
    </w:p>
    <w:p w:rsidRPr="00B704CD" w:rsidR="00773210" w:rsidP="00C320C8" w:rsidRDefault="009669B1">
      <w:pPr>
        <w:tabs>
          <w:tab w:val="left" w:pos="1080"/>
        </w:tabs>
        <w:outlineLvl w:val="0"/>
        <w:rPr>
          <w:b/>
          <w:sz w:val="22"/>
          <w:szCs w:val="22"/>
        </w:rPr>
      </w:pPr>
      <w:r w:rsidRPr="00B704CD">
        <w:rPr>
          <w:b/>
          <w:sz w:val="22"/>
          <w:szCs w:val="22"/>
        </w:rPr>
        <w:t xml:space="preserve">Annual </w:t>
      </w:r>
      <w:r w:rsidR="003F29AF">
        <w:rPr>
          <w:b/>
          <w:sz w:val="22"/>
          <w:szCs w:val="22"/>
        </w:rPr>
        <w:t xml:space="preserve">“In-House” </w:t>
      </w:r>
      <w:r w:rsidRPr="00B704CD">
        <w:rPr>
          <w:b/>
          <w:sz w:val="22"/>
          <w:szCs w:val="22"/>
        </w:rPr>
        <w:t>Costs Associated with P</w:t>
      </w:r>
      <w:r w:rsidRPr="00B704CD" w:rsidR="00773210">
        <w:rPr>
          <w:b/>
          <w:sz w:val="22"/>
          <w:szCs w:val="22"/>
        </w:rPr>
        <w:t xml:space="preserve">roviding </w:t>
      </w:r>
      <w:r w:rsidRPr="00B704CD">
        <w:rPr>
          <w:b/>
          <w:sz w:val="22"/>
          <w:szCs w:val="22"/>
        </w:rPr>
        <w:t>All O</w:t>
      </w:r>
      <w:r w:rsidRPr="00B704CD" w:rsidR="00773210">
        <w:rPr>
          <w:b/>
          <w:sz w:val="22"/>
          <w:szCs w:val="22"/>
        </w:rPr>
        <w:t>perator Assistance</w:t>
      </w:r>
      <w:r w:rsidRPr="00B704CD" w:rsidR="002A036A">
        <w:rPr>
          <w:b/>
          <w:sz w:val="22"/>
          <w:szCs w:val="22"/>
        </w:rPr>
        <w:t xml:space="preserve"> Described Above</w:t>
      </w:r>
      <w:r w:rsidRPr="00B704CD" w:rsidR="00C9183B">
        <w:rPr>
          <w:b/>
          <w:sz w:val="22"/>
          <w:szCs w:val="22"/>
        </w:rPr>
        <w:t>:</w:t>
      </w:r>
    </w:p>
    <w:p w:rsidRPr="00B704CD" w:rsidR="00773210" w:rsidP="00773210" w:rsidRDefault="00773210">
      <w:pPr>
        <w:tabs>
          <w:tab w:val="left" w:pos="1080"/>
        </w:tabs>
        <w:rPr>
          <w:sz w:val="22"/>
          <w:szCs w:val="22"/>
        </w:rPr>
      </w:pPr>
    </w:p>
    <w:tbl>
      <w:tblPr>
        <w:tblpPr w:leftFromText="180" w:rightFromText="180" w:vertAnchor="text" w:horzAnchor="margin" w:tblpY="171"/>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18"/>
        <w:gridCol w:w="1350"/>
        <w:gridCol w:w="1260"/>
        <w:gridCol w:w="1260"/>
        <w:gridCol w:w="1260"/>
        <w:gridCol w:w="1620"/>
      </w:tblGrid>
      <w:tr w:rsidRPr="009775B3" w:rsidR="00DF656E" w:rsidTr="009775B3">
        <w:tc>
          <w:tcPr>
            <w:tcW w:w="2718" w:type="dxa"/>
          </w:tcPr>
          <w:p w:rsidRPr="009775B3" w:rsidR="00DF656E" w:rsidP="009775B3" w:rsidRDefault="00DF656E">
            <w:pPr>
              <w:jc w:val="center"/>
              <w:rPr>
                <w:b/>
                <w:sz w:val="20"/>
              </w:rPr>
            </w:pPr>
          </w:p>
          <w:p w:rsidRPr="009775B3" w:rsidR="00DF656E" w:rsidP="009775B3" w:rsidRDefault="00DF656E">
            <w:pPr>
              <w:jc w:val="center"/>
              <w:rPr>
                <w:b/>
                <w:sz w:val="20"/>
              </w:rPr>
            </w:pPr>
            <w:r w:rsidRPr="009775B3">
              <w:rPr>
                <w:b/>
                <w:sz w:val="20"/>
              </w:rPr>
              <w:t>Rule Section</w:t>
            </w:r>
          </w:p>
        </w:tc>
        <w:tc>
          <w:tcPr>
            <w:tcW w:w="1350" w:type="dxa"/>
          </w:tcPr>
          <w:p w:rsidRPr="009775B3" w:rsidR="00DF656E" w:rsidP="009775B3" w:rsidRDefault="00DF656E">
            <w:pPr>
              <w:jc w:val="center"/>
              <w:rPr>
                <w:b/>
                <w:sz w:val="20"/>
              </w:rPr>
            </w:pPr>
          </w:p>
          <w:p w:rsidRPr="009775B3" w:rsidR="00DF656E" w:rsidP="009775B3" w:rsidRDefault="00DF656E">
            <w:pPr>
              <w:jc w:val="center"/>
              <w:rPr>
                <w:b/>
                <w:sz w:val="20"/>
              </w:rPr>
            </w:pPr>
            <w:r w:rsidRPr="009775B3">
              <w:rPr>
                <w:b/>
                <w:sz w:val="20"/>
              </w:rPr>
              <w:t>Subsets of Respondents</w:t>
            </w:r>
          </w:p>
        </w:tc>
        <w:tc>
          <w:tcPr>
            <w:tcW w:w="1260" w:type="dxa"/>
          </w:tcPr>
          <w:p w:rsidRPr="009775B3" w:rsidR="00DF656E" w:rsidP="009775B3" w:rsidRDefault="00DF656E">
            <w:pPr>
              <w:jc w:val="center"/>
              <w:rPr>
                <w:b/>
                <w:sz w:val="20"/>
              </w:rPr>
            </w:pPr>
          </w:p>
          <w:p w:rsidRPr="009775B3" w:rsidR="00DF656E" w:rsidP="009775B3" w:rsidRDefault="00DF656E">
            <w:pPr>
              <w:jc w:val="center"/>
              <w:rPr>
                <w:b/>
                <w:sz w:val="20"/>
              </w:rPr>
            </w:pPr>
            <w:r w:rsidRPr="009775B3">
              <w:rPr>
                <w:b/>
                <w:sz w:val="20"/>
              </w:rPr>
              <w:t>Frequency of Response</w:t>
            </w:r>
          </w:p>
        </w:tc>
        <w:tc>
          <w:tcPr>
            <w:tcW w:w="1260" w:type="dxa"/>
          </w:tcPr>
          <w:p w:rsidRPr="009775B3" w:rsidR="00DF656E" w:rsidP="009775B3" w:rsidRDefault="00DF656E">
            <w:pPr>
              <w:jc w:val="center"/>
              <w:rPr>
                <w:b/>
                <w:sz w:val="20"/>
              </w:rPr>
            </w:pPr>
            <w:r w:rsidRPr="009775B3">
              <w:rPr>
                <w:b/>
                <w:sz w:val="20"/>
              </w:rPr>
              <w:t xml:space="preserve">Total Number of Responses Annually </w:t>
            </w:r>
          </w:p>
        </w:tc>
        <w:tc>
          <w:tcPr>
            <w:tcW w:w="1260" w:type="dxa"/>
          </w:tcPr>
          <w:p w:rsidRPr="009775B3" w:rsidR="00DF656E" w:rsidP="009775B3" w:rsidRDefault="00DF656E">
            <w:pPr>
              <w:jc w:val="center"/>
              <w:rPr>
                <w:b/>
                <w:sz w:val="20"/>
              </w:rPr>
            </w:pPr>
            <w:r w:rsidRPr="009775B3">
              <w:rPr>
                <w:b/>
                <w:sz w:val="20"/>
              </w:rPr>
              <w:t>Total Annual Hourly Burden</w:t>
            </w:r>
          </w:p>
        </w:tc>
        <w:tc>
          <w:tcPr>
            <w:tcW w:w="1620" w:type="dxa"/>
          </w:tcPr>
          <w:p w:rsidRPr="009775B3" w:rsidR="00DF656E" w:rsidP="009775B3" w:rsidRDefault="00DF656E">
            <w:pPr>
              <w:jc w:val="center"/>
              <w:rPr>
                <w:b/>
                <w:sz w:val="20"/>
              </w:rPr>
            </w:pPr>
          </w:p>
          <w:p w:rsidRPr="009775B3" w:rsidR="00DF656E" w:rsidP="009775B3" w:rsidRDefault="00DF656E">
            <w:pPr>
              <w:jc w:val="center"/>
              <w:rPr>
                <w:b/>
                <w:sz w:val="20"/>
              </w:rPr>
            </w:pPr>
            <w:r w:rsidRPr="009775B3">
              <w:rPr>
                <w:b/>
                <w:sz w:val="20"/>
              </w:rPr>
              <w:t>Total Annual   “In House” Cost</w:t>
            </w:r>
          </w:p>
        </w:tc>
      </w:tr>
      <w:tr w:rsidRPr="009775B3" w:rsidR="00DF656E" w:rsidTr="009775B3">
        <w:trPr>
          <w:trHeight w:val="413"/>
        </w:trPr>
        <w:tc>
          <w:tcPr>
            <w:tcW w:w="2718" w:type="dxa"/>
            <w:vMerge w:val="restart"/>
          </w:tcPr>
          <w:p w:rsidRPr="009775B3" w:rsidR="00DF656E" w:rsidP="009775B3" w:rsidRDefault="00DF656E">
            <w:pPr>
              <w:ind w:left="270" w:right="-108" w:hanging="270"/>
              <w:rPr>
                <w:sz w:val="20"/>
              </w:rPr>
            </w:pPr>
            <w:r w:rsidRPr="009775B3">
              <w:rPr>
                <w:sz w:val="20"/>
              </w:rPr>
              <w:t>(a) Section 64.703(a)(1)-(4), Consumer Information for non-prison calls (collect calls, calls from pay phones, hotels, hospitals, etc.):</w:t>
            </w:r>
          </w:p>
        </w:tc>
        <w:tc>
          <w:tcPr>
            <w:tcW w:w="1350" w:type="dxa"/>
            <w:vMerge w:val="restart"/>
          </w:tcPr>
          <w:p w:rsidRPr="009775B3" w:rsidR="00DF656E" w:rsidP="009775B3" w:rsidRDefault="00B46E26">
            <w:pPr>
              <w:jc w:val="center"/>
              <w:rPr>
                <w:sz w:val="20"/>
              </w:rPr>
            </w:pPr>
            <w:r w:rsidRPr="009775B3">
              <w:rPr>
                <w:sz w:val="20"/>
              </w:rPr>
              <w:t>1,418</w:t>
            </w:r>
          </w:p>
        </w:tc>
        <w:tc>
          <w:tcPr>
            <w:tcW w:w="1260" w:type="dxa"/>
            <w:vMerge w:val="restart"/>
          </w:tcPr>
          <w:p w:rsidRPr="009775B3" w:rsidR="00DF656E" w:rsidP="009775B3" w:rsidRDefault="00DF656E">
            <w:pPr>
              <w:tabs>
                <w:tab w:val="left" w:pos="-77"/>
              </w:tabs>
              <w:jc w:val="center"/>
              <w:rPr>
                <w:sz w:val="20"/>
              </w:rPr>
            </w:pPr>
            <w:r w:rsidRPr="009775B3">
              <w:rPr>
                <w:sz w:val="20"/>
              </w:rPr>
              <w:t>On occasion</w:t>
            </w:r>
          </w:p>
          <w:p w:rsidRPr="009775B3" w:rsidR="00DF656E" w:rsidP="009775B3" w:rsidRDefault="00DF656E">
            <w:pPr>
              <w:tabs>
                <w:tab w:val="left" w:pos="-77"/>
              </w:tabs>
              <w:jc w:val="center"/>
              <w:rPr>
                <w:sz w:val="20"/>
              </w:rPr>
            </w:pPr>
          </w:p>
        </w:tc>
        <w:tc>
          <w:tcPr>
            <w:tcW w:w="1260" w:type="dxa"/>
          </w:tcPr>
          <w:p w:rsidRPr="009775B3" w:rsidR="00DF656E" w:rsidP="009775B3" w:rsidRDefault="00DF656E">
            <w:pPr>
              <w:jc w:val="center"/>
              <w:rPr>
                <w:sz w:val="20"/>
              </w:rPr>
            </w:pPr>
            <w:r w:rsidRPr="009775B3">
              <w:rPr>
                <w:sz w:val="20"/>
              </w:rPr>
              <w:t>5,062,500</w:t>
            </w:r>
          </w:p>
        </w:tc>
        <w:tc>
          <w:tcPr>
            <w:tcW w:w="1260" w:type="dxa"/>
          </w:tcPr>
          <w:p w:rsidRPr="009775B3" w:rsidR="00DF656E" w:rsidP="009775B3" w:rsidRDefault="00C140E8">
            <w:pPr>
              <w:jc w:val="center"/>
              <w:rPr>
                <w:sz w:val="20"/>
              </w:rPr>
            </w:pPr>
            <w:r w:rsidRPr="009775B3">
              <w:rPr>
                <w:sz w:val="20"/>
              </w:rPr>
              <w:t>5,672</w:t>
            </w:r>
            <w:r w:rsidRPr="009775B3" w:rsidR="00DF656E">
              <w:rPr>
                <w:sz w:val="20"/>
              </w:rPr>
              <w:t xml:space="preserve"> (prepare recording)</w:t>
            </w:r>
          </w:p>
        </w:tc>
        <w:tc>
          <w:tcPr>
            <w:tcW w:w="1620" w:type="dxa"/>
            <w:vMerge w:val="restart"/>
          </w:tcPr>
          <w:p w:rsidRPr="009775B3" w:rsidR="00DF656E" w:rsidP="009775B3" w:rsidRDefault="00DF656E">
            <w:pPr>
              <w:tabs>
                <w:tab w:val="left" w:pos="1800"/>
              </w:tabs>
              <w:jc w:val="center"/>
              <w:rPr>
                <w:sz w:val="20"/>
              </w:rPr>
            </w:pPr>
            <w:r w:rsidRPr="009775B3">
              <w:rPr>
                <w:sz w:val="20"/>
              </w:rPr>
              <w:t>$</w:t>
            </w:r>
            <w:r w:rsidRPr="009775B3" w:rsidR="00C140E8">
              <w:rPr>
                <w:sz w:val="20"/>
              </w:rPr>
              <w:t>5,153,925</w:t>
            </w:r>
          </w:p>
          <w:p w:rsidRPr="009775B3" w:rsidR="00DF656E" w:rsidP="009775B3" w:rsidRDefault="00DF656E">
            <w:pPr>
              <w:jc w:val="center"/>
              <w:rPr>
                <w:sz w:val="20"/>
              </w:rPr>
            </w:pPr>
          </w:p>
          <w:p w:rsidRPr="009775B3" w:rsidR="00DF656E" w:rsidP="009775B3" w:rsidRDefault="00DF656E">
            <w:pPr>
              <w:jc w:val="center"/>
              <w:rPr>
                <w:sz w:val="20"/>
              </w:rPr>
            </w:pPr>
          </w:p>
        </w:tc>
      </w:tr>
      <w:tr w:rsidRPr="009775B3" w:rsidR="00DF656E" w:rsidTr="009775B3">
        <w:trPr>
          <w:trHeight w:val="350"/>
        </w:trPr>
        <w:tc>
          <w:tcPr>
            <w:tcW w:w="2718" w:type="dxa"/>
            <w:vMerge/>
          </w:tcPr>
          <w:p w:rsidRPr="009775B3" w:rsidR="00DF656E" w:rsidP="009775B3" w:rsidRDefault="00DF656E">
            <w:pPr>
              <w:ind w:left="270" w:hanging="270"/>
              <w:rPr>
                <w:sz w:val="20"/>
              </w:rPr>
            </w:pPr>
          </w:p>
        </w:tc>
        <w:tc>
          <w:tcPr>
            <w:tcW w:w="1350" w:type="dxa"/>
            <w:vMerge/>
          </w:tcPr>
          <w:p w:rsidRPr="009775B3" w:rsidR="00DF656E" w:rsidP="009775B3" w:rsidRDefault="00DF656E">
            <w:pPr>
              <w:jc w:val="center"/>
              <w:rPr>
                <w:sz w:val="20"/>
              </w:rPr>
            </w:pPr>
          </w:p>
        </w:tc>
        <w:tc>
          <w:tcPr>
            <w:tcW w:w="1260" w:type="dxa"/>
            <w:vMerge/>
          </w:tcPr>
          <w:p w:rsidRPr="009775B3" w:rsidR="00DF656E" w:rsidP="009775B3" w:rsidRDefault="00DF656E">
            <w:pPr>
              <w:tabs>
                <w:tab w:val="left" w:pos="-77"/>
              </w:tabs>
              <w:jc w:val="center"/>
              <w:rPr>
                <w:sz w:val="20"/>
              </w:rPr>
            </w:pPr>
          </w:p>
        </w:tc>
        <w:tc>
          <w:tcPr>
            <w:tcW w:w="1260" w:type="dxa"/>
            <w:vMerge w:val="restart"/>
          </w:tcPr>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r w:rsidRPr="009775B3">
              <w:rPr>
                <w:sz w:val="20"/>
              </w:rPr>
              <w:t>8</w:t>
            </w:r>
            <w:r w:rsidRPr="009775B3" w:rsidR="00C140E8">
              <w:rPr>
                <w:sz w:val="20"/>
              </w:rPr>
              <w:t>6,063</w:t>
            </w:r>
          </w:p>
          <w:p w:rsidRPr="009775B3" w:rsidR="00DF656E" w:rsidP="009775B3" w:rsidRDefault="00DF656E">
            <w:pPr>
              <w:jc w:val="center"/>
              <w:rPr>
                <w:sz w:val="20"/>
              </w:rPr>
            </w:pPr>
            <w:r w:rsidRPr="009775B3">
              <w:rPr>
                <w:sz w:val="20"/>
              </w:rPr>
              <w:t>(operator assistance)</w:t>
            </w:r>
          </w:p>
        </w:tc>
        <w:tc>
          <w:tcPr>
            <w:tcW w:w="1620" w:type="dxa"/>
            <w:vMerge/>
          </w:tcPr>
          <w:p w:rsidRPr="009775B3" w:rsidR="00DF656E" w:rsidP="009775B3" w:rsidRDefault="00DF656E">
            <w:pPr>
              <w:jc w:val="center"/>
              <w:rPr>
                <w:sz w:val="20"/>
              </w:rPr>
            </w:pPr>
          </w:p>
        </w:tc>
      </w:tr>
      <w:tr w:rsidRPr="009775B3" w:rsidR="00DF656E" w:rsidTr="009775B3">
        <w:trPr>
          <w:trHeight w:val="305"/>
        </w:trPr>
        <w:tc>
          <w:tcPr>
            <w:tcW w:w="2718" w:type="dxa"/>
            <w:vMerge/>
          </w:tcPr>
          <w:p w:rsidRPr="009775B3" w:rsidR="00DF656E" w:rsidP="009775B3" w:rsidRDefault="00DF656E">
            <w:pPr>
              <w:ind w:left="270" w:hanging="270"/>
              <w:rPr>
                <w:sz w:val="20"/>
              </w:rPr>
            </w:pPr>
          </w:p>
        </w:tc>
        <w:tc>
          <w:tcPr>
            <w:tcW w:w="1350" w:type="dxa"/>
            <w:vMerge/>
          </w:tcPr>
          <w:p w:rsidRPr="009775B3" w:rsidR="00DF656E" w:rsidP="009775B3" w:rsidRDefault="00DF656E">
            <w:pPr>
              <w:jc w:val="center"/>
              <w:rPr>
                <w:sz w:val="20"/>
              </w:rPr>
            </w:pPr>
          </w:p>
        </w:tc>
        <w:tc>
          <w:tcPr>
            <w:tcW w:w="1260" w:type="dxa"/>
            <w:vMerge/>
          </w:tcPr>
          <w:p w:rsidRPr="009775B3" w:rsidR="00DF656E" w:rsidP="009775B3" w:rsidRDefault="00DF656E">
            <w:pPr>
              <w:tabs>
                <w:tab w:val="left" w:pos="-77"/>
              </w:tabs>
              <w:jc w:val="center"/>
              <w:rPr>
                <w:sz w:val="20"/>
              </w:rPr>
            </w:pPr>
          </w:p>
        </w:tc>
        <w:tc>
          <w:tcPr>
            <w:tcW w:w="1260" w:type="dxa"/>
            <w:vMerge/>
          </w:tcPr>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p>
        </w:tc>
        <w:tc>
          <w:tcPr>
            <w:tcW w:w="1620" w:type="dxa"/>
            <w:vMerge/>
          </w:tcPr>
          <w:p w:rsidRPr="009775B3" w:rsidR="00DF656E" w:rsidP="009775B3" w:rsidRDefault="00DF656E">
            <w:pPr>
              <w:tabs>
                <w:tab w:val="left" w:pos="1800"/>
              </w:tabs>
              <w:jc w:val="center"/>
              <w:rPr>
                <w:sz w:val="20"/>
              </w:rPr>
            </w:pPr>
          </w:p>
        </w:tc>
      </w:tr>
      <w:tr w:rsidRPr="009775B3" w:rsidR="00DF656E" w:rsidTr="009775B3">
        <w:trPr>
          <w:trHeight w:val="215"/>
        </w:trPr>
        <w:tc>
          <w:tcPr>
            <w:tcW w:w="2718" w:type="dxa"/>
            <w:vMerge/>
          </w:tcPr>
          <w:p w:rsidRPr="009775B3" w:rsidR="00DF656E" w:rsidP="009775B3" w:rsidRDefault="00DF656E">
            <w:pPr>
              <w:ind w:left="270" w:hanging="270"/>
              <w:rPr>
                <w:sz w:val="20"/>
              </w:rPr>
            </w:pPr>
          </w:p>
        </w:tc>
        <w:tc>
          <w:tcPr>
            <w:tcW w:w="1350" w:type="dxa"/>
            <w:vMerge/>
          </w:tcPr>
          <w:p w:rsidRPr="009775B3" w:rsidR="00DF656E" w:rsidP="009775B3" w:rsidRDefault="00DF656E">
            <w:pPr>
              <w:jc w:val="center"/>
              <w:rPr>
                <w:sz w:val="20"/>
              </w:rPr>
            </w:pPr>
          </w:p>
        </w:tc>
        <w:tc>
          <w:tcPr>
            <w:tcW w:w="1260" w:type="dxa"/>
            <w:vMerge/>
          </w:tcPr>
          <w:p w:rsidRPr="009775B3" w:rsidR="00DF656E" w:rsidP="009775B3" w:rsidRDefault="00DF656E">
            <w:pPr>
              <w:rPr>
                <w:sz w:val="20"/>
              </w:rPr>
            </w:pPr>
          </w:p>
        </w:tc>
        <w:tc>
          <w:tcPr>
            <w:tcW w:w="1260" w:type="dxa"/>
            <w:vMerge w:val="restart"/>
          </w:tcPr>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p>
        </w:tc>
        <w:tc>
          <w:tcPr>
            <w:tcW w:w="1620" w:type="dxa"/>
            <w:vMerge/>
          </w:tcPr>
          <w:p w:rsidRPr="009775B3" w:rsidR="00DF656E" w:rsidP="009775B3" w:rsidRDefault="00DF656E">
            <w:pPr>
              <w:jc w:val="center"/>
              <w:rPr>
                <w:sz w:val="20"/>
              </w:rPr>
            </w:pPr>
          </w:p>
        </w:tc>
      </w:tr>
      <w:tr w:rsidRPr="009775B3" w:rsidR="00DF656E" w:rsidTr="009775B3">
        <w:trPr>
          <w:trHeight w:val="287"/>
        </w:trPr>
        <w:tc>
          <w:tcPr>
            <w:tcW w:w="2718" w:type="dxa"/>
            <w:vMerge/>
          </w:tcPr>
          <w:p w:rsidRPr="009775B3" w:rsidR="00DF656E" w:rsidP="009775B3" w:rsidRDefault="00DF656E">
            <w:pPr>
              <w:ind w:left="270" w:hanging="270"/>
              <w:rPr>
                <w:sz w:val="20"/>
              </w:rPr>
            </w:pPr>
          </w:p>
        </w:tc>
        <w:tc>
          <w:tcPr>
            <w:tcW w:w="1350" w:type="dxa"/>
            <w:vMerge/>
          </w:tcPr>
          <w:p w:rsidRPr="009775B3" w:rsidR="00DF656E" w:rsidP="009775B3" w:rsidRDefault="00DF656E">
            <w:pPr>
              <w:jc w:val="center"/>
              <w:rPr>
                <w:sz w:val="20"/>
              </w:rPr>
            </w:pPr>
          </w:p>
        </w:tc>
        <w:tc>
          <w:tcPr>
            <w:tcW w:w="1260" w:type="dxa"/>
            <w:vMerge/>
          </w:tcPr>
          <w:p w:rsidRPr="009775B3" w:rsidR="00DF656E" w:rsidP="009775B3" w:rsidRDefault="00DF656E">
            <w:pPr>
              <w:jc w:val="center"/>
              <w:rPr>
                <w:sz w:val="20"/>
              </w:rPr>
            </w:pPr>
          </w:p>
        </w:tc>
        <w:tc>
          <w:tcPr>
            <w:tcW w:w="1260" w:type="dxa"/>
            <w:vMerge/>
          </w:tcPr>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p>
        </w:tc>
        <w:tc>
          <w:tcPr>
            <w:tcW w:w="1620" w:type="dxa"/>
            <w:vMerge/>
          </w:tcPr>
          <w:p w:rsidRPr="009775B3" w:rsidR="00DF656E" w:rsidP="009775B3" w:rsidRDefault="00DF656E">
            <w:pPr>
              <w:jc w:val="center"/>
              <w:rPr>
                <w:sz w:val="20"/>
              </w:rPr>
            </w:pPr>
          </w:p>
        </w:tc>
      </w:tr>
      <w:tr w:rsidRPr="009775B3" w:rsidR="00DF656E" w:rsidTr="009775B3">
        <w:trPr>
          <w:trHeight w:val="287"/>
        </w:trPr>
        <w:tc>
          <w:tcPr>
            <w:tcW w:w="2718" w:type="dxa"/>
          </w:tcPr>
          <w:p w:rsidRPr="009775B3" w:rsidR="00DF656E" w:rsidP="009775B3" w:rsidRDefault="00DF656E">
            <w:pPr>
              <w:ind w:left="270" w:hanging="270"/>
              <w:rPr>
                <w:sz w:val="20"/>
              </w:rPr>
            </w:pPr>
            <w:r w:rsidRPr="009775B3">
              <w:rPr>
                <w:sz w:val="20"/>
              </w:rPr>
              <w:t>(b) Section 64.709,  Informational tariffs</w:t>
            </w:r>
          </w:p>
        </w:tc>
        <w:tc>
          <w:tcPr>
            <w:tcW w:w="1350" w:type="dxa"/>
          </w:tcPr>
          <w:p w:rsidRPr="009775B3" w:rsidR="00DF656E" w:rsidP="009775B3" w:rsidRDefault="00DF656E">
            <w:pPr>
              <w:jc w:val="center"/>
              <w:rPr>
                <w:sz w:val="20"/>
              </w:rPr>
            </w:pPr>
            <w:r w:rsidRPr="009775B3">
              <w:rPr>
                <w:sz w:val="20"/>
              </w:rPr>
              <w:t>150</w:t>
            </w:r>
            <w:r w:rsidR="001414CE">
              <w:rPr>
                <w:rStyle w:val="FootnoteReference"/>
                <w:sz w:val="20"/>
              </w:rPr>
              <w:footnoteReference w:id="3"/>
            </w:r>
          </w:p>
        </w:tc>
        <w:tc>
          <w:tcPr>
            <w:tcW w:w="1260" w:type="dxa"/>
          </w:tcPr>
          <w:p w:rsidRPr="009775B3" w:rsidR="00DF656E" w:rsidP="009775B3" w:rsidRDefault="00DF656E">
            <w:pPr>
              <w:jc w:val="center"/>
              <w:rPr>
                <w:sz w:val="20"/>
              </w:rPr>
            </w:pPr>
            <w:r w:rsidRPr="009775B3">
              <w:rPr>
                <w:sz w:val="20"/>
              </w:rPr>
              <w:t>Annual</w:t>
            </w:r>
          </w:p>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r w:rsidRPr="009775B3">
              <w:rPr>
                <w:sz w:val="20"/>
              </w:rPr>
              <w:t>150</w:t>
            </w:r>
          </w:p>
          <w:p w:rsidRPr="009775B3" w:rsidR="00DF656E" w:rsidP="009775B3" w:rsidRDefault="00DF656E">
            <w:pPr>
              <w:jc w:val="center"/>
              <w:rPr>
                <w:sz w:val="20"/>
              </w:rPr>
            </w:pPr>
          </w:p>
        </w:tc>
        <w:tc>
          <w:tcPr>
            <w:tcW w:w="1260" w:type="dxa"/>
          </w:tcPr>
          <w:p w:rsidRPr="009775B3" w:rsidR="00DF656E" w:rsidP="009775B3" w:rsidRDefault="00DF656E">
            <w:pPr>
              <w:jc w:val="center"/>
              <w:rPr>
                <w:b/>
                <w:sz w:val="20"/>
              </w:rPr>
            </w:pPr>
          </w:p>
          <w:p w:rsidRPr="009775B3" w:rsidR="00DF656E" w:rsidP="009775B3" w:rsidRDefault="00DF656E">
            <w:pPr>
              <w:jc w:val="center"/>
              <w:rPr>
                <w:sz w:val="20"/>
              </w:rPr>
            </w:pPr>
            <w:r w:rsidRPr="009775B3">
              <w:rPr>
                <w:sz w:val="20"/>
              </w:rPr>
              <w:t>7,500</w:t>
            </w:r>
          </w:p>
        </w:tc>
        <w:tc>
          <w:tcPr>
            <w:tcW w:w="1620" w:type="dxa"/>
          </w:tcPr>
          <w:p w:rsidRPr="009775B3" w:rsidR="00DF656E" w:rsidP="009775B3" w:rsidRDefault="00DF656E">
            <w:pPr>
              <w:jc w:val="center"/>
              <w:rPr>
                <w:sz w:val="20"/>
              </w:rPr>
            </w:pPr>
            <w:r w:rsidRPr="009775B3">
              <w:rPr>
                <w:sz w:val="20"/>
              </w:rPr>
              <w:t>$375,000</w:t>
            </w:r>
          </w:p>
        </w:tc>
      </w:tr>
      <w:tr w:rsidRPr="009775B3" w:rsidR="00DF656E" w:rsidTr="009775B3">
        <w:trPr>
          <w:trHeight w:val="323"/>
        </w:trPr>
        <w:tc>
          <w:tcPr>
            <w:tcW w:w="2718" w:type="dxa"/>
            <w:vMerge w:val="restart"/>
          </w:tcPr>
          <w:p w:rsidRPr="009775B3" w:rsidR="00DF656E" w:rsidP="009775B3" w:rsidRDefault="00DF656E">
            <w:pPr>
              <w:ind w:left="270" w:hanging="270"/>
              <w:rPr>
                <w:sz w:val="20"/>
              </w:rPr>
            </w:pPr>
            <w:r w:rsidRPr="009775B3">
              <w:rPr>
                <w:sz w:val="20"/>
              </w:rPr>
              <w:t>(c) Section 64.710, Operator services for prison inmate phones</w:t>
            </w:r>
          </w:p>
          <w:p w:rsidRPr="009775B3" w:rsidR="00DF656E" w:rsidP="009775B3" w:rsidRDefault="00DF656E">
            <w:pPr>
              <w:ind w:left="270" w:hanging="270"/>
              <w:rPr>
                <w:b/>
                <w:sz w:val="20"/>
              </w:rPr>
            </w:pPr>
          </w:p>
          <w:p w:rsidRPr="009775B3" w:rsidR="00DF656E" w:rsidP="009775B3" w:rsidRDefault="00DF656E">
            <w:pPr>
              <w:ind w:left="270" w:hanging="270"/>
              <w:rPr>
                <w:sz w:val="20"/>
              </w:rPr>
            </w:pPr>
          </w:p>
        </w:tc>
        <w:tc>
          <w:tcPr>
            <w:tcW w:w="1350" w:type="dxa"/>
            <w:vMerge w:val="restart"/>
          </w:tcPr>
          <w:p w:rsidRPr="009775B3" w:rsidR="00DF656E" w:rsidP="009775B3" w:rsidRDefault="00DF656E">
            <w:pPr>
              <w:jc w:val="center"/>
              <w:rPr>
                <w:sz w:val="20"/>
              </w:rPr>
            </w:pPr>
            <w:r w:rsidRPr="009775B3">
              <w:rPr>
                <w:sz w:val="20"/>
              </w:rPr>
              <w:t>150</w:t>
            </w:r>
            <w:r w:rsidR="001414CE">
              <w:rPr>
                <w:rStyle w:val="FootnoteReference"/>
                <w:sz w:val="20"/>
              </w:rPr>
              <w:footnoteReference w:id="4"/>
            </w:r>
          </w:p>
          <w:p w:rsidRPr="009775B3" w:rsidR="00DF656E" w:rsidP="009775B3" w:rsidRDefault="00DF656E">
            <w:pPr>
              <w:jc w:val="center"/>
              <w:rPr>
                <w:b/>
                <w:sz w:val="20"/>
              </w:rPr>
            </w:pPr>
          </w:p>
          <w:p w:rsidRPr="009775B3" w:rsidR="00DF656E" w:rsidP="009775B3" w:rsidRDefault="00DF656E">
            <w:pPr>
              <w:jc w:val="center"/>
              <w:rPr>
                <w:sz w:val="20"/>
              </w:rPr>
            </w:pPr>
          </w:p>
        </w:tc>
        <w:tc>
          <w:tcPr>
            <w:tcW w:w="1260" w:type="dxa"/>
            <w:vMerge w:val="restart"/>
          </w:tcPr>
          <w:p w:rsidRPr="009775B3" w:rsidR="00DF656E" w:rsidP="009775B3" w:rsidRDefault="00DF656E">
            <w:pPr>
              <w:tabs>
                <w:tab w:val="left" w:pos="-77"/>
              </w:tabs>
              <w:jc w:val="center"/>
              <w:rPr>
                <w:sz w:val="20"/>
              </w:rPr>
            </w:pPr>
            <w:r w:rsidRPr="009775B3">
              <w:rPr>
                <w:sz w:val="20"/>
              </w:rPr>
              <w:t>On occasion</w:t>
            </w:r>
          </w:p>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r w:rsidRPr="009775B3">
              <w:rPr>
                <w:sz w:val="20"/>
              </w:rPr>
              <w:t>6,187,500</w:t>
            </w:r>
          </w:p>
        </w:tc>
        <w:tc>
          <w:tcPr>
            <w:tcW w:w="1260" w:type="dxa"/>
          </w:tcPr>
          <w:p w:rsidRPr="009775B3" w:rsidR="00DF656E" w:rsidP="009775B3" w:rsidRDefault="00DF656E">
            <w:pPr>
              <w:jc w:val="center"/>
              <w:rPr>
                <w:sz w:val="20"/>
              </w:rPr>
            </w:pPr>
            <w:r w:rsidRPr="009775B3">
              <w:rPr>
                <w:sz w:val="20"/>
              </w:rPr>
              <w:t>600</w:t>
            </w:r>
          </w:p>
          <w:p w:rsidRPr="009775B3" w:rsidR="00DF656E" w:rsidP="009775B3" w:rsidRDefault="00DF656E">
            <w:pPr>
              <w:jc w:val="center"/>
              <w:rPr>
                <w:sz w:val="20"/>
              </w:rPr>
            </w:pPr>
            <w:r w:rsidRPr="009775B3">
              <w:rPr>
                <w:sz w:val="20"/>
              </w:rPr>
              <w:t>(prepare recording)</w:t>
            </w:r>
          </w:p>
        </w:tc>
        <w:tc>
          <w:tcPr>
            <w:tcW w:w="1620" w:type="dxa"/>
            <w:vMerge w:val="restart"/>
          </w:tcPr>
          <w:p w:rsidRPr="009775B3" w:rsidR="00DF656E" w:rsidP="009775B3" w:rsidRDefault="0067148E">
            <w:pPr>
              <w:tabs>
                <w:tab w:val="left" w:pos="1800"/>
              </w:tabs>
              <w:jc w:val="center"/>
              <w:rPr>
                <w:sz w:val="20"/>
              </w:rPr>
            </w:pPr>
            <w:r w:rsidRPr="009775B3">
              <w:rPr>
                <w:sz w:val="20"/>
              </w:rPr>
              <w:t>$</w:t>
            </w:r>
            <w:r w:rsidR="00F6130A">
              <w:rPr>
                <w:sz w:val="20"/>
              </w:rPr>
              <w:t>5,349,375</w:t>
            </w:r>
          </w:p>
          <w:p w:rsidRPr="009775B3" w:rsidR="00DF656E" w:rsidP="009775B3" w:rsidRDefault="00DF656E">
            <w:pPr>
              <w:jc w:val="center"/>
              <w:rPr>
                <w:b/>
                <w:sz w:val="20"/>
              </w:rPr>
            </w:pPr>
          </w:p>
          <w:p w:rsidRPr="009775B3" w:rsidR="00DF656E" w:rsidP="009775B3" w:rsidRDefault="00DF656E">
            <w:pPr>
              <w:jc w:val="center"/>
              <w:rPr>
                <w:sz w:val="20"/>
              </w:rPr>
            </w:pPr>
          </w:p>
        </w:tc>
      </w:tr>
      <w:tr w:rsidRPr="009775B3" w:rsidR="00DF656E" w:rsidTr="009775B3">
        <w:trPr>
          <w:trHeight w:val="242"/>
        </w:trPr>
        <w:tc>
          <w:tcPr>
            <w:tcW w:w="2718" w:type="dxa"/>
            <w:vMerge/>
          </w:tcPr>
          <w:p w:rsidRPr="009775B3" w:rsidR="00DF656E" w:rsidP="009775B3" w:rsidRDefault="00DF656E">
            <w:pPr>
              <w:ind w:left="270" w:hanging="270"/>
              <w:rPr>
                <w:sz w:val="20"/>
              </w:rPr>
            </w:pPr>
          </w:p>
        </w:tc>
        <w:tc>
          <w:tcPr>
            <w:tcW w:w="1350" w:type="dxa"/>
            <w:vMerge/>
          </w:tcPr>
          <w:p w:rsidRPr="009775B3" w:rsidR="00DF656E" w:rsidP="009775B3" w:rsidRDefault="00DF656E">
            <w:pPr>
              <w:jc w:val="center"/>
              <w:rPr>
                <w:sz w:val="20"/>
              </w:rPr>
            </w:pPr>
          </w:p>
        </w:tc>
        <w:tc>
          <w:tcPr>
            <w:tcW w:w="1260" w:type="dxa"/>
            <w:vMerge/>
          </w:tcPr>
          <w:p w:rsidRPr="009775B3" w:rsidR="00DF656E" w:rsidP="009775B3" w:rsidRDefault="00DF656E">
            <w:pPr>
              <w:jc w:val="center"/>
              <w:rPr>
                <w:sz w:val="20"/>
              </w:rPr>
            </w:pPr>
          </w:p>
        </w:tc>
        <w:tc>
          <w:tcPr>
            <w:tcW w:w="1260" w:type="dxa"/>
            <w:vMerge w:val="restart"/>
          </w:tcPr>
          <w:p w:rsidRPr="009775B3" w:rsidR="00DF656E" w:rsidP="009775B3" w:rsidRDefault="00DF656E">
            <w:pPr>
              <w:rPr>
                <w:b/>
                <w:sz w:val="20"/>
              </w:rPr>
            </w:pPr>
          </w:p>
          <w:p w:rsidRPr="009775B3" w:rsidR="00DF656E" w:rsidP="009775B3" w:rsidRDefault="00DF656E">
            <w:pPr>
              <w:jc w:val="center"/>
              <w:rPr>
                <w:sz w:val="20"/>
              </w:rPr>
            </w:pPr>
          </w:p>
        </w:tc>
        <w:tc>
          <w:tcPr>
            <w:tcW w:w="1260" w:type="dxa"/>
          </w:tcPr>
          <w:p w:rsidRPr="009775B3" w:rsidR="00DF656E" w:rsidP="009775B3" w:rsidRDefault="00DF656E">
            <w:pPr>
              <w:jc w:val="center"/>
              <w:rPr>
                <w:sz w:val="20"/>
              </w:rPr>
            </w:pPr>
            <w:r w:rsidRPr="009775B3">
              <w:rPr>
                <w:sz w:val="20"/>
              </w:rPr>
              <w:t>10</w:t>
            </w:r>
            <w:r w:rsidRPr="009775B3" w:rsidR="00C140E8">
              <w:rPr>
                <w:sz w:val="20"/>
              </w:rPr>
              <w:t>5,188</w:t>
            </w:r>
          </w:p>
          <w:p w:rsidRPr="009775B3" w:rsidR="00DF656E" w:rsidP="009775B3" w:rsidRDefault="00DF656E">
            <w:pPr>
              <w:jc w:val="center"/>
              <w:rPr>
                <w:sz w:val="20"/>
              </w:rPr>
            </w:pPr>
            <w:r w:rsidRPr="009775B3">
              <w:rPr>
                <w:sz w:val="20"/>
              </w:rPr>
              <w:t>(operator assistance)</w:t>
            </w:r>
          </w:p>
        </w:tc>
        <w:tc>
          <w:tcPr>
            <w:tcW w:w="1620" w:type="dxa"/>
            <w:vMerge/>
          </w:tcPr>
          <w:p w:rsidRPr="009775B3" w:rsidR="00DF656E" w:rsidP="009775B3" w:rsidRDefault="00DF656E">
            <w:pPr>
              <w:jc w:val="center"/>
              <w:rPr>
                <w:sz w:val="20"/>
              </w:rPr>
            </w:pPr>
          </w:p>
        </w:tc>
      </w:tr>
      <w:tr w:rsidRPr="009775B3" w:rsidR="00DF656E" w:rsidTr="009775B3">
        <w:trPr>
          <w:trHeight w:val="458"/>
        </w:trPr>
        <w:tc>
          <w:tcPr>
            <w:tcW w:w="2718" w:type="dxa"/>
            <w:vMerge/>
          </w:tcPr>
          <w:p w:rsidRPr="009775B3" w:rsidR="00DF656E" w:rsidP="009775B3" w:rsidRDefault="00DF656E">
            <w:pPr>
              <w:ind w:left="270" w:hanging="270"/>
              <w:rPr>
                <w:b/>
                <w:sz w:val="20"/>
              </w:rPr>
            </w:pPr>
          </w:p>
        </w:tc>
        <w:tc>
          <w:tcPr>
            <w:tcW w:w="1350" w:type="dxa"/>
            <w:vMerge/>
          </w:tcPr>
          <w:p w:rsidRPr="009775B3" w:rsidR="00DF656E" w:rsidP="009775B3" w:rsidRDefault="00DF656E">
            <w:pPr>
              <w:jc w:val="center"/>
              <w:rPr>
                <w:b/>
                <w:sz w:val="20"/>
              </w:rPr>
            </w:pPr>
          </w:p>
        </w:tc>
        <w:tc>
          <w:tcPr>
            <w:tcW w:w="1260" w:type="dxa"/>
            <w:vMerge/>
          </w:tcPr>
          <w:p w:rsidRPr="009775B3" w:rsidR="00DF656E" w:rsidP="009775B3" w:rsidRDefault="00DF656E">
            <w:pPr>
              <w:jc w:val="center"/>
              <w:rPr>
                <w:b/>
                <w:sz w:val="20"/>
              </w:rPr>
            </w:pPr>
          </w:p>
        </w:tc>
        <w:tc>
          <w:tcPr>
            <w:tcW w:w="1260" w:type="dxa"/>
            <w:vMerge/>
          </w:tcPr>
          <w:p w:rsidRPr="009775B3" w:rsidR="00DF656E" w:rsidP="009775B3" w:rsidRDefault="00DF656E">
            <w:pPr>
              <w:jc w:val="center"/>
              <w:rPr>
                <w:b/>
                <w:sz w:val="20"/>
              </w:rPr>
            </w:pPr>
          </w:p>
        </w:tc>
        <w:tc>
          <w:tcPr>
            <w:tcW w:w="1260" w:type="dxa"/>
          </w:tcPr>
          <w:p w:rsidRPr="009775B3" w:rsidR="00DF656E" w:rsidP="009775B3" w:rsidRDefault="00DF656E">
            <w:pPr>
              <w:jc w:val="center"/>
              <w:rPr>
                <w:b/>
                <w:sz w:val="20"/>
              </w:rPr>
            </w:pPr>
          </w:p>
        </w:tc>
        <w:tc>
          <w:tcPr>
            <w:tcW w:w="1620" w:type="dxa"/>
            <w:vMerge/>
          </w:tcPr>
          <w:p w:rsidRPr="009775B3" w:rsidR="00DF656E" w:rsidP="009775B3" w:rsidRDefault="00DF656E">
            <w:pPr>
              <w:jc w:val="center"/>
              <w:rPr>
                <w:b/>
                <w:sz w:val="20"/>
              </w:rPr>
            </w:pPr>
          </w:p>
        </w:tc>
      </w:tr>
      <w:tr w:rsidRPr="009775B3" w:rsidR="00DF656E" w:rsidTr="006E0083">
        <w:trPr>
          <w:trHeight w:val="458"/>
        </w:trPr>
        <w:tc>
          <w:tcPr>
            <w:tcW w:w="2718" w:type="dxa"/>
          </w:tcPr>
          <w:p w:rsidRPr="009775B3" w:rsidR="00DF656E" w:rsidP="009775B3" w:rsidRDefault="00DF656E">
            <w:pPr>
              <w:ind w:left="270" w:hanging="270"/>
              <w:rPr>
                <w:b/>
                <w:sz w:val="20"/>
              </w:rPr>
            </w:pPr>
          </w:p>
          <w:p w:rsidRPr="009775B3" w:rsidR="00DF656E" w:rsidP="009775B3" w:rsidRDefault="00DF656E">
            <w:pPr>
              <w:ind w:left="270" w:hanging="270"/>
              <w:rPr>
                <w:b/>
                <w:sz w:val="20"/>
              </w:rPr>
            </w:pPr>
            <w:r w:rsidRPr="009775B3">
              <w:rPr>
                <w:b/>
                <w:sz w:val="20"/>
              </w:rPr>
              <w:t>TOTALS</w:t>
            </w:r>
          </w:p>
        </w:tc>
        <w:tc>
          <w:tcPr>
            <w:tcW w:w="1350" w:type="dxa"/>
          </w:tcPr>
          <w:p w:rsidRPr="009775B3" w:rsidR="00DF656E" w:rsidP="009775B3" w:rsidRDefault="00DF656E">
            <w:pPr>
              <w:jc w:val="center"/>
              <w:rPr>
                <w:b/>
                <w:sz w:val="20"/>
              </w:rPr>
            </w:pPr>
          </w:p>
          <w:p w:rsidRPr="009775B3" w:rsidR="00DF656E" w:rsidP="009775B3" w:rsidRDefault="00B46E26">
            <w:pPr>
              <w:jc w:val="center"/>
              <w:rPr>
                <w:b/>
                <w:sz w:val="20"/>
              </w:rPr>
            </w:pPr>
            <w:r w:rsidRPr="009775B3">
              <w:rPr>
                <w:b/>
                <w:sz w:val="20"/>
              </w:rPr>
              <w:t>1</w:t>
            </w:r>
            <w:r w:rsidR="00B70792">
              <w:rPr>
                <w:b/>
                <w:sz w:val="20"/>
              </w:rPr>
              <w:t>,</w:t>
            </w:r>
            <w:r w:rsidR="001414CE">
              <w:rPr>
                <w:b/>
                <w:sz w:val="20"/>
              </w:rPr>
              <w:t>4</w:t>
            </w:r>
            <w:r w:rsidRPr="009775B3">
              <w:rPr>
                <w:b/>
                <w:sz w:val="20"/>
              </w:rPr>
              <w:t>18</w:t>
            </w:r>
          </w:p>
        </w:tc>
        <w:tc>
          <w:tcPr>
            <w:tcW w:w="1260" w:type="dxa"/>
          </w:tcPr>
          <w:p w:rsidRPr="009775B3" w:rsidR="00DF656E" w:rsidP="009775B3" w:rsidRDefault="00DF656E">
            <w:pPr>
              <w:jc w:val="center"/>
              <w:rPr>
                <w:b/>
                <w:sz w:val="20"/>
              </w:rPr>
            </w:pPr>
          </w:p>
        </w:tc>
        <w:tc>
          <w:tcPr>
            <w:tcW w:w="1260" w:type="dxa"/>
          </w:tcPr>
          <w:p w:rsidRPr="009775B3" w:rsidR="00956C82" w:rsidP="009775B3" w:rsidRDefault="00956C82">
            <w:pPr>
              <w:jc w:val="center"/>
              <w:rPr>
                <w:b/>
                <w:sz w:val="20"/>
              </w:rPr>
            </w:pPr>
          </w:p>
          <w:p w:rsidRPr="009775B3" w:rsidR="00DF656E" w:rsidP="009775B3" w:rsidRDefault="00DF656E">
            <w:pPr>
              <w:jc w:val="center"/>
              <w:rPr>
                <w:b/>
                <w:sz w:val="20"/>
              </w:rPr>
            </w:pPr>
            <w:r w:rsidRPr="009775B3">
              <w:rPr>
                <w:b/>
                <w:sz w:val="20"/>
              </w:rPr>
              <w:t>11,250,150</w:t>
            </w:r>
          </w:p>
        </w:tc>
        <w:tc>
          <w:tcPr>
            <w:tcW w:w="1260" w:type="dxa"/>
          </w:tcPr>
          <w:p w:rsidRPr="009775B3" w:rsidR="00956C82" w:rsidP="009775B3" w:rsidRDefault="00956C82">
            <w:pPr>
              <w:jc w:val="center"/>
              <w:rPr>
                <w:b/>
                <w:sz w:val="20"/>
              </w:rPr>
            </w:pPr>
          </w:p>
          <w:p w:rsidRPr="009775B3" w:rsidR="00DF656E" w:rsidP="009775B3" w:rsidRDefault="00C140E8">
            <w:pPr>
              <w:jc w:val="center"/>
              <w:rPr>
                <w:b/>
                <w:sz w:val="20"/>
              </w:rPr>
            </w:pPr>
            <w:r w:rsidRPr="009775B3">
              <w:rPr>
                <w:b/>
                <w:sz w:val="20"/>
              </w:rPr>
              <w:t>205,023</w:t>
            </w:r>
          </w:p>
        </w:tc>
        <w:tc>
          <w:tcPr>
            <w:tcW w:w="1620" w:type="dxa"/>
          </w:tcPr>
          <w:p w:rsidR="00DF656E" w:rsidP="009775B3" w:rsidRDefault="00DF656E">
            <w:pPr>
              <w:jc w:val="center"/>
              <w:rPr>
                <w:b/>
                <w:sz w:val="20"/>
              </w:rPr>
            </w:pPr>
          </w:p>
          <w:p w:rsidRPr="00B45EA1" w:rsidR="00953D5A" w:rsidP="009775B3" w:rsidRDefault="00B45EA1">
            <w:pPr>
              <w:jc w:val="center"/>
              <w:rPr>
                <w:b/>
                <w:sz w:val="20"/>
              </w:rPr>
            </w:pPr>
            <w:r w:rsidRPr="00B45EA1">
              <w:rPr>
                <w:b/>
                <w:sz w:val="20"/>
              </w:rPr>
              <w:t>$</w:t>
            </w:r>
            <w:r w:rsidR="00087001">
              <w:rPr>
                <w:b/>
                <w:sz w:val="20"/>
              </w:rPr>
              <w:t>10,878,300</w:t>
            </w:r>
          </w:p>
          <w:p w:rsidRPr="009775B3" w:rsidR="00DF656E" w:rsidP="009775B3" w:rsidRDefault="00DF656E">
            <w:pPr>
              <w:jc w:val="center"/>
              <w:rPr>
                <w:b/>
                <w:sz w:val="20"/>
              </w:rPr>
            </w:pPr>
          </w:p>
        </w:tc>
      </w:tr>
    </w:tbl>
    <w:p w:rsidR="0067148E" w:rsidP="006D6A67" w:rsidRDefault="000407A7">
      <w:pPr>
        <w:rPr>
          <w:b/>
          <w:sz w:val="22"/>
          <w:szCs w:val="22"/>
        </w:rPr>
      </w:pPr>
      <w:r>
        <w:rPr>
          <w:b/>
          <w:sz w:val="22"/>
          <w:szCs w:val="22"/>
        </w:rPr>
        <w:t xml:space="preserve"> </w:t>
      </w:r>
    </w:p>
    <w:p w:rsidR="0067148E" w:rsidP="006D6A67" w:rsidRDefault="0067148E">
      <w:pPr>
        <w:rPr>
          <w:b/>
          <w:sz w:val="22"/>
          <w:szCs w:val="22"/>
        </w:rPr>
      </w:pPr>
    </w:p>
    <w:p w:rsidRPr="00874DE1" w:rsidR="00FA3860" w:rsidP="00C320C8" w:rsidRDefault="00FA3860">
      <w:pPr>
        <w:outlineLvl w:val="0"/>
        <w:rPr>
          <w:b/>
          <w:sz w:val="22"/>
          <w:szCs w:val="22"/>
        </w:rPr>
      </w:pPr>
      <w:r w:rsidRPr="00874DE1">
        <w:rPr>
          <w:b/>
          <w:sz w:val="22"/>
          <w:szCs w:val="22"/>
        </w:rPr>
        <w:t xml:space="preserve">Total Number of Respondents: </w:t>
      </w:r>
      <w:r w:rsidR="006D6A67">
        <w:rPr>
          <w:b/>
          <w:sz w:val="22"/>
          <w:szCs w:val="22"/>
        </w:rPr>
        <w:t xml:space="preserve"> </w:t>
      </w:r>
      <w:r w:rsidR="00B46E26">
        <w:rPr>
          <w:b/>
          <w:sz w:val="22"/>
          <w:szCs w:val="22"/>
        </w:rPr>
        <w:t>1,418</w:t>
      </w:r>
      <w:r w:rsidRPr="005966C4" w:rsidR="005966C4">
        <w:rPr>
          <w:b/>
          <w:sz w:val="22"/>
          <w:szCs w:val="22"/>
        </w:rPr>
        <w:t xml:space="preserve"> respondents</w:t>
      </w:r>
      <w:r w:rsidR="002E1ED6">
        <w:rPr>
          <w:b/>
          <w:sz w:val="22"/>
          <w:szCs w:val="22"/>
        </w:rPr>
        <w:t xml:space="preserve"> (OSPs)</w:t>
      </w:r>
    </w:p>
    <w:p w:rsidR="003F45F2" w:rsidP="009E3844" w:rsidRDefault="003F45F2">
      <w:pPr>
        <w:rPr>
          <w:sz w:val="22"/>
          <w:szCs w:val="22"/>
        </w:rPr>
      </w:pPr>
    </w:p>
    <w:p w:rsidR="008D5F2E" w:rsidP="00C320C8" w:rsidRDefault="00665C22">
      <w:pPr>
        <w:outlineLvl w:val="0"/>
        <w:rPr>
          <w:b/>
          <w:sz w:val="22"/>
          <w:szCs w:val="22"/>
        </w:rPr>
      </w:pPr>
      <w:r w:rsidRPr="00665C22">
        <w:rPr>
          <w:b/>
          <w:sz w:val="22"/>
          <w:szCs w:val="22"/>
        </w:rPr>
        <w:t xml:space="preserve">Total Number of Responses Annually: </w:t>
      </w:r>
    </w:p>
    <w:p w:rsidR="008D5F2E" w:rsidP="009E3844" w:rsidRDefault="008D5F2E">
      <w:pPr>
        <w:rPr>
          <w:b/>
          <w:sz w:val="22"/>
          <w:szCs w:val="22"/>
        </w:rPr>
      </w:pPr>
    </w:p>
    <w:p w:rsidRPr="00665C22" w:rsidR="00665C22" w:rsidP="009E3844" w:rsidRDefault="00CE6C29">
      <w:pPr>
        <w:rPr>
          <w:sz w:val="22"/>
          <w:szCs w:val="22"/>
        </w:rPr>
      </w:pPr>
      <w:r>
        <w:rPr>
          <w:sz w:val="22"/>
          <w:szCs w:val="22"/>
        </w:rPr>
        <w:t xml:space="preserve">5,062,500 + </w:t>
      </w:r>
      <w:r w:rsidR="00AD7548">
        <w:rPr>
          <w:sz w:val="22"/>
          <w:szCs w:val="22"/>
        </w:rPr>
        <w:t>1</w:t>
      </w:r>
      <w:r>
        <w:rPr>
          <w:sz w:val="22"/>
          <w:szCs w:val="22"/>
        </w:rPr>
        <w:t>50 + 6,187,500</w:t>
      </w:r>
      <w:r w:rsidR="00665C22">
        <w:rPr>
          <w:sz w:val="22"/>
          <w:szCs w:val="22"/>
        </w:rPr>
        <w:t xml:space="preserve"> </w:t>
      </w:r>
      <w:r w:rsidR="0084485B">
        <w:rPr>
          <w:sz w:val="22"/>
          <w:szCs w:val="22"/>
        </w:rPr>
        <w:t xml:space="preserve">= </w:t>
      </w:r>
      <w:r w:rsidRPr="00F6130A" w:rsidR="0084485B">
        <w:rPr>
          <w:b/>
          <w:sz w:val="22"/>
          <w:szCs w:val="22"/>
        </w:rPr>
        <w:t>11,250,</w:t>
      </w:r>
      <w:r w:rsidRPr="00F6130A" w:rsidR="00DF656E">
        <w:rPr>
          <w:b/>
          <w:sz w:val="22"/>
          <w:szCs w:val="22"/>
        </w:rPr>
        <w:t>1</w:t>
      </w:r>
      <w:r w:rsidRPr="00F6130A" w:rsidR="0084485B">
        <w:rPr>
          <w:b/>
          <w:sz w:val="22"/>
          <w:szCs w:val="22"/>
        </w:rPr>
        <w:t>50</w:t>
      </w:r>
      <w:r w:rsidR="008D5F2E">
        <w:rPr>
          <w:sz w:val="22"/>
          <w:szCs w:val="22"/>
        </w:rPr>
        <w:t xml:space="preserve"> </w:t>
      </w:r>
      <w:r w:rsidRPr="008832A0" w:rsidR="008832A0">
        <w:rPr>
          <w:b/>
          <w:sz w:val="22"/>
          <w:szCs w:val="22"/>
        </w:rPr>
        <w:t>responses</w:t>
      </w:r>
    </w:p>
    <w:p w:rsidR="00B45EA1" w:rsidP="009E3844" w:rsidRDefault="00B45EA1">
      <w:pPr>
        <w:rPr>
          <w:sz w:val="22"/>
          <w:szCs w:val="22"/>
        </w:rPr>
      </w:pPr>
    </w:p>
    <w:p w:rsidR="0015313E" w:rsidP="00C320C8" w:rsidRDefault="00FA3860">
      <w:pPr>
        <w:outlineLvl w:val="0"/>
        <w:rPr>
          <w:sz w:val="22"/>
          <w:szCs w:val="22"/>
        </w:rPr>
      </w:pPr>
      <w:r w:rsidRPr="00874DE1">
        <w:rPr>
          <w:b/>
          <w:sz w:val="22"/>
          <w:szCs w:val="22"/>
        </w:rPr>
        <w:t xml:space="preserve">Total Annual </w:t>
      </w:r>
      <w:r w:rsidRPr="00874DE1" w:rsidR="009E3844">
        <w:rPr>
          <w:b/>
          <w:sz w:val="22"/>
          <w:szCs w:val="22"/>
        </w:rPr>
        <w:t>Burden</w:t>
      </w:r>
      <w:r w:rsidR="00F6130A">
        <w:rPr>
          <w:b/>
          <w:sz w:val="22"/>
          <w:szCs w:val="22"/>
        </w:rPr>
        <w:t xml:space="preserve"> Hours</w:t>
      </w:r>
      <w:r w:rsidRPr="00874DE1">
        <w:rPr>
          <w:b/>
          <w:sz w:val="22"/>
          <w:szCs w:val="22"/>
        </w:rPr>
        <w:t>:</w:t>
      </w:r>
      <w:r>
        <w:rPr>
          <w:sz w:val="22"/>
          <w:szCs w:val="22"/>
        </w:rPr>
        <w:t xml:space="preserve"> </w:t>
      </w:r>
    </w:p>
    <w:p w:rsidR="0015313E" w:rsidP="00CC4F93" w:rsidRDefault="0015313E">
      <w:pPr>
        <w:rPr>
          <w:sz w:val="22"/>
          <w:szCs w:val="22"/>
        </w:rPr>
      </w:pPr>
    </w:p>
    <w:p w:rsidRPr="005D4BA7" w:rsidR="009E3844" w:rsidP="00CC4F93" w:rsidRDefault="00AD7548">
      <w:pPr>
        <w:rPr>
          <w:sz w:val="22"/>
          <w:szCs w:val="22"/>
        </w:rPr>
      </w:pPr>
      <w:r>
        <w:rPr>
          <w:sz w:val="22"/>
          <w:szCs w:val="22"/>
        </w:rPr>
        <w:t>5,672</w:t>
      </w:r>
      <w:r w:rsidR="00CE6C29">
        <w:rPr>
          <w:sz w:val="22"/>
          <w:szCs w:val="22"/>
        </w:rPr>
        <w:t xml:space="preserve"> + 8</w:t>
      </w:r>
      <w:r>
        <w:rPr>
          <w:sz w:val="22"/>
          <w:szCs w:val="22"/>
        </w:rPr>
        <w:t>6,063</w:t>
      </w:r>
      <w:r w:rsidR="00CE6C29">
        <w:rPr>
          <w:sz w:val="22"/>
          <w:szCs w:val="22"/>
        </w:rPr>
        <w:t xml:space="preserve"> + </w:t>
      </w:r>
      <w:r w:rsidR="009F1771">
        <w:rPr>
          <w:sz w:val="22"/>
          <w:szCs w:val="22"/>
        </w:rPr>
        <w:t>7</w:t>
      </w:r>
      <w:r w:rsidR="00E55CFB">
        <w:rPr>
          <w:sz w:val="22"/>
          <w:szCs w:val="22"/>
        </w:rPr>
        <w:t>,</w:t>
      </w:r>
      <w:r w:rsidR="00CE6C29">
        <w:rPr>
          <w:sz w:val="22"/>
          <w:szCs w:val="22"/>
        </w:rPr>
        <w:t xml:space="preserve">500 + </w:t>
      </w:r>
      <w:r w:rsidR="009F1771">
        <w:rPr>
          <w:sz w:val="22"/>
          <w:szCs w:val="22"/>
        </w:rPr>
        <w:t>6</w:t>
      </w:r>
      <w:r w:rsidR="00CE6C29">
        <w:rPr>
          <w:sz w:val="22"/>
          <w:szCs w:val="22"/>
        </w:rPr>
        <w:t>00 + 10</w:t>
      </w:r>
      <w:r>
        <w:rPr>
          <w:sz w:val="22"/>
          <w:szCs w:val="22"/>
        </w:rPr>
        <w:t>5,188</w:t>
      </w:r>
      <w:r w:rsidR="008E64E7">
        <w:rPr>
          <w:sz w:val="22"/>
          <w:szCs w:val="22"/>
        </w:rPr>
        <w:t xml:space="preserve"> </w:t>
      </w:r>
      <w:r w:rsidRPr="005D4BA7" w:rsidR="009E3844">
        <w:rPr>
          <w:sz w:val="22"/>
          <w:szCs w:val="22"/>
        </w:rPr>
        <w:t>=</w:t>
      </w:r>
      <w:r w:rsidR="00FA3860">
        <w:rPr>
          <w:sz w:val="22"/>
          <w:szCs w:val="22"/>
        </w:rPr>
        <w:t xml:space="preserve"> </w:t>
      </w:r>
      <w:r>
        <w:rPr>
          <w:b/>
          <w:sz w:val="22"/>
          <w:szCs w:val="22"/>
        </w:rPr>
        <w:t>205,023</w:t>
      </w:r>
      <w:r w:rsidRPr="00FA3860" w:rsidR="009E3844">
        <w:rPr>
          <w:b/>
          <w:sz w:val="22"/>
          <w:szCs w:val="22"/>
        </w:rPr>
        <w:t xml:space="preserve"> hours</w:t>
      </w:r>
    </w:p>
    <w:p w:rsidR="009E3844" w:rsidP="009E3844" w:rsidRDefault="009E3844">
      <w:pPr>
        <w:rPr>
          <w:sz w:val="22"/>
          <w:szCs w:val="22"/>
        </w:rPr>
      </w:pPr>
    </w:p>
    <w:p w:rsidR="00460818" w:rsidP="00C320C8" w:rsidRDefault="001D7CE2">
      <w:pPr>
        <w:outlineLvl w:val="0"/>
        <w:rPr>
          <w:b/>
          <w:sz w:val="22"/>
          <w:szCs w:val="22"/>
        </w:rPr>
      </w:pPr>
      <w:r w:rsidRPr="001D7CE2">
        <w:rPr>
          <w:b/>
          <w:sz w:val="22"/>
          <w:szCs w:val="22"/>
        </w:rPr>
        <w:t>Total Annual “In House” Costs:</w:t>
      </w:r>
      <w:r w:rsidR="0074093C">
        <w:rPr>
          <w:b/>
          <w:sz w:val="22"/>
          <w:szCs w:val="22"/>
        </w:rPr>
        <w:t xml:space="preserve"> </w:t>
      </w:r>
    </w:p>
    <w:p w:rsidR="0074534E" w:rsidP="009E3844" w:rsidRDefault="0074534E">
      <w:pPr>
        <w:rPr>
          <w:b/>
          <w:sz w:val="22"/>
          <w:szCs w:val="22"/>
        </w:rPr>
      </w:pPr>
    </w:p>
    <w:p w:rsidRPr="00F6130A" w:rsidR="001D7CE2" w:rsidP="009E3844" w:rsidRDefault="0074534E">
      <w:pPr>
        <w:rPr>
          <w:sz w:val="22"/>
          <w:szCs w:val="22"/>
        </w:rPr>
      </w:pPr>
      <w:bookmarkStart w:name="_Hlk24614123" w:id="2"/>
      <w:r>
        <w:rPr>
          <w:sz w:val="22"/>
          <w:szCs w:val="22"/>
        </w:rPr>
        <w:t>$</w:t>
      </w:r>
      <w:r w:rsidR="00210EB4">
        <w:rPr>
          <w:sz w:val="22"/>
          <w:szCs w:val="22"/>
        </w:rPr>
        <w:t>5,153,925</w:t>
      </w:r>
      <w:r w:rsidR="00460818">
        <w:rPr>
          <w:sz w:val="22"/>
          <w:szCs w:val="22"/>
        </w:rPr>
        <w:t xml:space="preserve"> + </w:t>
      </w:r>
      <w:r w:rsidR="00E82A4B">
        <w:rPr>
          <w:sz w:val="22"/>
          <w:szCs w:val="22"/>
        </w:rPr>
        <w:t>$</w:t>
      </w:r>
      <w:r w:rsidR="00E55CFB">
        <w:rPr>
          <w:sz w:val="22"/>
          <w:szCs w:val="22"/>
        </w:rPr>
        <w:t>375,000</w:t>
      </w:r>
      <w:r w:rsidR="00E82A4B">
        <w:rPr>
          <w:sz w:val="22"/>
          <w:szCs w:val="22"/>
        </w:rPr>
        <w:t xml:space="preserve"> + </w:t>
      </w:r>
      <w:r w:rsidR="00460818">
        <w:rPr>
          <w:sz w:val="22"/>
          <w:szCs w:val="22"/>
        </w:rPr>
        <w:t>$</w:t>
      </w:r>
      <w:r w:rsidR="00F6130A">
        <w:rPr>
          <w:sz w:val="22"/>
          <w:szCs w:val="22"/>
        </w:rPr>
        <w:t>5,349,375</w:t>
      </w:r>
      <w:r w:rsidR="0074093C">
        <w:rPr>
          <w:sz w:val="22"/>
          <w:szCs w:val="22"/>
        </w:rPr>
        <w:t>=</w:t>
      </w:r>
      <w:r w:rsidR="00460818">
        <w:rPr>
          <w:sz w:val="22"/>
          <w:szCs w:val="22"/>
        </w:rPr>
        <w:t xml:space="preserve"> </w:t>
      </w:r>
      <w:r w:rsidRPr="000F04B9" w:rsidR="00765D8F">
        <w:rPr>
          <w:b/>
          <w:sz w:val="22"/>
          <w:szCs w:val="22"/>
        </w:rPr>
        <w:t>$</w:t>
      </w:r>
      <w:r w:rsidR="00087001">
        <w:rPr>
          <w:b/>
          <w:sz w:val="22"/>
          <w:szCs w:val="22"/>
        </w:rPr>
        <w:t>10,878,300</w:t>
      </w:r>
    </w:p>
    <w:bookmarkEnd w:id="2"/>
    <w:p w:rsidRPr="005D4BA7" w:rsidR="0005011D" w:rsidP="009E3844" w:rsidRDefault="0005011D">
      <w:pPr>
        <w:rPr>
          <w:sz w:val="22"/>
          <w:szCs w:val="22"/>
        </w:rPr>
      </w:pPr>
    </w:p>
    <w:p w:rsidR="009E7453" w:rsidP="00187201" w:rsidRDefault="009E3844">
      <w:pPr>
        <w:ind w:left="360" w:hanging="360"/>
        <w:rPr>
          <w:sz w:val="22"/>
          <w:szCs w:val="22"/>
        </w:rPr>
      </w:pPr>
      <w:r w:rsidRPr="005D4BA7">
        <w:rPr>
          <w:sz w:val="22"/>
          <w:szCs w:val="22"/>
        </w:rPr>
        <w:t>13.</w:t>
      </w:r>
      <w:r w:rsidRPr="005D4BA7">
        <w:rPr>
          <w:sz w:val="22"/>
          <w:szCs w:val="22"/>
        </w:rPr>
        <w:tab/>
      </w:r>
      <w:r w:rsidR="009E7453">
        <w:rPr>
          <w:sz w:val="22"/>
          <w:szCs w:val="22"/>
        </w:rPr>
        <w:t xml:space="preserve">(a) </w:t>
      </w:r>
      <w:r w:rsidR="009E7453">
        <w:rPr>
          <w:sz w:val="22"/>
          <w:szCs w:val="22"/>
        </w:rPr>
        <w:tab/>
        <w:t xml:space="preserve">Total Annualized </w:t>
      </w:r>
      <w:r w:rsidRPr="005D4BA7">
        <w:rPr>
          <w:sz w:val="22"/>
          <w:szCs w:val="22"/>
        </w:rPr>
        <w:t>capital and startup costs</w:t>
      </w:r>
      <w:r w:rsidR="009E7453">
        <w:rPr>
          <w:sz w:val="22"/>
          <w:szCs w:val="22"/>
        </w:rPr>
        <w:t xml:space="preserve">: </w:t>
      </w:r>
      <w:r w:rsidRPr="00B5585B" w:rsidR="009E7453">
        <w:rPr>
          <w:b/>
          <w:sz w:val="22"/>
          <w:szCs w:val="22"/>
        </w:rPr>
        <w:t>None</w:t>
      </w:r>
    </w:p>
    <w:p w:rsidR="009E7453" w:rsidP="00187201" w:rsidRDefault="009E7453">
      <w:pPr>
        <w:ind w:left="360" w:hanging="360"/>
        <w:rPr>
          <w:sz w:val="22"/>
          <w:szCs w:val="22"/>
        </w:rPr>
      </w:pPr>
    </w:p>
    <w:p w:rsidRPr="00DD1FA0" w:rsidR="009E7453" w:rsidP="003F18C3" w:rsidRDefault="009E7453">
      <w:pPr>
        <w:numPr>
          <w:ilvl w:val="0"/>
          <w:numId w:val="29"/>
        </w:numPr>
        <w:rPr>
          <w:sz w:val="22"/>
          <w:szCs w:val="22"/>
        </w:rPr>
      </w:pPr>
      <w:r>
        <w:rPr>
          <w:sz w:val="22"/>
          <w:szCs w:val="22"/>
        </w:rPr>
        <w:t>Total annual cost</w:t>
      </w:r>
      <w:r w:rsidRPr="00DD1FA0">
        <w:rPr>
          <w:sz w:val="22"/>
          <w:szCs w:val="22"/>
        </w:rPr>
        <w:t xml:space="preserve">: </w:t>
      </w:r>
      <w:r w:rsidRPr="00DD1FA0" w:rsidR="00956C82">
        <w:rPr>
          <w:b/>
          <w:sz w:val="22"/>
          <w:szCs w:val="22"/>
        </w:rPr>
        <w:t xml:space="preserve"> $</w:t>
      </w:r>
      <w:r w:rsidR="00F42299">
        <w:rPr>
          <w:b/>
          <w:sz w:val="22"/>
          <w:szCs w:val="22"/>
        </w:rPr>
        <w:t>1</w:t>
      </w:r>
      <w:r w:rsidR="009A369B">
        <w:rPr>
          <w:b/>
          <w:sz w:val="22"/>
          <w:szCs w:val="22"/>
        </w:rPr>
        <w:t>44,000</w:t>
      </w:r>
    </w:p>
    <w:p w:rsidR="009E7453" w:rsidP="009E7453" w:rsidRDefault="009E7453">
      <w:pPr>
        <w:ind w:left="360"/>
        <w:rPr>
          <w:sz w:val="22"/>
          <w:szCs w:val="22"/>
        </w:rPr>
      </w:pPr>
    </w:p>
    <w:p w:rsidRPr="00E55CFB" w:rsidR="009E7453" w:rsidP="006D138C" w:rsidRDefault="009E7453">
      <w:pPr>
        <w:numPr>
          <w:ilvl w:val="0"/>
          <w:numId w:val="29"/>
        </w:numPr>
        <w:rPr>
          <w:sz w:val="22"/>
          <w:szCs w:val="22"/>
        </w:rPr>
      </w:pPr>
      <w:r>
        <w:rPr>
          <w:sz w:val="22"/>
          <w:szCs w:val="22"/>
        </w:rPr>
        <w:lastRenderedPageBreak/>
        <w:t xml:space="preserve">Total annualized cost requested: </w:t>
      </w:r>
      <w:r w:rsidRPr="005D4BA7" w:rsidR="009E3844">
        <w:rPr>
          <w:sz w:val="22"/>
          <w:szCs w:val="22"/>
        </w:rPr>
        <w:t xml:space="preserve"> </w:t>
      </w:r>
      <w:r w:rsidRPr="00DD1FA0" w:rsidR="00956C82">
        <w:rPr>
          <w:b/>
          <w:sz w:val="22"/>
          <w:szCs w:val="22"/>
        </w:rPr>
        <w:t>$</w:t>
      </w:r>
      <w:r w:rsidR="00765D8F">
        <w:rPr>
          <w:b/>
          <w:sz w:val="22"/>
          <w:szCs w:val="22"/>
        </w:rPr>
        <w:t>1</w:t>
      </w:r>
      <w:r w:rsidR="009A369B">
        <w:rPr>
          <w:b/>
          <w:sz w:val="22"/>
          <w:szCs w:val="22"/>
        </w:rPr>
        <w:t>44,000</w:t>
      </w:r>
    </w:p>
    <w:p w:rsidR="00E55CFB" w:rsidP="00E55CFB" w:rsidRDefault="00E55CFB">
      <w:pPr>
        <w:rPr>
          <w:sz w:val="22"/>
          <w:szCs w:val="22"/>
        </w:rPr>
      </w:pPr>
    </w:p>
    <w:p w:rsidR="00E55CFB" w:rsidP="00E55CFB" w:rsidRDefault="00E55CFB">
      <w:pPr>
        <w:ind w:left="360"/>
        <w:rPr>
          <w:sz w:val="22"/>
          <w:szCs w:val="22"/>
        </w:rPr>
      </w:pPr>
      <w:r>
        <w:rPr>
          <w:sz w:val="22"/>
          <w:szCs w:val="22"/>
        </w:rPr>
        <w:t>The Commission rules, 47 CFR</w:t>
      </w:r>
      <w:r w:rsidR="0025222D">
        <w:rPr>
          <w:sz w:val="22"/>
          <w:szCs w:val="22"/>
        </w:rPr>
        <w:t xml:space="preserve"> §</w:t>
      </w:r>
      <w:r>
        <w:rPr>
          <w:sz w:val="22"/>
          <w:szCs w:val="22"/>
        </w:rPr>
        <w:t xml:space="preserve"> 1.1105, currently require that informational tariff filing must be accompanied by a $</w:t>
      </w:r>
      <w:r w:rsidR="001F4811">
        <w:rPr>
          <w:sz w:val="22"/>
          <w:szCs w:val="22"/>
        </w:rPr>
        <w:t>9</w:t>
      </w:r>
      <w:r w:rsidR="00D726F4">
        <w:rPr>
          <w:sz w:val="22"/>
          <w:szCs w:val="22"/>
        </w:rPr>
        <w:t>60</w:t>
      </w:r>
      <w:r w:rsidR="00B70792">
        <w:rPr>
          <w:sz w:val="22"/>
          <w:szCs w:val="22"/>
        </w:rPr>
        <w:t xml:space="preserve"> </w:t>
      </w:r>
      <w:r>
        <w:rPr>
          <w:sz w:val="22"/>
          <w:szCs w:val="22"/>
        </w:rPr>
        <w:t>filing fee:</w:t>
      </w:r>
    </w:p>
    <w:p w:rsidR="00E55CFB" w:rsidP="00E55CFB" w:rsidRDefault="00E55CFB">
      <w:pPr>
        <w:ind w:left="360"/>
        <w:rPr>
          <w:sz w:val="22"/>
          <w:szCs w:val="22"/>
        </w:rPr>
      </w:pPr>
    </w:p>
    <w:p w:rsidRPr="00956C82" w:rsidR="00956C82" w:rsidP="00E55CFB" w:rsidRDefault="00956C82">
      <w:pPr>
        <w:ind w:left="360"/>
        <w:rPr>
          <w:b/>
          <w:sz w:val="22"/>
          <w:szCs w:val="22"/>
        </w:rPr>
      </w:pPr>
      <w:r w:rsidRPr="005603EB">
        <w:rPr>
          <w:sz w:val="22"/>
          <w:szCs w:val="22"/>
        </w:rPr>
        <w:t>150 tariff filing x $</w:t>
      </w:r>
      <w:r w:rsidR="001F4811">
        <w:rPr>
          <w:sz w:val="22"/>
          <w:szCs w:val="22"/>
        </w:rPr>
        <w:t>9</w:t>
      </w:r>
      <w:r w:rsidR="00D726F4">
        <w:rPr>
          <w:sz w:val="22"/>
          <w:szCs w:val="22"/>
        </w:rPr>
        <w:t>60</w:t>
      </w:r>
      <w:r w:rsidRPr="005603EB" w:rsidR="00765D8F">
        <w:rPr>
          <w:sz w:val="22"/>
          <w:szCs w:val="22"/>
        </w:rPr>
        <w:t xml:space="preserve"> </w:t>
      </w:r>
      <w:r w:rsidRPr="005603EB">
        <w:rPr>
          <w:sz w:val="22"/>
          <w:szCs w:val="22"/>
        </w:rPr>
        <w:t xml:space="preserve">filing fee = </w:t>
      </w:r>
      <w:r w:rsidR="00765D8F">
        <w:rPr>
          <w:b/>
          <w:sz w:val="22"/>
          <w:szCs w:val="22"/>
        </w:rPr>
        <w:t>$1</w:t>
      </w:r>
      <w:r w:rsidR="00D726F4">
        <w:rPr>
          <w:b/>
          <w:sz w:val="22"/>
          <w:szCs w:val="22"/>
        </w:rPr>
        <w:t>44,000</w:t>
      </w:r>
    </w:p>
    <w:p w:rsidR="00956C82" w:rsidP="00E55CFB" w:rsidRDefault="00956C82">
      <w:pPr>
        <w:ind w:left="360"/>
        <w:rPr>
          <w:sz w:val="22"/>
          <w:szCs w:val="22"/>
        </w:rPr>
      </w:pPr>
    </w:p>
    <w:p w:rsidR="00FC7CB0" w:rsidP="00FC7CB0" w:rsidRDefault="00FC7CB0">
      <w:pPr>
        <w:ind w:left="360" w:hanging="360"/>
        <w:rPr>
          <w:sz w:val="22"/>
          <w:szCs w:val="22"/>
        </w:rPr>
      </w:pPr>
      <w:r>
        <w:rPr>
          <w:sz w:val="22"/>
          <w:szCs w:val="22"/>
        </w:rPr>
        <w:t>14.</w:t>
      </w:r>
      <w:r>
        <w:rPr>
          <w:sz w:val="22"/>
          <w:szCs w:val="22"/>
        </w:rPr>
        <w:tab/>
        <w:t xml:space="preserve">There </w:t>
      </w:r>
      <w:r w:rsidR="00E27303">
        <w:rPr>
          <w:sz w:val="22"/>
          <w:szCs w:val="22"/>
        </w:rPr>
        <w:t xml:space="preserve">are </w:t>
      </w:r>
      <w:r>
        <w:rPr>
          <w:sz w:val="22"/>
          <w:szCs w:val="22"/>
        </w:rPr>
        <w:t>no costs to the Federal Government</w:t>
      </w:r>
      <w:r w:rsidR="00E27303">
        <w:rPr>
          <w:sz w:val="22"/>
          <w:szCs w:val="22"/>
        </w:rPr>
        <w:t>.</w:t>
      </w:r>
    </w:p>
    <w:p w:rsidR="00E27303" w:rsidP="00FC7CB0" w:rsidRDefault="00E27303">
      <w:pPr>
        <w:ind w:left="360" w:hanging="360"/>
        <w:rPr>
          <w:sz w:val="22"/>
          <w:szCs w:val="22"/>
        </w:rPr>
      </w:pPr>
    </w:p>
    <w:p w:rsidR="00AF70C8" w:rsidP="00CC1383" w:rsidRDefault="00FC7CB0">
      <w:pPr>
        <w:tabs>
          <w:tab w:val="left" w:pos="-90"/>
          <w:tab w:val="left" w:pos="360"/>
        </w:tabs>
        <w:ind w:left="360" w:hanging="360"/>
        <w:rPr>
          <w:sz w:val="22"/>
          <w:szCs w:val="22"/>
        </w:rPr>
      </w:pPr>
      <w:r>
        <w:rPr>
          <w:sz w:val="22"/>
          <w:szCs w:val="22"/>
        </w:rPr>
        <w:t>15.</w:t>
      </w:r>
      <w:r w:rsidR="00210EB4">
        <w:rPr>
          <w:sz w:val="22"/>
          <w:szCs w:val="22"/>
        </w:rPr>
        <w:t xml:space="preserve"> </w:t>
      </w:r>
      <w:r w:rsidRPr="0014422F" w:rsidR="00210EB4">
        <w:rPr>
          <w:sz w:val="22"/>
          <w:szCs w:val="22"/>
        </w:rPr>
        <w:t>The</w:t>
      </w:r>
      <w:r w:rsidR="00FF333C">
        <w:rPr>
          <w:sz w:val="22"/>
          <w:szCs w:val="22"/>
        </w:rPr>
        <w:t>re was an increase</w:t>
      </w:r>
      <w:r w:rsidR="000F04B9">
        <w:rPr>
          <w:sz w:val="22"/>
          <w:szCs w:val="22"/>
        </w:rPr>
        <w:t>/adjustment</w:t>
      </w:r>
      <w:r w:rsidR="00FF333C">
        <w:rPr>
          <w:sz w:val="22"/>
          <w:szCs w:val="22"/>
        </w:rPr>
        <w:t xml:space="preserve"> in the filing fees for the tariff filings; therefore, this information collection</w:t>
      </w:r>
      <w:r w:rsidR="00210EB4">
        <w:rPr>
          <w:sz w:val="22"/>
          <w:szCs w:val="22"/>
        </w:rPr>
        <w:t xml:space="preserve"> has</w:t>
      </w:r>
      <w:r w:rsidR="00FF333C">
        <w:rPr>
          <w:sz w:val="22"/>
          <w:szCs w:val="22"/>
        </w:rPr>
        <w:t xml:space="preserve"> </w:t>
      </w:r>
      <w:r w:rsidR="00385F73">
        <w:rPr>
          <w:sz w:val="22"/>
          <w:szCs w:val="22"/>
        </w:rPr>
        <w:t>an increase in total annual costs</w:t>
      </w:r>
      <w:r w:rsidR="00CC0943">
        <w:rPr>
          <w:sz w:val="22"/>
          <w:szCs w:val="22"/>
        </w:rPr>
        <w:t xml:space="preserve"> </w:t>
      </w:r>
      <w:r w:rsidR="004C36E1">
        <w:rPr>
          <w:sz w:val="22"/>
          <w:szCs w:val="22"/>
        </w:rPr>
        <w:t xml:space="preserve">of </w:t>
      </w:r>
      <w:r w:rsidRPr="00CC06CA" w:rsidR="00CC0943">
        <w:rPr>
          <w:b/>
          <w:sz w:val="22"/>
          <w:szCs w:val="22"/>
        </w:rPr>
        <w:t>+</w:t>
      </w:r>
      <w:r w:rsidRPr="00CC06CA" w:rsidR="00385F73">
        <w:rPr>
          <w:b/>
          <w:sz w:val="22"/>
          <w:szCs w:val="22"/>
        </w:rPr>
        <w:t>$</w:t>
      </w:r>
      <w:r w:rsidR="00D726F4">
        <w:rPr>
          <w:b/>
          <w:sz w:val="22"/>
          <w:szCs w:val="22"/>
        </w:rPr>
        <w:t>5,250</w:t>
      </w:r>
      <w:r w:rsidRPr="0093365A" w:rsidR="00385F73">
        <w:rPr>
          <w:sz w:val="22"/>
          <w:szCs w:val="22"/>
        </w:rPr>
        <w:t>,</w:t>
      </w:r>
      <w:r w:rsidR="00385F73">
        <w:rPr>
          <w:sz w:val="22"/>
          <w:szCs w:val="22"/>
        </w:rPr>
        <w:t xml:space="preserve"> from $1</w:t>
      </w:r>
      <w:r w:rsidR="00D726F4">
        <w:rPr>
          <w:sz w:val="22"/>
          <w:szCs w:val="22"/>
        </w:rPr>
        <w:t>38,750</w:t>
      </w:r>
      <w:r w:rsidR="001F4811">
        <w:rPr>
          <w:sz w:val="22"/>
          <w:szCs w:val="22"/>
        </w:rPr>
        <w:t xml:space="preserve"> to $1</w:t>
      </w:r>
      <w:r w:rsidR="00D726F4">
        <w:rPr>
          <w:sz w:val="22"/>
          <w:szCs w:val="22"/>
        </w:rPr>
        <w:t>44,000</w:t>
      </w:r>
      <w:r w:rsidR="00560F7E">
        <w:rPr>
          <w:sz w:val="22"/>
          <w:szCs w:val="22"/>
        </w:rPr>
        <w:t>.</w:t>
      </w:r>
    </w:p>
    <w:p w:rsidR="00AF70C8" w:rsidP="00AF70C8" w:rsidRDefault="00AF70C8">
      <w:pPr>
        <w:rPr>
          <w:sz w:val="22"/>
          <w:szCs w:val="22"/>
        </w:rPr>
      </w:pPr>
    </w:p>
    <w:p w:rsidR="00E97411" w:rsidP="00AF70C8" w:rsidRDefault="00D404BE">
      <w:pPr>
        <w:ind w:left="360"/>
        <w:rPr>
          <w:sz w:val="22"/>
          <w:szCs w:val="22"/>
        </w:rPr>
      </w:pPr>
      <w:r>
        <w:rPr>
          <w:sz w:val="22"/>
          <w:szCs w:val="22"/>
        </w:rPr>
        <w:t>There are no program changes.</w:t>
      </w:r>
      <w:r w:rsidRPr="004D0C8B" w:rsidR="004D0C8B">
        <w:rPr>
          <w:sz w:val="22"/>
          <w:szCs w:val="22"/>
        </w:rPr>
        <w:t xml:space="preserve"> </w:t>
      </w:r>
    </w:p>
    <w:p w:rsidR="00FC7CB0" w:rsidP="00FC7CB0" w:rsidRDefault="00FC7CB0">
      <w:pPr>
        <w:ind w:left="360" w:hanging="360"/>
        <w:rPr>
          <w:sz w:val="22"/>
          <w:szCs w:val="22"/>
        </w:rPr>
      </w:pPr>
    </w:p>
    <w:p w:rsidR="00FC7CB0" w:rsidP="00FC7CB0" w:rsidRDefault="00FC7CB0">
      <w:pPr>
        <w:ind w:left="360" w:hanging="360"/>
        <w:rPr>
          <w:sz w:val="22"/>
          <w:szCs w:val="22"/>
        </w:rPr>
      </w:pPr>
      <w:r>
        <w:rPr>
          <w:sz w:val="22"/>
          <w:szCs w:val="22"/>
        </w:rPr>
        <w:t>16.</w:t>
      </w:r>
      <w:r>
        <w:rPr>
          <w:sz w:val="22"/>
          <w:szCs w:val="22"/>
        </w:rPr>
        <w:tab/>
      </w:r>
      <w:r w:rsidR="00747A9D">
        <w:rPr>
          <w:sz w:val="22"/>
          <w:szCs w:val="22"/>
        </w:rPr>
        <w:t>The Commission does not intend to publish the results of the information collection requirements.</w:t>
      </w:r>
    </w:p>
    <w:p w:rsidR="00FC7CB0" w:rsidP="00FC7CB0" w:rsidRDefault="00FC7CB0">
      <w:pPr>
        <w:ind w:left="360" w:hanging="360"/>
        <w:rPr>
          <w:sz w:val="22"/>
          <w:szCs w:val="22"/>
        </w:rPr>
      </w:pPr>
    </w:p>
    <w:p w:rsidR="00FC7CB0" w:rsidP="00FC7CB0" w:rsidRDefault="00FC7CB0">
      <w:pPr>
        <w:ind w:left="360" w:hanging="360"/>
        <w:rPr>
          <w:sz w:val="22"/>
          <w:szCs w:val="22"/>
        </w:rPr>
      </w:pPr>
      <w:r>
        <w:rPr>
          <w:sz w:val="22"/>
          <w:szCs w:val="22"/>
        </w:rPr>
        <w:t>17.</w:t>
      </w:r>
      <w:r w:rsidR="002645CB">
        <w:rPr>
          <w:sz w:val="22"/>
          <w:szCs w:val="22"/>
        </w:rPr>
        <w:t xml:space="preserve"> This information collection does not include any FCC forms</w:t>
      </w:r>
      <w:r w:rsidR="00747A9D">
        <w:rPr>
          <w:sz w:val="22"/>
          <w:szCs w:val="22"/>
        </w:rPr>
        <w:t xml:space="preserve"> or other Commission documents requiring an expiration date;</w:t>
      </w:r>
      <w:r w:rsidR="002645CB">
        <w:rPr>
          <w:sz w:val="22"/>
          <w:szCs w:val="22"/>
        </w:rPr>
        <w:t xml:space="preserve"> </w:t>
      </w:r>
      <w:r w:rsidR="00747A9D">
        <w:rPr>
          <w:sz w:val="22"/>
          <w:szCs w:val="22"/>
        </w:rPr>
        <w:t xml:space="preserve">thus, the requirements </w:t>
      </w:r>
      <w:r w:rsidR="009E3A62">
        <w:rPr>
          <w:sz w:val="22"/>
          <w:szCs w:val="22"/>
        </w:rPr>
        <w:t xml:space="preserve">contained </w:t>
      </w:r>
      <w:r w:rsidR="00747A9D">
        <w:rPr>
          <w:sz w:val="22"/>
          <w:szCs w:val="22"/>
        </w:rPr>
        <w:t>herein need not be addressed</w:t>
      </w:r>
      <w:r w:rsidR="009E3A62">
        <w:rPr>
          <w:sz w:val="22"/>
          <w:szCs w:val="22"/>
        </w:rPr>
        <w:t>.</w:t>
      </w:r>
    </w:p>
    <w:p w:rsidR="00747A9D" w:rsidP="00FC7CB0" w:rsidRDefault="00747A9D">
      <w:pPr>
        <w:ind w:left="360" w:hanging="360"/>
        <w:rPr>
          <w:sz w:val="22"/>
          <w:szCs w:val="22"/>
        </w:rPr>
      </w:pPr>
    </w:p>
    <w:p w:rsidR="00FC7CB0" w:rsidP="00FC7CB0" w:rsidRDefault="00FC7CB0">
      <w:pPr>
        <w:ind w:left="360" w:hanging="360"/>
        <w:rPr>
          <w:sz w:val="22"/>
          <w:szCs w:val="22"/>
        </w:rPr>
      </w:pPr>
      <w:r>
        <w:rPr>
          <w:sz w:val="22"/>
          <w:szCs w:val="22"/>
        </w:rPr>
        <w:t>18.</w:t>
      </w:r>
      <w:r w:rsidR="003F4560">
        <w:rPr>
          <w:sz w:val="22"/>
          <w:szCs w:val="22"/>
        </w:rPr>
        <w:t xml:space="preserve"> </w:t>
      </w:r>
      <w:r w:rsidR="00D404BE">
        <w:rPr>
          <w:sz w:val="22"/>
          <w:szCs w:val="22"/>
        </w:rPr>
        <w:t>There are no exceptions to the certification statement</w:t>
      </w:r>
      <w:r w:rsidR="00EE6FF2">
        <w:rPr>
          <w:sz w:val="22"/>
          <w:szCs w:val="22"/>
        </w:rPr>
        <w:t>.</w:t>
      </w:r>
    </w:p>
    <w:p w:rsidR="0067148E" w:rsidP="00FC7CB0" w:rsidRDefault="0067148E">
      <w:pPr>
        <w:ind w:left="360" w:hanging="360"/>
        <w:rPr>
          <w:sz w:val="22"/>
          <w:szCs w:val="22"/>
        </w:rPr>
      </w:pPr>
    </w:p>
    <w:p w:rsidR="00FC7CB0" w:rsidP="00200CC7" w:rsidRDefault="00200CC7">
      <w:pPr>
        <w:tabs>
          <w:tab w:val="left" w:pos="360"/>
        </w:tabs>
        <w:rPr>
          <w:b/>
          <w:sz w:val="22"/>
          <w:szCs w:val="22"/>
        </w:rPr>
      </w:pPr>
      <w:r>
        <w:rPr>
          <w:b/>
          <w:sz w:val="22"/>
          <w:szCs w:val="22"/>
        </w:rPr>
        <w:t>B.</w:t>
      </w:r>
      <w:r>
        <w:rPr>
          <w:b/>
          <w:sz w:val="22"/>
          <w:szCs w:val="22"/>
        </w:rPr>
        <w:tab/>
      </w:r>
      <w:r w:rsidRPr="00CB234D" w:rsidR="00CB234D">
        <w:rPr>
          <w:b/>
          <w:sz w:val="22"/>
          <w:szCs w:val="22"/>
        </w:rPr>
        <w:t>Collection Information Employing Statistical Methods.</w:t>
      </w:r>
    </w:p>
    <w:p w:rsidR="00CB234D" w:rsidP="00CB234D" w:rsidRDefault="00CB234D">
      <w:pPr>
        <w:ind w:left="360" w:hanging="360"/>
        <w:rPr>
          <w:b/>
          <w:sz w:val="22"/>
          <w:szCs w:val="22"/>
        </w:rPr>
      </w:pPr>
    </w:p>
    <w:p w:rsidRPr="00CB234D" w:rsidR="00CB234D" w:rsidP="00CB234D" w:rsidRDefault="00CB234D">
      <w:pPr>
        <w:ind w:left="360"/>
        <w:rPr>
          <w:sz w:val="22"/>
          <w:szCs w:val="22"/>
        </w:rPr>
      </w:pPr>
      <w:r w:rsidRPr="00CB234D">
        <w:rPr>
          <w:sz w:val="22"/>
          <w:szCs w:val="22"/>
        </w:rPr>
        <w:t>This information collection does not employ any statistical methods.</w:t>
      </w:r>
    </w:p>
    <w:sectPr w:rsidRPr="00CB234D" w:rsidR="00CB234D" w:rsidSect="0032346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2D" w:rsidRDefault="00E8312D">
      <w:r>
        <w:separator/>
      </w:r>
    </w:p>
  </w:endnote>
  <w:endnote w:type="continuationSeparator" w:id="0">
    <w:p w:rsidR="00E8312D" w:rsidRDefault="00E8312D">
      <w:r>
        <w:continuationSeparator/>
      </w:r>
    </w:p>
  </w:endnote>
  <w:endnote w:type="continuationNotice" w:id="1">
    <w:p w:rsidR="00E8312D" w:rsidRDefault="00E83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861" w:rsidRDefault="00702861" w:rsidP="00E50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2861" w:rsidRDefault="0070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861" w:rsidRPr="00E50556" w:rsidRDefault="00702861" w:rsidP="00E50556">
    <w:pPr>
      <w:pStyle w:val="Footer"/>
      <w:framePr w:wrap="around" w:vAnchor="text" w:hAnchor="margin" w:xAlign="center" w:y="1"/>
      <w:rPr>
        <w:rStyle w:val="PageNumber"/>
        <w:sz w:val="20"/>
      </w:rPr>
    </w:pPr>
    <w:r w:rsidRPr="00E50556">
      <w:rPr>
        <w:rStyle w:val="PageNumber"/>
        <w:sz w:val="20"/>
      </w:rPr>
      <w:fldChar w:fldCharType="begin"/>
    </w:r>
    <w:r w:rsidRPr="00E50556">
      <w:rPr>
        <w:rStyle w:val="PageNumber"/>
        <w:sz w:val="20"/>
      </w:rPr>
      <w:instrText xml:space="preserve">PAGE  </w:instrText>
    </w:r>
    <w:r w:rsidRPr="00E50556">
      <w:rPr>
        <w:rStyle w:val="PageNumber"/>
        <w:sz w:val="20"/>
      </w:rPr>
      <w:fldChar w:fldCharType="separate"/>
    </w:r>
    <w:r w:rsidR="007006E6">
      <w:rPr>
        <w:rStyle w:val="PageNumber"/>
        <w:noProof/>
        <w:sz w:val="20"/>
      </w:rPr>
      <w:t>8</w:t>
    </w:r>
    <w:r w:rsidRPr="00E50556">
      <w:rPr>
        <w:rStyle w:val="PageNumber"/>
        <w:sz w:val="20"/>
      </w:rPr>
      <w:fldChar w:fldCharType="end"/>
    </w:r>
  </w:p>
  <w:p w:rsidR="00702861" w:rsidRDefault="0070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2D" w:rsidRDefault="00E8312D">
      <w:r>
        <w:separator/>
      </w:r>
    </w:p>
  </w:footnote>
  <w:footnote w:type="continuationSeparator" w:id="0">
    <w:p w:rsidR="00E8312D" w:rsidRDefault="00E8312D">
      <w:r>
        <w:continuationSeparator/>
      </w:r>
    </w:p>
  </w:footnote>
  <w:footnote w:type="continuationNotice" w:id="1">
    <w:p w:rsidR="00E8312D" w:rsidRDefault="00E8312D"/>
  </w:footnote>
  <w:footnote w:id="2">
    <w:p w:rsidR="00702861" w:rsidRPr="00011030" w:rsidRDefault="00702861">
      <w:pPr>
        <w:pStyle w:val="FootnoteText"/>
      </w:pPr>
      <w:r w:rsidRPr="00011030">
        <w:rPr>
          <w:rStyle w:val="FootnoteReference"/>
        </w:rPr>
        <w:footnoteRef/>
      </w:r>
      <w:r w:rsidRPr="00011030">
        <w:t xml:space="preserve"> Section 226(h)(1)(A) of the Communications Act require</w:t>
      </w:r>
      <w:r>
        <w:t>s</w:t>
      </w:r>
      <w:r w:rsidRPr="00011030">
        <w:t xml:space="preserve"> OSPs to file informational tariffs with the Commission.</w:t>
      </w:r>
    </w:p>
  </w:footnote>
  <w:footnote w:id="3">
    <w:p w:rsidR="001414CE" w:rsidRDefault="001414CE">
      <w:pPr>
        <w:pStyle w:val="FootnoteText"/>
      </w:pPr>
      <w:r>
        <w:rPr>
          <w:rStyle w:val="FootnoteReference"/>
        </w:rPr>
        <w:footnoteRef/>
      </w:r>
      <w:r>
        <w:t xml:space="preserve"> The number of informational tariffs filed is from the overall pool of 1,418 respondents.</w:t>
      </w:r>
    </w:p>
  </w:footnote>
  <w:footnote w:id="4">
    <w:p w:rsidR="00E8312D" w:rsidRDefault="001414CE">
      <w:r w:rsidRPr="0017660B">
        <w:rPr>
          <w:rStyle w:val="FootnoteReference"/>
          <w:sz w:val="20"/>
        </w:rPr>
        <w:footnoteRef/>
      </w:r>
      <w:r w:rsidRPr="0017660B">
        <w:rPr>
          <w:sz w:val="20"/>
        </w:rPr>
        <w:t xml:space="preserve"> The number of operator services for prison inmate phones are provided by the same pool of respondents of 1,418.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861" w:rsidRPr="004A7771" w:rsidRDefault="00702861" w:rsidP="00D21687">
    <w:pPr>
      <w:pStyle w:val="Header"/>
      <w:rPr>
        <w:b/>
      </w:rPr>
    </w:pPr>
    <w:r>
      <w:rPr>
        <w:b/>
      </w:rPr>
      <w:t xml:space="preserve">OMB Control Number:  </w:t>
    </w:r>
    <w:r w:rsidRPr="00D21687">
      <w:rPr>
        <w:b/>
      </w:rPr>
      <w:t xml:space="preserve">3060-0717                                                       </w:t>
    </w:r>
    <w:r>
      <w:tab/>
    </w:r>
    <w:r w:rsidRPr="00FF30B1">
      <w:rPr>
        <w:b/>
      </w:rPr>
      <w:t xml:space="preserve">             </w:t>
    </w:r>
    <w:r w:rsidR="00E84345">
      <w:rPr>
        <w:b/>
      </w:rPr>
      <w:t xml:space="preserve">  </w:t>
    </w:r>
    <w:r w:rsidR="00244938">
      <w:rPr>
        <w:b/>
      </w:rPr>
      <w:t>February</w:t>
    </w:r>
    <w:r w:rsidR="00F42299">
      <w:rPr>
        <w:b/>
      </w:rPr>
      <w:t xml:space="preserve"> 20</w:t>
    </w:r>
    <w:r w:rsidR="00E546D5">
      <w:rPr>
        <w:b/>
      </w:rPr>
      <w:t>20</w:t>
    </w:r>
    <w:r w:rsidR="00E84345">
      <w:rPr>
        <w:b/>
      </w:rPr>
      <w:t xml:space="preserve"> </w:t>
    </w:r>
  </w:p>
  <w:p w:rsidR="00702861" w:rsidRDefault="00702861" w:rsidP="004A7771">
    <w:pPr>
      <w:pStyle w:val="Header"/>
      <w:rPr>
        <w:b/>
      </w:rPr>
    </w:pPr>
    <w:r w:rsidRPr="004A7771">
      <w:rPr>
        <w:b/>
      </w:rPr>
      <w:t xml:space="preserve">Billed Party Preference for </w:t>
    </w:r>
    <w:proofErr w:type="spellStart"/>
    <w:r w:rsidRPr="004A7771">
      <w:rPr>
        <w:b/>
      </w:rPr>
      <w:t>InterLATA</w:t>
    </w:r>
    <w:proofErr w:type="spellEnd"/>
    <w:r w:rsidRPr="004A7771">
      <w:rPr>
        <w:b/>
      </w:rPr>
      <w:t xml:space="preserve"> 0+ Calls, CC Docket No. 92-77, 47 CFR</w:t>
    </w:r>
    <w:r>
      <w:rPr>
        <w:b/>
      </w:rPr>
      <w:t xml:space="preserve"> </w:t>
    </w:r>
    <w:r w:rsidRPr="004A7771">
      <w:rPr>
        <w:b/>
      </w:rPr>
      <w:t>Sections 64.703(a), 64.709, 64.710</w:t>
    </w:r>
  </w:p>
  <w:p w:rsidR="00702861" w:rsidRPr="004A7771" w:rsidRDefault="00702861" w:rsidP="004A777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271"/>
    <w:multiLevelType w:val="hybridMultilevel"/>
    <w:tmpl w:val="1754374A"/>
    <w:lvl w:ilvl="0" w:tplc="8AA2E644">
      <w:start w:val="1"/>
      <w:numFmt w:val="decimal"/>
      <w:lvlText w:val="(%1)"/>
      <w:lvlJc w:val="left"/>
      <w:pPr>
        <w:tabs>
          <w:tab w:val="num" w:pos="720"/>
        </w:tabs>
        <w:ind w:left="720" w:hanging="360"/>
      </w:pPr>
      <w:rPr>
        <w:rFonts w:hint="default"/>
      </w:rPr>
    </w:lvl>
    <w:lvl w:ilvl="1" w:tplc="6848F1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366FA"/>
    <w:multiLevelType w:val="hybridMultilevel"/>
    <w:tmpl w:val="74708A6A"/>
    <w:lvl w:ilvl="0" w:tplc="D1B6E838">
      <w:start w:val="2"/>
      <w:numFmt w:val="decimal"/>
      <w:lvlText w:val="(%1)"/>
      <w:lvlJc w:val="left"/>
      <w:pPr>
        <w:tabs>
          <w:tab w:val="num" w:pos="1080"/>
        </w:tabs>
        <w:ind w:left="1080" w:hanging="360"/>
      </w:pPr>
      <w:rPr>
        <w:rFonts w:hint="default"/>
      </w:rPr>
    </w:lvl>
    <w:lvl w:ilvl="1" w:tplc="882A146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44083"/>
    <w:multiLevelType w:val="hybridMultilevel"/>
    <w:tmpl w:val="C216466A"/>
    <w:lvl w:ilvl="0" w:tplc="A5D42F8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EF568D"/>
    <w:multiLevelType w:val="hybridMultilevel"/>
    <w:tmpl w:val="8612BF50"/>
    <w:lvl w:ilvl="0" w:tplc="5B262E74">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8374BC"/>
    <w:multiLevelType w:val="multilevel"/>
    <w:tmpl w:val="48C883CC"/>
    <w:lvl w:ilvl="0">
      <w:start w:val="3060"/>
      <w:numFmt w:val="decimal"/>
      <w:lvlText w:val="%1"/>
      <w:lvlJc w:val="left"/>
      <w:pPr>
        <w:tabs>
          <w:tab w:val="num" w:pos="7095"/>
        </w:tabs>
        <w:ind w:left="7095" w:hanging="7095"/>
      </w:pPr>
      <w:rPr>
        <w:rFonts w:hint="default"/>
      </w:rPr>
    </w:lvl>
    <w:lvl w:ilvl="1">
      <w:start w:val="717"/>
      <w:numFmt w:val="decimalZero"/>
      <w:lvlText w:val="%1-%2"/>
      <w:lvlJc w:val="left"/>
      <w:pPr>
        <w:tabs>
          <w:tab w:val="num" w:pos="7725"/>
        </w:tabs>
        <w:ind w:left="7725" w:hanging="7095"/>
      </w:pPr>
      <w:rPr>
        <w:rFonts w:hint="default"/>
      </w:rPr>
    </w:lvl>
    <w:lvl w:ilvl="2">
      <w:start w:val="1"/>
      <w:numFmt w:val="decimal"/>
      <w:lvlText w:val="%1-%2.%3"/>
      <w:lvlJc w:val="left"/>
      <w:pPr>
        <w:tabs>
          <w:tab w:val="num" w:pos="7095"/>
        </w:tabs>
        <w:ind w:left="7095" w:hanging="7095"/>
      </w:pPr>
      <w:rPr>
        <w:rFonts w:hint="default"/>
      </w:rPr>
    </w:lvl>
    <w:lvl w:ilvl="3">
      <w:start w:val="1"/>
      <w:numFmt w:val="decimal"/>
      <w:lvlText w:val="%1-%2.%3.%4"/>
      <w:lvlJc w:val="left"/>
      <w:pPr>
        <w:tabs>
          <w:tab w:val="num" w:pos="7095"/>
        </w:tabs>
        <w:ind w:left="7095" w:hanging="7095"/>
      </w:pPr>
      <w:rPr>
        <w:rFonts w:hint="default"/>
      </w:rPr>
    </w:lvl>
    <w:lvl w:ilvl="4">
      <w:start w:val="1"/>
      <w:numFmt w:val="decimal"/>
      <w:lvlText w:val="%1-%2.%3.%4.%5"/>
      <w:lvlJc w:val="left"/>
      <w:pPr>
        <w:tabs>
          <w:tab w:val="num" w:pos="7095"/>
        </w:tabs>
        <w:ind w:left="7095" w:hanging="7095"/>
      </w:pPr>
      <w:rPr>
        <w:rFonts w:hint="default"/>
      </w:rPr>
    </w:lvl>
    <w:lvl w:ilvl="5">
      <w:start w:val="1"/>
      <w:numFmt w:val="decimal"/>
      <w:lvlText w:val="%1-%2.%3.%4.%5.%6"/>
      <w:lvlJc w:val="left"/>
      <w:pPr>
        <w:tabs>
          <w:tab w:val="num" w:pos="7095"/>
        </w:tabs>
        <w:ind w:left="7095" w:hanging="7095"/>
      </w:pPr>
      <w:rPr>
        <w:rFonts w:hint="default"/>
      </w:rPr>
    </w:lvl>
    <w:lvl w:ilvl="6">
      <w:start w:val="1"/>
      <w:numFmt w:val="decimal"/>
      <w:lvlText w:val="%1-%2.%3.%4.%5.%6.%7"/>
      <w:lvlJc w:val="left"/>
      <w:pPr>
        <w:tabs>
          <w:tab w:val="num" w:pos="7095"/>
        </w:tabs>
        <w:ind w:left="7095" w:hanging="7095"/>
      </w:pPr>
      <w:rPr>
        <w:rFonts w:hint="default"/>
      </w:rPr>
    </w:lvl>
    <w:lvl w:ilvl="7">
      <w:start w:val="1"/>
      <w:numFmt w:val="decimal"/>
      <w:lvlText w:val="%1-%2.%3.%4.%5.%6.%7.%8"/>
      <w:lvlJc w:val="left"/>
      <w:pPr>
        <w:tabs>
          <w:tab w:val="num" w:pos="7095"/>
        </w:tabs>
        <w:ind w:left="7095" w:hanging="7095"/>
      </w:pPr>
      <w:rPr>
        <w:rFonts w:hint="default"/>
      </w:rPr>
    </w:lvl>
    <w:lvl w:ilvl="8">
      <w:start w:val="1"/>
      <w:numFmt w:val="decimal"/>
      <w:lvlText w:val="%1-%2.%3.%4.%5.%6.%7.%8.%9"/>
      <w:lvlJc w:val="left"/>
      <w:pPr>
        <w:tabs>
          <w:tab w:val="num" w:pos="7095"/>
        </w:tabs>
        <w:ind w:left="7095" w:hanging="7095"/>
      </w:pPr>
      <w:rPr>
        <w:rFonts w:hint="default"/>
      </w:rPr>
    </w:lvl>
  </w:abstractNum>
  <w:abstractNum w:abstractNumId="5" w15:restartNumberingAfterBreak="0">
    <w:nsid w:val="175A12C3"/>
    <w:multiLevelType w:val="hybridMultilevel"/>
    <w:tmpl w:val="42B8FA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51D7F"/>
    <w:multiLevelType w:val="hybridMultilevel"/>
    <w:tmpl w:val="14AC5EC8"/>
    <w:lvl w:ilvl="0" w:tplc="42C00A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A70579"/>
    <w:multiLevelType w:val="hybridMultilevel"/>
    <w:tmpl w:val="20EE97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962D77"/>
    <w:multiLevelType w:val="multilevel"/>
    <w:tmpl w:val="6A72FE8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690"/>
        </w:tabs>
        <w:ind w:left="690" w:hanging="4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CF2752"/>
    <w:multiLevelType w:val="hybridMultilevel"/>
    <w:tmpl w:val="0048024E"/>
    <w:lvl w:ilvl="0" w:tplc="84F079E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8749D3"/>
    <w:multiLevelType w:val="hybridMultilevel"/>
    <w:tmpl w:val="1DCA1690"/>
    <w:lvl w:ilvl="0" w:tplc="1474EE64">
      <w:start w:val="9"/>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ED4B3B"/>
    <w:multiLevelType w:val="hybridMultilevel"/>
    <w:tmpl w:val="6A72FE8E"/>
    <w:lvl w:ilvl="0" w:tplc="3EF812C4">
      <w:start w:val="1"/>
      <w:numFmt w:val="decimal"/>
      <w:lvlText w:val="%1."/>
      <w:lvlJc w:val="left"/>
      <w:pPr>
        <w:tabs>
          <w:tab w:val="num" w:pos="1080"/>
        </w:tabs>
        <w:ind w:left="1080" w:hanging="720"/>
      </w:pPr>
      <w:rPr>
        <w:rFonts w:hint="default"/>
      </w:rPr>
    </w:lvl>
    <w:lvl w:ilvl="1" w:tplc="317261C0">
      <w:start w:val="1"/>
      <w:numFmt w:val="decimal"/>
      <w:lvlText w:val="(%2)"/>
      <w:lvlJc w:val="left"/>
      <w:pPr>
        <w:tabs>
          <w:tab w:val="num" w:pos="690"/>
        </w:tabs>
        <w:ind w:left="690" w:hanging="420"/>
      </w:pPr>
      <w:rPr>
        <w:rFonts w:hint="default"/>
      </w:rPr>
    </w:lvl>
    <w:lvl w:ilvl="2" w:tplc="0409001B">
      <w:start w:val="1"/>
      <w:numFmt w:val="lowerRoman"/>
      <w:lvlText w:val="%3."/>
      <w:lvlJc w:val="right"/>
      <w:pPr>
        <w:tabs>
          <w:tab w:val="num" w:pos="2160"/>
        </w:tabs>
        <w:ind w:left="2160" w:hanging="180"/>
      </w:pPr>
    </w:lvl>
    <w:lvl w:ilvl="3" w:tplc="2A183D0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B3362"/>
    <w:multiLevelType w:val="hybridMultilevel"/>
    <w:tmpl w:val="3AC4C5E4"/>
    <w:lvl w:ilvl="0" w:tplc="36C2F9F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75D211D"/>
    <w:multiLevelType w:val="hybridMultilevel"/>
    <w:tmpl w:val="B1E2E1F2"/>
    <w:lvl w:ilvl="0" w:tplc="BA5254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42F7E9A"/>
    <w:multiLevelType w:val="hybridMultilevel"/>
    <w:tmpl w:val="E3D4D7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6112E9"/>
    <w:multiLevelType w:val="hybridMultilevel"/>
    <w:tmpl w:val="D792A642"/>
    <w:lvl w:ilvl="0" w:tplc="55422C96">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2A43D0"/>
    <w:multiLevelType w:val="multilevel"/>
    <w:tmpl w:val="749C236C"/>
    <w:lvl w:ilvl="0">
      <w:start w:val="3060"/>
      <w:numFmt w:val="decimal"/>
      <w:lvlText w:val="%1"/>
      <w:lvlJc w:val="left"/>
      <w:pPr>
        <w:tabs>
          <w:tab w:val="num" w:pos="1035"/>
        </w:tabs>
        <w:ind w:left="1035" w:hanging="1035"/>
      </w:pPr>
      <w:rPr>
        <w:rFonts w:hint="default"/>
      </w:rPr>
    </w:lvl>
    <w:lvl w:ilvl="1">
      <w:start w:val="71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F6086"/>
    <w:multiLevelType w:val="hybridMultilevel"/>
    <w:tmpl w:val="4EE28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A5382F"/>
    <w:multiLevelType w:val="hybridMultilevel"/>
    <w:tmpl w:val="146A9B92"/>
    <w:lvl w:ilvl="0" w:tplc="80D4D3F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673A70"/>
    <w:multiLevelType w:val="hybridMultilevel"/>
    <w:tmpl w:val="173CE15A"/>
    <w:lvl w:ilvl="0" w:tplc="7808641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59C77A8"/>
    <w:multiLevelType w:val="hybridMultilevel"/>
    <w:tmpl w:val="603446B6"/>
    <w:lvl w:ilvl="0" w:tplc="04B2A4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002DCE"/>
    <w:multiLevelType w:val="hybridMultilevel"/>
    <w:tmpl w:val="6A409B18"/>
    <w:lvl w:ilvl="0" w:tplc="AF0620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BB62DBB"/>
    <w:multiLevelType w:val="hybridMultilevel"/>
    <w:tmpl w:val="32D8EC22"/>
    <w:lvl w:ilvl="0" w:tplc="4FC0EBD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FD11A60"/>
    <w:multiLevelType w:val="multilevel"/>
    <w:tmpl w:val="6A72FE8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690"/>
        </w:tabs>
        <w:ind w:left="690" w:hanging="4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2D71EE6"/>
    <w:multiLevelType w:val="hybridMultilevel"/>
    <w:tmpl w:val="F244B3A6"/>
    <w:lvl w:ilvl="0" w:tplc="04090019">
      <w:start w:val="1"/>
      <w:numFmt w:val="lowerLetter"/>
      <w:lvlText w:val="%1."/>
      <w:lvlJc w:val="left"/>
      <w:pPr>
        <w:tabs>
          <w:tab w:val="num" w:pos="720"/>
        </w:tabs>
        <w:ind w:left="720" w:hanging="360"/>
      </w:pPr>
      <w:rPr>
        <w:rFonts w:hint="default"/>
      </w:rPr>
    </w:lvl>
    <w:lvl w:ilvl="1" w:tplc="7568B3B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CB18E3"/>
    <w:multiLevelType w:val="hybridMultilevel"/>
    <w:tmpl w:val="F9CEFC90"/>
    <w:lvl w:ilvl="0" w:tplc="52E0ABA2">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A853061"/>
    <w:multiLevelType w:val="hybridMultilevel"/>
    <w:tmpl w:val="2E46AD98"/>
    <w:lvl w:ilvl="0" w:tplc="EAF087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C5D777B"/>
    <w:multiLevelType w:val="hybridMultilevel"/>
    <w:tmpl w:val="FD22BB20"/>
    <w:lvl w:ilvl="0" w:tplc="4E64B6B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437904"/>
    <w:multiLevelType w:val="hybridMultilevel"/>
    <w:tmpl w:val="060C63E8"/>
    <w:lvl w:ilvl="0" w:tplc="FB76AA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993CE6"/>
    <w:multiLevelType w:val="hybridMultilevel"/>
    <w:tmpl w:val="116EE596"/>
    <w:lvl w:ilvl="0" w:tplc="6DF6E27A">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764787B"/>
    <w:multiLevelType w:val="hybridMultilevel"/>
    <w:tmpl w:val="5DCE0F2C"/>
    <w:lvl w:ilvl="0" w:tplc="A5C030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807777B"/>
    <w:multiLevelType w:val="hybridMultilevel"/>
    <w:tmpl w:val="1164A168"/>
    <w:lvl w:ilvl="0" w:tplc="F442513E">
      <w:start w:val="4"/>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AB5D71"/>
    <w:multiLevelType w:val="hybridMultilevel"/>
    <w:tmpl w:val="69EC19D2"/>
    <w:lvl w:ilvl="0" w:tplc="AB0683EC">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EC22EDA"/>
    <w:multiLevelType w:val="hybridMultilevel"/>
    <w:tmpl w:val="97A07C8C"/>
    <w:lvl w:ilvl="0" w:tplc="338CEB12">
      <w:start w:val="4"/>
      <w:numFmt w:val="lowerRoman"/>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4"/>
  </w:num>
  <w:num w:numId="2">
    <w:abstractNumId w:val="16"/>
  </w:num>
  <w:num w:numId="3">
    <w:abstractNumId w:val="11"/>
  </w:num>
  <w:num w:numId="4">
    <w:abstractNumId w:val="20"/>
  </w:num>
  <w:num w:numId="5">
    <w:abstractNumId w:val="27"/>
  </w:num>
  <w:num w:numId="6">
    <w:abstractNumId w:val="24"/>
  </w:num>
  <w:num w:numId="7">
    <w:abstractNumId w:val="5"/>
  </w:num>
  <w:num w:numId="8">
    <w:abstractNumId w:val="7"/>
  </w:num>
  <w:num w:numId="9">
    <w:abstractNumId w:val="17"/>
  </w:num>
  <w:num w:numId="10">
    <w:abstractNumId w:val="14"/>
  </w:num>
  <w:num w:numId="11">
    <w:abstractNumId w:val="28"/>
  </w:num>
  <w:num w:numId="12">
    <w:abstractNumId w:val="0"/>
  </w:num>
  <w:num w:numId="13">
    <w:abstractNumId w:val="1"/>
  </w:num>
  <w:num w:numId="14">
    <w:abstractNumId w:val="31"/>
  </w:num>
  <w:num w:numId="15">
    <w:abstractNumId w:val="18"/>
  </w:num>
  <w:num w:numId="16">
    <w:abstractNumId w:val="26"/>
  </w:num>
  <w:num w:numId="17">
    <w:abstractNumId w:val="10"/>
  </w:num>
  <w:num w:numId="18">
    <w:abstractNumId w:val="15"/>
  </w:num>
  <w:num w:numId="19">
    <w:abstractNumId w:val="2"/>
  </w:num>
  <w:num w:numId="20">
    <w:abstractNumId w:val="3"/>
  </w:num>
  <w:num w:numId="21">
    <w:abstractNumId w:val="30"/>
  </w:num>
  <w:num w:numId="22">
    <w:abstractNumId w:val="33"/>
  </w:num>
  <w:num w:numId="23">
    <w:abstractNumId w:val="32"/>
  </w:num>
  <w:num w:numId="24">
    <w:abstractNumId w:val="29"/>
  </w:num>
  <w:num w:numId="25">
    <w:abstractNumId w:val="21"/>
  </w:num>
  <w:num w:numId="26">
    <w:abstractNumId w:val="12"/>
  </w:num>
  <w:num w:numId="27">
    <w:abstractNumId w:val="9"/>
  </w:num>
  <w:num w:numId="28">
    <w:abstractNumId w:val="25"/>
  </w:num>
  <w:num w:numId="29">
    <w:abstractNumId w:val="6"/>
  </w:num>
  <w:num w:numId="30">
    <w:abstractNumId w:val="19"/>
  </w:num>
  <w:num w:numId="31">
    <w:abstractNumId w:val="13"/>
  </w:num>
  <w:num w:numId="32">
    <w:abstractNumId w:val="22"/>
  </w:num>
  <w:num w:numId="33">
    <w:abstractNumId w:va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380"/>
    <w:rsid w:val="00001F63"/>
    <w:rsid w:val="0000746B"/>
    <w:rsid w:val="000100C9"/>
    <w:rsid w:val="00011030"/>
    <w:rsid w:val="00011BBA"/>
    <w:rsid w:val="000122AD"/>
    <w:rsid w:val="00012B22"/>
    <w:rsid w:val="000139DE"/>
    <w:rsid w:val="00013EC4"/>
    <w:rsid w:val="000149B8"/>
    <w:rsid w:val="000172ED"/>
    <w:rsid w:val="00021C9A"/>
    <w:rsid w:val="000237EA"/>
    <w:rsid w:val="0002669F"/>
    <w:rsid w:val="00027DA3"/>
    <w:rsid w:val="000307B1"/>
    <w:rsid w:val="00033225"/>
    <w:rsid w:val="000355C7"/>
    <w:rsid w:val="00036998"/>
    <w:rsid w:val="000407A7"/>
    <w:rsid w:val="00040954"/>
    <w:rsid w:val="00041E99"/>
    <w:rsid w:val="00043894"/>
    <w:rsid w:val="00043AF7"/>
    <w:rsid w:val="00043C3D"/>
    <w:rsid w:val="00043DE6"/>
    <w:rsid w:val="00044116"/>
    <w:rsid w:val="00044361"/>
    <w:rsid w:val="0004536A"/>
    <w:rsid w:val="00045771"/>
    <w:rsid w:val="00047C76"/>
    <w:rsid w:val="0005011D"/>
    <w:rsid w:val="00051515"/>
    <w:rsid w:val="00054B02"/>
    <w:rsid w:val="00061F18"/>
    <w:rsid w:val="0006484D"/>
    <w:rsid w:val="00066810"/>
    <w:rsid w:val="00067A2F"/>
    <w:rsid w:val="00071CFE"/>
    <w:rsid w:val="0007293B"/>
    <w:rsid w:val="00072D02"/>
    <w:rsid w:val="000743D1"/>
    <w:rsid w:val="000801BC"/>
    <w:rsid w:val="0008136D"/>
    <w:rsid w:val="0008245E"/>
    <w:rsid w:val="00087001"/>
    <w:rsid w:val="000977ED"/>
    <w:rsid w:val="000A0FA6"/>
    <w:rsid w:val="000A1179"/>
    <w:rsid w:val="000A27D4"/>
    <w:rsid w:val="000A3448"/>
    <w:rsid w:val="000A7124"/>
    <w:rsid w:val="000B1B52"/>
    <w:rsid w:val="000B3CDD"/>
    <w:rsid w:val="000B411C"/>
    <w:rsid w:val="000B6C19"/>
    <w:rsid w:val="000B7873"/>
    <w:rsid w:val="000C00B8"/>
    <w:rsid w:val="000C0866"/>
    <w:rsid w:val="000C08FD"/>
    <w:rsid w:val="000C41E6"/>
    <w:rsid w:val="000C74F0"/>
    <w:rsid w:val="000D3351"/>
    <w:rsid w:val="000D3592"/>
    <w:rsid w:val="000D3690"/>
    <w:rsid w:val="000D64CC"/>
    <w:rsid w:val="000D6677"/>
    <w:rsid w:val="000E1644"/>
    <w:rsid w:val="000E2B21"/>
    <w:rsid w:val="000E5461"/>
    <w:rsid w:val="000E5B4D"/>
    <w:rsid w:val="000E628C"/>
    <w:rsid w:val="000F00BB"/>
    <w:rsid w:val="000F04B9"/>
    <w:rsid w:val="000F0617"/>
    <w:rsid w:val="000F115F"/>
    <w:rsid w:val="000F20D9"/>
    <w:rsid w:val="000F313D"/>
    <w:rsid w:val="000F3E46"/>
    <w:rsid w:val="000F4557"/>
    <w:rsid w:val="000F51E1"/>
    <w:rsid w:val="000F5690"/>
    <w:rsid w:val="000F5DD5"/>
    <w:rsid w:val="00102331"/>
    <w:rsid w:val="00105D12"/>
    <w:rsid w:val="001077FF"/>
    <w:rsid w:val="0011011E"/>
    <w:rsid w:val="00111E88"/>
    <w:rsid w:val="00121F35"/>
    <w:rsid w:val="00123611"/>
    <w:rsid w:val="001236D0"/>
    <w:rsid w:val="00125136"/>
    <w:rsid w:val="0012615D"/>
    <w:rsid w:val="00126D2D"/>
    <w:rsid w:val="00127362"/>
    <w:rsid w:val="00127835"/>
    <w:rsid w:val="001320ED"/>
    <w:rsid w:val="00132552"/>
    <w:rsid w:val="001349FF"/>
    <w:rsid w:val="00135317"/>
    <w:rsid w:val="00135DE6"/>
    <w:rsid w:val="00135F22"/>
    <w:rsid w:val="001404A1"/>
    <w:rsid w:val="00140F51"/>
    <w:rsid w:val="001411D4"/>
    <w:rsid w:val="001414CE"/>
    <w:rsid w:val="00141C04"/>
    <w:rsid w:val="0014207D"/>
    <w:rsid w:val="001449E5"/>
    <w:rsid w:val="001458B0"/>
    <w:rsid w:val="001466B4"/>
    <w:rsid w:val="00147D72"/>
    <w:rsid w:val="00147E6D"/>
    <w:rsid w:val="00151FDB"/>
    <w:rsid w:val="0015313E"/>
    <w:rsid w:val="00153822"/>
    <w:rsid w:val="00153D62"/>
    <w:rsid w:val="00156ABD"/>
    <w:rsid w:val="00157C76"/>
    <w:rsid w:val="0016074F"/>
    <w:rsid w:val="001660B8"/>
    <w:rsid w:val="001717C1"/>
    <w:rsid w:val="0017660B"/>
    <w:rsid w:val="00180FF6"/>
    <w:rsid w:val="00181FE3"/>
    <w:rsid w:val="0018503B"/>
    <w:rsid w:val="0018695E"/>
    <w:rsid w:val="00187201"/>
    <w:rsid w:val="00187D72"/>
    <w:rsid w:val="00187E4F"/>
    <w:rsid w:val="00190AB9"/>
    <w:rsid w:val="00192465"/>
    <w:rsid w:val="00194BCB"/>
    <w:rsid w:val="0019506D"/>
    <w:rsid w:val="0019725D"/>
    <w:rsid w:val="001978E6"/>
    <w:rsid w:val="00197DBD"/>
    <w:rsid w:val="001A0B6B"/>
    <w:rsid w:val="001A206E"/>
    <w:rsid w:val="001A41DA"/>
    <w:rsid w:val="001A5225"/>
    <w:rsid w:val="001A572D"/>
    <w:rsid w:val="001A5EDB"/>
    <w:rsid w:val="001B1B4B"/>
    <w:rsid w:val="001B3AB9"/>
    <w:rsid w:val="001B4716"/>
    <w:rsid w:val="001B6A8C"/>
    <w:rsid w:val="001B735C"/>
    <w:rsid w:val="001C1754"/>
    <w:rsid w:val="001C3180"/>
    <w:rsid w:val="001C4E03"/>
    <w:rsid w:val="001C5C72"/>
    <w:rsid w:val="001C7EA2"/>
    <w:rsid w:val="001D0C93"/>
    <w:rsid w:val="001D1F1B"/>
    <w:rsid w:val="001D26B4"/>
    <w:rsid w:val="001D48A0"/>
    <w:rsid w:val="001D7CE2"/>
    <w:rsid w:val="001E09C3"/>
    <w:rsid w:val="001E2EE3"/>
    <w:rsid w:val="001E3040"/>
    <w:rsid w:val="001E6B8F"/>
    <w:rsid w:val="001F0467"/>
    <w:rsid w:val="001F0671"/>
    <w:rsid w:val="001F0ED3"/>
    <w:rsid w:val="001F243D"/>
    <w:rsid w:val="001F390B"/>
    <w:rsid w:val="001F4811"/>
    <w:rsid w:val="001F4A63"/>
    <w:rsid w:val="001F54B2"/>
    <w:rsid w:val="001F7D08"/>
    <w:rsid w:val="00200116"/>
    <w:rsid w:val="00200CC7"/>
    <w:rsid w:val="0020131E"/>
    <w:rsid w:val="00201A9E"/>
    <w:rsid w:val="00202478"/>
    <w:rsid w:val="00203E50"/>
    <w:rsid w:val="00204C44"/>
    <w:rsid w:val="00204EC8"/>
    <w:rsid w:val="00205A8F"/>
    <w:rsid w:val="002079E1"/>
    <w:rsid w:val="00210EB4"/>
    <w:rsid w:val="00211A61"/>
    <w:rsid w:val="0021379C"/>
    <w:rsid w:val="00214959"/>
    <w:rsid w:val="00215EA7"/>
    <w:rsid w:val="00216350"/>
    <w:rsid w:val="00221A84"/>
    <w:rsid w:val="00224FFA"/>
    <w:rsid w:val="00226553"/>
    <w:rsid w:val="002306A0"/>
    <w:rsid w:val="00231EBB"/>
    <w:rsid w:val="002333DC"/>
    <w:rsid w:val="002344E1"/>
    <w:rsid w:val="00234687"/>
    <w:rsid w:val="0023568B"/>
    <w:rsid w:val="00235FD9"/>
    <w:rsid w:val="00236E7C"/>
    <w:rsid w:val="00241AE4"/>
    <w:rsid w:val="0024411B"/>
    <w:rsid w:val="00244938"/>
    <w:rsid w:val="0025222D"/>
    <w:rsid w:val="0025263C"/>
    <w:rsid w:val="00253B26"/>
    <w:rsid w:val="002540CF"/>
    <w:rsid w:val="002548B9"/>
    <w:rsid w:val="002549E1"/>
    <w:rsid w:val="002566DA"/>
    <w:rsid w:val="002600E6"/>
    <w:rsid w:val="00260AC0"/>
    <w:rsid w:val="002633CA"/>
    <w:rsid w:val="002634C5"/>
    <w:rsid w:val="002645CB"/>
    <w:rsid w:val="00264A49"/>
    <w:rsid w:val="00265E88"/>
    <w:rsid w:val="00267A3E"/>
    <w:rsid w:val="002716D4"/>
    <w:rsid w:val="00271771"/>
    <w:rsid w:val="00275B22"/>
    <w:rsid w:val="002809FC"/>
    <w:rsid w:val="002854B5"/>
    <w:rsid w:val="002855D5"/>
    <w:rsid w:val="002855F4"/>
    <w:rsid w:val="00285F13"/>
    <w:rsid w:val="0028673D"/>
    <w:rsid w:val="0029542A"/>
    <w:rsid w:val="002A036A"/>
    <w:rsid w:val="002A0630"/>
    <w:rsid w:val="002A12E9"/>
    <w:rsid w:val="002A1D1A"/>
    <w:rsid w:val="002A2B29"/>
    <w:rsid w:val="002A3D7F"/>
    <w:rsid w:val="002A5392"/>
    <w:rsid w:val="002B1B7B"/>
    <w:rsid w:val="002B2CDF"/>
    <w:rsid w:val="002B5732"/>
    <w:rsid w:val="002B5F9B"/>
    <w:rsid w:val="002B7FA6"/>
    <w:rsid w:val="002C1355"/>
    <w:rsid w:val="002C2CB8"/>
    <w:rsid w:val="002C2CC5"/>
    <w:rsid w:val="002C4608"/>
    <w:rsid w:val="002C576C"/>
    <w:rsid w:val="002C72B7"/>
    <w:rsid w:val="002D03B5"/>
    <w:rsid w:val="002D18EC"/>
    <w:rsid w:val="002D32D7"/>
    <w:rsid w:val="002D4B2A"/>
    <w:rsid w:val="002D63E3"/>
    <w:rsid w:val="002D763A"/>
    <w:rsid w:val="002E020A"/>
    <w:rsid w:val="002E1ED6"/>
    <w:rsid w:val="002E2347"/>
    <w:rsid w:val="002E34A1"/>
    <w:rsid w:val="002E4632"/>
    <w:rsid w:val="002E55F4"/>
    <w:rsid w:val="002E599A"/>
    <w:rsid w:val="002E5FA4"/>
    <w:rsid w:val="002F13B1"/>
    <w:rsid w:val="002F14DB"/>
    <w:rsid w:val="002F37BE"/>
    <w:rsid w:val="00300963"/>
    <w:rsid w:val="00304E74"/>
    <w:rsid w:val="00304F9E"/>
    <w:rsid w:val="00305694"/>
    <w:rsid w:val="0030664D"/>
    <w:rsid w:val="00312FF1"/>
    <w:rsid w:val="003148D7"/>
    <w:rsid w:val="00314BB4"/>
    <w:rsid w:val="0031608A"/>
    <w:rsid w:val="00316BA1"/>
    <w:rsid w:val="003171C7"/>
    <w:rsid w:val="00317D97"/>
    <w:rsid w:val="0032346C"/>
    <w:rsid w:val="00324194"/>
    <w:rsid w:val="00324DF6"/>
    <w:rsid w:val="0032599B"/>
    <w:rsid w:val="00326730"/>
    <w:rsid w:val="00327013"/>
    <w:rsid w:val="00327F49"/>
    <w:rsid w:val="0033249D"/>
    <w:rsid w:val="00335269"/>
    <w:rsid w:val="0033670D"/>
    <w:rsid w:val="0034057F"/>
    <w:rsid w:val="00342082"/>
    <w:rsid w:val="00342496"/>
    <w:rsid w:val="0034278D"/>
    <w:rsid w:val="003437C2"/>
    <w:rsid w:val="00343EDD"/>
    <w:rsid w:val="0035111B"/>
    <w:rsid w:val="00351CA6"/>
    <w:rsid w:val="003534B7"/>
    <w:rsid w:val="00354335"/>
    <w:rsid w:val="00354F9F"/>
    <w:rsid w:val="0035597E"/>
    <w:rsid w:val="00356384"/>
    <w:rsid w:val="00356CD9"/>
    <w:rsid w:val="00357D92"/>
    <w:rsid w:val="00362641"/>
    <w:rsid w:val="00362918"/>
    <w:rsid w:val="0036474F"/>
    <w:rsid w:val="00365694"/>
    <w:rsid w:val="0037298A"/>
    <w:rsid w:val="0037452A"/>
    <w:rsid w:val="00374EA3"/>
    <w:rsid w:val="00375E64"/>
    <w:rsid w:val="00376A2E"/>
    <w:rsid w:val="003771AF"/>
    <w:rsid w:val="003848FD"/>
    <w:rsid w:val="00385F73"/>
    <w:rsid w:val="003863F5"/>
    <w:rsid w:val="003874C9"/>
    <w:rsid w:val="00387D21"/>
    <w:rsid w:val="00393D0E"/>
    <w:rsid w:val="00395F0C"/>
    <w:rsid w:val="00396516"/>
    <w:rsid w:val="003A0122"/>
    <w:rsid w:val="003A08AF"/>
    <w:rsid w:val="003A14B8"/>
    <w:rsid w:val="003A1561"/>
    <w:rsid w:val="003A1D36"/>
    <w:rsid w:val="003A3548"/>
    <w:rsid w:val="003A762F"/>
    <w:rsid w:val="003A7B4E"/>
    <w:rsid w:val="003A7FD1"/>
    <w:rsid w:val="003B4FC4"/>
    <w:rsid w:val="003C0B0F"/>
    <w:rsid w:val="003C224A"/>
    <w:rsid w:val="003C46A6"/>
    <w:rsid w:val="003C621A"/>
    <w:rsid w:val="003C76DB"/>
    <w:rsid w:val="003D1EF3"/>
    <w:rsid w:val="003D4731"/>
    <w:rsid w:val="003D73CB"/>
    <w:rsid w:val="003E015C"/>
    <w:rsid w:val="003E188B"/>
    <w:rsid w:val="003E25FC"/>
    <w:rsid w:val="003E383B"/>
    <w:rsid w:val="003E42CC"/>
    <w:rsid w:val="003E52DD"/>
    <w:rsid w:val="003E627D"/>
    <w:rsid w:val="003E6DAC"/>
    <w:rsid w:val="003F0544"/>
    <w:rsid w:val="003F1578"/>
    <w:rsid w:val="003F18C3"/>
    <w:rsid w:val="003F29AF"/>
    <w:rsid w:val="003F4560"/>
    <w:rsid w:val="003F45F2"/>
    <w:rsid w:val="003F668C"/>
    <w:rsid w:val="003F7BE6"/>
    <w:rsid w:val="00401C07"/>
    <w:rsid w:val="00404952"/>
    <w:rsid w:val="00404B66"/>
    <w:rsid w:val="00413C20"/>
    <w:rsid w:val="00415144"/>
    <w:rsid w:val="004207B0"/>
    <w:rsid w:val="00421A3B"/>
    <w:rsid w:val="004225C1"/>
    <w:rsid w:val="004232FA"/>
    <w:rsid w:val="0042385F"/>
    <w:rsid w:val="00425AF0"/>
    <w:rsid w:val="00430005"/>
    <w:rsid w:val="00430E63"/>
    <w:rsid w:val="004322E5"/>
    <w:rsid w:val="004326B2"/>
    <w:rsid w:val="00434EAA"/>
    <w:rsid w:val="004357FF"/>
    <w:rsid w:val="00436432"/>
    <w:rsid w:val="00441326"/>
    <w:rsid w:val="00441CD2"/>
    <w:rsid w:val="00443732"/>
    <w:rsid w:val="0044449F"/>
    <w:rsid w:val="0044463F"/>
    <w:rsid w:val="00445CEF"/>
    <w:rsid w:val="00446ACB"/>
    <w:rsid w:val="00446C8A"/>
    <w:rsid w:val="004501BA"/>
    <w:rsid w:val="00450AD7"/>
    <w:rsid w:val="00450DDA"/>
    <w:rsid w:val="00453EDE"/>
    <w:rsid w:val="00455117"/>
    <w:rsid w:val="004574AD"/>
    <w:rsid w:val="00460818"/>
    <w:rsid w:val="00463BEF"/>
    <w:rsid w:val="00464092"/>
    <w:rsid w:val="00464AA9"/>
    <w:rsid w:val="00466E81"/>
    <w:rsid w:val="00466FF7"/>
    <w:rsid w:val="0046790D"/>
    <w:rsid w:val="00470971"/>
    <w:rsid w:val="00471EBA"/>
    <w:rsid w:val="00473987"/>
    <w:rsid w:val="00475256"/>
    <w:rsid w:val="004817BF"/>
    <w:rsid w:val="00481BFA"/>
    <w:rsid w:val="0048419E"/>
    <w:rsid w:val="00484D0E"/>
    <w:rsid w:val="0048600B"/>
    <w:rsid w:val="00490479"/>
    <w:rsid w:val="00492AB9"/>
    <w:rsid w:val="00494761"/>
    <w:rsid w:val="00494C2D"/>
    <w:rsid w:val="00496F83"/>
    <w:rsid w:val="004A0967"/>
    <w:rsid w:val="004A2272"/>
    <w:rsid w:val="004A2288"/>
    <w:rsid w:val="004A7606"/>
    <w:rsid w:val="004A7771"/>
    <w:rsid w:val="004A7E3F"/>
    <w:rsid w:val="004B42FE"/>
    <w:rsid w:val="004B43A5"/>
    <w:rsid w:val="004B4D06"/>
    <w:rsid w:val="004B5917"/>
    <w:rsid w:val="004B64C4"/>
    <w:rsid w:val="004B7C16"/>
    <w:rsid w:val="004C1775"/>
    <w:rsid w:val="004C2736"/>
    <w:rsid w:val="004C36E1"/>
    <w:rsid w:val="004C3BF5"/>
    <w:rsid w:val="004C3EC6"/>
    <w:rsid w:val="004C4E28"/>
    <w:rsid w:val="004C4F07"/>
    <w:rsid w:val="004C53F1"/>
    <w:rsid w:val="004C5F31"/>
    <w:rsid w:val="004C76A3"/>
    <w:rsid w:val="004D0C8B"/>
    <w:rsid w:val="004D3596"/>
    <w:rsid w:val="004D3A03"/>
    <w:rsid w:val="004D4A30"/>
    <w:rsid w:val="004D4E3F"/>
    <w:rsid w:val="004D6589"/>
    <w:rsid w:val="004E0DC8"/>
    <w:rsid w:val="004E1611"/>
    <w:rsid w:val="004E293E"/>
    <w:rsid w:val="004E2F53"/>
    <w:rsid w:val="004E3898"/>
    <w:rsid w:val="004E3926"/>
    <w:rsid w:val="004E3D9C"/>
    <w:rsid w:val="004E4926"/>
    <w:rsid w:val="004E59D8"/>
    <w:rsid w:val="004F0E9B"/>
    <w:rsid w:val="004F5CFA"/>
    <w:rsid w:val="004F70BD"/>
    <w:rsid w:val="005008FF"/>
    <w:rsid w:val="005019E3"/>
    <w:rsid w:val="00505795"/>
    <w:rsid w:val="00505926"/>
    <w:rsid w:val="00505F47"/>
    <w:rsid w:val="00507235"/>
    <w:rsid w:val="005155A0"/>
    <w:rsid w:val="005165BC"/>
    <w:rsid w:val="00516DB7"/>
    <w:rsid w:val="00517205"/>
    <w:rsid w:val="00520C27"/>
    <w:rsid w:val="005237BF"/>
    <w:rsid w:val="00524AC1"/>
    <w:rsid w:val="00524DC8"/>
    <w:rsid w:val="00525FDD"/>
    <w:rsid w:val="00526015"/>
    <w:rsid w:val="0052741B"/>
    <w:rsid w:val="00532146"/>
    <w:rsid w:val="00532B1C"/>
    <w:rsid w:val="00533119"/>
    <w:rsid w:val="005336DC"/>
    <w:rsid w:val="00534093"/>
    <w:rsid w:val="00535D8E"/>
    <w:rsid w:val="00536A00"/>
    <w:rsid w:val="00537625"/>
    <w:rsid w:val="00540013"/>
    <w:rsid w:val="00543C40"/>
    <w:rsid w:val="00544018"/>
    <w:rsid w:val="00546A4E"/>
    <w:rsid w:val="00547805"/>
    <w:rsid w:val="00547E85"/>
    <w:rsid w:val="00547E8C"/>
    <w:rsid w:val="005504AD"/>
    <w:rsid w:val="0055204C"/>
    <w:rsid w:val="00553B01"/>
    <w:rsid w:val="00553D02"/>
    <w:rsid w:val="005557D5"/>
    <w:rsid w:val="005603EB"/>
    <w:rsid w:val="00560F7E"/>
    <w:rsid w:val="00563784"/>
    <w:rsid w:val="0056448F"/>
    <w:rsid w:val="00564FCF"/>
    <w:rsid w:val="00565E06"/>
    <w:rsid w:val="00567F10"/>
    <w:rsid w:val="00571325"/>
    <w:rsid w:val="00571942"/>
    <w:rsid w:val="005827D2"/>
    <w:rsid w:val="0058340B"/>
    <w:rsid w:val="005850A4"/>
    <w:rsid w:val="00585D39"/>
    <w:rsid w:val="005864EC"/>
    <w:rsid w:val="0058788E"/>
    <w:rsid w:val="0059045D"/>
    <w:rsid w:val="00591311"/>
    <w:rsid w:val="00591819"/>
    <w:rsid w:val="00593240"/>
    <w:rsid w:val="005960FE"/>
    <w:rsid w:val="005966C4"/>
    <w:rsid w:val="005A057B"/>
    <w:rsid w:val="005A1BC2"/>
    <w:rsid w:val="005A6526"/>
    <w:rsid w:val="005A72A4"/>
    <w:rsid w:val="005B0A98"/>
    <w:rsid w:val="005B1B83"/>
    <w:rsid w:val="005B4715"/>
    <w:rsid w:val="005B55E8"/>
    <w:rsid w:val="005C0BAB"/>
    <w:rsid w:val="005C124C"/>
    <w:rsid w:val="005C12D3"/>
    <w:rsid w:val="005C183E"/>
    <w:rsid w:val="005C197A"/>
    <w:rsid w:val="005C28C1"/>
    <w:rsid w:val="005C42DB"/>
    <w:rsid w:val="005D06D8"/>
    <w:rsid w:val="005D0BA2"/>
    <w:rsid w:val="005D28AE"/>
    <w:rsid w:val="005D4BA7"/>
    <w:rsid w:val="005D4EEC"/>
    <w:rsid w:val="005D76A5"/>
    <w:rsid w:val="005E0E65"/>
    <w:rsid w:val="005E4088"/>
    <w:rsid w:val="005F4193"/>
    <w:rsid w:val="005F4CAA"/>
    <w:rsid w:val="005F5A5E"/>
    <w:rsid w:val="005F6D3C"/>
    <w:rsid w:val="005F77D1"/>
    <w:rsid w:val="00601738"/>
    <w:rsid w:val="00603875"/>
    <w:rsid w:val="0060413F"/>
    <w:rsid w:val="00604867"/>
    <w:rsid w:val="006048B8"/>
    <w:rsid w:val="0060741F"/>
    <w:rsid w:val="00610AEB"/>
    <w:rsid w:val="006152FC"/>
    <w:rsid w:val="0061536B"/>
    <w:rsid w:val="006154AF"/>
    <w:rsid w:val="006222D2"/>
    <w:rsid w:val="0062486B"/>
    <w:rsid w:val="006269E9"/>
    <w:rsid w:val="006278CE"/>
    <w:rsid w:val="00627D9C"/>
    <w:rsid w:val="00634066"/>
    <w:rsid w:val="00635640"/>
    <w:rsid w:val="006370A5"/>
    <w:rsid w:val="00640501"/>
    <w:rsid w:val="006408CF"/>
    <w:rsid w:val="0064221E"/>
    <w:rsid w:val="00642FD6"/>
    <w:rsid w:val="006433CF"/>
    <w:rsid w:val="00647A2C"/>
    <w:rsid w:val="00651332"/>
    <w:rsid w:val="00651F36"/>
    <w:rsid w:val="00652218"/>
    <w:rsid w:val="00652BEC"/>
    <w:rsid w:val="00656659"/>
    <w:rsid w:val="0065757F"/>
    <w:rsid w:val="006612CA"/>
    <w:rsid w:val="00662A32"/>
    <w:rsid w:val="00662C7A"/>
    <w:rsid w:val="00665912"/>
    <w:rsid w:val="00665C22"/>
    <w:rsid w:val="00666893"/>
    <w:rsid w:val="00666D22"/>
    <w:rsid w:val="00670130"/>
    <w:rsid w:val="0067148E"/>
    <w:rsid w:val="00672EAD"/>
    <w:rsid w:val="00674055"/>
    <w:rsid w:val="00674EFD"/>
    <w:rsid w:val="00676969"/>
    <w:rsid w:val="006776DC"/>
    <w:rsid w:val="00677A12"/>
    <w:rsid w:val="00681829"/>
    <w:rsid w:val="00682439"/>
    <w:rsid w:val="00682539"/>
    <w:rsid w:val="0069000F"/>
    <w:rsid w:val="006960DD"/>
    <w:rsid w:val="0069661C"/>
    <w:rsid w:val="006974D4"/>
    <w:rsid w:val="006A0EB3"/>
    <w:rsid w:val="006A22AB"/>
    <w:rsid w:val="006A65B7"/>
    <w:rsid w:val="006B00D4"/>
    <w:rsid w:val="006B0846"/>
    <w:rsid w:val="006B0CC7"/>
    <w:rsid w:val="006B4DAA"/>
    <w:rsid w:val="006B5D76"/>
    <w:rsid w:val="006B6DB5"/>
    <w:rsid w:val="006C1FD7"/>
    <w:rsid w:val="006C2067"/>
    <w:rsid w:val="006C7D66"/>
    <w:rsid w:val="006C7E50"/>
    <w:rsid w:val="006D138C"/>
    <w:rsid w:val="006D2965"/>
    <w:rsid w:val="006D2CC7"/>
    <w:rsid w:val="006D6A67"/>
    <w:rsid w:val="006D7AF1"/>
    <w:rsid w:val="006E0083"/>
    <w:rsid w:val="006E0D78"/>
    <w:rsid w:val="006E1AD1"/>
    <w:rsid w:val="006E1B84"/>
    <w:rsid w:val="006E1C78"/>
    <w:rsid w:val="006E1F67"/>
    <w:rsid w:val="006E4E7A"/>
    <w:rsid w:val="006E6A03"/>
    <w:rsid w:val="006E6CA8"/>
    <w:rsid w:val="006E7B5B"/>
    <w:rsid w:val="006F1FC8"/>
    <w:rsid w:val="006F2174"/>
    <w:rsid w:val="006F2719"/>
    <w:rsid w:val="006F370E"/>
    <w:rsid w:val="006F54CB"/>
    <w:rsid w:val="006F6090"/>
    <w:rsid w:val="00700526"/>
    <w:rsid w:val="007006E6"/>
    <w:rsid w:val="00701A97"/>
    <w:rsid w:val="00702861"/>
    <w:rsid w:val="007050DE"/>
    <w:rsid w:val="007072EE"/>
    <w:rsid w:val="007074E9"/>
    <w:rsid w:val="00707BAA"/>
    <w:rsid w:val="0071088F"/>
    <w:rsid w:val="007158E0"/>
    <w:rsid w:val="00716121"/>
    <w:rsid w:val="007208FF"/>
    <w:rsid w:val="007216F0"/>
    <w:rsid w:val="00721705"/>
    <w:rsid w:val="00721EEE"/>
    <w:rsid w:val="0072227D"/>
    <w:rsid w:val="00723D41"/>
    <w:rsid w:val="0072578A"/>
    <w:rsid w:val="00727B6B"/>
    <w:rsid w:val="00727CEB"/>
    <w:rsid w:val="00730176"/>
    <w:rsid w:val="0073141E"/>
    <w:rsid w:val="007363F6"/>
    <w:rsid w:val="00737070"/>
    <w:rsid w:val="007408C4"/>
    <w:rsid w:val="0074093C"/>
    <w:rsid w:val="00740A34"/>
    <w:rsid w:val="00740C33"/>
    <w:rsid w:val="00741422"/>
    <w:rsid w:val="00744364"/>
    <w:rsid w:val="00744E62"/>
    <w:rsid w:val="0074534E"/>
    <w:rsid w:val="00746FD2"/>
    <w:rsid w:val="00747A9D"/>
    <w:rsid w:val="0075201F"/>
    <w:rsid w:val="0075220B"/>
    <w:rsid w:val="007526C0"/>
    <w:rsid w:val="007544D8"/>
    <w:rsid w:val="0075497F"/>
    <w:rsid w:val="00754FF4"/>
    <w:rsid w:val="00755F95"/>
    <w:rsid w:val="007628CB"/>
    <w:rsid w:val="007629A7"/>
    <w:rsid w:val="0076325B"/>
    <w:rsid w:val="007632ED"/>
    <w:rsid w:val="00765D8F"/>
    <w:rsid w:val="0077005F"/>
    <w:rsid w:val="00771D0D"/>
    <w:rsid w:val="0077243B"/>
    <w:rsid w:val="00772972"/>
    <w:rsid w:val="00773210"/>
    <w:rsid w:val="00775287"/>
    <w:rsid w:val="007773CC"/>
    <w:rsid w:val="0078715A"/>
    <w:rsid w:val="007901EF"/>
    <w:rsid w:val="007964F3"/>
    <w:rsid w:val="00796CAE"/>
    <w:rsid w:val="0079712F"/>
    <w:rsid w:val="007A1D77"/>
    <w:rsid w:val="007A21C3"/>
    <w:rsid w:val="007A2CD1"/>
    <w:rsid w:val="007A3AED"/>
    <w:rsid w:val="007B1E5D"/>
    <w:rsid w:val="007B39FD"/>
    <w:rsid w:val="007B586B"/>
    <w:rsid w:val="007B6FF4"/>
    <w:rsid w:val="007B7F4A"/>
    <w:rsid w:val="007C0151"/>
    <w:rsid w:val="007C0792"/>
    <w:rsid w:val="007C5951"/>
    <w:rsid w:val="007D0133"/>
    <w:rsid w:val="007D1834"/>
    <w:rsid w:val="007D4EC3"/>
    <w:rsid w:val="007D6110"/>
    <w:rsid w:val="007E10EC"/>
    <w:rsid w:val="007E5D1A"/>
    <w:rsid w:val="007E682D"/>
    <w:rsid w:val="007E6B54"/>
    <w:rsid w:val="007E7FE8"/>
    <w:rsid w:val="007F0C2C"/>
    <w:rsid w:val="007F1E36"/>
    <w:rsid w:val="007F258D"/>
    <w:rsid w:val="007F2976"/>
    <w:rsid w:val="007F3D1E"/>
    <w:rsid w:val="007F3ECA"/>
    <w:rsid w:val="007F4B88"/>
    <w:rsid w:val="007F5DA9"/>
    <w:rsid w:val="007F6508"/>
    <w:rsid w:val="007F7299"/>
    <w:rsid w:val="007F7C7A"/>
    <w:rsid w:val="00802FC3"/>
    <w:rsid w:val="0080661E"/>
    <w:rsid w:val="008071E7"/>
    <w:rsid w:val="00812489"/>
    <w:rsid w:val="00820778"/>
    <w:rsid w:val="00824FEB"/>
    <w:rsid w:val="008251AD"/>
    <w:rsid w:val="008263FE"/>
    <w:rsid w:val="00827DE9"/>
    <w:rsid w:val="0083178A"/>
    <w:rsid w:val="00831A0A"/>
    <w:rsid w:val="008349AC"/>
    <w:rsid w:val="0083696D"/>
    <w:rsid w:val="00837474"/>
    <w:rsid w:val="00840B2E"/>
    <w:rsid w:val="0084485B"/>
    <w:rsid w:val="00846EBC"/>
    <w:rsid w:val="008478D7"/>
    <w:rsid w:val="00850555"/>
    <w:rsid w:val="00851E47"/>
    <w:rsid w:val="00852FCC"/>
    <w:rsid w:val="00854DC3"/>
    <w:rsid w:val="008557E7"/>
    <w:rsid w:val="00855EA0"/>
    <w:rsid w:val="00860E67"/>
    <w:rsid w:val="00861610"/>
    <w:rsid w:val="008623A2"/>
    <w:rsid w:val="00863F60"/>
    <w:rsid w:val="00866709"/>
    <w:rsid w:val="00870BD6"/>
    <w:rsid w:val="0087160F"/>
    <w:rsid w:val="00872D46"/>
    <w:rsid w:val="00874DE1"/>
    <w:rsid w:val="0087624D"/>
    <w:rsid w:val="00877004"/>
    <w:rsid w:val="00882778"/>
    <w:rsid w:val="008832A0"/>
    <w:rsid w:val="008849E0"/>
    <w:rsid w:val="0088613D"/>
    <w:rsid w:val="00886D9D"/>
    <w:rsid w:val="00886E60"/>
    <w:rsid w:val="00887594"/>
    <w:rsid w:val="00894268"/>
    <w:rsid w:val="00894C55"/>
    <w:rsid w:val="00895FB8"/>
    <w:rsid w:val="008969FD"/>
    <w:rsid w:val="008A0805"/>
    <w:rsid w:val="008A1488"/>
    <w:rsid w:val="008A4533"/>
    <w:rsid w:val="008A7852"/>
    <w:rsid w:val="008B39BC"/>
    <w:rsid w:val="008B3EC8"/>
    <w:rsid w:val="008B55E4"/>
    <w:rsid w:val="008B7ABA"/>
    <w:rsid w:val="008C2D81"/>
    <w:rsid w:val="008C5460"/>
    <w:rsid w:val="008C6C4A"/>
    <w:rsid w:val="008C77A8"/>
    <w:rsid w:val="008D0118"/>
    <w:rsid w:val="008D2597"/>
    <w:rsid w:val="008D2C49"/>
    <w:rsid w:val="008D5F2E"/>
    <w:rsid w:val="008D6702"/>
    <w:rsid w:val="008D6DC3"/>
    <w:rsid w:val="008E0C2F"/>
    <w:rsid w:val="008E133A"/>
    <w:rsid w:val="008E15A3"/>
    <w:rsid w:val="008E46F2"/>
    <w:rsid w:val="008E4AF0"/>
    <w:rsid w:val="008E64E7"/>
    <w:rsid w:val="008F0C5E"/>
    <w:rsid w:val="008F1101"/>
    <w:rsid w:val="008F11DA"/>
    <w:rsid w:val="008F429D"/>
    <w:rsid w:val="008F66D0"/>
    <w:rsid w:val="008F76CF"/>
    <w:rsid w:val="009003AF"/>
    <w:rsid w:val="009008BC"/>
    <w:rsid w:val="00900C8C"/>
    <w:rsid w:val="00902995"/>
    <w:rsid w:val="009033E2"/>
    <w:rsid w:val="00904790"/>
    <w:rsid w:val="00904D2C"/>
    <w:rsid w:val="00905184"/>
    <w:rsid w:val="0090614B"/>
    <w:rsid w:val="00906151"/>
    <w:rsid w:val="00907014"/>
    <w:rsid w:val="009113DC"/>
    <w:rsid w:val="00912AE7"/>
    <w:rsid w:val="00912C13"/>
    <w:rsid w:val="009162BD"/>
    <w:rsid w:val="00917479"/>
    <w:rsid w:val="009243C9"/>
    <w:rsid w:val="009253B3"/>
    <w:rsid w:val="00926968"/>
    <w:rsid w:val="00926D4B"/>
    <w:rsid w:val="00926F4D"/>
    <w:rsid w:val="009303C9"/>
    <w:rsid w:val="009305DF"/>
    <w:rsid w:val="0093365A"/>
    <w:rsid w:val="009369A2"/>
    <w:rsid w:val="0094026A"/>
    <w:rsid w:val="009423F0"/>
    <w:rsid w:val="00942563"/>
    <w:rsid w:val="00943C20"/>
    <w:rsid w:val="00946957"/>
    <w:rsid w:val="00947263"/>
    <w:rsid w:val="0094784E"/>
    <w:rsid w:val="00947FCE"/>
    <w:rsid w:val="00951399"/>
    <w:rsid w:val="00952992"/>
    <w:rsid w:val="0095353A"/>
    <w:rsid w:val="00953D5A"/>
    <w:rsid w:val="009541F3"/>
    <w:rsid w:val="0095454F"/>
    <w:rsid w:val="00954B41"/>
    <w:rsid w:val="00955252"/>
    <w:rsid w:val="0095571F"/>
    <w:rsid w:val="009558E5"/>
    <w:rsid w:val="00956C82"/>
    <w:rsid w:val="009570CE"/>
    <w:rsid w:val="0095731C"/>
    <w:rsid w:val="009601D9"/>
    <w:rsid w:val="0096135E"/>
    <w:rsid w:val="00963D7B"/>
    <w:rsid w:val="0096583B"/>
    <w:rsid w:val="00966342"/>
    <w:rsid w:val="0096649B"/>
    <w:rsid w:val="009669B1"/>
    <w:rsid w:val="00967B94"/>
    <w:rsid w:val="00967DEA"/>
    <w:rsid w:val="0097087E"/>
    <w:rsid w:val="00970E71"/>
    <w:rsid w:val="0097402C"/>
    <w:rsid w:val="009748F6"/>
    <w:rsid w:val="00975657"/>
    <w:rsid w:val="00977469"/>
    <w:rsid w:val="009775B3"/>
    <w:rsid w:val="00977D63"/>
    <w:rsid w:val="00980D23"/>
    <w:rsid w:val="009826FF"/>
    <w:rsid w:val="00982ECE"/>
    <w:rsid w:val="0098531E"/>
    <w:rsid w:val="009934E8"/>
    <w:rsid w:val="00993DF4"/>
    <w:rsid w:val="0099579E"/>
    <w:rsid w:val="00995D2D"/>
    <w:rsid w:val="0099645A"/>
    <w:rsid w:val="00996E59"/>
    <w:rsid w:val="00996FBD"/>
    <w:rsid w:val="009972BC"/>
    <w:rsid w:val="009A0D89"/>
    <w:rsid w:val="009A1274"/>
    <w:rsid w:val="009A20C6"/>
    <w:rsid w:val="009A369B"/>
    <w:rsid w:val="009A5AD2"/>
    <w:rsid w:val="009A653A"/>
    <w:rsid w:val="009A75BA"/>
    <w:rsid w:val="009B0055"/>
    <w:rsid w:val="009B0D62"/>
    <w:rsid w:val="009B0EE2"/>
    <w:rsid w:val="009B1C60"/>
    <w:rsid w:val="009B3692"/>
    <w:rsid w:val="009B4918"/>
    <w:rsid w:val="009B4C1B"/>
    <w:rsid w:val="009B7B62"/>
    <w:rsid w:val="009C062A"/>
    <w:rsid w:val="009C377C"/>
    <w:rsid w:val="009C3B0B"/>
    <w:rsid w:val="009C5D48"/>
    <w:rsid w:val="009D1D89"/>
    <w:rsid w:val="009D2A9A"/>
    <w:rsid w:val="009D3A3A"/>
    <w:rsid w:val="009D3A3B"/>
    <w:rsid w:val="009D505D"/>
    <w:rsid w:val="009E11F1"/>
    <w:rsid w:val="009E1524"/>
    <w:rsid w:val="009E22A1"/>
    <w:rsid w:val="009E35FD"/>
    <w:rsid w:val="009E3844"/>
    <w:rsid w:val="009E3A62"/>
    <w:rsid w:val="009E4A27"/>
    <w:rsid w:val="009E5359"/>
    <w:rsid w:val="009E6827"/>
    <w:rsid w:val="009E7453"/>
    <w:rsid w:val="009F1771"/>
    <w:rsid w:val="009F332A"/>
    <w:rsid w:val="009F5E7A"/>
    <w:rsid w:val="009F5F91"/>
    <w:rsid w:val="009F6EAE"/>
    <w:rsid w:val="009F7175"/>
    <w:rsid w:val="009F7469"/>
    <w:rsid w:val="009F748D"/>
    <w:rsid w:val="009F75A8"/>
    <w:rsid w:val="009F7CC0"/>
    <w:rsid w:val="00A007BE"/>
    <w:rsid w:val="00A00AE4"/>
    <w:rsid w:val="00A01C01"/>
    <w:rsid w:val="00A03432"/>
    <w:rsid w:val="00A107A6"/>
    <w:rsid w:val="00A109EC"/>
    <w:rsid w:val="00A130B6"/>
    <w:rsid w:val="00A13313"/>
    <w:rsid w:val="00A13A83"/>
    <w:rsid w:val="00A1519A"/>
    <w:rsid w:val="00A1575A"/>
    <w:rsid w:val="00A1662D"/>
    <w:rsid w:val="00A20710"/>
    <w:rsid w:val="00A226A3"/>
    <w:rsid w:val="00A25DD8"/>
    <w:rsid w:val="00A26B42"/>
    <w:rsid w:val="00A27826"/>
    <w:rsid w:val="00A31D1C"/>
    <w:rsid w:val="00A33B49"/>
    <w:rsid w:val="00A37CB9"/>
    <w:rsid w:val="00A40F42"/>
    <w:rsid w:val="00A40F4F"/>
    <w:rsid w:val="00A433DB"/>
    <w:rsid w:val="00A44DF1"/>
    <w:rsid w:val="00A45204"/>
    <w:rsid w:val="00A45FD3"/>
    <w:rsid w:val="00A460F2"/>
    <w:rsid w:val="00A46AB8"/>
    <w:rsid w:val="00A47C1E"/>
    <w:rsid w:val="00A505D5"/>
    <w:rsid w:val="00A51664"/>
    <w:rsid w:val="00A516EC"/>
    <w:rsid w:val="00A51C27"/>
    <w:rsid w:val="00A52097"/>
    <w:rsid w:val="00A52198"/>
    <w:rsid w:val="00A5452E"/>
    <w:rsid w:val="00A55ADF"/>
    <w:rsid w:val="00A55EAD"/>
    <w:rsid w:val="00A606A3"/>
    <w:rsid w:val="00A609DD"/>
    <w:rsid w:val="00A60C5C"/>
    <w:rsid w:val="00A6398C"/>
    <w:rsid w:val="00A665D0"/>
    <w:rsid w:val="00A668B8"/>
    <w:rsid w:val="00A668D2"/>
    <w:rsid w:val="00A67BF1"/>
    <w:rsid w:val="00A70567"/>
    <w:rsid w:val="00A70810"/>
    <w:rsid w:val="00A72531"/>
    <w:rsid w:val="00A75C6A"/>
    <w:rsid w:val="00A760DA"/>
    <w:rsid w:val="00A77324"/>
    <w:rsid w:val="00A77442"/>
    <w:rsid w:val="00A77506"/>
    <w:rsid w:val="00A80562"/>
    <w:rsid w:val="00A82A9B"/>
    <w:rsid w:val="00A8475A"/>
    <w:rsid w:val="00A860D7"/>
    <w:rsid w:val="00A8714F"/>
    <w:rsid w:val="00A90943"/>
    <w:rsid w:val="00A92358"/>
    <w:rsid w:val="00A93C08"/>
    <w:rsid w:val="00A94EA0"/>
    <w:rsid w:val="00A9656B"/>
    <w:rsid w:val="00A96C18"/>
    <w:rsid w:val="00AA04C8"/>
    <w:rsid w:val="00AA094C"/>
    <w:rsid w:val="00AA392B"/>
    <w:rsid w:val="00AB0925"/>
    <w:rsid w:val="00AB200F"/>
    <w:rsid w:val="00AB552C"/>
    <w:rsid w:val="00AB5BE3"/>
    <w:rsid w:val="00AB79CC"/>
    <w:rsid w:val="00AC01D0"/>
    <w:rsid w:val="00AC03EA"/>
    <w:rsid w:val="00AC0E98"/>
    <w:rsid w:val="00AC12CE"/>
    <w:rsid w:val="00AC1C0B"/>
    <w:rsid w:val="00AC28D1"/>
    <w:rsid w:val="00AC4EE9"/>
    <w:rsid w:val="00AC58A6"/>
    <w:rsid w:val="00AC6004"/>
    <w:rsid w:val="00AC7122"/>
    <w:rsid w:val="00AC71DB"/>
    <w:rsid w:val="00AC725A"/>
    <w:rsid w:val="00AD25AE"/>
    <w:rsid w:val="00AD410C"/>
    <w:rsid w:val="00AD465C"/>
    <w:rsid w:val="00AD5266"/>
    <w:rsid w:val="00AD7548"/>
    <w:rsid w:val="00AE0AF0"/>
    <w:rsid w:val="00AE14CD"/>
    <w:rsid w:val="00AE68FA"/>
    <w:rsid w:val="00AF5910"/>
    <w:rsid w:val="00AF70C8"/>
    <w:rsid w:val="00AF75A4"/>
    <w:rsid w:val="00B01B65"/>
    <w:rsid w:val="00B0430A"/>
    <w:rsid w:val="00B06115"/>
    <w:rsid w:val="00B06DD8"/>
    <w:rsid w:val="00B07131"/>
    <w:rsid w:val="00B073C9"/>
    <w:rsid w:val="00B07C51"/>
    <w:rsid w:val="00B12800"/>
    <w:rsid w:val="00B16761"/>
    <w:rsid w:val="00B21118"/>
    <w:rsid w:val="00B220DA"/>
    <w:rsid w:val="00B230C0"/>
    <w:rsid w:val="00B238C3"/>
    <w:rsid w:val="00B24C60"/>
    <w:rsid w:val="00B25348"/>
    <w:rsid w:val="00B25E94"/>
    <w:rsid w:val="00B266A1"/>
    <w:rsid w:val="00B26CD4"/>
    <w:rsid w:val="00B305AD"/>
    <w:rsid w:val="00B30F57"/>
    <w:rsid w:val="00B32FC3"/>
    <w:rsid w:val="00B35C4F"/>
    <w:rsid w:val="00B35F1E"/>
    <w:rsid w:val="00B42C9A"/>
    <w:rsid w:val="00B44362"/>
    <w:rsid w:val="00B45EA1"/>
    <w:rsid w:val="00B46E26"/>
    <w:rsid w:val="00B5073D"/>
    <w:rsid w:val="00B51BE0"/>
    <w:rsid w:val="00B5585B"/>
    <w:rsid w:val="00B55999"/>
    <w:rsid w:val="00B60368"/>
    <w:rsid w:val="00B644B1"/>
    <w:rsid w:val="00B64E1D"/>
    <w:rsid w:val="00B67F37"/>
    <w:rsid w:val="00B704CD"/>
    <w:rsid w:val="00B70792"/>
    <w:rsid w:val="00B72D63"/>
    <w:rsid w:val="00B73088"/>
    <w:rsid w:val="00B734ED"/>
    <w:rsid w:val="00B751E5"/>
    <w:rsid w:val="00B771A6"/>
    <w:rsid w:val="00B83B66"/>
    <w:rsid w:val="00B8499A"/>
    <w:rsid w:val="00B90D7D"/>
    <w:rsid w:val="00B9151E"/>
    <w:rsid w:val="00B929AE"/>
    <w:rsid w:val="00B92EC7"/>
    <w:rsid w:val="00B948AA"/>
    <w:rsid w:val="00B95B31"/>
    <w:rsid w:val="00BA249F"/>
    <w:rsid w:val="00BA3404"/>
    <w:rsid w:val="00BA5946"/>
    <w:rsid w:val="00BA646E"/>
    <w:rsid w:val="00BA790D"/>
    <w:rsid w:val="00BB019C"/>
    <w:rsid w:val="00BB0543"/>
    <w:rsid w:val="00BB0BF5"/>
    <w:rsid w:val="00BB1CA2"/>
    <w:rsid w:val="00BB2708"/>
    <w:rsid w:val="00BB334C"/>
    <w:rsid w:val="00BB35CF"/>
    <w:rsid w:val="00BB4C03"/>
    <w:rsid w:val="00BC07A8"/>
    <w:rsid w:val="00BC69F7"/>
    <w:rsid w:val="00BD0C5A"/>
    <w:rsid w:val="00BD57A0"/>
    <w:rsid w:val="00BD7337"/>
    <w:rsid w:val="00BE19A3"/>
    <w:rsid w:val="00BE4063"/>
    <w:rsid w:val="00BE484B"/>
    <w:rsid w:val="00BE6691"/>
    <w:rsid w:val="00BF4675"/>
    <w:rsid w:val="00BF613A"/>
    <w:rsid w:val="00BF7013"/>
    <w:rsid w:val="00C03C4B"/>
    <w:rsid w:val="00C03F7E"/>
    <w:rsid w:val="00C05C0D"/>
    <w:rsid w:val="00C074B9"/>
    <w:rsid w:val="00C10269"/>
    <w:rsid w:val="00C11ADB"/>
    <w:rsid w:val="00C13CEA"/>
    <w:rsid w:val="00C140E8"/>
    <w:rsid w:val="00C14703"/>
    <w:rsid w:val="00C17510"/>
    <w:rsid w:val="00C20399"/>
    <w:rsid w:val="00C208F4"/>
    <w:rsid w:val="00C21212"/>
    <w:rsid w:val="00C22B02"/>
    <w:rsid w:val="00C24B2B"/>
    <w:rsid w:val="00C25624"/>
    <w:rsid w:val="00C259DB"/>
    <w:rsid w:val="00C27B9D"/>
    <w:rsid w:val="00C27F00"/>
    <w:rsid w:val="00C320C8"/>
    <w:rsid w:val="00C344CE"/>
    <w:rsid w:val="00C34804"/>
    <w:rsid w:val="00C34DFD"/>
    <w:rsid w:val="00C35208"/>
    <w:rsid w:val="00C36FA7"/>
    <w:rsid w:val="00C40CD9"/>
    <w:rsid w:val="00C44177"/>
    <w:rsid w:val="00C46607"/>
    <w:rsid w:val="00C51605"/>
    <w:rsid w:val="00C55E29"/>
    <w:rsid w:val="00C57283"/>
    <w:rsid w:val="00C60715"/>
    <w:rsid w:val="00C62864"/>
    <w:rsid w:val="00C62C46"/>
    <w:rsid w:val="00C7149A"/>
    <w:rsid w:val="00C74B8D"/>
    <w:rsid w:val="00C7579B"/>
    <w:rsid w:val="00C75A45"/>
    <w:rsid w:val="00C762BD"/>
    <w:rsid w:val="00C769A5"/>
    <w:rsid w:val="00C773E4"/>
    <w:rsid w:val="00C80640"/>
    <w:rsid w:val="00C81334"/>
    <w:rsid w:val="00C846D7"/>
    <w:rsid w:val="00C8561D"/>
    <w:rsid w:val="00C9183B"/>
    <w:rsid w:val="00C92410"/>
    <w:rsid w:val="00C939A7"/>
    <w:rsid w:val="00C93CF1"/>
    <w:rsid w:val="00C962A5"/>
    <w:rsid w:val="00C969B3"/>
    <w:rsid w:val="00C974F2"/>
    <w:rsid w:val="00C976E4"/>
    <w:rsid w:val="00C97DB1"/>
    <w:rsid w:val="00CA0625"/>
    <w:rsid w:val="00CA2711"/>
    <w:rsid w:val="00CA3592"/>
    <w:rsid w:val="00CA4193"/>
    <w:rsid w:val="00CA5A79"/>
    <w:rsid w:val="00CA5A86"/>
    <w:rsid w:val="00CA6E29"/>
    <w:rsid w:val="00CB05BB"/>
    <w:rsid w:val="00CB234D"/>
    <w:rsid w:val="00CB392E"/>
    <w:rsid w:val="00CB3BF8"/>
    <w:rsid w:val="00CB41A7"/>
    <w:rsid w:val="00CB46BE"/>
    <w:rsid w:val="00CB4770"/>
    <w:rsid w:val="00CB4B01"/>
    <w:rsid w:val="00CB5ABE"/>
    <w:rsid w:val="00CB6B9C"/>
    <w:rsid w:val="00CB70E2"/>
    <w:rsid w:val="00CB71C6"/>
    <w:rsid w:val="00CB7492"/>
    <w:rsid w:val="00CC06CA"/>
    <w:rsid w:val="00CC0943"/>
    <w:rsid w:val="00CC1383"/>
    <w:rsid w:val="00CC259E"/>
    <w:rsid w:val="00CC3BC8"/>
    <w:rsid w:val="00CC4076"/>
    <w:rsid w:val="00CC4E1B"/>
    <w:rsid w:val="00CC4F93"/>
    <w:rsid w:val="00CC6953"/>
    <w:rsid w:val="00CD05BD"/>
    <w:rsid w:val="00CD1BC5"/>
    <w:rsid w:val="00CD55A8"/>
    <w:rsid w:val="00CE024A"/>
    <w:rsid w:val="00CE0548"/>
    <w:rsid w:val="00CE065A"/>
    <w:rsid w:val="00CE11BE"/>
    <w:rsid w:val="00CE33EE"/>
    <w:rsid w:val="00CE3755"/>
    <w:rsid w:val="00CE6BD6"/>
    <w:rsid w:val="00CE6C29"/>
    <w:rsid w:val="00CE6D1D"/>
    <w:rsid w:val="00CE7EFF"/>
    <w:rsid w:val="00CF7450"/>
    <w:rsid w:val="00CF7970"/>
    <w:rsid w:val="00CF7E3D"/>
    <w:rsid w:val="00D0166D"/>
    <w:rsid w:val="00D0193E"/>
    <w:rsid w:val="00D02800"/>
    <w:rsid w:val="00D028F1"/>
    <w:rsid w:val="00D03A35"/>
    <w:rsid w:val="00D10210"/>
    <w:rsid w:val="00D11415"/>
    <w:rsid w:val="00D11B61"/>
    <w:rsid w:val="00D128EA"/>
    <w:rsid w:val="00D141B2"/>
    <w:rsid w:val="00D149C5"/>
    <w:rsid w:val="00D166DB"/>
    <w:rsid w:val="00D1699F"/>
    <w:rsid w:val="00D21687"/>
    <w:rsid w:val="00D21D6A"/>
    <w:rsid w:val="00D247F2"/>
    <w:rsid w:val="00D317C5"/>
    <w:rsid w:val="00D33B54"/>
    <w:rsid w:val="00D356B0"/>
    <w:rsid w:val="00D364E4"/>
    <w:rsid w:val="00D367B2"/>
    <w:rsid w:val="00D369E4"/>
    <w:rsid w:val="00D3749F"/>
    <w:rsid w:val="00D4006E"/>
    <w:rsid w:val="00D404BE"/>
    <w:rsid w:val="00D41C7C"/>
    <w:rsid w:val="00D430D3"/>
    <w:rsid w:val="00D43421"/>
    <w:rsid w:val="00D44F3A"/>
    <w:rsid w:val="00D46E69"/>
    <w:rsid w:val="00D47F5E"/>
    <w:rsid w:val="00D5074F"/>
    <w:rsid w:val="00D553C4"/>
    <w:rsid w:val="00D55F57"/>
    <w:rsid w:val="00D60762"/>
    <w:rsid w:val="00D66C8F"/>
    <w:rsid w:val="00D726F4"/>
    <w:rsid w:val="00D744F7"/>
    <w:rsid w:val="00D80C16"/>
    <w:rsid w:val="00D81376"/>
    <w:rsid w:val="00D81B4B"/>
    <w:rsid w:val="00D85149"/>
    <w:rsid w:val="00D85616"/>
    <w:rsid w:val="00D905C7"/>
    <w:rsid w:val="00D906C0"/>
    <w:rsid w:val="00D9083B"/>
    <w:rsid w:val="00D95641"/>
    <w:rsid w:val="00D9755F"/>
    <w:rsid w:val="00DA2350"/>
    <w:rsid w:val="00DA6431"/>
    <w:rsid w:val="00DB1D7C"/>
    <w:rsid w:val="00DB33A8"/>
    <w:rsid w:val="00DB542D"/>
    <w:rsid w:val="00DC145C"/>
    <w:rsid w:val="00DC298F"/>
    <w:rsid w:val="00DC2D8E"/>
    <w:rsid w:val="00DC2FFB"/>
    <w:rsid w:val="00DC570B"/>
    <w:rsid w:val="00DC74F9"/>
    <w:rsid w:val="00DD1937"/>
    <w:rsid w:val="00DD1FA0"/>
    <w:rsid w:val="00DD4B7E"/>
    <w:rsid w:val="00DD6417"/>
    <w:rsid w:val="00DE22CD"/>
    <w:rsid w:val="00DE3391"/>
    <w:rsid w:val="00DE41FB"/>
    <w:rsid w:val="00DE671B"/>
    <w:rsid w:val="00DE7BAF"/>
    <w:rsid w:val="00DF1261"/>
    <w:rsid w:val="00DF2AA1"/>
    <w:rsid w:val="00DF3165"/>
    <w:rsid w:val="00DF4149"/>
    <w:rsid w:val="00DF57C8"/>
    <w:rsid w:val="00DF61FC"/>
    <w:rsid w:val="00DF656E"/>
    <w:rsid w:val="00DF6788"/>
    <w:rsid w:val="00DF7119"/>
    <w:rsid w:val="00DF755A"/>
    <w:rsid w:val="00DF7598"/>
    <w:rsid w:val="00DF7E12"/>
    <w:rsid w:val="00E0109B"/>
    <w:rsid w:val="00E01543"/>
    <w:rsid w:val="00E05955"/>
    <w:rsid w:val="00E107DD"/>
    <w:rsid w:val="00E15096"/>
    <w:rsid w:val="00E157E5"/>
    <w:rsid w:val="00E15DCA"/>
    <w:rsid w:val="00E2104F"/>
    <w:rsid w:val="00E2521D"/>
    <w:rsid w:val="00E258AF"/>
    <w:rsid w:val="00E264D5"/>
    <w:rsid w:val="00E272C5"/>
    <w:rsid w:val="00E27303"/>
    <w:rsid w:val="00E27E84"/>
    <w:rsid w:val="00E302D6"/>
    <w:rsid w:val="00E320A7"/>
    <w:rsid w:val="00E32A6C"/>
    <w:rsid w:val="00E36DEA"/>
    <w:rsid w:val="00E37524"/>
    <w:rsid w:val="00E37EF9"/>
    <w:rsid w:val="00E37F6C"/>
    <w:rsid w:val="00E45205"/>
    <w:rsid w:val="00E47B32"/>
    <w:rsid w:val="00E50556"/>
    <w:rsid w:val="00E5244F"/>
    <w:rsid w:val="00E546D5"/>
    <w:rsid w:val="00E54C07"/>
    <w:rsid w:val="00E55CFB"/>
    <w:rsid w:val="00E55E5D"/>
    <w:rsid w:val="00E566AA"/>
    <w:rsid w:val="00E62F29"/>
    <w:rsid w:val="00E66299"/>
    <w:rsid w:val="00E66C1F"/>
    <w:rsid w:val="00E67FF4"/>
    <w:rsid w:val="00E7000D"/>
    <w:rsid w:val="00E70060"/>
    <w:rsid w:val="00E702AA"/>
    <w:rsid w:val="00E71CAD"/>
    <w:rsid w:val="00E76474"/>
    <w:rsid w:val="00E77A6F"/>
    <w:rsid w:val="00E8249B"/>
    <w:rsid w:val="00E82A4B"/>
    <w:rsid w:val="00E82F68"/>
    <w:rsid w:val="00E8312D"/>
    <w:rsid w:val="00E84345"/>
    <w:rsid w:val="00E854E3"/>
    <w:rsid w:val="00E860DB"/>
    <w:rsid w:val="00E86A8E"/>
    <w:rsid w:val="00E86FDF"/>
    <w:rsid w:val="00E870C2"/>
    <w:rsid w:val="00E9416E"/>
    <w:rsid w:val="00E95582"/>
    <w:rsid w:val="00E95A25"/>
    <w:rsid w:val="00E95C91"/>
    <w:rsid w:val="00E967BC"/>
    <w:rsid w:val="00E97411"/>
    <w:rsid w:val="00E979E4"/>
    <w:rsid w:val="00EA060E"/>
    <w:rsid w:val="00EA2609"/>
    <w:rsid w:val="00EA2D21"/>
    <w:rsid w:val="00EA4FCB"/>
    <w:rsid w:val="00EA5CA5"/>
    <w:rsid w:val="00EA625C"/>
    <w:rsid w:val="00EA673C"/>
    <w:rsid w:val="00EA7B6A"/>
    <w:rsid w:val="00EB0B2F"/>
    <w:rsid w:val="00EB0DC2"/>
    <w:rsid w:val="00EB18BE"/>
    <w:rsid w:val="00EB489E"/>
    <w:rsid w:val="00EC0171"/>
    <w:rsid w:val="00EC0448"/>
    <w:rsid w:val="00EC2CA1"/>
    <w:rsid w:val="00EC38EB"/>
    <w:rsid w:val="00EC413B"/>
    <w:rsid w:val="00EC68AB"/>
    <w:rsid w:val="00EC6A8F"/>
    <w:rsid w:val="00ED0FFA"/>
    <w:rsid w:val="00ED10A7"/>
    <w:rsid w:val="00ED190C"/>
    <w:rsid w:val="00ED50BE"/>
    <w:rsid w:val="00ED5927"/>
    <w:rsid w:val="00ED78E4"/>
    <w:rsid w:val="00EE05F6"/>
    <w:rsid w:val="00EE19E6"/>
    <w:rsid w:val="00EE1EE3"/>
    <w:rsid w:val="00EE3F84"/>
    <w:rsid w:val="00EE5340"/>
    <w:rsid w:val="00EE5409"/>
    <w:rsid w:val="00EE6FF2"/>
    <w:rsid w:val="00EF0546"/>
    <w:rsid w:val="00EF375B"/>
    <w:rsid w:val="00EF5799"/>
    <w:rsid w:val="00EF581C"/>
    <w:rsid w:val="00EF7C2A"/>
    <w:rsid w:val="00F01621"/>
    <w:rsid w:val="00F01C4A"/>
    <w:rsid w:val="00F02178"/>
    <w:rsid w:val="00F0472C"/>
    <w:rsid w:val="00F05052"/>
    <w:rsid w:val="00F05A4A"/>
    <w:rsid w:val="00F06A1D"/>
    <w:rsid w:val="00F07E72"/>
    <w:rsid w:val="00F122DE"/>
    <w:rsid w:val="00F131D1"/>
    <w:rsid w:val="00F13B33"/>
    <w:rsid w:val="00F15B42"/>
    <w:rsid w:val="00F16342"/>
    <w:rsid w:val="00F16930"/>
    <w:rsid w:val="00F17AD9"/>
    <w:rsid w:val="00F244BA"/>
    <w:rsid w:val="00F24729"/>
    <w:rsid w:val="00F25298"/>
    <w:rsid w:val="00F3456C"/>
    <w:rsid w:val="00F37F20"/>
    <w:rsid w:val="00F42299"/>
    <w:rsid w:val="00F45EE7"/>
    <w:rsid w:val="00F5103A"/>
    <w:rsid w:val="00F533D5"/>
    <w:rsid w:val="00F53DBE"/>
    <w:rsid w:val="00F5693C"/>
    <w:rsid w:val="00F6130A"/>
    <w:rsid w:val="00F61D9E"/>
    <w:rsid w:val="00F6269E"/>
    <w:rsid w:val="00F64CDB"/>
    <w:rsid w:val="00F65801"/>
    <w:rsid w:val="00F65A4F"/>
    <w:rsid w:val="00F67BF4"/>
    <w:rsid w:val="00F71E6A"/>
    <w:rsid w:val="00F73C0B"/>
    <w:rsid w:val="00F808DD"/>
    <w:rsid w:val="00F8191F"/>
    <w:rsid w:val="00F830E5"/>
    <w:rsid w:val="00F83ECD"/>
    <w:rsid w:val="00F90F2B"/>
    <w:rsid w:val="00F91A21"/>
    <w:rsid w:val="00F9207D"/>
    <w:rsid w:val="00F9353A"/>
    <w:rsid w:val="00F93A20"/>
    <w:rsid w:val="00F94D29"/>
    <w:rsid w:val="00F94F5C"/>
    <w:rsid w:val="00F956B1"/>
    <w:rsid w:val="00F95D20"/>
    <w:rsid w:val="00F96174"/>
    <w:rsid w:val="00FA1707"/>
    <w:rsid w:val="00FA22AF"/>
    <w:rsid w:val="00FA260F"/>
    <w:rsid w:val="00FA3860"/>
    <w:rsid w:val="00FA541D"/>
    <w:rsid w:val="00FA5932"/>
    <w:rsid w:val="00FA6AE8"/>
    <w:rsid w:val="00FA6F5B"/>
    <w:rsid w:val="00FB523D"/>
    <w:rsid w:val="00FB7D40"/>
    <w:rsid w:val="00FB7EF7"/>
    <w:rsid w:val="00FC1526"/>
    <w:rsid w:val="00FC2DC5"/>
    <w:rsid w:val="00FC347F"/>
    <w:rsid w:val="00FC3F0E"/>
    <w:rsid w:val="00FC56F4"/>
    <w:rsid w:val="00FC5971"/>
    <w:rsid w:val="00FC7CB0"/>
    <w:rsid w:val="00FD0728"/>
    <w:rsid w:val="00FD0E43"/>
    <w:rsid w:val="00FD2100"/>
    <w:rsid w:val="00FD2EF7"/>
    <w:rsid w:val="00FD51B0"/>
    <w:rsid w:val="00FD52A8"/>
    <w:rsid w:val="00FD7967"/>
    <w:rsid w:val="00FE11E0"/>
    <w:rsid w:val="00FE7410"/>
    <w:rsid w:val="00FF04E2"/>
    <w:rsid w:val="00FF13C4"/>
    <w:rsid w:val="00FF1423"/>
    <w:rsid w:val="00FF30B1"/>
    <w:rsid w:val="00FF333C"/>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D2EC6-FBDA-4BBE-A189-BCFDCEBC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7771"/>
    <w:pPr>
      <w:tabs>
        <w:tab w:val="center" w:pos="4320"/>
        <w:tab w:val="right" w:pos="8640"/>
      </w:tabs>
    </w:pPr>
  </w:style>
  <w:style w:type="paragraph" w:styleId="Footer">
    <w:name w:val="footer"/>
    <w:basedOn w:val="Normal"/>
    <w:rsid w:val="004A7771"/>
    <w:pPr>
      <w:tabs>
        <w:tab w:val="center" w:pos="4320"/>
        <w:tab w:val="right" w:pos="8640"/>
      </w:tabs>
    </w:pPr>
  </w:style>
  <w:style w:type="paragraph" w:styleId="FootnoteText">
    <w:name w:val="footnote text"/>
    <w:basedOn w:val="Normal"/>
    <w:semiHidden/>
    <w:rsid w:val="00192465"/>
    <w:rPr>
      <w:sz w:val="20"/>
    </w:rPr>
  </w:style>
  <w:style w:type="character" w:styleId="FootnoteReference">
    <w:name w:val="footnote reference"/>
    <w:semiHidden/>
    <w:rsid w:val="00192465"/>
    <w:rPr>
      <w:vertAlign w:val="superscript"/>
    </w:rPr>
  </w:style>
  <w:style w:type="character" w:styleId="PageNumber">
    <w:name w:val="page number"/>
    <w:basedOn w:val="DefaultParagraphFont"/>
    <w:rsid w:val="00E50556"/>
  </w:style>
  <w:style w:type="table" w:styleId="TableGrid">
    <w:name w:val="Table Grid"/>
    <w:basedOn w:val="TableNormal"/>
    <w:rsid w:val="0096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2A9A"/>
    <w:rPr>
      <w:rFonts w:ascii="Tahoma" w:hAnsi="Tahoma" w:cs="Tahoma"/>
      <w:sz w:val="16"/>
      <w:szCs w:val="16"/>
    </w:rPr>
  </w:style>
  <w:style w:type="character" w:styleId="CommentReference">
    <w:name w:val="annotation reference"/>
    <w:semiHidden/>
    <w:rsid w:val="00C320C8"/>
    <w:rPr>
      <w:sz w:val="16"/>
      <w:szCs w:val="16"/>
    </w:rPr>
  </w:style>
  <w:style w:type="paragraph" w:styleId="CommentText">
    <w:name w:val="annotation text"/>
    <w:basedOn w:val="Normal"/>
    <w:semiHidden/>
    <w:rsid w:val="00C320C8"/>
    <w:rPr>
      <w:sz w:val="20"/>
    </w:rPr>
  </w:style>
  <w:style w:type="paragraph" w:styleId="CommentSubject">
    <w:name w:val="annotation subject"/>
    <w:basedOn w:val="CommentText"/>
    <w:next w:val="CommentText"/>
    <w:semiHidden/>
    <w:rsid w:val="00C320C8"/>
    <w:rPr>
      <w:b/>
      <w:bCs/>
    </w:rPr>
  </w:style>
  <w:style w:type="paragraph" w:styleId="DocumentMap">
    <w:name w:val="Document Map"/>
    <w:basedOn w:val="Normal"/>
    <w:semiHidden/>
    <w:rsid w:val="00C320C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CE3C-D69A-4FA3-9D95-0B8CBDD5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Dana.Jackson</dc:creator>
  <cp:keywords/>
  <cp:lastModifiedBy>Cathy Williams</cp:lastModifiedBy>
  <cp:revision>2</cp:revision>
  <cp:lastPrinted>2019-11-14T19:42:00Z</cp:lastPrinted>
  <dcterms:created xsi:type="dcterms:W3CDTF">2020-03-31T17:42:00Z</dcterms:created>
  <dcterms:modified xsi:type="dcterms:W3CDTF">2020-03-31T17:42:00Z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-1499675441</vt:i4>
  </property>
  <property fmtid="{D5CDD505-2E9C-101B-9397-08002B2CF9AE}" pid="4" name="_EmailEntryID">
    <vt:lpwstr>00000000D3E47BBA5FBDF04B834CA7A964169ECD0700BF17D4F30776D441B05165F92C68ACD10000006957A10000FDB4FF3983BC5741B262650D7EC7E8660004008CE09A0000</vt:lpwstr>
  </property>
  <property fmtid="{D5CDD505-2E9C-101B-9397-08002B2CF9AE}" pid="5"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6"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7" name="_EmailStoreID2">
    <vt:lpwstr>0040006600630063002E0067006F00760000000000</vt:lpwstr>
  </property>
</Properties>
</file>