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40A4" w:rsidR="000D40A4" w:rsidP="000D40A4" w:rsidRDefault="000D40A4">
      <w:pPr>
        <w:tabs>
          <w:tab w:val="center" w:pos="4680"/>
        </w:tabs>
        <w:jc w:val="center"/>
        <w:rPr>
          <w:rFonts w:ascii="Times New Roman" w:hAnsi="Times New Roman"/>
          <w:b/>
          <w:bCs/>
          <w:szCs w:val="24"/>
        </w:rPr>
      </w:pPr>
      <w:r w:rsidRPr="000D40A4">
        <w:rPr>
          <w:rFonts w:ascii="Times New Roman" w:hAnsi="Times New Roman"/>
          <w:b/>
          <w:bCs/>
          <w:szCs w:val="24"/>
        </w:rPr>
        <w:t>SUPPORTING STATEMENT</w:t>
      </w:r>
    </w:p>
    <w:p w:rsidRPr="001C74B9" w:rsidR="00A80C5A" w:rsidP="00A80C5A" w:rsidRDefault="00297B00">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Cs w:val="22"/>
        </w:rPr>
      </w:pPr>
      <w:r>
        <w:rPr>
          <w:rFonts w:ascii="Times New Roman" w:hAnsi="Times New Roman"/>
          <w:b/>
          <w:szCs w:val="22"/>
        </w:rPr>
        <w:t xml:space="preserve">Reporting and Recordkeeping Requirements for </w:t>
      </w:r>
      <w:r w:rsidR="0056709B">
        <w:rPr>
          <w:rFonts w:ascii="Times New Roman" w:hAnsi="Times New Roman"/>
          <w:b/>
          <w:szCs w:val="22"/>
        </w:rPr>
        <w:t>Brokered Deposits</w:t>
      </w:r>
    </w:p>
    <w:p w:rsidRPr="00A80C5A" w:rsidR="00A80C5A" w:rsidP="00A80C5A" w:rsidRDefault="0056709B">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Pr>
          <w:rFonts w:ascii="Times New Roman" w:hAnsi="Times New Roman"/>
          <w:b/>
          <w:sz w:val="22"/>
          <w:szCs w:val="22"/>
        </w:rPr>
        <w:t>(OMB No. 3064-0099</w:t>
      </w:r>
      <w:r w:rsidRPr="00A80C5A" w:rsidR="00A80C5A">
        <w:rPr>
          <w:rFonts w:ascii="Times New Roman" w:hAnsi="Times New Roman"/>
          <w:b/>
          <w:sz w:val="22"/>
          <w:szCs w:val="22"/>
        </w:rPr>
        <w:t>)</w:t>
      </w:r>
    </w:p>
    <w:p w:rsidRPr="00576EF9" w:rsidR="0066096F" w:rsidP="000D40A4" w:rsidRDefault="0066096F">
      <w:pPr>
        <w:tabs>
          <w:tab w:val="center" w:pos="4680"/>
        </w:tabs>
        <w:jc w:val="center"/>
        <w:rPr>
          <w:rFonts w:ascii="Times New Roman" w:hAnsi="Times New Roman"/>
          <w:b/>
          <w:bCs/>
          <w:szCs w:val="24"/>
        </w:rPr>
      </w:pPr>
    </w:p>
    <w:p w:rsidR="0066096F" w:rsidP="00C72F51" w:rsidRDefault="0066096F">
      <w:pPr>
        <w:rPr>
          <w:rFonts w:ascii="Times New Roman" w:hAnsi="Times New Roman"/>
          <w:b/>
          <w:bCs/>
          <w:szCs w:val="24"/>
        </w:rPr>
      </w:pPr>
    </w:p>
    <w:p w:rsidR="00FA1D36" w:rsidP="00C72F51" w:rsidRDefault="00FA1D36">
      <w:pPr>
        <w:rPr>
          <w:rFonts w:ascii="Times New Roman" w:hAnsi="Times New Roman"/>
          <w:b/>
          <w:bCs/>
          <w:szCs w:val="24"/>
        </w:rPr>
      </w:pPr>
    </w:p>
    <w:p w:rsidRPr="003030A4" w:rsidR="000D40A4" w:rsidP="000D40A4" w:rsidRDefault="000D40A4">
      <w:pPr>
        <w:rPr>
          <w:rFonts w:ascii="Times New Roman" w:hAnsi="Times New Roman"/>
          <w:b/>
          <w:szCs w:val="24"/>
          <w:u w:val="single"/>
        </w:rPr>
      </w:pPr>
      <w:r w:rsidRPr="003030A4">
        <w:rPr>
          <w:rFonts w:ascii="Times New Roman" w:hAnsi="Times New Roman"/>
          <w:b/>
          <w:szCs w:val="24"/>
          <w:u w:val="single"/>
        </w:rPr>
        <w:t>INTRODUCTION</w:t>
      </w:r>
    </w:p>
    <w:p w:rsidRPr="000D40A4" w:rsidR="000D40A4" w:rsidP="000D40A4" w:rsidRDefault="000D40A4">
      <w:pPr>
        <w:rPr>
          <w:rFonts w:ascii="Times New Roman" w:hAnsi="Times New Roman"/>
          <w:szCs w:val="24"/>
        </w:rPr>
      </w:pPr>
    </w:p>
    <w:p w:rsidR="00A80C5A" w:rsidP="00A80C5A" w:rsidRDefault="00A80C5A">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 xml:space="preserve">The Federal Deposit Insurance Corporation (“FDIC”) is requesting OMB approval for the </w:t>
      </w:r>
      <w:r w:rsidR="00806029">
        <w:rPr>
          <w:rFonts w:ascii="Times New Roman" w:hAnsi="Times New Roman"/>
        </w:rPr>
        <w:t>revision</w:t>
      </w:r>
      <w:r>
        <w:rPr>
          <w:rFonts w:ascii="Times New Roman" w:hAnsi="Times New Roman"/>
        </w:rPr>
        <w:t xml:space="preserve"> of a currently approved collection of information</w:t>
      </w:r>
      <w:r w:rsidR="00D31114">
        <w:rPr>
          <w:rFonts w:ascii="Times New Roman" w:hAnsi="Times New Roman"/>
        </w:rPr>
        <w:t xml:space="preserve"> as a result of proposed changes to 12 CFR §303.243 of the FDIC’s regulations implementing Section 29 of the Federal Deposit Insurance Act</w:t>
      </w:r>
      <w:r>
        <w:rPr>
          <w:rFonts w:ascii="Times New Roman" w:hAnsi="Times New Roman"/>
        </w:rPr>
        <w:t xml:space="preserve">.  The collection of information is </w:t>
      </w:r>
      <w:r w:rsidR="00D31114">
        <w:rPr>
          <w:rFonts w:ascii="Times New Roman" w:hAnsi="Times New Roman"/>
        </w:rPr>
        <w:t>being re-</w:t>
      </w:r>
      <w:r>
        <w:rPr>
          <w:rFonts w:ascii="Times New Roman" w:hAnsi="Times New Roman"/>
        </w:rPr>
        <w:t>captioned “</w:t>
      </w:r>
      <w:r w:rsidR="00D31114">
        <w:rPr>
          <w:rFonts w:ascii="Times New Roman" w:hAnsi="Times New Roman"/>
        </w:rPr>
        <w:t>Reporting and Recordkeeping Requirements for Brokered Deposits</w:t>
      </w:r>
      <w:r>
        <w:rPr>
          <w:rFonts w:ascii="Times New Roman" w:hAnsi="Times New Roman"/>
        </w:rPr>
        <w:t xml:space="preserve">” </w:t>
      </w:r>
      <w:r w:rsidR="00D31114">
        <w:rPr>
          <w:rFonts w:ascii="Times New Roman" w:hAnsi="Times New Roman"/>
        </w:rPr>
        <w:t>to reflect the expanded recordkeeping and reporting requirements in the proposed rule.</w:t>
      </w:r>
    </w:p>
    <w:p w:rsidR="00FA1D36" w:rsidRDefault="00FA1D36">
      <w:pPr>
        <w:widowControl/>
        <w:rPr>
          <w:rFonts w:ascii="Times New Roman" w:hAnsi="Times New Roman"/>
          <w:b/>
          <w:szCs w:val="24"/>
        </w:rPr>
      </w:pPr>
    </w:p>
    <w:p w:rsidR="003968C7" w:rsidRDefault="003968C7">
      <w:pPr>
        <w:widowControl/>
        <w:rPr>
          <w:rFonts w:ascii="Times New Roman" w:hAnsi="Times New Roman"/>
          <w:b/>
          <w:szCs w:val="24"/>
        </w:rPr>
      </w:pPr>
    </w:p>
    <w:p w:rsidRPr="003030A4" w:rsidR="009B0C03" w:rsidP="009B0C03" w:rsidRDefault="001F098D">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Pr="003030A4" w:rsidR="009B0C03">
        <w:rPr>
          <w:rFonts w:ascii="Times New Roman" w:hAnsi="Times New Roman"/>
          <w:b/>
          <w:szCs w:val="24"/>
          <w:u w:val="single"/>
        </w:rPr>
        <w:t>JUSTIFICATION</w:t>
      </w:r>
    </w:p>
    <w:p w:rsidRPr="009B0C03" w:rsidR="009B0C03" w:rsidP="00082A03" w:rsidRDefault="009B0C03">
      <w:pPr>
        <w:tabs>
          <w:tab w:val="left" w:pos="-1440"/>
        </w:tabs>
        <w:ind w:left="720"/>
        <w:rPr>
          <w:rFonts w:ascii="Times New Roman" w:hAnsi="Times New Roman"/>
          <w:szCs w:val="24"/>
        </w:rPr>
      </w:pPr>
    </w:p>
    <w:p w:rsidRPr="00576EF9" w:rsidR="0066096F" w:rsidP="00082A03" w:rsidRDefault="009B0C03">
      <w:pPr>
        <w:tabs>
          <w:tab w:val="left" w:pos="-1440"/>
        </w:tabs>
        <w:rPr>
          <w:rFonts w:ascii="Times New Roman" w:hAnsi="Times New Roman"/>
          <w:szCs w:val="24"/>
        </w:rPr>
      </w:pPr>
      <w:r w:rsidRPr="009B0C03">
        <w:rPr>
          <w:rFonts w:ascii="Times New Roman" w:hAnsi="Times New Roman"/>
          <w:szCs w:val="24"/>
        </w:rPr>
        <w:t xml:space="preserve">1.  </w:t>
      </w:r>
      <w:r w:rsidRPr="0063519F" w:rsidR="0063519F">
        <w:rPr>
          <w:rFonts w:ascii="Times New Roman" w:hAnsi="Times New Roman"/>
          <w:bCs/>
          <w:szCs w:val="24"/>
          <w:u w:val="single"/>
        </w:rPr>
        <w:t>Circumstances that make the collection necessary:</w:t>
      </w:r>
    </w:p>
    <w:p w:rsidRPr="00576EF9" w:rsidR="0066096F" w:rsidP="00082A03" w:rsidRDefault="0066096F">
      <w:pPr>
        <w:rPr>
          <w:rFonts w:ascii="Times New Roman" w:hAnsi="Times New Roman"/>
          <w:szCs w:val="24"/>
        </w:rPr>
      </w:pPr>
    </w:p>
    <w:p w:rsidR="00E051FE" w:rsidP="00E051FE" w:rsidRDefault="00E051FE">
      <w:pPr>
        <w:widowControl/>
        <w:autoSpaceDE w:val="0"/>
        <w:autoSpaceDN w:val="0"/>
        <w:adjustRightInd w:val="0"/>
        <w:rPr>
          <w:rFonts w:ascii="Times New Roman" w:hAnsi="Times New Roman"/>
          <w:szCs w:val="24"/>
        </w:rPr>
      </w:pPr>
      <w:r w:rsidRPr="00E051FE">
        <w:rPr>
          <w:rFonts w:ascii="Times New Roman" w:hAnsi="Times New Roman"/>
          <w:szCs w:val="24"/>
        </w:rPr>
        <w:t xml:space="preserve">Section 29 of the Federal Deposit Insurance Act (FDI Act) restricts the acceptance of deposits by insured depository institutions from a ‘‘deposit broker.’’  Well capitalized insured depository institutions are not restricted from accepting deposits from a deposit broker. </w:t>
      </w:r>
      <w:r>
        <w:rPr>
          <w:rFonts w:ascii="Times New Roman" w:hAnsi="Times New Roman"/>
          <w:szCs w:val="24"/>
        </w:rPr>
        <w:t xml:space="preserve"> </w:t>
      </w:r>
      <w:r w:rsidRPr="00E051FE">
        <w:rPr>
          <w:rFonts w:ascii="Times New Roman" w:hAnsi="Times New Roman"/>
          <w:szCs w:val="24"/>
        </w:rPr>
        <w:t>An ‘‘adequately capitalized’’ insured depository institution may accept deposits from a deposit broker only if it has received a waiver from the FDIC.   A waiver may be granted by the FDIC ‘‘upon a finding that the acceptance of such deposits does not constitute an unsafe or unsound practice’’ with respect to that institution.   An ‘‘undercapitalized’’ depository institution is prohibited from accepting deposits from a deposit broker.</w:t>
      </w:r>
      <w:r>
        <w:rPr>
          <w:rFonts w:ascii="Times New Roman" w:hAnsi="Times New Roman"/>
          <w:szCs w:val="24"/>
        </w:rPr>
        <w:t xml:space="preserve">  </w:t>
      </w:r>
      <w:r>
        <w:rPr>
          <w:rFonts w:ascii="Times New Roman" w:hAnsi="Times New Roman"/>
        </w:rPr>
        <w:t>The requirements for a brokered deposit waiver are found at 12 CFR 303.243.</w:t>
      </w:r>
    </w:p>
    <w:p w:rsidR="00E051FE" w:rsidP="00E051FE" w:rsidRDefault="00E051FE">
      <w:pPr>
        <w:widowControl/>
        <w:autoSpaceDE w:val="0"/>
        <w:autoSpaceDN w:val="0"/>
        <w:adjustRightInd w:val="0"/>
        <w:rPr>
          <w:rFonts w:ascii="Times New Roman" w:hAnsi="Times New Roman"/>
          <w:szCs w:val="24"/>
        </w:rPr>
      </w:pPr>
    </w:p>
    <w:p w:rsidR="00B878C8" w:rsidP="00E051FE" w:rsidRDefault="00B878C8">
      <w:pPr>
        <w:widowControl/>
        <w:autoSpaceDE w:val="0"/>
        <w:autoSpaceDN w:val="0"/>
        <w:adjustRightInd w:val="0"/>
        <w:rPr>
          <w:rFonts w:ascii="Times New Roman" w:hAnsi="Times New Roman"/>
          <w:szCs w:val="24"/>
        </w:rPr>
      </w:pPr>
      <w:r w:rsidRPr="000A129A">
        <w:rPr>
          <w:rFonts w:ascii="Times New Roman" w:hAnsi="Times New Roman"/>
          <w:snapToGrid/>
          <w:szCs w:val="24"/>
        </w:rPr>
        <w:t xml:space="preserve">Section 337.6 of the FDIC’s Rules and Regulations implements and closely tracks the statutory text of Section 29, particularly with respect to the definition of ‘‘deposit broker’’ and its exceptions. </w:t>
      </w:r>
      <w:r>
        <w:rPr>
          <w:rFonts w:ascii="Times New Roman" w:hAnsi="Times New Roman"/>
          <w:szCs w:val="24"/>
        </w:rPr>
        <w:t xml:space="preserve"> </w:t>
      </w:r>
      <w:r w:rsidRPr="000A129A">
        <w:rPr>
          <w:rFonts w:ascii="Times New Roman" w:hAnsi="Times New Roman"/>
          <w:snapToGrid/>
          <w:szCs w:val="24"/>
        </w:rPr>
        <w:t>Section 29 of the FDI Act does not directly define a ‘‘brokered deposit,’’ rather, it defines a ‘‘deposit broker’’ for purposes of the restrictions. Thus, the meaning of the term ‘‘brokered deposit’’ turns upon the definition of ‘‘deposit broker.’’</w:t>
      </w:r>
    </w:p>
    <w:p w:rsidR="00B878C8" w:rsidP="00E051FE" w:rsidRDefault="00B878C8">
      <w:pPr>
        <w:widowControl/>
        <w:autoSpaceDE w:val="0"/>
        <w:autoSpaceDN w:val="0"/>
        <w:adjustRightInd w:val="0"/>
        <w:rPr>
          <w:rFonts w:ascii="Times New Roman" w:hAnsi="Times New Roman"/>
          <w:szCs w:val="24"/>
        </w:rPr>
      </w:pPr>
    </w:p>
    <w:p w:rsidR="00E051FE" w:rsidP="006A21A7" w:rsidRDefault="00E051FE">
      <w:pPr>
        <w:widowControl/>
        <w:autoSpaceDE w:val="0"/>
        <w:autoSpaceDN w:val="0"/>
        <w:adjustRightInd w:val="0"/>
        <w:spacing w:after="120"/>
        <w:rPr>
          <w:rFonts w:ascii="Times New Roman" w:hAnsi="Times New Roman"/>
          <w:snapToGrid/>
          <w:szCs w:val="24"/>
        </w:rPr>
      </w:pPr>
      <w:r w:rsidRPr="00E051FE">
        <w:rPr>
          <w:rFonts w:ascii="Times New Roman" w:hAnsi="Times New Roman"/>
          <w:szCs w:val="24"/>
        </w:rPr>
        <w:t xml:space="preserve"> </w:t>
      </w:r>
      <w:r w:rsidR="006A21A7">
        <w:rPr>
          <w:rFonts w:ascii="Times New Roman" w:hAnsi="Times New Roman"/>
          <w:szCs w:val="24"/>
        </w:rPr>
        <w:t xml:space="preserve">The proposed rule would </w:t>
      </w:r>
      <w:r w:rsidR="006A21A7">
        <w:rPr>
          <w:rFonts w:ascii="Times New Roman" w:hAnsi="Times New Roman"/>
          <w:snapToGrid/>
          <w:szCs w:val="24"/>
        </w:rPr>
        <w:t>amend</w:t>
      </w:r>
      <w:r w:rsidRPr="000A129A">
        <w:rPr>
          <w:rFonts w:ascii="Times New Roman" w:hAnsi="Times New Roman"/>
          <w:snapToGrid/>
          <w:szCs w:val="24"/>
        </w:rPr>
        <w:t xml:space="preserve"> </w:t>
      </w:r>
      <w:r w:rsidR="00B878C8">
        <w:rPr>
          <w:rFonts w:ascii="Times New Roman" w:hAnsi="Times New Roman"/>
          <w:snapToGrid/>
          <w:szCs w:val="24"/>
        </w:rPr>
        <w:t>Section</w:t>
      </w:r>
      <w:r>
        <w:rPr>
          <w:rFonts w:ascii="Times New Roman" w:hAnsi="Times New Roman"/>
          <w:snapToGrid/>
          <w:szCs w:val="24"/>
        </w:rPr>
        <w:t xml:space="preserve"> 3</w:t>
      </w:r>
      <w:r w:rsidR="00B878C8">
        <w:rPr>
          <w:rFonts w:ascii="Times New Roman" w:hAnsi="Times New Roman"/>
          <w:snapToGrid/>
          <w:szCs w:val="24"/>
        </w:rPr>
        <w:t>37.6</w:t>
      </w:r>
      <w:r>
        <w:rPr>
          <w:rFonts w:ascii="Times New Roman" w:hAnsi="Times New Roman"/>
          <w:snapToGrid/>
          <w:szCs w:val="24"/>
        </w:rPr>
        <w:t xml:space="preserve"> </w:t>
      </w:r>
      <w:r w:rsidR="006A21A7">
        <w:rPr>
          <w:rFonts w:ascii="Times New Roman" w:hAnsi="Times New Roman"/>
          <w:snapToGrid/>
          <w:szCs w:val="24"/>
        </w:rPr>
        <w:t>to define</w:t>
      </w:r>
      <w:r w:rsidRPr="000A129A">
        <w:rPr>
          <w:rFonts w:ascii="Times New Roman" w:hAnsi="Times New Roman"/>
          <w:snapToGrid/>
          <w:szCs w:val="24"/>
        </w:rPr>
        <w:t xml:space="preserve"> the term ‘‘deposit broker’’ to include:</w:t>
      </w:r>
    </w:p>
    <w:p w:rsidRPr="006A21A7" w:rsidR="006A21A7" w:rsidP="006A21A7" w:rsidRDefault="006A21A7">
      <w:pPr>
        <w:widowControl/>
        <w:autoSpaceDE w:val="0"/>
        <w:autoSpaceDN w:val="0"/>
        <w:adjustRightInd w:val="0"/>
        <w:spacing w:after="120"/>
        <w:ind w:left="360"/>
        <w:rPr>
          <w:rFonts w:ascii="Times New Roman" w:hAnsi="Times New Roman"/>
          <w:szCs w:val="24"/>
        </w:rPr>
      </w:pPr>
      <w:r w:rsidRPr="006A21A7">
        <w:rPr>
          <w:rFonts w:ascii="Times New Roman" w:hAnsi="Times New Roman"/>
          <w:szCs w:val="24"/>
        </w:rPr>
        <w:t xml:space="preserve">(A) Any person engaged in the business of placing deposits of third parties with insured depository institutions; </w:t>
      </w:r>
    </w:p>
    <w:p w:rsidRPr="006A21A7" w:rsidR="006A21A7" w:rsidP="006A21A7" w:rsidRDefault="006A21A7">
      <w:pPr>
        <w:widowControl/>
        <w:autoSpaceDE w:val="0"/>
        <w:autoSpaceDN w:val="0"/>
        <w:adjustRightInd w:val="0"/>
        <w:spacing w:after="120"/>
        <w:ind w:left="360"/>
        <w:rPr>
          <w:rFonts w:ascii="Times New Roman" w:hAnsi="Times New Roman"/>
          <w:szCs w:val="24"/>
        </w:rPr>
      </w:pPr>
      <w:r w:rsidRPr="006A21A7">
        <w:rPr>
          <w:rFonts w:ascii="Times New Roman" w:hAnsi="Times New Roman"/>
          <w:szCs w:val="24"/>
        </w:rPr>
        <w:t>(B) Any person engaged in the business of facilitating the placement of deposits of third parties with insured depository institutions;</w:t>
      </w:r>
    </w:p>
    <w:p w:rsidRPr="006A21A7" w:rsidR="006A21A7" w:rsidP="006A21A7" w:rsidRDefault="006A21A7">
      <w:pPr>
        <w:widowControl/>
        <w:autoSpaceDE w:val="0"/>
        <w:autoSpaceDN w:val="0"/>
        <w:adjustRightInd w:val="0"/>
        <w:spacing w:after="120"/>
        <w:ind w:left="360"/>
        <w:rPr>
          <w:rFonts w:ascii="Times New Roman" w:hAnsi="Times New Roman"/>
          <w:szCs w:val="24"/>
        </w:rPr>
      </w:pPr>
      <w:r w:rsidRPr="006A21A7">
        <w:rPr>
          <w:rFonts w:ascii="Times New Roman" w:hAnsi="Times New Roman"/>
          <w:szCs w:val="24"/>
        </w:rPr>
        <w:t xml:space="preserve">(C) Any person engaged in the business of placing deposits with insured depository institutions for the purpose of selling interests in those deposits to third parties; and </w:t>
      </w:r>
    </w:p>
    <w:p w:rsidRPr="006A21A7" w:rsidR="006A21A7" w:rsidP="006A21A7" w:rsidRDefault="006A21A7">
      <w:pPr>
        <w:widowControl/>
        <w:autoSpaceDE w:val="0"/>
        <w:autoSpaceDN w:val="0"/>
        <w:adjustRightInd w:val="0"/>
        <w:spacing w:after="120"/>
        <w:ind w:left="360"/>
        <w:rPr>
          <w:rFonts w:ascii="Times New Roman" w:hAnsi="Times New Roman"/>
          <w:szCs w:val="24"/>
        </w:rPr>
      </w:pPr>
      <w:r w:rsidRPr="006A21A7">
        <w:rPr>
          <w:rFonts w:ascii="Times New Roman" w:hAnsi="Times New Roman"/>
          <w:szCs w:val="24"/>
        </w:rPr>
        <w:t>(D) An agent or trustee who establishes a deposit account to facilitate a business arrangement with an insured depository institution to use the proceeds of the account to fund a prearranged loan.</w:t>
      </w:r>
    </w:p>
    <w:p w:rsidR="00B878C8" w:rsidP="00B878C8" w:rsidRDefault="00B878C8">
      <w:pPr>
        <w:widowControl/>
        <w:autoSpaceDE w:val="0"/>
        <w:autoSpaceDN w:val="0"/>
        <w:adjustRightInd w:val="0"/>
        <w:spacing w:after="120"/>
        <w:rPr>
          <w:rFonts w:ascii="Times New Roman" w:hAnsi="Times New Roman"/>
          <w:snapToGrid/>
          <w:szCs w:val="24"/>
        </w:rPr>
      </w:pPr>
      <w:r>
        <w:rPr>
          <w:rFonts w:ascii="Times New Roman" w:hAnsi="Times New Roman"/>
          <w:szCs w:val="24"/>
        </w:rPr>
        <w:t xml:space="preserve">Under the proposed rule, </w:t>
      </w:r>
      <w:r>
        <w:rPr>
          <w:rFonts w:ascii="Times New Roman" w:hAnsi="Times New Roman"/>
          <w:snapToGrid/>
          <w:szCs w:val="24"/>
        </w:rPr>
        <w:t>a</w:t>
      </w:r>
      <w:r w:rsidRPr="00A2262A">
        <w:rPr>
          <w:rFonts w:ascii="Times New Roman" w:hAnsi="Times New Roman"/>
          <w:snapToGrid/>
          <w:szCs w:val="24"/>
        </w:rPr>
        <w:t xml:space="preserve"> person is </w:t>
      </w:r>
      <w:r>
        <w:rPr>
          <w:rFonts w:ascii="Times New Roman" w:hAnsi="Times New Roman"/>
          <w:szCs w:val="24"/>
        </w:rPr>
        <w:t>“</w:t>
      </w:r>
      <w:r w:rsidRPr="00A2262A">
        <w:rPr>
          <w:rFonts w:ascii="Times New Roman" w:hAnsi="Times New Roman"/>
          <w:snapToGrid/>
          <w:szCs w:val="24"/>
        </w:rPr>
        <w:t>engaged in the business of facilitating the placement of deposits</w:t>
      </w:r>
      <w:r>
        <w:rPr>
          <w:rFonts w:ascii="Times New Roman" w:hAnsi="Times New Roman"/>
          <w:szCs w:val="24"/>
        </w:rPr>
        <w:t>”</w:t>
      </w:r>
      <w:r w:rsidRPr="00A2262A">
        <w:rPr>
          <w:rFonts w:ascii="Times New Roman" w:hAnsi="Times New Roman"/>
          <w:snapToGrid/>
          <w:szCs w:val="24"/>
        </w:rPr>
        <w:t xml:space="preserve"> of third parties with insured depository institutions, by, while engaged in business, engaging in one or more of the following activities:</w:t>
      </w:r>
    </w:p>
    <w:p w:rsidR="00B878C8" w:rsidP="00B878C8" w:rsidRDefault="00B878C8">
      <w:pPr>
        <w:widowControl/>
        <w:autoSpaceDE w:val="0"/>
        <w:autoSpaceDN w:val="0"/>
        <w:adjustRightInd w:val="0"/>
        <w:spacing w:after="120"/>
        <w:ind w:left="360"/>
        <w:rPr>
          <w:rFonts w:ascii="Times New Roman" w:hAnsi="Times New Roman"/>
          <w:snapToGrid/>
          <w:szCs w:val="24"/>
        </w:rPr>
      </w:pPr>
      <w:r w:rsidRPr="00A2262A">
        <w:rPr>
          <w:rFonts w:ascii="Times New Roman" w:hAnsi="Times New Roman"/>
          <w:snapToGrid/>
          <w:szCs w:val="24"/>
        </w:rPr>
        <w:t>(A) The person directly or indirectly shares any third party information with the insured depository institution;</w:t>
      </w:r>
    </w:p>
    <w:p w:rsidR="00B878C8" w:rsidP="00B878C8" w:rsidRDefault="00B878C8">
      <w:pPr>
        <w:widowControl/>
        <w:autoSpaceDE w:val="0"/>
        <w:autoSpaceDN w:val="0"/>
        <w:adjustRightInd w:val="0"/>
        <w:spacing w:after="120"/>
        <w:ind w:left="360"/>
        <w:rPr>
          <w:rFonts w:ascii="Times New Roman" w:hAnsi="Times New Roman"/>
          <w:snapToGrid/>
          <w:szCs w:val="24"/>
        </w:rPr>
      </w:pPr>
      <w:r w:rsidRPr="00A2262A">
        <w:rPr>
          <w:rFonts w:ascii="Times New Roman" w:hAnsi="Times New Roman"/>
          <w:snapToGrid/>
          <w:szCs w:val="24"/>
        </w:rPr>
        <w:t xml:space="preserve">(B) The person has legal authority, contractual or otherwise, to close the account or move the third </w:t>
      </w:r>
      <w:r w:rsidRPr="00B878C8">
        <w:rPr>
          <w:rFonts w:ascii="Times New Roman" w:hAnsi="Times New Roman"/>
          <w:szCs w:val="24"/>
        </w:rPr>
        <w:t>party’s</w:t>
      </w:r>
      <w:r w:rsidRPr="00A2262A">
        <w:rPr>
          <w:rFonts w:ascii="Times New Roman" w:hAnsi="Times New Roman"/>
          <w:snapToGrid/>
          <w:szCs w:val="24"/>
        </w:rPr>
        <w:t xml:space="preserve"> funds to another insured depository institution;</w:t>
      </w:r>
    </w:p>
    <w:p w:rsidR="00B878C8" w:rsidP="00B878C8" w:rsidRDefault="00B878C8">
      <w:pPr>
        <w:widowControl/>
        <w:autoSpaceDE w:val="0"/>
        <w:autoSpaceDN w:val="0"/>
        <w:adjustRightInd w:val="0"/>
        <w:spacing w:after="120"/>
        <w:ind w:left="360"/>
        <w:rPr>
          <w:rFonts w:ascii="Times New Roman" w:hAnsi="Times New Roman"/>
          <w:snapToGrid/>
          <w:szCs w:val="24"/>
        </w:rPr>
      </w:pPr>
      <w:r w:rsidRPr="00A2262A">
        <w:rPr>
          <w:rFonts w:ascii="Times New Roman" w:hAnsi="Times New Roman"/>
          <w:snapToGrid/>
          <w:szCs w:val="24"/>
        </w:rPr>
        <w:t xml:space="preserve">(C) The </w:t>
      </w:r>
      <w:r w:rsidRPr="00B878C8">
        <w:rPr>
          <w:rFonts w:ascii="Times New Roman" w:hAnsi="Times New Roman"/>
          <w:szCs w:val="24"/>
        </w:rPr>
        <w:t>person</w:t>
      </w:r>
      <w:r w:rsidRPr="00A2262A">
        <w:rPr>
          <w:rFonts w:ascii="Times New Roman" w:hAnsi="Times New Roman"/>
          <w:snapToGrid/>
          <w:szCs w:val="24"/>
        </w:rPr>
        <w:t xml:space="preserve"> provides assistance or is involved in setting rates, fees, terms, or conditions for the deposit account; or</w:t>
      </w:r>
    </w:p>
    <w:p w:rsidRPr="00E051FE" w:rsidR="006A21A7" w:rsidP="00B878C8" w:rsidRDefault="00B878C8">
      <w:pPr>
        <w:widowControl/>
        <w:autoSpaceDE w:val="0"/>
        <w:autoSpaceDN w:val="0"/>
        <w:adjustRightInd w:val="0"/>
        <w:spacing w:after="120"/>
        <w:ind w:left="360"/>
        <w:rPr>
          <w:rFonts w:ascii="Times New Roman" w:hAnsi="Times New Roman"/>
          <w:szCs w:val="24"/>
        </w:rPr>
      </w:pPr>
      <w:r w:rsidRPr="00A2262A">
        <w:rPr>
          <w:rFonts w:ascii="Times New Roman" w:hAnsi="Times New Roman"/>
          <w:snapToGrid/>
          <w:szCs w:val="24"/>
        </w:rPr>
        <w:t xml:space="preserve">(D) the </w:t>
      </w:r>
      <w:r w:rsidRPr="00B878C8">
        <w:rPr>
          <w:rFonts w:ascii="Times New Roman" w:hAnsi="Times New Roman"/>
          <w:szCs w:val="24"/>
        </w:rPr>
        <w:t>person</w:t>
      </w:r>
      <w:r w:rsidRPr="00A2262A">
        <w:rPr>
          <w:rFonts w:ascii="Times New Roman" w:hAnsi="Times New Roman"/>
          <w:snapToGrid/>
          <w:szCs w:val="24"/>
        </w:rPr>
        <w:t xml:space="preserve"> is acting, directly or indirectly, with respect to the placement of deposits, as an intermediary between a third party that is placing deposits on behalf of a depositor and an insured depository institution, other than in a purely administrative capacity.</w:t>
      </w:r>
    </w:p>
    <w:p w:rsidR="00806029" w:rsidP="00082A03" w:rsidRDefault="009431CE">
      <w:pPr>
        <w:widowControl/>
        <w:autoSpaceDE w:val="0"/>
        <w:autoSpaceDN w:val="0"/>
        <w:adjustRightInd w:val="0"/>
        <w:rPr>
          <w:rFonts w:ascii="Times New Roman" w:hAnsi="Times New Roman"/>
          <w:snapToGrid/>
          <w:szCs w:val="24"/>
        </w:rPr>
      </w:pPr>
      <w:r w:rsidRPr="00A2262A">
        <w:rPr>
          <w:rFonts w:ascii="Times New Roman" w:hAnsi="Times New Roman"/>
          <w:snapToGrid/>
          <w:szCs w:val="24"/>
        </w:rPr>
        <w:t>Section 29 of the FDI Act (12 U.S.C. 1831f) provides that an agent or nominee is excluded from the definition of deposit broker if its primary purpose is not the placement of funds with depository institutions.</w:t>
      </w:r>
      <w:r>
        <w:rPr>
          <w:rFonts w:ascii="Times New Roman" w:hAnsi="Times New Roman"/>
          <w:snapToGrid/>
          <w:szCs w:val="24"/>
        </w:rPr>
        <w:t xml:space="preserve">  </w:t>
      </w:r>
      <w:r w:rsidR="00B878C8">
        <w:rPr>
          <w:rFonts w:ascii="Times New Roman" w:hAnsi="Times New Roman"/>
          <w:snapToGrid/>
          <w:szCs w:val="24"/>
        </w:rPr>
        <w:t xml:space="preserve">The proposed rule also amends 12 CFR §303.243 by </w:t>
      </w:r>
      <w:r>
        <w:rPr>
          <w:rFonts w:ascii="Times New Roman" w:hAnsi="Times New Roman"/>
          <w:snapToGrid/>
          <w:szCs w:val="24"/>
        </w:rPr>
        <w:t xml:space="preserve">setting forth the </w:t>
      </w:r>
      <w:r w:rsidR="00B878C8">
        <w:rPr>
          <w:rFonts w:ascii="Times New Roman" w:hAnsi="Times New Roman"/>
          <w:snapToGrid/>
          <w:szCs w:val="24"/>
        </w:rPr>
        <w:t>recordkeeping and reporting requirements to</w:t>
      </w:r>
      <w:r>
        <w:rPr>
          <w:rFonts w:ascii="Times New Roman" w:hAnsi="Times New Roman"/>
          <w:snapToGrid/>
          <w:szCs w:val="24"/>
        </w:rPr>
        <w:t xml:space="preserve"> establish and obtain a “primary purpose” exception waiver from the FDIC.</w:t>
      </w:r>
      <w:r w:rsidR="00B878C8">
        <w:rPr>
          <w:rFonts w:ascii="Times New Roman" w:hAnsi="Times New Roman"/>
          <w:snapToGrid/>
          <w:szCs w:val="24"/>
        </w:rPr>
        <w:t xml:space="preserve"> </w:t>
      </w:r>
    </w:p>
    <w:p w:rsidRPr="00AD2568" w:rsidR="00320219" w:rsidP="00082A03" w:rsidRDefault="00320219">
      <w:pPr>
        <w:widowControl/>
        <w:autoSpaceDE w:val="0"/>
        <w:autoSpaceDN w:val="0"/>
        <w:adjustRightInd w:val="0"/>
        <w:rPr>
          <w:rFonts w:ascii="Times New Roman" w:hAnsi="Times New Roman"/>
          <w:snapToGrid/>
          <w:szCs w:val="24"/>
        </w:rPr>
      </w:pPr>
    </w:p>
    <w:p w:rsidR="0066096F" w:rsidP="00827AA7" w:rsidRDefault="003630E5">
      <w:pPr>
        <w:keepNext/>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 xml:space="preserve">Use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P="00827AA7" w:rsidRDefault="003630E5">
      <w:pPr>
        <w:keepNext/>
        <w:rPr>
          <w:rFonts w:ascii="Times New Roman" w:hAnsi="Times New Roman"/>
          <w:szCs w:val="24"/>
        </w:rPr>
      </w:pPr>
    </w:p>
    <w:p w:rsidR="009431CE" w:rsidP="009431CE" w:rsidRDefault="009431CE">
      <w:pPr>
        <w:widowControl/>
        <w:autoSpaceDE w:val="0"/>
        <w:autoSpaceDN w:val="0"/>
        <w:adjustRightInd w:val="0"/>
        <w:rPr>
          <w:rFonts w:ascii="Times New Roman" w:hAnsi="Times New Roman"/>
          <w:snapToGrid/>
          <w:szCs w:val="24"/>
        </w:rPr>
      </w:pPr>
      <w:r>
        <w:rPr>
          <w:rFonts w:ascii="Times New Roman" w:hAnsi="Times New Roman"/>
          <w:snapToGrid/>
          <w:szCs w:val="24"/>
        </w:rPr>
        <w:t>For the application for waiver of the prohibition on the acceptance of brokered deposits, t</w:t>
      </w:r>
      <w:r w:rsidRPr="009431CE">
        <w:rPr>
          <w:rFonts w:ascii="Times New Roman" w:hAnsi="Times New Roman"/>
          <w:snapToGrid/>
          <w:szCs w:val="24"/>
        </w:rPr>
        <w:t>he applicant is required to furnish information in letter form.  Generally, the required information pertains to the timeframe for which the waiver is requested; policies governing the use of the deposits; the volume, rates, and maturities of deposits held and anticipated; asset growth plans; procedures and practices regarding deposit solicitations; management oversight of the solicitation, acceptance, and use of the deposits; the reasons the institution believes its acceptance, renewal, or rollover of brokered deposits would pose no undue risk; and a recent consolidated financial statement, including balance sheet and income statement.</w:t>
      </w:r>
    </w:p>
    <w:p w:rsidR="009431CE" w:rsidP="009431CE" w:rsidRDefault="009431CE">
      <w:pPr>
        <w:widowControl/>
        <w:autoSpaceDE w:val="0"/>
        <w:autoSpaceDN w:val="0"/>
        <w:adjustRightInd w:val="0"/>
        <w:rPr>
          <w:rFonts w:ascii="Times New Roman" w:hAnsi="Times New Roman"/>
          <w:snapToGrid/>
          <w:szCs w:val="24"/>
        </w:rPr>
      </w:pPr>
    </w:p>
    <w:p w:rsidR="00827AA7" w:rsidP="009431CE" w:rsidRDefault="009431CE">
      <w:pPr>
        <w:widowControl/>
        <w:autoSpaceDE w:val="0"/>
        <w:autoSpaceDN w:val="0"/>
        <w:adjustRightInd w:val="0"/>
        <w:rPr>
          <w:rFonts w:ascii="Times New Roman" w:hAnsi="Times New Roman"/>
        </w:rPr>
      </w:pPr>
      <w:r>
        <w:rPr>
          <w:rFonts w:ascii="Times New Roman" w:hAnsi="Times New Roman"/>
          <w:snapToGrid/>
          <w:szCs w:val="24"/>
        </w:rPr>
        <w:t xml:space="preserve">For the application for a primary purpose exception, the applicant is required to furnish information to establish that it qualifies for the primary purpose exception. </w:t>
      </w:r>
      <w:r>
        <w:rPr>
          <w:rFonts w:ascii="Times New Roman" w:hAnsi="Times New Roman"/>
        </w:rPr>
        <w:t xml:space="preserve">The information furnished by the applicant is used by the FDIC as a basis for evaluating the factors required by </w:t>
      </w:r>
      <w:r w:rsidR="00D51929">
        <w:rPr>
          <w:rFonts w:ascii="Times New Roman" w:hAnsi="Times New Roman"/>
        </w:rPr>
        <w:t>the proposed rule</w:t>
      </w:r>
      <w:r>
        <w:rPr>
          <w:rFonts w:ascii="Times New Roman" w:hAnsi="Times New Roman"/>
        </w:rPr>
        <w:t xml:space="preserve"> before approving the application.</w:t>
      </w:r>
    </w:p>
    <w:p w:rsidR="00D51929" w:rsidP="009431CE" w:rsidRDefault="00D51929">
      <w:pPr>
        <w:widowControl/>
        <w:autoSpaceDE w:val="0"/>
        <w:autoSpaceDN w:val="0"/>
        <w:adjustRightInd w:val="0"/>
        <w:rPr>
          <w:rFonts w:ascii="Times New Roman" w:hAnsi="Times New Roman"/>
        </w:rPr>
      </w:pPr>
    </w:p>
    <w:p w:rsidR="00D51929" w:rsidP="009431CE" w:rsidRDefault="00D51929">
      <w:pPr>
        <w:widowControl/>
        <w:autoSpaceDE w:val="0"/>
        <w:autoSpaceDN w:val="0"/>
        <w:adjustRightInd w:val="0"/>
        <w:rPr>
          <w:rFonts w:ascii="Times New Roman" w:hAnsi="Times New Roman"/>
          <w:snapToGrid/>
          <w:szCs w:val="24"/>
        </w:rPr>
      </w:pPr>
      <w:r>
        <w:rPr>
          <w:rFonts w:ascii="Times New Roman" w:hAnsi="Times New Roman"/>
        </w:rPr>
        <w:t>A depository institution must maintain and, upon request must present to an examiner, records to establish that applicable requirements continue to be met for deposits placed by a third party that has been granted a primary purpose exception by FDIC.</w:t>
      </w:r>
    </w:p>
    <w:p w:rsidRPr="00576EF9" w:rsidR="00320219" w:rsidP="00082A03" w:rsidRDefault="00320219">
      <w:pPr>
        <w:rPr>
          <w:rFonts w:ascii="Times New Roman" w:hAnsi="Times New Roman"/>
          <w:szCs w:val="24"/>
        </w:rPr>
      </w:pPr>
    </w:p>
    <w:p w:rsidR="0066096F" w:rsidP="00082A03" w:rsidRDefault="004877A3">
      <w:pPr>
        <w:rPr>
          <w:rFonts w:ascii="Times New Roman" w:hAnsi="Times New Roman"/>
          <w:szCs w:val="24"/>
        </w:rPr>
      </w:pPr>
      <w:r w:rsidRPr="004877A3">
        <w:rPr>
          <w:rFonts w:ascii="Times New Roman" w:hAnsi="Times New Roman"/>
          <w:szCs w:val="24"/>
        </w:rPr>
        <w:t xml:space="preserve">3.  </w:t>
      </w:r>
      <w:r w:rsidRPr="00174870" w:rsidR="00174870">
        <w:rPr>
          <w:rFonts w:ascii="Times New Roman" w:hAnsi="Times New Roman"/>
          <w:bCs/>
          <w:szCs w:val="24"/>
          <w:u w:val="single"/>
        </w:rPr>
        <w:t>Consideration of the use of improved information technology:</w:t>
      </w:r>
    </w:p>
    <w:p w:rsidRPr="00576EF9" w:rsidR="004877A3" w:rsidP="00082A03" w:rsidRDefault="004877A3">
      <w:pPr>
        <w:rPr>
          <w:rFonts w:ascii="Times New Roman" w:hAnsi="Times New Roman"/>
          <w:szCs w:val="24"/>
        </w:rPr>
      </w:pPr>
    </w:p>
    <w:p w:rsidRPr="00F930C6" w:rsidR="00827AA7" w:rsidP="00827AA7" w:rsidRDefault="00D3367F">
      <w:pPr>
        <w:rPr>
          <w:rFonts w:ascii="Times New Roman" w:hAnsi="Times New Roman"/>
          <w:szCs w:val="24"/>
        </w:rPr>
      </w:pPr>
      <w:r w:rsidRPr="00D3367F">
        <w:rPr>
          <w:rFonts w:ascii="Times New Roman" w:hAnsi="Times New Roman"/>
          <w:iCs/>
          <w:szCs w:val="24"/>
        </w:rPr>
        <w:t>Applicants are free to use whatever methods are least burdensome for them to supply the required information.</w:t>
      </w:r>
      <w:r>
        <w:rPr>
          <w:rFonts w:ascii="Times New Roman" w:hAnsi="Times New Roman"/>
          <w:iCs/>
          <w:szCs w:val="24"/>
        </w:rPr>
        <w:t xml:space="preserve">  Records can be maintained utilizing a</w:t>
      </w:r>
      <w:r w:rsidRPr="00F930C6" w:rsidR="00F930C6">
        <w:rPr>
          <w:rFonts w:ascii="Times New Roman" w:hAnsi="Times New Roman"/>
          <w:iCs/>
          <w:szCs w:val="24"/>
        </w:rPr>
        <w:t xml:space="preserve">ny information technology that permits review by </w:t>
      </w:r>
      <w:r w:rsidR="00F930C6">
        <w:rPr>
          <w:rFonts w:ascii="Times New Roman" w:hAnsi="Times New Roman"/>
          <w:iCs/>
          <w:szCs w:val="24"/>
        </w:rPr>
        <w:t>FDIC</w:t>
      </w:r>
      <w:r w:rsidRPr="00F930C6" w:rsidR="00F930C6">
        <w:rPr>
          <w:rFonts w:ascii="Times New Roman" w:hAnsi="Times New Roman"/>
          <w:iCs/>
          <w:szCs w:val="24"/>
        </w:rPr>
        <w:t xml:space="preserve"> examiners.</w:t>
      </w:r>
      <w:r w:rsidRPr="00F930C6" w:rsidR="00827AA7">
        <w:rPr>
          <w:rFonts w:ascii="Times New Roman" w:hAnsi="Times New Roman"/>
          <w:szCs w:val="24"/>
        </w:rPr>
        <w:t xml:space="preserve">  </w:t>
      </w:r>
    </w:p>
    <w:p w:rsidRPr="00827AA7" w:rsidR="00827AA7" w:rsidP="00827AA7" w:rsidRDefault="00827AA7">
      <w:pPr>
        <w:rPr>
          <w:rFonts w:ascii="Times New Roman" w:hAnsi="Times New Roman"/>
          <w:szCs w:val="24"/>
        </w:rPr>
      </w:pPr>
    </w:p>
    <w:p w:rsidR="003968C7" w:rsidRDefault="003968C7">
      <w:pPr>
        <w:widowControl/>
        <w:rPr>
          <w:rFonts w:ascii="Times New Roman" w:hAnsi="Times New Roman"/>
          <w:szCs w:val="24"/>
        </w:rPr>
      </w:pPr>
    </w:p>
    <w:p w:rsidRPr="00576EF9" w:rsidR="0066096F" w:rsidP="00F930C6" w:rsidRDefault="0066096F">
      <w:pPr>
        <w:keepNext/>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Pr="00082A03" w:rsidR="00082A03">
        <w:rPr>
          <w:rFonts w:ascii="Times New Roman" w:hAnsi="Times New Roman"/>
          <w:szCs w:val="24"/>
          <w:u w:val="single"/>
        </w:rPr>
        <w:t xml:space="preserve">Efforts to </w:t>
      </w:r>
      <w:r w:rsidR="00174870">
        <w:rPr>
          <w:rFonts w:ascii="Times New Roman" w:hAnsi="Times New Roman"/>
          <w:szCs w:val="24"/>
          <w:u w:val="single"/>
        </w:rPr>
        <w:t>identify d</w:t>
      </w:r>
      <w:r w:rsidRPr="00082A03" w:rsidR="00082A03">
        <w:rPr>
          <w:rFonts w:ascii="Times New Roman" w:hAnsi="Times New Roman"/>
          <w:szCs w:val="24"/>
          <w:u w:val="single"/>
        </w:rPr>
        <w:t>uplication</w:t>
      </w:r>
      <w:r w:rsidR="00174870">
        <w:rPr>
          <w:rFonts w:ascii="Times New Roman" w:hAnsi="Times New Roman"/>
          <w:szCs w:val="24"/>
          <w:u w:val="single"/>
        </w:rPr>
        <w:t>:</w:t>
      </w:r>
    </w:p>
    <w:p w:rsidRPr="00576EF9" w:rsidR="0066096F" w:rsidP="00F930C6" w:rsidRDefault="0066096F">
      <w:pPr>
        <w:keepNext/>
        <w:rPr>
          <w:rFonts w:ascii="Times New Roman" w:hAnsi="Times New Roman"/>
          <w:szCs w:val="24"/>
        </w:rPr>
      </w:pPr>
    </w:p>
    <w:p w:rsidR="00827AA7" w:rsidP="00F930C6" w:rsidRDefault="00F63B94">
      <w:pPr>
        <w:keepNext/>
        <w:rPr>
          <w:rFonts w:ascii="Times New Roman" w:hAnsi="Times New Roman"/>
        </w:rPr>
      </w:pPr>
      <w:r w:rsidRPr="00F63B94">
        <w:rPr>
          <w:rFonts w:ascii="Times New Roman" w:hAnsi="Times New Roman"/>
        </w:rPr>
        <w:t>The information required is unique.  It is not duplicated elsewhere.</w:t>
      </w:r>
    </w:p>
    <w:p w:rsidR="0066096F" w:rsidP="00082A03" w:rsidRDefault="0066096F">
      <w:pPr>
        <w:rPr>
          <w:rFonts w:ascii="Times New Roman" w:hAnsi="Times New Roman"/>
          <w:szCs w:val="24"/>
        </w:rPr>
      </w:pPr>
    </w:p>
    <w:p w:rsidR="003968C7" w:rsidP="00082A03" w:rsidRDefault="003968C7">
      <w:pPr>
        <w:rPr>
          <w:rFonts w:ascii="Times New Roman" w:hAnsi="Times New Roman"/>
          <w:szCs w:val="24"/>
        </w:rPr>
      </w:pPr>
    </w:p>
    <w:p w:rsidRPr="00576EF9" w:rsidR="0066096F" w:rsidP="00082A03" w:rsidRDefault="0066096F">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Pr="00174870" w:rsidR="00174870">
        <w:rPr>
          <w:rFonts w:ascii="Times New Roman" w:hAnsi="Times New Roman"/>
          <w:bCs/>
          <w:szCs w:val="24"/>
          <w:u w:val="single"/>
        </w:rPr>
        <w:t>Methods used to minimize burden if the collection has a significant impact on a substantial number of small entities:</w:t>
      </w:r>
    </w:p>
    <w:p w:rsidRPr="00576EF9" w:rsidR="0066096F" w:rsidP="00082A03" w:rsidRDefault="0066096F">
      <w:pPr>
        <w:rPr>
          <w:rFonts w:ascii="Times New Roman" w:hAnsi="Times New Roman"/>
          <w:szCs w:val="24"/>
        </w:rPr>
      </w:pPr>
    </w:p>
    <w:p w:rsidRPr="005C18FF" w:rsidR="005C18FF" w:rsidP="005C18FF" w:rsidRDefault="005C18FF">
      <w:pPr>
        <w:tabs>
          <w:tab w:val="left" w:pos="-1440"/>
        </w:tabs>
        <w:rPr>
          <w:rFonts w:ascii="Times New Roman" w:hAnsi="Times New Roman"/>
          <w:szCs w:val="24"/>
        </w:rPr>
      </w:pPr>
      <w:r w:rsidRPr="005C18FF">
        <w:rPr>
          <w:rFonts w:ascii="Times New Roman" w:hAnsi="Times New Roman"/>
          <w:szCs w:val="24"/>
        </w:rPr>
        <w:t>All insured state chartered associations (and federal savings associations, where applicable), regardless of size, must submit the same applications</w:t>
      </w:r>
      <w:r>
        <w:rPr>
          <w:rFonts w:ascii="Times New Roman" w:hAnsi="Times New Roman"/>
          <w:szCs w:val="24"/>
        </w:rPr>
        <w:t>.  The information required to be submitted in the applications</w:t>
      </w:r>
      <w:r w:rsidRPr="005C18FF">
        <w:rPr>
          <w:rFonts w:ascii="Times New Roman" w:hAnsi="Times New Roman"/>
          <w:szCs w:val="24"/>
        </w:rPr>
        <w:t xml:space="preserve"> </w:t>
      </w:r>
      <w:r>
        <w:rPr>
          <w:rFonts w:ascii="Times New Roman" w:hAnsi="Times New Roman"/>
          <w:szCs w:val="24"/>
        </w:rPr>
        <w:t>are intended</w:t>
      </w:r>
      <w:r w:rsidRPr="005C18FF">
        <w:rPr>
          <w:rFonts w:ascii="Times New Roman" w:hAnsi="Times New Roman"/>
          <w:szCs w:val="24"/>
        </w:rPr>
        <w:t xml:space="preserve"> to impose the minimum burden consistent with the FDIC's statutory mandates.</w:t>
      </w:r>
    </w:p>
    <w:p w:rsidR="00C40FA3" w:rsidP="003030A4" w:rsidRDefault="00C40FA3">
      <w:pPr>
        <w:tabs>
          <w:tab w:val="left" w:pos="-1440"/>
        </w:tabs>
        <w:rPr>
          <w:rFonts w:ascii="Times New Roman" w:hAnsi="Times New Roman"/>
          <w:szCs w:val="24"/>
        </w:rPr>
      </w:pPr>
    </w:p>
    <w:p w:rsidR="00320219" w:rsidP="003030A4" w:rsidRDefault="00320219">
      <w:pPr>
        <w:tabs>
          <w:tab w:val="left" w:pos="-1440"/>
        </w:tabs>
        <w:rPr>
          <w:rFonts w:ascii="Times New Roman" w:hAnsi="Times New Roman"/>
          <w:szCs w:val="24"/>
        </w:rPr>
      </w:pPr>
    </w:p>
    <w:p w:rsidRPr="00576EF9" w:rsidR="0066096F" w:rsidP="00082A03" w:rsidRDefault="005C7645">
      <w:pPr>
        <w:tabs>
          <w:tab w:val="left" w:pos="-1440"/>
        </w:tabs>
        <w:rPr>
          <w:rFonts w:ascii="Times New Roman" w:hAnsi="Times New Roman"/>
          <w:szCs w:val="24"/>
        </w:rPr>
      </w:pPr>
      <w:r w:rsidRPr="005C7645">
        <w:rPr>
          <w:rFonts w:ascii="Times New Roman" w:hAnsi="Times New Roman"/>
          <w:szCs w:val="24"/>
        </w:rPr>
        <w:t xml:space="preserve">6.  </w:t>
      </w:r>
      <w:r w:rsidRPr="00C40FA3" w:rsidR="00C40FA3">
        <w:rPr>
          <w:rFonts w:ascii="Times New Roman" w:hAnsi="Times New Roman"/>
          <w:bCs/>
          <w:szCs w:val="24"/>
          <w:u w:val="single"/>
        </w:rPr>
        <w:t>Consequences to the Federal program if the collection were conducted less frequently:</w:t>
      </w:r>
    </w:p>
    <w:p w:rsidRPr="00576EF9" w:rsidR="0066096F" w:rsidP="00082A03" w:rsidRDefault="0066096F">
      <w:pPr>
        <w:rPr>
          <w:rFonts w:ascii="Times New Roman" w:hAnsi="Times New Roman"/>
          <w:szCs w:val="24"/>
        </w:rPr>
      </w:pPr>
    </w:p>
    <w:p w:rsidRPr="00576EF9" w:rsidR="0066096F" w:rsidP="00827AA7" w:rsidRDefault="005536EB">
      <w:pPr>
        <w:widowControl/>
        <w:rPr>
          <w:rFonts w:ascii="Times New Roman" w:hAnsi="Times New Roman"/>
          <w:szCs w:val="24"/>
        </w:rPr>
      </w:pPr>
      <w:r w:rsidRPr="005536EB">
        <w:rPr>
          <w:rFonts w:ascii="Times New Roman" w:hAnsi="Times New Roman"/>
          <w:szCs w:val="24"/>
        </w:rPr>
        <w:t>Conducting the collection less frequently would present safety and soundness risks.</w:t>
      </w:r>
    </w:p>
    <w:p w:rsidR="003030A4" w:rsidP="00082A03" w:rsidRDefault="003030A4">
      <w:pPr>
        <w:rPr>
          <w:rFonts w:ascii="Times New Roman" w:hAnsi="Times New Roman"/>
          <w:szCs w:val="24"/>
        </w:rPr>
      </w:pPr>
    </w:p>
    <w:p w:rsidRPr="00576EF9" w:rsidR="00320219" w:rsidP="00082A03" w:rsidRDefault="00320219">
      <w:pPr>
        <w:rPr>
          <w:rFonts w:ascii="Times New Roman" w:hAnsi="Times New Roman"/>
          <w:szCs w:val="24"/>
        </w:rPr>
      </w:pPr>
    </w:p>
    <w:p w:rsidRPr="00674F46" w:rsidR="00674F46" w:rsidP="00674F46" w:rsidRDefault="00674F46">
      <w:pPr>
        <w:rPr>
          <w:rFonts w:ascii="Times New Roman" w:hAnsi="Times New Roman"/>
          <w:szCs w:val="24"/>
        </w:rPr>
      </w:pPr>
      <w:r w:rsidRPr="00674F46">
        <w:rPr>
          <w:rFonts w:ascii="Times New Roman" w:hAnsi="Times New Roman"/>
          <w:szCs w:val="24"/>
        </w:rPr>
        <w:t xml:space="preserve">7.  </w:t>
      </w:r>
      <w:r w:rsidRPr="00C40FA3" w:rsidR="00C40FA3">
        <w:rPr>
          <w:rFonts w:ascii="Times New Roman" w:hAnsi="Times New Roman"/>
          <w:bCs/>
          <w:szCs w:val="24"/>
          <w:u w:val="single"/>
        </w:rPr>
        <w:t>Special circumstances necessitating collection inconsistent with 5 CFR Part 1320.5(d)(2):</w:t>
      </w:r>
    </w:p>
    <w:p w:rsidRPr="00674F46" w:rsidR="00674F46" w:rsidP="00674F46" w:rsidRDefault="00674F46">
      <w:pPr>
        <w:rPr>
          <w:rFonts w:ascii="Times New Roman" w:hAnsi="Times New Roman"/>
          <w:szCs w:val="24"/>
        </w:rPr>
      </w:pPr>
    </w:p>
    <w:p w:rsidRPr="00674F46" w:rsidR="00674F46" w:rsidP="00674F46" w:rsidRDefault="00C40FA3">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Pr="00674F46" w:rsidR="00674F46">
        <w:rPr>
          <w:rFonts w:ascii="Times New Roman" w:hAnsi="Times New Roman"/>
          <w:szCs w:val="24"/>
        </w:rPr>
        <w:t>.</w:t>
      </w:r>
    </w:p>
    <w:p w:rsidR="003030A4" w:rsidP="00674F46" w:rsidRDefault="003030A4">
      <w:pPr>
        <w:rPr>
          <w:rFonts w:ascii="Times New Roman" w:hAnsi="Times New Roman"/>
          <w:szCs w:val="24"/>
        </w:rPr>
      </w:pPr>
    </w:p>
    <w:p w:rsidRPr="00674F46" w:rsidR="00320219" w:rsidP="00674F46" w:rsidRDefault="00320219">
      <w:pPr>
        <w:rPr>
          <w:rFonts w:ascii="Times New Roman" w:hAnsi="Times New Roman"/>
          <w:szCs w:val="24"/>
        </w:rPr>
      </w:pPr>
    </w:p>
    <w:p w:rsidRPr="00674F46" w:rsidR="00674F46" w:rsidP="00674F46" w:rsidRDefault="00674F46">
      <w:pPr>
        <w:rPr>
          <w:rFonts w:ascii="Times New Roman" w:hAnsi="Times New Roman"/>
          <w:szCs w:val="24"/>
        </w:rPr>
      </w:pPr>
      <w:r w:rsidRPr="00674F46">
        <w:rPr>
          <w:rFonts w:ascii="Times New Roman" w:hAnsi="Times New Roman"/>
          <w:szCs w:val="24"/>
        </w:rPr>
        <w:t xml:space="preserve">8.  </w:t>
      </w:r>
      <w:r w:rsidRPr="008873E8" w:rsidR="00C40FA3">
        <w:rPr>
          <w:rFonts w:ascii="Times New Roman" w:hAnsi="Times New Roman"/>
          <w:bCs/>
          <w:szCs w:val="24"/>
          <w:u w:val="single"/>
        </w:rPr>
        <w:t>Efforts to consult with persons outside the agency:</w:t>
      </w:r>
    </w:p>
    <w:p w:rsidR="00674F46" w:rsidP="00082A03" w:rsidRDefault="00674F46">
      <w:pPr>
        <w:rPr>
          <w:rFonts w:ascii="Times New Roman" w:hAnsi="Times New Roman"/>
          <w:szCs w:val="24"/>
        </w:rPr>
      </w:pPr>
    </w:p>
    <w:p w:rsidRPr="008C5E8D" w:rsidR="00674F46" w:rsidP="002A33F6" w:rsidRDefault="00674F46">
      <w:pPr>
        <w:rPr>
          <w:rFonts w:ascii="Times New Roman" w:hAnsi="Times New Roman"/>
          <w:szCs w:val="24"/>
        </w:rPr>
      </w:pPr>
      <w:r w:rsidRPr="00674F46">
        <w:rPr>
          <w:rFonts w:ascii="Times New Roman" w:hAnsi="Times New Roman"/>
          <w:szCs w:val="24"/>
        </w:rPr>
        <w:t xml:space="preserve">On </w:t>
      </w:r>
      <w:r w:rsidR="005C18FF">
        <w:rPr>
          <w:rFonts w:ascii="Times New Roman" w:hAnsi="Times New Roman"/>
          <w:szCs w:val="24"/>
        </w:rPr>
        <w:t>February 10, 2020</w:t>
      </w:r>
      <w:r w:rsidRPr="00674F46">
        <w:rPr>
          <w:rFonts w:ascii="Times New Roman" w:hAnsi="Times New Roman"/>
          <w:szCs w:val="24"/>
        </w:rPr>
        <w:t xml:space="preserve"> the </w:t>
      </w:r>
      <w:r w:rsidR="00827AA7">
        <w:rPr>
          <w:rFonts w:ascii="Times New Roman" w:hAnsi="Times New Roman"/>
          <w:szCs w:val="24"/>
        </w:rPr>
        <w:t>FDIC</w:t>
      </w:r>
      <w:r w:rsidRPr="00674F46">
        <w:rPr>
          <w:rFonts w:ascii="Times New Roman" w:hAnsi="Times New Roman"/>
          <w:szCs w:val="24"/>
        </w:rPr>
        <w:t xml:space="preserve"> published </w:t>
      </w:r>
      <w:r w:rsidR="005C18FF">
        <w:rPr>
          <w:rFonts w:ascii="Times New Roman" w:hAnsi="Times New Roman"/>
          <w:szCs w:val="24"/>
        </w:rPr>
        <w:t>a</w:t>
      </w:r>
      <w:r w:rsidRPr="00674F46">
        <w:rPr>
          <w:rFonts w:ascii="Times New Roman" w:hAnsi="Times New Roman"/>
          <w:szCs w:val="24"/>
        </w:rPr>
        <w:t xml:space="preserve"> notice </w:t>
      </w:r>
      <w:r w:rsidR="005C18FF">
        <w:rPr>
          <w:rFonts w:ascii="Times New Roman" w:hAnsi="Times New Roman"/>
          <w:szCs w:val="24"/>
        </w:rPr>
        <w:t xml:space="preserve">of proposed rulemaking </w:t>
      </w:r>
      <w:r w:rsidRPr="00674F46">
        <w:rPr>
          <w:rFonts w:ascii="Times New Roman" w:hAnsi="Times New Roman"/>
          <w:szCs w:val="24"/>
        </w:rPr>
        <w:t>in the Federal Register (</w:t>
      </w:r>
      <w:r w:rsidRPr="007A6847" w:rsidR="004C489A">
        <w:rPr>
          <w:rFonts w:ascii="Times New Roman" w:hAnsi="Times New Roman"/>
          <w:szCs w:val="24"/>
        </w:rPr>
        <w:t>8</w:t>
      </w:r>
      <w:r w:rsidR="005C18FF">
        <w:rPr>
          <w:rFonts w:ascii="Times New Roman" w:hAnsi="Times New Roman"/>
          <w:szCs w:val="24"/>
        </w:rPr>
        <w:t>5</w:t>
      </w:r>
      <w:r w:rsidRPr="007A6847" w:rsidR="004C489A">
        <w:rPr>
          <w:rFonts w:ascii="Times New Roman" w:hAnsi="Times New Roman"/>
          <w:szCs w:val="24"/>
        </w:rPr>
        <w:t xml:space="preserve"> FR </w:t>
      </w:r>
      <w:r w:rsidR="005C18FF">
        <w:rPr>
          <w:rFonts w:ascii="Times New Roman" w:hAnsi="Times New Roman"/>
          <w:szCs w:val="24"/>
        </w:rPr>
        <w:t>7453</w:t>
      </w:r>
      <w:r w:rsidRPr="00674F46">
        <w:rPr>
          <w:rFonts w:ascii="Times New Roman" w:hAnsi="Times New Roman"/>
          <w:szCs w:val="24"/>
        </w:rPr>
        <w:t xml:space="preserve">) requesting public comment for 60 days on </w:t>
      </w:r>
      <w:r w:rsidR="005C18FF">
        <w:rPr>
          <w:rFonts w:ascii="Times New Roman" w:hAnsi="Times New Roman"/>
          <w:szCs w:val="24"/>
        </w:rPr>
        <w:t xml:space="preserve">proposed revisions to </w:t>
      </w:r>
      <w:r w:rsidR="004C489A">
        <w:rPr>
          <w:rFonts w:ascii="Times New Roman" w:hAnsi="Times New Roman"/>
          <w:szCs w:val="24"/>
        </w:rPr>
        <w:t>th</w:t>
      </w:r>
      <w:r w:rsidR="00827AA7">
        <w:rPr>
          <w:rFonts w:ascii="Times New Roman" w:hAnsi="Times New Roman"/>
          <w:szCs w:val="24"/>
        </w:rPr>
        <w:t>is</w:t>
      </w:r>
      <w:r w:rsidR="004C489A">
        <w:rPr>
          <w:rFonts w:ascii="Times New Roman" w:hAnsi="Times New Roman"/>
          <w:szCs w:val="24"/>
        </w:rPr>
        <w:t xml:space="preserve"> </w:t>
      </w:r>
      <w:r w:rsidR="00C40FA3">
        <w:rPr>
          <w:rFonts w:ascii="Times New Roman" w:hAnsi="Times New Roman"/>
          <w:szCs w:val="24"/>
        </w:rPr>
        <w:t>information collection</w:t>
      </w:r>
      <w:r w:rsidRPr="00674F46">
        <w:rPr>
          <w:rFonts w:ascii="Times New Roman" w:hAnsi="Times New Roman"/>
          <w:szCs w:val="24"/>
        </w:rPr>
        <w:t>.  The commen</w:t>
      </w:r>
      <w:r w:rsidR="005C18FF">
        <w:rPr>
          <w:rFonts w:ascii="Times New Roman" w:hAnsi="Times New Roman"/>
          <w:szCs w:val="24"/>
        </w:rPr>
        <w:t>t period for this notice expires</w:t>
      </w:r>
      <w:r w:rsidRPr="00674F46">
        <w:rPr>
          <w:rFonts w:ascii="Times New Roman" w:hAnsi="Times New Roman"/>
          <w:szCs w:val="24"/>
        </w:rPr>
        <w:t xml:space="preserve"> on </w:t>
      </w:r>
      <w:r w:rsidR="005C18FF">
        <w:rPr>
          <w:rFonts w:ascii="Times New Roman" w:hAnsi="Times New Roman"/>
          <w:szCs w:val="24"/>
        </w:rPr>
        <w:t>April</w:t>
      </w:r>
      <w:r w:rsidR="004C489A">
        <w:rPr>
          <w:rFonts w:ascii="Times New Roman" w:hAnsi="Times New Roman"/>
          <w:szCs w:val="24"/>
        </w:rPr>
        <w:t xml:space="preserve"> </w:t>
      </w:r>
      <w:r w:rsidR="005C18FF">
        <w:rPr>
          <w:rFonts w:ascii="Times New Roman" w:hAnsi="Times New Roman"/>
          <w:szCs w:val="24"/>
        </w:rPr>
        <w:t>1</w:t>
      </w:r>
      <w:r w:rsidR="00827AA7">
        <w:rPr>
          <w:rFonts w:ascii="Times New Roman" w:hAnsi="Times New Roman"/>
          <w:szCs w:val="24"/>
        </w:rPr>
        <w:t>0</w:t>
      </w:r>
      <w:r w:rsidRPr="00674F46">
        <w:rPr>
          <w:rFonts w:ascii="Times New Roman" w:hAnsi="Times New Roman"/>
          <w:szCs w:val="24"/>
        </w:rPr>
        <w:t>, 20</w:t>
      </w:r>
      <w:r w:rsidR="005C18FF">
        <w:rPr>
          <w:rFonts w:ascii="Times New Roman" w:hAnsi="Times New Roman"/>
          <w:szCs w:val="24"/>
        </w:rPr>
        <w:t>20</w:t>
      </w:r>
      <w:r w:rsidRPr="00674F46">
        <w:rPr>
          <w:rFonts w:ascii="Times New Roman" w:hAnsi="Times New Roman"/>
          <w:szCs w:val="24"/>
        </w:rPr>
        <w:t>.</w:t>
      </w:r>
      <w:r w:rsidR="008C5E8D">
        <w:rPr>
          <w:rFonts w:ascii="Times New Roman" w:hAnsi="Times New Roman"/>
          <w:szCs w:val="24"/>
        </w:rPr>
        <w:t xml:space="preserve">  The </w:t>
      </w:r>
      <w:r w:rsidR="00827AA7">
        <w:rPr>
          <w:rFonts w:ascii="Times New Roman" w:hAnsi="Times New Roman"/>
          <w:szCs w:val="24"/>
        </w:rPr>
        <w:t>FDIC</w:t>
      </w:r>
      <w:r w:rsidR="008C5E8D">
        <w:rPr>
          <w:rFonts w:ascii="Times New Roman" w:hAnsi="Times New Roman"/>
          <w:szCs w:val="24"/>
        </w:rPr>
        <w:t xml:space="preserve"> </w:t>
      </w:r>
      <w:r w:rsidR="005C18FF">
        <w:rPr>
          <w:rFonts w:ascii="Times New Roman" w:hAnsi="Times New Roman"/>
          <w:szCs w:val="24"/>
        </w:rPr>
        <w:t>address</w:t>
      </w:r>
      <w:r w:rsidR="004C489A">
        <w:rPr>
          <w:rFonts w:ascii="Times New Roman" w:hAnsi="Times New Roman"/>
          <w:szCs w:val="24"/>
        </w:rPr>
        <w:t xml:space="preserve"> any</w:t>
      </w:r>
      <w:r w:rsidR="008C5E8D">
        <w:rPr>
          <w:rFonts w:ascii="Times New Roman" w:hAnsi="Times New Roman"/>
          <w:szCs w:val="24"/>
        </w:rPr>
        <w:t xml:space="preserve"> comment</w:t>
      </w:r>
      <w:r w:rsidR="004C489A">
        <w:rPr>
          <w:rFonts w:ascii="Times New Roman" w:hAnsi="Times New Roman"/>
          <w:szCs w:val="24"/>
        </w:rPr>
        <w:t>s</w:t>
      </w:r>
      <w:r w:rsidR="005C18FF">
        <w:rPr>
          <w:rFonts w:ascii="Times New Roman" w:hAnsi="Times New Roman"/>
          <w:szCs w:val="24"/>
        </w:rPr>
        <w:t xml:space="preserve"> received when the final rule is published</w:t>
      </w:r>
      <w:r w:rsidR="00C40FA3">
        <w:rPr>
          <w:rFonts w:ascii="Times New Roman" w:hAnsi="Times New Roman"/>
          <w:szCs w:val="24"/>
        </w:rPr>
        <w:t>.</w:t>
      </w:r>
    </w:p>
    <w:p w:rsidR="00674F46" w:rsidP="00674F46" w:rsidRDefault="00674F46">
      <w:pPr>
        <w:rPr>
          <w:rFonts w:ascii="Times New Roman" w:hAnsi="Times New Roman"/>
          <w:szCs w:val="24"/>
        </w:rPr>
      </w:pPr>
      <w:r w:rsidRPr="008C5E8D">
        <w:rPr>
          <w:rFonts w:ascii="Times New Roman" w:hAnsi="Times New Roman"/>
          <w:szCs w:val="24"/>
        </w:rPr>
        <w:t xml:space="preserve">  </w:t>
      </w:r>
    </w:p>
    <w:p w:rsidRPr="009172D2" w:rsidR="00320219" w:rsidP="00674F46" w:rsidRDefault="00320219">
      <w:pPr>
        <w:rPr>
          <w:rFonts w:ascii="Times New Roman" w:hAnsi="Times New Roman"/>
          <w:szCs w:val="24"/>
        </w:rPr>
      </w:pPr>
    </w:p>
    <w:p w:rsidRPr="009172D2" w:rsidR="008C5E8D" w:rsidP="008C5E8D" w:rsidRDefault="008C5E8D">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 xml:space="preserve">Payment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Pr="009172D2" w:rsidR="00FB50FA" w:rsidP="008C5E8D" w:rsidRDefault="00FB50FA">
      <w:pPr>
        <w:rPr>
          <w:rFonts w:ascii="Times New Roman" w:hAnsi="Times New Roman"/>
          <w:szCs w:val="24"/>
        </w:rPr>
      </w:pPr>
    </w:p>
    <w:p w:rsidRPr="009172D2" w:rsidR="009172D2" w:rsidP="009172D2" w:rsidRDefault="00C40FA3">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Pr="009172D2" w:rsidR="009172D2">
        <w:rPr>
          <w:rFonts w:ascii="Times New Roman" w:hAnsi="Times New Roman"/>
        </w:rPr>
        <w:t>.</w:t>
      </w:r>
    </w:p>
    <w:p w:rsidR="003968C7" w:rsidP="008C5E8D" w:rsidRDefault="003968C7">
      <w:pPr>
        <w:rPr>
          <w:rFonts w:ascii="Times New Roman" w:hAnsi="Times New Roman"/>
          <w:szCs w:val="24"/>
        </w:rPr>
      </w:pPr>
    </w:p>
    <w:p w:rsidR="00FB50FA" w:rsidP="008C5E8D" w:rsidRDefault="00FB50FA">
      <w:pPr>
        <w:rPr>
          <w:rFonts w:ascii="Times New Roman" w:hAnsi="Times New Roman"/>
          <w:szCs w:val="24"/>
        </w:rPr>
      </w:pPr>
    </w:p>
    <w:p w:rsidRPr="009172D2" w:rsidR="008C5E8D" w:rsidP="008C5E8D" w:rsidRDefault="008C5E8D">
      <w:pPr>
        <w:rPr>
          <w:rFonts w:ascii="Times New Roman" w:hAnsi="Times New Roman"/>
          <w:szCs w:val="24"/>
          <w:u w:val="single"/>
        </w:rPr>
      </w:pPr>
      <w:r w:rsidRPr="009172D2">
        <w:rPr>
          <w:rFonts w:ascii="Times New Roman" w:hAnsi="Times New Roman"/>
          <w:szCs w:val="24"/>
        </w:rPr>
        <w:t xml:space="preserve">10.  </w:t>
      </w:r>
      <w:r w:rsidRPr="00647F97" w:rsidR="00C40FA3">
        <w:rPr>
          <w:rFonts w:ascii="Times New Roman TUR" w:hAnsi="Times New Roman TUR" w:cs="Times New Roman TUR"/>
          <w:bCs/>
          <w:u w:val="single"/>
        </w:rPr>
        <w:t>Any assurance of confidentiality:</w:t>
      </w:r>
    </w:p>
    <w:p w:rsidRPr="009172D2" w:rsidR="0066096F" w:rsidP="00082A03" w:rsidRDefault="0066096F">
      <w:pPr>
        <w:rPr>
          <w:rFonts w:ascii="Times New Roman" w:hAnsi="Times New Roman"/>
          <w:szCs w:val="24"/>
        </w:rPr>
      </w:pPr>
    </w:p>
    <w:p w:rsidRPr="00320219" w:rsidR="00320219" w:rsidP="00320219" w:rsidRDefault="00320219">
      <w:pPr>
        <w:rPr>
          <w:rFonts w:ascii="Times New Roman" w:hAnsi="Times New Roman"/>
          <w:bCs/>
        </w:rPr>
      </w:pPr>
      <w:r w:rsidRPr="00320219">
        <w:rPr>
          <w:rFonts w:ascii="Times New Roman" w:hAnsi="Times New Roman"/>
          <w:bCs/>
        </w:rPr>
        <w:t>The information will be kept private to the extent permitted by law.</w:t>
      </w:r>
    </w:p>
    <w:p w:rsidR="003968C7" w:rsidP="009172D2" w:rsidRDefault="003968C7">
      <w:pPr>
        <w:rPr>
          <w:rFonts w:ascii="Times New Roman" w:hAnsi="Times New Roman"/>
        </w:rPr>
      </w:pPr>
    </w:p>
    <w:p w:rsidR="00320219" w:rsidP="009172D2" w:rsidRDefault="00320219">
      <w:pPr>
        <w:rPr>
          <w:rFonts w:ascii="Times New Roman" w:hAnsi="Times New Roman"/>
        </w:rPr>
      </w:pPr>
    </w:p>
    <w:p w:rsidRPr="00613C27" w:rsidR="00613C27" w:rsidP="00613C27" w:rsidRDefault="00613C27">
      <w:pPr>
        <w:widowControl/>
        <w:tabs>
          <w:tab w:val="left" w:pos="4230"/>
        </w:tabs>
        <w:rPr>
          <w:rFonts w:ascii="Times New Roman" w:hAnsi="Times New Roman"/>
          <w:szCs w:val="24"/>
        </w:rPr>
      </w:pPr>
      <w:r w:rsidRPr="00613C27">
        <w:rPr>
          <w:rFonts w:ascii="Times New Roman" w:hAnsi="Times New Roman"/>
          <w:szCs w:val="24"/>
        </w:rPr>
        <w:t xml:space="preserve">11.  </w:t>
      </w:r>
      <w:r w:rsidRPr="00C40FA3" w:rsidR="00C40FA3">
        <w:rPr>
          <w:rFonts w:ascii="Times New Roman TUR" w:hAnsi="Times New Roman TUR" w:cs="Times New Roman TUR"/>
          <w:bCs/>
          <w:u w:val="single"/>
        </w:rPr>
        <w:t>Justification for questions of a sensitive nature:</w:t>
      </w:r>
    </w:p>
    <w:p w:rsidRPr="00613C27" w:rsidR="00613C27" w:rsidP="00613C27" w:rsidRDefault="00613C27">
      <w:pPr>
        <w:widowControl/>
        <w:tabs>
          <w:tab w:val="left" w:pos="4230"/>
        </w:tabs>
        <w:rPr>
          <w:rFonts w:ascii="Times New Roman" w:hAnsi="Times New Roman"/>
          <w:szCs w:val="24"/>
        </w:rPr>
      </w:pPr>
    </w:p>
    <w:p w:rsidRPr="00613C27" w:rsidR="00613C27" w:rsidP="00613C27" w:rsidRDefault="00C40FA3">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Pr="00613C27" w:rsidR="00613C27" w:rsidP="00613C27" w:rsidRDefault="00613C27">
      <w:pPr>
        <w:widowControl/>
        <w:tabs>
          <w:tab w:val="left" w:pos="4230"/>
        </w:tabs>
        <w:rPr>
          <w:rFonts w:ascii="Times New Roman" w:hAnsi="Times New Roman"/>
          <w:szCs w:val="24"/>
        </w:rPr>
      </w:pPr>
    </w:p>
    <w:p w:rsidRPr="00613C27" w:rsidR="00613C27" w:rsidP="00613C27" w:rsidRDefault="00613C27">
      <w:pPr>
        <w:widowControl/>
        <w:tabs>
          <w:tab w:val="left" w:pos="4230"/>
        </w:tabs>
        <w:rPr>
          <w:rFonts w:ascii="Times New Roman" w:hAnsi="Times New Roman"/>
          <w:szCs w:val="24"/>
        </w:rPr>
      </w:pPr>
    </w:p>
    <w:p w:rsidR="00613C27" w:rsidP="00613C27" w:rsidRDefault="00613C27">
      <w:pPr>
        <w:widowControl/>
        <w:tabs>
          <w:tab w:val="left" w:pos="4230"/>
        </w:tabs>
        <w:rPr>
          <w:rFonts w:ascii="Times New Roman" w:hAnsi="Times New Roman"/>
          <w:szCs w:val="24"/>
        </w:rPr>
      </w:pPr>
      <w:r w:rsidRPr="00613C27">
        <w:rPr>
          <w:rFonts w:ascii="Times New Roman" w:hAnsi="Times New Roman"/>
          <w:szCs w:val="24"/>
        </w:rPr>
        <w:t xml:space="preserve">12.  </w:t>
      </w:r>
      <w:r w:rsidRPr="00C40FA3" w:rsidR="00C40FA3">
        <w:rPr>
          <w:rFonts w:ascii="Times New Roman" w:hAnsi="Times New Roman"/>
          <w:szCs w:val="24"/>
          <w:u w:val="single"/>
        </w:rPr>
        <w:t>Estimate of hour burden including annualized hourly costs:</w:t>
      </w:r>
    </w:p>
    <w:p w:rsidR="00613C27" w:rsidP="00613C27" w:rsidRDefault="00613C27">
      <w:pPr>
        <w:widowControl/>
        <w:tabs>
          <w:tab w:val="left" w:pos="4230"/>
        </w:tabs>
        <w:rPr>
          <w:rFonts w:ascii="Times New Roman" w:hAnsi="Times New Roman"/>
          <w:szCs w:val="24"/>
        </w:rPr>
      </w:pPr>
    </w:p>
    <w:p w:rsidR="0056774A" w:rsidP="00784BB7" w:rsidRDefault="0056774A">
      <w:pPr>
        <w:ind w:firstLine="450"/>
        <w:rPr>
          <w:rFonts w:ascii="Times New Roman" w:hAnsi="Times New Roman"/>
          <w:i/>
        </w:rPr>
      </w:pPr>
      <w:r>
        <w:rPr>
          <w:rFonts w:ascii="Times New Roman" w:hAnsi="Times New Roman"/>
          <w:i/>
        </w:rPr>
        <w:t xml:space="preserve">Methodology and Assumptions – </w:t>
      </w:r>
    </w:p>
    <w:p w:rsidR="0056774A" w:rsidP="0056774A" w:rsidRDefault="0056774A">
      <w:pPr>
        <w:rPr>
          <w:rFonts w:ascii="Times New Roman" w:hAnsi="Times New Roman"/>
        </w:rPr>
      </w:pPr>
    </w:p>
    <w:p w:rsidR="0056774A" w:rsidP="0094781D" w:rsidRDefault="0056774A">
      <w:pPr>
        <w:ind w:left="450"/>
        <w:rPr>
          <w:rFonts w:ascii="Times New Roman" w:hAnsi="Times New Roman"/>
        </w:rPr>
      </w:pPr>
      <w:r w:rsidRPr="0056774A">
        <w:rPr>
          <w:rFonts w:ascii="Times New Roman" w:hAnsi="Times New Roman"/>
        </w:rPr>
        <w:t>The FDIC estimated the annual bur</w:t>
      </w:r>
      <w:r>
        <w:rPr>
          <w:rFonts w:ascii="Times New Roman" w:hAnsi="Times New Roman"/>
        </w:rPr>
        <w:t>den associated with the proposed revisions</w:t>
      </w:r>
      <w:r w:rsidRPr="0056774A">
        <w:rPr>
          <w:rFonts w:ascii="Times New Roman" w:hAnsi="Times New Roman"/>
        </w:rPr>
        <w:t xml:space="preserve"> based on the following assumptions and according to the methodology described below: </w:t>
      </w:r>
    </w:p>
    <w:p w:rsidR="0056774A" w:rsidP="0056774A" w:rsidRDefault="0056774A">
      <w:pPr>
        <w:rPr>
          <w:rFonts w:ascii="Times New Roman" w:hAnsi="Times New Roman"/>
        </w:rPr>
      </w:pPr>
    </w:p>
    <w:p w:rsidRPr="005329AF" w:rsidR="0056774A" w:rsidP="00FB50FA" w:rsidRDefault="005329AF">
      <w:pPr>
        <w:pStyle w:val="ListParagraph"/>
        <w:numPr>
          <w:ilvl w:val="0"/>
          <w:numId w:val="6"/>
        </w:numPr>
        <w:spacing w:after="0"/>
        <w:ind w:left="446" w:firstLine="0"/>
        <w:contextualSpacing w:val="0"/>
        <w:rPr>
          <w:rFonts w:ascii="Times New Roman" w:hAnsi="Times New Roman"/>
          <w:sz w:val="24"/>
          <w:szCs w:val="24"/>
        </w:rPr>
      </w:pPr>
      <w:r w:rsidRPr="005329AF">
        <w:rPr>
          <w:rFonts w:ascii="Times New Roman" w:hAnsi="Times New Roman"/>
          <w:sz w:val="24"/>
          <w:szCs w:val="24"/>
        </w:rPr>
        <w:t>T</w:t>
      </w:r>
      <w:r w:rsidRPr="005329AF" w:rsidR="0056774A">
        <w:rPr>
          <w:rFonts w:ascii="Times New Roman" w:hAnsi="Times New Roman"/>
          <w:sz w:val="24"/>
          <w:szCs w:val="24"/>
        </w:rPr>
        <w:t>he FDIC lacks the data necessary to determine the number of third parties which will take advantage of the applications relating to exceptions from the definition of “deposit broker,” and invites comments on how its estimates could be improved. The first type of exception, that based on placing less than 25 percent of customer assets under management, is expected to be sought largely by broker-dealers. With few exceptions, broker-dealers must register with the Securities and Exchange Commission and be members of FINRA.  There were 3,607 FINRA registered broker-dealer firms in 2018.  Some of the 3,607 broker-dealers may not engage in activity which meets the definition of “deposit broker,” while some firms which do engage in such activity may not be among the 3,607 FINRA registered broker-dealers. However, in the absence of a more refined figure, the FDIC</w:t>
      </w:r>
      <w:r>
        <w:rPr>
          <w:rFonts w:ascii="Times New Roman" w:hAnsi="Times New Roman"/>
          <w:sz w:val="24"/>
          <w:szCs w:val="24"/>
        </w:rPr>
        <w:t xml:space="preserve"> estimated that, over the three-</w:t>
      </w:r>
      <w:r w:rsidRPr="005329AF" w:rsidR="0056774A">
        <w:rPr>
          <w:rFonts w:ascii="Times New Roman" w:hAnsi="Times New Roman"/>
          <w:sz w:val="24"/>
          <w:szCs w:val="24"/>
        </w:rPr>
        <w:t>year period covered by this information col</w:t>
      </w:r>
      <w:r>
        <w:rPr>
          <w:rFonts w:ascii="Times New Roman" w:hAnsi="Times New Roman"/>
          <w:sz w:val="24"/>
          <w:szCs w:val="24"/>
        </w:rPr>
        <w:t xml:space="preserve">lection request, an average of </w:t>
      </w:r>
      <w:r w:rsidRPr="005329AF" w:rsidR="0056774A">
        <w:rPr>
          <w:rFonts w:ascii="Times New Roman" w:hAnsi="Times New Roman"/>
          <w:sz w:val="24"/>
          <w:szCs w:val="24"/>
        </w:rPr>
        <w:t xml:space="preserve">1,203 firms will apply for an exception based on placing less than 25 percent of customer assets under management. </w:t>
      </w:r>
    </w:p>
    <w:p w:rsidR="0056774A" w:rsidP="0056774A" w:rsidRDefault="0056774A">
      <w:pPr>
        <w:rPr>
          <w:rFonts w:ascii="Times New Roman" w:hAnsi="Times New Roman"/>
        </w:rPr>
      </w:pPr>
    </w:p>
    <w:p w:rsidRPr="005329AF" w:rsidR="0056774A" w:rsidP="00FB50FA" w:rsidRDefault="005329AF">
      <w:pPr>
        <w:pStyle w:val="ListParagraph"/>
        <w:numPr>
          <w:ilvl w:val="0"/>
          <w:numId w:val="6"/>
        </w:numPr>
        <w:spacing w:after="0"/>
        <w:ind w:left="446" w:firstLine="0"/>
        <w:contextualSpacing w:val="0"/>
        <w:rPr>
          <w:rFonts w:ascii="Times New Roman" w:hAnsi="Times New Roman"/>
          <w:sz w:val="24"/>
          <w:szCs w:val="24"/>
        </w:rPr>
      </w:pPr>
      <w:r w:rsidRPr="005329AF">
        <w:rPr>
          <w:rFonts w:ascii="Times New Roman" w:hAnsi="Times New Roman"/>
          <w:sz w:val="24"/>
          <w:szCs w:val="24"/>
        </w:rPr>
        <w:t>T</w:t>
      </w:r>
      <w:r w:rsidRPr="005329AF" w:rsidR="0056774A">
        <w:rPr>
          <w:rFonts w:ascii="Times New Roman" w:hAnsi="Times New Roman"/>
          <w:sz w:val="24"/>
          <w:szCs w:val="24"/>
        </w:rPr>
        <w:t>he FDIC believes that the exceptions based on enabling transactions and on other business arrangements will be sought by firms engaged in deposit brokering. However, the FDIC is unable to determine the number of firms which engage in deposit brokering. According to Census data, there are 1,105 establishments within the industry in which deposit brokers are classified.  Not all 1,105 establishments engage in deposit brokering, and some firms which engage in deposit brokering may be classified in another industry. In the absence of better data, the FDIC</w:t>
      </w:r>
      <w:r>
        <w:rPr>
          <w:rFonts w:ascii="Times New Roman" w:hAnsi="Times New Roman"/>
          <w:sz w:val="24"/>
          <w:szCs w:val="24"/>
        </w:rPr>
        <w:t xml:space="preserve"> estimated that, over the three-</w:t>
      </w:r>
      <w:r w:rsidRPr="005329AF" w:rsidR="0056774A">
        <w:rPr>
          <w:rFonts w:ascii="Times New Roman" w:hAnsi="Times New Roman"/>
          <w:sz w:val="24"/>
          <w:szCs w:val="24"/>
        </w:rPr>
        <w:t>year period covered by this information collection request, an average of 369 firms will apply for an exception based on enabling transactions and other business arrangements.</w:t>
      </w:r>
    </w:p>
    <w:p w:rsidR="0056774A" w:rsidP="0056774A" w:rsidRDefault="0056774A">
      <w:pPr>
        <w:rPr>
          <w:rFonts w:ascii="Times New Roman" w:hAnsi="Times New Roman"/>
        </w:rPr>
      </w:pPr>
    </w:p>
    <w:p w:rsidRPr="005329AF" w:rsidR="0056774A" w:rsidP="00FB50FA" w:rsidRDefault="005329AF">
      <w:pPr>
        <w:pStyle w:val="ListParagraph"/>
        <w:numPr>
          <w:ilvl w:val="0"/>
          <w:numId w:val="6"/>
        </w:numPr>
        <w:spacing w:after="0"/>
        <w:ind w:left="446" w:firstLine="0"/>
        <w:contextualSpacing w:val="0"/>
        <w:rPr>
          <w:rFonts w:ascii="Times New Roman" w:hAnsi="Times New Roman"/>
          <w:sz w:val="24"/>
          <w:szCs w:val="24"/>
        </w:rPr>
      </w:pPr>
      <w:r w:rsidRPr="005329AF">
        <w:rPr>
          <w:rFonts w:ascii="Times New Roman" w:hAnsi="Times New Roman"/>
          <w:sz w:val="24"/>
          <w:szCs w:val="24"/>
        </w:rPr>
        <w:t>T</w:t>
      </w:r>
      <w:r w:rsidRPr="005329AF" w:rsidR="0056774A">
        <w:rPr>
          <w:rFonts w:ascii="Times New Roman" w:hAnsi="Times New Roman"/>
          <w:sz w:val="24"/>
          <w:szCs w:val="24"/>
        </w:rPr>
        <w:t xml:space="preserve">he FDIC lacks the data necessary to determine the number of business lines for which firms may submit applications, and in the absence of a more refined estimate, assumed that all respondents submit one application. </w:t>
      </w:r>
    </w:p>
    <w:p w:rsidR="0056774A" w:rsidP="0056774A" w:rsidRDefault="0056774A">
      <w:pPr>
        <w:rPr>
          <w:rFonts w:ascii="Times New Roman" w:hAnsi="Times New Roman"/>
        </w:rPr>
      </w:pPr>
    </w:p>
    <w:p w:rsidRPr="005329AF" w:rsidR="0056774A" w:rsidP="00FB50FA" w:rsidRDefault="005329AF">
      <w:pPr>
        <w:pStyle w:val="ListParagraph"/>
        <w:numPr>
          <w:ilvl w:val="0"/>
          <w:numId w:val="6"/>
        </w:numPr>
        <w:spacing w:after="0"/>
        <w:ind w:left="446" w:firstLine="0"/>
        <w:contextualSpacing w:val="0"/>
        <w:rPr>
          <w:rFonts w:ascii="Times New Roman" w:hAnsi="Times New Roman"/>
          <w:sz w:val="24"/>
          <w:szCs w:val="24"/>
        </w:rPr>
      </w:pPr>
      <w:r w:rsidRPr="005329AF">
        <w:rPr>
          <w:rFonts w:ascii="Times New Roman" w:hAnsi="Times New Roman"/>
          <w:sz w:val="24"/>
          <w:szCs w:val="24"/>
        </w:rPr>
        <w:t>T</w:t>
      </w:r>
      <w:r w:rsidRPr="005329AF" w:rsidR="0056774A">
        <w:rPr>
          <w:rFonts w:ascii="Times New Roman" w:hAnsi="Times New Roman"/>
          <w:sz w:val="24"/>
          <w:szCs w:val="24"/>
        </w:rPr>
        <w:t>he FDIC estimated the amount of time required to complete each application type. The most straightforward application type is that for which a primary purpose exception to the definition of deposit broker is sought based on placing less than 25 percent of customer assets under management, by business line, with IDIs. For this type of application, two items are required: 1) the total amount of customer assets under control by the third party for that particular business line, and 2) the total amount of deposits placed by the third party on behalf of its customers, for that particular business line, at all IDIs, exclusive of the amount of brokered CDs being placed by that third party. Given the “bright line” nature of this application type, and the limited number of line items required, the FDIC estimated it would take each respondent three hours on average to gather the material and submit the request required for this application type.</w:t>
      </w:r>
    </w:p>
    <w:p w:rsidR="0056774A" w:rsidP="0056774A" w:rsidRDefault="0056774A">
      <w:pPr>
        <w:rPr>
          <w:rFonts w:ascii="Times New Roman" w:hAnsi="Times New Roman"/>
        </w:rPr>
      </w:pPr>
    </w:p>
    <w:p w:rsidR="0056774A" w:rsidP="00FB50FA" w:rsidRDefault="0056774A">
      <w:pPr>
        <w:pStyle w:val="ListParagraph"/>
        <w:numPr>
          <w:ilvl w:val="0"/>
          <w:numId w:val="6"/>
        </w:numPr>
        <w:spacing w:after="0"/>
        <w:ind w:left="446" w:firstLine="0"/>
        <w:contextualSpacing w:val="0"/>
        <w:rPr>
          <w:rFonts w:ascii="Times New Roman" w:hAnsi="Times New Roman"/>
          <w:sz w:val="24"/>
          <w:szCs w:val="24"/>
        </w:rPr>
      </w:pPr>
      <w:r w:rsidRPr="005329AF">
        <w:rPr>
          <w:rFonts w:ascii="Times New Roman" w:hAnsi="Times New Roman"/>
          <w:sz w:val="24"/>
          <w:szCs w:val="24"/>
        </w:rPr>
        <w:t>The second application type is that for which a primary purpose exception to the definition of deposit broker is sought based on placing funds to enable transactions. Under this application type, the applicant would need to submit information, including a copy of the form of contract used with customers and with the IDIs in which the third party is placing deposits, showing that all of its customer deposits are in transaction accounts, and that no interest, fees, or other remuneration is being provided to or paid for the transaction accounts.  Finally, an application under this type would need to explain how its customers utilize its services for the purpose of making payments and not for the receipt of a deposit placement service or deposit insurance: and provide a description of the deposit placement arrangement. Because the second application type should require more time to prepare than the first, the FDIC estimated it would take each respondent five hours on average the gather the required material and submit the</w:t>
      </w:r>
      <w:r w:rsidR="005329AF">
        <w:rPr>
          <w:rFonts w:ascii="Times New Roman" w:hAnsi="Times New Roman"/>
          <w:sz w:val="24"/>
          <w:szCs w:val="24"/>
        </w:rPr>
        <w:t xml:space="preserve"> application.</w:t>
      </w:r>
    </w:p>
    <w:p w:rsidRPr="005329AF" w:rsidR="005329AF" w:rsidP="005329AF" w:rsidRDefault="005329AF">
      <w:pPr>
        <w:pStyle w:val="ListParagraph"/>
        <w:spacing w:after="0" w:line="240" w:lineRule="auto"/>
        <w:contextualSpacing w:val="0"/>
        <w:rPr>
          <w:rFonts w:ascii="Times New Roman" w:hAnsi="Times New Roman"/>
          <w:sz w:val="24"/>
          <w:szCs w:val="24"/>
        </w:rPr>
      </w:pPr>
    </w:p>
    <w:p w:rsidRPr="0056774A" w:rsidR="0056774A" w:rsidP="00FB50FA" w:rsidRDefault="0056774A">
      <w:pPr>
        <w:pStyle w:val="ListParagraph"/>
        <w:numPr>
          <w:ilvl w:val="0"/>
          <w:numId w:val="6"/>
        </w:numPr>
        <w:spacing w:after="0"/>
        <w:ind w:left="446" w:firstLine="0"/>
        <w:contextualSpacing w:val="0"/>
        <w:rPr>
          <w:rFonts w:ascii="Times New Roman" w:hAnsi="Times New Roman"/>
        </w:rPr>
      </w:pPr>
      <w:r w:rsidRPr="005329AF">
        <w:rPr>
          <w:rFonts w:ascii="Times New Roman" w:hAnsi="Times New Roman"/>
          <w:sz w:val="24"/>
          <w:szCs w:val="24"/>
        </w:rPr>
        <w:t>The third application type is for a primary purpose exception from the definition of deposit broker where the business arrangement is not covered by the other two types described above. This third type requires the items enumerated in this proposal, and due to the number of items requested, the FDIC estimates it would take each respondent 10 hours on average to gather the material required for this application type and submit the application.</w:t>
      </w:r>
    </w:p>
    <w:p w:rsidR="0056774A" w:rsidP="0056774A" w:rsidRDefault="0056774A">
      <w:pPr>
        <w:rPr>
          <w:rFonts w:ascii="Times New Roman" w:hAnsi="Times New Roman"/>
        </w:rPr>
      </w:pPr>
    </w:p>
    <w:p w:rsidRPr="005329AF" w:rsidR="0056774A" w:rsidP="00FB50FA" w:rsidRDefault="005329AF">
      <w:pPr>
        <w:pStyle w:val="ListParagraph"/>
        <w:numPr>
          <w:ilvl w:val="0"/>
          <w:numId w:val="6"/>
        </w:numPr>
        <w:spacing w:after="0"/>
        <w:ind w:left="446" w:firstLine="0"/>
        <w:contextualSpacing w:val="0"/>
        <w:rPr>
          <w:rFonts w:ascii="Times New Roman" w:hAnsi="Times New Roman"/>
          <w:sz w:val="24"/>
          <w:szCs w:val="24"/>
        </w:rPr>
      </w:pPr>
      <w:r>
        <w:rPr>
          <w:rFonts w:ascii="Times New Roman" w:hAnsi="Times New Roman"/>
          <w:sz w:val="24"/>
          <w:szCs w:val="24"/>
        </w:rPr>
        <w:t>E</w:t>
      </w:r>
      <w:r w:rsidRPr="005329AF" w:rsidR="0056774A">
        <w:rPr>
          <w:rFonts w:ascii="Times New Roman" w:hAnsi="Times New Roman"/>
          <w:sz w:val="24"/>
          <w:szCs w:val="24"/>
        </w:rPr>
        <w:t>ach application type has associated quarterly (ongoing) reporting requirements, which are to be spelled out by the FDIC in its written approval of the application. For the first two application types, the FDIC estimates it would take each respondent an average of 30 minutes per quarter to gather the information and submit the report for an annual average of 2 burden hours. The FDIC assumes that the initial quarterly report may take longer to prepare, but once reporting and recordkeeping systems are in place, the FDIC believes an average of 30 minutes per quarter is a reasonable estimate for this ongoing reporting burden. The third application type, due to its greater number of required items, is estimated to take each respondent an average of one hour per quarter to gather the information and submit the report for an annual average of 4 burden hours.</w:t>
      </w:r>
    </w:p>
    <w:p w:rsidR="0056774A" w:rsidP="0056774A" w:rsidRDefault="0056774A">
      <w:pPr>
        <w:rPr>
          <w:rFonts w:ascii="Times New Roman" w:hAnsi="Times New Roman"/>
        </w:rPr>
      </w:pPr>
    </w:p>
    <w:p w:rsidRPr="005329AF" w:rsidR="0056774A" w:rsidP="00FB50FA" w:rsidRDefault="005329AF">
      <w:pPr>
        <w:pStyle w:val="ListParagraph"/>
        <w:numPr>
          <w:ilvl w:val="0"/>
          <w:numId w:val="6"/>
        </w:numPr>
        <w:spacing w:after="0"/>
        <w:ind w:left="446" w:firstLine="0"/>
        <w:contextualSpacing w:val="0"/>
        <w:rPr>
          <w:rFonts w:ascii="Times New Roman" w:hAnsi="Times New Roman"/>
          <w:sz w:val="24"/>
          <w:szCs w:val="24"/>
        </w:rPr>
      </w:pPr>
      <w:r w:rsidRPr="005329AF">
        <w:rPr>
          <w:rFonts w:ascii="Times New Roman" w:hAnsi="Times New Roman"/>
          <w:sz w:val="24"/>
          <w:szCs w:val="24"/>
        </w:rPr>
        <w:t>T</w:t>
      </w:r>
      <w:r w:rsidRPr="005329AF" w:rsidR="0056774A">
        <w:rPr>
          <w:rFonts w:ascii="Times New Roman" w:hAnsi="Times New Roman"/>
          <w:sz w:val="24"/>
          <w:szCs w:val="24"/>
        </w:rPr>
        <w:t>he FDIC revised its estimates for the information collection “Application for Waiver of Prohibition on Acceptance of Brokered Deposits.” Based on consultations with subject matter experts, the FDIC estimates nine IDIs will file this application each year, on average. Each IDI applicant will spend six hours, on average, to file. Thus, the FDIC estimates the average annual burden at 54 hours.</w:t>
      </w:r>
    </w:p>
    <w:p w:rsidR="00FB50FA" w:rsidP="00784BB7" w:rsidRDefault="00FB50FA">
      <w:pPr>
        <w:ind w:firstLine="450"/>
        <w:rPr>
          <w:rFonts w:ascii="Times New Roman" w:hAnsi="Times New Roman"/>
          <w:i/>
        </w:rPr>
      </w:pPr>
    </w:p>
    <w:p w:rsidR="00784BB7" w:rsidP="00784BB7" w:rsidRDefault="00784BB7">
      <w:pPr>
        <w:ind w:firstLine="450"/>
        <w:rPr>
          <w:rFonts w:ascii="Times New Roman" w:hAnsi="Times New Roman"/>
          <w:i/>
          <w:szCs w:val="24"/>
        </w:rPr>
      </w:pPr>
      <w:r w:rsidRPr="00784BB7">
        <w:rPr>
          <w:rFonts w:ascii="Times New Roman" w:hAnsi="Times New Roman"/>
          <w:i/>
        </w:rPr>
        <w:t>Estimated</w:t>
      </w:r>
      <w:r w:rsidRPr="00784BB7">
        <w:rPr>
          <w:rFonts w:ascii="Times New Roman" w:hAnsi="Times New Roman"/>
          <w:i/>
          <w:szCs w:val="24"/>
        </w:rPr>
        <w:t xml:space="preserve"> Annual Burde</w:t>
      </w:r>
      <w:r>
        <w:rPr>
          <w:rFonts w:ascii="Times New Roman" w:hAnsi="Times New Roman"/>
          <w:i/>
          <w:szCs w:val="24"/>
        </w:rPr>
        <w:t xml:space="preserve">n </w:t>
      </w:r>
      <w:r w:rsidR="00320219">
        <w:rPr>
          <w:rFonts w:ascii="Times New Roman" w:hAnsi="Times New Roman"/>
          <w:i/>
          <w:szCs w:val="24"/>
        </w:rPr>
        <w:t>–</w:t>
      </w:r>
    </w:p>
    <w:p w:rsidR="005C18FF" w:rsidP="00784BB7" w:rsidRDefault="005C18FF">
      <w:pPr>
        <w:ind w:firstLine="450"/>
        <w:rPr>
          <w:rFonts w:ascii="Times New Roman" w:hAnsi="Times New Roman"/>
          <w:i/>
          <w:szCs w:val="24"/>
        </w:rPr>
      </w:pPr>
    </w:p>
    <w:tbl>
      <w:tblPr>
        <w:tblW w:w="10840" w:type="dxa"/>
        <w:tblInd w:w="-752"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104"/>
        <w:gridCol w:w="1061"/>
        <w:gridCol w:w="1150"/>
        <w:gridCol w:w="982"/>
        <w:gridCol w:w="936"/>
        <w:gridCol w:w="1078"/>
        <w:gridCol w:w="1546"/>
      </w:tblGrid>
      <w:tr w:rsidRPr="005C18FF" w:rsidR="005C18FF" w:rsidTr="00B22148">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5C18FF" w:rsidR="005C18FF" w:rsidP="005C18FF" w:rsidRDefault="005C18FF">
            <w:pPr>
              <w:widowControl/>
              <w:jc w:val="center"/>
              <w:rPr>
                <w:rFonts w:ascii="Times New Roman" w:hAnsi="Times New Roman"/>
                <w:b/>
                <w:bCs/>
                <w:snapToGrid/>
                <w:color w:val="000000"/>
                <w:sz w:val="18"/>
                <w:szCs w:val="16"/>
              </w:rPr>
            </w:pPr>
            <w:r w:rsidRPr="005C18FF">
              <w:rPr>
                <w:rFonts w:ascii="Times New Roman" w:hAnsi="Times New Roman"/>
                <w:b/>
                <w:bCs/>
                <w:snapToGrid/>
                <w:color w:val="000000"/>
                <w:sz w:val="18"/>
                <w:szCs w:val="16"/>
              </w:rPr>
              <w:t>Information Collection (IC) Description</w:t>
            </w:r>
          </w:p>
        </w:tc>
        <w:tc>
          <w:tcPr>
            <w:tcW w:w="1104"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Type of Burden</w:t>
            </w:r>
          </w:p>
        </w:tc>
        <w:tc>
          <w:tcPr>
            <w:tcW w:w="1061"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Obligation to Respond</w:t>
            </w:r>
          </w:p>
        </w:tc>
        <w:tc>
          <w:tcPr>
            <w:tcW w:w="115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Estimated Average Number of Respondents</w:t>
            </w:r>
          </w:p>
        </w:tc>
        <w:tc>
          <w:tcPr>
            <w:tcW w:w="982"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Estimated Number of Responses</w:t>
            </w:r>
          </w:p>
        </w:tc>
        <w:tc>
          <w:tcPr>
            <w:tcW w:w="936"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Estimated Time per Response</w:t>
            </w:r>
          </w:p>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(Hours)</w:t>
            </w:r>
          </w:p>
        </w:tc>
        <w:tc>
          <w:tcPr>
            <w:tcW w:w="107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Frequency of Response</w:t>
            </w:r>
          </w:p>
        </w:tc>
        <w:tc>
          <w:tcPr>
            <w:tcW w:w="1546" w:type="dxa"/>
            <w:tcBorders>
              <w:top w:val="single" w:color="auto" w:sz="4" w:space="0"/>
              <w:left w:val="single" w:color="auto" w:sz="6" w:space="0"/>
              <w:bottom w:val="single" w:color="auto" w:sz="4" w:space="0"/>
            </w:tcBorders>
            <w:shd w:val="clear" w:color="000000" w:fill="D9D9D9"/>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Total Estimated Annual Burden</w:t>
            </w:r>
          </w:p>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(Hours)</w:t>
            </w:r>
          </w:p>
        </w:tc>
      </w:tr>
      <w:tr w:rsidRPr="005C18FF" w:rsidR="005C18FF" w:rsidTr="00B22148">
        <w:trPr>
          <w:trHeight w:val="288"/>
        </w:trPr>
        <w:tc>
          <w:tcPr>
            <w:tcW w:w="10840" w:type="dxa"/>
            <w:gridSpan w:val="8"/>
            <w:tcBorders>
              <w:left w:val="single" w:color="auto" w:sz="8" w:space="0"/>
              <w:bottom w:val="nil"/>
              <w:right w:val="single" w:color="auto" w:sz="8" w:space="0"/>
            </w:tcBorders>
            <w:shd w:val="clear" w:color="auto" w:fill="auto"/>
            <w:vAlign w:val="center"/>
          </w:tcPr>
          <w:p w:rsidRPr="005C18FF" w:rsidR="005C18FF" w:rsidP="005C18FF" w:rsidRDefault="005C18FF">
            <w:pPr>
              <w:widowControl/>
              <w:rPr>
                <w:rFonts w:ascii="Times New Roman" w:hAnsi="Times New Roman"/>
                <w:b/>
                <w:snapToGrid/>
                <w:color w:val="000000"/>
                <w:sz w:val="18"/>
                <w:szCs w:val="16"/>
              </w:rPr>
            </w:pPr>
            <w:r w:rsidRPr="005C18FF">
              <w:rPr>
                <w:rFonts w:ascii="Times New Roman" w:hAnsi="Times New Roman"/>
                <w:b/>
                <w:bCs/>
                <w:i/>
                <w:snapToGrid/>
                <w:color w:val="000000"/>
                <w:sz w:val="20"/>
              </w:rPr>
              <w:t>Initial Implementation</w:t>
            </w:r>
          </w:p>
        </w:tc>
      </w:tr>
      <w:tr w:rsidRPr="005C18FF" w:rsidR="005C18FF" w:rsidTr="00B22148">
        <w:trPr>
          <w:trHeight w:val="576"/>
        </w:trPr>
        <w:tc>
          <w:tcPr>
            <w:tcW w:w="2983" w:type="dxa"/>
            <w:tcBorders>
              <w:left w:val="single" w:color="auto" w:sz="8" w:space="0"/>
              <w:bottom w:val="nil"/>
              <w:right w:val="single" w:color="auto" w:sz="6" w:space="0"/>
            </w:tcBorders>
            <w:shd w:val="clear" w:color="auto" w:fill="auto"/>
            <w:vAlign w:val="center"/>
          </w:tcPr>
          <w:p w:rsidRPr="005C18FF" w:rsidR="005C18FF" w:rsidP="005C18FF" w:rsidRDefault="005C18FF">
            <w:pPr>
              <w:widowControl/>
              <w:rPr>
                <w:rFonts w:ascii="Times New Roman" w:hAnsi="Times New Roman"/>
                <w:bCs/>
                <w:i/>
                <w:snapToGrid/>
                <w:color w:val="000000"/>
                <w:sz w:val="20"/>
              </w:rPr>
            </w:pPr>
            <w:r w:rsidRPr="005C18FF">
              <w:rPr>
                <w:rFonts w:ascii="Times New Roman" w:hAnsi="Times New Roman"/>
                <w:bCs/>
                <w:i/>
                <w:snapToGrid/>
                <w:color w:val="000000"/>
                <w:sz w:val="20"/>
              </w:rPr>
              <w:t>Application for Primary Purpose Exception Based on the Placement of Less Than 25 Percent of Customer Assets Under Management</w:t>
            </w:r>
          </w:p>
        </w:tc>
        <w:tc>
          <w:tcPr>
            <w:tcW w:w="1104" w:type="dxa"/>
            <w:tcBorders>
              <w:left w:val="single" w:color="auto" w:sz="6" w:space="0"/>
              <w:bottom w:val="single" w:color="auto" w:sz="8" w:space="0"/>
              <w:right w:val="single" w:color="auto" w:sz="6" w:space="0"/>
            </w:tcBorders>
            <w:shd w:val="clear" w:color="auto" w:fill="auto"/>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1,203</w:t>
            </w:r>
          </w:p>
        </w:tc>
        <w:tc>
          <w:tcPr>
            <w:tcW w:w="982" w:type="dxa"/>
            <w:tcBorders>
              <w:left w:val="single" w:color="auto" w:sz="6" w:space="0"/>
              <w:bottom w:val="single" w:color="auto" w:sz="8" w:space="0"/>
              <w:right w:val="single" w:color="auto" w:sz="6" w:space="0"/>
            </w:tcBorders>
            <w:shd w:val="clear" w:color="auto" w:fill="auto"/>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w:t>
            </w:r>
          </w:p>
        </w:tc>
        <w:tc>
          <w:tcPr>
            <w:tcW w:w="936" w:type="dxa"/>
            <w:tcBorders>
              <w:left w:val="single" w:color="auto" w:sz="6" w:space="0"/>
              <w:bottom w:val="single" w:color="auto" w:sz="8" w:space="0"/>
              <w:right w:val="single" w:color="auto" w:sz="6" w:space="0"/>
            </w:tcBorders>
            <w:shd w:val="clear" w:color="auto" w:fill="auto"/>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3</w:t>
            </w:r>
          </w:p>
        </w:tc>
        <w:tc>
          <w:tcPr>
            <w:tcW w:w="1078" w:type="dxa"/>
            <w:tcBorders>
              <w:left w:val="single" w:color="auto" w:sz="6" w:space="0"/>
              <w:bottom w:val="single" w:color="auto" w:sz="8" w:space="0"/>
              <w:right w:val="single" w:color="auto" w:sz="6" w:space="0"/>
            </w:tcBorders>
            <w:shd w:val="clear" w:color="auto" w:fill="auto"/>
            <w:vAlign w:val="center"/>
            <w:hideMark/>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On Occasion</w:t>
            </w:r>
          </w:p>
        </w:tc>
        <w:tc>
          <w:tcPr>
            <w:tcW w:w="1546" w:type="dxa"/>
            <w:tcBorders>
              <w:left w:val="single" w:color="auto" w:sz="6" w:space="0"/>
              <w:bottom w:val="single" w:color="auto" w:sz="8" w:space="0"/>
              <w:right w:val="single" w:color="auto" w:sz="8"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3,609</w:t>
            </w:r>
          </w:p>
        </w:tc>
      </w:tr>
      <w:tr w:rsidRPr="005C18FF" w:rsidR="005C18FF" w:rsidTr="00B22148">
        <w:trPr>
          <w:trHeight w:val="576"/>
        </w:trPr>
        <w:tc>
          <w:tcPr>
            <w:tcW w:w="2983" w:type="dxa"/>
            <w:tcBorders>
              <w:left w:val="single" w:color="auto" w:sz="8" w:space="0"/>
              <w:bottom w:val="nil"/>
              <w:right w:val="single" w:color="auto" w:sz="6" w:space="0"/>
            </w:tcBorders>
            <w:shd w:val="clear" w:color="auto" w:fill="auto"/>
            <w:vAlign w:val="center"/>
          </w:tcPr>
          <w:p w:rsidRPr="005C18FF" w:rsidR="005C18FF" w:rsidP="005C18FF" w:rsidRDefault="005C18FF">
            <w:pPr>
              <w:widowControl/>
              <w:rPr>
                <w:rFonts w:ascii="Times New Roman" w:hAnsi="Times New Roman"/>
                <w:i/>
                <w:iCs/>
                <w:snapToGrid/>
                <w:color w:val="000000"/>
                <w:sz w:val="20"/>
              </w:rPr>
            </w:pPr>
            <w:r w:rsidRPr="005C18FF">
              <w:rPr>
                <w:rFonts w:ascii="Times New Roman" w:hAnsi="Times New Roman"/>
                <w:i/>
                <w:iCs/>
                <w:snapToGrid/>
                <w:color w:val="000000"/>
                <w:sz w:val="20"/>
              </w:rPr>
              <w:t>Application for Primary Purpose Exception Based on Enabling Transactions</w:t>
            </w:r>
          </w:p>
        </w:tc>
        <w:tc>
          <w:tcPr>
            <w:tcW w:w="1104"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369</w:t>
            </w:r>
          </w:p>
        </w:tc>
        <w:tc>
          <w:tcPr>
            <w:tcW w:w="982"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w:t>
            </w:r>
          </w:p>
        </w:tc>
        <w:tc>
          <w:tcPr>
            <w:tcW w:w="936"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5</w:t>
            </w:r>
          </w:p>
        </w:tc>
        <w:tc>
          <w:tcPr>
            <w:tcW w:w="1078" w:type="dxa"/>
            <w:tcBorders>
              <w:left w:val="single" w:color="auto" w:sz="6" w:space="0"/>
              <w:bottom w:val="single" w:color="auto" w:sz="8" w:space="0"/>
              <w:right w:val="single" w:color="auto" w:sz="6" w:space="0"/>
            </w:tcBorders>
            <w:shd w:val="clear" w:color="auto" w:fill="auto"/>
          </w:tcPr>
          <w:p w:rsidRPr="005C18FF" w:rsidR="005C18FF" w:rsidP="005C18FF" w:rsidRDefault="005C18FF">
            <w:pPr>
              <w:widowControl/>
              <w:jc w:val="center"/>
              <w:rPr>
                <w:rFonts w:ascii="Times New Roman" w:hAnsi="Times New Roman"/>
                <w:snapToGrid/>
                <w:color w:val="000000"/>
                <w:sz w:val="18"/>
                <w:szCs w:val="16"/>
              </w:rPr>
            </w:pPr>
          </w:p>
          <w:p w:rsidRPr="005C18FF" w:rsidR="005C18FF" w:rsidP="005C18FF" w:rsidRDefault="005C18FF">
            <w:pPr>
              <w:widowControl/>
              <w:jc w:val="center"/>
              <w:rPr>
                <w:rFonts w:ascii="Times New Roman" w:hAnsi="Times New Roman"/>
                <w:snapToGrid/>
                <w:sz w:val="20"/>
              </w:rPr>
            </w:pPr>
            <w:r w:rsidRPr="005C18FF">
              <w:rPr>
                <w:rFonts w:ascii="Times New Roman" w:hAnsi="Times New Roman"/>
                <w:snapToGrid/>
                <w:color w:val="000000"/>
                <w:sz w:val="18"/>
                <w:szCs w:val="16"/>
              </w:rPr>
              <w:t>On Occasion</w:t>
            </w:r>
          </w:p>
        </w:tc>
        <w:tc>
          <w:tcPr>
            <w:tcW w:w="1546" w:type="dxa"/>
            <w:tcBorders>
              <w:left w:val="single" w:color="auto" w:sz="6" w:space="0"/>
              <w:bottom w:val="single" w:color="auto" w:sz="8" w:space="0"/>
              <w:right w:val="single" w:color="auto" w:sz="8"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1,845</w:t>
            </w:r>
          </w:p>
        </w:tc>
      </w:tr>
      <w:tr w:rsidRPr="005C18FF" w:rsidR="005C18FF" w:rsidTr="00B22148">
        <w:trPr>
          <w:trHeight w:val="576"/>
        </w:trPr>
        <w:tc>
          <w:tcPr>
            <w:tcW w:w="2983" w:type="dxa"/>
            <w:tcBorders>
              <w:left w:val="single" w:color="auto" w:sz="8" w:space="0"/>
              <w:bottom w:val="nil"/>
              <w:right w:val="single" w:color="auto" w:sz="6" w:space="0"/>
            </w:tcBorders>
            <w:shd w:val="clear" w:color="auto" w:fill="auto"/>
            <w:vAlign w:val="center"/>
          </w:tcPr>
          <w:p w:rsidRPr="005C18FF" w:rsidR="005C18FF" w:rsidP="005C18FF" w:rsidRDefault="005C18FF">
            <w:pPr>
              <w:widowControl/>
              <w:rPr>
                <w:rFonts w:ascii="Times New Roman" w:hAnsi="Times New Roman"/>
                <w:i/>
                <w:iCs/>
                <w:snapToGrid/>
                <w:color w:val="000000"/>
                <w:sz w:val="20"/>
              </w:rPr>
            </w:pPr>
            <w:r w:rsidRPr="005C18FF">
              <w:rPr>
                <w:rFonts w:ascii="Times New Roman" w:hAnsi="Times New Roman"/>
                <w:i/>
                <w:iCs/>
                <w:snapToGrid/>
                <w:color w:val="000000"/>
                <w:sz w:val="20"/>
              </w:rPr>
              <w:t>Application for Primary Purpose Exception Not Based on Enabling Transactions or Placement of Less Than 25 Percent of Customer Assets Under Management</w:t>
            </w:r>
          </w:p>
        </w:tc>
        <w:tc>
          <w:tcPr>
            <w:tcW w:w="1104"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369</w:t>
            </w:r>
          </w:p>
        </w:tc>
        <w:tc>
          <w:tcPr>
            <w:tcW w:w="982"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w:t>
            </w:r>
          </w:p>
        </w:tc>
        <w:tc>
          <w:tcPr>
            <w:tcW w:w="936"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10</w:t>
            </w:r>
          </w:p>
        </w:tc>
        <w:tc>
          <w:tcPr>
            <w:tcW w:w="1078"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sz w:val="20"/>
              </w:rPr>
            </w:pPr>
            <w:r w:rsidRPr="005C18FF">
              <w:rPr>
                <w:rFonts w:ascii="Times New Roman" w:hAnsi="Times New Roman"/>
                <w:snapToGrid/>
                <w:color w:val="000000"/>
                <w:sz w:val="18"/>
                <w:szCs w:val="16"/>
              </w:rPr>
              <w:t>On Occasion</w:t>
            </w:r>
          </w:p>
        </w:tc>
        <w:tc>
          <w:tcPr>
            <w:tcW w:w="1546" w:type="dxa"/>
            <w:tcBorders>
              <w:left w:val="single" w:color="auto" w:sz="6" w:space="0"/>
              <w:bottom w:val="single" w:color="auto" w:sz="8" w:space="0"/>
              <w:right w:val="single" w:color="auto" w:sz="8"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3,690</w:t>
            </w:r>
          </w:p>
        </w:tc>
      </w:tr>
      <w:tr w:rsidRPr="005C18FF" w:rsidR="005C18FF" w:rsidTr="00B22148">
        <w:trPr>
          <w:trHeight w:val="288"/>
        </w:trPr>
        <w:tc>
          <w:tcPr>
            <w:tcW w:w="10840" w:type="dxa"/>
            <w:gridSpan w:val="8"/>
            <w:tcBorders>
              <w:left w:val="single" w:color="auto" w:sz="8" w:space="0"/>
              <w:bottom w:val="single" w:color="auto" w:sz="8" w:space="0"/>
              <w:right w:val="single" w:color="auto" w:sz="8" w:space="0"/>
            </w:tcBorders>
            <w:shd w:val="clear" w:color="auto" w:fill="auto"/>
            <w:vAlign w:val="center"/>
          </w:tcPr>
          <w:p w:rsidRPr="005C18FF" w:rsidR="005C18FF" w:rsidP="005C18FF" w:rsidRDefault="005C18FF">
            <w:pPr>
              <w:widowControl/>
              <w:rPr>
                <w:rFonts w:ascii="Times New Roman" w:hAnsi="Times New Roman"/>
                <w:b/>
                <w:snapToGrid/>
                <w:color w:val="000000"/>
                <w:sz w:val="18"/>
                <w:szCs w:val="16"/>
              </w:rPr>
            </w:pPr>
            <w:r w:rsidRPr="005C18FF">
              <w:rPr>
                <w:rFonts w:ascii="Times New Roman" w:hAnsi="Times New Roman"/>
                <w:b/>
                <w:i/>
                <w:iCs/>
                <w:snapToGrid/>
                <w:color w:val="000000"/>
                <w:sz w:val="20"/>
              </w:rPr>
              <w:t>Ongoing</w:t>
            </w:r>
          </w:p>
        </w:tc>
      </w:tr>
      <w:tr w:rsidRPr="005C18FF" w:rsidR="005C18FF" w:rsidTr="00B22148">
        <w:trPr>
          <w:trHeight w:val="576"/>
        </w:trPr>
        <w:tc>
          <w:tcPr>
            <w:tcW w:w="2983" w:type="dxa"/>
            <w:tcBorders>
              <w:left w:val="single" w:color="auto" w:sz="8" w:space="0"/>
              <w:bottom w:val="single" w:color="auto" w:sz="8" w:space="0"/>
              <w:right w:val="single" w:color="auto" w:sz="6" w:space="0"/>
            </w:tcBorders>
            <w:shd w:val="clear" w:color="auto" w:fill="auto"/>
            <w:vAlign w:val="center"/>
          </w:tcPr>
          <w:p w:rsidRPr="005C18FF" w:rsidR="005C18FF" w:rsidP="005C18FF" w:rsidRDefault="005C18FF">
            <w:pPr>
              <w:widowControl/>
              <w:rPr>
                <w:rFonts w:ascii="Times New Roman" w:hAnsi="Times New Roman"/>
                <w:bCs/>
                <w:i/>
                <w:snapToGrid/>
                <w:color w:val="000000"/>
                <w:sz w:val="20"/>
              </w:rPr>
            </w:pPr>
            <w:r w:rsidRPr="005C18FF">
              <w:rPr>
                <w:rFonts w:ascii="Times New Roman" w:hAnsi="Times New Roman"/>
                <w:bCs/>
                <w:i/>
                <w:snapToGrid/>
                <w:color w:val="000000"/>
                <w:sz w:val="20"/>
              </w:rPr>
              <w:t>Reporting for Primary Purpose Exception Based on the Placement of Less Than 25 Percent of Customer Assets Under Management</w:t>
            </w:r>
          </w:p>
        </w:tc>
        <w:tc>
          <w:tcPr>
            <w:tcW w:w="1104"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3,607</w:t>
            </w:r>
          </w:p>
        </w:tc>
        <w:tc>
          <w:tcPr>
            <w:tcW w:w="982"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4</w:t>
            </w:r>
          </w:p>
        </w:tc>
        <w:tc>
          <w:tcPr>
            <w:tcW w:w="936"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0.5</w:t>
            </w:r>
          </w:p>
        </w:tc>
        <w:tc>
          <w:tcPr>
            <w:tcW w:w="1078"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Quarterly</w:t>
            </w:r>
          </w:p>
        </w:tc>
        <w:tc>
          <w:tcPr>
            <w:tcW w:w="1546" w:type="dxa"/>
            <w:tcBorders>
              <w:left w:val="single" w:color="auto" w:sz="6" w:space="0"/>
              <w:bottom w:val="single" w:color="auto" w:sz="8" w:space="0"/>
              <w:right w:val="single" w:color="auto" w:sz="8"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7,214</w:t>
            </w:r>
          </w:p>
        </w:tc>
      </w:tr>
      <w:tr w:rsidRPr="005C18FF" w:rsidR="005C18FF" w:rsidTr="00B22148">
        <w:trPr>
          <w:trHeight w:val="576"/>
        </w:trPr>
        <w:tc>
          <w:tcPr>
            <w:tcW w:w="2983" w:type="dxa"/>
            <w:tcBorders>
              <w:top w:val="single" w:color="auto" w:sz="8" w:space="0"/>
              <w:left w:val="single" w:color="auto" w:sz="8" w:space="0"/>
              <w:bottom w:val="nil"/>
              <w:right w:val="single" w:color="auto" w:sz="6" w:space="0"/>
            </w:tcBorders>
            <w:shd w:val="clear" w:color="auto" w:fill="auto"/>
            <w:vAlign w:val="center"/>
          </w:tcPr>
          <w:p w:rsidRPr="005C18FF" w:rsidR="005C18FF" w:rsidP="005C18FF" w:rsidRDefault="005C18FF">
            <w:pPr>
              <w:widowControl/>
              <w:rPr>
                <w:rFonts w:ascii="Times New Roman" w:hAnsi="Times New Roman"/>
                <w:i/>
                <w:iCs/>
                <w:snapToGrid/>
                <w:color w:val="000000"/>
                <w:sz w:val="20"/>
              </w:rPr>
            </w:pPr>
            <w:r w:rsidRPr="005C18FF">
              <w:rPr>
                <w:rFonts w:ascii="Times New Roman" w:hAnsi="Times New Roman"/>
                <w:i/>
                <w:iCs/>
                <w:snapToGrid/>
                <w:color w:val="000000"/>
                <w:sz w:val="20"/>
              </w:rPr>
              <w:t>Reporting for Primary Purpose Exception Based on Enabling Transactions</w:t>
            </w:r>
          </w:p>
        </w:tc>
        <w:tc>
          <w:tcPr>
            <w:tcW w:w="1104" w:type="dxa"/>
            <w:tcBorders>
              <w:top w:val="single" w:color="auto" w:sz="8" w:space="0"/>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Reporting</w:t>
            </w:r>
          </w:p>
        </w:tc>
        <w:tc>
          <w:tcPr>
            <w:tcW w:w="1061" w:type="dxa"/>
            <w:tcBorders>
              <w:top w:val="single" w:color="auto" w:sz="8" w:space="0"/>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Obtain or Retain a Benefit</w:t>
            </w:r>
          </w:p>
        </w:tc>
        <w:tc>
          <w:tcPr>
            <w:tcW w:w="1150" w:type="dxa"/>
            <w:tcBorders>
              <w:top w:val="single" w:color="auto" w:sz="8" w:space="0"/>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1,105</w:t>
            </w:r>
          </w:p>
        </w:tc>
        <w:tc>
          <w:tcPr>
            <w:tcW w:w="982" w:type="dxa"/>
            <w:tcBorders>
              <w:top w:val="single" w:color="auto" w:sz="8" w:space="0"/>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4</w:t>
            </w:r>
          </w:p>
        </w:tc>
        <w:tc>
          <w:tcPr>
            <w:tcW w:w="936" w:type="dxa"/>
            <w:tcBorders>
              <w:top w:val="single" w:color="auto" w:sz="8" w:space="0"/>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0.5</w:t>
            </w:r>
          </w:p>
        </w:tc>
        <w:tc>
          <w:tcPr>
            <w:tcW w:w="1078" w:type="dxa"/>
            <w:tcBorders>
              <w:top w:val="single" w:color="auto" w:sz="8" w:space="0"/>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Quarterly</w:t>
            </w:r>
          </w:p>
        </w:tc>
        <w:tc>
          <w:tcPr>
            <w:tcW w:w="1546" w:type="dxa"/>
            <w:tcBorders>
              <w:top w:val="single" w:color="auto" w:sz="8" w:space="0"/>
              <w:left w:val="single" w:color="auto" w:sz="6" w:space="0"/>
              <w:bottom w:val="single" w:color="auto" w:sz="8" w:space="0"/>
              <w:right w:val="single" w:color="auto" w:sz="8"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2,210</w:t>
            </w:r>
          </w:p>
        </w:tc>
      </w:tr>
      <w:tr w:rsidRPr="005C18FF" w:rsidR="005C18FF" w:rsidTr="00B22148">
        <w:trPr>
          <w:trHeight w:val="576"/>
        </w:trPr>
        <w:tc>
          <w:tcPr>
            <w:tcW w:w="2983" w:type="dxa"/>
            <w:tcBorders>
              <w:left w:val="single" w:color="auto" w:sz="8" w:space="0"/>
              <w:bottom w:val="nil"/>
              <w:right w:val="single" w:color="auto" w:sz="6" w:space="0"/>
            </w:tcBorders>
            <w:shd w:val="clear" w:color="auto" w:fill="auto"/>
            <w:vAlign w:val="center"/>
          </w:tcPr>
          <w:p w:rsidRPr="005C18FF" w:rsidR="005C18FF" w:rsidP="005C18FF" w:rsidRDefault="005C18FF">
            <w:pPr>
              <w:widowControl/>
              <w:rPr>
                <w:rFonts w:ascii="Times New Roman" w:hAnsi="Times New Roman"/>
                <w:iCs/>
                <w:snapToGrid/>
                <w:color w:val="000000"/>
                <w:sz w:val="20"/>
              </w:rPr>
            </w:pPr>
            <w:r w:rsidRPr="005C18FF">
              <w:rPr>
                <w:rFonts w:ascii="Times New Roman" w:hAnsi="Times New Roman"/>
                <w:i/>
                <w:iCs/>
                <w:snapToGrid/>
                <w:color w:val="000000"/>
                <w:sz w:val="20"/>
              </w:rPr>
              <w:t>Reporting for Primary Purpose Exception Not Based on Enabling Transactions or Placement of Less Than 25 Percent of Customer Assets Under Management</w:t>
            </w:r>
          </w:p>
        </w:tc>
        <w:tc>
          <w:tcPr>
            <w:tcW w:w="1104"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1,105</w:t>
            </w:r>
          </w:p>
        </w:tc>
        <w:tc>
          <w:tcPr>
            <w:tcW w:w="982"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4</w:t>
            </w:r>
          </w:p>
        </w:tc>
        <w:tc>
          <w:tcPr>
            <w:tcW w:w="936"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w:t>
            </w:r>
          </w:p>
        </w:tc>
        <w:tc>
          <w:tcPr>
            <w:tcW w:w="1078"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Quarterly</w:t>
            </w:r>
          </w:p>
        </w:tc>
        <w:tc>
          <w:tcPr>
            <w:tcW w:w="1546" w:type="dxa"/>
            <w:tcBorders>
              <w:left w:val="single" w:color="auto" w:sz="6" w:space="0"/>
              <w:bottom w:val="single" w:color="auto" w:sz="8" w:space="0"/>
              <w:right w:val="single" w:color="auto" w:sz="8"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4,420</w:t>
            </w:r>
          </w:p>
        </w:tc>
      </w:tr>
      <w:tr w:rsidRPr="005C18FF" w:rsidR="005C18FF" w:rsidTr="00B22148">
        <w:trPr>
          <w:trHeight w:val="576"/>
        </w:trPr>
        <w:tc>
          <w:tcPr>
            <w:tcW w:w="2983" w:type="dxa"/>
            <w:tcBorders>
              <w:left w:val="single" w:color="auto" w:sz="8" w:space="0"/>
              <w:bottom w:val="nil"/>
              <w:right w:val="single" w:color="auto" w:sz="6" w:space="0"/>
            </w:tcBorders>
            <w:shd w:val="clear" w:color="auto" w:fill="auto"/>
            <w:vAlign w:val="center"/>
          </w:tcPr>
          <w:p w:rsidRPr="005C18FF" w:rsidR="005C18FF" w:rsidP="005C18FF" w:rsidRDefault="005C18FF">
            <w:pPr>
              <w:widowControl/>
              <w:rPr>
                <w:rFonts w:ascii="Times New Roman" w:hAnsi="Times New Roman"/>
                <w:i/>
                <w:iCs/>
                <w:snapToGrid/>
                <w:color w:val="000000"/>
                <w:sz w:val="20"/>
              </w:rPr>
            </w:pPr>
            <w:r w:rsidRPr="005C18FF">
              <w:rPr>
                <w:rFonts w:ascii="Times New Roman" w:hAnsi="Times New Roman"/>
                <w:i/>
                <w:iCs/>
                <w:snapToGrid/>
                <w:color w:val="000000"/>
                <w:sz w:val="20"/>
              </w:rPr>
              <w:t>Application for Waiver of Prohibition on Acceptance of Brokered Deposits</w:t>
            </w:r>
          </w:p>
        </w:tc>
        <w:tc>
          <w:tcPr>
            <w:tcW w:w="1104"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Reporting</w:t>
            </w:r>
          </w:p>
        </w:tc>
        <w:tc>
          <w:tcPr>
            <w:tcW w:w="1061"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Obtain or Retain a Benefit</w:t>
            </w:r>
          </w:p>
        </w:tc>
        <w:tc>
          <w:tcPr>
            <w:tcW w:w="1150"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9</w:t>
            </w:r>
          </w:p>
        </w:tc>
        <w:tc>
          <w:tcPr>
            <w:tcW w:w="982" w:type="dxa"/>
            <w:tcBorders>
              <w:left w:val="single" w:color="auto" w:sz="6" w:space="0"/>
              <w:bottom w:val="single" w:color="auto" w:sz="8" w:space="0"/>
              <w:right w:val="single" w:color="auto" w:sz="6" w:space="0"/>
            </w:tcBorders>
            <w:shd w:val="clear" w:color="auto" w:fill="auto"/>
            <w:vAlign w:val="center"/>
          </w:tcPr>
          <w:p w:rsidRPr="005C18FF" w:rsidR="005C18FF" w:rsidDel="009A7580"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1</w:t>
            </w:r>
          </w:p>
        </w:tc>
        <w:tc>
          <w:tcPr>
            <w:tcW w:w="936"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6</w:t>
            </w:r>
          </w:p>
        </w:tc>
        <w:tc>
          <w:tcPr>
            <w:tcW w:w="1078" w:type="dxa"/>
            <w:tcBorders>
              <w:left w:val="single" w:color="auto" w:sz="6" w:space="0"/>
              <w:bottom w:val="single" w:color="auto" w:sz="8" w:space="0"/>
              <w:right w:val="single" w:color="auto" w:sz="6" w:space="0"/>
            </w:tcBorders>
            <w:shd w:val="clear" w:color="auto" w:fill="auto"/>
            <w:vAlign w:val="center"/>
          </w:tcPr>
          <w:p w:rsidRPr="005C18FF" w:rsidR="005C18FF"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On Occasion</w:t>
            </w:r>
          </w:p>
        </w:tc>
        <w:tc>
          <w:tcPr>
            <w:tcW w:w="1546" w:type="dxa"/>
            <w:tcBorders>
              <w:left w:val="single" w:color="auto" w:sz="6" w:space="0"/>
              <w:bottom w:val="single" w:color="auto" w:sz="8" w:space="0"/>
              <w:right w:val="single" w:color="auto" w:sz="8" w:space="0"/>
            </w:tcBorders>
            <w:shd w:val="clear" w:color="auto" w:fill="auto"/>
            <w:vAlign w:val="center"/>
          </w:tcPr>
          <w:p w:rsidRPr="005C18FF" w:rsidR="005C18FF" w:rsidDel="009A7580" w:rsidP="005C18FF" w:rsidRDefault="005C18FF">
            <w:pPr>
              <w:widowControl/>
              <w:jc w:val="center"/>
              <w:rPr>
                <w:rFonts w:ascii="Times New Roman" w:hAnsi="Times New Roman"/>
                <w:snapToGrid/>
                <w:color w:val="000000"/>
                <w:sz w:val="18"/>
                <w:szCs w:val="16"/>
              </w:rPr>
            </w:pPr>
            <w:r w:rsidRPr="005C18FF">
              <w:rPr>
                <w:rFonts w:ascii="Times New Roman" w:hAnsi="Times New Roman"/>
                <w:snapToGrid/>
                <w:color w:val="000000"/>
                <w:sz w:val="18"/>
                <w:szCs w:val="16"/>
              </w:rPr>
              <w:t>54</w:t>
            </w:r>
          </w:p>
        </w:tc>
      </w:tr>
      <w:tr w:rsidRPr="005C18FF" w:rsidR="005C18FF" w:rsidTr="00B22148">
        <w:trPr>
          <w:trHeight w:val="443"/>
        </w:trPr>
        <w:tc>
          <w:tcPr>
            <w:tcW w:w="9294" w:type="dxa"/>
            <w:gridSpan w:val="7"/>
            <w:shd w:val="clear" w:color="auto" w:fill="D9D9D9" w:themeFill="background1" w:themeFillShade="D9"/>
            <w:vAlign w:val="center"/>
            <w:hideMark/>
          </w:tcPr>
          <w:p w:rsidRPr="005C18FF" w:rsidR="005C18FF" w:rsidP="005C18FF" w:rsidRDefault="005C18FF">
            <w:pPr>
              <w:widowControl/>
              <w:rPr>
                <w:rFonts w:ascii="Times New Roman" w:hAnsi="Times New Roman"/>
                <w:b/>
                <w:snapToGrid/>
                <w:color w:val="000000"/>
                <w:sz w:val="18"/>
                <w:szCs w:val="16"/>
              </w:rPr>
            </w:pPr>
            <w:r w:rsidRPr="005C18FF">
              <w:rPr>
                <w:rFonts w:ascii="Times New Roman" w:hAnsi="Times New Roman"/>
                <w:b/>
                <w:snapToGrid/>
                <w:color w:val="000000"/>
                <w:sz w:val="18"/>
                <w:szCs w:val="16"/>
              </w:rPr>
              <w:t xml:space="preserve">Total Estimated Annual Burden Hours </w:t>
            </w:r>
          </w:p>
        </w:tc>
        <w:tc>
          <w:tcPr>
            <w:tcW w:w="1546" w:type="dxa"/>
            <w:shd w:val="clear" w:color="auto" w:fill="D9D9D9" w:themeFill="background1" w:themeFillShade="D9"/>
            <w:noWrap/>
            <w:vAlign w:val="center"/>
            <w:hideMark/>
          </w:tcPr>
          <w:p w:rsidRPr="005C18FF" w:rsidR="005C18FF" w:rsidP="005C18FF" w:rsidRDefault="005C18FF">
            <w:pPr>
              <w:widowControl/>
              <w:jc w:val="center"/>
              <w:rPr>
                <w:rFonts w:ascii="Times New Roman" w:hAnsi="Times New Roman"/>
                <w:b/>
                <w:snapToGrid/>
                <w:color w:val="000000"/>
                <w:sz w:val="18"/>
                <w:szCs w:val="16"/>
              </w:rPr>
            </w:pPr>
            <w:r w:rsidRPr="005C18FF">
              <w:rPr>
                <w:rFonts w:ascii="Times New Roman" w:hAnsi="Times New Roman"/>
                <w:b/>
                <w:snapToGrid/>
                <w:color w:val="000000"/>
                <w:sz w:val="18"/>
                <w:szCs w:val="16"/>
              </w:rPr>
              <w:t>23,042</w:t>
            </w:r>
          </w:p>
        </w:tc>
      </w:tr>
      <w:tr w:rsidRPr="005C18FF" w:rsidR="005C18FF" w:rsidTr="00B22148">
        <w:trPr>
          <w:trHeight w:val="443"/>
        </w:trPr>
        <w:tc>
          <w:tcPr>
            <w:tcW w:w="10840" w:type="dxa"/>
            <w:gridSpan w:val="8"/>
            <w:tcBorders>
              <w:bottom w:val="nil"/>
            </w:tcBorders>
            <w:shd w:val="clear" w:color="auto" w:fill="D9D9D9" w:themeFill="background1" w:themeFillShade="D9"/>
            <w:vAlign w:val="center"/>
          </w:tcPr>
          <w:p w:rsidRPr="005C18FF" w:rsidR="005C18FF" w:rsidDel="009A7580" w:rsidP="005C18FF" w:rsidRDefault="005C18FF">
            <w:pPr>
              <w:widowControl/>
              <w:rPr>
                <w:rFonts w:ascii="Times New Roman" w:hAnsi="Times New Roman"/>
                <w:b/>
                <w:snapToGrid/>
                <w:color w:val="000000"/>
                <w:sz w:val="18"/>
                <w:szCs w:val="16"/>
              </w:rPr>
            </w:pPr>
            <w:r w:rsidRPr="005C18FF">
              <w:rPr>
                <w:rFonts w:ascii="Times New Roman" w:hAnsi="Times New Roman"/>
                <w:snapToGrid/>
                <w:color w:val="000000"/>
                <w:sz w:val="18"/>
                <w:szCs w:val="16"/>
              </w:rPr>
              <w:t xml:space="preserve">Note: The estimated number of respondents in the </w:t>
            </w:r>
            <w:r w:rsidRPr="005C18FF">
              <w:rPr>
                <w:rFonts w:ascii="Times New Roman" w:hAnsi="Times New Roman"/>
                <w:i/>
                <w:snapToGrid/>
                <w:color w:val="000000"/>
                <w:sz w:val="18"/>
                <w:szCs w:val="16"/>
              </w:rPr>
              <w:t xml:space="preserve">Initial Implementation </w:t>
            </w:r>
            <w:r w:rsidRPr="005C18FF">
              <w:rPr>
                <w:rFonts w:ascii="Times New Roman" w:hAnsi="Times New Roman"/>
                <w:snapToGrid/>
                <w:color w:val="000000"/>
                <w:sz w:val="18"/>
                <w:szCs w:val="16"/>
              </w:rPr>
              <w:t xml:space="preserve">section is an annual average calculated over three years. </w:t>
            </w:r>
          </w:p>
        </w:tc>
      </w:tr>
    </w:tbl>
    <w:p w:rsidRPr="00613C27" w:rsidR="00784BB7" w:rsidP="00613C27" w:rsidRDefault="00784BB7">
      <w:pPr>
        <w:widowControl/>
        <w:tabs>
          <w:tab w:val="left" w:pos="4230"/>
        </w:tabs>
        <w:rPr>
          <w:rFonts w:ascii="Times New Roman" w:hAnsi="Times New Roman"/>
          <w:szCs w:val="24"/>
        </w:rPr>
      </w:pPr>
    </w:p>
    <w:p w:rsidR="00FB50FA" w:rsidP="00784BB7" w:rsidRDefault="00FB50FA">
      <w:pPr>
        <w:ind w:firstLine="450"/>
        <w:rPr>
          <w:rFonts w:ascii="Times New Roman" w:hAnsi="Times New Roman"/>
          <w:i/>
        </w:rPr>
      </w:pPr>
    </w:p>
    <w:p w:rsidRPr="00784BB7" w:rsidR="00784BB7" w:rsidP="00784BB7" w:rsidRDefault="00784BB7">
      <w:pPr>
        <w:ind w:firstLine="450"/>
        <w:rPr>
          <w:rFonts w:ascii="Times New Roman" w:hAnsi="Times New Roman"/>
          <w:i/>
        </w:rPr>
      </w:pPr>
      <w:bookmarkStart w:name="_GoBack" w:id="0"/>
      <w:bookmarkEnd w:id="0"/>
      <w:r w:rsidRPr="00784BB7">
        <w:rPr>
          <w:rFonts w:ascii="Times New Roman" w:hAnsi="Times New Roman"/>
          <w:i/>
        </w:rPr>
        <w:t xml:space="preserve">Annualized </w:t>
      </w:r>
      <w:r>
        <w:rPr>
          <w:rFonts w:ascii="Times New Roman" w:hAnsi="Times New Roman"/>
          <w:i/>
        </w:rPr>
        <w:t xml:space="preserve">Cost of Internal Hourly Burden - </w:t>
      </w:r>
    </w:p>
    <w:p w:rsidR="00EC7847" w:rsidP="00EC7847" w:rsidRDefault="00EC7847">
      <w:pPr>
        <w:widowControl/>
        <w:tabs>
          <w:tab w:val="left" w:pos="720"/>
          <w:tab w:val="left" w:pos="3960"/>
        </w:tabs>
        <w:autoSpaceDE w:val="0"/>
        <w:autoSpaceDN w:val="0"/>
        <w:adjustRightInd w:val="0"/>
        <w:rPr>
          <w:rFonts w:ascii="Times New Roman" w:hAnsi="Times New Roman"/>
          <w:szCs w:val="24"/>
        </w:rPr>
      </w:pPr>
    </w:p>
    <w:p w:rsidR="0094781D" w:rsidP="0094781D" w:rsidRDefault="0094781D">
      <w:pPr>
        <w:ind w:left="450"/>
        <w:rPr>
          <w:rFonts w:ascii="Times New Roman" w:hAnsi="Times New Roman"/>
        </w:rPr>
      </w:pPr>
      <w:r w:rsidRPr="0094781D">
        <w:rPr>
          <w:rFonts w:ascii="Times New Roman" w:hAnsi="Times New Roman"/>
        </w:rPr>
        <w:t>T</w:t>
      </w:r>
      <w:r w:rsidRPr="0094781D">
        <w:rPr>
          <w:rFonts w:ascii="Times New Roman" w:hAnsi="Times New Roman"/>
        </w:rPr>
        <w:t>o estimate the annual dollar cost of the total estimated annual hourly burden, the FDIC used the occupational breakdown associated with the Application for Waiver of Prohibition on Acceptance of Brokered Deposits for the new information collection requirements contained in the proposed rule. FDIC assumes that all of the 23,042 estimated annual burden hours are worked by managers and executives (5 percent), lawyers (5 percent), compliance officers (10 percent), IT specialists (30 percent), financial analysts (40 percent), and clerical staff (10 percent), so that 100 percent of the hours are allocated to an occupation.</w:t>
      </w:r>
    </w:p>
    <w:p w:rsidRPr="0094781D" w:rsidR="0094781D" w:rsidP="0094781D" w:rsidRDefault="0094781D">
      <w:pPr>
        <w:ind w:left="450"/>
        <w:rPr>
          <w:rFonts w:ascii="Times New Roman" w:hAnsi="Times New Roman"/>
        </w:rPr>
      </w:pPr>
    </w:p>
    <w:p w:rsidRPr="0094781D" w:rsidR="00EC7847" w:rsidP="0094781D" w:rsidRDefault="0094781D">
      <w:pPr>
        <w:ind w:left="450"/>
        <w:rPr>
          <w:rFonts w:ascii="Times New Roman" w:hAnsi="Times New Roman"/>
        </w:rPr>
      </w:pPr>
      <w:r w:rsidRPr="0094781D">
        <w:rPr>
          <w:rFonts w:ascii="Times New Roman" w:hAnsi="Times New Roman"/>
        </w:rPr>
        <w:t>The FDIC then used the 75th percentile wage estimates for each occupation, based on the industry of the expected applicant, from the Bureau of Labor Statistics, and adjusted them for inflation and to account for the value of non-wage benefits, to produce an annual labor cost associated with the hours estimated above.</w:t>
      </w:r>
      <w:r w:rsidRPr="00A1125E">
        <w:rPr>
          <w:rStyle w:val="FootnoteReference"/>
          <w:rFonts w:ascii="Times New Roman" w:hAnsi="Times New Roman"/>
          <w:vertAlign w:val="superscript"/>
        </w:rPr>
        <w:footnoteReference w:id="1"/>
      </w:r>
      <w:r w:rsidRPr="0094781D">
        <w:rPr>
          <w:rFonts w:ascii="Times New Roman" w:hAnsi="Times New Roman"/>
        </w:rPr>
        <w:t xml:space="preserve"> This resulted in an estimated weighted average hourly wage of $106.11 for applications relating to exceptions from the definition of “deposit broker,” and $83.88 for the Application for Waiver of Prohibition on Acceptance of Brokered Deposits.  Based on the inflation adjusted wages, and accounting for non-wage benefits, the FDIC estimates that the average annual average reporting cost associated with the proposal is approximately $2.4 million, or approximately $1,545.70 per respondent.</w:t>
      </w:r>
    </w:p>
    <w:p w:rsidRPr="001016B5" w:rsidR="00613C27" w:rsidP="00082A03" w:rsidRDefault="00613C27">
      <w:pPr>
        <w:rPr>
          <w:rFonts w:ascii="Calibri" w:hAnsi="Calibri"/>
          <w:sz w:val="22"/>
          <w:szCs w:val="22"/>
        </w:rPr>
      </w:pPr>
    </w:p>
    <w:p w:rsidRPr="00826103" w:rsidR="00826103" w:rsidP="00826103" w:rsidRDefault="00826103">
      <w:pPr>
        <w:tabs>
          <w:tab w:val="left" w:pos="-1440"/>
        </w:tabs>
        <w:rPr>
          <w:rFonts w:ascii="Times New Roman" w:hAnsi="Times New Roman"/>
          <w:szCs w:val="24"/>
        </w:rPr>
      </w:pPr>
      <w:r w:rsidRPr="00826103">
        <w:rPr>
          <w:rFonts w:ascii="Times New Roman" w:hAnsi="Times New Roman"/>
          <w:szCs w:val="24"/>
        </w:rPr>
        <w:t xml:space="preserve">13.  </w:t>
      </w:r>
      <w:r w:rsidRPr="00784BB7" w:rsidR="00784BB7">
        <w:rPr>
          <w:rFonts w:ascii="Times New Roman" w:hAnsi="Times New Roman"/>
          <w:bCs/>
          <w:szCs w:val="24"/>
          <w:u w:val="single"/>
        </w:rPr>
        <w:t>Estimate of start-up costs to respondents:</w:t>
      </w:r>
    </w:p>
    <w:p w:rsidRPr="00826103" w:rsidR="00826103" w:rsidP="00826103" w:rsidRDefault="00826103">
      <w:pPr>
        <w:tabs>
          <w:tab w:val="left" w:pos="-1440"/>
        </w:tabs>
        <w:rPr>
          <w:rFonts w:ascii="Times New Roman" w:hAnsi="Times New Roman"/>
          <w:szCs w:val="24"/>
        </w:rPr>
      </w:pPr>
    </w:p>
    <w:p w:rsidR="00083310" w:rsidP="00826103" w:rsidRDefault="00784BB7">
      <w:pPr>
        <w:rPr>
          <w:rFonts w:ascii="Times New Roman" w:hAnsi="Times New Roman"/>
          <w:szCs w:val="24"/>
        </w:rPr>
      </w:pPr>
      <w:r>
        <w:rPr>
          <w:rFonts w:ascii="Times New Roman" w:hAnsi="Times New Roman"/>
          <w:szCs w:val="24"/>
        </w:rPr>
        <w:t>None</w:t>
      </w:r>
      <w:r w:rsidRPr="00083310" w:rsidR="00083310">
        <w:rPr>
          <w:rFonts w:ascii="Times New Roman" w:hAnsi="Times New Roman"/>
          <w:szCs w:val="24"/>
        </w:rPr>
        <w:t xml:space="preserve">.  </w:t>
      </w:r>
    </w:p>
    <w:p w:rsidR="00083310" w:rsidP="00826103" w:rsidRDefault="00083310">
      <w:pPr>
        <w:rPr>
          <w:rFonts w:ascii="Times New Roman" w:hAnsi="Times New Roman"/>
          <w:szCs w:val="24"/>
        </w:rPr>
      </w:pPr>
    </w:p>
    <w:p w:rsidR="001F098D" w:rsidP="00826103" w:rsidRDefault="001F098D">
      <w:pPr>
        <w:rPr>
          <w:rFonts w:ascii="Times New Roman" w:hAnsi="Times New Roman"/>
          <w:szCs w:val="24"/>
        </w:rPr>
      </w:pPr>
    </w:p>
    <w:p w:rsidRPr="00826103" w:rsidR="00826103" w:rsidP="00826103" w:rsidRDefault="00826103">
      <w:pPr>
        <w:rPr>
          <w:rFonts w:ascii="Times New Roman" w:hAnsi="Times New Roman"/>
          <w:szCs w:val="24"/>
        </w:rPr>
      </w:pPr>
      <w:r w:rsidRPr="00826103">
        <w:rPr>
          <w:rFonts w:ascii="Times New Roman" w:hAnsi="Times New Roman"/>
          <w:szCs w:val="24"/>
        </w:rPr>
        <w:t xml:space="preserve">14.  </w:t>
      </w:r>
      <w:r w:rsidRPr="00784BB7" w:rsidR="00784BB7">
        <w:rPr>
          <w:rFonts w:ascii="Times New Roman" w:hAnsi="Times New Roman"/>
          <w:bCs/>
          <w:szCs w:val="24"/>
          <w:u w:val="single"/>
        </w:rPr>
        <w:t>Estimate of annualized costs to the government:</w:t>
      </w:r>
    </w:p>
    <w:p w:rsidRPr="00826103" w:rsidR="00826103" w:rsidP="00826103" w:rsidRDefault="00826103">
      <w:pPr>
        <w:rPr>
          <w:rFonts w:ascii="Times New Roman" w:hAnsi="Times New Roman"/>
          <w:szCs w:val="24"/>
        </w:rPr>
      </w:pPr>
    </w:p>
    <w:p w:rsidRPr="007C3B61" w:rsidR="007C3B61" w:rsidP="007C3B61" w:rsidRDefault="00784BB7">
      <w:pPr>
        <w:tabs>
          <w:tab w:val="left" w:pos="-1440"/>
        </w:tabs>
        <w:rPr>
          <w:rFonts w:ascii="Times New Roman" w:hAnsi="Times New Roman"/>
          <w:szCs w:val="24"/>
        </w:rPr>
      </w:pPr>
      <w:r>
        <w:rPr>
          <w:rFonts w:ascii="Times New Roman" w:hAnsi="Times New Roman"/>
          <w:szCs w:val="24"/>
        </w:rPr>
        <w:t>None</w:t>
      </w:r>
      <w:r w:rsidRPr="007C3B61" w:rsidR="007C3B61">
        <w:rPr>
          <w:rFonts w:ascii="Times New Roman" w:hAnsi="Times New Roman"/>
          <w:szCs w:val="24"/>
        </w:rPr>
        <w:t>.</w:t>
      </w:r>
    </w:p>
    <w:p w:rsidR="007944A9" w:rsidP="00826103" w:rsidRDefault="007944A9">
      <w:pPr>
        <w:tabs>
          <w:tab w:val="left" w:pos="-1440"/>
        </w:tabs>
        <w:rPr>
          <w:rFonts w:ascii="Times New Roman" w:hAnsi="Times New Roman"/>
          <w:szCs w:val="24"/>
        </w:rPr>
      </w:pPr>
    </w:p>
    <w:p w:rsidR="003968C7" w:rsidP="00C43CCE" w:rsidRDefault="003968C7">
      <w:pPr>
        <w:rPr>
          <w:rFonts w:ascii="Times New Roman" w:hAnsi="Times New Roman"/>
          <w:szCs w:val="24"/>
        </w:rPr>
      </w:pPr>
      <w:bookmarkStart w:name="OLE_LINK1" w:id="1"/>
      <w:bookmarkStart w:name="OLE_LINK2" w:id="2"/>
    </w:p>
    <w:p w:rsidRPr="00C43CCE" w:rsidR="00C43CCE" w:rsidP="00C43CCE" w:rsidRDefault="00C43CCE">
      <w:pPr>
        <w:rPr>
          <w:rFonts w:ascii="Times New Roman" w:hAnsi="Times New Roman"/>
          <w:szCs w:val="24"/>
        </w:rPr>
      </w:pPr>
      <w:r w:rsidRPr="00C43CCE">
        <w:rPr>
          <w:rFonts w:ascii="Times New Roman" w:hAnsi="Times New Roman"/>
          <w:szCs w:val="24"/>
        </w:rPr>
        <w:t xml:space="preserve">15.  </w:t>
      </w:r>
      <w:r w:rsidRPr="00784BB7" w:rsidR="00784BB7">
        <w:rPr>
          <w:rFonts w:ascii="Times New Roman" w:hAnsi="Times New Roman"/>
          <w:szCs w:val="24"/>
          <w:u w:val="single"/>
        </w:rPr>
        <w:t>Analysis of change in burden:</w:t>
      </w:r>
    </w:p>
    <w:p w:rsidR="00C43CCE" w:rsidP="00C43CCE" w:rsidRDefault="00C43CCE">
      <w:pPr>
        <w:rPr>
          <w:rFonts w:ascii="Times New Roman" w:hAnsi="Times New Roman"/>
          <w:szCs w:val="24"/>
        </w:rPr>
      </w:pPr>
    </w:p>
    <w:p w:rsidRPr="00A01D34" w:rsidR="000F596E" w:rsidP="00A01D34" w:rsidRDefault="00742CCA">
      <w:pPr>
        <w:rPr>
          <w:rFonts w:ascii="Times New Roman" w:hAnsi="Times New Roman"/>
          <w:szCs w:val="24"/>
        </w:rPr>
      </w:pPr>
      <w:r>
        <w:rPr>
          <w:rFonts w:ascii="Times New Roman" w:hAnsi="Times New Roman"/>
          <w:szCs w:val="24"/>
        </w:rPr>
        <w:t>Under the proposed rule, t</w:t>
      </w:r>
      <w:r w:rsidR="000F596E">
        <w:rPr>
          <w:rFonts w:ascii="Times New Roman" w:hAnsi="Times New Roman"/>
          <w:szCs w:val="24"/>
        </w:rPr>
        <w:t>otal e</w:t>
      </w:r>
      <w:r w:rsidR="00A01D34">
        <w:rPr>
          <w:rFonts w:ascii="Times New Roman" w:hAnsi="Times New Roman"/>
          <w:szCs w:val="24"/>
        </w:rPr>
        <w:t>stimated annual burden increases</w:t>
      </w:r>
      <w:r w:rsidR="000F596E">
        <w:rPr>
          <w:rFonts w:ascii="Times New Roman" w:hAnsi="Times New Roman"/>
          <w:szCs w:val="24"/>
        </w:rPr>
        <w:t xml:space="preserve"> by </w:t>
      </w:r>
      <w:r w:rsidR="00A01D34">
        <w:rPr>
          <w:rFonts w:ascii="Times New Roman" w:hAnsi="Times New Roman"/>
          <w:szCs w:val="24"/>
        </w:rPr>
        <w:t>22,862</w:t>
      </w:r>
      <w:r w:rsidR="000F596E">
        <w:rPr>
          <w:rFonts w:ascii="Times New Roman" w:hAnsi="Times New Roman"/>
          <w:szCs w:val="24"/>
        </w:rPr>
        <w:t xml:space="preserve"> hours from 1</w:t>
      </w:r>
      <w:r w:rsidR="00A01D34">
        <w:rPr>
          <w:rFonts w:ascii="Times New Roman" w:hAnsi="Times New Roman"/>
          <w:szCs w:val="24"/>
        </w:rPr>
        <w:t>8</w:t>
      </w:r>
      <w:r w:rsidR="000F596E">
        <w:rPr>
          <w:rFonts w:ascii="Times New Roman" w:hAnsi="Times New Roman"/>
          <w:szCs w:val="24"/>
        </w:rPr>
        <w:t xml:space="preserve">0 hours in the currently-approved information collection, to </w:t>
      </w:r>
      <w:r w:rsidR="00A01D34">
        <w:rPr>
          <w:rFonts w:ascii="Times New Roman" w:hAnsi="Times New Roman"/>
          <w:szCs w:val="24"/>
        </w:rPr>
        <w:t>23,042</w:t>
      </w:r>
      <w:r w:rsidR="000F596E">
        <w:rPr>
          <w:rFonts w:ascii="Times New Roman" w:hAnsi="Times New Roman"/>
          <w:szCs w:val="24"/>
        </w:rPr>
        <w:t xml:space="preserve"> hours under this </w:t>
      </w:r>
      <w:r w:rsidR="00A01D34">
        <w:rPr>
          <w:rFonts w:ascii="Times New Roman" w:hAnsi="Times New Roman"/>
          <w:szCs w:val="24"/>
        </w:rPr>
        <w:t xml:space="preserve">proposed </w:t>
      </w:r>
      <w:r w:rsidR="000F596E">
        <w:rPr>
          <w:rFonts w:ascii="Times New Roman" w:hAnsi="Times New Roman"/>
          <w:szCs w:val="24"/>
        </w:rPr>
        <w:t xml:space="preserve">revision.  </w:t>
      </w:r>
      <w:r w:rsidR="00A01D34">
        <w:rPr>
          <w:rFonts w:ascii="Times New Roman" w:hAnsi="Times New Roman"/>
          <w:szCs w:val="24"/>
        </w:rPr>
        <w:t xml:space="preserve">The increase in burden is primarily attributable to new recordkeeping and reporting requirements in the proposed revisions to the rule.  The new requirements increase estimated annual burden by 22,988 hours.  This increase is offset by a reduction of 126 hours due to the decrease in the estimated number of respondents for the </w:t>
      </w:r>
      <w:r w:rsidRPr="00A01D34" w:rsidR="00A01D34">
        <w:rPr>
          <w:rFonts w:ascii="Times New Roman" w:hAnsi="Times New Roman"/>
          <w:i/>
          <w:iCs/>
          <w:szCs w:val="24"/>
        </w:rPr>
        <w:t>Application for Waiver of Prohibition on Acceptance of Brokered Deposits</w:t>
      </w:r>
      <w:r w:rsidR="00A01D34">
        <w:rPr>
          <w:rFonts w:ascii="Times New Roman" w:hAnsi="Times New Roman"/>
          <w:iCs/>
          <w:szCs w:val="24"/>
        </w:rPr>
        <w:t xml:space="preserve"> from 30 to 9 which resulted in a decrease of 126 hours in the estimated annual burden for that IC from 180 hours to 54 hours.</w:t>
      </w:r>
    </w:p>
    <w:bookmarkEnd w:id="1"/>
    <w:bookmarkEnd w:id="2"/>
    <w:p w:rsidR="00B34524" w:rsidP="00082A03" w:rsidRDefault="00B34524">
      <w:pPr>
        <w:tabs>
          <w:tab w:val="left" w:pos="-1440"/>
        </w:tabs>
        <w:rPr>
          <w:rFonts w:ascii="Times New Roman" w:hAnsi="Times New Roman"/>
          <w:szCs w:val="24"/>
        </w:rPr>
      </w:pPr>
    </w:p>
    <w:p w:rsidR="00635680" w:rsidRDefault="00635680">
      <w:pPr>
        <w:widowControl/>
        <w:rPr>
          <w:rFonts w:ascii="Times New Roman" w:hAnsi="Times New Roman"/>
          <w:szCs w:val="24"/>
        </w:rPr>
      </w:pPr>
    </w:p>
    <w:p w:rsidRPr="00C43CCE" w:rsidR="00C43CCE" w:rsidP="003A1650" w:rsidRDefault="00C43CCE">
      <w:pPr>
        <w:keepNext/>
        <w:widowControl/>
        <w:rPr>
          <w:rFonts w:ascii="Times New Roman" w:hAnsi="Times New Roman"/>
          <w:szCs w:val="24"/>
        </w:rPr>
      </w:pPr>
      <w:r w:rsidRPr="00C43CCE">
        <w:rPr>
          <w:rFonts w:ascii="Times New Roman" w:hAnsi="Times New Roman"/>
          <w:szCs w:val="24"/>
        </w:rPr>
        <w:t xml:space="preserve">16.  </w:t>
      </w:r>
      <w:r w:rsidRPr="00E47BDF" w:rsidR="00784BB7">
        <w:rPr>
          <w:rFonts w:ascii="Times New Roman" w:hAnsi="Times New Roman"/>
          <w:szCs w:val="24"/>
          <w:u w:val="single"/>
        </w:rPr>
        <w:t>Information regarding collections whose results</w:t>
      </w:r>
      <w:r w:rsidRPr="006A7DD6" w:rsidR="00784BB7">
        <w:rPr>
          <w:rFonts w:ascii="Times New Roman" w:hAnsi="Times New Roman"/>
          <w:szCs w:val="24"/>
          <w:u w:val="single"/>
        </w:rPr>
        <w:t xml:space="preserve"> are planned to be published for statistical use:</w:t>
      </w:r>
    </w:p>
    <w:p w:rsidRPr="00C43CCE" w:rsidR="00C43CCE" w:rsidP="003A1650" w:rsidRDefault="00C43CCE">
      <w:pPr>
        <w:keepNext/>
        <w:widowControl/>
        <w:rPr>
          <w:rFonts w:ascii="Times New Roman" w:hAnsi="Times New Roman"/>
          <w:szCs w:val="24"/>
        </w:rPr>
      </w:pPr>
    </w:p>
    <w:p w:rsidRPr="003A1650" w:rsidR="003A1650" w:rsidP="003A1650" w:rsidRDefault="003A1650">
      <w:pPr>
        <w:keepNext/>
        <w:widowControl/>
        <w:rPr>
          <w:rFonts w:ascii="Times New Roman" w:hAnsi="Times New Roman"/>
        </w:rPr>
      </w:pPr>
      <w:r>
        <w:rPr>
          <w:rFonts w:ascii="Times New Roman" w:hAnsi="Times New Roman"/>
        </w:rPr>
        <w:t>No</w:t>
      </w:r>
      <w:r w:rsidR="00E52C86">
        <w:rPr>
          <w:rFonts w:ascii="Times New Roman" w:hAnsi="Times New Roman"/>
        </w:rPr>
        <w:t>t applicable</w:t>
      </w:r>
      <w:r>
        <w:rPr>
          <w:rFonts w:ascii="Times New Roman" w:hAnsi="Times New Roman"/>
        </w:rPr>
        <w:t xml:space="preserve">.  </w:t>
      </w:r>
      <w:r w:rsidRPr="00E52C86" w:rsidR="00E52C86">
        <w:rPr>
          <w:rFonts w:ascii="Times New Roman" w:hAnsi="Times New Roman"/>
        </w:rPr>
        <w:t>No publication for statistical use is contemplated.</w:t>
      </w:r>
    </w:p>
    <w:p w:rsidR="00F07B25" w:rsidP="00635680" w:rsidRDefault="00F07B25">
      <w:pPr>
        <w:widowControl/>
        <w:rPr>
          <w:rFonts w:ascii="Times New Roman" w:hAnsi="Times New Roman"/>
          <w:szCs w:val="24"/>
        </w:rPr>
      </w:pPr>
    </w:p>
    <w:p w:rsidR="00635680" w:rsidP="00082A03" w:rsidRDefault="00635680">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 xml:space="preserve">17.  </w:t>
      </w:r>
      <w:r w:rsidRPr="003A1650" w:rsidR="003A1650">
        <w:rPr>
          <w:rFonts w:ascii="Times New Roman" w:hAnsi="Times New Roman"/>
          <w:szCs w:val="24"/>
          <w:u w:val="single"/>
        </w:rPr>
        <w:t xml:space="preserve">Exceptions to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Pr="007E1EEE" w:rsidR="007E1EEE" w:rsidP="007E1EEE" w:rsidRDefault="007E1EEE">
      <w:pPr>
        <w:rPr>
          <w:rFonts w:ascii="Times New Roman" w:hAnsi="Times New Roman"/>
          <w:szCs w:val="24"/>
        </w:rPr>
      </w:pPr>
    </w:p>
    <w:p w:rsidRPr="007E1EEE" w:rsidR="007E1EEE" w:rsidP="007E1EEE" w:rsidRDefault="003A1650">
      <w:pPr>
        <w:rPr>
          <w:rFonts w:ascii="Times New Roman" w:hAnsi="Times New Roman"/>
          <w:szCs w:val="24"/>
        </w:rPr>
      </w:pPr>
      <w:r>
        <w:rPr>
          <w:rFonts w:ascii="Times New Roman" w:hAnsi="Times New Roman"/>
          <w:szCs w:val="24"/>
        </w:rPr>
        <w:t>None</w:t>
      </w:r>
      <w:r w:rsidRPr="007E1EEE" w:rsidR="007E1EEE">
        <w:rPr>
          <w:rFonts w:ascii="Times New Roman" w:hAnsi="Times New Roman"/>
          <w:szCs w:val="24"/>
        </w:rPr>
        <w:t>.</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 xml:space="preserve">18.  </w:t>
      </w:r>
      <w:r w:rsidR="0099073E">
        <w:rPr>
          <w:rFonts w:ascii="Times New Roman" w:hAnsi="Times New Roman"/>
          <w:szCs w:val="24"/>
          <w:u w:val="single"/>
        </w:rPr>
        <w:t>Exceptions to c</w:t>
      </w:r>
      <w:r w:rsidRPr="003030A4">
        <w:rPr>
          <w:rFonts w:ascii="Times New Roman" w:hAnsi="Times New Roman"/>
          <w:szCs w:val="24"/>
          <w:u w:val="single"/>
        </w:rPr>
        <w:t>ertification</w:t>
      </w:r>
      <w:r w:rsidR="0099073E">
        <w:rPr>
          <w:rFonts w:ascii="Times New Roman" w:hAnsi="Times New Roman"/>
          <w:szCs w:val="24"/>
          <w:u w:val="single"/>
        </w:rPr>
        <w:t>:</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None.</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p>
    <w:p w:rsidRPr="001F098D" w:rsidR="007E1EEE" w:rsidP="007E1EEE" w:rsidRDefault="007E1EEE">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Pr="007E1EEE" w:rsidR="007E1EEE" w:rsidP="007E1EEE" w:rsidRDefault="007E1EEE">
      <w:pPr>
        <w:rPr>
          <w:rFonts w:ascii="Times New Roman" w:hAnsi="Times New Roman"/>
          <w:szCs w:val="24"/>
        </w:rPr>
      </w:pPr>
    </w:p>
    <w:p w:rsidRPr="007E1EEE" w:rsidR="007E1EEE" w:rsidP="007E1EEE" w:rsidRDefault="007E1EEE">
      <w:pPr>
        <w:rPr>
          <w:rFonts w:ascii="Times New Roman" w:hAnsi="Times New Roman"/>
          <w:szCs w:val="24"/>
        </w:rPr>
      </w:pPr>
      <w:r w:rsidRPr="007E1EEE">
        <w:rPr>
          <w:rFonts w:ascii="Times New Roman" w:hAnsi="Times New Roman"/>
          <w:szCs w:val="24"/>
        </w:rPr>
        <w:t>Not applicable.</w:t>
      </w:r>
    </w:p>
    <w:p w:rsidRPr="00576EF9" w:rsidR="0066096F" w:rsidP="007E1EEE" w:rsidRDefault="0066096F">
      <w:pPr>
        <w:rPr>
          <w:rFonts w:ascii="Times New Roman" w:hAnsi="Times New Roman"/>
          <w:szCs w:val="24"/>
        </w:rPr>
      </w:pPr>
    </w:p>
    <w:sectPr w:rsidRPr="00576EF9" w:rsidR="0066096F" w:rsidSect="004F4BFD">
      <w:headerReference w:type="default" r:id="rId8"/>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TUR">
    <w:altName w:val="Times New Roman"/>
    <w:charset w:val="00"/>
    <w:family w:val="roman"/>
    <w:pitch w:val="variable"/>
    <w:sig w:usb0="00000000"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9F" w:rsidRDefault="0073169F" w:rsidP="0073169F">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FB50FA">
      <w:rPr>
        <w:rFonts w:ascii="Times New Roman" w:hAnsi="Times New Roman"/>
        <w:noProof/>
      </w:rPr>
      <w:t>8</w:t>
    </w:r>
    <w:r w:rsidRPr="004F4BFD">
      <w:rPr>
        <w:rFonts w:ascii="Times New Roman" w:hAnsi="Times New Roman"/>
        <w:noProof/>
      </w:rPr>
      <w:fldChar w:fldCharType="end"/>
    </w:r>
    <w:r>
      <w:rPr>
        <w:rFonts w:ascii="Times New Roman" w:hAnsi="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AA" w:rsidRDefault="004F64AA">
      <w:r>
        <w:separator/>
      </w:r>
    </w:p>
  </w:footnote>
  <w:footnote w:type="continuationSeparator" w:id="0">
    <w:p w:rsidR="004F64AA" w:rsidRDefault="004F64AA">
      <w:r>
        <w:continuationSeparator/>
      </w:r>
    </w:p>
  </w:footnote>
  <w:footnote w:id="1">
    <w:p w:rsidR="0094781D" w:rsidRDefault="0094781D">
      <w:pPr>
        <w:pStyle w:val="FootnoteText"/>
      </w:pPr>
      <w:r w:rsidRPr="00A1125E">
        <w:rPr>
          <w:rStyle w:val="FootnoteReference"/>
          <w:vertAlign w:val="superscript"/>
        </w:rPr>
        <w:footnoteRef/>
      </w:r>
      <w:r>
        <w:t xml:space="preserve"> </w:t>
      </w:r>
      <w:r w:rsidRPr="0094781D">
        <w:t>Specifically, for the applications relating to exceptions from the definition of ‘‘deposit broker,’’ the FDIC used the wage estimates from the Bureau of Labor Statistics (BLS) ‘‘National Industry- Specific Occupational Employment and Wage Estimates: Securities, Commodity Contracts, and Other Financial Investments and Related Activities Sector’’ (May 2018), while for the Application for Waiver of Prohibition on Acceptance of Brokered Deposits, the FDIC used the wage estimates from the BLS ‘‘National Industry-Specific Occupational Employment and Wage Estimates: Depository Credit Intermediation Sector’’ (May 2018). Other BLS data used were the Employer Cost of Employee Compensation data (June 2019), and the Consumer Price Index (June 2019). Hourly wage estimates at the 75th percentile wage were used, except when the estimate was greater than $100, in which case $100 per hour was used, as the BLS does not report hourly wages in excess of $100. The 75th percentile wage information reported by the BLS in the Specific Occupational Employment and Wage Estimates does not include health benefits and other non-monetary benefits. According to the June 2019 Employer Cost of Employee Compensation data, compensation rates for health and other benefits are 33.8 percent of total compensation. Additionally, the wage has been adjusted for inflation according to BLS data on the Consumer Price Index for Urban Consumers (CPI–U), so that it is contemporaneous with the non-wage compensation statistic. The inflation rate was 1.86 percent between May 2018 and June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011474"/>
      <w:docPartObj>
        <w:docPartGallery w:val="Page Numbers (Top of Page)"/>
        <w:docPartUnique/>
      </w:docPartObj>
    </w:sdtPr>
    <w:sdtEndPr>
      <w:rPr>
        <w:rFonts w:ascii="Times New Roman" w:hAnsi="Times New Roman"/>
        <w:noProof/>
      </w:rPr>
    </w:sdtEndPr>
    <w:sdtContent>
      <w:p w:rsidR="004F4BFD" w:rsidRPr="004F4BFD" w:rsidRDefault="004F4BFD">
        <w:pPr>
          <w:pStyle w:val="Header"/>
          <w:jc w:val="center"/>
          <w:rPr>
            <w:rFonts w:ascii="Times New Roman" w:hAnsi="Times New Roman"/>
          </w:rPr>
        </w:pPr>
        <w:r>
          <w:t xml:space="preserve"> </w:t>
        </w:r>
      </w:p>
    </w:sdtContent>
  </w:sdt>
  <w:p w:rsidR="008D3013" w:rsidRDefault="008D30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F1F"/>
    <w:multiLevelType w:val="hybridMultilevel"/>
    <w:tmpl w:val="1294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4321F5"/>
    <w:multiLevelType w:val="hybridMultilevel"/>
    <w:tmpl w:val="21B47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8021CA9"/>
    <w:multiLevelType w:val="hybridMultilevel"/>
    <w:tmpl w:val="65C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19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45B5F"/>
    <w:rsid w:val="0004604F"/>
    <w:rsid w:val="00050AFE"/>
    <w:rsid w:val="00082A03"/>
    <w:rsid w:val="00083310"/>
    <w:rsid w:val="0009733C"/>
    <w:rsid w:val="00097ABF"/>
    <w:rsid w:val="000A2A9B"/>
    <w:rsid w:val="000A51AB"/>
    <w:rsid w:val="000A5283"/>
    <w:rsid w:val="000B6396"/>
    <w:rsid w:val="000C1B6D"/>
    <w:rsid w:val="000C6B41"/>
    <w:rsid w:val="000D40A4"/>
    <w:rsid w:val="000E01ED"/>
    <w:rsid w:val="000F596E"/>
    <w:rsid w:val="001016B5"/>
    <w:rsid w:val="00153E35"/>
    <w:rsid w:val="00153FBB"/>
    <w:rsid w:val="001540B8"/>
    <w:rsid w:val="00162959"/>
    <w:rsid w:val="001654A7"/>
    <w:rsid w:val="00174870"/>
    <w:rsid w:val="00175050"/>
    <w:rsid w:val="00175FA9"/>
    <w:rsid w:val="00183E56"/>
    <w:rsid w:val="00185ED6"/>
    <w:rsid w:val="0018700B"/>
    <w:rsid w:val="001C74B9"/>
    <w:rsid w:val="001F098D"/>
    <w:rsid w:val="001F5B38"/>
    <w:rsid w:val="002039CD"/>
    <w:rsid w:val="00203F55"/>
    <w:rsid w:val="0023400D"/>
    <w:rsid w:val="002340C8"/>
    <w:rsid w:val="0024422C"/>
    <w:rsid w:val="002623F6"/>
    <w:rsid w:val="00292B0C"/>
    <w:rsid w:val="00297B00"/>
    <w:rsid w:val="002A33F6"/>
    <w:rsid w:val="002C0CF3"/>
    <w:rsid w:val="002D069B"/>
    <w:rsid w:val="002E2ACB"/>
    <w:rsid w:val="003030A4"/>
    <w:rsid w:val="003121F3"/>
    <w:rsid w:val="00320219"/>
    <w:rsid w:val="003341DC"/>
    <w:rsid w:val="00340C31"/>
    <w:rsid w:val="00347E47"/>
    <w:rsid w:val="00354D9C"/>
    <w:rsid w:val="00355F39"/>
    <w:rsid w:val="003630E5"/>
    <w:rsid w:val="0036319C"/>
    <w:rsid w:val="003713E6"/>
    <w:rsid w:val="0037670D"/>
    <w:rsid w:val="003856C7"/>
    <w:rsid w:val="003900C0"/>
    <w:rsid w:val="003954D8"/>
    <w:rsid w:val="003968C7"/>
    <w:rsid w:val="00397A7F"/>
    <w:rsid w:val="003A1650"/>
    <w:rsid w:val="003D693C"/>
    <w:rsid w:val="003E0A4A"/>
    <w:rsid w:val="003E1E1C"/>
    <w:rsid w:val="003F7EF0"/>
    <w:rsid w:val="004056C8"/>
    <w:rsid w:val="00410799"/>
    <w:rsid w:val="00423045"/>
    <w:rsid w:val="00435B05"/>
    <w:rsid w:val="004520E2"/>
    <w:rsid w:val="00460447"/>
    <w:rsid w:val="00464BBC"/>
    <w:rsid w:val="0047220D"/>
    <w:rsid w:val="00475D94"/>
    <w:rsid w:val="00480F7A"/>
    <w:rsid w:val="004877A3"/>
    <w:rsid w:val="00494369"/>
    <w:rsid w:val="00495352"/>
    <w:rsid w:val="004C489A"/>
    <w:rsid w:val="004D68C3"/>
    <w:rsid w:val="004F4BFD"/>
    <w:rsid w:val="004F500F"/>
    <w:rsid w:val="004F64AA"/>
    <w:rsid w:val="00505CDE"/>
    <w:rsid w:val="00512781"/>
    <w:rsid w:val="005329AF"/>
    <w:rsid w:val="00540FC1"/>
    <w:rsid w:val="005536EB"/>
    <w:rsid w:val="005628F5"/>
    <w:rsid w:val="0056709B"/>
    <w:rsid w:val="0056774A"/>
    <w:rsid w:val="00576BDF"/>
    <w:rsid w:val="00576EF9"/>
    <w:rsid w:val="00592D90"/>
    <w:rsid w:val="005B05CA"/>
    <w:rsid w:val="005C18FF"/>
    <w:rsid w:val="005C56A9"/>
    <w:rsid w:val="005C7645"/>
    <w:rsid w:val="005D42FC"/>
    <w:rsid w:val="005D6486"/>
    <w:rsid w:val="005F4907"/>
    <w:rsid w:val="005F534B"/>
    <w:rsid w:val="00613009"/>
    <w:rsid w:val="00613C27"/>
    <w:rsid w:val="006200D5"/>
    <w:rsid w:val="00626DC9"/>
    <w:rsid w:val="0063519F"/>
    <w:rsid w:val="00635680"/>
    <w:rsid w:val="006472F8"/>
    <w:rsid w:val="0065511A"/>
    <w:rsid w:val="0065674F"/>
    <w:rsid w:val="0066096F"/>
    <w:rsid w:val="006627B8"/>
    <w:rsid w:val="00663B72"/>
    <w:rsid w:val="00674F46"/>
    <w:rsid w:val="00676115"/>
    <w:rsid w:val="00681328"/>
    <w:rsid w:val="006A21A7"/>
    <w:rsid w:val="006B0D51"/>
    <w:rsid w:val="006B1010"/>
    <w:rsid w:val="006C7746"/>
    <w:rsid w:val="006D6392"/>
    <w:rsid w:val="006D7D17"/>
    <w:rsid w:val="006F3581"/>
    <w:rsid w:val="00726027"/>
    <w:rsid w:val="0073169F"/>
    <w:rsid w:val="007340C5"/>
    <w:rsid w:val="00740ECF"/>
    <w:rsid w:val="00742CCA"/>
    <w:rsid w:val="00747E45"/>
    <w:rsid w:val="00776FF0"/>
    <w:rsid w:val="00777288"/>
    <w:rsid w:val="00780ABB"/>
    <w:rsid w:val="00784BB7"/>
    <w:rsid w:val="0078522F"/>
    <w:rsid w:val="007944A9"/>
    <w:rsid w:val="00797193"/>
    <w:rsid w:val="007C3B61"/>
    <w:rsid w:val="007E1EEE"/>
    <w:rsid w:val="007F3B12"/>
    <w:rsid w:val="0080085A"/>
    <w:rsid w:val="00806029"/>
    <w:rsid w:val="008100E8"/>
    <w:rsid w:val="00826103"/>
    <w:rsid w:val="00827AA7"/>
    <w:rsid w:val="00841551"/>
    <w:rsid w:val="0086288E"/>
    <w:rsid w:val="00874EEB"/>
    <w:rsid w:val="00876A41"/>
    <w:rsid w:val="008849AA"/>
    <w:rsid w:val="008A4A4B"/>
    <w:rsid w:val="008B1382"/>
    <w:rsid w:val="008B25A0"/>
    <w:rsid w:val="008B6075"/>
    <w:rsid w:val="008C5E8D"/>
    <w:rsid w:val="008D3013"/>
    <w:rsid w:val="008F1AF1"/>
    <w:rsid w:val="008F25A5"/>
    <w:rsid w:val="008F5D4C"/>
    <w:rsid w:val="00900254"/>
    <w:rsid w:val="00900B71"/>
    <w:rsid w:val="00916115"/>
    <w:rsid w:val="009172D2"/>
    <w:rsid w:val="00920E1F"/>
    <w:rsid w:val="0092537B"/>
    <w:rsid w:val="009431CE"/>
    <w:rsid w:val="00944653"/>
    <w:rsid w:val="0094781D"/>
    <w:rsid w:val="00962E44"/>
    <w:rsid w:val="00965FB5"/>
    <w:rsid w:val="0099073E"/>
    <w:rsid w:val="009B0C03"/>
    <w:rsid w:val="009C1387"/>
    <w:rsid w:val="009C3D5C"/>
    <w:rsid w:val="00A01D34"/>
    <w:rsid w:val="00A01FC6"/>
    <w:rsid w:val="00A078B5"/>
    <w:rsid w:val="00A1125E"/>
    <w:rsid w:val="00A1401D"/>
    <w:rsid w:val="00A14102"/>
    <w:rsid w:val="00A235C0"/>
    <w:rsid w:val="00A44121"/>
    <w:rsid w:val="00A50CB8"/>
    <w:rsid w:val="00A63779"/>
    <w:rsid w:val="00A63B0E"/>
    <w:rsid w:val="00A80C5A"/>
    <w:rsid w:val="00A8224C"/>
    <w:rsid w:val="00A8385D"/>
    <w:rsid w:val="00A90B03"/>
    <w:rsid w:val="00A9153F"/>
    <w:rsid w:val="00AA4DD4"/>
    <w:rsid w:val="00AD2568"/>
    <w:rsid w:val="00AD66E4"/>
    <w:rsid w:val="00AF3AF5"/>
    <w:rsid w:val="00B14B76"/>
    <w:rsid w:val="00B23D3B"/>
    <w:rsid w:val="00B26097"/>
    <w:rsid w:val="00B32EAB"/>
    <w:rsid w:val="00B34524"/>
    <w:rsid w:val="00B40E70"/>
    <w:rsid w:val="00B62AA3"/>
    <w:rsid w:val="00B83FA2"/>
    <w:rsid w:val="00B878C8"/>
    <w:rsid w:val="00BB11ED"/>
    <w:rsid w:val="00BB2DB5"/>
    <w:rsid w:val="00BB4F4B"/>
    <w:rsid w:val="00BC0EDB"/>
    <w:rsid w:val="00BC2243"/>
    <w:rsid w:val="00BC6B52"/>
    <w:rsid w:val="00BD5416"/>
    <w:rsid w:val="00BD6432"/>
    <w:rsid w:val="00BE5D44"/>
    <w:rsid w:val="00C11EE6"/>
    <w:rsid w:val="00C135A0"/>
    <w:rsid w:val="00C33E56"/>
    <w:rsid w:val="00C40FA3"/>
    <w:rsid w:val="00C43CCE"/>
    <w:rsid w:val="00C72F51"/>
    <w:rsid w:val="00C77C5A"/>
    <w:rsid w:val="00C80D67"/>
    <w:rsid w:val="00C87889"/>
    <w:rsid w:val="00CB58A1"/>
    <w:rsid w:val="00CD16FE"/>
    <w:rsid w:val="00CE071C"/>
    <w:rsid w:val="00CE0786"/>
    <w:rsid w:val="00CF10BE"/>
    <w:rsid w:val="00CF4779"/>
    <w:rsid w:val="00CF4DFE"/>
    <w:rsid w:val="00CF51E2"/>
    <w:rsid w:val="00CF5A77"/>
    <w:rsid w:val="00CF7ECA"/>
    <w:rsid w:val="00D051A1"/>
    <w:rsid w:val="00D06D88"/>
    <w:rsid w:val="00D15121"/>
    <w:rsid w:val="00D2240C"/>
    <w:rsid w:val="00D31114"/>
    <w:rsid w:val="00D3367F"/>
    <w:rsid w:val="00D45BB1"/>
    <w:rsid w:val="00D504B8"/>
    <w:rsid w:val="00D51929"/>
    <w:rsid w:val="00D54311"/>
    <w:rsid w:val="00D720B7"/>
    <w:rsid w:val="00D73BD9"/>
    <w:rsid w:val="00D85062"/>
    <w:rsid w:val="00DB4B8B"/>
    <w:rsid w:val="00DC218D"/>
    <w:rsid w:val="00DC23AC"/>
    <w:rsid w:val="00DC63EC"/>
    <w:rsid w:val="00DF5C7E"/>
    <w:rsid w:val="00E051FE"/>
    <w:rsid w:val="00E37603"/>
    <w:rsid w:val="00E52A31"/>
    <w:rsid w:val="00E52C86"/>
    <w:rsid w:val="00E54696"/>
    <w:rsid w:val="00E605A5"/>
    <w:rsid w:val="00E7171A"/>
    <w:rsid w:val="00E82FF5"/>
    <w:rsid w:val="00EA1FBA"/>
    <w:rsid w:val="00EB245C"/>
    <w:rsid w:val="00EC7847"/>
    <w:rsid w:val="00ED2390"/>
    <w:rsid w:val="00ED6953"/>
    <w:rsid w:val="00F07B25"/>
    <w:rsid w:val="00F22251"/>
    <w:rsid w:val="00F44CE8"/>
    <w:rsid w:val="00F47B04"/>
    <w:rsid w:val="00F513A0"/>
    <w:rsid w:val="00F63B94"/>
    <w:rsid w:val="00F64964"/>
    <w:rsid w:val="00F73576"/>
    <w:rsid w:val="00F85C9F"/>
    <w:rsid w:val="00F930C6"/>
    <w:rsid w:val="00FA0518"/>
    <w:rsid w:val="00FA1D36"/>
    <w:rsid w:val="00FB50FA"/>
    <w:rsid w:val="00FB641E"/>
    <w:rsid w:val="00FC7D2F"/>
    <w:rsid w:val="00FE34A2"/>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8FE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 w:type="table" w:customStyle="1" w:styleId="TableGrid1">
    <w:name w:val="Table Grid1"/>
    <w:basedOn w:val="TableNormal"/>
    <w:next w:val="TableGrid"/>
    <w:uiPriority w:val="39"/>
    <w:rsid w:val="0032021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C071-A7CA-4FE0-B2B5-FEEA2D7F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2696</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2020-02-10T14:24:00Z</dcterms:created>
  <dcterms:modified xsi:type="dcterms:W3CDTF">2020-02-10T18:48:00Z</dcterms:modified>
</cp:coreProperties>
</file>