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1CA3" w:rsidP="007E1CA3" w:rsidRDefault="007E1CA3" w14:paraId="54A85D9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7A0BCB">
        <w:rPr>
          <w:b/>
        </w:rPr>
        <w:t xml:space="preserve">BUREAU </w:t>
      </w:r>
      <w:r>
        <w:rPr>
          <w:b/>
        </w:rPr>
        <w:t xml:space="preserve">OF </w:t>
      </w:r>
      <w:r w:rsidRPr="00DB095F">
        <w:rPr>
          <w:b/>
        </w:rPr>
        <w:t xml:space="preserve">CONSUMER FINANCIAL PROTECTION </w:t>
      </w:r>
    </w:p>
    <w:p w:rsidRPr="00DB095F" w:rsidR="007E1CA3" w:rsidP="007E1CA3" w:rsidRDefault="007E1CA3" w14:paraId="5A1A31D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p>
    <w:p w:rsidRPr="00DB095F" w:rsidR="007E1CA3" w:rsidP="007E1CA3" w:rsidRDefault="007E1CA3" w14:paraId="39F68E0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DB095F">
        <w:rPr>
          <w:b/>
          <w:caps/>
        </w:rPr>
        <w:t>Request for Approval under the</w:t>
      </w:r>
      <w:r w:rsidRPr="00DB095F">
        <w:rPr>
          <w:b/>
        </w:rPr>
        <w:t xml:space="preserve"> </w:t>
      </w:r>
    </w:p>
    <w:p w:rsidR="007E1CA3" w:rsidP="007E1CA3" w:rsidRDefault="007E1CA3" w14:paraId="42B3474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8222BD">
        <w:rPr>
          <w:b/>
        </w:rPr>
        <w:t>“</w:t>
      </w:r>
      <w:r w:rsidRPr="00410F81">
        <w:rPr>
          <w:b/>
          <w:bCs/>
          <w:caps/>
        </w:rPr>
        <w:t xml:space="preserve">Generic </w:t>
      </w:r>
      <w:r>
        <w:rPr>
          <w:b/>
          <w:bCs/>
          <w:caps/>
        </w:rPr>
        <w:t>information collection plan</w:t>
      </w:r>
      <w:r w:rsidRPr="00410F81">
        <w:rPr>
          <w:b/>
          <w:bCs/>
          <w:caps/>
        </w:rPr>
        <w:t xml:space="preserve"> for Qualitative Consumer Education, Engagement, and Experience Information Collections</w:t>
      </w:r>
      <w:r w:rsidRPr="008222BD">
        <w:rPr>
          <w:b/>
        </w:rPr>
        <w:t xml:space="preserve">” </w:t>
      </w:r>
    </w:p>
    <w:p w:rsidRPr="008222BD" w:rsidR="007E1CA3" w:rsidP="007E1CA3" w:rsidRDefault="007E1CA3" w14:paraId="72C188F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p>
    <w:p w:rsidRPr="008222BD" w:rsidR="007E1CA3" w:rsidP="007E1CA3" w:rsidRDefault="007E1CA3" w14:paraId="05B04B58" w14:textId="77777777">
      <w:pPr>
        <w:pBdr>
          <w:bottom w:val="single" w:color="auto" w:sz="12" w:space="2"/>
        </w:pBd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8222BD">
        <w:rPr>
          <w:b/>
        </w:rPr>
        <w:t>(OMB Control Number: 3170-0036)</w:t>
      </w:r>
    </w:p>
    <w:p w:rsidRPr="008222BD" w:rsidR="007E1CA3" w:rsidP="007E1CA3" w:rsidRDefault="007E1CA3" w14:paraId="574719C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rPr>
      </w:pPr>
    </w:p>
    <w:p w:rsidRPr="008222BD" w:rsidR="00D825DB" w:rsidP="00F00DAE" w:rsidRDefault="00D825DB" w14:paraId="765BB66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rPr>
      </w:pPr>
    </w:p>
    <w:p w:rsidRPr="008222BD" w:rsidR="00FA7432" w:rsidP="00FA7432" w:rsidRDefault="00FA7432" w14:paraId="3770C1E4" w14:textId="77777777">
      <w:pPr>
        <w:pStyle w:val="Heading2"/>
        <w:shd w:val="clear" w:color="auto" w:fill="FFFFFF" w:themeFill="background1"/>
        <w:tabs>
          <w:tab w:val="left" w:pos="900"/>
        </w:tabs>
        <w:ind w:right="-180"/>
        <w:jc w:val="left"/>
        <w:rPr>
          <w:b w:val="0"/>
        </w:rPr>
      </w:pPr>
    </w:p>
    <w:p w:rsidRPr="008222BD" w:rsidR="00E50293" w:rsidP="008222BD" w:rsidRDefault="00D825DB" w14:paraId="7BCB1E11" w14:textId="28CD2C25">
      <w:pPr>
        <w:pStyle w:val="Heading2"/>
        <w:tabs>
          <w:tab w:val="left" w:pos="900"/>
        </w:tabs>
        <w:ind w:left="900" w:right="-180" w:hanging="900"/>
        <w:jc w:val="left"/>
        <w:rPr>
          <w:b w:val="0"/>
        </w:rPr>
      </w:pPr>
      <w:r w:rsidRPr="008222BD">
        <w:rPr>
          <w:b w:val="0"/>
        </w:rPr>
        <w:t xml:space="preserve">1. </w:t>
      </w:r>
      <w:r w:rsidRPr="008222BD" w:rsidR="005E714A">
        <w:rPr>
          <w:smallCaps/>
        </w:rPr>
        <w:t>TITLE OF INFORMATION COLLECTION</w:t>
      </w:r>
      <w:r w:rsidRPr="008222BD" w:rsidR="005E714A">
        <w:rPr>
          <w:b w:val="0"/>
        </w:rPr>
        <w:t xml:space="preserve">: </w:t>
      </w:r>
      <w:r w:rsidR="006A0F09">
        <w:t>Your Money, Your Goals Impact Research</w:t>
      </w:r>
    </w:p>
    <w:p w:rsidRPr="00410F81" w:rsidR="005E714A" w:rsidRDefault="005E714A" w14:paraId="3A4D7500" w14:textId="77777777"/>
    <w:p w:rsidRPr="008222BD" w:rsidR="00D825DB" w:rsidRDefault="00D825DB" w14:paraId="488E6089" w14:textId="77777777"/>
    <w:p w:rsidRPr="00410F81" w:rsidR="001B0AAA" w:rsidRDefault="00D825DB" w14:paraId="191A31F4" w14:textId="77777777">
      <w:r w:rsidRPr="008222BD">
        <w:t xml:space="preserve">2. </w:t>
      </w:r>
      <w:r w:rsidRPr="00410F81" w:rsidR="00F15956">
        <w:rPr>
          <w:b/>
        </w:rPr>
        <w:t>PURPOSE</w:t>
      </w:r>
      <w:r w:rsidRPr="008222BD" w:rsidR="00F15956">
        <w:t>:</w:t>
      </w:r>
      <w:r w:rsidRPr="008222BD" w:rsidR="00C14CC4">
        <w:t xml:space="preserve"> </w:t>
      </w:r>
    </w:p>
    <w:p w:rsidR="006A0F09" w:rsidP="006A0F09" w:rsidRDefault="006A0F09" w14:paraId="68D5C1B9" w14:textId="00F878B3">
      <w:pPr>
        <w:pStyle w:val="paragraphgeorgiaParagraph"/>
        <w:keepLines w:val="0"/>
        <w:spacing w:before="0"/>
      </w:pPr>
      <w:r>
        <w:t xml:space="preserve">This survey will collect information about consumers’ experiences receiving services at organizations that have been trained to use Your Money, Your Goals. The Bureau created </w:t>
      </w:r>
      <w:r w:rsidR="007C4358">
        <w:t xml:space="preserve">the </w:t>
      </w:r>
      <w:r>
        <w:t>Your Money, Your Goals toolkit and supplementary materials—and continually updates them—for</w:t>
      </w:r>
      <w:r w:rsidRPr="00AA418D">
        <w:t xml:space="preserve"> social services organizations </w:t>
      </w:r>
      <w:r>
        <w:t>interested in integrating</w:t>
      </w:r>
      <w:r w:rsidRPr="00AA418D">
        <w:t xml:space="preserve"> financial </w:t>
      </w:r>
      <w:r>
        <w:t>empowerment activities</w:t>
      </w:r>
      <w:r w:rsidRPr="00AA418D">
        <w:t xml:space="preserve"> </w:t>
      </w:r>
      <w:r>
        <w:t>into their work with</w:t>
      </w:r>
      <w:r w:rsidRPr="00AA418D">
        <w:t xml:space="preserve"> clients.</w:t>
      </w:r>
      <w:r>
        <w:t xml:space="preserve"> For the past several years, the Bureau has selected annual cohorts of organizations to receive training and technical assistance focused on how to integrate Your Money, Your Goals tools into the services they offer. These trainings follow </w:t>
      </w:r>
      <w:r w:rsidRPr="00AA418D">
        <w:t xml:space="preserve">a train the trainer </w:t>
      </w:r>
      <w:r>
        <w:t>model</w:t>
      </w:r>
      <w:r w:rsidRPr="00AA418D">
        <w:t xml:space="preserve">, </w:t>
      </w:r>
      <w:r>
        <w:t xml:space="preserve">with the Bureau holding initial trainings in each selected community. Individuals who attend these initial trainings </w:t>
      </w:r>
      <w:r w:rsidRPr="00AA418D">
        <w:t>then</w:t>
      </w:r>
      <w:r>
        <w:t xml:space="preserve"> go on to train others, thereby multiplying the number of consumers that Your Money, Your Goals reaches.</w:t>
      </w:r>
      <w:r w:rsidRPr="00480136">
        <w:t xml:space="preserve"> </w:t>
      </w:r>
      <w:r>
        <w:t>In some cases, the Bureau deviates from this model and offers trainings directly to frontline staff.</w:t>
      </w:r>
    </w:p>
    <w:p w:rsidR="006A0F09" w:rsidP="006A0F09" w:rsidRDefault="006A0F09" w14:paraId="6B75B284" w14:textId="45FB1F74">
      <w:pPr>
        <w:pStyle w:val="paragraphgeorgiaParagraph"/>
        <w:keepLines w:val="0"/>
      </w:pPr>
      <w:r>
        <w:t xml:space="preserve">To evaluate the effects of Your Money, Your Goals on consumers, the survey described in this submission will be administered to clients at a small number of Your Money, Your Goals cohort organizations. </w:t>
      </w:r>
      <w:r w:rsidRPr="00AA418D">
        <w:t xml:space="preserve">The </w:t>
      </w:r>
      <w:r>
        <w:t>survey will gather information about clients’ perceptions of the services they received, the extent to which financial management was a part of these services, their perceptions of Your Money, Your Goals, and their subsequent financial experiences. Intended survey respondents include people who receive services from Your Money, Your Goals cohort members</w:t>
      </w:r>
      <w:r w:rsidRPr="00AA418D">
        <w:t xml:space="preserve">. </w:t>
      </w:r>
      <w:r>
        <w:t xml:space="preserve">The survey contains different sections to assess how frontline staff integrate financial content into their interactions with respondents, and how well these efforts served to further clients’ financial security and goals. </w:t>
      </w:r>
      <w:r w:rsidRPr="00AA418D">
        <w:t>The survey will be fielded to</w:t>
      </w:r>
      <w:r>
        <w:t xml:space="preserve"> approximately</w:t>
      </w:r>
      <w:r w:rsidRPr="00AA418D">
        <w:t xml:space="preserve"> </w:t>
      </w:r>
      <w:r>
        <w:t>2,000</w:t>
      </w:r>
      <w:r w:rsidRPr="00AA418D">
        <w:t xml:space="preserve"> individuals who</w:t>
      </w:r>
      <w:r>
        <w:t xml:space="preserve"> receive services from Your Money, Your Goals cohort members</w:t>
      </w:r>
      <w:r w:rsidRPr="00AA418D">
        <w:t xml:space="preserve">. </w:t>
      </w:r>
      <w:r w:rsidR="007C4358">
        <w:t xml:space="preserve">Clients will be surveyed twice, in order to assess changes in financial well-being over time as clients are exposed to Your Money, Your Goals. </w:t>
      </w:r>
      <w:r>
        <w:t>Ultimately, t</w:t>
      </w:r>
      <w:r w:rsidRPr="00AA418D">
        <w:t xml:space="preserve">his survey will support the </w:t>
      </w:r>
      <w:r>
        <w:t xml:space="preserve">Bureau’s </w:t>
      </w:r>
      <w:r w:rsidRPr="00AA418D">
        <w:t>understanding of how</w:t>
      </w:r>
      <w:r>
        <w:t xml:space="preserve"> Your Money, Your Goals advances consumers’ financial well-being, information that will be used to improve the materials, trainings, and technical assistance.  </w:t>
      </w:r>
      <w:r w:rsidR="007E1CA3">
        <w:t xml:space="preserve">All questions being asked in this survey will be used solely  to support the Bureau’s efforts to improve our training methods and materials.  To the extent that we are asking participants </w:t>
      </w:r>
      <w:r w:rsidR="007E1CA3">
        <w:lastRenderedPageBreak/>
        <w:t>about income, living situation and financial well-being, for example, these questions will be used to benchmark participants in these trainings and their levels of financial distress when entering this training, to see if  we need to focus more on long-term financial management training or increase training in emergency financial management.  Similarly, we are asking questions about participants’ attitudes and satisfaction with the providing organizations, not to evaluate the providers, but to gauge the overall attitudes of the survey respondents to better evaluate their responses.  Not all training participants receive this training voluntarily, for example some may be court-ordered to do so, and their overall dissatisfaction with that situation may negatively impact their attitudes towards the training and lead the bureau to ‘over-correct’ it’s materials if not identified and accounted for</w:t>
      </w:r>
      <w:r w:rsidR="007F17CA">
        <w:t>.</w:t>
      </w:r>
    </w:p>
    <w:p w:rsidRPr="00713D29" w:rsidR="001B0AAA" w:rsidRDefault="001B0AAA" w14:paraId="1CFB0A60" w14:textId="77777777"/>
    <w:p w:rsidRPr="00713D29" w:rsidR="00C8488C" w:rsidRDefault="00C8488C" w14:paraId="65C9C935" w14:textId="77777777"/>
    <w:p w:rsidR="00434E33" w:rsidP="00434E33" w:rsidRDefault="00D825DB" w14:paraId="0938E946" w14:textId="77C04265">
      <w:pPr>
        <w:pStyle w:val="Header"/>
        <w:tabs>
          <w:tab w:val="clear" w:pos="4320"/>
          <w:tab w:val="clear" w:pos="8640"/>
        </w:tabs>
      </w:pPr>
      <w:r w:rsidRPr="00713D29">
        <w:rPr>
          <w:snapToGrid/>
        </w:rPr>
        <w:t xml:space="preserve">3. </w:t>
      </w:r>
      <w:r w:rsidRPr="00AB78E0" w:rsidR="00434E33">
        <w:rPr>
          <w:b/>
        </w:rPr>
        <w:t>DESCRIPTION OF RESPONDENTS</w:t>
      </w:r>
      <w:r w:rsidRPr="00713D29" w:rsidR="00434E33">
        <w:t xml:space="preserve">: </w:t>
      </w:r>
    </w:p>
    <w:p w:rsidRPr="00713D29" w:rsidR="006A0F09" w:rsidP="00434E33" w:rsidRDefault="006A0F09" w14:paraId="25C00990" w14:textId="573B2BB0">
      <w:pPr>
        <w:pStyle w:val="Header"/>
        <w:tabs>
          <w:tab w:val="clear" w:pos="4320"/>
          <w:tab w:val="clear" w:pos="8640"/>
        </w:tabs>
        <w:rPr>
          <w:i/>
          <w:snapToGrid/>
        </w:rPr>
      </w:pPr>
      <w:r>
        <w:t xml:space="preserve">Intended survey respondents include </w:t>
      </w:r>
      <w:r w:rsidR="00222308">
        <w:t xml:space="preserve">people </w:t>
      </w:r>
      <w:r>
        <w:t>who receive services from Your Money, Your Goals cohort members</w:t>
      </w:r>
      <w:r w:rsidRPr="00AA418D">
        <w:t>.</w:t>
      </w:r>
      <w:r w:rsidR="00222308">
        <w:t xml:space="preserve"> We will focus on new clients of these organizations.</w:t>
      </w:r>
    </w:p>
    <w:p w:rsidRPr="00713D29" w:rsidR="00F15956" w:rsidRDefault="00F15956" w14:paraId="6759CEEF" w14:textId="77777777"/>
    <w:p w:rsidRPr="00713D29" w:rsidR="001A09E0" w:rsidRDefault="001A09E0" w14:paraId="7B64A2FA" w14:textId="77777777"/>
    <w:p w:rsidRPr="008222BD" w:rsidR="007353C3" w:rsidP="007353C3" w:rsidRDefault="007353C3" w14:paraId="5ECD5032" w14:textId="77777777">
      <w:pPr>
        <w:widowControl w:val="0"/>
        <w:ind w:right="721"/>
        <w:rPr>
          <w:caps/>
        </w:rPr>
      </w:pPr>
      <w:r w:rsidRPr="008222BD">
        <w:rPr>
          <w:caps/>
        </w:rPr>
        <w:t xml:space="preserve">4. </w:t>
      </w:r>
      <w:r w:rsidRPr="00410F81">
        <w:rPr>
          <w:b/>
          <w:caps/>
        </w:rPr>
        <w:t xml:space="preserve">TYPE OF COLLECTION (Administration of the </w:t>
      </w:r>
      <w:r w:rsidRPr="00AB78E0" w:rsidR="00635087">
        <w:rPr>
          <w:b/>
          <w:caps/>
        </w:rPr>
        <w:t xml:space="preserve">COLLECTION </w:t>
      </w:r>
      <w:r w:rsidRPr="00AB78E0">
        <w:rPr>
          <w:b/>
          <w:caps/>
        </w:rPr>
        <w:t>instrument)</w:t>
      </w:r>
      <w:r w:rsidRPr="008222BD">
        <w:rPr>
          <w:caps/>
        </w:rPr>
        <w:t>:</w:t>
      </w:r>
    </w:p>
    <w:p w:rsidRPr="008222BD" w:rsidR="007353C3" w:rsidP="007353C3" w:rsidRDefault="007353C3" w14:paraId="058A8647" w14:textId="77777777">
      <w:pPr>
        <w:pStyle w:val="ListParagraph"/>
        <w:ind w:left="460" w:right="721"/>
      </w:pPr>
    </w:p>
    <w:p w:rsidRPr="00713D29" w:rsidR="007353C3" w:rsidP="007353C3" w:rsidRDefault="007353C3" w14:paraId="2E4E0BCA" w14:textId="77777777">
      <w:pPr>
        <w:pStyle w:val="ListParagraph"/>
        <w:widowControl w:val="0"/>
        <w:numPr>
          <w:ilvl w:val="0"/>
          <w:numId w:val="23"/>
        </w:numPr>
        <w:ind w:right="721"/>
      </w:pPr>
      <w:r w:rsidRPr="008222BD">
        <w:t xml:space="preserve">How will you collect the information? </w:t>
      </w:r>
      <w:r w:rsidR="00AB78E0">
        <w:t xml:space="preserve"> </w:t>
      </w:r>
      <w:r w:rsidR="00815E90">
        <w:t>C</w:t>
      </w:r>
      <w:r w:rsidRPr="00713D29">
        <w:t xml:space="preserve">heck </w:t>
      </w:r>
      <w:r w:rsidRPr="00713D29">
        <w:rPr>
          <w:u w:val="single"/>
        </w:rPr>
        <w:t>all</w:t>
      </w:r>
      <w:r w:rsidRPr="00713D29">
        <w:t xml:space="preserve"> that apply</w:t>
      </w:r>
      <w:r w:rsidR="00815E90">
        <w:t>.</w:t>
      </w:r>
    </w:p>
    <w:p w:rsidRPr="008222BD" w:rsidR="007353C3" w:rsidP="007353C3" w:rsidRDefault="007353C3" w14:paraId="03270E7E" w14:textId="77777777">
      <w:pPr>
        <w:pStyle w:val="ListParagraph"/>
        <w:ind w:left="1135" w:right="721"/>
      </w:pPr>
    </w:p>
    <w:p w:rsidRPr="00713D29" w:rsidR="007353C3" w:rsidP="007353C3" w:rsidRDefault="007353C3" w14:paraId="0C639D8A" w14:textId="7A336F5B">
      <w:pPr>
        <w:pStyle w:val="ListParagraph"/>
        <w:ind w:left="460" w:right="721"/>
      </w:pPr>
      <w:r w:rsidRPr="00410F81">
        <w:tab/>
      </w:r>
      <w:r w:rsidRPr="00410F81">
        <w:tab/>
      </w:r>
      <w:r w:rsidRPr="00713D29" w:rsidR="007C4358">
        <w:t>[</w:t>
      </w:r>
      <w:r w:rsidR="00C036B4">
        <w:t>X</w:t>
      </w:r>
      <w:r w:rsidRPr="00713D29">
        <w:t>] Web-based or other forms of Social Media</w:t>
      </w:r>
      <w:r w:rsidRPr="00713D29">
        <w:tab/>
        <w:t>[</w:t>
      </w:r>
      <w:r w:rsidR="00C036B4">
        <w:t>X</w:t>
      </w:r>
      <w:r w:rsidRPr="00713D29">
        <w:t xml:space="preserve">] Telephone    </w:t>
      </w:r>
    </w:p>
    <w:p w:rsidRPr="00713D29" w:rsidR="007353C3" w:rsidP="007353C3" w:rsidRDefault="007353C3" w14:paraId="649F7F97" w14:textId="77777777">
      <w:pPr>
        <w:pStyle w:val="ListParagraph"/>
        <w:ind w:left="1180" w:right="721" w:firstLine="260"/>
      </w:pPr>
      <w:r w:rsidRPr="00713D29">
        <w:t xml:space="preserve">[  ] In-person </w:t>
      </w:r>
      <w:r w:rsidRPr="00713D29">
        <w:tab/>
      </w:r>
      <w:r w:rsidRPr="00713D29">
        <w:tab/>
      </w:r>
      <w:r w:rsidRPr="00713D29">
        <w:tab/>
      </w:r>
      <w:r w:rsidRPr="00713D29">
        <w:tab/>
      </w:r>
      <w:r w:rsidRPr="00713D29">
        <w:tab/>
      </w:r>
      <w:r w:rsidRPr="00713D29">
        <w:tab/>
        <w:t>[  ] Mail</w:t>
      </w:r>
    </w:p>
    <w:p w:rsidRPr="00713D29" w:rsidR="007353C3" w:rsidP="008222BD" w:rsidRDefault="007353C3" w14:paraId="55EEA720" w14:textId="77777777">
      <w:pPr>
        <w:pStyle w:val="ListParagraph"/>
        <w:ind w:right="721" w:firstLine="720"/>
      </w:pPr>
      <w:r w:rsidRPr="00713D29">
        <w:t xml:space="preserve">[ </w:t>
      </w:r>
      <w:r w:rsidRPr="00713D29">
        <w:rPr>
          <w:spacing w:val="1"/>
        </w:rPr>
        <w:t xml:space="preserve"> </w:t>
      </w:r>
      <w:r w:rsidRPr="00713D29">
        <w:t>]</w:t>
      </w:r>
      <w:r w:rsidRPr="00713D29">
        <w:rPr>
          <w:spacing w:val="-1"/>
        </w:rPr>
        <w:t xml:space="preserve"> </w:t>
      </w:r>
      <w:r w:rsidRPr="00713D29">
        <w:rPr>
          <w:spacing w:val="1"/>
        </w:rPr>
        <w:t>S</w:t>
      </w:r>
      <w:r w:rsidRPr="00713D29">
        <w:t>mall Dis</w:t>
      </w:r>
      <w:r w:rsidRPr="00713D29">
        <w:rPr>
          <w:spacing w:val="-1"/>
        </w:rPr>
        <w:t>c</w:t>
      </w:r>
      <w:r w:rsidRPr="00713D29">
        <w:t>uss</w:t>
      </w:r>
      <w:r w:rsidRPr="00713D29">
        <w:rPr>
          <w:spacing w:val="1"/>
        </w:rPr>
        <w:t>i</w:t>
      </w:r>
      <w:r w:rsidRPr="00713D29">
        <w:t>on G</w:t>
      </w:r>
      <w:r w:rsidRPr="00713D29">
        <w:rPr>
          <w:spacing w:val="-1"/>
        </w:rPr>
        <w:t>r</w:t>
      </w:r>
      <w:r w:rsidRPr="00713D29">
        <w:rPr>
          <w:spacing w:val="-2"/>
        </w:rPr>
        <w:t>o</w:t>
      </w:r>
      <w:r w:rsidRPr="00713D29">
        <w:t>up</w:t>
      </w:r>
      <w:r w:rsidRPr="00713D29">
        <w:tab/>
      </w:r>
      <w:r w:rsidRPr="00713D29">
        <w:tab/>
      </w:r>
      <w:r w:rsidRPr="00713D29">
        <w:tab/>
      </w:r>
      <w:r w:rsidRPr="00713D29">
        <w:tab/>
        <w:t xml:space="preserve">[ </w:t>
      </w:r>
      <w:r w:rsidRPr="00713D29">
        <w:rPr>
          <w:spacing w:val="1"/>
        </w:rPr>
        <w:t xml:space="preserve"> </w:t>
      </w:r>
      <w:r w:rsidRPr="00713D29">
        <w:t>]</w:t>
      </w:r>
      <w:r w:rsidRPr="00713D29">
        <w:rPr>
          <w:spacing w:val="2"/>
          <w:position w:val="-1"/>
        </w:rPr>
        <w:t xml:space="preserve"> </w:t>
      </w:r>
      <w:r w:rsidRPr="00713D29">
        <w:rPr>
          <w:spacing w:val="-1"/>
          <w:position w:val="-1"/>
        </w:rPr>
        <w:t>F</w:t>
      </w:r>
      <w:r w:rsidRPr="00713D29">
        <w:rPr>
          <w:position w:val="-1"/>
        </w:rPr>
        <w:t>o</w:t>
      </w:r>
      <w:r w:rsidRPr="00713D29">
        <w:rPr>
          <w:spacing w:val="-1"/>
          <w:position w:val="-1"/>
        </w:rPr>
        <w:t>c</w:t>
      </w:r>
      <w:r w:rsidRPr="00713D29">
        <w:rPr>
          <w:position w:val="-1"/>
        </w:rPr>
        <w:t>us G</w:t>
      </w:r>
      <w:r w:rsidRPr="00713D29">
        <w:rPr>
          <w:spacing w:val="-1"/>
          <w:position w:val="-1"/>
        </w:rPr>
        <w:t>r</w:t>
      </w:r>
      <w:r w:rsidRPr="00713D29">
        <w:rPr>
          <w:position w:val="-1"/>
        </w:rPr>
        <w:t>oup</w:t>
      </w:r>
      <w:r w:rsidRPr="00713D29">
        <w:rPr>
          <w:position w:val="-1"/>
        </w:rPr>
        <w:tab/>
      </w:r>
      <w:r w:rsidRPr="00713D29">
        <w:t>[  ] Other</w:t>
      </w:r>
      <w:r w:rsidRPr="00713D29" w:rsidR="00635087">
        <w:t xml:space="preserve"> (please e</w:t>
      </w:r>
      <w:r w:rsidRPr="00713D29">
        <w:t>xplain</w:t>
      </w:r>
      <w:r w:rsidRPr="00713D29" w:rsidR="00635087">
        <w:t>)</w:t>
      </w:r>
      <w:r w:rsidRPr="00713D29">
        <w:t xml:space="preserve"> ______________________</w:t>
      </w:r>
      <w:r w:rsidRPr="00713D29" w:rsidR="00635087">
        <w:t>____________</w:t>
      </w:r>
    </w:p>
    <w:p w:rsidRPr="00713D29" w:rsidR="007353C3" w:rsidP="007353C3" w:rsidRDefault="007353C3" w14:paraId="3F8E5B07" w14:textId="77777777">
      <w:pPr>
        <w:tabs>
          <w:tab w:val="left" w:pos="5140"/>
        </w:tabs>
        <w:ind w:left="100" w:right="-20"/>
      </w:pPr>
      <w:r w:rsidRPr="00713D29">
        <w:tab/>
      </w:r>
    </w:p>
    <w:p w:rsidRPr="00713D29" w:rsidR="007353C3" w:rsidP="007353C3" w:rsidRDefault="007353C3" w14:paraId="534704AB" w14:textId="77777777">
      <w:pPr>
        <w:pStyle w:val="ListParagraph"/>
        <w:widowControl w:val="0"/>
        <w:numPr>
          <w:ilvl w:val="0"/>
          <w:numId w:val="23"/>
        </w:numPr>
        <w:ind w:right="721"/>
      </w:pPr>
      <w:r w:rsidRPr="008222BD">
        <w:t>Will interviewers or facilitators be used?</w:t>
      </w:r>
      <w:r w:rsidRPr="00410F81">
        <w:t xml:space="preserve"> </w:t>
      </w:r>
    </w:p>
    <w:p w:rsidRPr="00713D29" w:rsidR="007353C3" w:rsidP="007353C3" w:rsidRDefault="007353C3" w14:paraId="668AE7E4" w14:textId="77777777">
      <w:pPr>
        <w:pStyle w:val="ListParagraph"/>
        <w:ind w:left="1135" w:right="721"/>
      </w:pPr>
    </w:p>
    <w:p w:rsidR="007353C3" w:rsidP="007353C3" w:rsidRDefault="007353C3" w14:paraId="79EEF283" w14:textId="01E8CB25">
      <w:pPr>
        <w:pStyle w:val="ListParagraph"/>
        <w:ind w:left="460" w:right="721"/>
      </w:pPr>
      <w:r w:rsidRPr="00713D29">
        <w:tab/>
      </w:r>
      <w:r w:rsidRPr="00713D29">
        <w:tab/>
        <w:t>[</w:t>
      </w:r>
      <w:r w:rsidR="00C036B4">
        <w:t>X</w:t>
      </w:r>
      <w:r w:rsidRPr="00713D29">
        <w:t xml:space="preserve">] Yes </w:t>
      </w:r>
      <w:r w:rsidRPr="00713D29" w:rsidR="00635087">
        <w:t xml:space="preserve"> </w:t>
      </w:r>
      <w:r w:rsidRPr="00713D29">
        <w:t xml:space="preserve">[  ] No </w:t>
      </w:r>
      <w:r w:rsidRPr="00713D29" w:rsidR="00635087">
        <w:t xml:space="preserve"> </w:t>
      </w:r>
      <w:r w:rsidRPr="00713D29">
        <w:t>[  ] Not Applicable</w:t>
      </w:r>
    </w:p>
    <w:p w:rsidR="006A50C3" w:rsidP="007353C3" w:rsidRDefault="006A50C3" w14:paraId="5EDA7FE1" w14:textId="77777777">
      <w:pPr>
        <w:pStyle w:val="ListParagraph"/>
        <w:ind w:left="460" w:right="721"/>
      </w:pPr>
    </w:p>
    <w:p w:rsidR="006A50C3" w:rsidP="00B05F21" w:rsidRDefault="006A50C3" w14:paraId="7F68B0FA" w14:textId="77777777">
      <w:pPr>
        <w:pStyle w:val="ListParagraph"/>
        <w:ind w:left="1135" w:right="721"/>
      </w:pPr>
    </w:p>
    <w:p w:rsidRPr="00713D29" w:rsidR="006A50C3" w:rsidP="007353C3" w:rsidRDefault="006A50C3" w14:paraId="6E5A69A5" w14:textId="77777777">
      <w:pPr>
        <w:pStyle w:val="ListParagraph"/>
        <w:ind w:left="460" w:right="721"/>
      </w:pPr>
    </w:p>
    <w:p w:rsidRPr="008222BD" w:rsidR="007353C3" w:rsidP="007353C3" w:rsidRDefault="007353C3" w14:paraId="1D93BE7A" w14:textId="77777777">
      <w:pPr>
        <w:pStyle w:val="ListParagraph"/>
        <w:widowControl w:val="0"/>
        <w:numPr>
          <w:ilvl w:val="0"/>
          <w:numId w:val="25"/>
        </w:numPr>
        <w:spacing w:before="72"/>
        <w:ind w:right="-20"/>
        <w:rPr>
          <w:bCs/>
          <w:spacing w:val="-3"/>
        </w:rPr>
      </w:pPr>
      <w:r w:rsidRPr="00AB78E0">
        <w:rPr>
          <w:b/>
          <w:bCs/>
          <w:caps/>
          <w:spacing w:val="-3"/>
        </w:rPr>
        <w:t>Focus group or survey</w:t>
      </w:r>
      <w:r w:rsidRPr="008222BD">
        <w:rPr>
          <w:bCs/>
          <w:caps/>
          <w:spacing w:val="-3"/>
        </w:rPr>
        <w:t>:</w:t>
      </w:r>
      <w:r w:rsidRPr="008222BD">
        <w:rPr>
          <w:bCs/>
          <w:spacing w:val="-3"/>
        </w:rPr>
        <w:t xml:space="preserve"> </w:t>
      </w:r>
    </w:p>
    <w:p w:rsidRPr="008222BD" w:rsidR="007353C3" w:rsidP="007353C3" w:rsidRDefault="007353C3" w14:paraId="47FF1893" w14:textId="77777777">
      <w:pPr>
        <w:pStyle w:val="ListParagraph"/>
        <w:spacing w:before="72"/>
        <w:ind w:left="460" w:right="-20"/>
        <w:rPr>
          <w:bCs/>
          <w:spacing w:val="-3"/>
        </w:rPr>
      </w:pPr>
    </w:p>
    <w:p w:rsidRPr="008222BD" w:rsidR="007353C3" w:rsidP="007353C3" w:rsidRDefault="007353C3" w14:paraId="205E9978" w14:textId="77777777">
      <w:pPr>
        <w:pStyle w:val="ListParagraph"/>
        <w:spacing w:before="72"/>
        <w:ind w:left="460" w:right="-20"/>
        <w:rPr>
          <w:bCs/>
          <w:spacing w:val="-3"/>
        </w:rPr>
      </w:pPr>
      <w:r w:rsidRPr="008222BD">
        <w:rPr>
          <w:bCs/>
          <w:spacing w:val="-3"/>
        </w:rPr>
        <w:t>If you plan to conduct a focus group or survey, please provide answers to the following questions:</w:t>
      </w:r>
    </w:p>
    <w:p w:rsidRPr="008222BD" w:rsidR="007353C3" w:rsidP="007353C3" w:rsidRDefault="007353C3" w14:paraId="683250CE" w14:textId="77777777">
      <w:pPr>
        <w:pStyle w:val="ListParagraph"/>
        <w:spacing w:before="72"/>
        <w:ind w:left="460" w:right="-20"/>
        <w:rPr>
          <w:bCs/>
          <w:spacing w:val="-3"/>
        </w:rPr>
      </w:pPr>
    </w:p>
    <w:p w:rsidRPr="008222BD" w:rsidR="007353C3" w:rsidP="007353C3" w:rsidRDefault="007353C3" w14:paraId="6D52E239" w14:textId="77777777">
      <w:pPr>
        <w:pStyle w:val="ListParagraph"/>
        <w:spacing w:before="72"/>
        <w:ind w:left="460" w:right="-20"/>
        <w:rPr>
          <w:bCs/>
          <w:spacing w:val="-3"/>
        </w:rPr>
      </w:pPr>
      <w:r w:rsidRPr="008222BD">
        <w:rPr>
          <w:bCs/>
          <w:spacing w:val="-3"/>
        </w:rPr>
        <w:t xml:space="preserve">a. Do you have a customer list or something similar that defines the universe of potential respondents and do you have a sampling plan for selecting from this universe? </w:t>
      </w:r>
    </w:p>
    <w:p w:rsidRPr="00410F81" w:rsidR="007353C3" w:rsidP="007353C3" w:rsidRDefault="007353C3" w14:paraId="1FBD9A6C" w14:textId="77777777">
      <w:pPr>
        <w:pStyle w:val="ListParagraph"/>
        <w:spacing w:before="72"/>
        <w:ind w:left="460" w:right="-20"/>
        <w:rPr>
          <w:bCs/>
          <w:spacing w:val="-3"/>
        </w:rPr>
      </w:pPr>
    </w:p>
    <w:p w:rsidRPr="00713D29" w:rsidR="007353C3" w:rsidP="007353C3" w:rsidRDefault="007353C3" w14:paraId="47D9E27F" w14:textId="54AB7552">
      <w:pPr>
        <w:pStyle w:val="ListParagraph"/>
        <w:spacing w:before="72"/>
        <w:ind w:left="460" w:right="-20"/>
        <w:rPr>
          <w:bCs/>
          <w:spacing w:val="-3"/>
        </w:rPr>
      </w:pPr>
      <w:r w:rsidRPr="00713D29">
        <w:rPr>
          <w:bCs/>
          <w:spacing w:val="-3"/>
        </w:rPr>
        <w:t>[</w:t>
      </w:r>
      <w:r w:rsidR="00C036B4">
        <w:rPr>
          <w:bCs/>
          <w:spacing w:val="-3"/>
        </w:rPr>
        <w:t>X</w:t>
      </w:r>
      <w:r w:rsidRPr="00713D29">
        <w:rPr>
          <w:bCs/>
          <w:spacing w:val="-3"/>
        </w:rPr>
        <w:t xml:space="preserve">] Yes </w:t>
      </w:r>
      <w:r w:rsidRPr="00713D29" w:rsidR="00635087">
        <w:rPr>
          <w:bCs/>
          <w:spacing w:val="-3"/>
        </w:rPr>
        <w:t xml:space="preserve"> </w:t>
      </w:r>
      <w:r w:rsidRPr="00713D29">
        <w:rPr>
          <w:bCs/>
          <w:spacing w:val="-3"/>
        </w:rPr>
        <w:t xml:space="preserve">[  ] No  [  ] </w:t>
      </w:r>
      <w:r w:rsidRPr="00713D29">
        <w:t>Not Applicable</w:t>
      </w:r>
    </w:p>
    <w:p w:rsidRPr="008222BD" w:rsidR="007353C3" w:rsidP="007353C3" w:rsidRDefault="007353C3" w14:paraId="0CD303FF" w14:textId="77777777">
      <w:pPr>
        <w:pStyle w:val="ListParagraph"/>
        <w:spacing w:before="72"/>
        <w:ind w:left="460" w:right="-20"/>
        <w:rPr>
          <w:bCs/>
          <w:spacing w:val="-3"/>
        </w:rPr>
      </w:pPr>
    </w:p>
    <w:p w:rsidR="007353C3" w:rsidP="007353C3" w:rsidRDefault="007353C3" w14:paraId="164D09A8" w14:textId="2F8585AB">
      <w:pPr>
        <w:pStyle w:val="ListParagraph"/>
        <w:spacing w:before="72"/>
        <w:ind w:left="460" w:right="-20"/>
        <w:rPr>
          <w:bCs/>
          <w:spacing w:val="-3"/>
        </w:rPr>
      </w:pPr>
      <w:r w:rsidRPr="008222BD">
        <w:rPr>
          <w:bCs/>
          <w:spacing w:val="-3"/>
        </w:rPr>
        <w:t xml:space="preserve">b. If </w:t>
      </w:r>
      <w:r w:rsidRPr="00B05F21">
        <w:rPr>
          <w:b/>
          <w:bCs/>
          <w:spacing w:val="-3"/>
        </w:rPr>
        <w:t>yes</w:t>
      </w:r>
      <w:r w:rsidRPr="008222BD">
        <w:rPr>
          <w:bCs/>
          <w:spacing w:val="-3"/>
        </w:rPr>
        <w:t xml:space="preserve">, please provide a description below.  If </w:t>
      </w:r>
      <w:r w:rsidRPr="00B05F21">
        <w:rPr>
          <w:b/>
          <w:bCs/>
          <w:spacing w:val="-3"/>
        </w:rPr>
        <w:t>no</w:t>
      </w:r>
      <w:r w:rsidRPr="008222BD">
        <w:rPr>
          <w:bCs/>
          <w:spacing w:val="-3"/>
        </w:rPr>
        <w:t>, please provide a description of how you plan to identify your potential group of respondents and how you will select them</w:t>
      </w:r>
      <w:r w:rsidRPr="008222BD" w:rsidR="000702CE">
        <w:rPr>
          <w:bCs/>
          <w:spacing w:val="-3"/>
        </w:rPr>
        <w:t>.</w:t>
      </w:r>
    </w:p>
    <w:p w:rsidR="006A0F09" w:rsidP="007353C3" w:rsidRDefault="006A0F09" w14:paraId="3065B130" w14:textId="19B6949A">
      <w:pPr>
        <w:pStyle w:val="ListParagraph"/>
        <w:spacing w:before="72"/>
        <w:ind w:left="460" w:right="-20"/>
        <w:rPr>
          <w:bCs/>
          <w:spacing w:val="-3"/>
        </w:rPr>
      </w:pPr>
    </w:p>
    <w:p w:rsidR="006A0F09" w:rsidP="006A0F09" w:rsidRDefault="006A0F09" w14:paraId="5E002EAE" w14:textId="106C9562">
      <w:pPr>
        <w:pStyle w:val="paragraphgeorgiaParagraph"/>
        <w:keepLines w:val="0"/>
      </w:pPr>
      <w:r>
        <w:lastRenderedPageBreak/>
        <w:t>The researchers will use information from cohort partner organizations with clients</w:t>
      </w:r>
      <w:r w:rsidR="00AD69CA">
        <w:t>’</w:t>
      </w:r>
      <w:r>
        <w:t xml:space="preserve"> consent. </w:t>
      </w:r>
      <w:r w:rsidR="007C4358">
        <w:t xml:space="preserve">The researchers will work with partner organizations to obtain contact information for clients. </w:t>
      </w:r>
      <w:r>
        <w:t xml:space="preserve">This information is necessary to identify individuals who have been served by organizations using Your Money, Your Goals. </w:t>
      </w:r>
      <w:r w:rsidR="007C4358">
        <w:t>All new clients from partner organizations will be invited to participate in the surveys.</w:t>
      </w:r>
    </w:p>
    <w:p w:rsidRPr="008222BD" w:rsidR="006A0F09" w:rsidP="007353C3" w:rsidRDefault="006A0F09" w14:paraId="0C6F9AEF" w14:textId="77777777">
      <w:pPr>
        <w:pStyle w:val="ListParagraph"/>
        <w:spacing w:before="72"/>
        <w:ind w:left="460" w:right="-20"/>
        <w:rPr>
          <w:bCs/>
          <w:spacing w:val="-3"/>
        </w:rPr>
      </w:pPr>
    </w:p>
    <w:p w:rsidRPr="008222BD" w:rsidR="007353C3" w:rsidP="007353C3" w:rsidRDefault="007353C3" w14:paraId="24783877" w14:textId="77777777">
      <w:pPr>
        <w:pStyle w:val="ListParagraph"/>
        <w:spacing w:before="72"/>
        <w:ind w:left="460" w:right="-20"/>
        <w:rPr>
          <w:bCs/>
          <w:spacing w:val="-3"/>
        </w:rPr>
      </w:pPr>
    </w:p>
    <w:p w:rsidRPr="00410F81" w:rsidR="008C4E6C" w:rsidP="008C4E6C" w:rsidRDefault="008C4E6C" w14:paraId="331AFD2E" w14:textId="77777777">
      <w:pPr>
        <w:pStyle w:val="ListParagraph"/>
        <w:numPr>
          <w:ilvl w:val="0"/>
          <w:numId w:val="25"/>
        </w:numPr>
        <w:rPr>
          <w:caps/>
        </w:rPr>
      </w:pPr>
      <w:r w:rsidRPr="00AB78E0">
        <w:rPr>
          <w:b/>
          <w:caps/>
        </w:rPr>
        <w:t>Information Collection Procedures</w:t>
      </w:r>
      <w:r w:rsidR="00815E90">
        <w:rPr>
          <w:caps/>
        </w:rPr>
        <w:t>:</w:t>
      </w:r>
    </w:p>
    <w:p w:rsidR="001F447D" w:rsidP="001F447D" w:rsidRDefault="001F447D" w14:paraId="79DB8740" w14:textId="36E33A3B">
      <w:pPr>
        <w:pStyle w:val="ListParagraph"/>
      </w:pPr>
      <w:r>
        <w:t>The research team</w:t>
      </w:r>
      <w:r w:rsidRPr="001F447D">
        <w:t xml:space="preserve"> will use best practices to ensure a high response rate, including multiple letters and phone calls. A letter introducing the study will be sent to all sample members before data collection begins. The letter will include a $2 pre</w:t>
      </w:r>
      <w:r w:rsidR="00F83FF6">
        <w:t>-</w:t>
      </w:r>
      <w:r w:rsidRPr="001F447D">
        <w:t xml:space="preserve">incentive and a toll-free number </w:t>
      </w:r>
      <w:r w:rsidR="00AD69CA">
        <w:t>which</w:t>
      </w:r>
      <w:r w:rsidRPr="001F447D">
        <w:t xml:space="preserve"> sample members may call with questions about the study. The telephone survey will be programmed using software which allows for both CATI and web data collection. Telephone interviewers will make a maximum of eight attempts to reach sample members by phone to complete the baseline survey; calls will be made during morning, afternoon, and evening hours based on an algorithm that will be programmed into the calling system. </w:t>
      </w:r>
    </w:p>
    <w:p w:rsidRPr="001F447D" w:rsidR="001F447D" w:rsidP="00856E0A" w:rsidRDefault="001F447D" w14:paraId="75C36922" w14:textId="77777777">
      <w:pPr>
        <w:pStyle w:val="ListParagraph"/>
      </w:pPr>
    </w:p>
    <w:p w:rsidR="001F447D" w:rsidP="001F447D" w:rsidRDefault="001F447D" w14:paraId="75E0A78B" w14:textId="2DBEEB57">
      <w:pPr>
        <w:pStyle w:val="ListParagraph"/>
      </w:pPr>
      <w:r>
        <w:t>T</w:t>
      </w:r>
      <w:r w:rsidRPr="001F447D">
        <w:t>he baseline survey and follow up surveys will remain in the field for approximately two months. Participants who complete the baseline survey will receive an incentive of $10 in appreciation of their time. Over the course of data collection, the project staff will monitor data as it is collected and will provide CFPB with information about the data collection process (excluding any information that could directly identify respondents). Upon completion of data collection, we will clean and process the data.</w:t>
      </w:r>
    </w:p>
    <w:p w:rsidRPr="001F447D" w:rsidR="001F447D" w:rsidP="00856E0A" w:rsidRDefault="001F447D" w14:paraId="105735C9" w14:textId="77777777">
      <w:pPr>
        <w:pStyle w:val="ListParagraph"/>
      </w:pPr>
    </w:p>
    <w:p w:rsidRPr="001F447D" w:rsidR="001F447D" w:rsidP="00856E0A" w:rsidRDefault="001F447D" w14:paraId="46888518" w14:textId="16232A48">
      <w:pPr>
        <w:pStyle w:val="ListParagraph"/>
      </w:pPr>
      <w:r w:rsidRPr="001F447D">
        <w:t>The follow-up survey will occur approximately six months after the baseline survey</w:t>
      </w:r>
      <w:r>
        <w:t xml:space="preserve">, </w:t>
      </w:r>
      <w:r w:rsidRPr="001F447D">
        <w:t xml:space="preserve">and will follow a similar set of steps to those outlined in the baseline data collection. The follow up survey will be fielded only to those who participated in the baseline survey. To maximize follow up response, a reminder postcard will be sent to all participants who completed the baseline survey, one month before the survey. This postcard will ask participants to check-in with the project either by mail or telephone if any of their contact information changes. </w:t>
      </w:r>
      <w:r w:rsidRPr="001F447D" w:rsidR="00AD69CA">
        <w:t xml:space="preserve">Participants who complete the </w:t>
      </w:r>
      <w:r w:rsidR="00AD69CA">
        <w:t>follow-up</w:t>
      </w:r>
      <w:r w:rsidRPr="001F447D" w:rsidR="00AD69CA">
        <w:t xml:space="preserve"> survey will receive an incentive of $10 in appreciation of their time. </w:t>
      </w:r>
      <w:r w:rsidRPr="001F447D">
        <w:t>All other details of the follow up data collection will match the baseline data collection.</w:t>
      </w:r>
      <w:r w:rsidR="007E1CA3">
        <w:t xml:space="preserve"> if the experience s of clients vary by specific characteristics of the service providers which may among other things  help the bureau customize our training by provider types</w:t>
      </w:r>
      <w:r w:rsidR="00C70B2A">
        <w:t>.</w:t>
      </w:r>
      <w:bookmarkStart w:name="_GoBack" w:id="0"/>
      <w:bookmarkEnd w:id="0"/>
    </w:p>
    <w:p w:rsidRPr="008222BD" w:rsidR="008C4E6C" w:rsidP="008C4E6C" w:rsidRDefault="008C4E6C" w14:paraId="2D6FA049" w14:textId="09985C25">
      <w:pPr>
        <w:pStyle w:val="ListParagraph"/>
      </w:pPr>
    </w:p>
    <w:p w:rsidRPr="008222BD" w:rsidR="008C4E6C" w:rsidP="008C4E6C" w:rsidRDefault="008C4E6C" w14:paraId="2E64CA71" w14:textId="77777777">
      <w:pPr>
        <w:pStyle w:val="ListParagraph"/>
      </w:pPr>
    </w:p>
    <w:p w:rsidRPr="00410F81" w:rsidR="007353C3" w:rsidP="007353C3" w:rsidRDefault="007353C3" w14:paraId="6BB7142F" w14:textId="77777777">
      <w:pPr>
        <w:pStyle w:val="ListParagraph"/>
        <w:widowControl w:val="0"/>
        <w:numPr>
          <w:ilvl w:val="0"/>
          <w:numId w:val="25"/>
        </w:numPr>
        <w:spacing w:before="72"/>
        <w:ind w:right="-20"/>
      </w:pPr>
      <w:r w:rsidRPr="00410F81">
        <w:rPr>
          <w:b/>
          <w:bCs/>
          <w:spacing w:val="-3"/>
        </w:rPr>
        <w:t>P</w:t>
      </w:r>
      <w:r w:rsidRPr="00AB78E0">
        <w:rPr>
          <w:b/>
          <w:bCs/>
          <w:caps/>
          <w:spacing w:val="1"/>
        </w:rPr>
        <w:t>e</w:t>
      </w:r>
      <w:r w:rsidRPr="00AB78E0">
        <w:rPr>
          <w:b/>
          <w:bCs/>
          <w:caps/>
          <w:spacing w:val="-1"/>
        </w:rPr>
        <w:t>r</w:t>
      </w:r>
      <w:r w:rsidRPr="00AB78E0">
        <w:rPr>
          <w:b/>
          <w:bCs/>
          <w:caps/>
        </w:rPr>
        <w:t>so</w:t>
      </w:r>
      <w:r w:rsidRPr="00AB78E0">
        <w:rPr>
          <w:b/>
          <w:bCs/>
          <w:caps/>
          <w:spacing w:val="1"/>
        </w:rPr>
        <w:t>n</w:t>
      </w:r>
      <w:r w:rsidRPr="00AB78E0">
        <w:rPr>
          <w:b/>
          <w:bCs/>
          <w:caps/>
        </w:rPr>
        <w:t>al</w:t>
      </w:r>
      <w:r w:rsidRPr="00AB78E0">
        <w:rPr>
          <w:b/>
          <w:bCs/>
          <w:caps/>
          <w:spacing w:val="1"/>
        </w:rPr>
        <w:t>l</w:t>
      </w:r>
      <w:r w:rsidRPr="00AB78E0">
        <w:rPr>
          <w:b/>
          <w:bCs/>
          <w:caps/>
        </w:rPr>
        <w:t>y I</w:t>
      </w:r>
      <w:r w:rsidRPr="00AB78E0">
        <w:rPr>
          <w:b/>
          <w:bCs/>
          <w:caps/>
          <w:spacing w:val="1"/>
        </w:rPr>
        <w:t>d</w:t>
      </w:r>
      <w:r w:rsidRPr="00AB78E0">
        <w:rPr>
          <w:b/>
          <w:bCs/>
          <w:caps/>
          <w:spacing w:val="-1"/>
        </w:rPr>
        <w:t>e</w:t>
      </w:r>
      <w:r w:rsidRPr="00AB78E0">
        <w:rPr>
          <w:b/>
          <w:bCs/>
          <w:caps/>
          <w:spacing w:val="1"/>
        </w:rPr>
        <w:t>n</w:t>
      </w:r>
      <w:r w:rsidRPr="00AB78E0">
        <w:rPr>
          <w:b/>
          <w:bCs/>
          <w:caps/>
        </w:rPr>
        <w:t>ti</w:t>
      </w:r>
      <w:r w:rsidRPr="00AB78E0">
        <w:rPr>
          <w:b/>
          <w:bCs/>
          <w:caps/>
          <w:spacing w:val="1"/>
        </w:rPr>
        <w:t>f</w:t>
      </w:r>
      <w:r w:rsidRPr="00AB78E0">
        <w:rPr>
          <w:b/>
          <w:bCs/>
          <w:caps/>
        </w:rPr>
        <w:t>i</w:t>
      </w:r>
      <w:r w:rsidRPr="00AB78E0">
        <w:rPr>
          <w:b/>
          <w:bCs/>
          <w:caps/>
          <w:spacing w:val="-2"/>
        </w:rPr>
        <w:t>a</w:t>
      </w:r>
      <w:r w:rsidRPr="00AB78E0">
        <w:rPr>
          <w:b/>
          <w:bCs/>
          <w:caps/>
          <w:spacing w:val="1"/>
        </w:rPr>
        <w:t>b</w:t>
      </w:r>
      <w:r w:rsidRPr="00AB78E0">
        <w:rPr>
          <w:b/>
          <w:bCs/>
          <w:caps/>
        </w:rPr>
        <w:t>le In</w:t>
      </w:r>
      <w:r w:rsidRPr="00AB78E0">
        <w:rPr>
          <w:b/>
          <w:bCs/>
          <w:caps/>
          <w:spacing w:val="2"/>
        </w:rPr>
        <w:t>f</w:t>
      </w:r>
      <w:r w:rsidRPr="00AB78E0">
        <w:rPr>
          <w:b/>
          <w:bCs/>
          <w:caps/>
        </w:rPr>
        <w:t>o</w:t>
      </w:r>
      <w:r w:rsidRPr="00AB78E0">
        <w:rPr>
          <w:b/>
          <w:bCs/>
          <w:caps/>
          <w:spacing w:val="-1"/>
        </w:rPr>
        <w:t>r</w:t>
      </w:r>
      <w:r w:rsidRPr="00AB78E0">
        <w:rPr>
          <w:b/>
          <w:bCs/>
          <w:caps/>
          <w:spacing w:val="-3"/>
        </w:rPr>
        <w:t>m</w:t>
      </w:r>
      <w:r w:rsidRPr="00AB78E0">
        <w:rPr>
          <w:b/>
          <w:bCs/>
          <w:caps/>
        </w:rPr>
        <w:t>a</w:t>
      </w:r>
      <w:r w:rsidRPr="00AB78E0">
        <w:rPr>
          <w:b/>
          <w:bCs/>
          <w:caps/>
          <w:spacing w:val="-1"/>
        </w:rPr>
        <w:t>t</w:t>
      </w:r>
      <w:r w:rsidRPr="00AB78E0">
        <w:rPr>
          <w:b/>
          <w:bCs/>
          <w:caps/>
        </w:rPr>
        <w:t>io</w:t>
      </w:r>
      <w:r w:rsidRPr="00AB78E0">
        <w:rPr>
          <w:b/>
          <w:bCs/>
          <w:caps/>
          <w:spacing w:val="1"/>
        </w:rPr>
        <w:t>n</w:t>
      </w:r>
      <w:r w:rsidRPr="008222BD">
        <w:rPr>
          <w:bCs/>
          <w:caps/>
        </w:rPr>
        <w:t>:</w:t>
      </w:r>
    </w:p>
    <w:p w:rsidRPr="008222BD" w:rsidR="007353C3" w:rsidP="007353C3" w:rsidRDefault="007353C3" w14:paraId="698E45AF" w14:textId="77777777">
      <w:pPr>
        <w:spacing w:before="12" w:line="260" w:lineRule="exact"/>
      </w:pPr>
    </w:p>
    <w:p w:rsidRPr="00713D29" w:rsidR="007353C3" w:rsidP="007353C3" w:rsidRDefault="007353C3" w14:paraId="12143919" w14:textId="22B6E5D9">
      <w:pPr>
        <w:pStyle w:val="ListParagraph"/>
        <w:widowControl w:val="0"/>
        <w:numPr>
          <w:ilvl w:val="0"/>
          <w:numId w:val="22"/>
        </w:numPr>
        <w:ind w:right="-20"/>
      </w:pPr>
      <w:r w:rsidRPr="008222BD">
        <w:rPr>
          <w:spacing w:val="-3"/>
        </w:rPr>
        <w:t>I</w:t>
      </w:r>
      <w:r w:rsidRPr="008222BD">
        <w:t xml:space="preserve">s </w:t>
      </w:r>
      <w:r w:rsidRPr="008222BD">
        <w:rPr>
          <w:spacing w:val="2"/>
        </w:rPr>
        <w:t>p</w:t>
      </w:r>
      <w:r w:rsidRPr="008222BD">
        <w:rPr>
          <w:spacing w:val="-1"/>
        </w:rPr>
        <w:t>e</w:t>
      </w:r>
      <w:r w:rsidRPr="008222BD">
        <w:t>rson</w:t>
      </w:r>
      <w:r w:rsidRPr="008222BD">
        <w:rPr>
          <w:spacing w:val="-1"/>
        </w:rPr>
        <w:t>a</w:t>
      </w:r>
      <w:r w:rsidRPr="008222BD">
        <w:t>l</w:t>
      </w:r>
      <w:r w:rsidRPr="008222BD">
        <w:rPr>
          <w:spacing w:val="6"/>
        </w:rPr>
        <w:t>l</w:t>
      </w:r>
      <w:r w:rsidRPr="008222BD">
        <w:t>y</w:t>
      </w:r>
      <w:r w:rsidRPr="008222BD">
        <w:rPr>
          <w:spacing w:val="-5"/>
        </w:rPr>
        <w:t xml:space="preserve"> </w:t>
      </w:r>
      <w:r w:rsidRPr="008222BD">
        <w:t>identifi</w:t>
      </w:r>
      <w:r w:rsidRPr="008222BD">
        <w:rPr>
          <w:spacing w:val="-1"/>
        </w:rPr>
        <w:t>a</w:t>
      </w:r>
      <w:r w:rsidRPr="008222BD">
        <w:t>ble</w:t>
      </w:r>
      <w:r w:rsidRPr="008222BD">
        <w:rPr>
          <w:spacing w:val="2"/>
        </w:rPr>
        <w:t xml:space="preserve"> </w:t>
      </w:r>
      <w:r w:rsidRPr="008222BD">
        <w:t>info</w:t>
      </w:r>
      <w:r w:rsidRPr="008222BD">
        <w:rPr>
          <w:spacing w:val="-1"/>
        </w:rPr>
        <w:t>r</w:t>
      </w:r>
      <w:r w:rsidRPr="008222BD">
        <w:t>mation (</w:t>
      </w:r>
      <w:r w:rsidRPr="008222BD">
        <w:rPr>
          <w:spacing w:val="3"/>
        </w:rPr>
        <w:t>P</w:t>
      </w:r>
      <w:r w:rsidRPr="008222BD">
        <w:t>I</w:t>
      </w:r>
      <w:r w:rsidRPr="008222BD">
        <w:rPr>
          <w:spacing w:val="-4"/>
        </w:rPr>
        <w:t>I</w:t>
      </w:r>
      <w:r w:rsidRPr="008222BD">
        <w:t xml:space="preserve">) </w:t>
      </w:r>
      <w:r w:rsidRPr="008222BD">
        <w:rPr>
          <w:spacing w:val="-2"/>
        </w:rPr>
        <w:t>c</w:t>
      </w:r>
      <w:r w:rsidRPr="008222BD">
        <w:t>ol</w:t>
      </w:r>
      <w:r w:rsidRPr="008222BD">
        <w:rPr>
          <w:spacing w:val="1"/>
        </w:rPr>
        <w:t>le</w:t>
      </w:r>
      <w:r w:rsidRPr="008222BD">
        <w:rPr>
          <w:spacing w:val="-1"/>
        </w:rPr>
        <w:t>c</w:t>
      </w:r>
      <w:r w:rsidRPr="008222BD">
        <w:t>t</w:t>
      </w:r>
      <w:r w:rsidRPr="008222BD">
        <w:rPr>
          <w:spacing w:val="2"/>
        </w:rPr>
        <w:t>e</w:t>
      </w:r>
      <w:r w:rsidRPr="008222BD">
        <w:t>d?</w:t>
      </w:r>
      <w:r w:rsidRPr="00410F81">
        <w:t xml:space="preserve"> </w:t>
      </w:r>
      <w:r w:rsidRPr="00713D29">
        <w:rPr>
          <w:spacing w:val="4"/>
        </w:rPr>
        <w:t xml:space="preserve"> </w:t>
      </w:r>
      <w:r w:rsidRPr="00713D29">
        <w:t>[</w:t>
      </w:r>
      <w:r w:rsidR="008A7FF1">
        <w:t>X</w:t>
      </w:r>
      <w:r w:rsidRPr="00713D29">
        <w:t>]</w:t>
      </w:r>
      <w:r w:rsidRPr="00713D29">
        <w:rPr>
          <w:spacing w:val="1"/>
        </w:rPr>
        <w:t xml:space="preserve"> </w:t>
      </w:r>
      <w:r w:rsidRPr="00713D29">
        <w:t>Y</w:t>
      </w:r>
      <w:r w:rsidRPr="00713D29">
        <w:rPr>
          <w:spacing w:val="-1"/>
        </w:rPr>
        <w:t>e</w:t>
      </w:r>
      <w:r w:rsidRPr="00713D29">
        <w:t>s  [</w:t>
      </w:r>
      <w:r w:rsidRPr="00713D29">
        <w:rPr>
          <w:spacing w:val="-1"/>
        </w:rPr>
        <w:t xml:space="preserve"> </w:t>
      </w:r>
      <w:r w:rsidRPr="00713D29" w:rsidR="000702CE">
        <w:rPr>
          <w:spacing w:val="-1"/>
        </w:rPr>
        <w:t xml:space="preserve"> </w:t>
      </w:r>
      <w:r w:rsidRPr="00713D29">
        <w:t>]</w:t>
      </w:r>
      <w:r w:rsidRPr="00713D29">
        <w:rPr>
          <w:spacing w:val="1"/>
        </w:rPr>
        <w:t xml:space="preserve"> </w:t>
      </w:r>
      <w:r w:rsidRPr="00713D29">
        <w:t>No</w:t>
      </w:r>
    </w:p>
    <w:p w:rsidRPr="008222BD" w:rsidR="007353C3" w:rsidP="007353C3" w:rsidRDefault="007353C3" w14:paraId="2CDF247D" w14:textId="77777777">
      <w:pPr>
        <w:spacing w:before="16" w:line="260" w:lineRule="exact"/>
      </w:pPr>
    </w:p>
    <w:p w:rsidR="00815E90" w:rsidP="00D6490E" w:rsidRDefault="007353C3" w14:paraId="07878FED" w14:textId="77777777">
      <w:pPr>
        <w:pStyle w:val="ListParagraph"/>
        <w:widowControl w:val="0"/>
        <w:numPr>
          <w:ilvl w:val="0"/>
          <w:numId w:val="22"/>
        </w:numPr>
        <w:ind w:right="-20"/>
      </w:pPr>
      <w:r w:rsidRPr="008222BD">
        <w:rPr>
          <w:spacing w:val="-3"/>
        </w:rPr>
        <w:t>I</w:t>
      </w:r>
      <w:r w:rsidRPr="008222BD">
        <w:t>f</w:t>
      </w:r>
      <w:r w:rsidRPr="008222BD">
        <w:rPr>
          <w:spacing w:val="2"/>
        </w:rPr>
        <w:t xml:space="preserve"> </w:t>
      </w:r>
      <w:r w:rsidRPr="008222BD" w:rsidR="000702CE">
        <w:rPr>
          <w:spacing w:val="2"/>
        </w:rPr>
        <w:t>y</w:t>
      </w:r>
      <w:r w:rsidRPr="008222BD">
        <w:rPr>
          <w:spacing w:val="-1"/>
        </w:rPr>
        <w:t>e</w:t>
      </w:r>
      <w:r w:rsidRPr="008222BD">
        <w:t xml:space="preserve">s, is </w:t>
      </w:r>
      <w:r w:rsidRPr="008222BD">
        <w:rPr>
          <w:spacing w:val="1"/>
        </w:rPr>
        <w:t>t</w:t>
      </w:r>
      <w:r w:rsidRPr="008222BD">
        <w:t>he</w:t>
      </w:r>
      <w:r w:rsidRPr="008222BD">
        <w:rPr>
          <w:spacing w:val="-1"/>
        </w:rPr>
        <w:t xml:space="preserve"> </w:t>
      </w:r>
      <w:r w:rsidRPr="008222BD">
        <w:t>info</w:t>
      </w:r>
      <w:r w:rsidRPr="008222BD">
        <w:rPr>
          <w:spacing w:val="-1"/>
        </w:rPr>
        <w:t>r</w:t>
      </w:r>
      <w:r w:rsidRPr="008222BD">
        <w:rPr>
          <w:spacing w:val="3"/>
        </w:rPr>
        <w:t>m</w:t>
      </w:r>
      <w:r w:rsidRPr="008222BD">
        <w:rPr>
          <w:spacing w:val="-1"/>
        </w:rPr>
        <w:t>a</w:t>
      </w:r>
      <w:r w:rsidRPr="008222BD">
        <w:t>t</w:t>
      </w:r>
      <w:r w:rsidRPr="008222BD">
        <w:rPr>
          <w:spacing w:val="1"/>
        </w:rPr>
        <w:t>i</w:t>
      </w:r>
      <w:r w:rsidRPr="008222BD">
        <w:t>on that will</w:t>
      </w:r>
      <w:r w:rsidRPr="008222BD">
        <w:rPr>
          <w:spacing w:val="1"/>
        </w:rPr>
        <w:t xml:space="preserve"> </w:t>
      </w:r>
      <w:r w:rsidRPr="008222BD">
        <w:t>be</w:t>
      </w:r>
      <w:r w:rsidRPr="008222BD">
        <w:rPr>
          <w:spacing w:val="-1"/>
        </w:rPr>
        <w:t xml:space="preserve"> c</w:t>
      </w:r>
      <w:r w:rsidRPr="008222BD">
        <w:t>ol</w:t>
      </w:r>
      <w:r w:rsidRPr="008222BD">
        <w:rPr>
          <w:spacing w:val="1"/>
        </w:rPr>
        <w:t>l</w:t>
      </w:r>
      <w:r w:rsidRPr="008222BD">
        <w:rPr>
          <w:spacing w:val="-1"/>
        </w:rPr>
        <w:t>ec</w:t>
      </w:r>
      <w:r w:rsidRPr="008222BD">
        <w:t>ted in</w:t>
      </w:r>
      <w:r w:rsidRPr="008222BD">
        <w:rPr>
          <w:spacing w:val="1"/>
        </w:rPr>
        <w:t>c</w:t>
      </w:r>
      <w:r w:rsidRPr="008222BD">
        <w:t xml:space="preserve">luded in </w:t>
      </w:r>
      <w:r w:rsidRPr="008222BD">
        <w:rPr>
          <w:spacing w:val="-1"/>
        </w:rPr>
        <w:t>rec</w:t>
      </w:r>
      <w:r w:rsidRPr="008222BD">
        <w:t>o</w:t>
      </w:r>
      <w:r w:rsidRPr="008222BD">
        <w:rPr>
          <w:spacing w:val="-1"/>
        </w:rPr>
        <w:t>r</w:t>
      </w:r>
      <w:r w:rsidRPr="008222BD">
        <w:t>ds th</w:t>
      </w:r>
      <w:r w:rsidRPr="008222BD">
        <w:rPr>
          <w:spacing w:val="-1"/>
        </w:rPr>
        <w:t>a</w:t>
      </w:r>
      <w:r w:rsidRPr="008222BD">
        <w:t>t</w:t>
      </w:r>
      <w:r w:rsidRPr="008222BD">
        <w:rPr>
          <w:spacing w:val="3"/>
        </w:rPr>
        <w:t xml:space="preserve"> </w:t>
      </w:r>
      <w:r w:rsidRPr="008222BD">
        <w:rPr>
          <w:spacing w:val="-1"/>
        </w:rPr>
        <w:t>a</w:t>
      </w:r>
      <w:r w:rsidRPr="008222BD">
        <w:t>re subj</w:t>
      </w:r>
      <w:r w:rsidRPr="008222BD">
        <w:rPr>
          <w:spacing w:val="-1"/>
        </w:rPr>
        <w:t>ec</w:t>
      </w:r>
      <w:r w:rsidRPr="008222BD">
        <w:t xml:space="preserve">t </w:t>
      </w:r>
      <w:r w:rsidRPr="008222BD">
        <w:rPr>
          <w:spacing w:val="1"/>
        </w:rPr>
        <w:t>t</w:t>
      </w:r>
      <w:r w:rsidRPr="008222BD">
        <w:t xml:space="preserve">o the </w:t>
      </w:r>
      <w:r w:rsidRPr="008222BD">
        <w:rPr>
          <w:spacing w:val="1"/>
        </w:rPr>
        <w:t>P</w:t>
      </w:r>
      <w:r w:rsidRPr="008222BD">
        <w:t>riv</w:t>
      </w:r>
      <w:r w:rsidRPr="008222BD">
        <w:rPr>
          <w:spacing w:val="-1"/>
        </w:rPr>
        <w:t>a</w:t>
      </w:r>
      <w:r w:rsidRPr="008222BD">
        <w:rPr>
          <w:spacing w:val="1"/>
        </w:rPr>
        <w:t>c</w:t>
      </w:r>
      <w:r w:rsidRPr="008222BD">
        <w:t>y</w:t>
      </w:r>
      <w:r w:rsidRPr="008222BD">
        <w:rPr>
          <w:spacing w:val="-3"/>
        </w:rPr>
        <w:t xml:space="preserve"> </w:t>
      </w:r>
      <w:r w:rsidRPr="008222BD">
        <w:t>A</w:t>
      </w:r>
      <w:r w:rsidRPr="008222BD">
        <w:rPr>
          <w:spacing w:val="-1"/>
        </w:rPr>
        <w:t>c</w:t>
      </w:r>
      <w:r w:rsidRPr="008222BD">
        <w:t>t of 1974?</w:t>
      </w:r>
      <w:r w:rsidRPr="00410F81">
        <w:t xml:space="preserve">  </w:t>
      </w:r>
    </w:p>
    <w:p w:rsidRPr="008222BD" w:rsidR="00815E90" w:rsidP="008222BD" w:rsidRDefault="00815E90" w14:paraId="76A939A2" w14:textId="77777777">
      <w:pPr>
        <w:pStyle w:val="ListParagraph"/>
        <w:rPr>
          <w:spacing w:val="3"/>
        </w:rPr>
      </w:pPr>
    </w:p>
    <w:p w:rsidR="006A50C3" w:rsidP="008222BD" w:rsidRDefault="007353C3" w14:paraId="5514E114" w14:textId="683861CF">
      <w:pPr>
        <w:widowControl w:val="0"/>
        <w:ind w:right="-20" w:firstLine="720"/>
      </w:pPr>
      <w:r w:rsidRPr="00713D29">
        <w:t>[</w:t>
      </w:r>
      <w:r w:rsidR="008A7FF1">
        <w:t>X</w:t>
      </w:r>
      <w:r w:rsidRPr="00713D29">
        <w:t>]</w:t>
      </w:r>
      <w:r w:rsidRPr="00815E90">
        <w:rPr>
          <w:spacing w:val="1"/>
        </w:rPr>
        <w:t xml:space="preserve"> </w:t>
      </w:r>
      <w:r w:rsidRPr="00713D29">
        <w:t>Y</w:t>
      </w:r>
      <w:r w:rsidRPr="00815E90">
        <w:rPr>
          <w:spacing w:val="-1"/>
        </w:rPr>
        <w:t>e</w:t>
      </w:r>
      <w:r w:rsidRPr="00713D29">
        <w:t xml:space="preserve">s </w:t>
      </w:r>
      <w:r w:rsidRPr="00713D29" w:rsidR="000702CE">
        <w:t xml:space="preserve"> </w:t>
      </w:r>
      <w:r w:rsidRPr="00713D29">
        <w:t>[</w:t>
      </w:r>
      <w:r w:rsidRPr="00713D29" w:rsidR="000702CE">
        <w:t xml:space="preserve"> </w:t>
      </w:r>
      <w:r w:rsidRPr="00815E90">
        <w:rPr>
          <w:spacing w:val="59"/>
        </w:rPr>
        <w:t xml:space="preserve"> </w:t>
      </w:r>
      <w:r w:rsidRPr="00713D29">
        <w:t>]</w:t>
      </w:r>
      <w:r w:rsidRPr="00815E90">
        <w:rPr>
          <w:spacing w:val="1"/>
        </w:rPr>
        <w:t xml:space="preserve"> </w:t>
      </w:r>
      <w:r w:rsidRPr="00713D29" w:rsidR="00D6490E">
        <w:t xml:space="preserve">No </w:t>
      </w:r>
      <w:r w:rsidRPr="00713D29" w:rsidR="000702CE">
        <w:t xml:space="preserve"> </w:t>
      </w:r>
      <w:r w:rsidRPr="00713D29" w:rsidR="00D6490E">
        <w:t>[  ] Not Applicable</w:t>
      </w:r>
    </w:p>
    <w:p w:rsidR="00547907" w:rsidP="008222BD" w:rsidRDefault="00547907" w14:paraId="1D0BA564" w14:textId="77777777">
      <w:pPr>
        <w:widowControl w:val="0"/>
        <w:ind w:right="-20" w:firstLine="720"/>
      </w:pPr>
    </w:p>
    <w:p w:rsidRPr="0020673E" w:rsidR="00547907" w:rsidP="0020673E" w:rsidRDefault="00547907" w14:paraId="62D4C119" w14:textId="77777777">
      <w:pPr>
        <w:widowControl w:val="0"/>
        <w:ind w:left="720" w:right="-20"/>
        <w:rPr>
          <w:b/>
        </w:rPr>
      </w:pPr>
      <w:r w:rsidRPr="0020673E">
        <w:rPr>
          <w:b/>
        </w:rPr>
        <w:lastRenderedPageBreak/>
        <w:t>If Yes, describe what PII will be collected</w:t>
      </w:r>
      <w:r w:rsidRPr="0020673E" w:rsidR="0020673E">
        <w:rPr>
          <w:b/>
        </w:rPr>
        <w:t xml:space="preserve"> and why it is needed and how it will be used.</w:t>
      </w:r>
    </w:p>
    <w:p w:rsidR="007353C3" w:rsidP="007353C3" w:rsidRDefault="007353C3" w14:paraId="1700B8C5" w14:textId="77777777">
      <w:pPr>
        <w:spacing w:before="16" w:line="260" w:lineRule="exact"/>
      </w:pPr>
    </w:p>
    <w:p w:rsidR="001F447D" w:rsidP="001F447D" w:rsidRDefault="001F447D" w14:paraId="32DDD536" w14:textId="32B3B9CD">
      <w:pPr>
        <w:pStyle w:val="paragraphgeorgiaParagraph"/>
        <w:keepLines w:val="0"/>
      </w:pPr>
      <w:r>
        <w:t>The researchers will use PII from partner organizations to send survey invitations and reminders. Information will include names, home addresses, email addresses, and telephone numbers. This information is necessary to identify individuals who are clients of Your Money, Your Goals partner organizations and will be used to contact potential respondents. PII will also be needed to facilitate incentive fulfillment. PII will not be used for any purposes other than sending the invitations and fulfilling the incentives.</w:t>
      </w:r>
    </w:p>
    <w:p w:rsidR="001F447D" w:rsidP="001F447D" w:rsidRDefault="001F447D" w14:paraId="03493E61" w14:textId="35139FAE">
      <w:pPr>
        <w:pStyle w:val="paragraphgeorgiaParagraph"/>
        <w:keepLines w:val="0"/>
      </w:pPr>
      <w:r>
        <w:t xml:space="preserve">To add anonymity to the collected data, the researchers will assign each record a unique random PIN.  This PIN will be used to ensure each survey is completed only once and facilitate the tracking of completion progress. Throughout the survey-fielding period the research contractor will handle incentive processing for completed surveys utilizing the PII provided. PII will be </w:t>
      </w:r>
      <w:r w:rsidR="00AD69CA">
        <w:t>transferred</w:t>
      </w:r>
      <w:r>
        <w:t xml:space="preserve"> using a secure transfer method such as SFTP or HTTPS. Study contractors will store data password protected servers with hard drives that utilize FIPS 140-2 standard encryption in a locked server room. Access to files, both internally and for transfer, is granted to only those user accounts with a project requirement for access.</w:t>
      </w:r>
    </w:p>
    <w:p w:rsidR="001F447D" w:rsidP="001F447D" w:rsidRDefault="001F447D" w14:paraId="2BEAC6D6" w14:textId="77777777">
      <w:pPr>
        <w:pStyle w:val="paragraphgeorgiaParagraph"/>
        <w:keepLines w:val="0"/>
      </w:pPr>
      <w:r>
        <w:t xml:space="preserve">PII will be stripped from all files used to analyze the data, and at the conclusion of the study all PII will be sanitized off servers using Department of Defense sanitization standard DoD 5220.22-M which overwrites all addressable locations with a character, its complement, then a random character. Once this data has been sanitized there will be no way to link the collected data to the original PII. </w:t>
      </w:r>
    </w:p>
    <w:p w:rsidR="001F447D" w:rsidP="001F447D" w:rsidRDefault="001F447D" w14:paraId="68DAD10A" w14:textId="77777777">
      <w:pPr>
        <w:pStyle w:val="paragraphgeorgiaParagraph"/>
        <w:keepLines w:val="0"/>
      </w:pPr>
      <w:r>
        <w:t xml:space="preserve">The collection instrument collects demographic data, but it is not required to participate in the survey. </w:t>
      </w:r>
    </w:p>
    <w:p w:rsidRPr="0020673E" w:rsidR="001F447D" w:rsidP="001F447D" w:rsidRDefault="001F447D" w14:paraId="2D92608C" w14:textId="77777777">
      <w:pPr>
        <w:widowControl w:val="0"/>
        <w:ind w:left="720" w:right="-20"/>
        <w:rPr>
          <w:b/>
        </w:rPr>
      </w:pPr>
    </w:p>
    <w:p w:rsidRPr="008222BD" w:rsidR="0020673E" w:rsidP="007353C3" w:rsidRDefault="0020673E" w14:paraId="11BD2B7F" w14:textId="77777777">
      <w:pPr>
        <w:spacing w:before="16" w:line="260" w:lineRule="exact"/>
      </w:pPr>
    </w:p>
    <w:p w:rsidRPr="008222BD" w:rsidR="007353C3" w:rsidP="007353C3" w:rsidRDefault="000702CE" w14:paraId="213A5705" w14:textId="77777777">
      <w:pPr>
        <w:pStyle w:val="ListParagraph"/>
        <w:widowControl w:val="0"/>
        <w:numPr>
          <w:ilvl w:val="0"/>
          <w:numId w:val="22"/>
        </w:numPr>
        <w:ind w:right="-20"/>
      </w:pPr>
      <w:r w:rsidRPr="008222BD">
        <w:t>H</w:t>
      </w:r>
      <w:r w:rsidRPr="008222BD" w:rsidR="007353C3">
        <w:rPr>
          <w:spacing w:val="-1"/>
        </w:rPr>
        <w:t>a</w:t>
      </w:r>
      <w:r w:rsidRPr="008222BD" w:rsidR="007353C3">
        <w:t xml:space="preserve">s a </w:t>
      </w:r>
      <w:r w:rsidRPr="008222BD" w:rsidR="007353C3">
        <w:rPr>
          <w:spacing w:val="5"/>
        </w:rPr>
        <w:t>S</w:t>
      </w:r>
      <w:r w:rsidRPr="008222BD" w:rsidR="007353C3">
        <w:rPr>
          <w:spacing w:val="-5"/>
        </w:rPr>
        <w:t>y</w:t>
      </w:r>
      <w:r w:rsidRPr="008222BD" w:rsidR="007353C3">
        <w:t>stem or R</w:t>
      </w:r>
      <w:r w:rsidRPr="008222BD" w:rsidR="007353C3">
        <w:rPr>
          <w:spacing w:val="-1"/>
        </w:rPr>
        <w:t>ec</w:t>
      </w:r>
      <w:r w:rsidRPr="008222BD" w:rsidR="007353C3">
        <w:t>o</w:t>
      </w:r>
      <w:r w:rsidRPr="008222BD" w:rsidR="007353C3">
        <w:rPr>
          <w:spacing w:val="-1"/>
        </w:rPr>
        <w:t>r</w:t>
      </w:r>
      <w:r w:rsidRPr="008222BD" w:rsidR="007353C3">
        <w:t>ds Noti</w:t>
      </w:r>
      <w:r w:rsidRPr="008222BD" w:rsidR="007353C3">
        <w:rPr>
          <w:spacing w:val="1"/>
        </w:rPr>
        <w:t>c</w:t>
      </w:r>
      <w:r w:rsidRPr="008222BD" w:rsidR="007353C3">
        <w:t>e</w:t>
      </w:r>
      <w:r w:rsidRPr="008222BD" w:rsidR="007353C3">
        <w:rPr>
          <w:spacing w:val="-1"/>
        </w:rPr>
        <w:t xml:space="preserve"> </w:t>
      </w:r>
      <w:r w:rsidRPr="008222BD" w:rsidR="003C4E67">
        <w:rPr>
          <w:spacing w:val="-1"/>
        </w:rPr>
        <w:t xml:space="preserve">(SORN) </w:t>
      </w:r>
      <w:r w:rsidRPr="008222BD" w:rsidR="007353C3">
        <w:t>b</w:t>
      </w:r>
      <w:r w:rsidRPr="008222BD" w:rsidR="007353C3">
        <w:rPr>
          <w:spacing w:val="1"/>
        </w:rPr>
        <w:t>e</w:t>
      </w:r>
      <w:r w:rsidRPr="008222BD" w:rsidR="007353C3">
        <w:rPr>
          <w:spacing w:val="-1"/>
        </w:rPr>
        <w:t>e</w:t>
      </w:r>
      <w:r w:rsidRPr="008222BD" w:rsidR="007353C3">
        <w:t>n publ</w:t>
      </w:r>
      <w:r w:rsidRPr="008222BD" w:rsidR="007353C3">
        <w:rPr>
          <w:spacing w:val="1"/>
        </w:rPr>
        <w:t>i</w:t>
      </w:r>
      <w:r w:rsidRPr="008222BD" w:rsidR="007353C3">
        <w:t xml:space="preserve">shed?  </w:t>
      </w:r>
    </w:p>
    <w:p w:rsidRPr="00713D29" w:rsidR="007353C3" w:rsidP="007353C3" w:rsidRDefault="007353C3" w14:paraId="562910EA" w14:textId="3285E8A4">
      <w:pPr>
        <w:ind w:left="220" w:right="-20" w:firstLine="500"/>
      </w:pPr>
      <w:r w:rsidRPr="00410F81">
        <w:t>[</w:t>
      </w:r>
      <w:r w:rsidR="00A7601A">
        <w:t>X</w:t>
      </w:r>
      <w:r w:rsidRPr="00713D29">
        <w:t>]</w:t>
      </w:r>
      <w:r w:rsidRPr="00713D29">
        <w:rPr>
          <w:spacing w:val="1"/>
        </w:rPr>
        <w:t xml:space="preserve"> </w:t>
      </w:r>
      <w:r w:rsidRPr="00713D29">
        <w:t>Y</w:t>
      </w:r>
      <w:r w:rsidRPr="00713D29">
        <w:rPr>
          <w:spacing w:val="-1"/>
        </w:rPr>
        <w:t>e</w:t>
      </w:r>
      <w:r w:rsidRPr="00713D29">
        <w:t>s  [</w:t>
      </w:r>
      <w:r w:rsidRPr="00713D29" w:rsidR="000702CE">
        <w:rPr>
          <w:spacing w:val="59"/>
        </w:rPr>
        <w:t xml:space="preserve"> </w:t>
      </w:r>
      <w:r w:rsidRPr="00713D29">
        <w:t>]</w:t>
      </w:r>
      <w:r w:rsidRPr="00713D29">
        <w:rPr>
          <w:spacing w:val="1"/>
        </w:rPr>
        <w:t xml:space="preserve"> </w:t>
      </w:r>
      <w:r w:rsidRPr="00713D29">
        <w:t>No</w:t>
      </w:r>
      <w:r w:rsidRPr="00713D29" w:rsidR="000702CE">
        <w:t xml:space="preserve"> </w:t>
      </w:r>
      <w:r w:rsidRPr="00713D29">
        <w:t xml:space="preserve"> [  ] Not Applicable</w:t>
      </w:r>
    </w:p>
    <w:p w:rsidR="00807EE2" w:rsidP="00671686" w:rsidRDefault="00671686" w14:paraId="007AC065" w14:textId="77777777">
      <w:pPr>
        <w:ind w:left="220" w:right="-20" w:firstLine="500"/>
      </w:pPr>
      <w:r w:rsidRPr="00713D29">
        <w:t xml:space="preserve">If yes, </w:t>
      </w:r>
      <w:r w:rsidRPr="00713D29" w:rsidR="000702CE">
        <w:t xml:space="preserve">list </w:t>
      </w:r>
      <w:r w:rsidRPr="00713D29">
        <w:t>the SORN</w:t>
      </w:r>
      <w:r w:rsidRPr="00713D29" w:rsidR="000702CE">
        <w:t xml:space="preserve"> t</w:t>
      </w:r>
      <w:r w:rsidRPr="00713D29">
        <w:t>itle</w:t>
      </w:r>
      <w:r w:rsidRPr="00713D29" w:rsidR="000702CE">
        <w:t xml:space="preserve"> and </w:t>
      </w:r>
      <w:r w:rsidR="00021835">
        <w:t xml:space="preserve">the </w:t>
      </w:r>
      <w:r w:rsidRPr="00227A1F" w:rsidR="000702CE">
        <w:rPr>
          <w:i/>
        </w:rPr>
        <w:t>F</w:t>
      </w:r>
      <w:r w:rsidRPr="00227A1F" w:rsidR="00227A1F">
        <w:rPr>
          <w:i/>
        </w:rPr>
        <w:t>ederal Register</w:t>
      </w:r>
      <w:r w:rsidRPr="00713D29" w:rsidR="000702CE">
        <w:t xml:space="preserve"> </w:t>
      </w:r>
      <w:r w:rsidR="00227A1F">
        <w:t xml:space="preserve">(FR) citation:  </w:t>
      </w:r>
    </w:p>
    <w:p w:rsidR="00C84F08" w:rsidP="00671686" w:rsidRDefault="00807EE2" w14:paraId="50391543" w14:textId="372C350A">
      <w:pPr>
        <w:ind w:left="220" w:right="-20" w:firstLine="500"/>
      </w:pPr>
      <w:r>
        <w:t xml:space="preserve">Title:  </w:t>
      </w:r>
      <w:r w:rsidR="00C84F08">
        <w:t xml:space="preserve">CFPB.021, Consumer Education and Engagement Records </w:t>
      </w:r>
    </w:p>
    <w:p w:rsidRPr="00713D29" w:rsidR="00671686" w:rsidP="00671686" w:rsidRDefault="00C84F08" w14:paraId="57651229" w14:textId="105C25E4">
      <w:pPr>
        <w:ind w:left="220" w:right="-20" w:firstLine="500"/>
      </w:pPr>
      <w:r>
        <w:t>83 FR 23435</w:t>
      </w:r>
    </w:p>
    <w:p w:rsidRPr="00713D29" w:rsidR="00D6490E" w:rsidP="007353C3" w:rsidRDefault="00D6490E" w14:paraId="5B76A457" w14:textId="77777777">
      <w:pPr>
        <w:ind w:left="220" w:right="-20" w:firstLine="500"/>
      </w:pPr>
    </w:p>
    <w:p w:rsidRPr="008222BD" w:rsidR="007353C3" w:rsidP="00D6490E" w:rsidRDefault="00D6490E" w14:paraId="718B9231" w14:textId="77777777">
      <w:pPr>
        <w:pStyle w:val="ListParagraph"/>
        <w:numPr>
          <w:ilvl w:val="0"/>
          <w:numId w:val="22"/>
        </w:numPr>
        <w:spacing w:before="1" w:line="280" w:lineRule="exact"/>
      </w:pPr>
      <w:r w:rsidRPr="008222BD">
        <w:t xml:space="preserve">If applicable, </w:t>
      </w:r>
      <w:r w:rsidR="00021835">
        <w:t xml:space="preserve">please provide a </w:t>
      </w:r>
      <w:r w:rsidR="005B5783">
        <w:t xml:space="preserve">link </w:t>
      </w:r>
      <w:r w:rsidRPr="008222BD" w:rsidR="005B5783">
        <w:t>to</w:t>
      </w:r>
      <w:r w:rsidR="00815E90">
        <w:t xml:space="preserve"> </w:t>
      </w:r>
      <w:r w:rsidRPr="008222BD">
        <w:t>the</w:t>
      </w:r>
      <w:r w:rsidR="005B5783">
        <w:t xml:space="preserve"> Privacy Impact Assessment</w:t>
      </w:r>
      <w:r w:rsidR="00021835">
        <w:t>.</w:t>
      </w:r>
    </w:p>
    <w:p w:rsidRPr="008222BD" w:rsidR="007353C3" w:rsidP="007353C3" w:rsidRDefault="007353C3" w14:paraId="127453EB" w14:textId="77777777">
      <w:pPr>
        <w:spacing w:before="1" w:line="280" w:lineRule="exact"/>
      </w:pPr>
    </w:p>
    <w:p w:rsidRPr="00410F81" w:rsidR="007353C3" w:rsidP="007353C3" w:rsidRDefault="007353C3" w14:paraId="13C42A6D" w14:textId="77777777">
      <w:pPr>
        <w:pStyle w:val="ListParagraph"/>
        <w:widowControl w:val="0"/>
        <w:numPr>
          <w:ilvl w:val="0"/>
          <w:numId w:val="25"/>
        </w:numPr>
        <w:ind w:right="-20"/>
        <w:rPr>
          <w:caps/>
        </w:rPr>
      </w:pPr>
      <w:r w:rsidRPr="00410F81">
        <w:rPr>
          <w:b/>
          <w:bCs/>
          <w:caps/>
          <w:spacing w:val="-2"/>
        </w:rPr>
        <w:t>INCENTIVES</w:t>
      </w:r>
      <w:r w:rsidRPr="008222BD">
        <w:rPr>
          <w:bCs/>
          <w:caps/>
        </w:rPr>
        <w:t>:</w:t>
      </w:r>
    </w:p>
    <w:p w:rsidRPr="008222BD" w:rsidR="007353C3" w:rsidP="007353C3" w:rsidRDefault="007353C3" w14:paraId="679C5915" w14:textId="77777777">
      <w:pPr>
        <w:spacing w:before="11" w:line="260" w:lineRule="exact"/>
      </w:pPr>
    </w:p>
    <w:p w:rsidRPr="00713D29" w:rsidR="007353C3" w:rsidP="007353C3" w:rsidRDefault="007353C3" w14:paraId="74127163" w14:textId="55A752EB">
      <w:pPr>
        <w:pStyle w:val="ListParagraph"/>
        <w:widowControl w:val="0"/>
        <w:numPr>
          <w:ilvl w:val="0"/>
          <w:numId w:val="24"/>
        </w:numPr>
        <w:ind w:right="596"/>
      </w:pPr>
      <w:r w:rsidRPr="008222BD">
        <w:rPr>
          <w:spacing w:val="-3"/>
        </w:rPr>
        <w:t>I</w:t>
      </w:r>
      <w:r w:rsidRPr="008222BD">
        <w:t>s</w:t>
      </w:r>
      <w:r w:rsidRPr="008222BD">
        <w:rPr>
          <w:spacing w:val="2"/>
        </w:rPr>
        <w:t xml:space="preserve"> </w:t>
      </w:r>
      <w:r w:rsidRPr="008222BD">
        <w:rPr>
          <w:spacing w:val="-1"/>
        </w:rPr>
        <w:t>a</w:t>
      </w:r>
      <w:r w:rsidRPr="008222BD">
        <w:t>n inc</w:t>
      </w:r>
      <w:r w:rsidRPr="008222BD">
        <w:rPr>
          <w:spacing w:val="-1"/>
        </w:rPr>
        <w:t>e</w:t>
      </w:r>
      <w:r w:rsidRPr="008222BD">
        <w:t>nt</w:t>
      </w:r>
      <w:r w:rsidRPr="008222BD">
        <w:rPr>
          <w:spacing w:val="1"/>
        </w:rPr>
        <w:t>i</w:t>
      </w:r>
      <w:r w:rsidRPr="008222BD">
        <w:t>ve</w:t>
      </w:r>
      <w:r w:rsidRPr="008222BD">
        <w:rPr>
          <w:spacing w:val="-1"/>
        </w:rPr>
        <w:t xml:space="preserve"> </w:t>
      </w:r>
      <w:r w:rsidRPr="008222BD">
        <w:t>p</w:t>
      </w:r>
      <w:r w:rsidRPr="008222BD">
        <w:rPr>
          <w:spacing w:val="-1"/>
        </w:rPr>
        <w:t>r</w:t>
      </w:r>
      <w:r w:rsidRPr="008222BD">
        <w:t>ovided to p</w:t>
      </w:r>
      <w:r w:rsidRPr="008222BD">
        <w:rPr>
          <w:spacing w:val="-1"/>
        </w:rPr>
        <w:t>a</w:t>
      </w:r>
      <w:r w:rsidRPr="008222BD">
        <w:t>rticip</w:t>
      </w:r>
      <w:r w:rsidRPr="008222BD">
        <w:rPr>
          <w:spacing w:val="-1"/>
        </w:rPr>
        <w:t>a</w:t>
      </w:r>
      <w:r w:rsidRPr="008222BD">
        <w:t xml:space="preserve">nts? </w:t>
      </w:r>
      <w:r w:rsidRPr="00410F81">
        <w:rPr>
          <w:spacing w:val="2"/>
        </w:rPr>
        <w:t xml:space="preserve"> </w:t>
      </w:r>
      <w:r w:rsidRPr="00713D29">
        <w:t>[</w:t>
      </w:r>
      <w:r w:rsidR="00A7601A">
        <w:t>X</w:t>
      </w:r>
      <w:r w:rsidRPr="00713D29">
        <w:t>]</w:t>
      </w:r>
      <w:r w:rsidRPr="00713D29">
        <w:rPr>
          <w:spacing w:val="1"/>
        </w:rPr>
        <w:t xml:space="preserve"> </w:t>
      </w:r>
      <w:r w:rsidRPr="00713D29">
        <w:t>Y</w:t>
      </w:r>
      <w:r w:rsidRPr="00713D29">
        <w:rPr>
          <w:spacing w:val="-1"/>
        </w:rPr>
        <w:t>e</w:t>
      </w:r>
      <w:r w:rsidRPr="00713D29">
        <w:t>s</w:t>
      </w:r>
      <w:r w:rsidRPr="00713D29">
        <w:rPr>
          <w:spacing w:val="-2"/>
        </w:rPr>
        <w:t xml:space="preserve"> </w:t>
      </w:r>
      <w:r w:rsidRPr="00713D29">
        <w:t xml:space="preserve">[ </w:t>
      </w:r>
      <w:r w:rsidRPr="00713D29">
        <w:rPr>
          <w:spacing w:val="1"/>
        </w:rPr>
        <w:t xml:space="preserve"> </w:t>
      </w:r>
      <w:r w:rsidRPr="00713D29">
        <w:t>]</w:t>
      </w:r>
      <w:r w:rsidRPr="00713D29">
        <w:rPr>
          <w:spacing w:val="-1"/>
        </w:rPr>
        <w:t xml:space="preserve"> </w:t>
      </w:r>
      <w:r w:rsidRPr="00713D29">
        <w:t>No</w:t>
      </w:r>
    </w:p>
    <w:p w:rsidRPr="00713D29" w:rsidR="007353C3" w:rsidP="007353C3" w:rsidRDefault="007353C3" w14:paraId="0294DF5A" w14:textId="77777777">
      <w:pPr>
        <w:pStyle w:val="ListParagraph"/>
        <w:ind w:left="820" w:right="596"/>
      </w:pPr>
    </w:p>
    <w:p w:rsidR="007353C3" w:rsidP="007353C3" w:rsidRDefault="007353C3" w14:paraId="244920E4" w14:textId="4CE19E71">
      <w:pPr>
        <w:pStyle w:val="ListParagraph"/>
        <w:widowControl w:val="0"/>
        <w:numPr>
          <w:ilvl w:val="0"/>
          <w:numId w:val="24"/>
        </w:numPr>
        <w:ind w:right="596"/>
      </w:pPr>
      <w:r w:rsidRPr="00713D29">
        <w:t xml:space="preserve">If </w:t>
      </w:r>
      <w:r w:rsidRPr="00410F81" w:rsidR="00D763EB">
        <w:t>y</w:t>
      </w:r>
      <w:r w:rsidRPr="008222BD">
        <w:t xml:space="preserve">es, </w:t>
      </w:r>
      <w:r w:rsidR="00815E90">
        <w:t xml:space="preserve">provide a statement justifying the use and amount of the incentive </w:t>
      </w:r>
      <w:r w:rsidRPr="008222BD" w:rsidR="00815E90">
        <w:rPr>
          <w:b/>
          <w:i/>
        </w:rPr>
        <w:t>and</w:t>
      </w:r>
      <w:r w:rsidR="00815E90">
        <w:t xml:space="preserve"> the amount or value of the incentive: </w:t>
      </w:r>
      <w:r w:rsidRPr="00410F81" w:rsidR="007C4358">
        <w:t>$__</w:t>
      </w:r>
      <w:r w:rsidRPr="00A7601A" w:rsidR="00FE2EF6">
        <w:rPr>
          <w:u w:val="single"/>
        </w:rPr>
        <w:t>22</w:t>
      </w:r>
      <w:r w:rsidRPr="00A7601A" w:rsidR="007C4358">
        <w:rPr>
          <w:u w:val="single"/>
        </w:rPr>
        <w:t>_</w:t>
      </w:r>
      <w:r w:rsidRPr="00410F81" w:rsidR="007C4358">
        <w:t>______.</w:t>
      </w:r>
    </w:p>
    <w:p w:rsidR="00FE2EF6" w:rsidP="00856E0A" w:rsidRDefault="00FE2EF6" w14:paraId="58F59E00" w14:textId="77777777">
      <w:pPr>
        <w:pStyle w:val="ListParagraph"/>
      </w:pPr>
    </w:p>
    <w:p w:rsidRPr="00713D29" w:rsidR="00FE2EF6" w:rsidP="00856E0A" w:rsidRDefault="00FE2EF6" w14:paraId="4C00E247" w14:textId="27B66D77">
      <w:pPr>
        <w:pStyle w:val="ListParagraph"/>
        <w:widowControl w:val="0"/>
        <w:ind w:left="820" w:right="596"/>
      </w:pPr>
      <w:r>
        <w:lastRenderedPageBreak/>
        <w:t>Respondents will be offered a $10 incentive for participation in each survey, and will receive a pre</w:t>
      </w:r>
      <w:r w:rsidR="00A7601A">
        <w:t>-</w:t>
      </w:r>
      <w:r>
        <w:t xml:space="preserve">incentive in the mail of $2. </w:t>
      </w:r>
      <w:r w:rsidR="00A7601A">
        <w:t>Thus,</w:t>
      </w:r>
      <w:r>
        <w:t xml:space="preserve"> those who respond twice will receive $22 in total. The survey is expected to take clients 20 minutes, plus additional time to read materials or receive recruiting phone calls.  Furthermore</w:t>
      </w:r>
      <w:r w:rsidR="00A361D8">
        <w:t>,</w:t>
      </w:r>
      <w:r>
        <w:t xml:space="preserve"> </w:t>
      </w:r>
      <w:r w:rsidR="00A361D8">
        <w:t xml:space="preserve">the research design requires </w:t>
      </w:r>
      <w:r>
        <w:t>retention of respondents over time for two surveys</w:t>
      </w:r>
      <w:r w:rsidR="00A361D8">
        <w:t>.  All incentives are intended to encourage buy in from clients and increase trust. Many will have never heard of the Consumer Financial Protection Bureau or the research team, and these incentives are intended to increase trust between clients and the research team and encourage participation.</w:t>
      </w:r>
    </w:p>
    <w:p w:rsidRPr="00713D29" w:rsidR="007353C3" w:rsidP="007353C3" w:rsidRDefault="007353C3" w14:paraId="247F9037" w14:textId="77777777">
      <w:pPr>
        <w:pStyle w:val="ListParagraph"/>
      </w:pPr>
    </w:p>
    <w:p w:rsidRPr="00410F81" w:rsidR="00F8707B" w:rsidP="008C4E6C" w:rsidRDefault="00F8707B" w14:paraId="4CCC601A" w14:textId="77777777">
      <w:pPr>
        <w:pStyle w:val="ListParagraph"/>
        <w:numPr>
          <w:ilvl w:val="0"/>
          <w:numId w:val="25"/>
        </w:numPr>
      </w:pPr>
      <w:r w:rsidRPr="00410F81">
        <w:rPr>
          <w:b/>
          <w:caps/>
        </w:rPr>
        <w:t>Assurances of Confidentiality</w:t>
      </w:r>
      <w:r w:rsidRPr="008222BD">
        <w:t>:</w:t>
      </w:r>
    </w:p>
    <w:p w:rsidRPr="00713D29" w:rsidR="008C4E6C" w:rsidP="008C4E6C" w:rsidRDefault="008C4E6C" w14:paraId="578FA248" w14:textId="77777777"/>
    <w:p w:rsidRPr="00713D29" w:rsidR="00F8707B" w:rsidP="008C4E6C" w:rsidRDefault="00F8707B" w14:paraId="3C518005" w14:textId="71B01D34">
      <w:pPr>
        <w:pStyle w:val="ListParagraph"/>
        <w:numPr>
          <w:ilvl w:val="0"/>
          <w:numId w:val="28"/>
        </w:numPr>
      </w:pPr>
      <w:r w:rsidRPr="00713D29">
        <w:t>Will a pledge of confidentiality be made to respondents? [  ] Yes  [</w:t>
      </w:r>
      <w:r w:rsidR="00A7601A">
        <w:t>X</w:t>
      </w:r>
      <w:r w:rsidRPr="00713D29">
        <w:t>] No</w:t>
      </w:r>
    </w:p>
    <w:p w:rsidRPr="00713D29" w:rsidR="00F8707B" w:rsidP="00F8707B" w:rsidRDefault="00F8707B" w14:paraId="1DA90DD2" w14:textId="77777777">
      <w:pPr>
        <w:pStyle w:val="ListParagraph"/>
        <w:ind w:left="360"/>
      </w:pPr>
    </w:p>
    <w:p w:rsidRPr="00713D29" w:rsidR="00F8707B" w:rsidP="008C4E6C" w:rsidRDefault="00F8707B" w14:paraId="7983E822" w14:textId="77777777">
      <w:pPr>
        <w:pStyle w:val="ListParagraph"/>
        <w:numPr>
          <w:ilvl w:val="0"/>
          <w:numId w:val="28"/>
        </w:numPr>
      </w:pPr>
      <w:r w:rsidRPr="00713D29">
        <w:t xml:space="preserve">If </w:t>
      </w:r>
      <w:r w:rsidRPr="00713D29" w:rsidR="00D763EB">
        <w:t>y</w:t>
      </w:r>
      <w:r w:rsidRPr="00713D29">
        <w:t>es, please cite the statue, regulation, or contractual terms supporting the pledge.</w:t>
      </w:r>
    </w:p>
    <w:p w:rsidRPr="00713D29" w:rsidR="00F8707B" w:rsidP="00F8707B" w:rsidRDefault="00F8707B" w14:paraId="546D5F0E" w14:textId="77777777"/>
    <w:p w:rsidRPr="008222BD" w:rsidR="00F8707B" w:rsidP="008C4E6C" w:rsidRDefault="00F8707B" w14:paraId="02E47BEC" w14:textId="77777777">
      <w:pPr>
        <w:pStyle w:val="ListParagraph"/>
        <w:numPr>
          <w:ilvl w:val="0"/>
          <w:numId w:val="25"/>
        </w:numPr>
      </w:pPr>
      <w:r w:rsidRPr="00AB78E0">
        <w:rPr>
          <w:b/>
        </w:rPr>
        <w:t>JUSTIFICATION OF SENSITIVE QUESTIONS (if applicable)</w:t>
      </w:r>
      <w:r w:rsidRPr="008222BD">
        <w:t>:</w:t>
      </w:r>
    </w:p>
    <w:p w:rsidR="00F62AE7" w:rsidP="00524622" w:rsidRDefault="00524622" w14:paraId="12EAB27B" w14:textId="3966ED7C">
      <w:pPr>
        <w:ind w:left="360"/>
      </w:pPr>
      <w:r>
        <w:t>Questions about race, age, income levels and living conditions will generally be considered sensitive by most people. In this survey they are necessary to create a profile of the respondent to see if people in differing financial situations want or need distinct kinds of financial training and educational materials and to help the  Bureau develop this training as appropriate</w:t>
      </w:r>
      <w:r w:rsidR="00517008">
        <w:t>.</w:t>
      </w:r>
    </w:p>
    <w:p w:rsidR="00F62AE7" w:rsidP="00F8707B" w:rsidRDefault="00F62AE7" w14:paraId="2F39B0D1" w14:textId="66238090"/>
    <w:p w:rsidR="00F62AE7" w:rsidP="00F8707B" w:rsidRDefault="00F62AE7" w14:paraId="7B0805FA" w14:textId="111CF159"/>
    <w:p w:rsidR="00F62AE7" w:rsidP="00F8707B" w:rsidRDefault="00F62AE7" w14:paraId="4F740E3A" w14:textId="73A71A55"/>
    <w:p w:rsidR="00F62AE7" w:rsidP="00F8707B" w:rsidRDefault="00F62AE7" w14:paraId="6CAA24F7" w14:textId="77777777"/>
    <w:p w:rsidRPr="008222BD" w:rsidR="0020673E" w:rsidP="00F8707B" w:rsidRDefault="0020673E" w14:paraId="6A5A4CFA" w14:textId="77777777"/>
    <w:p w:rsidRPr="008222BD" w:rsidR="005E714A" w:rsidP="008C4E6C" w:rsidRDefault="005E714A" w14:paraId="2547F295" w14:textId="77777777">
      <w:pPr>
        <w:pStyle w:val="ListParagraph"/>
        <w:numPr>
          <w:ilvl w:val="0"/>
          <w:numId w:val="25"/>
        </w:numPr>
      </w:pPr>
      <w:r w:rsidRPr="00AB78E0">
        <w:rPr>
          <w:b/>
        </w:rPr>
        <w:t>BURDEN HOUR</w:t>
      </w:r>
      <w:r w:rsidRPr="00AB78E0" w:rsidR="00441434">
        <w:rPr>
          <w:b/>
        </w:rPr>
        <w:t>S</w:t>
      </w:r>
      <w:r w:rsidRPr="008222BD" w:rsidR="008C4E6C">
        <w:t>:</w:t>
      </w:r>
    </w:p>
    <w:p w:rsidRPr="008222BD" w:rsidR="006832D9" w:rsidP="00F3170F" w:rsidRDefault="006832D9" w14:paraId="5431F6D9" w14:textId="77777777">
      <w:pPr>
        <w:keepNext/>
        <w:keepLines/>
      </w:pPr>
    </w:p>
    <w:tbl>
      <w:tblPr>
        <w:tblStyle w:val="TableGrid"/>
        <w:tblW w:w="10368" w:type="dxa"/>
        <w:tblLayout w:type="fixed"/>
        <w:tblLook w:val="01E0" w:firstRow="1" w:lastRow="1" w:firstColumn="1" w:lastColumn="1" w:noHBand="0" w:noVBand="0"/>
      </w:tblPr>
      <w:tblGrid>
        <w:gridCol w:w="2898"/>
        <w:gridCol w:w="1800"/>
        <w:gridCol w:w="1350"/>
        <w:gridCol w:w="1350"/>
        <w:gridCol w:w="1440"/>
        <w:gridCol w:w="1530"/>
      </w:tblGrid>
      <w:tr w:rsidRPr="00713D29" w:rsidR="004564BF" w:rsidTr="00282BFD" w14:paraId="58F83EA3" w14:textId="77777777">
        <w:trPr>
          <w:trHeight w:val="274"/>
        </w:trPr>
        <w:tc>
          <w:tcPr>
            <w:tcW w:w="2898" w:type="dxa"/>
            <w:shd w:val="clear" w:color="auto" w:fill="D9D9D9" w:themeFill="background1" w:themeFillShade="D9"/>
          </w:tcPr>
          <w:p w:rsidRPr="0020673E" w:rsidR="004564BF" w:rsidP="00C8488C" w:rsidRDefault="00031B05" w14:paraId="1BD7CFEE" w14:textId="77777777">
            <w:pPr>
              <w:rPr>
                <w:b/>
              </w:rPr>
            </w:pPr>
            <w:r w:rsidRPr="0020673E">
              <w:rPr>
                <w:b/>
              </w:rPr>
              <w:t>Collection of Information</w:t>
            </w:r>
            <w:r w:rsidRPr="0020673E" w:rsidR="004564BF">
              <w:rPr>
                <w:b/>
              </w:rPr>
              <w:t xml:space="preserve"> </w:t>
            </w:r>
          </w:p>
        </w:tc>
        <w:tc>
          <w:tcPr>
            <w:tcW w:w="1800" w:type="dxa"/>
            <w:shd w:val="clear" w:color="auto" w:fill="D9D9D9" w:themeFill="background1" w:themeFillShade="D9"/>
          </w:tcPr>
          <w:p w:rsidRPr="0020673E" w:rsidR="004564BF" w:rsidP="00AC7F7A" w:rsidRDefault="004564BF" w14:paraId="4150A2EB" w14:textId="77777777">
            <w:pPr>
              <w:jc w:val="center"/>
              <w:rPr>
                <w:b/>
              </w:rPr>
            </w:pPr>
            <w:r w:rsidRPr="0020673E">
              <w:rPr>
                <w:b/>
              </w:rPr>
              <w:t>Number of Respondents</w:t>
            </w:r>
          </w:p>
        </w:tc>
        <w:tc>
          <w:tcPr>
            <w:tcW w:w="1350" w:type="dxa"/>
            <w:shd w:val="clear" w:color="auto" w:fill="D9D9D9" w:themeFill="background1" w:themeFillShade="D9"/>
          </w:tcPr>
          <w:p w:rsidRPr="0020673E" w:rsidR="004564BF" w:rsidP="00AC7F7A" w:rsidRDefault="004564BF" w14:paraId="4D86F9D2" w14:textId="77777777">
            <w:pPr>
              <w:jc w:val="center"/>
              <w:rPr>
                <w:b/>
              </w:rPr>
            </w:pPr>
            <w:r w:rsidRPr="0020673E">
              <w:rPr>
                <w:b/>
              </w:rPr>
              <w:t>Frequency</w:t>
            </w:r>
          </w:p>
        </w:tc>
        <w:tc>
          <w:tcPr>
            <w:tcW w:w="1350" w:type="dxa"/>
            <w:shd w:val="clear" w:color="auto" w:fill="D9D9D9" w:themeFill="background1" w:themeFillShade="D9"/>
          </w:tcPr>
          <w:p w:rsidRPr="0020673E" w:rsidR="004564BF" w:rsidP="00021835" w:rsidRDefault="004564BF" w14:paraId="4E2ACF12" w14:textId="77777777">
            <w:pPr>
              <w:jc w:val="center"/>
              <w:rPr>
                <w:b/>
              </w:rPr>
            </w:pPr>
            <w:r w:rsidRPr="0020673E">
              <w:rPr>
                <w:b/>
              </w:rPr>
              <w:t xml:space="preserve">Number of </w:t>
            </w:r>
            <w:r w:rsidRPr="0020673E" w:rsidR="00021835">
              <w:rPr>
                <w:b/>
              </w:rPr>
              <w:t xml:space="preserve">Annual </w:t>
            </w:r>
            <w:r w:rsidRPr="0020673E">
              <w:rPr>
                <w:b/>
              </w:rPr>
              <w:t>Responses</w:t>
            </w:r>
          </w:p>
        </w:tc>
        <w:tc>
          <w:tcPr>
            <w:tcW w:w="1440" w:type="dxa"/>
            <w:shd w:val="clear" w:color="auto" w:fill="D9D9D9" w:themeFill="background1" w:themeFillShade="D9"/>
          </w:tcPr>
          <w:p w:rsidRPr="0020673E" w:rsidR="004564BF" w:rsidP="00AC7F7A" w:rsidRDefault="00021835" w14:paraId="5B56C0F3" w14:textId="77777777">
            <w:pPr>
              <w:jc w:val="center"/>
              <w:rPr>
                <w:b/>
              </w:rPr>
            </w:pPr>
            <w:r w:rsidRPr="0020673E">
              <w:rPr>
                <w:b/>
              </w:rPr>
              <w:t xml:space="preserve">Average </w:t>
            </w:r>
            <w:r w:rsidRPr="0020673E" w:rsidR="004564BF">
              <w:rPr>
                <w:b/>
              </w:rPr>
              <w:t>Response Time</w:t>
            </w:r>
          </w:p>
          <w:p w:rsidRPr="0020673E" w:rsidR="004564BF" w:rsidP="00AC7F7A" w:rsidRDefault="004564BF" w14:paraId="2A351B32" w14:textId="77777777">
            <w:pPr>
              <w:jc w:val="center"/>
              <w:rPr>
                <w:b/>
              </w:rPr>
            </w:pPr>
            <w:r w:rsidRPr="0020673E">
              <w:rPr>
                <w:b/>
              </w:rPr>
              <w:t>(hours)</w:t>
            </w:r>
          </w:p>
        </w:tc>
        <w:tc>
          <w:tcPr>
            <w:tcW w:w="1530" w:type="dxa"/>
            <w:shd w:val="clear" w:color="auto" w:fill="D9D9D9" w:themeFill="background1" w:themeFillShade="D9"/>
          </w:tcPr>
          <w:p w:rsidRPr="0020673E" w:rsidR="004564BF" w:rsidP="00AC7F7A" w:rsidRDefault="004564BF" w14:paraId="52611CBD" w14:textId="77777777">
            <w:pPr>
              <w:jc w:val="center"/>
              <w:rPr>
                <w:b/>
              </w:rPr>
            </w:pPr>
            <w:r w:rsidRPr="0020673E">
              <w:rPr>
                <w:b/>
              </w:rPr>
              <w:t>Burden</w:t>
            </w:r>
          </w:p>
          <w:p w:rsidRPr="0020673E" w:rsidR="004564BF" w:rsidP="00AC7F7A" w:rsidRDefault="004564BF" w14:paraId="729854C0" w14:textId="77777777">
            <w:pPr>
              <w:jc w:val="center"/>
              <w:rPr>
                <w:b/>
              </w:rPr>
            </w:pPr>
            <w:r w:rsidRPr="0020673E">
              <w:rPr>
                <w:b/>
              </w:rPr>
              <w:t>(hours)</w:t>
            </w:r>
          </w:p>
        </w:tc>
      </w:tr>
      <w:tr w:rsidRPr="00713D29" w:rsidR="004564BF" w:rsidTr="004564BF" w14:paraId="0CE18B09" w14:textId="77777777">
        <w:trPr>
          <w:trHeight w:val="274"/>
        </w:trPr>
        <w:tc>
          <w:tcPr>
            <w:tcW w:w="2898" w:type="dxa"/>
          </w:tcPr>
          <w:p w:rsidRPr="00713D29" w:rsidR="004564BF" w:rsidP="00843796" w:rsidRDefault="00F73200" w14:paraId="4687DAD7" w14:textId="289008B1">
            <w:r>
              <w:t>Survey</w:t>
            </w:r>
          </w:p>
        </w:tc>
        <w:tc>
          <w:tcPr>
            <w:tcW w:w="1800" w:type="dxa"/>
          </w:tcPr>
          <w:p w:rsidRPr="00713D29" w:rsidR="004564BF" w:rsidP="003C5059" w:rsidRDefault="003F7D95" w14:paraId="64E34BF6" w14:textId="05199BE4">
            <w:pPr>
              <w:jc w:val="right"/>
            </w:pPr>
            <w:r>
              <w:t>2</w:t>
            </w:r>
            <w:r w:rsidR="005C7D34">
              <w:t>,</w:t>
            </w:r>
            <w:r>
              <w:t>000</w:t>
            </w:r>
          </w:p>
        </w:tc>
        <w:tc>
          <w:tcPr>
            <w:tcW w:w="1350" w:type="dxa"/>
          </w:tcPr>
          <w:p w:rsidRPr="00713D29" w:rsidR="004564BF" w:rsidP="003C5059" w:rsidRDefault="003F7D95" w14:paraId="7EE5FEBF" w14:textId="32112BC7">
            <w:pPr>
              <w:jc w:val="right"/>
            </w:pPr>
            <w:r>
              <w:t>2x</w:t>
            </w:r>
          </w:p>
        </w:tc>
        <w:tc>
          <w:tcPr>
            <w:tcW w:w="1350" w:type="dxa"/>
          </w:tcPr>
          <w:p w:rsidRPr="00713D29" w:rsidR="004564BF" w:rsidP="003C5059" w:rsidRDefault="003C5059" w14:paraId="586AD22E" w14:textId="1F098581">
            <w:pPr>
              <w:jc w:val="right"/>
            </w:pPr>
            <w:r>
              <w:t>4</w:t>
            </w:r>
            <w:r w:rsidR="00874787">
              <w:t>,000</w:t>
            </w:r>
          </w:p>
        </w:tc>
        <w:tc>
          <w:tcPr>
            <w:tcW w:w="1440" w:type="dxa"/>
          </w:tcPr>
          <w:p w:rsidRPr="00856E0A" w:rsidR="004564BF" w:rsidP="003C5059" w:rsidRDefault="003F7D95" w14:paraId="150E2507" w14:textId="19F4B769">
            <w:pPr>
              <w:jc w:val="right"/>
            </w:pPr>
            <w:r w:rsidRPr="00856E0A">
              <w:t>.5</w:t>
            </w:r>
          </w:p>
        </w:tc>
        <w:tc>
          <w:tcPr>
            <w:tcW w:w="1530" w:type="dxa"/>
          </w:tcPr>
          <w:p w:rsidRPr="00856E0A" w:rsidR="004564BF" w:rsidP="003C5059" w:rsidRDefault="003F7D95" w14:paraId="5AAF29C0" w14:textId="427E3CE4">
            <w:pPr>
              <w:jc w:val="right"/>
            </w:pPr>
            <w:r w:rsidRPr="00856E0A">
              <w:t>2</w:t>
            </w:r>
            <w:r w:rsidR="005C7D34">
              <w:t>,</w:t>
            </w:r>
            <w:r w:rsidRPr="00856E0A">
              <w:t>000</w:t>
            </w:r>
          </w:p>
        </w:tc>
      </w:tr>
    </w:tbl>
    <w:p w:rsidRPr="00713D29" w:rsidR="00F3170F" w:rsidP="00F3170F" w:rsidRDefault="00F3170F" w14:paraId="116CD897" w14:textId="77777777"/>
    <w:p w:rsidR="00FE0A57" w:rsidP="00FE0A57" w:rsidRDefault="003F7D95" w14:paraId="5D775A41" w14:textId="7C8E34FB">
      <w:pPr>
        <w:pStyle w:val="FootnoteText"/>
        <w:rPr>
          <w:sz w:val="24"/>
          <w:szCs w:val="24"/>
        </w:rPr>
      </w:pPr>
      <w:r w:rsidRPr="009C7AAA">
        <w:rPr>
          <w:sz w:val="24"/>
          <w:szCs w:val="24"/>
        </w:rPr>
        <w:t xml:space="preserve">We have assumed a total response time of </w:t>
      </w:r>
      <w:r>
        <w:rPr>
          <w:sz w:val="24"/>
          <w:szCs w:val="24"/>
        </w:rPr>
        <w:t>30</w:t>
      </w:r>
      <w:r w:rsidRPr="009C7AAA">
        <w:rPr>
          <w:sz w:val="24"/>
          <w:szCs w:val="24"/>
        </w:rPr>
        <w:t xml:space="preserve"> minutes. This includes </w:t>
      </w:r>
      <w:r>
        <w:rPr>
          <w:sz w:val="24"/>
          <w:szCs w:val="24"/>
        </w:rPr>
        <w:t>20</w:t>
      </w:r>
      <w:r w:rsidRPr="009C7AAA">
        <w:rPr>
          <w:sz w:val="24"/>
          <w:szCs w:val="24"/>
        </w:rPr>
        <w:t xml:space="preserve"> minutes to respond to the survey as well as 10 minutes to read recruiting emails or for recruiting phone calls.</w:t>
      </w:r>
      <w:r>
        <w:rPr>
          <w:sz w:val="24"/>
          <w:szCs w:val="24"/>
        </w:rPr>
        <w:t xml:space="preserve">  The survey will be conducted two times</w:t>
      </w:r>
      <w:r w:rsidR="00FE0A57">
        <w:rPr>
          <w:sz w:val="24"/>
          <w:szCs w:val="24"/>
        </w:rPr>
        <w:t>, once for the baseline and once for the follow-up.</w:t>
      </w:r>
    </w:p>
    <w:p w:rsidR="003F7D95" w:rsidP="003F7D95" w:rsidRDefault="003F7D95" w14:paraId="1E437342" w14:textId="57C52E35">
      <w:pPr>
        <w:pStyle w:val="FootnoteText"/>
        <w:rPr>
          <w:sz w:val="24"/>
          <w:szCs w:val="24"/>
        </w:rPr>
      </w:pPr>
    </w:p>
    <w:p w:rsidRPr="00713D29" w:rsidR="00441434" w:rsidP="00F3170F" w:rsidRDefault="00441434" w14:paraId="17BDD420" w14:textId="77777777"/>
    <w:p w:rsidRPr="00F62AE7" w:rsidR="0069403B" w:rsidP="00F06866" w:rsidRDefault="008C4E6C" w14:paraId="02BAC13F" w14:textId="4495BDF0">
      <w:r w:rsidRPr="008222BD">
        <w:t xml:space="preserve">12. </w:t>
      </w:r>
      <w:r w:rsidRPr="00410F81" w:rsidR="001C39F7">
        <w:rPr>
          <w:b/>
        </w:rPr>
        <w:t xml:space="preserve">FEDERAL </w:t>
      </w:r>
      <w:r w:rsidRPr="00AB78E0" w:rsidR="009F5923">
        <w:rPr>
          <w:b/>
        </w:rPr>
        <w:t>COST</w:t>
      </w:r>
      <w:r w:rsidRPr="008222BD" w:rsidR="00F06866">
        <w:t>:</w:t>
      </w:r>
      <w:r w:rsidRPr="008222BD" w:rsidR="00895229">
        <w:t xml:space="preserve"> </w:t>
      </w:r>
      <w:r w:rsidRPr="008222BD" w:rsidR="00C86E91">
        <w:t xml:space="preserve"> </w:t>
      </w:r>
      <w:r w:rsidRPr="00410F81" w:rsidR="00C86E91">
        <w:t>The estimated annual cost to the Fed</w:t>
      </w:r>
      <w:r w:rsidRPr="00713D29">
        <w:t xml:space="preserve">eral government is </w:t>
      </w:r>
      <w:r w:rsidR="00D33FAD">
        <w:t xml:space="preserve">$ </w:t>
      </w:r>
      <w:r w:rsidRPr="0027097F" w:rsidR="00D33FAD">
        <w:rPr>
          <w:u w:val="single"/>
        </w:rPr>
        <w:t>17,486</w:t>
      </w:r>
      <w:r w:rsidRPr="00713D29">
        <w:t>.</w:t>
      </w:r>
      <w:r w:rsidRPr="008222BD" w:rsidR="00FA7432">
        <w:rPr>
          <w:bCs/>
          <w:u w:val="single"/>
        </w:rPr>
        <w:br w:type="page"/>
      </w:r>
    </w:p>
    <w:p w:rsidRPr="00410F81" w:rsidR="00A403BB" w:rsidP="00A403BB" w:rsidRDefault="00A403BB" w14:paraId="51943659" w14:textId="77777777"/>
    <w:p w:rsidRPr="008222BD" w:rsidR="007508E3" w:rsidP="007508E3" w:rsidRDefault="008C4E6C" w14:paraId="3DF5D178" w14:textId="77777777">
      <w:r w:rsidRPr="00713D29">
        <w:t xml:space="preserve">13. </w:t>
      </w:r>
      <w:r w:rsidRPr="00AB78E0" w:rsidR="007508E3">
        <w:rPr>
          <w:b/>
        </w:rPr>
        <w:t>CERTIFICATION</w:t>
      </w:r>
      <w:r w:rsidRPr="008222BD" w:rsidR="007508E3">
        <w:t>:</w:t>
      </w:r>
    </w:p>
    <w:p w:rsidRPr="008222BD" w:rsidR="00A95606" w:rsidP="00A95606" w:rsidRDefault="00A95606" w14:paraId="1A71D0F9" w14:textId="77777777">
      <w:pPr>
        <w:spacing w:before="29"/>
        <w:ind w:right="-20"/>
      </w:pPr>
    </w:p>
    <w:p w:rsidR="00AB78E0" w:rsidP="00A95606" w:rsidRDefault="00A95606" w14:paraId="1B6A94E9" w14:textId="77777777">
      <w:pPr>
        <w:spacing w:before="29"/>
        <w:ind w:right="-20"/>
        <w:rPr>
          <w:i/>
        </w:rPr>
      </w:pPr>
      <w:r w:rsidRPr="008222BD">
        <w:rPr>
          <w:i/>
        </w:rPr>
        <w:t xml:space="preserve">CERTIFICATION PURSUANT TO 5 CFR 1320.9, AND THE RELATED PROVISIONS OF </w:t>
      </w:r>
    </w:p>
    <w:p w:rsidRPr="008222BD" w:rsidR="00A95606" w:rsidP="00A95606" w:rsidRDefault="00A95606" w14:paraId="62DF67D0" w14:textId="77777777">
      <w:pPr>
        <w:spacing w:before="29"/>
        <w:ind w:right="-20"/>
        <w:rPr>
          <w:i/>
        </w:rPr>
      </w:pPr>
      <w:r w:rsidRPr="008222BD">
        <w:rPr>
          <w:i/>
        </w:rPr>
        <w:t>5 CFR 1320.8(b)(3):</w:t>
      </w:r>
    </w:p>
    <w:p w:rsidRPr="00410F81" w:rsidR="00A95606" w:rsidP="00A95606" w:rsidRDefault="00A95606" w14:paraId="2F9E871B" w14:textId="77777777">
      <w:pPr>
        <w:pStyle w:val="ListParagraph"/>
        <w:spacing w:before="29"/>
        <w:ind w:left="460" w:right="-20"/>
      </w:pPr>
    </w:p>
    <w:p w:rsidRPr="00713D29" w:rsidR="00A95606" w:rsidP="00A95606" w:rsidRDefault="00A95606" w14:paraId="6FB1E9E7" w14:textId="77777777">
      <w:pPr>
        <w:pStyle w:val="ListParagraph"/>
        <w:spacing w:before="29"/>
        <w:ind w:left="460" w:right="-20"/>
      </w:pPr>
      <w:r w:rsidRPr="00713D29">
        <w:t>By submitting this document, the Bureau certifies the following to be true:</w:t>
      </w:r>
    </w:p>
    <w:p w:rsidRPr="00713D29" w:rsidR="00A95606" w:rsidP="00A95606" w:rsidRDefault="00A95606" w14:paraId="17672D9E" w14:textId="77777777">
      <w:pPr>
        <w:pStyle w:val="ListParagraph"/>
        <w:spacing w:before="29"/>
        <w:ind w:left="460" w:right="-20"/>
      </w:pPr>
    </w:p>
    <w:p w:rsidRPr="00713D29" w:rsidR="00A95606" w:rsidP="00A95606" w:rsidRDefault="00A95606" w14:paraId="6C4DD30C" w14:textId="77777777">
      <w:pPr>
        <w:pStyle w:val="ListParagraph"/>
        <w:spacing w:before="29"/>
        <w:ind w:left="460" w:right="-20"/>
      </w:pPr>
      <w:r w:rsidRPr="00713D29">
        <w:t xml:space="preserve">(a) It is necessary for the proper performance of agency functions; </w:t>
      </w:r>
    </w:p>
    <w:p w:rsidRPr="00713D29" w:rsidR="00A95606" w:rsidP="00A95606" w:rsidRDefault="00A95606" w14:paraId="00A66C99" w14:textId="77777777">
      <w:pPr>
        <w:pStyle w:val="ListParagraph"/>
        <w:spacing w:before="29"/>
        <w:ind w:left="460" w:right="-20"/>
      </w:pPr>
      <w:r w:rsidRPr="00713D29">
        <w:t xml:space="preserve">(b) It avoids unnecessary duplication; </w:t>
      </w:r>
    </w:p>
    <w:p w:rsidRPr="00713D29" w:rsidR="00A95606" w:rsidP="00A95606" w:rsidRDefault="00A95606" w14:paraId="0BA0D92A" w14:textId="77777777">
      <w:pPr>
        <w:pStyle w:val="ListParagraph"/>
        <w:spacing w:before="29"/>
        <w:ind w:left="460" w:right="-20"/>
      </w:pPr>
      <w:r w:rsidRPr="00713D29">
        <w:t>(c) It uses plain, coherent, and unambiguous terminology that is understandable to respondents;</w:t>
      </w:r>
    </w:p>
    <w:p w:rsidRPr="00713D29" w:rsidR="00A95606" w:rsidP="00A95606" w:rsidRDefault="00A95606" w14:paraId="34B7E0D9" w14:textId="77777777">
      <w:pPr>
        <w:pStyle w:val="ListParagraph"/>
        <w:spacing w:before="29"/>
        <w:ind w:left="460" w:right="-20"/>
      </w:pPr>
      <w:r w:rsidRPr="00713D29">
        <w:t>(d) Its implementation will be consistent and compatible with current reporting and recordkeeping practices;</w:t>
      </w:r>
    </w:p>
    <w:p w:rsidRPr="00713D29" w:rsidR="00A95606" w:rsidP="00A95606" w:rsidRDefault="00A95606" w14:paraId="0D39B9D7" w14:textId="77777777">
      <w:pPr>
        <w:pStyle w:val="ListParagraph"/>
        <w:spacing w:before="29"/>
        <w:ind w:left="460" w:right="-20"/>
      </w:pPr>
      <w:r w:rsidRPr="00713D29">
        <w:t>(e) It indicates the retention period for recordkeeping requirements;</w:t>
      </w:r>
    </w:p>
    <w:p w:rsidRPr="00713D29" w:rsidR="00A95606" w:rsidP="00A95606" w:rsidRDefault="00A95606" w14:paraId="7A9B367F" w14:textId="77777777">
      <w:pPr>
        <w:pStyle w:val="ListParagraph"/>
        <w:spacing w:before="29"/>
        <w:ind w:left="460" w:right="-20"/>
      </w:pPr>
      <w:r w:rsidRPr="00713D29">
        <w:t>(f)</w:t>
      </w:r>
      <w:r w:rsidRPr="00713D29">
        <w:tab/>
        <w:t>It informs respondents of the information called for under 5 CFR 1320.8(b)(3):</w:t>
      </w:r>
    </w:p>
    <w:p w:rsidRPr="00713D29" w:rsidR="00A95606" w:rsidP="00A95606" w:rsidRDefault="00A95606" w14:paraId="2F868FF9" w14:textId="77777777">
      <w:pPr>
        <w:pStyle w:val="ListParagraph"/>
        <w:spacing w:before="29"/>
        <w:ind w:left="460" w:right="-20" w:firstLine="260"/>
      </w:pPr>
      <w:r w:rsidRPr="00713D29">
        <w:t>(i) Why the information is being collected;</w:t>
      </w:r>
    </w:p>
    <w:p w:rsidRPr="00713D29" w:rsidR="00A95606" w:rsidP="00A95606" w:rsidRDefault="00A95606" w14:paraId="584E1FFE" w14:textId="77777777">
      <w:pPr>
        <w:pStyle w:val="ListParagraph"/>
        <w:spacing w:before="29"/>
        <w:ind w:left="460" w:right="-20" w:firstLine="260"/>
      </w:pPr>
      <w:r w:rsidRPr="00713D29">
        <w:t>(ii) Use of information;</w:t>
      </w:r>
    </w:p>
    <w:p w:rsidRPr="00713D29" w:rsidR="00A95606" w:rsidP="00A95606" w:rsidRDefault="00A95606" w14:paraId="482E39A0" w14:textId="77777777">
      <w:pPr>
        <w:pStyle w:val="ListParagraph"/>
        <w:spacing w:before="29"/>
        <w:ind w:left="460" w:right="-20" w:firstLine="260"/>
      </w:pPr>
      <w:r w:rsidRPr="00713D29">
        <w:t>(iii) Burden estimate;</w:t>
      </w:r>
    </w:p>
    <w:p w:rsidRPr="00713D29" w:rsidR="00A95606" w:rsidP="00A95606" w:rsidRDefault="00A95606" w14:paraId="30658D9C" w14:textId="77777777">
      <w:pPr>
        <w:pStyle w:val="ListParagraph"/>
        <w:spacing w:before="29"/>
        <w:ind w:left="460" w:right="-20" w:firstLine="260"/>
      </w:pPr>
      <w:r w:rsidRPr="00713D29">
        <w:t>(iv) Nature of response (voluntary);</w:t>
      </w:r>
    </w:p>
    <w:p w:rsidRPr="00713D29" w:rsidR="00A95606" w:rsidP="00A95606" w:rsidRDefault="00A95606" w14:paraId="42F67562" w14:textId="77777777">
      <w:pPr>
        <w:pStyle w:val="ListParagraph"/>
        <w:spacing w:before="29"/>
        <w:ind w:left="460" w:right="-20" w:firstLine="260"/>
      </w:pPr>
      <w:r w:rsidRPr="00713D29">
        <w:t>(v) Nature and extent of confidentiality; and</w:t>
      </w:r>
    </w:p>
    <w:p w:rsidRPr="00713D29" w:rsidR="00A95606" w:rsidP="00A95606" w:rsidRDefault="00A95606" w14:paraId="04021708" w14:textId="77777777">
      <w:pPr>
        <w:pStyle w:val="ListParagraph"/>
        <w:spacing w:before="29"/>
        <w:ind w:left="460" w:right="-20" w:firstLine="260"/>
      </w:pPr>
      <w:r w:rsidRPr="00713D29">
        <w:t>(vi) Need to display currently valid OMB control number;</w:t>
      </w:r>
    </w:p>
    <w:p w:rsidRPr="00713D29" w:rsidR="00A95606" w:rsidP="00A95606" w:rsidRDefault="00A95606" w14:paraId="5F3A4CFF" w14:textId="77777777">
      <w:pPr>
        <w:spacing w:before="29"/>
        <w:ind w:left="460" w:right="-20"/>
      </w:pPr>
      <w:r w:rsidRPr="00713D29">
        <w:t>(g) It was developed by an office that has planned and allocated resources for the efficient and effective management and use of the information to be collected;</w:t>
      </w:r>
    </w:p>
    <w:p w:rsidRPr="00713D29" w:rsidR="00A95606" w:rsidP="00A95606" w:rsidRDefault="00A95606" w14:paraId="5AA8AA3A" w14:textId="77777777">
      <w:pPr>
        <w:pStyle w:val="ListParagraph"/>
        <w:spacing w:before="29"/>
        <w:ind w:left="460" w:right="-20"/>
      </w:pPr>
      <w:r w:rsidRPr="00713D29">
        <w:t>(h) It uses effective and efficient statistical survey methodology; and</w:t>
      </w:r>
    </w:p>
    <w:p w:rsidRPr="00713D29" w:rsidR="00A95606" w:rsidP="00A95606" w:rsidRDefault="00A95606" w14:paraId="139759E0" w14:textId="77777777">
      <w:pPr>
        <w:pStyle w:val="ListParagraph"/>
        <w:spacing w:before="29"/>
        <w:ind w:left="460" w:right="-20"/>
      </w:pPr>
      <w:r w:rsidRPr="00713D29">
        <w:t>(i) It makes appropriate use of information technology.</w:t>
      </w:r>
    </w:p>
    <w:p w:rsidRPr="00713D29" w:rsidR="00A95606" w:rsidP="00A95606" w:rsidRDefault="00A95606" w14:paraId="305FA1F2" w14:textId="77777777">
      <w:pPr>
        <w:pStyle w:val="ListParagraph"/>
        <w:spacing w:before="29"/>
        <w:ind w:left="460" w:right="-20"/>
      </w:pPr>
    </w:p>
    <w:p w:rsidRPr="00713D29" w:rsidR="00A95606" w:rsidP="00A95606" w:rsidRDefault="00A95606" w14:paraId="5FD483E6" w14:textId="77777777">
      <w:pPr>
        <w:pStyle w:val="ListParagraph"/>
        <w:spacing w:before="29"/>
        <w:ind w:left="460" w:right="-20"/>
      </w:pPr>
    </w:p>
    <w:p w:rsidRPr="008222BD" w:rsidR="00A95606" w:rsidP="00A95606" w:rsidRDefault="00A95606" w14:paraId="76D4F73A" w14:textId="77777777">
      <w:pPr>
        <w:spacing w:before="29"/>
        <w:ind w:right="-20"/>
        <w:rPr>
          <w:i/>
        </w:rPr>
      </w:pPr>
      <w:r w:rsidRPr="008222BD">
        <w:rPr>
          <w:i/>
        </w:rPr>
        <w:t>CERTIFICATION FOR INFORMATION COLLECTIONS SUBMITTED UNDER A GENERIC INFORMATION COLLECTION PLAN</w:t>
      </w:r>
    </w:p>
    <w:p w:rsidRPr="008222BD" w:rsidR="007508E3" w:rsidP="007508E3" w:rsidRDefault="007508E3" w14:paraId="631D62C1" w14:textId="77777777"/>
    <w:p w:rsidRPr="00713D29" w:rsidR="007508E3" w:rsidP="007508E3" w:rsidRDefault="007508E3" w14:paraId="79627B86" w14:textId="77777777">
      <w:r w:rsidRPr="00410F81">
        <w:t>By submitting this document, the Bureau certifies</w:t>
      </w:r>
      <w:r w:rsidRPr="00713D29">
        <w:t xml:space="preserve"> the following to be true: </w:t>
      </w:r>
    </w:p>
    <w:p w:rsidRPr="00713D29" w:rsidR="007508E3" w:rsidP="00410F81" w:rsidRDefault="007508E3" w14:paraId="5229B5B8" w14:textId="77777777">
      <w:pPr>
        <w:pStyle w:val="ListParagraph"/>
        <w:numPr>
          <w:ilvl w:val="0"/>
          <w:numId w:val="26"/>
        </w:numPr>
      </w:pPr>
      <w:r w:rsidRPr="00713D29">
        <w:t xml:space="preserve">The collection is voluntary. </w:t>
      </w:r>
    </w:p>
    <w:p w:rsidRPr="00713D29" w:rsidR="007508E3" w:rsidP="007508E3" w:rsidRDefault="007508E3" w14:paraId="252D3F5E" w14:textId="77777777">
      <w:pPr>
        <w:pStyle w:val="ListParagraph"/>
        <w:numPr>
          <w:ilvl w:val="0"/>
          <w:numId w:val="26"/>
        </w:numPr>
      </w:pPr>
      <w:r w:rsidRPr="00713D29">
        <w:t>The collection is low-burden for respondents.</w:t>
      </w:r>
    </w:p>
    <w:p w:rsidRPr="00713D29" w:rsidR="007508E3" w:rsidP="007508E3" w:rsidRDefault="007508E3" w14:paraId="53E4C5B9" w14:textId="77777777">
      <w:pPr>
        <w:pStyle w:val="ListParagraph"/>
        <w:numPr>
          <w:ilvl w:val="0"/>
          <w:numId w:val="26"/>
        </w:numPr>
      </w:pPr>
      <w:r w:rsidRPr="00713D29">
        <w:t xml:space="preserve">The collection is non-controversial and does </w:t>
      </w:r>
      <w:r w:rsidRPr="00713D29">
        <w:rPr>
          <w:u w:val="single"/>
        </w:rPr>
        <w:t>not</w:t>
      </w:r>
      <w:r w:rsidRPr="00713D29">
        <w:t xml:space="preserve"> raise issues of concern to other </w:t>
      </w:r>
      <w:r w:rsidR="00306F1B">
        <w:t>F</w:t>
      </w:r>
      <w:r w:rsidRPr="00713D29">
        <w:t>ederal agencies.</w:t>
      </w:r>
      <w:r w:rsidRPr="00713D29">
        <w:tab/>
      </w:r>
      <w:r w:rsidRPr="00713D29">
        <w:tab/>
      </w:r>
    </w:p>
    <w:p w:rsidRPr="00713D29" w:rsidR="007508E3" w:rsidP="007508E3" w:rsidRDefault="007508E3" w14:paraId="0A823C7A" w14:textId="77777777">
      <w:pPr>
        <w:pStyle w:val="ListParagraph"/>
        <w:numPr>
          <w:ilvl w:val="0"/>
          <w:numId w:val="26"/>
        </w:numPr>
        <w:ind w:right="86"/>
      </w:pPr>
      <w:r w:rsidRPr="00713D29">
        <w:rPr>
          <w:spacing w:val="-3"/>
        </w:rPr>
        <w:t>I</w:t>
      </w:r>
      <w:r w:rsidRPr="00713D29">
        <w:rPr>
          <w:spacing w:val="2"/>
        </w:rPr>
        <w:t>n</w:t>
      </w:r>
      <w:r w:rsidRPr="00713D29">
        <w:t>fo</w:t>
      </w:r>
      <w:r w:rsidRPr="00713D29">
        <w:rPr>
          <w:spacing w:val="-1"/>
        </w:rPr>
        <w:t>r</w:t>
      </w:r>
      <w:r w:rsidRPr="00713D29">
        <w:t>mation</w:t>
      </w:r>
      <w:r w:rsidRPr="00713D29">
        <w:rPr>
          <w:spacing w:val="3"/>
        </w:rPr>
        <w:t xml:space="preserve"> </w:t>
      </w:r>
      <w:r w:rsidRPr="00713D29">
        <w:rPr>
          <w:spacing w:val="-2"/>
        </w:rPr>
        <w:t>g</w:t>
      </w:r>
      <w:r w:rsidRPr="00713D29">
        <w:rPr>
          <w:spacing w:val="-1"/>
        </w:rPr>
        <w:t>a</w:t>
      </w:r>
      <w:r w:rsidRPr="00713D29">
        <w:t>th</w:t>
      </w:r>
      <w:r w:rsidRPr="00713D29">
        <w:rPr>
          <w:spacing w:val="2"/>
        </w:rPr>
        <w:t>e</w:t>
      </w:r>
      <w:r w:rsidRPr="00713D29">
        <w:t>r</w:t>
      </w:r>
      <w:r w:rsidRPr="00713D29">
        <w:rPr>
          <w:spacing w:val="-2"/>
        </w:rPr>
        <w:t>e</w:t>
      </w:r>
      <w:r w:rsidRPr="00713D29">
        <w:t>d wi</w:t>
      </w:r>
      <w:r w:rsidRPr="00713D29">
        <w:rPr>
          <w:spacing w:val="3"/>
        </w:rPr>
        <w:t>l</w:t>
      </w:r>
      <w:r w:rsidRPr="00713D29">
        <w:t>l not</w:t>
      </w:r>
      <w:r w:rsidRPr="00713D29">
        <w:rPr>
          <w:spacing w:val="1"/>
        </w:rPr>
        <w:t xml:space="preserve"> </w:t>
      </w:r>
      <w:r w:rsidRPr="00713D29">
        <w:t>be</w:t>
      </w:r>
      <w:r w:rsidRPr="00713D29">
        <w:rPr>
          <w:spacing w:val="-1"/>
        </w:rPr>
        <w:t xml:space="preserve"> </w:t>
      </w:r>
      <w:r w:rsidRPr="00713D29">
        <w:t>used</w:t>
      </w:r>
      <w:r w:rsidRPr="00713D29">
        <w:rPr>
          <w:spacing w:val="-1"/>
        </w:rPr>
        <w:t xml:space="preserve"> f</w:t>
      </w:r>
      <w:r w:rsidRPr="00713D29">
        <w:t>or</w:t>
      </w:r>
      <w:r w:rsidRPr="00713D29">
        <w:rPr>
          <w:spacing w:val="-1"/>
        </w:rPr>
        <w:t xml:space="preserve"> </w:t>
      </w:r>
      <w:r w:rsidRPr="00713D29">
        <w:t>the pu</w:t>
      </w:r>
      <w:r w:rsidRPr="00713D29">
        <w:rPr>
          <w:spacing w:val="-1"/>
        </w:rPr>
        <w:t>r</w:t>
      </w:r>
      <w:r w:rsidRPr="00713D29">
        <w:rPr>
          <w:spacing w:val="2"/>
        </w:rPr>
        <w:t>p</w:t>
      </w:r>
      <w:r w:rsidRPr="00713D29">
        <w:t xml:space="preserve">ose </w:t>
      </w:r>
      <w:r w:rsidRPr="00713D29">
        <w:rPr>
          <w:spacing w:val="-1"/>
        </w:rPr>
        <w:t>o</w:t>
      </w:r>
      <w:r w:rsidRPr="00713D29">
        <w:t>f</w:t>
      </w:r>
      <w:r w:rsidRPr="00713D29">
        <w:rPr>
          <w:spacing w:val="2"/>
        </w:rPr>
        <w:t xml:space="preserve"> </w:t>
      </w:r>
      <w:r w:rsidRPr="00713D29">
        <w:t>subs</w:t>
      </w:r>
      <w:r w:rsidRPr="00713D29">
        <w:rPr>
          <w:spacing w:val="1"/>
        </w:rPr>
        <w:t>t</w:t>
      </w:r>
      <w:r w:rsidRPr="00713D29">
        <w:rPr>
          <w:spacing w:val="-1"/>
        </w:rPr>
        <w:t>a</w:t>
      </w:r>
      <w:r w:rsidRPr="00713D29">
        <w:t>nt</w:t>
      </w:r>
      <w:r w:rsidRPr="00713D29">
        <w:rPr>
          <w:spacing w:val="1"/>
        </w:rPr>
        <w:t>i</w:t>
      </w:r>
      <w:r w:rsidRPr="00713D29">
        <w:rPr>
          <w:spacing w:val="-1"/>
        </w:rPr>
        <w:t>a</w:t>
      </w:r>
      <w:r w:rsidRPr="00713D29">
        <w:t>l</w:t>
      </w:r>
      <w:r w:rsidRPr="00713D29">
        <w:rPr>
          <w:spacing w:val="3"/>
        </w:rPr>
        <w:t>l</w:t>
      </w:r>
      <w:r w:rsidRPr="00713D29">
        <w:t>y</w:t>
      </w:r>
      <w:r w:rsidRPr="00713D29">
        <w:rPr>
          <w:spacing w:val="-4"/>
        </w:rPr>
        <w:t xml:space="preserve"> </w:t>
      </w:r>
      <w:r w:rsidRPr="00713D29">
        <w:t>inf</w:t>
      </w:r>
      <w:r w:rsidRPr="00713D29">
        <w:rPr>
          <w:spacing w:val="2"/>
        </w:rPr>
        <w:t>o</w:t>
      </w:r>
      <w:r w:rsidRPr="00713D29">
        <w:rPr>
          <w:spacing w:val="1"/>
        </w:rPr>
        <w:t>r</w:t>
      </w:r>
      <w:r w:rsidRPr="00713D29">
        <w:t>m</w:t>
      </w:r>
      <w:r w:rsidRPr="00713D29">
        <w:rPr>
          <w:spacing w:val="1"/>
        </w:rPr>
        <w:t>i</w:t>
      </w:r>
      <w:r w:rsidRPr="00713D29">
        <w:t>ng</w:t>
      </w:r>
      <w:r w:rsidRPr="00713D29">
        <w:rPr>
          <w:spacing w:val="-1"/>
        </w:rPr>
        <w:t xml:space="preserve"> </w:t>
      </w:r>
      <w:r w:rsidRPr="00713D29">
        <w:t>influ</w:t>
      </w:r>
      <w:r w:rsidRPr="00713D29">
        <w:rPr>
          <w:spacing w:val="-1"/>
        </w:rPr>
        <w:t>e</w:t>
      </w:r>
      <w:r w:rsidRPr="00713D29">
        <w:t>nt</w:t>
      </w:r>
      <w:r w:rsidRPr="00713D29">
        <w:rPr>
          <w:spacing w:val="1"/>
        </w:rPr>
        <w:t>i</w:t>
      </w:r>
      <w:r w:rsidRPr="00713D29">
        <w:rPr>
          <w:spacing w:val="-1"/>
        </w:rPr>
        <w:t>a</w:t>
      </w:r>
      <w:r w:rsidRPr="00713D29">
        <w:t>l pol</w:t>
      </w:r>
      <w:r w:rsidRPr="00713D29">
        <w:rPr>
          <w:spacing w:val="1"/>
        </w:rPr>
        <w:t>ic</w:t>
      </w:r>
      <w:r w:rsidRPr="00713D29">
        <w:t>y</w:t>
      </w:r>
      <w:r w:rsidRPr="00713D29">
        <w:rPr>
          <w:spacing w:val="-5"/>
        </w:rPr>
        <w:t xml:space="preserve"> </w:t>
      </w:r>
      <w:r w:rsidRPr="00713D29">
        <w:t>d</w:t>
      </w:r>
      <w:r w:rsidRPr="00713D29">
        <w:rPr>
          <w:spacing w:val="1"/>
        </w:rPr>
        <w:t>e</w:t>
      </w:r>
      <w:r w:rsidRPr="00713D29">
        <w:rPr>
          <w:spacing w:val="-1"/>
        </w:rPr>
        <w:t>c</w:t>
      </w:r>
      <w:r w:rsidRPr="00713D29">
        <w:t>is</w:t>
      </w:r>
      <w:r w:rsidRPr="00713D29">
        <w:rPr>
          <w:spacing w:val="1"/>
        </w:rPr>
        <w:t>i</w:t>
      </w:r>
      <w:r w:rsidRPr="00713D29">
        <w:t>ons.</w:t>
      </w:r>
    </w:p>
    <w:p w:rsidRPr="00713D29" w:rsidR="007A0098" w:rsidP="007508E3" w:rsidRDefault="007A0098" w14:paraId="4156C7DF" w14:textId="77777777">
      <w:pPr>
        <w:pStyle w:val="ListParagraph"/>
        <w:numPr>
          <w:ilvl w:val="0"/>
          <w:numId w:val="26"/>
        </w:numPr>
        <w:ind w:right="86"/>
      </w:pPr>
      <w:r w:rsidRPr="00713D29">
        <w:t>The collection is not statistically significant; the results are not intended to be generalizable beyond the survey population.</w:t>
      </w:r>
    </w:p>
    <w:p w:rsidRPr="00713D29" w:rsidR="007508E3" w:rsidP="007508E3" w:rsidRDefault="007508E3" w14:paraId="393E8EA7" w14:textId="77777777">
      <w:pPr>
        <w:pStyle w:val="ListParagraph"/>
        <w:numPr>
          <w:ilvl w:val="0"/>
          <w:numId w:val="26"/>
        </w:numPr>
        <w:ind w:right="86"/>
      </w:pPr>
      <w:r w:rsidRPr="00713D29">
        <w:t>The results will not be used to measure regulatory compliance or for program evaluation.</w:t>
      </w:r>
    </w:p>
    <w:p w:rsidRPr="00761764" w:rsidR="00FA7432" w:rsidRDefault="00FA7432" w14:paraId="2FF371F0" w14:textId="77777777"/>
    <w:sectPr w:rsidRPr="00761764" w:rsidR="00FA7432" w:rsidSect="00194AC6">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05B1A3" w14:textId="77777777" w:rsidR="00F47797" w:rsidRDefault="00F47797">
      <w:r>
        <w:separator/>
      </w:r>
    </w:p>
  </w:endnote>
  <w:endnote w:type="continuationSeparator" w:id="0">
    <w:p w14:paraId="0977463A" w14:textId="77777777" w:rsidR="00F47797" w:rsidRDefault="00F47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AA24B" w14:textId="0CF5C544" w:rsidR="008F50D4" w:rsidRDefault="00505892">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2D7919">
      <w:rPr>
        <w:rStyle w:val="PageNumber"/>
        <w:noProof/>
        <w:sz w:val="20"/>
        <w:szCs w:val="20"/>
      </w:rPr>
      <w:t>3</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025197" w14:textId="77777777" w:rsidR="00F47797" w:rsidRDefault="00F47797">
      <w:r>
        <w:separator/>
      </w:r>
    </w:p>
  </w:footnote>
  <w:footnote w:type="continuationSeparator" w:id="0">
    <w:p w14:paraId="7C6D26E4" w14:textId="77777777" w:rsidR="00F47797" w:rsidRDefault="00F477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251EF" w14:textId="77777777" w:rsidR="00BA2105" w:rsidRDefault="00BA21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A7134A"/>
    <w:multiLevelType w:val="hybridMultilevel"/>
    <w:tmpl w:val="0D389FF0"/>
    <w:lvl w:ilvl="0" w:tplc="C7F8092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0AB32211"/>
    <w:multiLevelType w:val="hybridMultilevel"/>
    <w:tmpl w:val="C4FC7E38"/>
    <w:lvl w:ilvl="0" w:tplc="5C441610">
      <w:start w:val="1"/>
      <w:numFmt w:val="lowerLetter"/>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5" w15:restartNumberingAfterBreak="0">
    <w:nsid w:val="0C292072"/>
    <w:multiLevelType w:val="hybridMultilevel"/>
    <w:tmpl w:val="C06A2F46"/>
    <w:lvl w:ilvl="0" w:tplc="EAC4070E">
      <w:start w:val="1"/>
      <w:numFmt w:val="lowerLetter"/>
      <w:lvlText w:val="%1."/>
      <w:lvlJc w:val="left"/>
      <w:pPr>
        <w:ind w:left="1135" w:hanging="420"/>
      </w:pPr>
      <w:rPr>
        <w:rFonts w:hint="default"/>
        <w:b w:val="0"/>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6"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7"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AF3821"/>
    <w:multiLevelType w:val="hybridMultilevel"/>
    <w:tmpl w:val="64964F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A6B0965"/>
    <w:multiLevelType w:val="hybridMultilevel"/>
    <w:tmpl w:val="D8888D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F476E32"/>
    <w:multiLevelType w:val="hybridMultilevel"/>
    <w:tmpl w:val="7AD828F0"/>
    <w:lvl w:ilvl="0" w:tplc="0409000F">
      <w:start w:val="5"/>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812ABD"/>
    <w:multiLevelType w:val="hybridMultilevel"/>
    <w:tmpl w:val="706C633C"/>
    <w:lvl w:ilvl="0" w:tplc="FB7C653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5"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6"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2D6AC0"/>
    <w:multiLevelType w:val="hybridMultilevel"/>
    <w:tmpl w:val="06ECD08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20574A"/>
    <w:multiLevelType w:val="hybridMultilevel"/>
    <w:tmpl w:val="38323504"/>
    <w:lvl w:ilvl="0" w:tplc="1FF66AA2">
      <w:start w:val="1"/>
      <w:numFmt w:val="lowerLetter"/>
      <w:lvlText w:val="%1."/>
      <w:lvlJc w:val="left"/>
      <w:pPr>
        <w:ind w:left="820" w:hanging="360"/>
      </w:pPr>
      <w:rPr>
        <w:rFonts w:hint="default"/>
        <w:b/>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1" w15:restartNumberingAfterBreak="0">
    <w:nsid w:val="55C118DC"/>
    <w:multiLevelType w:val="hybridMultilevel"/>
    <w:tmpl w:val="A2948E36"/>
    <w:lvl w:ilvl="0" w:tplc="2456672C">
      <w:start w:val="1"/>
      <w:numFmt w:val="lowerLetter"/>
      <w:lvlText w:val="%1."/>
      <w:lvlJc w:val="left"/>
      <w:pPr>
        <w:ind w:left="820" w:hanging="360"/>
      </w:pPr>
      <w:rPr>
        <w:rFonts w:hint="default"/>
        <w:b/>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2" w15:restartNumberingAfterBreak="0">
    <w:nsid w:val="60591292"/>
    <w:multiLevelType w:val="hybridMultilevel"/>
    <w:tmpl w:val="ECE48252"/>
    <w:lvl w:ilvl="0" w:tplc="40429956">
      <w:start w:val="1"/>
      <w:numFmt w:val="decimal"/>
      <w:lvlText w:val="%1."/>
      <w:lvlJc w:val="left"/>
      <w:pPr>
        <w:ind w:left="460" w:hanging="360"/>
      </w:pPr>
      <w:rPr>
        <w:rFonts w:hint="default"/>
        <w:b/>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3"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5" w15:restartNumberingAfterBreak="0">
    <w:nsid w:val="6F322D5F"/>
    <w:multiLevelType w:val="hybridMultilevel"/>
    <w:tmpl w:val="853A77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F850FAE"/>
    <w:multiLevelType w:val="hybridMultilevel"/>
    <w:tmpl w:val="33C8D3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002508E"/>
    <w:multiLevelType w:val="hybridMultilevel"/>
    <w:tmpl w:val="C06A2F46"/>
    <w:lvl w:ilvl="0" w:tplc="EAC4070E">
      <w:start w:val="1"/>
      <w:numFmt w:val="lowerLetter"/>
      <w:lvlText w:val="%1."/>
      <w:lvlJc w:val="left"/>
      <w:pPr>
        <w:ind w:left="1135" w:hanging="420"/>
      </w:pPr>
      <w:rPr>
        <w:rFonts w:hint="default"/>
        <w:b w:val="0"/>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28"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30"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31"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DF74804"/>
    <w:multiLevelType w:val="hybridMultilevel"/>
    <w:tmpl w:val="F6B8A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30"/>
  </w:num>
  <w:num w:numId="3">
    <w:abstractNumId w:val="29"/>
  </w:num>
  <w:num w:numId="4">
    <w:abstractNumId w:val="31"/>
  </w:num>
  <w:num w:numId="5">
    <w:abstractNumId w:val="6"/>
  </w:num>
  <w:num w:numId="6">
    <w:abstractNumId w:val="1"/>
  </w:num>
  <w:num w:numId="7">
    <w:abstractNumId w:val="15"/>
  </w:num>
  <w:num w:numId="8">
    <w:abstractNumId w:val="24"/>
  </w:num>
  <w:num w:numId="9">
    <w:abstractNumId w:val="16"/>
  </w:num>
  <w:num w:numId="10">
    <w:abstractNumId w:val="2"/>
  </w:num>
  <w:num w:numId="11">
    <w:abstractNumId w:val="9"/>
  </w:num>
  <w:num w:numId="12">
    <w:abstractNumId w:val="11"/>
  </w:num>
  <w:num w:numId="13">
    <w:abstractNumId w:val="0"/>
  </w:num>
  <w:num w:numId="14">
    <w:abstractNumId w:val="28"/>
  </w:num>
  <w:num w:numId="15">
    <w:abstractNumId w:val="23"/>
  </w:num>
  <w:num w:numId="16">
    <w:abstractNumId w:val="19"/>
  </w:num>
  <w:num w:numId="17">
    <w:abstractNumId w:val="7"/>
  </w:num>
  <w:num w:numId="18">
    <w:abstractNumId w:val="8"/>
  </w:num>
  <w:num w:numId="19">
    <w:abstractNumId w:val="32"/>
  </w:num>
  <w:num w:numId="20">
    <w:abstractNumId w:val="12"/>
  </w:num>
  <w:num w:numId="21">
    <w:abstractNumId w:val="14"/>
  </w:num>
  <w:num w:numId="22">
    <w:abstractNumId w:val="4"/>
  </w:num>
  <w:num w:numId="23">
    <w:abstractNumId w:val="5"/>
  </w:num>
  <w:num w:numId="24">
    <w:abstractNumId w:val="20"/>
  </w:num>
  <w:num w:numId="25">
    <w:abstractNumId w:val="13"/>
  </w:num>
  <w:num w:numId="26">
    <w:abstractNumId w:val="18"/>
  </w:num>
  <w:num w:numId="27">
    <w:abstractNumId w:val="10"/>
  </w:num>
  <w:num w:numId="28">
    <w:abstractNumId w:val="26"/>
  </w:num>
  <w:num w:numId="29">
    <w:abstractNumId w:val="22"/>
  </w:num>
  <w:num w:numId="30">
    <w:abstractNumId w:val="21"/>
  </w:num>
  <w:num w:numId="31">
    <w:abstractNumId w:val="25"/>
  </w:num>
  <w:num w:numId="32">
    <w:abstractNumId w:val="3"/>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3E02"/>
    <w:rsid w:val="00021835"/>
    <w:rsid w:val="00023A57"/>
    <w:rsid w:val="000263E0"/>
    <w:rsid w:val="00031B05"/>
    <w:rsid w:val="00047A64"/>
    <w:rsid w:val="00061BDF"/>
    <w:rsid w:val="00062943"/>
    <w:rsid w:val="00067329"/>
    <w:rsid w:val="0006753A"/>
    <w:rsid w:val="000702CE"/>
    <w:rsid w:val="00075A04"/>
    <w:rsid w:val="0009604F"/>
    <w:rsid w:val="000A1C35"/>
    <w:rsid w:val="000B2838"/>
    <w:rsid w:val="000C3C86"/>
    <w:rsid w:val="000D44CA"/>
    <w:rsid w:val="000E200B"/>
    <w:rsid w:val="000F68BE"/>
    <w:rsid w:val="00164139"/>
    <w:rsid w:val="00167CF7"/>
    <w:rsid w:val="001927A4"/>
    <w:rsid w:val="00194AC6"/>
    <w:rsid w:val="001A09E0"/>
    <w:rsid w:val="001A23B0"/>
    <w:rsid w:val="001A25CC"/>
    <w:rsid w:val="001B0AAA"/>
    <w:rsid w:val="001C39F7"/>
    <w:rsid w:val="001D0B48"/>
    <w:rsid w:val="001E713F"/>
    <w:rsid w:val="001F447D"/>
    <w:rsid w:val="0020222E"/>
    <w:rsid w:val="0020537A"/>
    <w:rsid w:val="0020673E"/>
    <w:rsid w:val="002200DD"/>
    <w:rsid w:val="00221809"/>
    <w:rsid w:val="00222308"/>
    <w:rsid w:val="00227A1F"/>
    <w:rsid w:val="00237B48"/>
    <w:rsid w:val="0024521E"/>
    <w:rsid w:val="00263C3D"/>
    <w:rsid w:val="00274D0B"/>
    <w:rsid w:val="00282BFD"/>
    <w:rsid w:val="002A2428"/>
    <w:rsid w:val="002B1D20"/>
    <w:rsid w:val="002B3C95"/>
    <w:rsid w:val="002D0B92"/>
    <w:rsid w:val="002D7919"/>
    <w:rsid w:val="002E5F0D"/>
    <w:rsid w:val="00301D7D"/>
    <w:rsid w:val="00306F1B"/>
    <w:rsid w:val="003C4E67"/>
    <w:rsid w:val="003C5059"/>
    <w:rsid w:val="003D28E3"/>
    <w:rsid w:val="003D5BBE"/>
    <w:rsid w:val="003E3C61"/>
    <w:rsid w:val="003F1C5B"/>
    <w:rsid w:val="003F26CE"/>
    <w:rsid w:val="003F7D95"/>
    <w:rsid w:val="00410F81"/>
    <w:rsid w:val="00434E33"/>
    <w:rsid w:val="00441434"/>
    <w:rsid w:val="0045264C"/>
    <w:rsid w:val="004564BF"/>
    <w:rsid w:val="004876EC"/>
    <w:rsid w:val="004952D6"/>
    <w:rsid w:val="004D475D"/>
    <w:rsid w:val="004D6E14"/>
    <w:rsid w:val="004F0E18"/>
    <w:rsid w:val="005009B0"/>
    <w:rsid w:val="00505892"/>
    <w:rsid w:val="00514298"/>
    <w:rsid w:val="00517008"/>
    <w:rsid w:val="00524622"/>
    <w:rsid w:val="00547907"/>
    <w:rsid w:val="00586C15"/>
    <w:rsid w:val="00593040"/>
    <w:rsid w:val="005963BE"/>
    <w:rsid w:val="005A1006"/>
    <w:rsid w:val="005B5783"/>
    <w:rsid w:val="005B67F9"/>
    <w:rsid w:val="005C7D34"/>
    <w:rsid w:val="005D6F7D"/>
    <w:rsid w:val="005E714A"/>
    <w:rsid w:val="006140A0"/>
    <w:rsid w:val="00631060"/>
    <w:rsid w:val="00632758"/>
    <w:rsid w:val="00635087"/>
    <w:rsid w:val="00636621"/>
    <w:rsid w:val="006408A9"/>
    <w:rsid w:val="00642B49"/>
    <w:rsid w:val="00671686"/>
    <w:rsid w:val="006832D9"/>
    <w:rsid w:val="0069403B"/>
    <w:rsid w:val="006A0F09"/>
    <w:rsid w:val="006A148B"/>
    <w:rsid w:val="006A48D0"/>
    <w:rsid w:val="006A50C3"/>
    <w:rsid w:val="006F3DDE"/>
    <w:rsid w:val="00704678"/>
    <w:rsid w:val="00713D29"/>
    <w:rsid w:val="007353C3"/>
    <w:rsid w:val="007425E7"/>
    <w:rsid w:val="007508E3"/>
    <w:rsid w:val="00761764"/>
    <w:rsid w:val="00771A20"/>
    <w:rsid w:val="007A0098"/>
    <w:rsid w:val="007B0AFF"/>
    <w:rsid w:val="007C4173"/>
    <w:rsid w:val="007C4358"/>
    <w:rsid w:val="007E1CA3"/>
    <w:rsid w:val="007F17CA"/>
    <w:rsid w:val="007F5775"/>
    <w:rsid w:val="00802607"/>
    <w:rsid w:val="00806C5B"/>
    <w:rsid w:val="00807EE2"/>
    <w:rsid w:val="008101A5"/>
    <w:rsid w:val="00812F77"/>
    <w:rsid w:val="00815E90"/>
    <w:rsid w:val="008222BD"/>
    <w:rsid w:val="00822664"/>
    <w:rsid w:val="00832097"/>
    <w:rsid w:val="00843796"/>
    <w:rsid w:val="008539A5"/>
    <w:rsid w:val="00856E0A"/>
    <w:rsid w:val="00874787"/>
    <w:rsid w:val="00894FDB"/>
    <w:rsid w:val="00895229"/>
    <w:rsid w:val="008A7FF1"/>
    <w:rsid w:val="008C4E6C"/>
    <w:rsid w:val="008E2734"/>
    <w:rsid w:val="008F0203"/>
    <w:rsid w:val="008F50D4"/>
    <w:rsid w:val="009239AA"/>
    <w:rsid w:val="00935ADA"/>
    <w:rsid w:val="00943340"/>
    <w:rsid w:val="00946B6C"/>
    <w:rsid w:val="00955A71"/>
    <w:rsid w:val="00956130"/>
    <w:rsid w:val="009607A9"/>
    <w:rsid w:val="0096108F"/>
    <w:rsid w:val="009C13B9"/>
    <w:rsid w:val="009C33B0"/>
    <w:rsid w:val="009D01A2"/>
    <w:rsid w:val="009F2B79"/>
    <w:rsid w:val="009F5923"/>
    <w:rsid w:val="00A335C5"/>
    <w:rsid w:val="00A361D8"/>
    <w:rsid w:val="00A403BB"/>
    <w:rsid w:val="00A674DF"/>
    <w:rsid w:val="00A7601A"/>
    <w:rsid w:val="00A83AA6"/>
    <w:rsid w:val="00A94E2D"/>
    <w:rsid w:val="00A95606"/>
    <w:rsid w:val="00A96ADA"/>
    <w:rsid w:val="00AB78E0"/>
    <w:rsid w:val="00AC7763"/>
    <w:rsid w:val="00AC7F7A"/>
    <w:rsid w:val="00AD5D13"/>
    <w:rsid w:val="00AD69CA"/>
    <w:rsid w:val="00AE1809"/>
    <w:rsid w:val="00AE652E"/>
    <w:rsid w:val="00AE7EC7"/>
    <w:rsid w:val="00B040A0"/>
    <w:rsid w:val="00B05F21"/>
    <w:rsid w:val="00B346EE"/>
    <w:rsid w:val="00B80D76"/>
    <w:rsid w:val="00BA2105"/>
    <w:rsid w:val="00BA7E06"/>
    <w:rsid w:val="00BB43B5"/>
    <w:rsid w:val="00BB6219"/>
    <w:rsid w:val="00BC5AF9"/>
    <w:rsid w:val="00BD290F"/>
    <w:rsid w:val="00BE11E2"/>
    <w:rsid w:val="00C036B4"/>
    <w:rsid w:val="00C14CC4"/>
    <w:rsid w:val="00C33C52"/>
    <w:rsid w:val="00C36CC5"/>
    <w:rsid w:val="00C40D8B"/>
    <w:rsid w:val="00C61CC9"/>
    <w:rsid w:val="00C70B2A"/>
    <w:rsid w:val="00C7503B"/>
    <w:rsid w:val="00C8407A"/>
    <w:rsid w:val="00C8488C"/>
    <w:rsid w:val="00C84F08"/>
    <w:rsid w:val="00C86E91"/>
    <w:rsid w:val="00CA0599"/>
    <w:rsid w:val="00CA2650"/>
    <w:rsid w:val="00CB1078"/>
    <w:rsid w:val="00CC6FAF"/>
    <w:rsid w:val="00D24698"/>
    <w:rsid w:val="00D33FAD"/>
    <w:rsid w:val="00D45689"/>
    <w:rsid w:val="00D5251A"/>
    <w:rsid w:val="00D6383F"/>
    <w:rsid w:val="00D6490E"/>
    <w:rsid w:val="00D763EB"/>
    <w:rsid w:val="00D825DB"/>
    <w:rsid w:val="00D913A3"/>
    <w:rsid w:val="00DB59D0"/>
    <w:rsid w:val="00DC33D3"/>
    <w:rsid w:val="00DD0E84"/>
    <w:rsid w:val="00E26329"/>
    <w:rsid w:val="00E404BE"/>
    <w:rsid w:val="00E40B50"/>
    <w:rsid w:val="00E50293"/>
    <w:rsid w:val="00E65FFC"/>
    <w:rsid w:val="00E80951"/>
    <w:rsid w:val="00E80A5C"/>
    <w:rsid w:val="00E86CC6"/>
    <w:rsid w:val="00EB56B3"/>
    <w:rsid w:val="00ED6492"/>
    <w:rsid w:val="00EF2095"/>
    <w:rsid w:val="00EF230B"/>
    <w:rsid w:val="00F00DAE"/>
    <w:rsid w:val="00F0258C"/>
    <w:rsid w:val="00F06866"/>
    <w:rsid w:val="00F15956"/>
    <w:rsid w:val="00F24CFC"/>
    <w:rsid w:val="00F3170F"/>
    <w:rsid w:val="00F47797"/>
    <w:rsid w:val="00F54D86"/>
    <w:rsid w:val="00F62AE7"/>
    <w:rsid w:val="00F73200"/>
    <w:rsid w:val="00F83FF6"/>
    <w:rsid w:val="00F85219"/>
    <w:rsid w:val="00F8707B"/>
    <w:rsid w:val="00F8780C"/>
    <w:rsid w:val="00F976B0"/>
    <w:rsid w:val="00FA3D87"/>
    <w:rsid w:val="00FA6DE7"/>
    <w:rsid w:val="00FA7432"/>
    <w:rsid w:val="00FC0A8E"/>
    <w:rsid w:val="00FC16D1"/>
    <w:rsid w:val="00FE0A57"/>
    <w:rsid w:val="00FE2EF6"/>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2E72A3CD"/>
  <w15:docId w15:val="{2A23BBA9-44DD-4EF4-ADF0-D3CBC8BDA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uiPriority w:val="5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uiPriority w:val="99"/>
    <w:unhideWhenUsed/>
    <w:rsid w:val="008C4E6C"/>
    <w:rPr>
      <w:color w:val="0000FF" w:themeColor="hyperlink"/>
      <w:u w:val="single"/>
    </w:rPr>
  </w:style>
  <w:style w:type="character" w:styleId="FollowedHyperlink">
    <w:name w:val="FollowedHyperlink"/>
    <w:basedOn w:val="DefaultParagraphFont"/>
    <w:rsid w:val="00D763EB"/>
    <w:rPr>
      <w:color w:val="800080" w:themeColor="followedHyperlink"/>
      <w:u w:val="single"/>
    </w:rPr>
  </w:style>
  <w:style w:type="paragraph" w:customStyle="1" w:styleId="paragraphgeorgiaParagraph">
    <w:name w:val="paragraph (georgia) (Paragraph)"/>
    <w:basedOn w:val="Normal"/>
    <w:uiPriority w:val="99"/>
    <w:rsid w:val="006A0F09"/>
    <w:pPr>
      <w:keepLines/>
      <w:widowControl w:val="0"/>
      <w:suppressAutoHyphens/>
      <w:autoSpaceDE w:val="0"/>
      <w:autoSpaceDN w:val="0"/>
      <w:adjustRightInd w:val="0"/>
      <w:spacing w:before="270" w:line="320" w:lineRule="atLeast"/>
      <w:textAlignment w:val="center"/>
    </w:pPr>
    <w:rPr>
      <w:rFonts w:ascii="Georgia" w:eastAsiaTheme="minorEastAsia" w:hAnsi="Georgia" w:cs="Georgia"/>
      <w:color w:val="000000"/>
      <w:sz w:val="22"/>
      <w:szCs w:val="22"/>
    </w:rPr>
  </w:style>
  <w:style w:type="paragraph" w:styleId="FootnoteText">
    <w:name w:val="footnote text"/>
    <w:basedOn w:val="Normal"/>
    <w:link w:val="FootnoteTextChar"/>
    <w:semiHidden/>
    <w:unhideWhenUsed/>
    <w:rsid w:val="003F7D95"/>
    <w:rPr>
      <w:sz w:val="20"/>
      <w:szCs w:val="20"/>
    </w:rPr>
  </w:style>
  <w:style w:type="character" w:customStyle="1" w:styleId="FootnoteTextChar">
    <w:name w:val="Footnote Text Char"/>
    <w:basedOn w:val="DefaultParagraphFont"/>
    <w:link w:val="FootnoteText"/>
    <w:semiHidden/>
    <w:rsid w:val="003F7D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022B52-FA59-4239-98DF-120EA4A7F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2122</Words>
  <Characters>11676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King, Darrin (CFPB)</cp:lastModifiedBy>
  <cp:revision>5</cp:revision>
  <cp:lastPrinted>2019-01-31T15:42:00Z</cp:lastPrinted>
  <dcterms:created xsi:type="dcterms:W3CDTF">2020-01-14T20:16:00Z</dcterms:created>
  <dcterms:modified xsi:type="dcterms:W3CDTF">2020-01-14T20:45:00Z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