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E5A" w:rsidRDefault="00136E5A">
      <w:pPr>
        <w:widowControl/>
        <w:tabs>
          <w:tab w:val="center" w:pos="4680"/>
        </w:tabs>
        <w:rPr>
          <w:b/>
          <w:bCs/>
        </w:rPr>
      </w:pPr>
      <w:bookmarkStart w:name="_GoBack" w:id="0"/>
      <w:bookmarkEnd w:id="0"/>
      <w:r>
        <w:tab/>
      </w:r>
      <w:r>
        <w:rPr>
          <w:b/>
          <w:bCs/>
        </w:rPr>
        <w:t>SUPPORTING STATEMENT</w:t>
      </w:r>
    </w:p>
    <w:p w:rsidR="00734522" w:rsidP="00734522" w:rsidRDefault="00734522">
      <w:pPr>
        <w:widowControl/>
        <w:tabs>
          <w:tab w:val="center" w:pos="4680"/>
        </w:tabs>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00136E5A" w:rsidRDefault="00136E5A">
      <w:pPr>
        <w:widowControl/>
        <w:tabs>
          <w:tab w:val="center" w:pos="4680"/>
        </w:tabs>
        <w:rPr>
          <w:b/>
          <w:bCs/>
        </w:rPr>
      </w:pPr>
      <w:r>
        <w:tab/>
      </w:r>
      <w:r w:rsidR="009159EC">
        <w:rPr>
          <w:b/>
          <w:bCs/>
        </w:rPr>
        <w:t>International Trade Administration</w:t>
      </w:r>
    </w:p>
    <w:p w:rsidR="00136E5A" w:rsidRDefault="00872B9E">
      <w:pPr>
        <w:widowControl/>
        <w:jc w:val="center"/>
        <w:rPr>
          <w:b/>
          <w:bCs/>
        </w:rPr>
      </w:pPr>
      <w:r>
        <w:rPr>
          <w:b/>
          <w:bCs/>
        </w:rPr>
        <w:t>Steel Import License</w:t>
      </w:r>
    </w:p>
    <w:p w:rsidR="00136E5A" w:rsidRDefault="00DC7587">
      <w:pPr>
        <w:widowControl/>
        <w:jc w:val="center"/>
      </w:pPr>
      <w:r>
        <w:rPr>
          <w:b/>
          <w:bCs/>
        </w:rPr>
        <w:t>OMB Control</w:t>
      </w:r>
      <w:r w:rsidR="00136E5A">
        <w:rPr>
          <w:b/>
          <w:bCs/>
        </w:rPr>
        <w:t xml:space="preserve"> N</w:t>
      </w:r>
      <w:r>
        <w:rPr>
          <w:b/>
          <w:bCs/>
        </w:rPr>
        <w:t>o</w:t>
      </w:r>
      <w:r w:rsidR="00136E5A">
        <w:rPr>
          <w:b/>
          <w:bCs/>
        </w:rPr>
        <w:t xml:space="preserve">. </w:t>
      </w:r>
      <w:r w:rsidR="009159EC">
        <w:rPr>
          <w:b/>
          <w:bCs/>
        </w:rPr>
        <w:t>0625</w:t>
      </w:r>
      <w:r w:rsidR="00136E5A">
        <w:rPr>
          <w:b/>
          <w:bCs/>
        </w:rPr>
        <w:t>-</w:t>
      </w:r>
      <w:r w:rsidR="00D271C2">
        <w:rPr>
          <w:b/>
          <w:bCs/>
        </w:rPr>
        <w:t>0245</w:t>
      </w:r>
    </w:p>
    <w:p w:rsidR="00136E5A" w:rsidRDefault="00136E5A">
      <w:pPr>
        <w:widowControl/>
      </w:pPr>
    </w:p>
    <w:p w:rsidR="00136E5A" w:rsidRDefault="00136E5A">
      <w:pPr>
        <w:widowControl/>
      </w:pPr>
    </w:p>
    <w:p w:rsidR="00136E5A" w:rsidRDefault="00136E5A">
      <w:pPr>
        <w:widowControl/>
        <w:tabs>
          <w:tab w:val="left" w:pos="-1440"/>
        </w:tabs>
        <w:ind w:left="720" w:hanging="720"/>
      </w:pPr>
      <w:r>
        <w:rPr>
          <w:b/>
          <w:bCs/>
        </w:rPr>
        <w:t xml:space="preserve">A. </w:t>
      </w:r>
      <w:r>
        <w:rPr>
          <w:b/>
          <w:bCs/>
        </w:rPr>
        <w:tab/>
        <w:t>JUSTIFICATION</w:t>
      </w:r>
    </w:p>
    <w:p w:rsidR="00136E5A" w:rsidRDefault="00136E5A">
      <w:pPr>
        <w:widowControl/>
      </w:pPr>
    </w:p>
    <w:p w:rsidRPr="00507C4C" w:rsidR="00872B9E" w:rsidP="00872B9E" w:rsidRDefault="00872B9E">
      <w:pPr>
        <w:rPr>
          <w:b/>
          <w:i/>
        </w:rPr>
      </w:pPr>
      <w:r w:rsidRPr="00507C4C">
        <w:rPr>
          <w:b/>
        </w:rPr>
        <w:t xml:space="preserve">This is </w:t>
      </w:r>
      <w:r w:rsidR="003201A6">
        <w:rPr>
          <w:b/>
        </w:rPr>
        <w:t>a</w:t>
      </w:r>
      <w:r w:rsidRPr="00507C4C">
        <w:rPr>
          <w:b/>
        </w:rPr>
        <w:t xml:space="preserve"> request </w:t>
      </w:r>
      <w:r w:rsidR="00FC67B2">
        <w:rPr>
          <w:b/>
        </w:rPr>
        <w:t>for approval of an existing information collection</w:t>
      </w:r>
      <w:r w:rsidR="001F16D0">
        <w:rPr>
          <w:b/>
        </w:rPr>
        <w:t>.</w:t>
      </w:r>
      <w:r w:rsidR="00FC67B2">
        <w:rPr>
          <w:b/>
        </w:rPr>
        <w:t xml:space="preserve"> </w:t>
      </w:r>
    </w:p>
    <w:p w:rsidRPr="009159EC" w:rsidR="009159EC" w:rsidRDefault="009159EC">
      <w:pPr>
        <w:widowControl/>
        <w:rPr>
          <w:b/>
        </w:rPr>
      </w:pPr>
    </w:p>
    <w:p w:rsidR="00136E5A" w:rsidRDefault="00136E5A">
      <w:pPr>
        <w:widowControl/>
      </w:pPr>
      <w:r>
        <w:rPr>
          <w:b/>
          <w:bCs/>
        </w:rPr>
        <w:t xml:space="preserve">1.  </w:t>
      </w:r>
      <w:r>
        <w:rPr>
          <w:b/>
          <w:bCs/>
          <w:u w:val="single"/>
        </w:rPr>
        <w:t>Explain the circumstances that make the collection of information necessary.</w:t>
      </w:r>
    </w:p>
    <w:p w:rsidR="00A86D44" w:rsidP="00A86D44" w:rsidRDefault="00A86D44">
      <w:pPr>
        <w:pStyle w:val="BodyText"/>
      </w:pPr>
    </w:p>
    <w:p w:rsidRPr="002C4655" w:rsidR="00425A6E" w:rsidP="00A86D44" w:rsidRDefault="00425A6E">
      <w:pPr>
        <w:pStyle w:val="BodyText"/>
        <w:rPr>
          <w:color w:val="auto"/>
        </w:rPr>
      </w:pPr>
      <w:r>
        <w:t xml:space="preserve">The </w:t>
      </w:r>
      <w:r w:rsidR="007C5587">
        <w:t>Steel Import Monitoring and Analysis (SIMA) S</w:t>
      </w:r>
      <w:r>
        <w:t xml:space="preserve">ystem is vital to facilitate the real-time monitoring of steel imports in a volatile market.  This is a continuation of the licensing and monitoring system </w:t>
      </w:r>
      <w:r w:rsidR="007C5587">
        <w:t xml:space="preserve">which </w:t>
      </w:r>
      <w:r>
        <w:t>beg</w:t>
      </w:r>
      <w:r w:rsidR="007C5587">
        <w:t>a</w:t>
      </w:r>
      <w:r>
        <w:t xml:space="preserve">n as part of the 201 steel safeguards.  </w:t>
      </w:r>
      <w:r w:rsidRPr="002C4655">
        <w:rPr>
          <w:color w:val="auto"/>
        </w:rPr>
        <w:t>Extension of the SIMA system has been expanded to cover all steel mill products.  SIMA is operating under authority as part of the Census Act</w:t>
      </w:r>
      <w:r w:rsidRPr="002C4655" w:rsidR="007C5587">
        <w:rPr>
          <w:color w:val="auto"/>
        </w:rPr>
        <w:t xml:space="preserve"> (13 U.S.C</w:t>
      </w:r>
      <w:r w:rsidRPr="002C4655">
        <w:rPr>
          <w:color w:val="auto"/>
        </w:rPr>
        <w:t>.</w:t>
      </w:r>
      <w:r w:rsidRPr="002C4655" w:rsidR="007C5587">
        <w:rPr>
          <w:color w:val="auto"/>
        </w:rPr>
        <w:t xml:space="preserve"> 301(a) and 302).</w:t>
      </w:r>
      <w:r w:rsidRPr="002C4655">
        <w:rPr>
          <w:color w:val="auto"/>
        </w:rPr>
        <w:t xml:space="preserve"> </w:t>
      </w:r>
    </w:p>
    <w:p w:rsidRPr="002C4655" w:rsidR="00425A6E" w:rsidP="00425A6E" w:rsidRDefault="00425A6E">
      <w:pPr>
        <w:pStyle w:val="BodyText"/>
        <w:ind w:left="360"/>
        <w:rPr>
          <w:color w:val="auto"/>
        </w:rPr>
      </w:pPr>
    </w:p>
    <w:p w:rsidR="00C32B47" w:rsidP="00A86D44" w:rsidRDefault="00425A6E">
      <w:pPr>
        <w:pStyle w:val="BodyText"/>
      </w:pPr>
      <w:r w:rsidRPr="002C4655">
        <w:rPr>
          <w:color w:val="auto"/>
        </w:rPr>
        <w:t>In order to monitor steel imports in real-time and to provide the public with real-time data, the Department of Commerce must collect and provide timely aggregated summaries about</w:t>
      </w:r>
      <w:r>
        <w:t xml:space="preserve"> imports of certain steel products. </w:t>
      </w:r>
      <w:r w:rsidR="007C5587">
        <w:t xml:space="preserve"> </w:t>
      </w:r>
      <w:r>
        <w:t xml:space="preserve">The Steel Import License </w:t>
      </w:r>
      <w:r w:rsidR="00F00E43">
        <w:t xml:space="preserve">form (ITA-4141P) </w:t>
      </w:r>
      <w:r>
        <w:t xml:space="preserve">collects the necessary information.  The Census Bureau currently collects import data and disseminates aggregate information about steel imports.  However, the time required to collect, process, and disseminate this information through Census can take up to </w:t>
      </w:r>
      <w:r w:rsidR="00FF2569">
        <w:t>7</w:t>
      </w:r>
      <w:r>
        <w:t>0 days after importation of the product, giving interested parties and the public far less time to respond to injurious sales.</w:t>
      </w:r>
    </w:p>
    <w:p w:rsidR="00C32B47" w:rsidP="00A86D44" w:rsidRDefault="00C32B47">
      <w:pPr>
        <w:pStyle w:val="BodyText"/>
      </w:pPr>
    </w:p>
    <w:p w:rsidR="00425A6E" w:rsidP="00A86D44" w:rsidRDefault="00C32B47">
      <w:pPr>
        <w:pStyle w:val="BodyText"/>
        <w:rPr>
          <w:color w:val="auto"/>
        </w:rPr>
      </w:pPr>
      <w:r>
        <w:rPr>
          <w:color w:val="auto"/>
        </w:rPr>
        <w:t xml:space="preserve">In 2009, </w:t>
      </w:r>
      <w:r w:rsidRPr="00C32B47">
        <w:rPr>
          <w:color w:val="auto"/>
        </w:rPr>
        <w:t xml:space="preserve">ITA’s request for a reusable low-value opt-out license </w:t>
      </w:r>
      <w:r w:rsidR="00515BA5">
        <w:rPr>
          <w:color w:val="auto"/>
        </w:rPr>
        <w:t>(</w:t>
      </w:r>
      <w:r w:rsidRPr="00515BA5" w:rsidR="00515BA5">
        <w:rPr>
          <w:color w:val="auto"/>
        </w:rPr>
        <w:t>Request for a Low-Value Steel Import License Number</w:t>
      </w:r>
      <w:r w:rsidR="00515BA5">
        <w:rPr>
          <w:color w:val="auto"/>
        </w:rPr>
        <w:t xml:space="preserve">) </w:t>
      </w:r>
      <w:r w:rsidRPr="00C32B47">
        <w:rPr>
          <w:color w:val="auto"/>
        </w:rPr>
        <w:t>defined as “covering imports valued at less than $5,000 per entry” was approved</w:t>
      </w:r>
      <w:r>
        <w:rPr>
          <w:color w:val="auto"/>
        </w:rPr>
        <w:t>.  This is a certification document.</w:t>
      </w:r>
      <w:r w:rsidRPr="00C32B47" w:rsidR="00425A6E">
        <w:rPr>
          <w:color w:val="auto"/>
        </w:rPr>
        <w:t xml:space="preserve">  </w:t>
      </w:r>
    </w:p>
    <w:p w:rsidR="00FC67B2" w:rsidP="00A86D44" w:rsidRDefault="00FC67B2">
      <w:pPr>
        <w:pStyle w:val="BodyText"/>
        <w:rPr>
          <w:color w:val="auto"/>
        </w:rPr>
      </w:pPr>
    </w:p>
    <w:p w:rsidRPr="00C32B47" w:rsidR="00FC67B2" w:rsidP="00FF2569" w:rsidRDefault="00FC67B2">
      <w:pPr>
        <w:pStyle w:val="BodyText"/>
        <w:rPr>
          <w:color w:val="auto"/>
        </w:rPr>
      </w:pPr>
      <w:r>
        <w:rPr>
          <w:color w:val="auto"/>
        </w:rPr>
        <w:t>Note:  Due to a consolidation at the International Trade Administration</w:t>
      </w:r>
      <w:r w:rsidR="00B354D3">
        <w:rPr>
          <w:color w:val="auto"/>
        </w:rPr>
        <w:t>,</w:t>
      </w:r>
      <w:r>
        <w:rPr>
          <w:color w:val="auto"/>
        </w:rPr>
        <w:t xml:space="preserve"> effective October 2013, the name of the business unit was changed from Import Administration to Enforcement and Compliance.  This change </w:t>
      </w:r>
      <w:r w:rsidR="003201A6">
        <w:rPr>
          <w:color w:val="auto"/>
        </w:rPr>
        <w:t xml:space="preserve">was </w:t>
      </w:r>
      <w:r>
        <w:rPr>
          <w:color w:val="auto"/>
        </w:rPr>
        <w:t>a</w:t>
      </w:r>
      <w:r w:rsidR="00B354D3">
        <w:rPr>
          <w:color w:val="auto"/>
        </w:rPr>
        <w:t xml:space="preserve">pplied </w:t>
      </w:r>
      <w:r>
        <w:rPr>
          <w:color w:val="auto"/>
        </w:rPr>
        <w:t>to both the Steel Import</w:t>
      </w:r>
      <w:r w:rsidR="00B354D3">
        <w:rPr>
          <w:color w:val="auto"/>
        </w:rPr>
        <w:t xml:space="preserve"> License</w:t>
      </w:r>
      <w:r>
        <w:rPr>
          <w:color w:val="auto"/>
        </w:rPr>
        <w:t xml:space="preserve"> and Low Value Steel Import License forms.</w:t>
      </w:r>
    </w:p>
    <w:p w:rsidRPr="00C32B47" w:rsidR="00136E5A" w:rsidRDefault="00136E5A">
      <w:pPr>
        <w:widowControl/>
      </w:pPr>
    </w:p>
    <w:p w:rsidR="009341A7" w:rsidRDefault="009341A7">
      <w:pPr>
        <w:widowControl/>
      </w:pPr>
    </w:p>
    <w:p w:rsidR="00136E5A" w:rsidRDefault="00136E5A">
      <w:pPr>
        <w:widowControl/>
        <w:rPr>
          <w:b/>
          <w:bCs/>
        </w:rPr>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A86D44" w:rsidRDefault="00A86D44">
      <w:pPr>
        <w:widowControl/>
        <w:rPr>
          <w:b/>
          <w:bCs/>
        </w:rPr>
      </w:pPr>
    </w:p>
    <w:p w:rsidR="00B151D3" w:rsidP="00A86D44" w:rsidRDefault="004A688C">
      <w:pPr>
        <w:pStyle w:val="BodyText"/>
        <w:rPr>
          <w:color w:val="auto"/>
        </w:rPr>
      </w:pPr>
      <w:r w:rsidRPr="004A688C">
        <w:rPr>
          <w:color w:val="auto"/>
        </w:rPr>
        <w:t>T</w:t>
      </w:r>
      <w:r w:rsidRPr="004A688C" w:rsidR="001F0975">
        <w:rPr>
          <w:color w:val="auto"/>
        </w:rPr>
        <w:t>he i</w:t>
      </w:r>
      <w:r w:rsidRPr="004A688C" w:rsidR="00425A6E">
        <w:rPr>
          <w:color w:val="auto"/>
        </w:rPr>
        <w:t xml:space="preserve">mport </w:t>
      </w:r>
      <w:r w:rsidRPr="004A688C" w:rsidR="001F0975">
        <w:rPr>
          <w:color w:val="auto"/>
        </w:rPr>
        <w:t>steel l</w:t>
      </w:r>
      <w:r w:rsidRPr="004A688C" w:rsidR="00425A6E">
        <w:rPr>
          <w:color w:val="auto"/>
        </w:rPr>
        <w:t>icense information is necessary for the U.S. Government (USG) to assess import trends of covered products in real time and to share summary level information with the public via a website:</w:t>
      </w:r>
      <w:r w:rsidR="00B151D3">
        <w:rPr>
          <w:color w:val="auto"/>
        </w:rPr>
        <w:t xml:space="preserve">  </w:t>
      </w:r>
      <w:hyperlink w:history="1" r:id="rId11">
        <w:r w:rsidRPr="00B151D3" w:rsidR="00B151D3">
          <w:rPr>
            <w:rStyle w:val="Hyperlink"/>
          </w:rPr>
          <w:t>http</w:t>
        </w:r>
        <w:r w:rsidRPr="00B151D3" w:rsidR="00B151D3">
          <w:rPr>
            <w:rStyle w:val="Hyperlink"/>
          </w:rPr>
          <w:t>:</w:t>
        </w:r>
        <w:r w:rsidRPr="00B151D3" w:rsidR="00B151D3">
          <w:rPr>
            <w:rStyle w:val="Hyperlink"/>
          </w:rPr>
          <w:t>//enforcement.trade.gov/steel/license/</w:t>
        </w:r>
      </w:hyperlink>
      <w:r w:rsidRPr="00B151D3" w:rsidR="00B151D3">
        <w:rPr>
          <w:color w:val="auto"/>
        </w:rPr>
        <w:t>.</w:t>
      </w:r>
    </w:p>
    <w:p w:rsidRPr="004A688C" w:rsidR="00425A6E" w:rsidP="00A86D44" w:rsidRDefault="00425A6E">
      <w:pPr>
        <w:pStyle w:val="BodyText"/>
        <w:rPr>
          <w:color w:val="auto"/>
        </w:rPr>
      </w:pPr>
      <w:r w:rsidRPr="004A688C">
        <w:rPr>
          <w:color w:val="auto"/>
        </w:rPr>
        <w:t xml:space="preserve">  </w:t>
      </w:r>
      <w:r w:rsidR="00B354D3">
        <w:rPr>
          <w:color w:val="auto"/>
        </w:rPr>
        <w:t xml:space="preserve"> </w:t>
      </w:r>
    </w:p>
    <w:p w:rsidRPr="004A688C" w:rsidR="00425A6E" w:rsidP="00425A6E" w:rsidRDefault="00425A6E">
      <w:pPr>
        <w:pStyle w:val="BodyText"/>
        <w:ind w:left="360"/>
        <w:rPr>
          <w:color w:val="auto"/>
        </w:rPr>
      </w:pPr>
    </w:p>
    <w:p w:rsidRPr="004A688C" w:rsidR="00425A6E" w:rsidP="00A86D44" w:rsidRDefault="00425A6E">
      <w:pPr>
        <w:pStyle w:val="BodyText"/>
        <w:rPr>
          <w:color w:val="auto"/>
        </w:rPr>
      </w:pPr>
      <w:r w:rsidRPr="004A688C">
        <w:rPr>
          <w:color w:val="auto"/>
        </w:rPr>
        <w:t>The information listed on the Steel Import License form</w:t>
      </w:r>
      <w:r w:rsidR="002A796B">
        <w:rPr>
          <w:color w:val="auto"/>
        </w:rPr>
        <w:t xml:space="preserve"> (ITA-4141P)</w:t>
      </w:r>
      <w:r w:rsidRPr="004A688C">
        <w:rPr>
          <w:color w:val="auto"/>
        </w:rPr>
        <w:t xml:space="preserve"> is required of all importers of subject merchandise prior to, or at the time of, entry into the United States and has been deemed necessary by the Commerce Department and </w:t>
      </w:r>
      <w:r w:rsidRPr="00C7573E">
        <w:rPr>
          <w:color w:val="auto"/>
        </w:rPr>
        <w:t>the Administration</w:t>
      </w:r>
      <w:r w:rsidRPr="004A688C">
        <w:rPr>
          <w:color w:val="auto"/>
        </w:rPr>
        <w:t xml:space="preserve"> to adequately assess potential surges in imports of covered steel products.  Commerce uses the information collected in an online </w:t>
      </w:r>
      <w:r w:rsidRPr="004A688C" w:rsidR="006D4DB1">
        <w:rPr>
          <w:color w:val="auto"/>
        </w:rPr>
        <w:t>monitoring system</w:t>
      </w:r>
      <w:r w:rsidRPr="004A688C">
        <w:rPr>
          <w:color w:val="auto"/>
        </w:rPr>
        <w:t xml:space="preserve"> to display aggregate statistical trends to the public. Standard Census Bureau procedures are follow</w:t>
      </w:r>
      <w:r w:rsidRPr="004A688C" w:rsidR="00260C5C">
        <w:rPr>
          <w:color w:val="auto"/>
        </w:rPr>
        <w:t>ed</w:t>
      </w:r>
      <w:r w:rsidRPr="004A688C">
        <w:rPr>
          <w:color w:val="auto"/>
        </w:rPr>
        <w:t xml:space="preserve"> for handling business proprietary information.</w:t>
      </w:r>
    </w:p>
    <w:p w:rsidRPr="004A688C" w:rsidR="00425A6E" w:rsidP="00425A6E" w:rsidRDefault="00425A6E">
      <w:pPr>
        <w:pStyle w:val="BodyText"/>
        <w:ind w:left="360"/>
        <w:rPr>
          <w:color w:val="auto"/>
        </w:rPr>
      </w:pPr>
    </w:p>
    <w:p w:rsidR="00425A6E" w:rsidP="00A86D44" w:rsidRDefault="00425A6E">
      <w:pPr>
        <w:pStyle w:val="BodyText"/>
        <w:rPr>
          <w:color w:val="auto"/>
        </w:rPr>
      </w:pPr>
      <w:r w:rsidRPr="004A688C">
        <w:rPr>
          <w:color w:val="auto"/>
        </w:rPr>
        <w:t xml:space="preserve">The licensing system uses information already required of an importer.  </w:t>
      </w:r>
      <w:r w:rsidRPr="004A688C" w:rsidR="00260C5C">
        <w:rPr>
          <w:color w:val="auto"/>
        </w:rPr>
        <w:t xml:space="preserve">Commerce does not </w:t>
      </w:r>
      <w:r w:rsidRPr="004A688C" w:rsidR="00E16C1B">
        <w:rPr>
          <w:color w:val="auto"/>
        </w:rPr>
        <w:t>charge a</w:t>
      </w:r>
      <w:r w:rsidRPr="004A688C">
        <w:rPr>
          <w:color w:val="auto"/>
        </w:rPr>
        <w:t xml:space="preserve"> fee for the license.  The U.S. Customs and Border Protection (CBP) will require the</w:t>
      </w:r>
      <w:r>
        <w:t xml:space="preserve"> </w:t>
      </w:r>
      <w:r w:rsidRPr="004A688C">
        <w:rPr>
          <w:color w:val="auto"/>
        </w:rPr>
        <w:t xml:space="preserve">license number generated by the successful submission of the </w:t>
      </w:r>
      <w:r w:rsidRPr="004A688C" w:rsidR="00260C5C">
        <w:rPr>
          <w:color w:val="auto"/>
        </w:rPr>
        <w:t xml:space="preserve">license </w:t>
      </w:r>
      <w:r w:rsidRPr="004A688C">
        <w:rPr>
          <w:color w:val="auto"/>
        </w:rPr>
        <w:t xml:space="preserve">form when a broker or importer files his/her CBP entry summary (which happens within 10 business days of importation).  The license can be obtained up to 60-days prior to importation or </w:t>
      </w:r>
      <w:r w:rsidRPr="004A688C" w:rsidR="00260C5C">
        <w:rPr>
          <w:color w:val="auto"/>
        </w:rPr>
        <w:t xml:space="preserve">on </w:t>
      </w:r>
      <w:r w:rsidRPr="004A688C">
        <w:rPr>
          <w:color w:val="auto"/>
        </w:rPr>
        <w:t xml:space="preserve">the date of Customs summary filing (Form 7501).  If the license number is not submitted to CBP with the summary documents, CBP will consider the entry summary to be incomplete and may request that the shipment be redelivered.  </w:t>
      </w:r>
    </w:p>
    <w:p w:rsidRPr="004A688C" w:rsidR="009341A7" w:rsidP="00A86D44" w:rsidRDefault="009341A7">
      <w:pPr>
        <w:pStyle w:val="BodyText"/>
        <w:rPr>
          <w:color w:val="auto"/>
        </w:rPr>
      </w:pPr>
    </w:p>
    <w:p w:rsidR="00425A6E" w:rsidRDefault="00425A6E">
      <w:pPr>
        <w:widowControl/>
      </w:pPr>
    </w:p>
    <w:p w:rsidR="00136E5A" w:rsidRDefault="00136E5A">
      <w:pPr>
        <w:widowControl/>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A86D44" w:rsidP="00A86D44" w:rsidRDefault="00A86D44">
      <w:pPr>
        <w:pStyle w:val="BodyText"/>
      </w:pPr>
    </w:p>
    <w:p w:rsidR="00425A6E" w:rsidP="00A86D44" w:rsidRDefault="00425A6E">
      <w:pPr>
        <w:pStyle w:val="BodyText"/>
      </w:pPr>
      <w:r>
        <w:t xml:space="preserve">The Steel Import License is available to all importers through an </w:t>
      </w:r>
      <w:r w:rsidR="00D07872">
        <w:t>I</w:t>
      </w:r>
      <w:r w:rsidR="00E16C1B">
        <w:t xml:space="preserve">nternet </w:t>
      </w:r>
      <w:r>
        <w:t xml:space="preserve">website.  </w:t>
      </w:r>
      <w:r w:rsidRPr="002C4655">
        <w:rPr>
          <w:color w:val="auto"/>
        </w:rPr>
        <w:t xml:space="preserve">While importers without an </w:t>
      </w:r>
      <w:r w:rsidRPr="002C4655" w:rsidR="00D07872">
        <w:rPr>
          <w:color w:val="auto"/>
        </w:rPr>
        <w:t>I</w:t>
      </w:r>
      <w:r w:rsidRPr="002C4655" w:rsidR="00E16C1B">
        <w:rPr>
          <w:color w:val="auto"/>
        </w:rPr>
        <w:t xml:space="preserve">nternet </w:t>
      </w:r>
      <w:r w:rsidR="00CF342D">
        <w:rPr>
          <w:color w:val="auto"/>
        </w:rPr>
        <w:t>connection</w:t>
      </w:r>
      <w:r w:rsidRPr="002C4655">
        <w:rPr>
          <w:color w:val="auto"/>
        </w:rPr>
        <w:t xml:space="preserve"> can be accommodated via facsimile, all license applications can be filled out electronically </w:t>
      </w:r>
      <w:r w:rsidRPr="002C4655" w:rsidR="00E16C1B">
        <w:rPr>
          <w:color w:val="auto"/>
        </w:rPr>
        <w:t>through the online licensing system</w:t>
      </w:r>
      <w:r w:rsidRPr="002C4655">
        <w:rPr>
          <w:color w:val="auto"/>
        </w:rPr>
        <w:t>.  Using electronic submission</w:t>
      </w:r>
      <w:r>
        <w:t xml:space="preserve"> as the basis for this system allows for the quickest and most efficient means for collecting the required information and aggregating the information submitted in the form.  </w:t>
      </w:r>
    </w:p>
    <w:p w:rsidR="00136E5A" w:rsidRDefault="00136E5A">
      <w:pPr>
        <w:widowControl/>
      </w:pPr>
    </w:p>
    <w:p w:rsidR="00FD5A8E" w:rsidRDefault="00FD5A8E">
      <w:pPr>
        <w:widowControl/>
      </w:pPr>
    </w:p>
    <w:p w:rsidR="00136E5A" w:rsidRDefault="00136E5A">
      <w:pPr>
        <w:widowControl/>
        <w:rPr>
          <w:b/>
          <w:bCs/>
        </w:rPr>
      </w:pPr>
      <w:r>
        <w:rPr>
          <w:b/>
          <w:bCs/>
        </w:rPr>
        <w:t xml:space="preserve">4.  </w:t>
      </w:r>
      <w:r>
        <w:rPr>
          <w:b/>
          <w:bCs/>
          <w:u w:val="single"/>
        </w:rPr>
        <w:t>Describe efforts to identify duplication</w:t>
      </w:r>
      <w:r>
        <w:rPr>
          <w:b/>
          <w:bCs/>
        </w:rPr>
        <w:t>.</w:t>
      </w:r>
    </w:p>
    <w:p w:rsidR="00A86D44" w:rsidP="00A86D44" w:rsidRDefault="00A86D44"/>
    <w:p w:rsidRPr="002C4655" w:rsidR="00425A6E" w:rsidP="00A86D44" w:rsidRDefault="00425A6E">
      <w:r w:rsidRPr="002C4655">
        <w:t>The Census Bureau reports similar official import statistics that are issued on a monthly basis, but with a significant lag time after the products have entered the United States.  The lag time could be up to 7</w:t>
      </w:r>
      <w:r w:rsidR="0089115C">
        <w:t>0</w:t>
      </w:r>
      <w:r w:rsidRPr="002C4655">
        <w:t xml:space="preserve"> days after importation of the covered products.  </w:t>
      </w:r>
      <w:r w:rsidRPr="002C4655" w:rsidR="003B2D36">
        <w:t>A</w:t>
      </w:r>
      <w:r w:rsidRPr="002C4655">
        <w:t xml:space="preserve">ny remedy against injurious sales of steel can only be effective if information about these sales is made available quickly.  </w:t>
      </w:r>
      <w:r w:rsidR="00795189">
        <w:t>A</w:t>
      </w:r>
      <w:r w:rsidRPr="002C4655">
        <w:t>lthough the Census Bureau information is reliable, it is released too late.  When the Census information is released, those sales have already had an impact on the market.</w:t>
      </w:r>
    </w:p>
    <w:p w:rsidR="00425A6E" w:rsidRDefault="00425A6E">
      <w:pPr>
        <w:widowControl/>
      </w:pPr>
    </w:p>
    <w:p w:rsidRPr="002C4655" w:rsidR="00FD5A8E" w:rsidRDefault="00FD5A8E">
      <w:pPr>
        <w:widowControl/>
      </w:pPr>
    </w:p>
    <w:p w:rsidRPr="002C4655" w:rsidR="00136E5A" w:rsidRDefault="00136E5A">
      <w:pPr>
        <w:widowControl/>
      </w:pPr>
      <w:r w:rsidRPr="002C4655">
        <w:rPr>
          <w:b/>
          <w:bCs/>
        </w:rPr>
        <w:t xml:space="preserve">5.  </w:t>
      </w:r>
      <w:r w:rsidRPr="002C4655">
        <w:rPr>
          <w:b/>
          <w:bCs/>
          <w:u w:val="single"/>
        </w:rPr>
        <w:t>If the collection of information involves small businesses or other small entities, describe the methods used to minimize burden</w:t>
      </w:r>
      <w:r w:rsidRPr="002C4655">
        <w:rPr>
          <w:b/>
          <w:bCs/>
        </w:rPr>
        <w:t>.</w:t>
      </w:r>
      <w:r w:rsidRPr="002C4655">
        <w:t xml:space="preserve"> </w:t>
      </w:r>
    </w:p>
    <w:p w:rsidRPr="002C4655" w:rsidR="00A86D44" w:rsidP="00A86D44" w:rsidRDefault="00A86D44"/>
    <w:p w:rsidRPr="00682906" w:rsidR="00FD5A8E" w:rsidP="00682906" w:rsidRDefault="009B3550">
      <w:pPr>
        <w:pStyle w:val="ListParagraph"/>
        <w:ind w:left="0"/>
        <w:rPr>
          <w:rFonts w:ascii="Times New Roman" w:hAnsi="Times New Roman"/>
          <w:sz w:val="24"/>
          <w:szCs w:val="24"/>
        </w:rPr>
      </w:pPr>
      <w:proofErr w:type="gramStart"/>
      <w:r w:rsidRPr="002C4655">
        <w:rPr>
          <w:rFonts w:ascii="Times New Roman" w:hAnsi="Times New Roman"/>
          <w:sz w:val="24"/>
          <w:szCs w:val="24"/>
        </w:rPr>
        <w:t>The vast majority of</w:t>
      </w:r>
      <w:proofErr w:type="gramEnd"/>
      <w:r w:rsidRPr="002C4655">
        <w:rPr>
          <w:rFonts w:ascii="Times New Roman" w:hAnsi="Times New Roman"/>
          <w:sz w:val="24"/>
          <w:szCs w:val="24"/>
        </w:rPr>
        <w:t xml:space="preserve"> applicants are major steel importers, producers and brokers.   There are very few small businesses</w:t>
      </w:r>
      <w:r w:rsidRPr="002C4655" w:rsidR="00347DD2">
        <w:rPr>
          <w:rFonts w:ascii="Times New Roman" w:hAnsi="Times New Roman"/>
          <w:sz w:val="24"/>
          <w:szCs w:val="24"/>
        </w:rPr>
        <w:t xml:space="preserve"> that</w:t>
      </w:r>
      <w:r w:rsidRPr="002C4655">
        <w:rPr>
          <w:rFonts w:ascii="Times New Roman" w:hAnsi="Times New Roman"/>
          <w:sz w:val="24"/>
          <w:szCs w:val="24"/>
        </w:rPr>
        <w:t xml:space="preserve"> are users of the licensing system; however, for importers bringing in small amounts of steel, there is a low value license option which is less burdensome</w:t>
      </w:r>
      <w:r w:rsidRPr="002C4655" w:rsidR="00514C84">
        <w:rPr>
          <w:rFonts w:ascii="Times New Roman" w:hAnsi="Times New Roman"/>
          <w:sz w:val="24"/>
          <w:szCs w:val="24"/>
        </w:rPr>
        <w:t>.</w:t>
      </w:r>
    </w:p>
    <w:p w:rsidRPr="002C4655" w:rsidR="00136E5A" w:rsidRDefault="00136E5A">
      <w:pPr>
        <w:widowControl/>
      </w:pPr>
      <w:r w:rsidRPr="002C4655">
        <w:rPr>
          <w:b/>
          <w:bCs/>
        </w:rPr>
        <w:lastRenderedPageBreak/>
        <w:t xml:space="preserve">6.  </w:t>
      </w:r>
      <w:r w:rsidRPr="002C4655">
        <w:rPr>
          <w:b/>
          <w:bCs/>
          <w:u w:val="single"/>
        </w:rPr>
        <w:t>Describe the consequences to the Federal program or policy activities if the collection is not conducted or is conducted less frequently</w:t>
      </w:r>
      <w:r w:rsidRPr="002C4655">
        <w:rPr>
          <w:b/>
          <w:bCs/>
        </w:rPr>
        <w:t>.</w:t>
      </w:r>
      <w:r w:rsidRPr="002C4655">
        <w:t xml:space="preserve"> </w:t>
      </w:r>
    </w:p>
    <w:p w:rsidRPr="002C4655" w:rsidR="00A86D44" w:rsidRDefault="00A86D44">
      <w:pPr>
        <w:widowControl/>
      </w:pPr>
    </w:p>
    <w:p w:rsidRPr="002C4655" w:rsidR="00425A6E" w:rsidP="00A86D44" w:rsidRDefault="00425A6E">
      <w:pPr>
        <w:pStyle w:val="BodyText"/>
        <w:rPr>
          <w:b/>
          <w:bCs/>
          <w:color w:val="auto"/>
        </w:rPr>
      </w:pPr>
      <w:r w:rsidRPr="002C4655">
        <w:rPr>
          <w:color w:val="auto"/>
        </w:rPr>
        <w:t xml:space="preserve">Failure to collect information about steel imports before or just after importation would disrupt the goals and objectives of the President’s mandate.  As a result of unmonitored surges, U.S. steel producers could continue to be injured by surges of </w:t>
      </w:r>
      <w:r w:rsidRPr="002C4655" w:rsidR="006021F6">
        <w:rPr>
          <w:color w:val="auto"/>
        </w:rPr>
        <w:t>imports.</w:t>
      </w:r>
    </w:p>
    <w:p w:rsidRPr="002C4655" w:rsidR="00425A6E" w:rsidRDefault="00425A6E">
      <w:pPr>
        <w:widowControl/>
      </w:pPr>
    </w:p>
    <w:p w:rsidR="00FD5A8E" w:rsidRDefault="00FD5A8E">
      <w:pPr>
        <w:widowControl/>
        <w:rPr>
          <w:b/>
          <w:bCs/>
        </w:rPr>
      </w:pPr>
    </w:p>
    <w:p w:rsidR="00136E5A" w:rsidRDefault="00136E5A">
      <w:pPr>
        <w:widowControl/>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A86D44" w:rsidP="00A86D44" w:rsidRDefault="00A86D44">
      <w:pPr>
        <w:pStyle w:val="BodyText"/>
      </w:pPr>
    </w:p>
    <w:p w:rsidRPr="00E647E7" w:rsidR="00425A6E" w:rsidP="00A86D44" w:rsidRDefault="00425A6E">
      <w:pPr>
        <w:pStyle w:val="BodyText"/>
        <w:rPr>
          <w:b/>
          <w:bCs/>
        </w:rPr>
      </w:pPr>
      <w:r>
        <w:t xml:space="preserve">The information collected will be consistent with the </w:t>
      </w:r>
      <w:r w:rsidR="00E75891">
        <w:t>OMB</w:t>
      </w:r>
      <w:r>
        <w:t xml:space="preserve"> guidelines.</w:t>
      </w:r>
    </w:p>
    <w:p w:rsidR="00136E5A" w:rsidRDefault="00136E5A">
      <w:pPr>
        <w:widowControl/>
      </w:pPr>
    </w:p>
    <w:p w:rsidR="00FD5A8E" w:rsidRDefault="00FD5A8E">
      <w:pPr>
        <w:widowControl/>
        <w:rPr>
          <w:b/>
          <w:bCs/>
        </w:rPr>
      </w:pPr>
    </w:p>
    <w:p w:rsidR="00136E5A" w:rsidRDefault="00136E5A">
      <w:pPr>
        <w:widowControl/>
        <w:rPr>
          <w:b/>
          <w:bCs/>
        </w:rPr>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883897" w:rsidP="00883897" w:rsidRDefault="00883897">
      <w:pPr>
        <w:rPr>
          <w:color w:val="FF0000"/>
        </w:rPr>
      </w:pPr>
    </w:p>
    <w:p w:rsidR="001B5B40" w:rsidP="001B5B40" w:rsidRDefault="001B5B40">
      <w:r>
        <w:t xml:space="preserve">A Proposed Rule requesting comments from the public was recently announced in the Federal Register on March 30, 2020 (Volume 85, Issue 61). </w:t>
      </w:r>
    </w:p>
    <w:p w:rsidR="001B5B40" w:rsidP="00883897" w:rsidRDefault="001B5B40"/>
    <w:p w:rsidRPr="002C4655" w:rsidR="0055786D" w:rsidRDefault="0055786D">
      <w:pPr>
        <w:widowControl/>
      </w:pPr>
    </w:p>
    <w:p w:rsidR="00136E5A" w:rsidRDefault="00136E5A">
      <w:pPr>
        <w:widowControl/>
        <w:rPr>
          <w:b/>
          <w:bCs/>
        </w:rPr>
      </w:pPr>
      <w:r>
        <w:rPr>
          <w:b/>
          <w:bCs/>
        </w:rPr>
        <w:t xml:space="preserve">9.  </w:t>
      </w:r>
      <w:r>
        <w:rPr>
          <w:b/>
          <w:bCs/>
          <w:u w:val="single"/>
        </w:rPr>
        <w:t>Explain any decisions to provide payments or gifts to respondents, other than remuneration of contractors or grantees</w:t>
      </w:r>
      <w:r>
        <w:rPr>
          <w:b/>
          <w:bCs/>
        </w:rPr>
        <w:t>.</w:t>
      </w:r>
    </w:p>
    <w:p w:rsidR="00A86D44" w:rsidP="00A86D44" w:rsidRDefault="00A86D44">
      <w:pPr>
        <w:pStyle w:val="BodyText"/>
      </w:pPr>
    </w:p>
    <w:p w:rsidRPr="002C4655" w:rsidR="0055786D" w:rsidP="00A86D44" w:rsidRDefault="0055786D">
      <w:pPr>
        <w:pStyle w:val="BodyText"/>
        <w:rPr>
          <w:color w:val="auto"/>
        </w:rPr>
      </w:pPr>
      <w:r w:rsidRPr="002C4655">
        <w:rPr>
          <w:color w:val="auto"/>
        </w:rPr>
        <w:t xml:space="preserve">No payments or gifts are being offered to the respondents.  </w:t>
      </w:r>
    </w:p>
    <w:p w:rsidRPr="002C4655" w:rsidR="00CB7A75" w:rsidRDefault="00CB7A75">
      <w:pPr>
        <w:widowControl/>
        <w:rPr>
          <w:b/>
          <w:bCs/>
        </w:rPr>
      </w:pPr>
    </w:p>
    <w:p w:rsidR="00FD5A8E" w:rsidRDefault="00FD5A8E">
      <w:pPr>
        <w:widowControl/>
        <w:rPr>
          <w:b/>
          <w:bCs/>
        </w:rPr>
      </w:pPr>
    </w:p>
    <w:p w:rsidR="00136E5A" w:rsidRDefault="00136E5A">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136E5A" w:rsidRDefault="00136E5A">
      <w:pPr>
        <w:widowControl/>
      </w:pPr>
    </w:p>
    <w:p w:rsidR="00CB7A75" w:rsidP="00CB7A75" w:rsidRDefault="0055786D">
      <w:pPr>
        <w:pStyle w:val="BodyText"/>
      </w:pPr>
      <w:r>
        <w:t>To the extent that the information submitted by the parties contains trade secrets, the Department will protect such information from disclosure, including disclosure pursuant to requests under the Freedom of Information Act, as required by the Trade Secrets Act, 18 U.S.C. § 1905.</w:t>
      </w:r>
      <w:r w:rsidR="00CB7A75">
        <w:t xml:space="preserve">  Such assurance is not provided in writing, but general information regarding confidentiality and the Trade Secrets Act is available upon request.  </w:t>
      </w:r>
    </w:p>
    <w:p w:rsidR="00CB7A75" w:rsidP="00CB7A75" w:rsidRDefault="00CB7A75">
      <w:pPr>
        <w:pStyle w:val="BodyText"/>
      </w:pPr>
    </w:p>
    <w:p w:rsidR="00CB7A75" w:rsidP="00CB7A75" w:rsidRDefault="00CB7A75">
      <w:pPr>
        <w:pStyle w:val="BodyText"/>
      </w:pPr>
      <w:r>
        <w:t xml:space="preserve">To process the license online, at the bottom </w:t>
      </w:r>
      <w:r w:rsidRPr="00FD5A8E">
        <w:rPr>
          <w:color w:val="auto"/>
        </w:rPr>
        <w:t>of the license</w:t>
      </w:r>
      <w:r>
        <w:t xml:space="preserve"> form the applicant acknowledges that </w:t>
      </w:r>
      <w:r w:rsidR="00387584">
        <w:t>t</w:t>
      </w:r>
      <w:r>
        <w:t>he</w:t>
      </w:r>
      <w:r w:rsidR="00387584">
        <w:t>y</w:t>
      </w:r>
      <w:r>
        <w:t xml:space="preserve"> recognize this information will be aggregated and posted on the website to supplement other information publicly</w:t>
      </w:r>
      <w:r w:rsidR="00F05C4D">
        <w:t xml:space="preserve"> available about steel imports.</w:t>
      </w:r>
    </w:p>
    <w:p w:rsidR="00136E5A" w:rsidRDefault="00136E5A">
      <w:pPr>
        <w:widowControl/>
      </w:pPr>
    </w:p>
    <w:p w:rsidR="00136E5A" w:rsidRDefault="00136E5A">
      <w:pPr>
        <w:widowControl/>
      </w:pPr>
      <w:r>
        <w:rPr>
          <w:b/>
          <w:bCs/>
        </w:rPr>
        <w:lastRenderedPageBreak/>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136E5A" w:rsidRDefault="00136E5A">
      <w:pPr>
        <w:widowControl/>
      </w:pPr>
    </w:p>
    <w:p w:rsidR="0055786D" w:rsidP="00A86D44" w:rsidRDefault="0055786D">
      <w:pPr>
        <w:pStyle w:val="BodyText"/>
      </w:pPr>
      <w:r>
        <w:t>No questions of a sensitive nature are asked.</w:t>
      </w:r>
    </w:p>
    <w:p w:rsidR="0055786D" w:rsidRDefault="0055786D">
      <w:pPr>
        <w:widowControl/>
      </w:pPr>
    </w:p>
    <w:p w:rsidR="00FD5A8E" w:rsidRDefault="00FD5A8E">
      <w:pPr>
        <w:widowControl/>
        <w:rPr>
          <w:b/>
          <w:bCs/>
        </w:rPr>
      </w:pPr>
    </w:p>
    <w:p w:rsidR="00136E5A" w:rsidRDefault="00136E5A">
      <w:pPr>
        <w:widowControl/>
        <w:rPr>
          <w:b/>
          <w:bCs/>
        </w:rPr>
      </w:pPr>
      <w:r>
        <w:rPr>
          <w:b/>
          <w:bCs/>
        </w:rPr>
        <w:t xml:space="preserve">12.  </w:t>
      </w:r>
      <w:r>
        <w:rPr>
          <w:b/>
          <w:bCs/>
          <w:u w:val="single"/>
        </w:rPr>
        <w:t>Provide an estimate in hours of the burden of the collection of information</w:t>
      </w:r>
      <w:r>
        <w:rPr>
          <w:b/>
          <w:bCs/>
        </w:rPr>
        <w:t>.</w:t>
      </w:r>
    </w:p>
    <w:p w:rsidR="0055786D" w:rsidRDefault="0055786D">
      <w:pPr>
        <w:widowControl/>
        <w:rPr>
          <w:b/>
          <w:bCs/>
        </w:rPr>
      </w:pPr>
    </w:p>
    <w:p w:rsidR="0055786D" w:rsidP="00870867" w:rsidRDefault="0055786D">
      <w:pPr>
        <w:pStyle w:val="BodyText"/>
      </w:pPr>
      <w:r w:rsidRPr="00F05C4D">
        <w:rPr>
          <w:color w:val="auto"/>
        </w:rPr>
        <w:t xml:space="preserve">We estimate that </w:t>
      </w:r>
      <w:r w:rsidR="00617F07">
        <w:rPr>
          <w:color w:val="auto"/>
        </w:rPr>
        <w:t xml:space="preserve">there will be </w:t>
      </w:r>
      <w:r w:rsidR="004B6333">
        <w:rPr>
          <w:color w:val="auto"/>
        </w:rPr>
        <w:t>5</w:t>
      </w:r>
      <w:r w:rsidR="00B45D05">
        <w:rPr>
          <w:color w:val="auto"/>
        </w:rPr>
        <w:t>57,143 regular</w:t>
      </w:r>
      <w:r w:rsidRPr="00870867">
        <w:rPr>
          <w:color w:val="auto"/>
        </w:rPr>
        <w:t xml:space="preserve"> li</w:t>
      </w:r>
      <w:r w:rsidRPr="00F05C4D">
        <w:rPr>
          <w:color w:val="auto"/>
        </w:rPr>
        <w:t>censes</w:t>
      </w:r>
      <w:r w:rsidR="00617F07">
        <w:rPr>
          <w:color w:val="auto"/>
        </w:rPr>
        <w:t>/responses</w:t>
      </w:r>
      <w:r w:rsidRPr="00F05C4D">
        <w:rPr>
          <w:color w:val="auto"/>
        </w:rPr>
        <w:t xml:space="preserve"> each year. </w:t>
      </w:r>
      <w:r w:rsidR="00193342">
        <w:rPr>
          <w:color w:val="auto"/>
        </w:rPr>
        <w:t xml:space="preserve"> Based on the patterns we</w:t>
      </w:r>
      <w:r w:rsidR="002069A6">
        <w:rPr>
          <w:color w:val="auto"/>
        </w:rPr>
        <w:t xml:space="preserve"> have</w:t>
      </w:r>
      <w:r w:rsidR="00193342">
        <w:rPr>
          <w:color w:val="auto"/>
        </w:rPr>
        <w:t xml:space="preserve"> seen for the regular steel </w:t>
      </w:r>
      <w:r w:rsidR="00682906">
        <w:rPr>
          <w:color w:val="auto"/>
        </w:rPr>
        <w:t>licenses;</w:t>
      </w:r>
      <w:r w:rsidR="00193342">
        <w:rPr>
          <w:color w:val="auto"/>
        </w:rPr>
        <w:t xml:space="preserve"> we estimate</w:t>
      </w:r>
      <w:r w:rsidR="0074410D">
        <w:rPr>
          <w:color w:val="auto"/>
        </w:rPr>
        <w:t xml:space="preserve"> that</w:t>
      </w:r>
      <w:r w:rsidR="00193342">
        <w:rPr>
          <w:color w:val="auto"/>
        </w:rPr>
        <w:t xml:space="preserve"> the extra 8 </w:t>
      </w:r>
      <w:r w:rsidR="00CF342D">
        <w:rPr>
          <w:color w:val="auto"/>
        </w:rPr>
        <w:t>HTS</w:t>
      </w:r>
      <w:r w:rsidR="00193342">
        <w:rPr>
          <w:color w:val="auto"/>
        </w:rPr>
        <w:t xml:space="preserve"> codes will generate 5,714 new licenses</w:t>
      </w:r>
      <w:r w:rsidR="00617F07">
        <w:rPr>
          <w:color w:val="auto"/>
        </w:rPr>
        <w:t>/responses</w:t>
      </w:r>
      <w:r w:rsidR="00193342">
        <w:rPr>
          <w:color w:val="auto"/>
        </w:rPr>
        <w:t xml:space="preserve">.  </w:t>
      </w:r>
      <w:r w:rsidRPr="00F05C4D">
        <w:rPr>
          <w:color w:val="auto"/>
        </w:rPr>
        <w:t>On average</w:t>
      </w:r>
      <w:r w:rsidRPr="00F05C4D" w:rsidR="00221709">
        <w:rPr>
          <w:color w:val="auto"/>
        </w:rPr>
        <w:t>,</w:t>
      </w:r>
      <w:r w:rsidR="004825A7">
        <w:rPr>
          <w:color w:val="auto"/>
        </w:rPr>
        <w:t xml:space="preserve"> </w:t>
      </w:r>
      <w:r w:rsidRPr="00F05C4D">
        <w:rPr>
          <w:color w:val="auto"/>
        </w:rPr>
        <w:t>each broker would apply for approximately 17</w:t>
      </w:r>
      <w:r w:rsidR="00193342">
        <w:rPr>
          <w:color w:val="auto"/>
        </w:rPr>
        <w:t>3</w:t>
      </w:r>
      <w:r w:rsidRPr="00F05C4D">
        <w:rPr>
          <w:color w:val="auto"/>
        </w:rPr>
        <w:t xml:space="preserve"> licenses each year.  The average time to complete the</w:t>
      </w:r>
      <w:r>
        <w:t xml:space="preserve"> form is estimated to be 10 minutes.  This estimate includes the time necessary to complete the form using information that is necessary for the completion of the other documents required for entry of the product into the United States.  </w:t>
      </w:r>
      <w:r w:rsidRPr="0074688B">
        <w:rPr>
          <w:color w:val="auto"/>
        </w:rPr>
        <w:t>We</w:t>
      </w:r>
      <w:r>
        <w:t xml:space="preserve"> do not expect the response time to vary widely because some of the same information is used to fill out other Customs documents filed at the time of entry.</w:t>
      </w:r>
      <w:r w:rsidR="00870867">
        <w:t xml:space="preserve">  The </w:t>
      </w:r>
      <w:r w:rsidR="0074410D">
        <w:t xml:space="preserve">information for the </w:t>
      </w:r>
      <w:r w:rsidR="00870867">
        <w:t xml:space="preserve">Opt-out Form information is </w:t>
      </w:r>
      <w:r w:rsidR="0074410D">
        <w:t xml:space="preserve">also </w:t>
      </w:r>
      <w:r w:rsidR="00870867">
        <w:t xml:space="preserve">listed below. </w:t>
      </w:r>
      <w:r>
        <w:t xml:space="preserve"> </w:t>
      </w:r>
    </w:p>
    <w:p w:rsidR="00870867" w:rsidP="00870867" w:rsidRDefault="00870867">
      <w:pPr>
        <w:pStyle w:val="BodyText"/>
      </w:pPr>
    </w:p>
    <w:p w:rsidRPr="002069A6" w:rsidR="00193342" w:rsidP="00193342" w:rsidRDefault="00193342">
      <w:pPr>
        <w:ind w:left="360"/>
        <w:rPr>
          <w:b/>
          <w:bCs/>
          <w:color w:val="000000"/>
        </w:rPr>
      </w:pPr>
      <w:bookmarkStart w:name="_Hlk34728197" w:id="1"/>
      <w:bookmarkStart w:name="_Hlk34662112" w:id="2"/>
      <w:bookmarkStart w:name="_Hlk38973818" w:id="3"/>
      <w:r w:rsidRPr="002069A6">
        <w:rPr>
          <w:b/>
          <w:bCs/>
          <w:color w:val="000000"/>
        </w:rPr>
        <w:t>Form</w:t>
      </w:r>
      <w:r w:rsidRPr="002069A6">
        <w:rPr>
          <w:b/>
          <w:bCs/>
          <w:color w:val="000000"/>
        </w:rPr>
        <w:tab/>
        <w:t xml:space="preserve">   </w:t>
      </w:r>
      <w:r w:rsidRPr="002069A6">
        <w:rPr>
          <w:b/>
          <w:bCs/>
          <w:color w:val="000000"/>
        </w:rPr>
        <w:tab/>
      </w:r>
      <w:r w:rsidR="00811A29">
        <w:rPr>
          <w:b/>
          <w:bCs/>
          <w:color w:val="000000"/>
        </w:rPr>
        <w:t xml:space="preserve">   </w:t>
      </w:r>
      <w:r w:rsidR="00816B4D">
        <w:rPr>
          <w:b/>
          <w:bCs/>
          <w:color w:val="000000"/>
        </w:rPr>
        <w:t xml:space="preserve">    </w:t>
      </w:r>
      <w:r w:rsidRPr="002069A6">
        <w:rPr>
          <w:b/>
          <w:bCs/>
          <w:color w:val="000000"/>
        </w:rPr>
        <w:t>Number of</w:t>
      </w:r>
      <w:r w:rsidRPr="002069A6">
        <w:rPr>
          <w:b/>
          <w:bCs/>
          <w:color w:val="000000"/>
        </w:rPr>
        <w:tab/>
        <w:t xml:space="preserve">Time to </w:t>
      </w:r>
      <w:proofErr w:type="gramStart"/>
      <w:r w:rsidRPr="002069A6">
        <w:rPr>
          <w:b/>
          <w:bCs/>
          <w:color w:val="000000"/>
        </w:rPr>
        <w:tab/>
        <w:t xml:space="preserve">  </w:t>
      </w:r>
      <w:r w:rsidRPr="002069A6">
        <w:rPr>
          <w:b/>
          <w:bCs/>
          <w:color w:val="000000"/>
        </w:rPr>
        <w:tab/>
      </w:r>
      <w:proofErr w:type="gramEnd"/>
      <w:r w:rsidRPr="002069A6">
        <w:rPr>
          <w:b/>
          <w:bCs/>
          <w:color w:val="000000"/>
        </w:rPr>
        <w:t xml:space="preserve"> Total</w:t>
      </w:r>
    </w:p>
    <w:p w:rsidRPr="00313EE9" w:rsidR="00193342" w:rsidP="00193342" w:rsidRDefault="00193342">
      <w:pPr>
        <w:ind w:left="360"/>
        <w:rPr>
          <w:color w:val="000000"/>
          <w:u w:val="single"/>
        </w:rPr>
      </w:pPr>
      <w:r w:rsidRPr="002069A6">
        <w:rPr>
          <w:b/>
          <w:bCs/>
          <w:color w:val="000000"/>
          <w:u w:val="single"/>
        </w:rPr>
        <w:t>Used</w:t>
      </w:r>
      <w:r w:rsidRPr="002069A6">
        <w:rPr>
          <w:b/>
          <w:bCs/>
          <w:color w:val="000000"/>
          <w:u w:val="single"/>
        </w:rPr>
        <w:tab/>
        <w:t xml:space="preserve">   </w:t>
      </w:r>
      <w:r w:rsidRPr="002069A6">
        <w:rPr>
          <w:b/>
          <w:bCs/>
          <w:color w:val="000000"/>
          <w:u w:val="single"/>
        </w:rPr>
        <w:tab/>
      </w:r>
      <w:r w:rsidR="00811A29">
        <w:rPr>
          <w:b/>
          <w:bCs/>
          <w:color w:val="000000"/>
          <w:u w:val="single"/>
        </w:rPr>
        <w:t xml:space="preserve">   </w:t>
      </w:r>
      <w:r w:rsidR="00816B4D">
        <w:rPr>
          <w:b/>
          <w:bCs/>
          <w:color w:val="000000"/>
          <w:u w:val="single"/>
        </w:rPr>
        <w:t xml:space="preserve">    </w:t>
      </w:r>
      <w:r w:rsidRPr="00313EE9">
        <w:rPr>
          <w:b/>
          <w:bCs/>
          <w:color w:val="000000"/>
          <w:u w:val="single"/>
        </w:rPr>
        <w:t>Respon</w:t>
      </w:r>
      <w:r w:rsidRPr="00313EE9" w:rsidR="00811A29">
        <w:rPr>
          <w:b/>
          <w:bCs/>
          <w:color w:val="000000"/>
          <w:u w:val="single"/>
        </w:rPr>
        <w:t>ses</w:t>
      </w:r>
      <w:r w:rsidRPr="00313EE9">
        <w:rPr>
          <w:b/>
          <w:bCs/>
          <w:color w:val="000000"/>
          <w:u w:val="single"/>
        </w:rPr>
        <w:t xml:space="preserve">    </w:t>
      </w:r>
      <w:r w:rsidRPr="00313EE9">
        <w:rPr>
          <w:b/>
          <w:bCs/>
          <w:color w:val="000000"/>
          <w:u w:val="single"/>
        </w:rPr>
        <w:tab/>
        <w:t>C</w:t>
      </w:r>
      <w:r w:rsidRPr="00313EE9" w:rsidR="00811A29">
        <w:rPr>
          <w:b/>
          <w:bCs/>
          <w:color w:val="000000"/>
          <w:u w:val="single"/>
        </w:rPr>
        <w:t>o</w:t>
      </w:r>
      <w:r w:rsidRPr="00313EE9">
        <w:rPr>
          <w:b/>
          <w:bCs/>
          <w:color w:val="000000"/>
          <w:u w:val="single"/>
        </w:rPr>
        <w:t>mplete</w:t>
      </w:r>
      <w:r w:rsidRPr="00313EE9">
        <w:rPr>
          <w:b/>
          <w:bCs/>
          <w:color w:val="000000"/>
          <w:u w:val="single"/>
        </w:rPr>
        <w:tab/>
        <w:t xml:space="preserve"> </w:t>
      </w:r>
      <w:r w:rsidRPr="00313EE9">
        <w:rPr>
          <w:b/>
          <w:bCs/>
          <w:color w:val="000000"/>
          <w:u w:val="single"/>
        </w:rPr>
        <w:tab/>
        <w:t xml:space="preserve"> Hours</w:t>
      </w:r>
      <w:r w:rsidRPr="00313EE9">
        <w:rPr>
          <w:color w:val="000000"/>
          <w:u w:val="single"/>
        </w:rPr>
        <w:tab/>
        <w:t xml:space="preserve"> </w:t>
      </w:r>
    </w:p>
    <w:p w:rsidRPr="00313EE9" w:rsidR="00193342" w:rsidP="00193342" w:rsidRDefault="00193342">
      <w:pPr>
        <w:ind w:left="360"/>
        <w:rPr>
          <w:color w:val="000000"/>
        </w:rPr>
      </w:pPr>
    </w:p>
    <w:p w:rsidRPr="00313EE9" w:rsidR="00193342" w:rsidP="00193342" w:rsidRDefault="00193342">
      <w:pPr>
        <w:ind w:left="360"/>
        <w:rPr>
          <w:color w:val="000000"/>
        </w:rPr>
      </w:pPr>
      <w:r w:rsidRPr="00313EE9">
        <w:rPr>
          <w:color w:val="000000"/>
        </w:rPr>
        <w:t>License</w:t>
      </w:r>
      <w:r w:rsidRPr="00313EE9">
        <w:rPr>
          <w:color w:val="000000"/>
        </w:rPr>
        <w:tab/>
        <w:t xml:space="preserve">    </w:t>
      </w:r>
      <w:r w:rsidRPr="00313EE9">
        <w:rPr>
          <w:color w:val="000000"/>
        </w:rPr>
        <w:tab/>
      </w:r>
      <w:r w:rsidRPr="00313EE9" w:rsidR="00811A29">
        <w:rPr>
          <w:color w:val="000000"/>
        </w:rPr>
        <w:t xml:space="preserve">       557,143</w:t>
      </w:r>
      <w:r w:rsidRPr="00313EE9">
        <w:rPr>
          <w:color w:val="000000"/>
        </w:rPr>
        <w:tab/>
        <w:t xml:space="preserve">       </w:t>
      </w:r>
      <w:r w:rsidRPr="00313EE9">
        <w:rPr>
          <w:color w:val="000000"/>
        </w:rPr>
        <w:tab/>
        <w:t>10 min/license</w:t>
      </w:r>
      <w:r w:rsidRPr="00313EE9">
        <w:rPr>
          <w:color w:val="000000"/>
        </w:rPr>
        <w:tab/>
        <w:t xml:space="preserve">       </w:t>
      </w:r>
      <w:r w:rsidRPr="00313EE9">
        <w:rPr>
          <w:color w:val="000000"/>
        </w:rPr>
        <w:tab/>
      </w:r>
      <w:r w:rsidRPr="00313EE9">
        <w:rPr>
          <w:b/>
          <w:color w:val="000000"/>
        </w:rPr>
        <w:t>92,857</w:t>
      </w:r>
      <w:r w:rsidRPr="00313EE9">
        <w:rPr>
          <w:color w:val="000000"/>
        </w:rPr>
        <w:t xml:space="preserve">     </w:t>
      </w:r>
    </w:p>
    <w:p w:rsidRPr="00313EE9" w:rsidR="00193342" w:rsidP="00193342" w:rsidRDefault="00193342">
      <w:pPr>
        <w:ind w:left="360"/>
        <w:rPr>
          <w:b/>
          <w:bCs/>
          <w:color w:val="000000"/>
        </w:rPr>
      </w:pPr>
      <w:r w:rsidRPr="00313EE9">
        <w:rPr>
          <w:color w:val="000000"/>
        </w:rPr>
        <w:t>License (</w:t>
      </w:r>
      <w:r w:rsidRPr="00313EE9" w:rsidR="00C46907">
        <w:rPr>
          <w:color w:val="000000"/>
        </w:rPr>
        <w:t>+ 8</w:t>
      </w:r>
      <w:r w:rsidRPr="00313EE9" w:rsidR="00816B4D">
        <w:rPr>
          <w:color w:val="000000"/>
        </w:rPr>
        <w:t xml:space="preserve"> </w:t>
      </w:r>
      <w:proofErr w:type="gramStart"/>
      <w:r w:rsidRPr="00313EE9">
        <w:rPr>
          <w:color w:val="000000"/>
        </w:rPr>
        <w:t>HTS)</w:t>
      </w:r>
      <w:r w:rsidRPr="00313EE9">
        <w:rPr>
          <w:b/>
          <w:bCs/>
          <w:color w:val="000000"/>
        </w:rPr>
        <w:t xml:space="preserve">   </w:t>
      </w:r>
      <w:proofErr w:type="gramEnd"/>
      <w:r w:rsidRPr="00313EE9">
        <w:rPr>
          <w:b/>
          <w:bCs/>
          <w:color w:val="000000"/>
        </w:rPr>
        <w:t xml:space="preserve">   </w:t>
      </w:r>
      <w:r w:rsidRPr="00313EE9" w:rsidR="00811A29">
        <w:rPr>
          <w:b/>
          <w:bCs/>
          <w:color w:val="000000"/>
        </w:rPr>
        <w:t xml:space="preserve"> </w:t>
      </w:r>
      <w:r w:rsidRPr="00313EE9" w:rsidR="00811A29">
        <w:rPr>
          <w:color w:val="000000"/>
        </w:rPr>
        <w:t>5,714</w:t>
      </w:r>
      <w:r w:rsidRPr="00313EE9">
        <w:rPr>
          <w:b/>
          <w:bCs/>
          <w:color w:val="000000"/>
        </w:rPr>
        <w:tab/>
      </w:r>
      <w:r w:rsidRPr="00313EE9">
        <w:rPr>
          <w:b/>
          <w:bCs/>
          <w:color w:val="000000"/>
        </w:rPr>
        <w:tab/>
      </w:r>
      <w:r w:rsidRPr="00313EE9">
        <w:rPr>
          <w:color w:val="000000"/>
        </w:rPr>
        <w:t>10 min/license</w:t>
      </w:r>
      <w:r w:rsidRPr="00313EE9">
        <w:rPr>
          <w:b/>
          <w:bCs/>
          <w:color w:val="000000"/>
        </w:rPr>
        <w:tab/>
      </w:r>
      <w:r w:rsidRPr="00313EE9" w:rsidR="00816B4D">
        <w:rPr>
          <w:b/>
          <w:bCs/>
          <w:color w:val="000000"/>
        </w:rPr>
        <w:t xml:space="preserve">                 </w:t>
      </w:r>
      <w:r w:rsidRPr="00313EE9" w:rsidR="00816A2C">
        <w:rPr>
          <w:b/>
          <w:bCs/>
          <w:color w:val="000000"/>
        </w:rPr>
        <w:t>9</w:t>
      </w:r>
      <w:r w:rsidRPr="00313EE9" w:rsidR="00783841">
        <w:rPr>
          <w:b/>
          <w:bCs/>
          <w:color w:val="000000"/>
        </w:rPr>
        <w:t>52</w:t>
      </w:r>
    </w:p>
    <w:p w:rsidRPr="00313EE9" w:rsidR="00193342" w:rsidP="00193342" w:rsidRDefault="00193342">
      <w:pPr>
        <w:ind w:left="360"/>
        <w:rPr>
          <w:bCs/>
          <w:color w:val="000000"/>
        </w:rPr>
      </w:pPr>
      <w:r w:rsidRPr="00313EE9">
        <w:rPr>
          <w:bCs/>
          <w:color w:val="000000"/>
        </w:rPr>
        <w:t xml:space="preserve">Opt-out Form   </w:t>
      </w:r>
      <w:r w:rsidRPr="00313EE9">
        <w:rPr>
          <w:bCs/>
          <w:color w:val="000000"/>
        </w:rPr>
        <w:tab/>
        <w:t xml:space="preserve">   </w:t>
      </w:r>
      <w:r w:rsidRPr="00313EE9" w:rsidR="00811A29">
        <w:rPr>
          <w:bCs/>
          <w:color w:val="000000"/>
        </w:rPr>
        <w:t xml:space="preserve">   </w:t>
      </w:r>
      <w:r w:rsidRPr="00313EE9" w:rsidR="00816B4D">
        <w:rPr>
          <w:bCs/>
          <w:color w:val="000000"/>
        </w:rPr>
        <w:t xml:space="preserve"> </w:t>
      </w:r>
      <w:r w:rsidRPr="00313EE9">
        <w:rPr>
          <w:bCs/>
          <w:color w:val="000000"/>
        </w:rPr>
        <w:t>250</w:t>
      </w:r>
      <w:r w:rsidRPr="00313EE9">
        <w:rPr>
          <w:bCs/>
          <w:color w:val="000000"/>
        </w:rPr>
        <w:tab/>
        <w:t xml:space="preserve">            5 min/form</w:t>
      </w:r>
      <w:r w:rsidRPr="00313EE9">
        <w:rPr>
          <w:bCs/>
          <w:color w:val="000000"/>
        </w:rPr>
        <w:tab/>
        <w:t xml:space="preserve">           </w:t>
      </w:r>
      <w:r w:rsidRPr="00313EE9" w:rsidR="00816B4D">
        <w:rPr>
          <w:bCs/>
          <w:color w:val="000000"/>
        </w:rPr>
        <w:t xml:space="preserve">        </w:t>
      </w:r>
      <w:r w:rsidRPr="00313EE9">
        <w:rPr>
          <w:b/>
          <w:bCs/>
          <w:color w:val="000000"/>
        </w:rPr>
        <w:t>21</w:t>
      </w:r>
      <w:r w:rsidRPr="00313EE9">
        <w:rPr>
          <w:bCs/>
          <w:color w:val="000000"/>
        </w:rPr>
        <w:t xml:space="preserve"> </w:t>
      </w:r>
    </w:p>
    <w:p w:rsidRPr="00313EE9" w:rsidR="00193342" w:rsidP="00193342" w:rsidRDefault="00193342">
      <w:pPr>
        <w:rPr>
          <w:bCs/>
          <w:color w:val="000000"/>
        </w:rPr>
      </w:pPr>
    </w:p>
    <w:p w:rsidRPr="00313EE9" w:rsidR="00193342" w:rsidP="00193342" w:rsidRDefault="00193342">
      <w:pPr>
        <w:rPr>
          <w:b/>
          <w:bCs/>
          <w:color w:val="000000"/>
        </w:rPr>
      </w:pPr>
      <w:r w:rsidRPr="00313EE9">
        <w:rPr>
          <w:b/>
          <w:bCs/>
          <w:color w:val="000000"/>
        </w:rPr>
        <w:t xml:space="preserve">TOTAL </w:t>
      </w:r>
      <w:r w:rsidRPr="00313EE9" w:rsidR="00617F07">
        <w:rPr>
          <w:b/>
          <w:bCs/>
          <w:color w:val="000000"/>
        </w:rPr>
        <w:t>LICENSES/</w:t>
      </w:r>
      <w:r w:rsidRPr="00313EE9">
        <w:rPr>
          <w:b/>
          <w:bCs/>
          <w:color w:val="000000"/>
        </w:rPr>
        <w:t>RESPONSES = 563,107</w:t>
      </w:r>
    </w:p>
    <w:p w:rsidRPr="00313EE9" w:rsidR="00193342" w:rsidP="00193342" w:rsidRDefault="00193342">
      <w:pPr>
        <w:rPr>
          <w:b/>
          <w:bCs/>
          <w:color w:val="000000"/>
        </w:rPr>
      </w:pPr>
    </w:p>
    <w:p w:rsidR="00193342" w:rsidP="00193342" w:rsidRDefault="00193342">
      <w:pPr>
        <w:rPr>
          <w:b/>
          <w:bCs/>
          <w:color w:val="000000"/>
        </w:rPr>
      </w:pPr>
      <w:r w:rsidRPr="00313EE9">
        <w:rPr>
          <w:b/>
          <w:bCs/>
          <w:color w:val="000000"/>
        </w:rPr>
        <w:t>TOTAL BURDEN HOURS = 93,</w:t>
      </w:r>
      <w:r w:rsidRPr="00313EE9" w:rsidR="00816A2C">
        <w:rPr>
          <w:b/>
          <w:bCs/>
          <w:color w:val="000000"/>
        </w:rPr>
        <w:t>8</w:t>
      </w:r>
      <w:r w:rsidRPr="00313EE9" w:rsidR="00783841">
        <w:rPr>
          <w:b/>
          <w:bCs/>
          <w:color w:val="000000"/>
        </w:rPr>
        <w:t>30</w:t>
      </w:r>
      <w:r w:rsidR="00816B4D">
        <w:rPr>
          <w:b/>
          <w:bCs/>
          <w:color w:val="000000"/>
        </w:rPr>
        <w:br/>
      </w:r>
    </w:p>
    <w:bookmarkEnd w:id="1"/>
    <w:bookmarkEnd w:id="2"/>
    <w:p w:rsidR="00514C84" w:rsidRDefault="00514C84">
      <w:pPr>
        <w:widowControl/>
        <w:rPr>
          <w:b/>
          <w:bCs/>
        </w:rPr>
      </w:pPr>
    </w:p>
    <w:bookmarkEnd w:id="3"/>
    <w:p w:rsidR="00DC7587" w:rsidRDefault="00136E5A">
      <w:pPr>
        <w:widowControl/>
        <w:rPr>
          <w:b/>
          <w:bCs/>
          <w:u w:val="single"/>
        </w:rPr>
      </w:pPr>
      <w:r>
        <w:rPr>
          <w:b/>
          <w:bCs/>
        </w:rPr>
        <w:t xml:space="preserve">13.  </w:t>
      </w:r>
      <w:r>
        <w:rPr>
          <w:b/>
          <w:bCs/>
          <w:u w:val="single"/>
        </w:rPr>
        <w:t>Provide an estimate of the total annual cost burden to the respondents or record-</w:t>
      </w:r>
      <w:r w:rsidR="008074B8">
        <w:rPr>
          <w:b/>
          <w:bCs/>
          <w:u w:val="single"/>
        </w:rPr>
        <w:t>k</w:t>
      </w:r>
      <w:r>
        <w:rPr>
          <w:b/>
          <w:bCs/>
          <w:u w:val="single"/>
        </w:rPr>
        <w:t xml:space="preserve">eepers resulting from the collection (excluding the value of the burden hours in </w:t>
      </w:r>
    </w:p>
    <w:p w:rsidR="00136E5A" w:rsidRDefault="00DC7587">
      <w:pPr>
        <w:widowControl/>
        <w:rPr>
          <w:b/>
          <w:bCs/>
        </w:rPr>
      </w:pPr>
      <w:r>
        <w:rPr>
          <w:b/>
          <w:bCs/>
          <w:u w:val="single"/>
        </w:rPr>
        <w:t xml:space="preserve">Question </w:t>
      </w:r>
      <w:r w:rsidR="00136E5A">
        <w:rPr>
          <w:b/>
          <w:bCs/>
          <w:u w:val="single"/>
        </w:rPr>
        <w:t>12 above)</w:t>
      </w:r>
      <w:r w:rsidR="00136E5A">
        <w:rPr>
          <w:b/>
          <w:bCs/>
        </w:rPr>
        <w:t>.</w:t>
      </w:r>
    </w:p>
    <w:p w:rsidR="008074B8" w:rsidP="008074B8" w:rsidRDefault="008074B8">
      <w:pPr>
        <w:tabs>
          <w:tab w:val="left" w:pos="0"/>
        </w:tabs>
        <w:rPr>
          <w:b/>
          <w:bCs/>
        </w:rPr>
      </w:pPr>
    </w:p>
    <w:p w:rsidR="0055786D" w:rsidP="008074B8" w:rsidRDefault="008074B8">
      <w:pPr>
        <w:tabs>
          <w:tab w:val="left" w:pos="0"/>
        </w:tabs>
        <w:rPr>
          <w:b/>
          <w:bCs/>
        </w:rPr>
      </w:pPr>
      <w:r>
        <w:t>None.</w:t>
      </w:r>
    </w:p>
    <w:p w:rsidR="00FD5A8E" w:rsidRDefault="00FD5A8E">
      <w:pPr>
        <w:widowControl/>
        <w:rPr>
          <w:b/>
          <w:bCs/>
        </w:rPr>
      </w:pPr>
    </w:p>
    <w:p w:rsidR="00136E5A" w:rsidRDefault="00136E5A">
      <w:pPr>
        <w:widowControl/>
        <w:rPr>
          <w:b/>
          <w:bCs/>
        </w:rPr>
      </w:pPr>
      <w:r>
        <w:rPr>
          <w:b/>
          <w:bCs/>
        </w:rPr>
        <w:t xml:space="preserve">14.  </w:t>
      </w:r>
      <w:r>
        <w:rPr>
          <w:b/>
          <w:bCs/>
          <w:u w:val="single"/>
        </w:rPr>
        <w:t>Provide estimates of annualized cost to the Federal government</w:t>
      </w:r>
      <w:r>
        <w:rPr>
          <w:b/>
          <w:bCs/>
        </w:rPr>
        <w:t>.</w:t>
      </w:r>
    </w:p>
    <w:p w:rsidR="0055786D" w:rsidRDefault="0055786D">
      <w:pPr>
        <w:widowControl/>
        <w:rPr>
          <w:b/>
          <w:bCs/>
        </w:rPr>
      </w:pPr>
    </w:p>
    <w:p w:rsidRPr="002069A6" w:rsidR="0055786D" w:rsidP="00A86D44" w:rsidRDefault="0055786D">
      <w:pPr>
        <w:pStyle w:val="BodyText"/>
        <w:rPr>
          <w:b/>
          <w:bCs/>
        </w:rPr>
      </w:pPr>
      <w:r w:rsidRPr="002069A6">
        <w:t xml:space="preserve">The average public sector salary for processing the licenses is $25.00 per hour.  </w:t>
      </w:r>
    </w:p>
    <w:p w:rsidRPr="002069A6" w:rsidR="0055786D" w:rsidP="0055786D" w:rsidRDefault="0055786D">
      <w:pPr>
        <w:pStyle w:val="BodyText"/>
        <w:ind w:left="360"/>
        <w:rPr>
          <w:b/>
          <w:bCs/>
        </w:rPr>
      </w:pPr>
    </w:p>
    <w:p w:rsidRPr="002069A6" w:rsidR="0055786D" w:rsidP="0055786D" w:rsidRDefault="0055786D">
      <w:pPr>
        <w:pStyle w:val="BodyText"/>
        <w:ind w:left="360"/>
        <w:rPr>
          <w:b/>
          <w:bCs/>
        </w:rPr>
      </w:pPr>
      <w:proofErr w:type="gramStart"/>
      <w:r w:rsidRPr="002069A6">
        <w:rPr>
          <w:b/>
          <w:bCs/>
        </w:rPr>
        <w:t>Form</w:t>
      </w:r>
      <w:proofErr w:type="gramEnd"/>
      <w:r w:rsidRPr="002069A6">
        <w:rPr>
          <w:b/>
          <w:bCs/>
        </w:rPr>
        <w:tab/>
        <w:t xml:space="preserve">      </w:t>
      </w:r>
      <w:r w:rsidRPr="002069A6" w:rsidR="00EB056C">
        <w:rPr>
          <w:b/>
          <w:bCs/>
        </w:rPr>
        <w:tab/>
      </w:r>
      <w:r w:rsidRPr="002069A6">
        <w:rPr>
          <w:b/>
          <w:bCs/>
        </w:rPr>
        <w:t>Time to</w:t>
      </w:r>
      <w:r w:rsidRPr="002069A6">
        <w:rPr>
          <w:b/>
          <w:bCs/>
        </w:rPr>
        <w:tab/>
      </w:r>
      <w:r w:rsidRPr="002069A6">
        <w:rPr>
          <w:b/>
          <w:bCs/>
        </w:rPr>
        <w:tab/>
        <w:t>Number of</w:t>
      </w:r>
      <w:r w:rsidRPr="002069A6">
        <w:rPr>
          <w:b/>
          <w:bCs/>
        </w:rPr>
        <w:tab/>
      </w:r>
      <w:r w:rsidRPr="002069A6">
        <w:rPr>
          <w:b/>
          <w:bCs/>
        </w:rPr>
        <w:tab/>
        <w:t>Total</w:t>
      </w:r>
    </w:p>
    <w:p w:rsidRPr="002069A6" w:rsidR="0055786D" w:rsidP="0055786D" w:rsidRDefault="0055786D">
      <w:pPr>
        <w:pStyle w:val="BodyText"/>
        <w:ind w:left="360"/>
        <w:rPr>
          <w:b/>
          <w:bCs/>
          <w:u w:val="single"/>
        </w:rPr>
      </w:pPr>
      <w:r w:rsidRPr="002069A6">
        <w:rPr>
          <w:b/>
          <w:bCs/>
          <w:u w:val="single"/>
        </w:rPr>
        <w:t xml:space="preserve">Used      </w:t>
      </w:r>
      <w:r w:rsidRPr="002069A6">
        <w:rPr>
          <w:b/>
          <w:bCs/>
          <w:u w:val="single"/>
        </w:rPr>
        <w:tab/>
        <w:t xml:space="preserve">      </w:t>
      </w:r>
      <w:r w:rsidRPr="002069A6" w:rsidR="00EB056C">
        <w:rPr>
          <w:b/>
          <w:bCs/>
          <w:u w:val="single"/>
        </w:rPr>
        <w:tab/>
      </w:r>
      <w:r w:rsidRPr="002069A6">
        <w:rPr>
          <w:b/>
          <w:bCs/>
          <w:u w:val="single"/>
        </w:rPr>
        <w:t>Process</w:t>
      </w:r>
      <w:r w:rsidRPr="002069A6">
        <w:rPr>
          <w:b/>
          <w:bCs/>
          <w:u w:val="single"/>
        </w:rPr>
        <w:tab/>
      </w:r>
      <w:r w:rsidRPr="002069A6">
        <w:rPr>
          <w:b/>
          <w:bCs/>
          <w:u w:val="single"/>
        </w:rPr>
        <w:tab/>
        <w:t>Responses</w:t>
      </w:r>
      <w:r w:rsidRPr="002069A6">
        <w:rPr>
          <w:b/>
          <w:bCs/>
          <w:u w:val="single"/>
        </w:rPr>
        <w:tab/>
      </w:r>
      <w:r w:rsidRPr="002069A6">
        <w:rPr>
          <w:b/>
          <w:bCs/>
          <w:u w:val="single"/>
        </w:rPr>
        <w:tab/>
        <w:t>Hours</w:t>
      </w:r>
    </w:p>
    <w:p w:rsidRPr="002069A6" w:rsidR="0055786D" w:rsidP="0055786D" w:rsidRDefault="0055786D">
      <w:pPr>
        <w:pStyle w:val="BodyText"/>
        <w:ind w:left="360"/>
        <w:rPr>
          <w:b/>
          <w:bCs/>
        </w:rPr>
      </w:pPr>
    </w:p>
    <w:p w:rsidRPr="002069A6" w:rsidR="00EB056C" w:rsidP="00EB056C" w:rsidRDefault="0055786D">
      <w:pPr>
        <w:pStyle w:val="BodyText"/>
        <w:ind w:left="360"/>
        <w:rPr>
          <w:color w:val="auto"/>
        </w:rPr>
      </w:pPr>
      <w:r w:rsidRPr="002069A6">
        <w:t xml:space="preserve">License           </w:t>
      </w:r>
      <w:r w:rsidRPr="002069A6" w:rsidR="00EB056C">
        <w:tab/>
      </w:r>
      <w:r w:rsidRPr="002069A6">
        <w:t xml:space="preserve">30 </w:t>
      </w:r>
      <w:r w:rsidRPr="002069A6" w:rsidR="00EB056C">
        <w:t>s</w:t>
      </w:r>
      <w:r w:rsidRPr="002069A6">
        <w:t>econds</w:t>
      </w:r>
      <w:r w:rsidRPr="002069A6">
        <w:tab/>
      </w:r>
      <w:r w:rsidRPr="002069A6">
        <w:tab/>
      </w:r>
      <w:r w:rsidRPr="002069A6" w:rsidR="00193342">
        <w:rPr>
          <w:color w:val="auto"/>
        </w:rPr>
        <w:t>563,107</w:t>
      </w:r>
      <w:r w:rsidRPr="002069A6" w:rsidR="00EB056C">
        <w:rPr>
          <w:color w:val="auto"/>
        </w:rPr>
        <w:tab/>
      </w:r>
      <w:r w:rsidRPr="002069A6" w:rsidR="00EB056C">
        <w:rPr>
          <w:color w:val="auto"/>
        </w:rPr>
        <w:tab/>
        <w:t>4,6</w:t>
      </w:r>
      <w:r w:rsidRPr="002069A6" w:rsidR="00193342">
        <w:rPr>
          <w:color w:val="auto"/>
        </w:rPr>
        <w:t>93</w:t>
      </w:r>
    </w:p>
    <w:p w:rsidRPr="002069A6" w:rsidR="0055786D" w:rsidP="0055786D" w:rsidRDefault="00EB056C">
      <w:pPr>
        <w:pStyle w:val="BodyText"/>
        <w:ind w:left="360"/>
      </w:pPr>
      <w:r w:rsidRPr="002069A6">
        <w:t>Opt-out Form</w:t>
      </w:r>
      <w:proofErr w:type="gramStart"/>
      <w:r w:rsidRPr="002069A6" w:rsidR="0055786D">
        <w:tab/>
      </w:r>
      <w:r w:rsidRPr="002069A6">
        <w:t xml:space="preserve">  5</w:t>
      </w:r>
      <w:proofErr w:type="gramEnd"/>
      <w:r w:rsidRPr="002069A6">
        <w:t xml:space="preserve"> seconds</w:t>
      </w:r>
      <w:r w:rsidRPr="002069A6" w:rsidR="0055786D">
        <w:tab/>
        <w:t xml:space="preserve">      </w:t>
      </w:r>
      <w:r w:rsidRPr="002069A6">
        <w:tab/>
        <w:t xml:space="preserve">       250</w:t>
      </w:r>
      <w:r w:rsidRPr="002069A6" w:rsidR="00967152">
        <w:tab/>
        <w:t xml:space="preserve">           </w:t>
      </w:r>
      <w:r w:rsidR="00FE782E">
        <w:t xml:space="preserve"> </w:t>
      </w:r>
      <w:r w:rsidRPr="002069A6" w:rsidR="00967152">
        <w:t>N/A</w:t>
      </w:r>
    </w:p>
    <w:p w:rsidRPr="002069A6" w:rsidR="00967152" w:rsidP="0055786D" w:rsidRDefault="00967152">
      <w:pPr>
        <w:pStyle w:val="BodyText"/>
        <w:ind w:left="360"/>
      </w:pPr>
    </w:p>
    <w:p w:rsidRPr="002069A6" w:rsidR="00967152" w:rsidP="00967152" w:rsidRDefault="00967152">
      <w:pPr>
        <w:pStyle w:val="BodyText"/>
        <w:ind w:left="360"/>
        <w:rPr>
          <w:color w:val="auto"/>
        </w:rPr>
      </w:pPr>
      <w:r w:rsidRPr="002069A6">
        <w:rPr>
          <w:color w:val="auto"/>
        </w:rPr>
        <w:t>Cost to Government: Total Hours (4,6</w:t>
      </w:r>
      <w:r w:rsidRPr="002069A6" w:rsidR="00193342">
        <w:rPr>
          <w:color w:val="auto"/>
        </w:rPr>
        <w:t>93</w:t>
      </w:r>
      <w:r w:rsidRPr="002069A6">
        <w:rPr>
          <w:color w:val="auto"/>
        </w:rPr>
        <w:t>) x Avg. Salary ($25/hour) = $11</w:t>
      </w:r>
      <w:r w:rsidRPr="002069A6" w:rsidR="00193342">
        <w:rPr>
          <w:color w:val="auto"/>
        </w:rPr>
        <w:t>7</w:t>
      </w:r>
      <w:r w:rsidRPr="002069A6">
        <w:rPr>
          <w:color w:val="auto"/>
        </w:rPr>
        <w:t>,</w:t>
      </w:r>
      <w:r w:rsidRPr="002069A6" w:rsidR="00193342">
        <w:rPr>
          <w:color w:val="auto"/>
        </w:rPr>
        <w:t>313</w:t>
      </w:r>
      <w:r w:rsidRPr="002069A6">
        <w:rPr>
          <w:color w:val="auto"/>
        </w:rPr>
        <w:t>.</w:t>
      </w:r>
    </w:p>
    <w:p w:rsidRPr="00967152" w:rsidR="00967152" w:rsidP="00967152" w:rsidRDefault="00967152">
      <w:pPr>
        <w:pStyle w:val="BodyText"/>
        <w:ind w:left="360"/>
        <w:rPr>
          <w:color w:val="auto"/>
        </w:rPr>
      </w:pPr>
      <w:r w:rsidRPr="002069A6">
        <w:rPr>
          <w:color w:val="auto"/>
        </w:rPr>
        <w:t>Processing and issuance of the license is done electronically.</w:t>
      </w:r>
      <w:r w:rsidRPr="00967152">
        <w:rPr>
          <w:color w:val="auto"/>
        </w:rPr>
        <w:t xml:space="preserve">  </w:t>
      </w:r>
    </w:p>
    <w:p w:rsidR="00FD5A8E" w:rsidRDefault="00FD5A8E">
      <w:pPr>
        <w:widowControl/>
        <w:rPr>
          <w:b/>
          <w:bCs/>
        </w:rPr>
      </w:pPr>
    </w:p>
    <w:p w:rsidR="005D7168" w:rsidRDefault="005D7168">
      <w:pPr>
        <w:widowControl/>
        <w:rPr>
          <w:b/>
          <w:bCs/>
        </w:rPr>
      </w:pPr>
    </w:p>
    <w:p w:rsidR="00136E5A" w:rsidRDefault="00136E5A">
      <w:pPr>
        <w:widowControl/>
        <w:rPr>
          <w:b/>
          <w:bCs/>
        </w:rPr>
      </w:pPr>
      <w:r>
        <w:rPr>
          <w:b/>
          <w:bCs/>
        </w:rPr>
        <w:t xml:space="preserve">15.  </w:t>
      </w:r>
      <w:r>
        <w:rPr>
          <w:b/>
          <w:bCs/>
          <w:u w:val="single"/>
        </w:rPr>
        <w:t>Explain the reasons for any program changes or adjustments</w:t>
      </w:r>
      <w:r>
        <w:rPr>
          <w:b/>
          <w:bCs/>
        </w:rPr>
        <w:t>.</w:t>
      </w:r>
    </w:p>
    <w:p w:rsidR="00A86D44" w:rsidP="0055786D" w:rsidRDefault="00A86D44">
      <w:pPr>
        <w:rPr>
          <w:bCs/>
        </w:rPr>
      </w:pPr>
    </w:p>
    <w:p w:rsidR="0055786D" w:rsidP="0055786D" w:rsidRDefault="00B3691F">
      <w:r>
        <w:rPr>
          <w:bCs/>
        </w:rPr>
        <w:t xml:space="preserve">Commerce proposes to </w:t>
      </w:r>
      <w:r w:rsidR="005A6405">
        <w:rPr>
          <w:bCs/>
        </w:rPr>
        <w:t xml:space="preserve">make two changes to the information collected in the Steel Import License form.  First, Commerce will </w:t>
      </w:r>
      <w:r>
        <w:rPr>
          <w:bCs/>
        </w:rPr>
        <w:t xml:space="preserve">require license applicants </w:t>
      </w:r>
      <w:r w:rsidRPr="00B3691F">
        <w:rPr>
          <w:bCs/>
        </w:rPr>
        <w:t>to identify the country where the steel used in the manufacture of the imported steel product was melted and poured</w:t>
      </w:r>
      <w:r>
        <w:rPr>
          <w:bCs/>
        </w:rPr>
        <w:t xml:space="preserve">.  </w:t>
      </w:r>
      <w:r w:rsidR="005A6405">
        <w:rPr>
          <w:bCs/>
        </w:rPr>
        <w:t>Second</w:t>
      </w:r>
      <w:r>
        <w:rPr>
          <w:bCs/>
        </w:rPr>
        <w:t xml:space="preserve">, </w:t>
      </w:r>
      <w:r w:rsidRPr="005A6405" w:rsidR="005A6405">
        <w:rPr>
          <w:bCs/>
        </w:rPr>
        <w:t>the licensing requirement will be expanded to apply to all steel products, including 8 additional HTS categories in addition to the approximately 780 HTS categories currently covered by the SIMA system.</w:t>
      </w:r>
      <w:r w:rsidR="005A6405">
        <w:rPr>
          <w:bCs/>
        </w:rPr>
        <w:t xml:space="preserve">  These changes are reflected in the responses to questions 12 and 14.     </w:t>
      </w:r>
      <w:r>
        <w:rPr>
          <w:bCs/>
        </w:rPr>
        <w:t xml:space="preserve"> </w:t>
      </w:r>
    </w:p>
    <w:p w:rsidR="0055786D" w:rsidP="0055786D" w:rsidRDefault="0055786D"/>
    <w:p w:rsidR="005D7168" w:rsidP="0055786D" w:rsidRDefault="005D7168"/>
    <w:p w:rsidR="00136E5A" w:rsidRDefault="00136E5A">
      <w:pPr>
        <w:widowControl/>
        <w:rPr>
          <w:b/>
          <w:bCs/>
        </w:rPr>
      </w:pPr>
      <w:r>
        <w:rPr>
          <w:b/>
          <w:bCs/>
        </w:rPr>
        <w:t xml:space="preserve">16.  </w:t>
      </w:r>
      <w:r>
        <w:rPr>
          <w:b/>
          <w:bCs/>
          <w:u w:val="single"/>
        </w:rPr>
        <w:t>For collections whose results will be published, outline the plans for tabulation and publication</w:t>
      </w:r>
      <w:r>
        <w:rPr>
          <w:b/>
          <w:bCs/>
        </w:rPr>
        <w:t>.</w:t>
      </w:r>
    </w:p>
    <w:p w:rsidR="00A86D44" w:rsidP="00A86D44" w:rsidRDefault="00A86D44"/>
    <w:p w:rsidR="0055786D" w:rsidP="00A86D44" w:rsidRDefault="0055786D">
      <w:pPr>
        <w:rPr>
          <w:bCs/>
        </w:rPr>
      </w:pPr>
      <w:r>
        <w:t>Summary data produced from the information collected in the Steel Import License form will be posted on the Internet and updated weekly to result in a rolling monthly average.  No complex analytical techniques will be used.</w:t>
      </w:r>
      <w:r w:rsidRPr="000A3EAE">
        <w:rPr>
          <w:bCs/>
        </w:rPr>
        <w:t xml:space="preserve"> </w:t>
      </w:r>
    </w:p>
    <w:p w:rsidR="00C32B47" w:rsidP="00A86D44" w:rsidRDefault="00C32B47">
      <w:pPr>
        <w:rPr>
          <w:bCs/>
        </w:rPr>
      </w:pPr>
    </w:p>
    <w:p w:rsidRPr="00E647E7" w:rsidR="00C32B47" w:rsidP="00A86D44" w:rsidRDefault="00C32B47">
      <w:pPr>
        <w:rPr>
          <w:bCs/>
        </w:rPr>
      </w:pPr>
    </w:p>
    <w:p w:rsidR="00136E5A" w:rsidRDefault="00136E5A">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rsidRDefault="00136E5A">
      <w:pPr>
        <w:widowControl/>
      </w:pPr>
    </w:p>
    <w:p w:rsidR="0055786D" w:rsidP="00A86D44" w:rsidRDefault="0055786D">
      <w:r>
        <w:t>N/A</w:t>
      </w:r>
      <w:r w:rsidR="00A86D44">
        <w:t>.</w:t>
      </w:r>
    </w:p>
    <w:p w:rsidR="00136E5A" w:rsidRDefault="00136E5A">
      <w:pPr>
        <w:widowControl/>
        <w:rPr>
          <w:rFonts w:ascii="Shruti" w:hAnsi="Shruti" w:cs="Shruti"/>
        </w:rPr>
      </w:pPr>
    </w:p>
    <w:p w:rsidR="00FD5A8E" w:rsidRDefault="00FD5A8E">
      <w:pPr>
        <w:widowControl/>
        <w:rPr>
          <w:b/>
          <w:bCs/>
        </w:rPr>
      </w:pPr>
    </w:p>
    <w:p w:rsidR="00136E5A" w:rsidRDefault="00136E5A">
      <w:pPr>
        <w:widowControl/>
        <w:rPr>
          <w:b/>
          <w:bCs/>
        </w:rPr>
      </w:pPr>
      <w:r>
        <w:rPr>
          <w:b/>
          <w:bCs/>
        </w:rPr>
        <w:t xml:space="preserve">18.  </w:t>
      </w:r>
      <w:r>
        <w:rPr>
          <w:b/>
          <w:bCs/>
          <w:u w:val="single"/>
        </w:rPr>
        <w:t>Explain each exception to the certification statement</w:t>
      </w:r>
      <w:r>
        <w:rPr>
          <w:b/>
          <w:bCs/>
        </w:rPr>
        <w:t>.</w:t>
      </w:r>
    </w:p>
    <w:p w:rsidR="0055786D" w:rsidRDefault="0055786D">
      <w:pPr>
        <w:widowControl/>
        <w:rPr>
          <w:b/>
          <w:bCs/>
        </w:rPr>
      </w:pPr>
    </w:p>
    <w:p w:rsidR="0055786D" w:rsidP="00A86D44" w:rsidRDefault="0055786D">
      <w:r>
        <w:t>N/A</w:t>
      </w:r>
      <w:r w:rsidR="00A86D44">
        <w:t>.</w:t>
      </w:r>
    </w:p>
    <w:p w:rsidR="00C002D3" w:rsidRDefault="00C002D3">
      <w:pPr>
        <w:widowControl/>
        <w:rPr>
          <w:rFonts w:ascii="Shruti" w:hAnsi="Shruti" w:cs="Shruti"/>
        </w:rPr>
      </w:pPr>
    </w:p>
    <w:p w:rsidR="00FD5A8E" w:rsidP="00C002D3" w:rsidRDefault="00FD5A8E">
      <w:pPr>
        <w:widowControl/>
        <w:rPr>
          <w:b/>
          <w:bCs/>
        </w:rPr>
      </w:pPr>
    </w:p>
    <w:p w:rsidR="00C002D3" w:rsidP="00C002D3" w:rsidRDefault="00C002D3">
      <w:pPr>
        <w:widowControl/>
      </w:pPr>
      <w:r>
        <w:rPr>
          <w:b/>
          <w:bCs/>
        </w:rPr>
        <w:t>B.  COLLECTIONS OF INFORMATION EMPLOYING STATISTICAL METHODS</w:t>
      </w:r>
    </w:p>
    <w:p w:rsidR="00A86D44" w:rsidP="00A86D44" w:rsidRDefault="00A86D44"/>
    <w:p w:rsidRPr="009275FD" w:rsidR="0055786D" w:rsidP="00CB7A75" w:rsidRDefault="0055786D">
      <w:r w:rsidRPr="009275FD">
        <w:t>The collection does not employ statistical methods.</w:t>
      </w:r>
    </w:p>
    <w:sectPr w:rsidRPr="009275FD" w:rsidR="0055786D" w:rsidSect="00136E5A">
      <w:footerReference w:type="default" r:id="rId12"/>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3E2" w:rsidRDefault="007F63E2">
      <w:r>
        <w:separator/>
      </w:r>
    </w:p>
  </w:endnote>
  <w:endnote w:type="continuationSeparator" w:id="0">
    <w:p w:rsidR="007F63E2" w:rsidRDefault="007F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52" w:rsidRDefault="00967152">
    <w:pPr>
      <w:spacing w:line="240" w:lineRule="exact"/>
    </w:pPr>
  </w:p>
  <w:p w:rsidR="00967152" w:rsidRDefault="00967152">
    <w:pPr>
      <w:framePr w:w="9361" w:wrap="notBeside" w:vAnchor="text" w:hAnchor="text" w:x="1" w:y="1"/>
      <w:jc w:val="center"/>
    </w:pPr>
    <w:r>
      <w:fldChar w:fldCharType="begin"/>
    </w:r>
    <w:r>
      <w:instrText xml:space="preserve">PAGE </w:instrText>
    </w:r>
    <w:r>
      <w:fldChar w:fldCharType="separate"/>
    </w:r>
    <w:r w:rsidR="001F16D0">
      <w:rPr>
        <w:noProof/>
      </w:rPr>
      <w:t>1</w:t>
    </w:r>
    <w:r>
      <w:fldChar w:fldCharType="end"/>
    </w:r>
  </w:p>
  <w:p w:rsidR="00967152" w:rsidRDefault="00967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3E2" w:rsidRDefault="007F63E2">
      <w:r>
        <w:separator/>
      </w:r>
    </w:p>
  </w:footnote>
  <w:footnote w:type="continuationSeparator" w:id="0">
    <w:p w:rsidR="007F63E2" w:rsidRDefault="007F6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63774"/>
    <w:multiLevelType w:val="hybridMultilevel"/>
    <w:tmpl w:val="7D98D1B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A9D57BE"/>
    <w:multiLevelType w:val="hybridMultilevel"/>
    <w:tmpl w:val="E55C8F1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7B175E"/>
    <w:multiLevelType w:val="hybridMultilevel"/>
    <w:tmpl w:val="113EC3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BE3E07"/>
    <w:multiLevelType w:val="hybridMultilevel"/>
    <w:tmpl w:val="D3E6D4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A"/>
    <w:rsid w:val="000148FB"/>
    <w:rsid w:val="000367E7"/>
    <w:rsid w:val="00036803"/>
    <w:rsid w:val="00047DD6"/>
    <w:rsid w:val="00077546"/>
    <w:rsid w:val="000C79A1"/>
    <w:rsid w:val="000D450D"/>
    <w:rsid w:val="000D4558"/>
    <w:rsid w:val="000D58D5"/>
    <w:rsid w:val="00102ABB"/>
    <w:rsid w:val="00123132"/>
    <w:rsid w:val="00136E5A"/>
    <w:rsid w:val="00193342"/>
    <w:rsid w:val="00193D12"/>
    <w:rsid w:val="001B5B40"/>
    <w:rsid w:val="001B5C62"/>
    <w:rsid w:val="001B6D3D"/>
    <w:rsid w:val="001C3089"/>
    <w:rsid w:val="001C5798"/>
    <w:rsid w:val="001D09E6"/>
    <w:rsid w:val="001F0975"/>
    <w:rsid w:val="001F16D0"/>
    <w:rsid w:val="00200BEB"/>
    <w:rsid w:val="00205B67"/>
    <w:rsid w:val="002069A6"/>
    <w:rsid w:val="00221709"/>
    <w:rsid w:val="00260C5C"/>
    <w:rsid w:val="00280000"/>
    <w:rsid w:val="002A2FD3"/>
    <w:rsid w:val="002A447C"/>
    <w:rsid w:val="002A796B"/>
    <w:rsid w:val="002A7D7D"/>
    <w:rsid w:val="002B4048"/>
    <w:rsid w:val="002B6BAC"/>
    <w:rsid w:val="002C4655"/>
    <w:rsid w:val="002D73D7"/>
    <w:rsid w:val="002D7CD8"/>
    <w:rsid w:val="00300D4F"/>
    <w:rsid w:val="00304634"/>
    <w:rsid w:val="00313DEB"/>
    <w:rsid w:val="00313EE9"/>
    <w:rsid w:val="00314E90"/>
    <w:rsid w:val="00315636"/>
    <w:rsid w:val="003201A6"/>
    <w:rsid w:val="00322168"/>
    <w:rsid w:val="00347DD2"/>
    <w:rsid w:val="00350261"/>
    <w:rsid w:val="00364DD0"/>
    <w:rsid w:val="00387584"/>
    <w:rsid w:val="00396CAD"/>
    <w:rsid w:val="003A506A"/>
    <w:rsid w:val="003B2D36"/>
    <w:rsid w:val="003B602B"/>
    <w:rsid w:val="003C00B7"/>
    <w:rsid w:val="003D4491"/>
    <w:rsid w:val="003E6487"/>
    <w:rsid w:val="00405A14"/>
    <w:rsid w:val="00425A6E"/>
    <w:rsid w:val="00431975"/>
    <w:rsid w:val="00432489"/>
    <w:rsid w:val="00434B25"/>
    <w:rsid w:val="00440C5D"/>
    <w:rsid w:val="00447AAB"/>
    <w:rsid w:val="004825A7"/>
    <w:rsid w:val="004A688C"/>
    <w:rsid w:val="004B3627"/>
    <w:rsid w:val="004B6333"/>
    <w:rsid w:val="00507EDC"/>
    <w:rsid w:val="00514C84"/>
    <w:rsid w:val="00515BA5"/>
    <w:rsid w:val="00530037"/>
    <w:rsid w:val="005424F8"/>
    <w:rsid w:val="00550C43"/>
    <w:rsid w:val="00551759"/>
    <w:rsid w:val="0055786D"/>
    <w:rsid w:val="005A6405"/>
    <w:rsid w:val="005A664B"/>
    <w:rsid w:val="005D7168"/>
    <w:rsid w:val="005F2FB2"/>
    <w:rsid w:val="006021F6"/>
    <w:rsid w:val="00605E21"/>
    <w:rsid w:val="00617F07"/>
    <w:rsid w:val="00647EC1"/>
    <w:rsid w:val="00661676"/>
    <w:rsid w:val="00682906"/>
    <w:rsid w:val="006A2900"/>
    <w:rsid w:val="006D3776"/>
    <w:rsid w:val="006D4DB1"/>
    <w:rsid w:val="00730882"/>
    <w:rsid w:val="00734522"/>
    <w:rsid w:val="0074410D"/>
    <w:rsid w:val="0074688B"/>
    <w:rsid w:val="007610A9"/>
    <w:rsid w:val="007734CD"/>
    <w:rsid w:val="00783841"/>
    <w:rsid w:val="00783A18"/>
    <w:rsid w:val="00787BC9"/>
    <w:rsid w:val="007950AD"/>
    <w:rsid w:val="00795189"/>
    <w:rsid w:val="007A7A7E"/>
    <w:rsid w:val="007C0080"/>
    <w:rsid w:val="007C5587"/>
    <w:rsid w:val="007E1A15"/>
    <w:rsid w:val="007F63E2"/>
    <w:rsid w:val="008074B8"/>
    <w:rsid w:val="00811A29"/>
    <w:rsid w:val="008146FE"/>
    <w:rsid w:val="00814CF5"/>
    <w:rsid w:val="00816A2C"/>
    <w:rsid w:val="00816B4D"/>
    <w:rsid w:val="00832D19"/>
    <w:rsid w:val="00836E4C"/>
    <w:rsid w:val="00870867"/>
    <w:rsid w:val="00872B9E"/>
    <w:rsid w:val="00873B3E"/>
    <w:rsid w:val="00883897"/>
    <w:rsid w:val="0089115C"/>
    <w:rsid w:val="00891FBB"/>
    <w:rsid w:val="008A1DAB"/>
    <w:rsid w:val="008A7F2A"/>
    <w:rsid w:val="008B5C3B"/>
    <w:rsid w:val="008E5E13"/>
    <w:rsid w:val="009159EC"/>
    <w:rsid w:val="009341A7"/>
    <w:rsid w:val="009428AE"/>
    <w:rsid w:val="00967152"/>
    <w:rsid w:val="009A4899"/>
    <w:rsid w:val="009B3550"/>
    <w:rsid w:val="009B6E63"/>
    <w:rsid w:val="009D0847"/>
    <w:rsid w:val="009D311F"/>
    <w:rsid w:val="00A32D72"/>
    <w:rsid w:val="00A638C4"/>
    <w:rsid w:val="00A86D44"/>
    <w:rsid w:val="00AA031B"/>
    <w:rsid w:val="00AB1D69"/>
    <w:rsid w:val="00B07AC0"/>
    <w:rsid w:val="00B151D3"/>
    <w:rsid w:val="00B22B8E"/>
    <w:rsid w:val="00B354D3"/>
    <w:rsid w:val="00B3691F"/>
    <w:rsid w:val="00B4095B"/>
    <w:rsid w:val="00B45D05"/>
    <w:rsid w:val="00B65D45"/>
    <w:rsid w:val="00B738D8"/>
    <w:rsid w:val="00B93523"/>
    <w:rsid w:val="00BD19D8"/>
    <w:rsid w:val="00C002D3"/>
    <w:rsid w:val="00C1170A"/>
    <w:rsid w:val="00C1560A"/>
    <w:rsid w:val="00C21E53"/>
    <w:rsid w:val="00C32B47"/>
    <w:rsid w:val="00C46907"/>
    <w:rsid w:val="00C7573E"/>
    <w:rsid w:val="00CB7A75"/>
    <w:rsid w:val="00CC72D2"/>
    <w:rsid w:val="00CE3188"/>
    <w:rsid w:val="00CF342D"/>
    <w:rsid w:val="00CF67BD"/>
    <w:rsid w:val="00D07872"/>
    <w:rsid w:val="00D271C2"/>
    <w:rsid w:val="00D37041"/>
    <w:rsid w:val="00D418C0"/>
    <w:rsid w:val="00D46401"/>
    <w:rsid w:val="00D7199A"/>
    <w:rsid w:val="00D8340E"/>
    <w:rsid w:val="00D878BA"/>
    <w:rsid w:val="00DB2457"/>
    <w:rsid w:val="00DC7587"/>
    <w:rsid w:val="00DD4F3C"/>
    <w:rsid w:val="00E16C1B"/>
    <w:rsid w:val="00E475D8"/>
    <w:rsid w:val="00E5700D"/>
    <w:rsid w:val="00E75891"/>
    <w:rsid w:val="00E834EF"/>
    <w:rsid w:val="00E96062"/>
    <w:rsid w:val="00EA2F6E"/>
    <w:rsid w:val="00EB056C"/>
    <w:rsid w:val="00EB3578"/>
    <w:rsid w:val="00F00E43"/>
    <w:rsid w:val="00F05C4D"/>
    <w:rsid w:val="00F12580"/>
    <w:rsid w:val="00F411FB"/>
    <w:rsid w:val="00F96315"/>
    <w:rsid w:val="00FC32B4"/>
    <w:rsid w:val="00FC67B2"/>
    <w:rsid w:val="00FD5A8E"/>
    <w:rsid w:val="00FE782E"/>
    <w:rsid w:val="00FF16B5"/>
    <w:rsid w:val="00FF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9159EC"/>
    <w:pPr>
      <w:tabs>
        <w:tab w:val="center" w:pos="4680"/>
        <w:tab w:val="right" w:pos="9360"/>
      </w:tabs>
    </w:pPr>
  </w:style>
  <w:style w:type="character" w:customStyle="1" w:styleId="HeaderChar">
    <w:name w:val="Header Char"/>
    <w:link w:val="Header"/>
    <w:rsid w:val="009159EC"/>
    <w:rPr>
      <w:sz w:val="24"/>
      <w:szCs w:val="24"/>
    </w:rPr>
  </w:style>
  <w:style w:type="paragraph" w:styleId="Footer">
    <w:name w:val="footer"/>
    <w:basedOn w:val="Normal"/>
    <w:link w:val="FooterChar"/>
    <w:rsid w:val="009159EC"/>
    <w:pPr>
      <w:tabs>
        <w:tab w:val="center" w:pos="4680"/>
        <w:tab w:val="right" w:pos="9360"/>
      </w:tabs>
    </w:pPr>
  </w:style>
  <w:style w:type="character" w:customStyle="1" w:styleId="FooterChar">
    <w:name w:val="Footer Char"/>
    <w:link w:val="Footer"/>
    <w:rsid w:val="009159EC"/>
    <w:rPr>
      <w:sz w:val="24"/>
      <w:szCs w:val="24"/>
    </w:rPr>
  </w:style>
  <w:style w:type="paragraph" w:styleId="BodyText">
    <w:name w:val="Body Text"/>
    <w:basedOn w:val="Normal"/>
    <w:link w:val="BodyTextChar"/>
    <w:rsid w:val="00425A6E"/>
    <w:pPr>
      <w:widowControl/>
      <w:autoSpaceDE/>
      <w:autoSpaceDN/>
      <w:adjustRightInd/>
    </w:pPr>
    <w:rPr>
      <w:color w:val="000000"/>
    </w:rPr>
  </w:style>
  <w:style w:type="character" w:customStyle="1" w:styleId="BodyTextChar">
    <w:name w:val="Body Text Char"/>
    <w:link w:val="BodyText"/>
    <w:rsid w:val="00425A6E"/>
    <w:rPr>
      <w:color w:val="000000"/>
      <w:sz w:val="24"/>
      <w:szCs w:val="24"/>
    </w:rPr>
  </w:style>
  <w:style w:type="character" w:styleId="Hyperlink">
    <w:name w:val="Hyperlink"/>
    <w:rsid w:val="00425A6E"/>
    <w:rPr>
      <w:color w:val="0000FF"/>
      <w:u w:val="single"/>
    </w:rPr>
  </w:style>
  <w:style w:type="paragraph" w:styleId="HTMLPreformatted">
    <w:name w:val="HTML Preformatted"/>
    <w:basedOn w:val="Normal"/>
    <w:link w:val="HTMLPreformattedChar"/>
    <w:uiPriority w:val="99"/>
    <w:unhideWhenUsed/>
    <w:rsid w:val="005F2F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5F2FB2"/>
    <w:rPr>
      <w:rFonts w:ascii="Courier New" w:hAnsi="Courier New" w:cs="Courier New"/>
    </w:rPr>
  </w:style>
  <w:style w:type="character" w:styleId="CommentReference">
    <w:name w:val="annotation reference"/>
    <w:rsid w:val="00260C5C"/>
    <w:rPr>
      <w:sz w:val="16"/>
      <w:szCs w:val="16"/>
    </w:rPr>
  </w:style>
  <w:style w:type="paragraph" w:styleId="CommentText">
    <w:name w:val="annotation text"/>
    <w:basedOn w:val="Normal"/>
    <w:link w:val="CommentTextChar"/>
    <w:rsid w:val="00260C5C"/>
    <w:rPr>
      <w:sz w:val="20"/>
      <w:szCs w:val="20"/>
    </w:rPr>
  </w:style>
  <w:style w:type="character" w:customStyle="1" w:styleId="CommentTextChar">
    <w:name w:val="Comment Text Char"/>
    <w:basedOn w:val="DefaultParagraphFont"/>
    <w:link w:val="CommentText"/>
    <w:rsid w:val="00260C5C"/>
  </w:style>
  <w:style w:type="paragraph" w:styleId="CommentSubject">
    <w:name w:val="annotation subject"/>
    <w:basedOn w:val="CommentText"/>
    <w:next w:val="CommentText"/>
    <w:link w:val="CommentSubjectChar"/>
    <w:rsid w:val="00260C5C"/>
    <w:rPr>
      <w:b/>
      <w:bCs/>
    </w:rPr>
  </w:style>
  <w:style w:type="character" w:customStyle="1" w:styleId="CommentSubjectChar">
    <w:name w:val="Comment Subject Char"/>
    <w:link w:val="CommentSubject"/>
    <w:rsid w:val="00260C5C"/>
    <w:rPr>
      <w:b/>
      <w:bCs/>
    </w:rPr>
  </w:style>
  <w:style w:type="paragraph" w:styleId="BalloonText">
    <w:name w:val="Balloon Text"/>
    <w:basedOn w:val="Normal"/>
    <w:link w:val="BalloonTextChar"/>
    <w:rsid w:val="00260C5C"/>
    <w:rPr>
      <w:rFonts w:ascii="Tahoma" w:hAnsi="Tahoma" w:cs="Tahoma"/>
      <w:sz w:val="16"/>
      <w:szCs w:val="16"/>
    </w:rPr>
  </w:style>
  <w:style w:type="character" w:customStyle="1" w:styleId="BalloonTextChar">
    <w:name w:val="Balloon Text Char"/>
    <w:link w:val="BalloonText"/>
    <w:rsid w:val="00260C5C"/>
    <w:rPr>
      <w:rFonts w:ascii="Tahoma" w:hAnsi="Tahoma" w:cs="Tahoma"/>
      <w:sz w:val="16"/>
      <w:szCs w:val="16"/>
    </w:rPr>
  </w:style>
  <w:style w:type="paragraph" w:styleId="ListParagraph">
    <w:name w:val="List Paragraph"/>
    <w:basedOn w:val="Normal"/>
    <w:uiPriority w:val="34"/>
    <w:qFormat/>
    <w:rsid w:val="009B3550"/>
    <w:pPr>
      <w:widowControl/>
      <w:autoSpaceDE/>
      <w:autoSpaceDN/>
      <w:adjustRightInd/>
      <w:ind w:left="720"/>
    </w:pPr>
    <w:rPr>
      <w:rFonts w:ascii="Calibri" w:eastAsia="Calibri" w:hAnsi="Calibri"/>
      <w:sz w:val="22"/>
      <w:szCs w:val="22"/>
    </w:rPr>
  </w:style>
  <w:style w:type="character" w:styleId="FollowedHyperlink">
    <w:name w:val="FollowedHyperlink"/>
    <w:rsid w:val="002C465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02841">
      <w:bodyDiv w:val="1"/>
      <w:marLeft w:val="0"/>
      <w:marRight w:val="0"/>
      <w:marTop w:val="0"/>
      <w:marBottom w:val="0"/>
      <w:divBdr>
        <w:top w:val="none" w:sz="0" w:space="0" w:color="auto"/>
        <w:left w:val="none" w:sz="0" w:space="0" w:color="auto"/>
        <w:bottom w:val="none" w:sz="0" w:space="0" w:color="auto"/>
        <w:right w:val="none" w:sz="0" w:space="0" w:color="auto"/>
      </w:divBdr>
    </w:div>
    <w:div w:id="361979194">
      <w:bodyDiv w:val="1"/>
      <w:marLeft w:val="0"/>
      <w:marRight w:val="0"/>
      <w:marTop w:val="0"/>
      <w:marBottom w:val="0"/>
      <w:divBdr>
        <w:top w:val="none" w:sz="0" w:space="0" w:color="auto"/>
        <w:left w:val="none" w:sz="0" w:space="0" w:color="auto"/>
        <w:bottom w:val="none" w:sz="0" w:space="0" w:color="auto"/>
        <w:right w:val="none" w:sz="0" w:space="0" w:color="auto"/>
      </w:divBdr>
    </w:div>
    <w:div w:id="745104943">
      <w:bodyDiv w:val="1"/>
      <w:marLeft w:val="0"/>
      <w:marRight w:val="0"/>
      <w:marTop w:val="0"/>
      <w:marBottom w:val="0"/>
      <w:divBdr>
        <w:top w:val="none" w:sz="0" w:space="0" w:color="auto"/>
        <w:left w:val="none" w:sz="0" w:space="0" w:color="auto"/>
        <w:bottom w:val="none" w:sz="0" w:space="0" w:color="auto"/>
        <w:right w:val="none" w:sz="0" w:space="0" w:color="auto"/>
      </w:divBdr>
    </w:div>
    <w:div w:id="1955793642">
      <w:bodyDiv w:val="1"/>
      <w:marLeft w:val="0"/>
      <w:marRight w:val="0"/>
      <w:marTop w:val="0"/>
      <w:marBottom w:val="0"/>
      <w:divBdr>
        <w:top w:val="none" w:sz="0" w:space="0" w:color="auto"/>
        <w:left w:val="none" w:sz="0" w:space="0" w:color="auto"/>
        <w:bottom w:val="none" w:sz="0" w:space="0" w:color="auto"/>
        <w:right w:val="none" w:sz="0" w:space="0" w:color="auto"/>
      </w:divBdr>
    </w:div>
    <w:div w:id="209461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nforcement.trade.gov/steel/licens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24C2455A8BDA418BF1415E562BFD24" ma:contentTypeVersion="15" ma:contentTypeDescription="Create a new document." ma:contentTypeScope="" ma:versionID="635951dfe946ee206d9ed5bf0a0227e8">
  <xsd:schema xmlns:xsd="http://www.w3.org/2001/XMLSchema" xmlns:xs="http://www.w3.org/2001/XMLSchema" xmlns:p="http://schemas.microsoft.com/office/2006/metadata/properties" xmlns:ns1="http://schemas.microsoft.com/sharepoint/v3" xmlns:ns3="66cc782b-e304-4ab4-ae15-b027647cf1cc" xmlns:ns4="ddf02a68-9a76-4736-af3d-448b280b205d" targetNamespace="http://schemas.microsoft.com/office/2006/metadata/properties" ma:root="true" ma:fieldsID="768a84fedbe658eff356e092bb55ac17" ns1:_="" ns3:_="" ns4:_="">
    <xsd:import namespace="http://schemas.microsoft.com/sharepoint/v3"/>
    <xsd:import namespace="66cc782b-e304-4ab4-ae15-b027647cf1cc"/>
    <xsd:import namespace="ddf02a68-9a76-4736-af3d-448b280b205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cc782b-e304-4ab4-ae15-b027647cf1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02a68-9a76-4736-af3d-448b280b205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E3954-D5AF-496D-BE2D-D23583BB6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cc782b-e304-4ab4-ae15-b027647cf1cc"/>
    <ds:schemaRef ds:uri="ddf02a68-9a76-4736-af3d-448b280b2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AC5FB-DDA5-4B2F-BA58-F4B30C9045C0}">
  <ds:schemaRefs>
    <ds:schemaRef ds:uri="http://schemas.microsoft.com/sharepoint/v3/contenttype/forms"/>
  </ds:schemaRefs>
</ds:datastoreItem>
</file>

<file path=customXml/itemProps3.xml><?xml version="1.0" encoding="utf-8"?>
<ds:datastoreItem xmlns:ds="http://schemas.openxmlformats.org/officeDocument/2006/customXml" ds:itemID="{8993F56D-1226-4D1B-AD9B-BB3AAE87E462}">
  <ds:schemaRefs>
    <ds:schemaRef ds:uri="http://purl.org/dc/dcmitype/"/>
    <ds:schemaRef ds:uri="http://schemas.microsoft.com/office/infopath/2007/PartnerControls"/>
    <ds:schemaRef ds:uri="http://purl.org/dc/elements/1.1/"/>
    <ds:schemaRef ds:uri="http://schemas.microsoft.com/office/2006/metadata/properties"/>
    <ds:schemaRef ds:uri="66cc782b-e304-4ab4-ae15-b027647cf1cc"/>
    <ds:schemaRef ds:uri="http://schemas.microsoft.com/office/2006/documentManagement/types"/>
    <ds:schemaRef ds:uri="http://schemas.microsoft.com/sharepoint/v3"/>
    <ds:schemaRef ds:uri="http://purl.org/dc/terms/"/>
    <ds:schemaRef ds:uri="http://schemas.openxmlformats.org/package/2006/metadata/core-properties"/>
    <ds:schemaRef ds:uri="ddf02a68-9a76-4736-af3d-448b280b205d"/>
    <ds:schemaRef ds:uri="http://www.w3.org/XML/1998/namespace"/>
  </ds:schemaRefs>
</ds:datastoreItem>
</file>

<file path=customXml/itemProps4.xml><?xml version="1.0" encoding="utf-8"?>
<ds:datastoreItem xmlns:ds="http://schemas.openxmlformats.org/officeDocument/2006/customXml" ds:itemID="{5FCECD0B-AF97-4ECA-9355-6DA94586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Links>
    <vt:vector size="6" baseType="variant">
      <vt:variant>
        <vt:i4>3211391</vt:i4>
      </vt:variant>
      <vt:variant>
        <vt:i4>0</vt:i4>
      </vt:variant>
      <vt:variant>
        <vt:i4>0</vt:i4>
      </vt:variant>
      <vt:variant>
        <vt:i4>5</vt:i4>
      </vt:variant>
      <vt:variant>
        <vt:lpwstr>http://enforcement.trade.gov/steel/license/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2020-05-01T12:33:00Z</dcterms:created>
  <dcterms:modified xsi:type="dcterms:W3CDTF">2020-05-01T12:33:00Z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0x0101005024C2455A8BDA418BF1415E562BFD24</vt:lpwstr>
  </property>
</Properties>
</file>