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3073" w:rsidR="00113073" w:rsidP="00113073" w:rsidRDefault="00113073">
      <w:pPr>
        <w:tabs>
          <w:tab w:val="left" w:pos="540"/>
        </w:tabs>
        <w:ind w:left="540" w:hanging="540"/>
        <w:jc w:val="center"/>
        <w:rPr>
          <w:b/>
          <w:sz w:val="24"/>
          <w:szCs w:val="24"/>
        </w:rPr>
      </w:pPr>
      <w:r w:rsidRPr="00113073">
        <w:rPr>
          <w:b/>
          <w:sz w:val="24"/>
          <w:szCs w:val="24"/>
        </w:rPr>
        <w:t>SUPPORTING STATEMENT</w:t>
      </w:r>
    </w:p>
    <w:p w:rsidRPr="00113073" w:rsidR="00113073" w:rsidP="00113073" w:rsidRDefault="00113073">
      <w:pPr>
        <w:tabs>
          <w:tab w:val="left" w:pos="540"/>
        </w:tabs>
        <w:ind w:left="540" w:hanging="540"/>
        <w:jc w:val="center"/>
        <w:rPr>
          <w:b/>
          <w:sz w:val="24"/>
          <w:szCs w:val="24"/>
        </w:rPr>
      </w:pPr>
      <w:r w:rsidRPr="00113073">
        <w:rPr>
          <w:b/>
          <w:sz w:val="24"/>
          <w:szCs w:val="24"/>
        </w:rPr>
        <w:t>U.S. Department of Commerce</w:t>
      </w:r>
    </w:p>
    <w:p w:rsidRPr="00113073" w:rsidR="00113073" w:rsidP="00113073" w:rsidRDefault="00113073">
      <w:pPr>
        <w:tabs>
          <w:tab w:val="left" w:pos="540"/>
        </w:tabs>
        <w:ind w:left="540" w:hanging="540"/>
        <w:jc w:val="center"/>
        <w:rPr>
          <w:b/>
          <w:sz w:val="24"/>
          <w:szCs w:val="24"/>
        </w:rPr>
      </w:pPr>
      <w:r w:rsidRPr="00113073">
        <w:rPr>
          <w:b/>
          <w:sz w:val="24"/>
          <w:szCs w:val="24"/>
        </w:rPr>
        <w:t>National Oceanic &amp; Atmospheric Administration</w:t>
      </w:r>
    </w:p>
    <w:p w:rsidR="00113073" w:rsidP="00113073" w:rsidRDefault="00113073">
      <w:pPr>
        <w:tabs>
          <w:tab w:val="left" w:pos="540"/>
        </w:tabs>
        <w:ind w:left="540" w:hanging="540"/>
        <w:jc w:val="center"/>
        <w:rPr>
          <w:b/>
          <w:sz w:val="24"/>
          <w:szCs w:val="24"/>
        </w:rPr>
      </w:pPr>
      <w:r>
        <w:rPr>
          <w:b/>
          <w:sz w:val="24"/>
          <w:szCs w:val="24"/>
        </w:rPr>
        <w:t>Surveys to Collect Data on Use of the NOAA National Weather Service</w:t>
      </w:r>
    </w:p>
    <w:p w:rsidRPr="00113073" w:rsidR="00113073" w:rsidP="00113073" w:rsidRDefault="00113073">
      <w:pPr>
        <w:tabs>
          <w:tab w:val="left" w:pos="540"/>
        </w:tabs>
        <w:ind w:left="540" w:hanging="540"/>
        <w:jc w:val="center"/>
        <w:rPr>
          <w:b/>
          <w:sz w:val="24"/>
          <w:szCs w:val="24"/>
        </w:rPr>
      </w:pPr>
      <w:r>
        <w:rPr>
          <w:b/>
          <w:sz w:val="24"/>
          <w:szCs w:val="24"/>
        </w:rPr>
        <w:t>Cone of Uncertainty</w:t>
      </w:r>
    </w:p>
    <w:p w:rsidRPr="00113073" w:rsidR="00113073" w:rsidP="00113073" w:rsidRDefault="00113073">
      <w:pPr>
        <w:tabs>
          <w:tab w:val="left" w:pos="540"/>
        </w:tabs>
        <w:ind w:left="540" w:hanging="540"/>
        <w:jc w:val="center"/>
        <w:rPr>
          <w:b/>
          <w:sz w:val="24"/>
          <w:szCs w:val="24"/>
        </w:rPr>
      </w:pPr>
      <w:r w:rsidRPr="00113073">
        <w:rPr>
          <w:b/>
          <w:sz w:val="24"/>
          <w:szCs w:val="24"/>
        </w:rPr>
        <w:t>OMB Control No. 0648-xxxx</w:t>
      </w:r>
    </w:p>
    <w:p w:rsidRPr="00113073" w:rsidR="00113073" w:rsidP="00113073" w:rsidRDefault="00113073">
      <w:pPr>
        <w:rPr>
          <w:b/>
          <w:sz w:val="24"/>
          <w:szCs w:val="24"/>
        </w:rPr>
      </w:pPr>
    </w:p>
    <w:p w:rsidRPr="00113073" w:rsidR="00113073" w:rsidP="00113073" w:rsidRDefault="00113073">
      <w:pPr>
        <w:rPr>
          <w:b/>
          <w:sz w:val="24"/>
          <w:szCs w:val="24"/>
        </w:rPr>
      </w:pPr>
    </w:p>
    <w:p w:rsidRPr="00113073" w:rsidR="00113073" w:rsidP="00113073" w:rsidRDefault="00113073">
      <w:pPr>
        <w:rPr>
          <w:sz w:val="24"/>
          <w:szCs w:val="24"/>
        </w:rPr>
      </w:pPr>
      <w:r w:rsidRPr="00113073">
        <w:rPr>
          <w:b/>
          <w:sz w:val="24"/>
          <w:szCs w:val="24"/>
        </w:rPr>
        <w:t>B.  COLLECTIONS OF INFORMATION EMPLOYING STATISTICAL METHODS</w:t>
      </w:r>
    </w:p>
    <w:p w:rsidRPr="00113073" w:rsidR="00113073" w:rsidP="00113073" w:rsidRDefault="00113073">
      <w:pPr>
        <w:widowControl w:val="0"/>
        <w:ind w:left="810"/>
      </w:pPr>
    </w:p>
    <w:p w:rsidRPr="00113073" w:rsidR="00113073" w:rsidP="00113073" w:rsidRDefault="00113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113073">
        <w:rPr>
          <w:b/>
          <w:sz w:val="24"/>
          <w:szCs w:val="24"/>
          <w:u w:val="single"/>
        </w:rPr>
        <w:t xml:space="preserve">1.  </w:t>
      </w:r>
      <w:r w:rsidRPr="00113073">
        <w:rPr>
          <w:b/>
          <w:color w:val="000000"/>
          <w:sz w:val="24"/>
          <w:szCs w:val="24"/>
          <w:highlight w:val="white"/>
          <w:u w:val="single"/>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rsidRPr="00113073" w:rsidR="00113073" w:rsidP="00113073" w:rsidRDefault="00113073">
      <w:pPr>
        <w:rPr>
          <w:sz w:val="24"/>
          <w:szCs w:val="24"/>
        </w:rPr>
      </w:pPr>
    </w:p>
    <w:p w:rsidRPr="00113073" w:rsidR="00113073" w:rsidP="00113073" w:rsidRDefault="00113073">
      <w:pPr>
        <w:rPr>
          <w:sz w:val="24"/>
          <w:szCs w:val="24"/>
        </w:rPr>
      </w:pPr>
      <w:r w:rsidRPr="00113073">
        <w:rPr>
          <w:sz w:val="24"/>
          <w:szCs w:val="24"/>
        </w:rPr>
        <w:t>This set of surveys covers four sectors in regions that experience coastal or inland impacts from hurricanes. Table 4 summarizes the estimated populations for each survey, the number of respondents that will be selected, the anticipated response rate, and the targeted respondent number. These estimates are based on conversations with the NWS W</w:t>
      </w:r>
      <w:r w:rsidR="000E1FA2">
        <w:rPr>
          <w:sz w:val="24"/>
          <w:szCs w:val="24"/>
        </w:rPr>
        <w:t xml:space="preserve">eather </w:t>
      </w:r>
      <w:r w:rsidRPr="00113073">
        <w:rPr>
          <w:sz w:val="24"/>
          <w:szCs w:val="24"/>
        </w:rPr>
        <w:t>F</w:t>
      </w:r>
      <w:r w:rsidR="000E1FA2">
        <w:rPr>
          <w:sz w:val="24"/>
          <w:szCs w:val="24"/>
        </w:rPr>
        <w:t xml:space="preserve">orecasting </w:t>
      </w:r>
      <w:r w:rsidRPr="00113073">
        <w:rPr>
          <w:sz w:val="24"/>
          <w:szCs w:val="24"/>
        </w:rPr>
        <w:t>O</w:t>
      </w:r>
      <w:r w:rsidR="000E1FA2">
        <w:rPr>
          <w:sz w:val="24"/>
          <w:szCs w:val="24"/>
        </w:rPr>
        <w:t>ffices (WFOs)</w:t>
      </w:r>
      <w:r w:rsidRPr="00113073">
        <w:rPr>
          <w:sz w:val="24"/>
          <w:szCs w:val="24"/>
        </w:rPr>
        <w:t xml:space="preserve"> and the NOAA managers of the W</w:t>
      </w:r>
      <w:r w:rsidR="000E1FA2">
        <w:rPr>
          <w:sz w:val="24"/>
          <w:szCs w:val="24"/>
        </w:rPr>
        <w:t xml:space="preserve">eather </w:t>
      </w:r>
      <w:r w:rsidRPr="00113073">
        <w:rPr>
          <w:sz w:val="24"/>
          <w:szCs w:val="24"/>
        </w:rPr>
        <w:t>R</w:t>
      </w:r>
      <w:r w:rsidR="000E1FA2">
        <w:rPr>
          <w:sz w:val="24"/>
          <w:szCs w:val="24"/>
        </w:rPr>
        <w:t xml:space="preserve">eady </w:t>
      </w:r>
      <w:r w:rsidRPr="00113073">
        <w:rPr>
          <w:sz w:val="24"/>
          <w:szCs w:val="24"/>
        </w:rPr>
        <w:t>N</w:t>
      </w:r>
      <w:r w:rsidR="000E1FA2">
        <w:rPr>
          <w:sz w:val="24"/>
          <w:szCs w:val="24"/>
        </w:rPr>
        <w:t>ation (WRN)</w:t>
      </w:r>
      <w:r w:rsidRPr="00113073">
        <w:rPr>
          <w:sz w:val="24"/>
          <w:szCs w:val="24"/>
        </w:rPr>
        <w:t xml:space="preserve"> Ambassadors’ Program (see Section A.12, Table 1 for more details). NOAA is not using statistical methods to select the respondents; thus, the targeted number of respondents is the number we expect to respond to the survey.</w:t>
      </w:r>
    </w:p>
    <w:p w:rsidRPr="00113073" w:rsidR="00113073" w:rsidP="00113073" w:rsidRDefault="00113073">
      <w:pPr>
        <w:rPr>
          <w:sz w:val="24"/>
          <w:szCs w:val="24"/>
        </w:rPr>
      </w:pPr>
    </w:p>
    <w:p w:rsidRPr="00113073" w:rsidR="00113073" w:rsidP="00113073" w:rsidRDefault="00113073">
      <w:pPr>
        <w:rPr>
          <w:sz w:val="24"/>
          <w:szCs w:val="24"/>
        </w:rPr>
      </w:pPr>
      <w:r w:rsidRPr="00113073">
        <w:rPr>
          <w:sz w:val="24"/>
          <w:szCs w:val="24"/>
        </w:rPr>
        <w:t>As noted in Question 12 of Section A, the survey respondents can be broken into two broad categories:</w:t>
      </w:r>
    </w:p>
    <w:p w:rsidRPr="00113073" w:rsidR="00113073" w:rsidP="00113073" w:rsidRDefault="00113073">
      <w:pPr>
        <w:rPr>
          <w:b/>
          <w:sz w:val="24"/>
          <w:szCs w:val="24"/>
        </w:rPr>
      </w:pPr>
    </w:p>
    <w:p w:rsidRPr="00113073" w:rsidR="00113073" w:rsidP="00113073" w:rsidRDefault="00113073">
      <w:pPr>
        <w:numPr>
          <w:ilvl w:val="0"/>
          <w:numId w:val="1"/>
        </w:numPr>
        <w:rPr>
          <w:sz w:val="24"/>
          <w:szCs w:val="24"/>
        </w:rPr>
      </w:pPr>
      <w:r w:rsidRPr="00113073">
        <w:rPr>
          <w:b/>
          <w:sz w:val="24"/>
          <w:szCs w:val="24"/>
        </w:rPr>
        <w:t>Respondents on NWS Weather Forecast Office (WFO) lists.</w:t>
      </w:r>
      <w:r w:rsidRPr="00113073">
        <w:rPr>
          <w:sz w:val="24"/>
          <w:szCs w:val="24"/>
        </w:rPr>
        <w:t xml:space="preserve"> The N</w:t>
      </w:r>
      <w:r w:rsidR="000E1FA2">
        <w:rPr>
          <w:sz w:val="24"/>
          <w:szCs w:val="24"/>
        </w:rPr>
        <w:t xml:space="preserve">ational </w:t>
      </w:r>
      <w:r w:rsidRPr="00113073">
        <w:rPr>
          <w:sz w:val="24"/>
          <w:szCs w:val="24"/>
        </w:rPr>
        <w:t>H</w:t>
      </w:r>
      <w:r w:rsidR="000E1FA2">
        <w:rPr>
          <w:sz w:val="24"/>
          <w:szCs w:val="24"/>
        </w:rPr>
        <w:t xml:space="preserve">urricane </w:t>
      </w:r>
      <w:r w:rsidRPr="00113073">
        <w:rPr>
          <w:sz w:val="24"/>
          <w:szCs w:val="24"/>
        </w:rPr>
        <w:t>C</w:t>
      </w:r>
      <w:r w:rsidR="000E1FA2">
        <w:rPr>
          <w:sz w:val="24"/>
          <w:szCs w:val="24"/>
        </w:rPr>
        <w:t>enter (NHC)</w:t>
      </w:r>
      <w:r w:rsidRPr="00113073">
        <w:rPr>
          <w:sz w:val="24"/>
          <w:szCs w:val="24"/>
        </w:rPr>
        <w:t xml:space="preserve"> has developed a list of 55 NWS WFOs in the geographic areas of interest (i.e., locations that experienced hurricanes within recent years) consisting of 30 inland and 25 coastal areas. Each WFO has developed its own partner list based on its Core Partners and guidance provided under NWS Policy Directive 10-24 for providing impact-based decision support services. Based on information from the WFOs, we have estimated that </w:t>
      </w:r>
      <w:r w:rsidRPr="00113073">
        <w:rPr>
          <w:i/>
          <w:sz w:val="24"/>
          <w:szCs w:val="24"/>
        </w:rPr>
        <w:t>each</w:t>
      </w:r>
      <w:r w:rsidRPr="00113073">
        <w:rPr>
          <w:sz w:val="24"/>
          <w:szCs w:val="24"/>
        </w:rPr>
        <w:t xml:space="preserve"> list will contain approximately 60 names for use in our survey. The survey will involve collecting data from all names compiled through this process.</w:t>
      </w:r>
    </w:p>
    <w:p w:rsidRPr="00113073" w:rsidR="00113073" w:rsidP="00113073" w:rsidRDefault="00113073">
      <w:pPr>
        <w:rPr>
          <w:b/>
          <w:sz w:val="24"/>
          <w:szCs w:val="24"/>
        </w:rPr>
      </w:pPr>
    </w:p>
    <w:p w:rsidRPr="00113073" w:rsidR="00113073" w:rsidP="00113073" w:rsidRDefault="00113073">
      <w:pPr>
        <w:numPr>
          <w:ilvl w:val="0"/>
          <w:numId w:val="1"/>
        </w:numPr>
        <w:pBdr>
          <w:top w:val="nil"/>
          <w:left w:val="nil"/>
          <w:bottom w:val="nil"/>
          <w:right w:val="nil"/>
          <w:between w:val="nil"/>
        </w:pBdr>
        <w:rPr>
          <w:b/>
          <w:color w:val="000000"/>
          <w:sz w:val="24"/>
          <w:szCs w:val="24"/>
        </w:rPr>
      </w:pPr>
      <w:r w:rsidRPr="00113073">
        <w:rPr>
          <w:b/>
          <w:color w:val="000000"/>
          <w:sz w:val="24"/>
          <w:szCs w:val="24"/>
        </w:rPr>
        <w:t xml:space="preserve">Respondents on targeted lists. </w:t>
      </w:r>
      <w:r w:rsidRPr="00113073">
        <w:rPr>
          <w:color w:val="000000"/>
          <w:sz w:val="24"/>
          <w:szCs w:val="24"/>
        </w:rPr>
        <w:t xml:space="preserve">The NWS also has targeted lists of partners from the NHC (marine sector), which contains 232 marine partners’ names. In addition, the NWS maintains a list of names on its </w:t>
      </w:r>
      <w:hyperlink w:history="1" r:id="rId5">
        <w:r w:rsidRPr="00113073">
          <w:rPr>
            <w:color w:val="0000FF"/>
            <w:sz w:val="24"/>
            <w:szCs w:val="24"/>
            <w:u w:val="single"/>
          </w:rPr>
          <w:t>Weather-R</w:t>
        </w:r>
        <w:r w:rsidRPr="00113073">
          <w:rPr>
            <w:color w:val="0000FF"/>
            <w:sz w:val="24"/>
            <w:szCs w:val="24"/>
            <w:u w:val="single"/>
          </w:rPr>
          <w:t>e</w:t>
        </w:r>
        <w:r w:rsidRPr="00113073">
          <w:rPr>
            <w:color w:val="0000FF"/>
            <w:sz w:val="24"/>
            <w:szCs w:val="24"/>
            <w:u w:val="single"/>
          </w:rPr>
          <w:t xml:space="preserve">ady </w:t>
        </w:r>
        <w:r w:rsidR="000E1FA2">
          <w:rPr>
            <w:color w:val="0000FF"/>
            <w:sz w:val="24"/>
            <w:szCs w:val="24"/>
            <w:u w:val="single"/>
          </w:rPr>
          <w:t xml:space="preserve">Nation </w:t>
        </w:r>
        <w:r w:rsidRPr="00113073">
          <w:rPr>
            <w:color w:val="0000FF"/>
            <w:sz w:val="24"/>
            <w:szCs w:val="24"/>
            <w:u w:val="single"/>
          </w:rPr>
          <w:t>Ambassadors (WRN) initiative</w:t>
        </w:r>
      </w:hyperlink>
      <w:r w:rsidRPr="00113073">
        <w:rPr>
          <w:color w:val="000000"/>
          <w:sz w:val="24"/>
          <w:szCs w:val="24"/>
        </w:rPr>
        <w:t xml:space="preserve">, which works to build partnerships to strengthen partner and community resilience to extreme weather and water events. As of January 24, 2019, there were 10,561 ambassadors in the program as a whole. Based on discussions with NOAA staff that manage the WRN initiative, we assume that </w:t>
      </w:r>
      <w:r w:rsidRPr="00113073">
        <w:rPr>
          <w:sz w:val="24"/>
          <w:szCs w:val="24"/>
        </w:rPr>
        <w:t xml:space="preserve">one-tenth </w:t>
      </w:r>
      <w:r w:rsidRPr="00113073">
        <w:rPr>
          <w:color w:val="000000"/>
          <w:sz w:val="24"/>
          <w:szCs w:val="24"/>
        </w:rPr>
        <w:t xml:space="preserve">of the ambassadors (1,056) fall within the four sectors of interest and that those names are evenly divided in the four sectors of interest (264 names in each of the four sectors). In addition, there are 100 </w:t>
      </w:r>
      <w:r w:rsidRPr="00113073">
        <w:rPr>
          <w:color w:val="000000"/>
          <w:sz w:val="24"/>
          <w:szCs w:val="24"/>
        </w:rPr>
        <w:lastRenderedPageBreak/>
        <w:t>ambassadors in the WRN Aviation Ambassador program, which fall within the transportation sector.</w:t>
      </w:r>
    </w:p>
    <w:p w:rsidRPr="00113073" w:rsidR="00113073" w:rsidP="00113073" w:rsidRDefault="00113073">
      <w:pPr>
        <w:pBdr>
          <w:top w:val="nil"/>
          <w:left w:val="nil"/>
          <w:bottom w:val="nil"/>
          <w:right w:val="nil"/>
          <w:between w:val="nil"/>
        </w:pBdr>
        <w:ind w:left="720" w:hanging="720"/>
        <w:rPr>
          <w:b/>
          <w:color w:val="000000"/>
          <w:sz w:val="24"/>
          <w:szCs w:val="24"/>
        </w:rPr>
      </w:pPr>
    </w:p>
    <w:p w:rsidRPr="00113073" w:rsidR="00113073" w:rsidP="00113073" w:rsidRDefault="00113073">
      <w:pPr>
        <w:ind w:left="90"/>
        <w:rPr>
          <w:sz w:val="24"/>
          <w:szCs w:val="24"/>
        </w:rPr>
      </w:pPr>
      <w:r w:rsidRPr="00113073">
        <w:rPr>
          <w:sz w:val="24"/>
          <w:szCs w:val="24"/>
        </w:rPr>
        <w:t>We also expect that 1) the Office of the Federal Coordinator for Meteorology (OFCM) and the U.S. Departments of Energy and Transportation will share the survey link with their partners</w:t>
      </w:r>
      <w:r w:rsidR="000E1FA2">
        <w:rPr>
          <w:sz w:val="24"/>
          <w:szCs w:val="24"/>
        </w:rPr>
        <w:t>,</w:t>
      </w:r>
      <w:r w:rsidRPr="00113073">
        <w:rPr>
          <w:sz w:val="24"/>
          <w:szCs w:val="24"/>
        </w:rPr>
        <w:t xml:space="preserve"> and 2) that some respondents will share the link with a colleague or other member of their profession, but we have not made an attempt to estimate those numbers. </w:t>
      </w:r>
    </w:p>
    <w:p w:rsidRPr="00113073" w:rsidR="00113073" w:rsidP="00113073" w:rsidRDefault="00113073"/>
    <w:p w:rsidRPr="00113073" w:rsidR="00113073" w:rsidP="00113073" w:rsidRDefault="00113073">
      <w:pPr>
        <w:pBdr>
          <w:top w:val="nil"/>
          <w:left w:val="nil"/>
          <w:bottom w:val="nil"/>
          <w:right w:val="nil"/>
          <w:between w:val="nil"/>
        </w:pBdr>
        <w:rPr>
          <w:rFonts w:eastAsia="Arial"/>
          <w:b/>
          <w:color w:val="000000"/>
          <w:sz w:val="20"/>
          <w:szCs w:val="20"/>
        </w:rPr>
      </w:pPr>
      <w:bookmarkStart w:name="_1t3h5sf" w:colFirst="0" w:colLast="0" w:id="0"/>
      <w:bookmarkEnd w:id="0"/>
      <w:r w:rsidRPr="00113073">
        <w:rPr>
          <w:rFonts w:eastAsia="Arial"/>
          <w:b/>
          <w:color w:val="000000"/>
          <w:sz w:val="20"/>
          <w:szCs w:val="20"/>
        </w:rPr>
        <w:t xml:space="preserve">Table 4. Populations and Respondent Information </w:t>
      </w:r>
    </w:p>
    <w:tbl>
      <w:tblPr>
        <w:tblStyle w:val="TableGridLight"/>
        <w:tblW w:w="9630" w:type="dxa"/>
        <w:tblInd w:w="-185" w:type="dxa"/>
        <w:tblLook w:val="0400" w:firstRow="0" w:lastRow="0" w:firstColumn="0" w:lastColumn="0" w:noHBand="0" w:noVBand="1"/>
      </w:tblPr>
      <w:tblGrid>
        <w:gridCol w:w="981"/>
        <w:gridCol w:w="622"/>
        <w:gridCol w:w="658"/>
        <w:gridCol w:w="649"/>
        <w:gridCol w:w="658"/>
        <w:gridCol w:w="649"/>
        <w:gridCol w:w="658"/>
        <w:gridCol w:w="649"/>
        <w:gridCol w:w="658"/>
        <w:gridCol w:w="649"/>
        <w:gridCol w:w="1088"/>
        <w:gridCol w:w="857"/>
        <w:gridCol w:w="1088"/>
      </w:tblGrid>
      <w:tr w:rsidRPr="00113073" w:rsidR="00113073" w:rsidTr="00654095">
        <w:trPr>
          <w:trHeight w:val="163"/>
        </w:trPr>
        <w:tc>
          <w:tcPr>
            <w:tcW w:w="946" w:type="dxa"/>
            <w:vMerge w:val="restart"/>
          </w:tcPr>
          <w:p w:rsidRPr="00113073" w:rsidR="00113073" w:rsidP="00654095" w:rsidRDefault="00113073">
            <w:pPr>
              <w:rPr>
                <w:b/>
                <w:sz w:val="16"/>
                <w:szCs w:val="16"/>
              </w:rPr>
            </w:pPr>
            <w:bookmarkStart w:name="_4d34og8" w:colFirst="0" w:colLast="0" w:id="1"/>
            <w:bookmarkEnd w:id="1"/>
            <w:r w:rsidRPr="00113073">
              <w:rPr>
                <w:b/>
                <w:sz w:val="16"/>
                <w:szCs w:val="16"/>
              </w:rPr>
              <w:t>Survey/ Sub-Group</w:t>
            </w:r>
          </w:p>
        </w:tc>
        <w:tc>
          <w:tcPr>
            <w:tcW w:w="5668" w:type="dxa"/>
            <w:gridSpan w:val="9"/>
          </w:tcPr>
          <w:p w:rsidRPr="00113073" w:rsidR="00113073" w:rsidP="00654095" w:rsidRDefault="00113073">
            <w:pPr>
              <w:rPr>
                <w:b/>
                <w:sz w:val="16"/>
                <w:szCs w:val="16"/>
              </w:rPr>
            </w:pPr>
            <w:r w:rsidRPr="00113073">
              <w:rPr>
                <w:b/>
                <w:sz w:val="16"/>
                <w:szCs w:val="16"/>
              </w:rPr>
              <w:t>Target Population</w:t>
            </w:r>
          </w:p>
        </w:tc>
        <w:tc>
          <w:tcPr>
            <w:tcW w:w="0" w:type="auto"/>
            <w:vMerge w:val="restart"/>
          </w:tcPr>
          <w:p w:rsidRPr="00113073" w:rsidR="00113073" w:rsidP="00654095" w:rsidRDefault="00113073">
            <w:pPr>
              <w:jc w:val="center"/>
              <w:rPr>
                <w:b/>
                <w:sz w:val="16"/>
                <w:szCs w:val="16"/>
              </w:rPr>
            </w:pPr>
            <w:r w:rsidRPr="00113073">
              <w:rPr>
                <w:b/>
                <w:sz w:val="16"/>
                <w:szCs w:val="16"/>
              </w:rPr>
              <w:t>Potential Number of Respondents</w:t>
            </w:r>
          </w:p>
        </w:tc>
        <w:tc>
          <w:tcPr>
            <w:tcW w:w="827" w:type="dxa"/>
            <w:vMerge w:val="restart"/>
          </w:tcPr>
          <w:p w:rsidRPr="00113073" w:rsidR="00113073" w:rsidP="00654095" w:rsidRDefault="00113073">
            <w:pPr>
              <w:jc w:val="center"/>
              <w:rPr>
                <w:b/>
                <w:sz w:val="16"/>
                <w:szCs w:val="16"/>
              </w:rPr>
            </w:pPr>
            <w:r w:rsidRPr="00113073">
              <w:rPr>
                <w:b/>
                <w:sz w:val="16"/>
                <w:szCs w:val="16"/>
              </w:rPr>
              <w:t>Response Rate</w:t>
            </w:r>
          </w:p>
        </w:tc>
        <w:tc>
          <w:tcPr>
            <w:tcW w:w="1142" w:type="dxa"/>
            <w:vMerge w:val="restart"/>
          </w:tcPr>
          <w:p w:rsidRPr="00113073" w:rsidR="00113073" w:rsidP="00654095" w:rsidRDefault="00113073">
            <w:pPr>
              <w:jc w:val="center"/>
              <w:rPr>
                <w:b/>
                <w:sz w:val="16"/>
                <w:szCs w:val="16"/>
              </w:rPr>
            </w:pPr>
            <w:r w:rsidRPr="00113073">
              <w:rPr>
                <w:b/>
                <w:sz w:val="16"/>
                <w:szCs w:val="16"/>
              </w:rPr>
              <w:t xml:space="preserve">Expected Number of Survey Respondents </w:t>
            </w:r>
          </w:p>
        </w:tc>
      </w:tr>
      <w:tr w:rsidRPr="00113073" w:rsidR="00113073" w:rsidTr="00654095">
        <w:trPr>
          <w:trHeight w:val="82"/>
        </w:trPr>
        <w:tc>
          <w:tcPr>
            <w:tcW w:w="946" w:type="dxa"/>
            <w:vMerge/>
          </w:tcPr>
          <w:p w:rsidRPr="00113073" w:rsidR="00113073" w:rsidP="00654095" w:rsidRDefault="00113073">
            <w:pPr>
              <w:widowControl w:val="0"/>
              <w:pBdr>
                <w:top w:val="nil"/>
                <w:left w:val="nil"/>
                <w:bottom w:val="nil"/>
                <w:right w:val="nil"/>
                <w:between w:val="nil"/>
              </w:pBdr>
              <w:spacing w:line="276" w:lineRule="auto"/>
              <w:rPr>
                <w:b/>
                <w:sz w:val="20"/>
                <w:szCs w:val="20"/>
              </w:rPr>
            </w:pPr>
          </w:p>
        </w:tc>
        <w:tc>
          <w:tcPr>
            <w:tcW w:w="1870" w:type="dxa"/>
            <w:gridSpan w:val="3"/>
          </w:tcPr>
          <w:p w:rsidRPr="00113073" w:rsidR="00113073" w:rsidP="00654095" w:rsidRDefault="00113073">
            <w:pPr>
              <w:rPr>
                <w:b/>
                <w:sz w:val="16"/>
                <w:szCs w:val="16"/>
              </w:rPr>
            </w:pPr>
            <w:r w:rsidRPr="00113073">
              <w:rPr>
                <w:b/>
                <w:sz w:val="16"/>
                <w:szCs w:val="16"/>
              </w:rPr>
              <w:t>Marine</w:t>
            </w:r>
          </w:p>
        </w:tc>
        <w:tc>
          <w:tcPr>
            <w:tcW w:w="1266" w:type="dxa"/>
            <w:gridSpan w:val="2"/>
          </w:tcPr>
          <w:p w:rsidRPr="00113073" w:rsidR="00113073" w:rsidP="00654095" w:rsidRDefault="00113073">
            <w:pPr>
              <w:rPr>
                <w:b/>
                <w:sz w:val="16"/>
                <w:szCs w:val="16"/>
              </w:rPr>
            </w:pPr>
            <w:r w:rsidRPr="00113073">
              <w:rPr>
                <w:b/>
                <w:sz w:val="16"/>
                <w:szCs w:val="16"/>
              </w:rPr>
              <w:t>Transportation</w:t>
            </w:r>
          </w:p>
        </w:tc>
        <w:tc>
          <w:tcPr>
            <w:tcW w:w="0" w:type="auto"/>
            <w:gridSpan w:val="2"/>
          </w:tcPr>
          <w:p w:rsidRPr="00113073" w:rsidR="00113073" w:rsidP="00654095" w:rsidRDefault="00113073">
            <w:pPr>
              <w:rPr>
                <w:b/>
                <w:sz w:val="16"/>
                <w:szCs w:val="16"/>
              </w:rPr>
            </w:pPr>
            <w:r w:rsidRPr="00113073">
              <w:rPr>
                <w:b/>
                <w:sz w:val="16"/>
                <w:szCs w:val="16"/>
              </w:rPr>
              <w:t>Energy/Utilities</w:t>
            </w:r>
          </w:p>
        </w:tc>
        <w:tc>
          <w:tcPr>
            <w:tcW w:w="0" w:type="auto"/>
            <w:gridSpan w:val="2"/>
          </w:tcPr>
          <w:p w:rsidRPr="00113073" w:rsidR="00113073" w:rsidP="00654095" w:rsidRDefault="00113073">
            <w:pPr>
              <w:rPr>
                <w:b/>
                <w:sz w:val="16"/>
                <w:szCs w:val="16"/>
              </w:rPr>
            </w:pPr>
            <w:r w:rsidRPr="00113073">
              <w:rPr>
                <w:b/>
                <w:sz w:val="16"/>
                <w:szCs w:val="16"/>
              </w:rPr>
              <w:t>Tourism</w:t>
            </w:r>
          </w:p>
        </w:tc>
        <w:tc>
          <w:tcPr>
            <w:tcW w:w="0" w:type="auto"/>
            <w:vMerge/>
          </w:tcPr>
          <w:p w:rsidRPr="00113073" w:rsidR="00113073" w:rsidP="00654095" w:rsidRDefault="00113073">
            <w:pPr>
              <w:widowControl w:val="0"/>
              <w:pBdr>
                <w:top w:val="nil"/>
                <w:left w:val="nil"/>
                <w:bottom w:val="nil"/>
                <w:right w:val="nil"/>
                <w:between w:val="nil"/>
              </w:pBdr>
              <w:spacing w:line="276" w:lineRule="auto"/>
              <w:rPr>
                <w:b/>
                <w:sz w:val="20"/>
                <w:szCs w:val="20"/>
              </w:rPr>
            </w:pPr>
          </w:p>
        </w:tc>
        <w:tc>
          <w:tcPr>
            <w:tcW w:w="827" w:type="dxa"/>
            <w:vMerge/>
          </w:tcPr>
          <w:p w:rsidRPr="00113073" w:rsidR="00113073" w:rsidP="00654095" w:rsidRDefault="00113073">
            <w:pPr>
              <w:widowControl w:val="0"/>
              <w:pBdr>
                <w:top w:val="nil"/>
                <w:left w:val="nil"/>
                <w:bottom w:val="nil"/>
                <w:right w:val="nil"/>
                <w:between w:val="nil"/>
              </w:pBdr>
              <w:spacing w:line="276" w:lineRule="auto"/>
              <w:rPr>
                <w:b/>
                <w:sz w:val="20"/>
                <w:szCs w:val="20"/>
              </w:rPr>
            </w:pPr>
          </w:p>
        </w:tc>
        <w:tc>
          <w:tcPr>
            <w:tcW w:w="1142" w:type="dxa"/>
            <w:vMerge/>
          </w:tcPr>
          <w:p w:rsidRPr="00113073" w:rsidR="00113073" w:rsidP="00654095" w:rsidRDefault="00113073">
            <w:pPr>
              <w:widowControl w:val="0"/>
              <w:pBdr>
                <w:top w:val="nil"/>
                <w:left w:val="nil"/>
                <w:bottom w:val="nil"/>
                <w:right w:val="nil"/>
                <w:between w:val="nil"/>
              </w:pBdr>
              <w:spacing w:line="276" w:lineRule="auto"/>
              <w:rPr>
                <w:b/>
                <w:sz w:val="20"/>
                <w:szCs w:val="20"/>
              </w:rPr>
            </w:pPr>
          </w:p>
        </w:tc>
      </w:tr>
      <w:tr w:rsidRPr="00113073" w:rsidR="00113073" w:rsidTr="00654095">
        <w:trPr>
          <w:trHeight w:val="81"/>
        </w:trPr>
        <w:tc>
          <w:tcPr>
            <w:tcW w:w="946" w:type="dxa"/>
          </w:tcPr>
          <w:p w:rsidRPr="00113073" w:rsidR="00113073" w:rsidP="00654095" w:rsidRDefault="00113073">
            <w:pPr>
              <w:widowControl w:val="0"/>
              <w:pBdr>
                <w:top w:val="nil"/>
                <w:left w:val="nil"/>
                <w:bottom w:val="nil"/>
                <w:right w:val="nil"/>
                <w:between w:val="nil"/>
              </w:pBdr>
              <w:spacing w:line="276" w:lineRule="auto"/>
              <w:rPr>
                <w:b/>
                <w:sz w:val="20"/>
                <w:szCs w:val="20"/>
              </w:rPr>
            </w:pPr>
          </w:p>
        </w:tc>
        <w:tc>
          <w:tcPr>
            <w:tcW w:w="604" w:type="dxa"/>
          </w:tcPr>
          <w:p w:rsidRPr="00113073" w:rsidR="00113073" w:rsidP="00654095" w:rsidRDefault="00113073">
            <w:pPr>
              <w:rPr>
                <w:b/>
                <w:sz w:val="16"/>
                <w:szCs w:val="16"/>
                <w:vertAlign w:val="superscript"/>
              </w:rPr>
            </w:pPr>
            <w:r w:rsidRPr="00113073">
              <w:rPr>
                <w:b/>
                <w:sz w:val="16"/>
                <w:szCs w:val="16"/>
              </w:rPr>
              <w:t>NHC</w:t>
            </w:r>
            <w:r w:rsidRPr="00113073">
              <w:rPr>
                <w:b/>
                <w:sz w:val="16"/>
                <w:szCs w:val="16"/>
                <w:vertAlign w:val="superscript"/>
              </w:rPr>
              <w:t>1</w:t>
            </w:r>
          </w:p>
        </w:tc>
        <w:tc>
          <w:tcPr>
            <w:tcW w:w="0" w:type="auto"/>
          </w:tcPr>
          <w:p w:rsidRPr="00113073" w:rsidR="00113073" w:rsidP="00654095" w:rsidRDefault="00113073">
            <w:pPr>
              <w:rPr>
                <w:b/>
                <w:sz w:val="16"/>
                <w:szCs w:val="16"/>
                <w:vertAlign w:val="superscript"/>
              </w:rPr>
            </w:pPr>
            <w:r w:rsidRPr="00113073">
              <w:rPr>
                <w:b/>
                <w:sz w:val="16"/>
                <w:szCs w:val="16"/>
              </w:rPr>
              <w:t>WRN</w:t>
            </w:r>
            <w:r w:rsidRPr="00113073">
              <w:rPr>
                <w:b/>
                <w:sz w:val="16"/>
                <w:szCs w:val="16"/>
                <w:vertAlign w:val="superscript"/>
              </w:rPr>
              <w:t>2</w:t>
            </w:r>
          </w:p>
        </w:tc>
        <w:tc>
          <w:tcPr>
            <w:tcW w:w="629" w:type="dxa"/>
          </w:tcPr>
          <w:p w:rsidRPr="00113073" w:rsidR="00113073" w:rsidP="00654095" w:rsidRDefault="00113073">
            <w:pPr>
              <w:rPr>
                <w:b/>
                <w:sz w:val="16"/>
                <w:szCs w:val="16"/>
              </w:rPr>
            </w:pPr>
            <w:r w:rsidRPr="00113073">
              <w:rPr>
                <w:b/>
                <w:sz w:val="16"/>
                <w:szCs w:val="16"/>
              </w:rPr>
              <w:t>WFO</w:t>
            </w:r>
            <w:r w:rsidRPr="00113073">
              <w:rPr>
                <w:sz w:val="16"/>
                <w:szCs w:val="16"/>
                <w:vertAlign w:val="superscript"/>
              </w:rPr>
              <w:t>3</w:t>
            </w:r>
          </w:p>
        </w:tc>
        <w:tc>
          <w:tcPr>
            <w:tcW w:w="637" w:type="dxa"/>
          </w:tcPr>
          <w:p w:rsidRPr="00113073" w:rsidR="00113073" w:rsidP="00654095" w:rsidRDefault="00113073">
            <w:pPr>
              <w:rPr>
                <w:b/>
                <w:sz w:val="16"/>
                <w:szCs w:val="16"/>
                <w:vertAlign w:val="superscript"/>
              </w:rPr>
            </w:pPr>
            <w:r w:rsidRPr="00113073">
              <w:rPr>
                <w:b/>
                <w:sz w:val="16"/>
                <w:szCs w:val="16"/>
              </w:rPr>
              <w:t>WRN</w:t>
            </w:r>
            <w:r w:rsidRPr="00113073">
              <w:rPr>
                <w:sz w:val="16"/>
                <w:szCs w:val="16"/>
                <w:vertAlign w:val="superscript"/>
              </w:rPr>
              <w:t>4</w:t>
            </w:r>
          </w:p>
        </w:tc>
        <w:tc>
          <w:tcPr>
            <w:tcW w:w="0" w:type="auto"/>
          </w:tcPr>
          <w:p w:rsidRPr="00113073" w:rsidR="00113073" w:rsidP="00654095" w:rsidRDefault="00113073">
            <w:pPr>
              <w:rPr>
                <w:b/>
                <w:sz w:val="16"/>
                <w:szCs w:val="16"/>
              </w:rPr>
            </w:pPr>
            <w:r w:rsidRPr="00113073">
              <w:rPr>
                <w:b/>
                <w:sz w:val="16"/>
                <w:szCs w:val="16"/>
              </w:rPr>
              <w:t>WFO</w:t>
            </w:r>
            <w:r w:rsidRPr="00113073">
              <w:rPr>
                <w:b/>
                <w:sz w:val="16"/>
                <w:szCs w:val="16"/>
                <w:vertAlign w:val="superscript"/>
              </w:rPr>
              <w:t>5</w:t>
            </w:r>
          </w:p>
        </w:tc>
        <w:tc>
          <w:tcPr>
            <w:tcW w:w="0" w:type="auto"/>
          </w:tcPr>
          <w:p w:rsidRPr="00113073" w:rsidR="00113073" w:rsidP="00654095" w:rsidRDefault="00113073">
            <w:pPr>
              <w:rPr>
                <w:b/>
                <w:sz w:val="16"/>
                <w:szCs w:val="16"/>
                <w:vertAlign w:val="superscript"/>
              </w:rPr>
            </w:pPr>
            <w:r w:rsidRPr="00113073">
              <w:rPr>
                <w:b/>
                <w:sz w:val="16"/>
                <w:szCs w:val="16"/>
              </w:rPr>
              <w:t>WRN</w:t>
            </w:r>
            <w:r w:rsidRPr="00113073">
              <w:rPr>
                <w:b/>
                <w:sz w:val="16"/>
                <w:szCs w:val="16"/>
                <w:vertAlign w:val="superscript"/>
              </w:rPr>
              <w:t>6</w:t>
            </w:r>
          </w:p>
        </w:tc>
        <w:tc>
          <w:tcPr>
            <w:tcW w:w="0" w:type="auto"/>
          </w:tcPr>
          <w:p w:rsidRPr="00113073" w:rsidR="00113073" w:rsidP="00654095" w:rsidRDefault="00113073">
            <w:pPr>
              <w:rPr>
                <w:b/>
                <w:sz w:val="16"/>
                <w:szCs w:val="16"/>
                <w:vertAlign w:val="superscript"/>
              </w:rPr>
            </w:pPr>
            <w:r w:rsidRPr="00113073">
              <w:rPr>
                <w:b/>
                <w:sz w:val="16"/>
                <w:szCs w:val="16"/>
              </w:rPr>
              <w:t>WFO</w:t>
            </w:r>
            <w:r w:rsidRPr="00113073">
              <w:rPr>
                <w:b/>
                <w:sz w:val="16"/>
                <w:szCs w:val="16"/>
                <w:vertAlign w:val="superscript"/>
              </w:rPr>
              <w:t>7</w:t>
            </w:r>
          </w:p>
        </w:tc>
        <w:tc>
          <w:tcPr>
            <w:tcW w:w="0" w:type="auto"/>
          </w:tcPr>
          <w:p w:rsidRPr="00113073" w:rsidR="00113073" w:rsidP="00654095" w:rsidRDefault="00113073">
            <w:pPr>
              <w:rPr>
                <w:b/>
                <w:sz w:val="16"/>
                <w:szCs w:val="16"/>
                <w:vertAlign w:val="superscript"/>
              </w:rPr>
            </w:pPr>
            <w:r w:rsidRPr="00113073">
              <w:rPr>
                <w:b/>
                <w:sz w:val="16"/>
                <w:szCs w:val="16"/>
              </w:rPr>
              <w:t>WRN</w:t>
            </w:r>
            <w:r w:rsidRPr="00113073">
              <w:rPr>
                <w:b/>
                <w:sz w:val="16"/>
                <w:szCs w:val="16"/>
                <w:vertAlign w:val="superscript"/>
              </w:rPr>
              <w:t>8</w:t>
            </w:r>
          </w:p>
        </w:tc>
        <w:tc>
          <w:tcPr>
            <w:tcW w:w="0" w:type="auto"/>
          </w:tcPr>
          <w:p w:rsidRPr="00113073" w:rsidR="00113073" w:rsidP="00654095" w:rsidRDefault="00113073">
            <w:pPr>
              <w:rPr>
                <w:b/>
                <w:sz w:val="16"/>
                <w:szCs w:val="16"/>
                <w:vertAlign w:val="superscript"/>
              </w:rPr>
            </w:pPr>
            <w:r w:rsidRPr="00113073">
              <w:rPr>
                <w:b/>
                <w:sz w:val="16"/>
                <w:szCs w:val="16"/>
              </w:rPr>
              <w:t>WFO</w:t>
            </w:r>
            <w:r w:rsidRPr="00113073">
              <w:rPr>
                <w:b/>
                <w:sz w:val="16"/>
                <w:szCs w:val="16"/>
                <w:vertAlign w:val="superscript"/>
              </w:rPr>
              <w:t>9</w:t>
            </w:r>
          </w:p>
        </w:tc>
        <w:tc>
          <w:tcPr>
            <w:tcW w:w="0" w:type="auto"/>
            <w:vMerge/>
          </w:tcPr>
          <w:p w:rsidRPr="00113073" w:rsidR="00113073" w:rsidP="00654095" w:rsidRDefault="00113073">
            <w:pPr>
              <w:widowControl w:val="0"/>
              <w:pBdr>
                <w:top w:val="nil"/>
                <w:left w:val="nil"/>
                <w:bottom w:val="nil"/>
                <w:right w:val="nil"/>
                <w:between w:val="nil"/>
              </w:pBdr>
              <w:spacing w:line="276" w:lineRule="auto"/>
              <w:rPr>
                <w:b/>
                <w:sz w:val="20"/>
                <w:szCs w:val="20"/>
                <w:vertAlign w:val="superscript"/>
              </w:rPr>
            </w:pPr>
          </w:p>
        </w:tc>
        <w:tc>
          <w:tcPr>
            <w:tcW w:w="827" w:type="dxa"/>
            <w:vMerge/>
          </w:tcPr>
          <w:p w:rsidRPr="00113073" w:rsidR="00113073" w:rsidP="00654095" w:rsidRDefault="00113073">
            <w:pPr>
              <w:widowControl w:val="0"/>
              <w:pBdr>
                <w:top w:val="nil"/>
                <w:left w:val="nil"/>
                <w:bottom w:val="nil"/>
                <w:right w:val="nil"/>
                <w:between w:val="nil"/>
              </w:pBdr>
              <w:spacing w:line="276" w:lineRule="auto"/>
              <w:rPr>
                <w:b/>
                <w:sz w:val="20"/>
                <w:szCs w:val="20"/>
                <w:vertAlign w:val="superscript"/>
              </w:rPr>
            </w:pPr>
          </w:p>
        </w:tc>
        <w:tc>
          <w:tcPr>
            <w:tcW w:w="1142" w:type="dxa"/>
            <w:vMerge/>
          </w:tcPr>
          <w:p w:rsidRPr="00113073" w:rsidR="00113073" w:rsidP="00654095" w:rsidRDefault="00113073">
            <w:pPr>
              <w:widowControl w:val="0"/>
              <w:pBdr>
                <w:top w:val="nil"/>
                <w:left w:val="nil"/>
                <w:bottom w:val="nil"/>
                <w:right w:val="nil"/>
                <w:between w:val="nil"/>
              </w:pBdr>
              <w:spacing w:line="276" w:lineRule="auto"/>
              <w:rPr>
                <w:b/>
                <w:sz w:val="20"/>
                <w:szCs w:val="20"/>
                <w:vertAlign w:val="superscript"/>
              </w:rPr>
            </w:pPr>
          </w:p>
        </w:tc>
      </w:tr>
      <w:tr w:rsidRPr="00113073" w:rsidR="00113073" w:rsidTr="00654095">
        <w:tc>
          <w:tcPr>
            <w:tcW w:w="946" w:type="dxa"/>
          </w:tcPr>
          <w:p w:rsidRPr="00113073" w:rsidR="00113073" w:rsidP="00654095" w:rsidRDefault="00113073">
            <w:pPr>
              <w:rPr>
                <w:sz w:val="16"/>
                <w:szCs w:val="16"/>
              </w:rPr>
            </w:pPr>
            <w:r w:rsidRPr="00113073">
              <w:rPr>
                <w:sz w:val="16"/>
                <w:szCs w:val="16"/>
              </w:rPr>
              <w:t>Federal government</w:t>
            </w:r>
          </w:p>
        </w:tc>
        <w:tc>
          <w:tcPr>
            <w:tcW w:w="604" w:type="dxa"/>
          </w:tcPr>
          <w:p w:rsidRPr="00113073" w:rsidR="00113073" w:rsidP="00654095" w:rsidRDefault="00113073">
            <w:pPr>
              <w:rPr>
                <w:sz w:val="20"/>
                <w:szCs w:val="20"/>
              </w:rPr>
            </w:pPr>
            <w:r w:rsidRPr="00113073">
              <w:rPr>
                <w:sz w:val="20"/>
                <w:szCs w:val="20"/>
              </w:rPr>
              <w:t>27</w:t>
            </w:r>
          </w:p>
        </w:tc>
        <w:tc>
          <w:tcPr>
            <w:tcW w:w="0" w:type="auto"/>
          </w:tcPr>
          <w:p w:rsidRPr="00113073" w:rsidR="00113073" w:rsidP="00654095" w:rsidRDefault="00113073">
            <w:pPr>
              <w:rPr>
                <w:sz w:val="20"/>
                <w:szCs w:val="20"/>
              </w:rPr>
            </w:pPr>
          </w:p>
        </w:tc>
        <w:tc>
          <w:tcPr>
            <w:tcW w:w="629" w:type="dxa"/>
          </w:tcPr>
          <w:p w:rsidRPr="00113073" w:rsidR="00113073" w:rsidP="00654095" w:rsidRDefault="00113073">
            <w:pPr>
              <w:rPr>
                <w:sz w:val="20"/>
                <w:szCs w:val="20"/>
              </w:rPr>
            </w:pPr>
            <w:r w:rsidRPr="00113073">
              <w:rPr>
                <w:sz w:val="20"/>
                <w:szCs w:val="20"/>
              </w:rPr>
              <w:t>250</w:t>
            </w:r>
          </w:p>
        </w:tc>
        <w:tc>
          <w:tcPr>
            <w:tcW w:w="637" w:type="dxa"/>
          </w:tcPr>
          <w:p w:rsidRPr="00113073" w:rsidR="00113073" w:rsidP="00654095" w:rsidRDefault="00113073">
            <w:pPr>
              <w:rPr>
                <w:sz w:val="20"/>
                <w:szCs w:val="20"/>
              </w:rPr>
            </w:pPr>
            <w:r w:rsidRPr="00113073">
              <w:rPr>
                <w:sz w:val="20"/>
                <w:szCs w:val="20"/>
              </w:rPr>
              <w:t>91</w:t>
            </w:r>
          </w:p>
        </w:tc>
        <w:tc>
          <w:tcPr>
            <w:tcW w:w="0" w:type="auto"/>
          </w:tcPr>
          <w:p w:rsidRPr="00113073" w:rsidR="00113073" w:rsidP="00654095" w:rsidRDefault="00113073">
            <w:pPr>
              <w:rPr>
                <w:sz w:val="20"/>
                <w:szCs w:val="20"/>
              </w:rPr>
            </w:pPr>
            <w:r w:rsidRPr="00113073">
              <w:rPr>
                <w:sz w:val="20"/>
                <w:szCs w:val="20"/>
              </w:rPr>
              <w:t>212</w:t>
            </w:r>
          </w:p>
        </w:tc>
        <w:tc>
          <w:tcPr>
            <w:tcW w:w="0" w:type="auto"/>
          </w:tcPr>
          <w:p w:rsidRPr="00113073" w:rsidR="00113073" w:rsidP="00654095" w:rsidRDefault="00113073">
            <w:pPr>
              <w:rPr>
                <w:sz w:val="20"/>
                <w:szCs w:val="20"/>
              </w:rPr>
            </w:pPr>
            <w:r w:rsidRPr="00113073">
              <w:rPr>
                <w:sz w:val="20"/>
                <w:szCs w:val="20"/>
              </w:rPr>
              <w:t>66</w:t>
            </w:r>
          </w:p>
        </w:tc>
        <w:tc>
          <w:tcPr>
            <w:tcW w:w="0" w:type="auto"/>
          </w:tcPr>
          <w:p w:rsidRPr="00113073" w:rsidR="00113073" w:rsidP="00654095" w:rsidRDefault="00113073">
            <w:pPr>
              <w:rPr>
                <w:sz w:val="20"/>
                <w:szCs w:val="20"/>
              </w:rPr>
            </w:pPr>
            <w:r w:rsidRPr="00113073">
              <w:rPr>
                <w:sz w:val="20"/>
                <w:szCs w:val="20"/>
              </w:rPr>
              <w:t>212</w:t>
            </w:r>
          </w:p>
        </w:tc>
        <w:tc>
          <w:tcPr>
            <w:tcW w:w="0" w:type="auto"/>
          </w:tcPr>
          <w:p w:rsidRPr="00113073" w:rsidR="00113073" w:rsidP="00654095" w:rsidRDefault="00113073">
            <w:pPr>
              <w:rPr>
                <w:sz w:val="20"/>
                <w:szCs w:val="20"/>
              </w:rPr>
            </w:pPr>
            <w:r w:rsidRPr="00113073">
              <w:rPr>
                <w:sz w:val="20"/>
                <w:szCs w:val="20"/>
              </w:rPr>
              <w:t>66</w:t>
            </w:r>
          </w:p>
        </w:tc>
        <w:tc>
          <w:tcPr>
            <w:tcW w:w="0" w:type="auto"/>
          </w:tcPr>
          <w:p w:rsidRPr="00113073" w:rsidR="00113073" w:rsidP="00654095" w:rsidRDefault="00113073">
            <w:pPr>
              <w:rPr>
                <w:sz w:val="20"/>
                <w:szCs w:val="20"/>
              </w:rPr>
            </w:pPr>
            <w:r w:rsidRPr="00113073">
              <w:rPr>
                <w:sz w:val="20"/>
                <w:szCs w:val="20"/>
              </w:rPr>
              <w:t>212</w:t>
            </w:r>
          </w:p>
        </w:tc>
        <w:tc>
          <w:tcPr>
            <w:tcW w:w="0" w:type="auto"/>
          </w:tcPr>
          <w:p w:rsidRPr="00113073" w:rsidR="00113073" w:rsidP="00654095" w:rsidRDefault="00113073">
            <w:pPr>
              <w:jc w:val="center"/>
              <w:rPr>
                <w:sz w:val="20"/>
                <w:szCs w:val="20"/>
              </w:rPr>
            </w:pPr>
            <w:r w:rsidRPr="00113073">
              <w:rPr>
                <w:sz w:val="20"/>
                <w:szCs w:val="20"/>
              </w:rPr>
              <w:t>1,136</w:t>
            </w:r>
          </w:p>
        </w:tc>
        <w:tc>
          <w:tcPr>
            <w:tcW w:w="827" w:type="dxa"/>
          </w:tcPr>
          <w:p w:rsidRPr="00113073" w:rsidR="00113073" w:rsidP="00654095" w:rsidRDefault="00113073">
            <w:pPr>
              <w:jc w:val="center"/>
              <w:rPr>
                <w:sz w:val="20"/>
                <w:szCs w:val="20"/>
              </w:rPr>
            </w:pPr>
            <w:r w:rsidRPr="00113073">
              <w:rPr>
                <w:sz w:val="20"/>
                <w:szCs w:val="20"/>
              </w:rPr>
              <w:t>30%</w:t>
            </w:r>
          </w:p>
        </w:tc>
        <w:tc>
          <w:tcPr>
            <w:tcW w:w="1142" w:type="dxa"/>
          </w:tcPr>
          <w:p w:rsidRPr="00113073" w:rsidR="00113073" w:rsidP="00654095" w:rsidRDefault="00113073">
            <w:pPr>
              <w:jc w:val="center"/>
              <w:rPr>
                <w:sz w:val="20"/>
                <w:szCs w:val="20"/>
              </w:rPr>
            </w:pPr>
            <w:r w:rsidRPr="00113073">
              <w:rPr>
                <w:sz w:val="20"/>
                <w:szCs w:val="20"/>
              </w:rPr>
              <w:t>341</w:t>
            </w:r>
          </w:p>
        </w:tc>
      </w:tr>
      <w:tr w:rsidRPr="00113073" w:rsidR="00113073" w:rsidTr="00654095">
        <w:tc>
          <w:tcPr>
            <w:tcW w:w="946" w:type="dxa"/>
          </w:tcPr>
          <w:p w:rsidRPr="00113073" w:rsidR="00113073" w:rsidP="00654095" w:rsidRDefault="00113073">
            <w:pPr>
              <w:rPr>
                <w:sz w:val="16"/>
                <w:szCs w:val="16"/>
              </w:rPr>
            </w:pPr>
            <w:r w:rsidRPr="00113073">
              <w:rPr>
                <w:sz w:val="16"/>
                <w:szCs w:val="16"/>
              </w:rPr>
              <w:t>State/local government</w:t>
            </w:r>
          </w:p>
        </w:tc>
        <w:tc>
          <w:tcPr>
            <w:tcW w:w="604" w:type="dxa"/>
          </w:tcPr>
          <w:p w:rsidRPr="00113073" w:rsidR="00113073" w:rsidP="00654095" w:rsidRDefault="00113073">
            <w:pPr>
              <w:rPr>
                <w:sz w:val="20"/>
                <w:szCs w:val="20"/>
              </w:rPr>
            </w:pPr>
          </w:p>
        </w:tc>
        <w:tc>
          <w:tcPr>
            <w:tcW w:w="0" w:type="auto"/>
          </w:tcPr>
          <w:p w:rsidRPr="00113073" w:rsidR="00113073" w:rsidP="00654095" w:rsidRDefault="00113073">
            <w:pPr>
              <w:rPr>
                <w:sz w:val="20"/>
                <w:szCs w:val="20"/>
              </w:rPr>
            </w:pPr>
            <w:r w:rsidRPr="00113073">
              <w:rPr>
                <w:sz w:val="20"/>
                <w:szCs w:val="20"/>
              </w:rPr>
              <w:t>132</w:t>
            </w:r>
          </w:p>
        </w:tc>
        <w:tc>
          <w:tcPr>
            <w:tcW w:w="629" w:type="dxa"/>
          </w:tcPr>
          <w:p w:rsidRPr="00113073" w:rsidR="00113073" w:rsidP="00654095" w:rsidRDefault="00113073">
            <w:pPr>
              <w:rPr>
                <w:sz w:val="20"/>
                <w:szCs w:val="20"/>
              </w:rPr>
            </w:pPr>
            <w:r w:rsidRPr="00113073">
              <w:rPr>
                <w:sz w:val="20"/>
                <w:szCs w:val="20"/>
              </w:rPr>
              <w:t>250</w:t>
            </w:r>
          </w:p>
        </w:tc>
        <w:tc>
          <w:tcPr>
            <w:tcW w:w="637" w:type="dxa"/>
          </w:tcPr>
          <w:p w:rsidRPr="00113073" w:rsidR="00113073" w:rsidP="00654095" w:rsidRDefault="00113073">
            <w:pPr>
              <w:rPr>
                <w:sz w:val="20"/>
                <w:szCs w:val="20"/>
              </w:rPr>
            </w:pPr>
            <w:r w:rsidRPr="00113073">
              <w:rPr>
                <w:sz w:val="20"/>
                <w:szCs w:val="20"/>
              </w:rPr>
              <w:t>182</w:t>
            </w:r>
          </w:p>
        </w:tc>
        <w:tc>
          <w:tcPr>
            <w:tcW w:w="0" w:type="auto"/>
          </w:tcPr>
          <w:p w:rsidRPr="00113073" w:rsidR="00113073" w:rsidP="00654095" w:rsidRDefault="00113073">
            <w:pPr>
              <w:rPr>
                <w:sz w:val="20"/>
                <w:szCs w:val="20"/>
              </w:rPr>
            </w:pPr>
            <w:r w:rsidRPr="00113073">
              <w:rPr>
                <w:sz w:val="20"/>
                <w:szCs w:val="20"/>
              </w:rPr>
              <w:t>425</w:t>
            </w:r>
          </w:p>
        </w:tc>
        <w:tc>
          <w:tcPr>
            <w:tcW w:w="0" w:type="auto"/>
          </w:tcPr>
          <w:p w:rsidRPr="00113073" w:rsidR="00113073" w:rsidP="00654095" w:rsidRDefault="00113073">
            <w:pPr>
              <w:rPr>
                <w:sz w:val="20"/>
                <w:szCs w:val="20"/>
              </w:rPr>
            </w:pPr>
            <w:r w:rsidRPr="00113073">
              <w:rPr>
                <w:sz w:val="20"/>
                <w:szCs w:val="20"/>
              </w:rPr>
              <w:t>66</w:t>
            </w:r>
          </w:p>
        </w:tc>
        <w:tc>
          <w:tcPr>
            <w:tcW w:w="0" w:type="auto"/>
          </w:tcPr>
          <w:p w:rsidRPr="00113073" w:rsidR="00113073" w:rsidP="00654095" w:rsidRDefault="00113073">
            <w:pPr>
              <w:rPr>
                <w:sz w:val="20"/>
                <w:szCs w:val="20"/>
              </w:rPr>
            </w:pPr>
            <w:r w:rsidRPr="00113073">
              <w:rPr>
                <w:sz w:val="20"/>
                <w:szCs w:val="20"/>
              </w:rPr>
              <w:t>213</w:t>
            </w:r>
          </w:p>
        </w:tc>
        <w:tc>
          <w:tcPr>
            <w:tcW w:w="0" w:type="auto"/>
          </w:tcPr>
          <w:p w:rsidRPr="00113073" w:rsidR="00113073" w:rsidP="00654095" w:rsidRDefault="00113073">
            <w:pPr>
              <w:rPr>
                <w:sz w:val="20"/>
                <w:szCs w:val="20"/>
              </w:rPr>
            </w:pPr>
            <w:r w:rsidRPr="00113073">
              <w:rPr>
                <w:sz w:val="20"/>
                <w:szCs w:val="20"/>
              </w:rPr>
              <w:t>66</w:t>
            </w:r>
          </w:p>
        </w:tc>
        <w:tc>
          <w:tcPr>
            <w:tcW w:w="0" w:type="auto"/>
          </w:tcPr>
          <w:p w:rsidRPr="00113073" w:rsidR="00113073" w:rsidP="00654095" w:rsidRDefault="00113073">
            <w:pPr>
              <w:rPr>
                <w:sz w:val="20"/>
                <w:szCs w:val="20"/>
              </w:rPr>
            </w:pPr>
            <w:r w:rsidRPr="00113073">
              <w:rPr>
                <w:sz w:val="20"/>
                <w:szCs w:val="20"/>
              </w:rPr>
              <w:t>213</w:t>
            </w:r>
          </w:p>
        </w:tc>
        <w:tc>
          <w:tcPr>
            <w:tcW w:w="0" w:type="auto"/>
          </w:tcPr>
          <w:p w:rsidRPr="00113073" w:rsidR="00113073" w:rsidP="00654095" w:rsidRDefault="00113073">
            <w:pPr>
              <w:jc w:val="center"/>
              <w:rPr>
                <w:sz w:val="20"/>
                <w:szCs w:val="20"/>
              </w:rPr>
            </w:pPr>
            <w:r w:rsidRPr="00113073">
              <w:rPr>
                <w:sz w:val="20"/>
                <w:szCs w:val="20"/>
              </w:rPr>
              <w:t>1,547</w:t>
            </w:r>
          </w:p>
        </w:tc>
        <w:tc>
          <w:tcPr>
            <w:tcW w:w="827" w:type="dxa"/>
          </w:tcPr>
          <w:p w:rsidRPr="00113073" w:rsidR="00113073" w:rsidP="00654095" w:rsidRDefault="00113073">
            <w:pPr>
              <w:jc w:val="center"/>
              <w:rPr>
                <w:sz w:val="20"/>
                <w:szCs w:val="20"/>
              </w:rPr>
            </w:pPr>
            <w:r w:rsidRPr="00113073">
              <w:rPr>
                <w:sz w:val="20"/>
                <w:szCs w:val="20"/>
              </w:rPr>
              <w:t>30%</w:t>
            </w:r>
          </w:p>
        </w:tc>
        <w:tc>
          <w:tcPr>
            <w:tcW w:w="1142" w:type="dxa"/>
          </w:tcPr>
          <w:p w:rsidRPr="00113073" w:rsidR="00113073" w:rsidP="00654095" w:rsidRDefault="00113073">
            <w:pPr>
              <w:jc w:val="center"/>
              <w:rPr>
                <w:sz w:val="20"/>
                <w:szCs w:val="20"/>
              </w:rPr>
            </w:pPr>
            <w:r w:rsidRPr="00113073">
              <w:rPr>
                <w:sz w:val="20"/>
                <w:szCs w:val="20"/>
              </w:rPr>
              <w:t>464</w:t>
            </w:r>
          </w:p>
        </w:tc>
      </w:tr>
      <w:tr w:rsidRPr="00113073" w:rsidR="00113073" w:rsidTr="00654095">
        <w:trPr>
          <w:trHeight w:val="70"/>
        </w:trPr>
        <w:tc>
          <w:tcPr>
            <w:tcW w:w="946" w:type="dxa"/>
          </w:tcPr>
          <w:p w:rsidRPr="00113073" w:rsidR="00113073" w:rsidP="00654095" w:rsidRDefault="00113073">
            <w:pPr>
              <w:rPr>
                <w:sz w:val="16"/>
                <w:szCs w:val="16"/>
              </w:rPr>
            </w:pPr>
            <w:r w:rsidRPr="00113073">
              <w:rPr>
                <w:sz w:val="16"/>
                <w:szCs w:val="16"/>
              </w:rPr>
              <w:t xml:space="preserve">Private sector </w:t>
            </w:r>
          </w:p>
          <w:p w:rsidRPr="00113073" w:rsidR="00113073" w:rsidP="00654095" w:rsidRDefault="00113073">
            <w:pPr>
              <w:rPr>
                <w:sz w:val="16"/>
                <w:szCs w:val="16"/>
              </w:rPr>
            </w:pPr>
          </w:p>
        </w:tc>
        <w:tc>
          <w:tcPr>
            <w:tcW w:w="604" w:type="dxa"/>
          </w:tcPr>
          <w:p w:rsidRPr="00113073" w:rsidR="00113073" w:rsidP="00654095" w:rsidRDefault="00113073">
            <w:pPr>
              <w:rPr>
                <w:sz w:val="20"/>
                <w:szCs w:val="20"/>
              </w:rPr>
            </w:pPr>
            <w:r w:rsidRPr="00113073">
              <w:rPr>
                <w:sz w:val="20"/>
                <w:szCs w:val="20"/>
              </w:rPr>
              <w:t>205</w:t>
            </w:r>
          </w:p>
        </w:tc>
        <w:tc>
          <w:tcPr>
            <w:tcW w:w="0" w:type="auto"/>
          </w:tcPr>
          <w:p w:rsidRPr="00113073" w:rsidR="00113073" w:rsidP="00654095" w:rsidRDefault="00113073">
            <w:pPr>
              <w:rPr>
                <w:sz w:val="20"/>
                <w:szCs w:val="20"/>
              </w:rPr>
            </w:pPr>
            <w:r w:rsidRPr="00113073">
              <w:rPr>
                <w:sz w:val="20"/>
                <w:szCs w:val="20"/>
              </w:rPr>
              <w:t>132</w:t>
            </w:r>
          </w:p>
        </w:tc>
        <w:tc>
          <w:tcPr>
            <w:tcW w:w="629" w:type="dxa"/>
          </w:tcPr>
          <w:p w:rsidRPr="00113073" w:rsidR="00113073" w:rsidP="00654095" w:rsidRDefault="00113073">
            <w:pPr>
              <w:rPr>
                <w:sz w:val="20"/>
                <w:szCs w:val="20"/>
              </w:rPr>
            </w:pPr>
            <w:r w:rsidRPr="00113073">
              <w:rPr>
                <w:sz w:val="20"/>
                <w:szCs w:val="20"/>
              </w:rPr>
              <w:t>250</w:t>
            </w:r>
          </w:p>
        </w:tc>
        <w:tc>
          <w:tcPr>
            <w:tcW w:w="637" w:type="dxa"/>
          </w:tcPr>
          <w:p w:rsidRPr="00113073" w:rsidR="00113073" w:rsidP="00654095" w:rsidRDefault="00113073">
            <w:pPr>
              <w:rPr>
                <w:sz w:val="20"/>
                <w:szCs w:val="20"/>
              </w:rPr>
            </w:pPr>
            <w:r w:rsidRPr="00113073">
              <w:rPr>
                <w:sz w:val="20"/>
                <w:szCs w:val="20"/>
              </w:rPr>
              <w:t>91</w:t>
            </w:r>
          </w:p>
        </w:tc>
        <w:tc>
          <w:tcPr>
            <w:tcW w:w="0" w:type="auto"/>
          </w:tcPr>
          <w:p w:rsidRPr="00113073" w:rsidR="00113073" w:rsidP="00654095" w:rsidRDefault="00113073">
            <w:pPr>
              <w:rPr>
                <w:sz w:val="20"/>
                <w:szCs w:val="20"/>
              </w:rPr>
            </w:pPr>
            <w:r w:rsidRPr="00113073">
              <w:rPr>
                <w:sz w:val="20"/>
                <w:szCs w:val="20"/>
              </w:rPr>
              <w:t>213</w:t>
            </w:r>
          </w:p>
        </w:tc>
        <w:tc>
          <w:tcPr>
            <w:tcW w:w="0" w:type="auto"/>
          </w:tcPr>
          <w:p w:rsidRPr="00113073" w:rsidR="00113073" w:rsidP="00654095" w:rsidRDefault="00113073">
            <w:pPr>
              <w:rPr>
                <w:sz w:val="20"/>
                <w:szCs w:val="20"/>
              </w:rPr>
            </w:pPr>
            <w:r w:rsidRPr="00113073">
              <w:rPr>
                <w:sz w:val="20"/>
                <w:szCs w:val="20"/>
              </w:rPr>
              <w:t>132</w:t>
            </w:r>
          </w:p>
        </w:tc>
        <w:tc>
          <w:tcPr>
            <w:tcW w:w="0" w:type="auto"/>
          </w:tcPr>
          <w:p w:rsidRPr="00113073" w:rsidR="00113073" w:rsidP="00654095" w:rsidRDefault="00113073">
            <w:pPr>
              <w:rPr>
                <w:sz w:val="20"/>
                <w:szCs w:val="20"/>
              </w:rPr>
            </w:pPr>
            <w:r w:rsidRPr="00113073">
              <w:rPr>
                <w:sz w:val="20"/>
                <w:szCs w:val="20"/>
              </w:rPr>
              <w:t>425</w:t>
            </w:r>
          </w:p>
        </w:tc>
        <w:tc>
          <w:tcPr>
            <w:tcW w:w="0" w:type="auto"/>
          </w:tcPr>
          <w:p w:rsidRPr="00113073" w:rsidR="00113073" w:rsidP="00654095" w:rsidRDefault="00113073">
            <w:pPr>
              <w:rPr>
                <w:sz w:val="20"/>
                <w:szCs w:val="20"/>
              </w:rPr>
            </w:pPr>
            <w:r w:rsidRPr="00113073">
              <w:rPr>
                <w:sz w:val="20"/>
                <w:szCs w:val="20"/>
              </w:rPr>
              <w:t>132</w:t>
            </w:r>
          </w:p>
        </w:tc>
        <w:tc>
          <w:tcPr>
            <w:tcW w:w="0" w:type="auto"/>
          </w:tcPr>
          <w:p w:rsidRPr="00113073" w:rsidR="00113073" w:rsidP="00654095" w:rsidRDefault="00113073">
            <w:pPr>
              <w:rPr>
                <w:sz w:val="20"/>
                <w:szCs w:val="20"/>
              </w:rPr>
            </w:pPr>
            <w:r w:rsidRPr="00113073">
              <w:rPr>
                <w:sz w:val="20"/>
                <w:szCs w:val="20"/>
              </w:rPr>
              <w:t>425</w:t>
            </w:r>
          </w:p>
        </w:tc>
        <w:tc>
          <w:tcPr>
            <w:tcW w:w="0" w:type="auto"/>
          </w:tcPr>
          <w:p w:rsidRPr="00113073" w:rsidR="00113073" w:rsidP="00654095" w:rsidRDefault="00113073">
            <w:pPr>
              <w:jc w:val="center"/>
              <w:rPr>
                <w:sz w:val="20"/>
                <w:szCs w:val="20"/>
              </w:rPr>
            </w:pPr>
            <w:r w:rsidRPr="00113073">
              <w:rPr>
                <w:sz w:val="20"/>
                <w:szCs w:val="20"/>
              </w:rPr>
              <w:t>2,005</w:t>
            </w:r>
          </w:p>
        </w:tc>
        <w:tc>
          <w:tcPr>
            <w:tcW w:w="827" w:type="dxa"/>
          </w:tcPr>
          <w:p w:rsidRPr="00113073" w:rsidR="00113073" w:rsidP="00654095" w:rsidRDefault="00113073">
            <w:pPr>
              <w:jc w:val="center"/>
              <w:rPr>
                <w:sz w:val="20"/>
                <w:szCs w:val="20"/>
              </w:rPr>
            </w:pPr>
            <w:r w:rsidRPr="00113073">
              <w:rPr>
                <w:sz w:val="20"/>
                <w:szCs w:val="20"/>
              </w:rPr>
              <w:t>30%</w:t>
            </w:r>
          </w:p>
        </w:tc>
        <w:tc>
          <w:tcPr>
            <w:tcW w:w="1142" w:type="dxa"/>
          </w:tcPr>
          <w:p w:rsidRPr="00113073" w:rsidR="00113073" w:rsidP="00654095" w:rsidRDefault="00113073">
            <w:pPr>
              <w:jc w:val="center"/>
              <w:rPr>
                <w:sz w:val="20"/>
                <w:szCs w:val="20"/>
              </w:rPr>
            </w:pPr>
            <w:r w:rsidRPr="00113073">
              <w:rPr>
                <w:sz w:val="20"/>
                <w:szCs w:val="20"/>
              </w:rPr>
              <w:t>601</w:t>
            </w:r>
          </w:p>
        </w:tc>
      </w:tr>
      <w:tr w:rsidRPr="00113073" w:rsidR="00113073" w:rsidTr="00654095">
        <w:tc>
          <w:tcPr>
            <w:tcW w:w="946" w:type="dxa"/>
          </w:tcPr>
          <w:p w:rsidRPr="00113073" w:rsidR="00113073" w:rsidP="00654095" w:rsidRDefault="00113073">
            <w:pPr>
              <w:rPr>
                <w:b/>
                <w:bCs/>
                <w:sz w:val="18"/>
                <w:szCs w:val="18"/>
              </w:rPr>
            </w:pPr>
            <w:r w:rsidRPr="00113073">
              <w:rPr>
                <w:b/>
                <w:bCs/>
                <w:sz w:val="16"/>
                <w:szCs w:val="16"/>
              </w:rPr>
              <w:t>TOTAL</w:t>
            </w:r>
            <w:r w:rsidRPr="00113073">
              <w:rPr>
                <w:b/>
                <w:bCs/>
                <w:sz w:val="18"/>
                <w:szCs w:val="18"/>
              </w:rPr>
              <w:t>S</w:t>
            </w:r>
          </w:p>
        </w:tc>
        <w:tc>
          <w:tcPr>
            <w:tcW w:w="604" w:type="dxa"/>
          </w:tcPr>
          <w:p w:rsidRPr="00113073" w:rsidR="00113073" w:rsidP="00654095" w:rsidRDefault="00113073">
            <w:pPr>
              <w:rPr>
                <w:b/>
                <w:bCs/>
                <w:sz w:val="18"/>
                <w:szCs w:val="18"/>
              </w:rPr>
            </w:pPr>
            <w:r w:rsidRPr="00113073">
              <w:rPr>
                <w:b/>
                <w:bCs/>
                <w:sz w:val="18"/>
                <w:szCs w:val="18"/>
              </w:rPr>
              <w:t>232</w:t>
            </w:r>
          </w:p>
        </w:tc>
        <w:tc>
          <w:tcPr>
            <w:tcW w:w="0" w:type="auto"/>
          </w:tcPr>
          <w:p w:rsidRPr="00113073" w:rsidR="00113073" w:rsidP="00654095" w:rsidRDefault="00113073">
            <w:pPr>
              <w:rPr>
                <w:b/>
                <w:bCs/>
                <w:sz w:val="18"/>
                <w:szCs w:val="18"/>
              </w:rPr>
            </w:pPr>
            <w:r w:rsidRPr="00113073">
              <w:rPr>
                <w:b/>
                <w:bCs/>
                <w:sz w:val="18"/>
                <w:szCs w:val="18"/>
              </w:rPr>
              <w:t>264</w:t>
            </w:r>
          </w:p>
        </w:tc>
        <w:tc>
          <w:tcPr>
            <w:tcW w:w="629" w:type="dxa"/>
          </w:tcPr>
          <w:p w:rsidRPr="00113073" w:rsidR="00113073" w:rsidP="00654095" w:rsidRDefault="00113073">
            <w:pPr>
              <w:rPr>
                <w:b/>
                <w:bCs/>
                <w:sz w:val="18"/>
                <w:szCs w:val="18"/>
              </w:rPr>
            </w:pPr>
            <w:r w:rsidRPr="00113073">
              <w:rPr>
                <w:b/>
                <w:bCs/>
                <w:sz w:val="18"/>
                <w:szCs w:val="18"/>
              </w:rPr>
              <w:t>750</w:t>
            </w:r>
          </w:p>
        </w:tc>
        <w:tc>
          <w:tcPr>
            <w:tcW w:w="637" w:type="dxa"/>
          </w:tcPr>
          <w:p w:rsidRPr="00113073" w:rsidR="00113073" w:rsidP="00654095" w:rsidRDefault="00113073">
            <w:pPr>
              <w:rPr>
                <w:b/>
                <w:bCs/>
                <w:sz w:val="18"/>
                <w:szCs w:val="18"/>
              </w:rPr>
            </w:pPr>
            <w:r w:rsidRPr="00113073">
              <w:rPr>
                <w:b/>
                <w:bCs/>
                <w:sz w:val="18"/>
                <w:szCs w:val="18"/>
              </w:rPr>
              <w:t>364</w:t>
            </w:r>
          </w:p>
        </w:tc>
        <w:tc>
          <w:tcPr>
            <w:tcW w:w="0" w:type="auto"/>
          </w:tcPr>
          <w:p w:rsidRPr="00113073" w:rsidR="00113073" w:rsidP="00654095" w:rsidRDefault="00113073">
            <w:pPr>
              <w:rPr>
                <w:b/>
                <w:bCs/>
                <w:sz w:val="18"/>
                <w:szCs w:val="18"/>
              </w:rPr>
            </w:pPr>
            <w:r w:rsidRPr="00113073">
              <w:rPr>
                <w:b/>
                <w:bCs/>
                <w:sz w:val="18"/>
                <w:szCs w:val="18"/>
              </w:rPr>
              <w:t>850</w:t>
            </w:r>
          </w:p>
        </w:tc>
        <w:tc>
          <w:tcPr>
            <w:tcW w:w="0" w:type="auto"/>
          </w:tcPr>
          <w:p w:rsidRPr="00113073" w:rsidR="00113073" w:rsidP="00654095" w:rsidRDefault="00113073">
            <w:pPr>
              <w:rPr>
                <w:b/>
                <w:bCs/>
                <w:sz w:val="18"/>
                <w:szCs w:val="18"/>
              </w:rPr>
            </w:pPr>
            <w:r w:rsidRPr="00113073">
              <w:rPr>
                <w:b/>
                <w:bCs/>
                <w:sz w:val="18"/>
                <w:szCs w:val="18"/>
              </w:rPr>
              <w:t>264</w:t>
            </w:r>
          </w:p>
        </w:tc>
        <w:tc>
          <w:tcPr>
            <w:tcW w:w="0" w:type="auto"/>
          </w:tcPr>
          <w:p w:rsidRPr="00113073" w:rsidR="00113073" w:rsidP="00654095" w:rsidRDefault="00113073">
            <w:pPr>
              <w:rPr>
                <w:b/>
                <w:bCs/>
                <w:sz w:val="18"/>
                <w:szCs w:val="18"/>
              </w:rPr>
            </w:pPr>
            <w:r w:rsidRPr="00113073">
              <w:rPr>
                <w:b/>
                <w:bCs/>
                <w:sz w:val="18"/>
                <w:szCs w:val="18"/>
              </w:rPr>
              <w:t>850</w:t>
            </w:r>
          </w:p>
        </w:tc>
        <w:tc>
          <w:tcPr>
            <w:tcW w:w="0" w:type="auto"/>
          </w:tcPr>
          <w:p w:rsidRPr="00113073" w:rsidR="00113073" w:rsidP="00654095" w:rsidRDefault="00113073">
            <w:pPr>
              <w:rPr>
                <w:b/>
                <w:bCs/>
                <w:sz w:val="18"/>
                <w:szCs w:val="18"/>
              </w:rPr>
            </w:pPr>
            <w:r w:rsidRPr="00113073">
              <w:rPr>
                <w:b/>
                <w:bCs/>
                <w:sz w:val="18"/>
                <w:szCs w:val="18"/>
              </w:rPr>
              <w:t>264</w:t>
            </w:r>
          </w:p>
        </w:tc>
        <w:tc>
          <w:tcPr>
            <w:tcW w:w="0" w:type="auto"/>
          </w:tcPr>
          <w:p w:rsidRPr="00113073" w:rsidR="00113073" w:rsidP="00654095" w:rsidRDefault="00113073">
            <w:pPr>
              <w:rPr>
                <w:b/>
                <w:bCs/>
                <w:sz w:val="18"/>
                <w:szCs w:val="18"/>
              </w:rPr>
            </w:pPr>
            <w:r w:rsidRPr="00113073">
              <w:rPr>
                <w:b/>
                <w:bCs/>
                <w:sz w:val="18"/>
                <w:szCs w:val="18"/>
              </w:rPr>
              <w:t>850</w:t>
            </w:r>
          </w:p>
        </w:tc>
        <w:tc>
          <w:tcPr>
            <w:tcW w:w="0" w:type="auto"/>
          </w:tcPr>
          <w:p w:rsidRPr="00113073" w:rsidR="00113073" w:rsidP="00654095" w:rsidRDefault="00113073">
            <w:pPr>
              <w:jc w:val="center"/>
              <w:rPr>
                <w:b/>
                <w:bCs/>
                <w:sz w:val="18"/>
                <w:szCs w:val="18"/>
              </w:rPr>
            </w:pPr>
            <w:r w:rsidRPr="00113073">
              <w:rPr>
                <w:b/>
                <w:bCs/>
                <w:sz w:val="18"/>
                <w:szCs w:val="18"/>
              </w:rPr>
              <w:t>4,688</w:t>
            </w:r>
          </w:p>
        </w:tc>
        <w:tc>
          <w:tcPr>
            <w:tcW w:w="827" w:type="dxa"/>
          </w:tcPr>
          <w:p w:rsidRPr="00113073" w:rsidR="00113073" w:rsidP="00654095" w:rsidRDefault="00113073">
            <w:pPr>
              <w:jc w:val="center"/>
              <w:rPr>
                <w:b/>
                <w:bCs/>
                <w:sz w:val="18"/>
                <w:szCs w:val="18"/>
              </w:rPr>
            </w:pPr>
            <w:r w:rsidRPr="00113073">
              <w:rPr>
                <w:b/>
                <w:bCs/>
                <w:sz w:val="18"/>
                <w:szCs w:val="18"/>
              </w:rPr>
              <w:t>30%</w:t>
            </w:r>
          </w:p>
        </w:tc>
        <w:tc>
          <w:tcPr>
            <w:tcW w:w="1142" w:type="dxa"/>
          </w:tcPr>
          <w:p w:rsidRPr="00113073" w:rsidR="00113073" w:rsidP="00654095" w:rsidRDefault="00113073">
            <w:pPr>
              <w:jc w:val="center"/>
              <w:rPr>
                <w:b/>
                <w:bCs/>
                <w:sz w:val="18"/>
                <w:szCs w:val="18"/>
              </w:rPr>
            </w:pPr>
            <w:r w:rsidRPr="00113073">
              <w:rPr>
                <w:b/>
                <w:bCs/>
                <w:sz w:val="18"/>
                <w:szCs w:val="18"/>
              </w:rPr>
              <w:t>1,406</w:t>
            </w:r>
          </w:p>
        </w:tc>
      </w:tr>
    </w:tbl>
    <w:p w:rsidRPr="00113073" w:rsidR="00113073" w:rsidP="00113073" w:rsidRDefault="00113073">
      <w:pPr>
        <w:ind w:left="144" w:hanging="144"/>
        <w:rPr>
          <w:i/>
          <w:sz w:val="18"/>
          <w:szCs w:val="18"/>
        </w:rPr>
      </w:pPr>
      <w:r w:rsidRPr="00113073">
        <w:rPr>
          <w:sz w:val="18"/>
          <w:szCs w:val="18"/>
          <w:vertAlign w:val="superscript"/>
        </w:rPr>
        <w:t>1</w:t>
      </w:r>
      <w:r w:rsidRPr="00113073">
        <w:rPr>
          <w:sz w:val="18"/>
          <w:szCs w:val="18"/>
        </w:rPr>
        <w:t xml:space="preserve"> </w:t>
      </w:r>
      <w:r w:rsidRPr="00113073">
        <w:rPr>
          <w:sz w:val="18"/>
          <w:szCs w:val="18"/>
        </w:rPr>
        <w:tab/>
      </w:r>
      <w:r w:rsidRPr="00113073">
        <w:rPr>
          <w:i/>
          <w:sz w:val="18"/>
          <w:szCs w:val="18"/>
        </w:rPr>
        <w:t>There are 232 names on these lists; 27 are in the federal sector. The rest are private sector.</w:t>
      </w:r>
    </w:p>
    <w:p w:rsidRPr="00113073" w:rsidR="00113073" w:rsidP="00113073" w:rsidRDefault="00113073">
      <w:pPr>
        <w:ind w:left="144" w:hanging="144"/>
        <w:rPr>
          <w:i/>
          <w:sz w:val="18"/>
          <w:szCs w:val="18"/>
        </w:rPr>
      </w:pPr>
      <w:r w:rsidRPr="00113073">
        <w:rPr>
          <w:i/>
          <w:sz w:val="18"/>
          <w:szCs w:val="18"/>
          <w:vertAlign w:val="superscript"/>
        </w:rPr>
        <w:t>2</w:t>
      </w:r>
      <w:r w:rsidRPr="00113073">
        <w:rPr>
          <w:i/>
          <w:sz w:val="18"/>
          <w:szCs w:val="18"/>
        </w:rPr>
        <w:t xml:space="preserve"> </w:t>
      </w:r>
      <w:r w:rsidRPr="00113073">
        <w:rPr>
          <w:i/>
          <w:sz w:val="18"/>
          <w:szCs w:val="18"/>
        </w:rPr>
        <w:tab/>
        <w:t>The 264 names on the WRN list in the marine sector are evenly split between state/local governments and the private sector.</w:t>
      </w:r>
    </w:p>
    <w:p w:rsidRPr="00113073" w:rsidR="00113073" w:rsidP="00113073" w:rsidRDefault="00113073">
      <w:pPr>
        <w:ind w:left="144" w:hanging="144"/>
        <w:rPr>
          <w:i/>
          <w:sz w:val="18"/>
          <w:szCs w:val="18"/>
        </w:rPr>
      </w:pPr>
      <w:r w:rsidRPr="00113073">
        <w:rPr>
          <w:i/>
          <w:sz w:val="18"/>
          <w:szCs w:val="18"/>
          <w:vertAlign w:val="superscript"/>
        </w:rPr>
        <w:t xml:space="preserve">3 </w:t>
      </w:r>
      <w:r w:rsidRPr="00113073">
        <w:rPr>
          <w:i/>
          <w:sz w:val="18"/>
          <w:szCs w:val="18"/>
          <w:vertAlign w:val="superscript"/>
        </w:rPr>
        <w:tab/>
      </w:r>
      <w:r w:rsidRPr="00113073">
        <w:rPr>
          <w:i/>
          <w:sz w:val="18"/>
          <w:szCs w:val="18"/>
        </w:rPr>
        <w:t>The 750 WFO names in the marine sector are evenly split among federal government, state/local government, and the private sector.</w:t>
      </w:r>
    </w:p>
    <w:p w:rsidRPr="00113073" w:rsidR="00113073" w:rsidP="00113073" w:rsidRDefault="00113073">
      <w:pPr>
        <w:ind w:left="144" w:hanging="144"/>
        <w:rPr>
          <w:sz w:val="18"/>
          <w:szCs w:val="18"/>
          <w:vertAlign w:val="superscript"/>
        </w:rPr>
      </w:pPr>
      <w:r w:rsidRPr="00113073">
        <w:rPr>
          <w:i/>
          <w:sz w:val="18"/>
          <w:szCs w:val="18"/>
          <w:vertAlign w:val="superscript"/>
        </w:rPr>
        <w:t>4</w:t>
      </w:r>
      <w:r w:rsidRPr="00113073">
        <w:rPr>
          <w:sz w:val="18"/>
          <w:szCs w:val="18"/>
          <w:vertAlign w:val="superscript"/>
        </w:rPr>
        <w:t xml:space="preserve"> </w:t>
      </w:r>
      <w:r w:rsidRPr="00113073">
        <w:rPr>
          <w:sz w:val="18"/>
          <w:szCs w:val="18"/>
          <w:vertAlign w:val="superscript"/>
        </w:rPr>
        <w:tab/>
      </w:r>
      <w:r w:rsidRPr="00113073">
        <w:rPr>
          <w:i/>
          <w:sz w:val="18"/>
          <w:szCs w:val="18"/>
        </w:rPr>
        <w:t>About one-half of the ambassadors in the WRN Ambassadors program in the transportation sector are in state/local government, one-fourth are in the federal government, and one-fourth are in the private sector.</w:t>
      </w:r>
      <w:r w:rsidRPr="00113073">
        <w:rPr>
          <w:sz w:val="18"/>
          <w:szCs w:val="18"/>
        </w:rPr>
        <w:t xml:space="preserve"> </w:t>
      </w:r>
    </w:p>
    <w:p w:rsidRPr="00113073" w:rsidR="00113073" w:rsidP="00113073" w:rsidRDefault="00113073">
      <w:pPr>
        <w:ind w:left="144" w:hanging="144"/>
        <w:rPr>
          <w:i/>
          <w:sz w:val="18"/>
          <w:szCs w:val="18"/>
          <w:vertAlign w:val="superscript"/>
        </w:rPr>
      </w:pPr>
      <w:bookmarkStart w:name="_2s8eyo1" w:colFirst="0" w:colLast="0" w:id="2"/>
      <w:bookmarkEnd w:id="2"/>
      <w:r w:rsidRPr="00113073">
        <w:rPr>
          <w:sz w:val="18"/>
          <w:szCs w:val="18"/>
          <w:vertAlign w:val="superscript"/>
        </w:rPr>
        <w:t xml:space="preserve">5 </w:t>
      </w:r>
      <w:r w:rsidRPr="00113073">
        <w:rPr>
          <w:sz w:val="18"/>
          <w:szCs w:val="18"/>
          <w:vertAlign w:val="superscript"/>
        </w:rPr>
        <w:tab/>
      </w:r>
      <w:r w:rsidRPr="00113073">
        <w:rPr>
          <w:i/>
          <w:sz w:val="18"/>
          <w:szCs w:val="18"/>
        </w:rPr>
        <w:t>About one-half of the names on the WFO lists in the transportation sector are assumed to be in the state/local government sector, one-fourth are in the federal sector, and the remaining one-fourth are in the private sector.</w:t>
      </w:r>
    </w:p>
    <w:p w:rsidRPr="00113073" w:rsidR="00113073" w:rsidP="00113073" w:rsidRDefault="00113073">
      <w:pPr>
        <w:ind w:left="144" w:hanging="144"/>
        <w:rPr>
          <w:sz w:val="18"/>
          <w:szCs w:val="18"/>
          <w:vertAlign w:val="superscript"/>
        </w:rPr>
      </w:pPr>
      <w:r w:rsidRPr="00113073">
        <w:rPr>
          <w:sz w:val="18"/>
          <w:szCs w:val="18"/>
          <w:vertAlign w:val="superscript"/>
        </w:rPr>
        <w:t>6</w:t>
      </w:r>
      <w:r w:rsidRPr="00113073">
        <w:rPr>
          <w:i/>
          <w:sz w:val="18"/>
          <w:szCs w:val="18"/>
        </w:rPr>
        <w:t xml:space="preserve"> </w:t>
      </w:r>
      <w:r w:rsidRPr="00113073">
        <w:rPr>
          <w:i/>
          <w:sz w:val="18"/>
          <w:szCs w:val="18"/>
        </w:rPr>
        <w:tab/>
        <w:t>About one-half of the ambassadors in the WRN Ambassadors program in the energy/utilities sector are in the private sector, one-fourth are in the federal sector, and one-fourth are in state/local government.</w:t>
      </w:r>
    </w:p>
    <w:p w:rsidRPr="00113073" w:rsidR="00113073" w:rsidP="00113073" w:rsidRDefault="00113073">
      <w:pPr>
        <w:ind w:left="144" w:hanging="144"/>
        <w:rPr>
          <w:sz w:val="18"/>
          <w:szCs w:val="18"/>
          <w:vertAlign w:val="superscript"/>
        </w:rPr>
      </w:pPr>
      <w:r w:rsidRPr="00113073">
        <w:rPr>
          <w:sz w:val="18"/>
          <w:szCs w:val="18"/>
          <w:vertAlign w:val="superscript"/>
        </w:rPr>
        <w:t>7</w:t>
      </w:r>
      <w:r w:rsidRPr="00113073">
        <w:rPr>
          <w:i/>
          <w:sz w:val="18"/>
          <w:szCs w:val="18"/>
        </w:rPr>
        <w:t xml:space="preserve"> </w:t>
      </w:r>
      <w:r w:rsidRPr="00113073">
        <w:rPr>
          <w:i/>
          <w:sz w:val="18"/>
          <w:szCs w:val="18"/>
        </w:rPr>
        <w:tab/>
        <w:t>About one-half of the names on the WFO lists in the energy/utilities sector are in the private sector, one-fourth are in the federal sector, and the remaining one-fourth are in state/local government.</w:t>
      </w:r>
    </w:p>
    <w:p w:rsidRPr="00113073" w:rsidR="00113073" w:rsidP="00113073" w:rsidRDefault="00113073">
      <w:pPr>
        <w:ind w:left="144" w:hanging="144"/>
        <w:rPr>
          <w:sz w:val="18"/>
          <w:szCs w:val="18"/>
          <w:vertAlign w:val="superscript"/>
        </w:rPr>
      </w:pPr>
      <w:r w:rsidRPr="00113073">
        <w:rPr>
          <w:sz w:val="18"/>
          <w:szCs w:val="18"/>
          <w:vertAlign w:val="superscript"/>
        </w:rPr>
        <w:t>8</w:t>
      </w:r>
      <w:r w:rsidRPr="00113073">
        <w:rPr>
          <w:i/>
          <w:sz w:val="18"/>
          <w:szCs w:val="18"/>
        </w:rPr>
        <w:t xml:space="preserve"> </w:t>
      </w:r>
      <w:r w:rsidRPr="00113073">
        <w:rPr>
          <w:i/>
          <w:sz w:val="18"/>
          <w:szCs w:val="18"/>
        </w:rPr>
        <w:tab/>
        <w:t>About one-half of the ambassadors in the WRN Ambassadors program in the tourism sector are in the private sector, one-fourth are in the federal sector, and the remaining one-fourth are in state/local government.</w:t>
      </w:r>
    </w:p>
    <w:p w:rsidRPr="00113073" w:rsidR="00113073" w:rsidP="00113073" w:rsidRDefault="00113073">
      <w:pPr>
        <w:ind w:left="144" w:hanging="144"/>
        <w:rPr>
          <w:sz w:val="24"/>
          <w:szCs w:val="24"/>
          <w:vertAlign w:val="superscript"/>
        </w:rPr>
      </w:pPr>
      <w:r w:rsidRPr="00113073">
        <w:rPr>
          <w:sz w:val="18"/>
          <w:szCs w:val="18"/>
          <w:vertAlign w:val="superscript"/>
        </w:rPr>
        <w:t>9</w:t>
      </w:r>
      <w:r w:rsidRPr="00113073">
        <w:rPr>
          <w:i/>
          <w:sz w:val="18"/>
          <w:szCs w:val="18"/>
        </w:rPr>
        <w:t xml:space="preserve"> </w:t>
      </w:r>
      <w:r w:rsidRPr="00113073">
        <w:rPr>
          <w:i/>
          <w:sz w:val="18"/>
          <w:szCs w:val="18"/>
        </w:rPr>
        <w:tab/>
        <w:t>About one-half of the names on the WFO lists in the tourism sector are assumed to be in the private sector, one-fourth are in the federal sector, and the remaining one-fourth are in state/local government.</w:t>
      </w:r>
    </w:p>
    <w:p w:rsidRPr="00113073" w:rsidR="00113073" w:rsidP="00113073" w:rsidRDefault="00113073">
      <w:pPr>
        <w:rPr>
          <w:u w:val="single"/>
        </w:rPr>
      </w:pPr>
    </w:p>
    <w:p w:rsidRPr="00113073" w:rsidR="00113073" w:rsidP="00113073" w:rsidRDefault="00113073">
      <w:bookmarkStart w:name="_3rdcrjn" w:colFirst="0" w:colLast="0" w:id="3"/>
      <w:bookmarkEnd w:id="3"/>
    </w:p>
    <w:p w:rsidRPr="000E1FA2" w:rsidR="00113073" w:rsidP="00113073" w:rsidRDefault="00113073">
      <w:pPr>
        <w:rPr>
          <w:sz w:val="24"/>
          <w:szCs w:val="24"/>
        </w:rPr>
      </w:pPr>
      <w:r w:rsidRPr="000E1FA2">
        <w:rPr>
          <w:sz w:val="24"/>
          <w:szCs w:val="24"/>
        </w:rPr>
        <w:t>The NWS will conduct an online survey to collect the desired information. The NWS’s contractor, ERG, will develop the survey in its online survey platform (</w:t>
      </w:r>
      <w:proofErr w:type="spellStart"/>
      <w:r w:rsidRPr="000E1FA2">
        <w:rPr>
          <w:sz w:val="24"/>
          <w:szCs w:val="24"/>
        </w:rPr>
        <w:t>Qualtrics</w:t>
      </w:r>
      <w:proofErr w:type="spellEnd"/>
      <w:r w:rsidRPr="000E1FA2">
        <w:rPr>
          <w:sz w:val="24"/>
          <w:szCs w:val="24"/>
        </w:rPr>
        <w:t xml:space="preserve">). The NWS will distribute the survey by providing a link to potential respondents. ERG will keep the survey open for at least two weeks, allowing as many responses as possible to accumulate in that timeframe. If the target is not met after two weeks, ERG will allow the survey to remain open until the 30 percent response target is met. </w:t>
      </w:r>
    </w:p>
    <w:p w:rsidRPr="000E1FA2" w:rsidR="00113073" w:rsidP="00113073" w:rsidRDefault="00113073">
      <w:pPr>
        <w:rPr>
          <w:sz w:val="24"/>
          <w:szCs w:val="24"/>
        </w:rPr>
      </w:pPr>
    </w:p>
    <w:p w:rsidRPr="000E1FA2" w:rsidR="00113073" w:rsidP="00113073" w:rsidRDefault="00113073">
      <w:pPr>
        <w:rPr>
          <w:sz w:val="24"/>
          <w:szCs w:val="24"/>
        </w:rPr>
      </w:pPr>
      <w:r w:rsidRPr="000E1FA2">
        <w:rPr>
          <w:sz w:val="24"/>
          <w:szCs w:val="24"/>
        </w:rPr>
        <w:t>We are not employing statistical methods in this survey since we do not expect to need to extrapolate to the population.</w:t>
      </w:r>
    </w:p>
    <w:p w:rsidRPr="00113073" w:rsidR="00113073" w:rsidP="00113073" w:rsidRDefault="00113073">
      <w:pPr>
        <w:rPr>
          <w:sz w:val="24"/>
          <w:szCs w:val="24"/>
        </w:rPr>
      </w:pPr>
    </w:p>
    <w:p w:rsidRPr="00113073" w:rsidR="00113073" w:rsidP="00113073" w:rsidRDefault="00113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113073">
        <w:rPr>
          <w:b/>
          <w:sz w:val="24"/>
          <w:szCs w:val="24"/>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Pr="00113073" w:rsidR="00113073" w:rsidP="00113073" w:rsidRDefault="00113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E1FA2" w:rsidR="00113073" w:rsidP="00113073" w:rsidRDefault="00113073">
      <w:pPr>
        <w:rPr>
          <w:i/>
          <w:sz w:val="24"/>
          <w:szCs w:val="24"/>
          <w:u w:val="single"/>
        </w:rPr>
      </w:pPr>
      <w:r w:rsidRPr="000E1FA2">
        <w:rPr>
          <w:i/>
          <w:sz w:val="24"/>
          <w:szCs w:val="24"/>
          <w:u w:val="single"/>
        </w:rPr>
        <w:t xml:space="preserve">Stratification, Sample Size, Estimation Procedure, and Precision and Accuracy </w:t>
      </w:r>
    </w:p>
    <w:p w:rsidRPr="000E1FA2" w:rsidR="00113073" w:rsidP="00113073" w:rsidRDefault="00113073">
      <w:pPr>
        <w:rPr>
          <w:sz w:val="24"/>
          <w:szCs w:val="24"/>
        </w:rPr>
      </w:pPr>
      <w:r w:rsidRPr="000E1FA2">
        <w:rPr>
          <w:iCs/>
          <w:sz w:val="24"/>
          <w:szCs w:val="24"/>
        </w:rPr>
        <w:lastRenderedPageBreak/>
        <w:t xml:space="preserve">As </w:t>
      </w:r>
      <w:r w:rsidRPr="000E1FA2">
        <w:rPr>
          <w:sz w:val="24"/>
          <w:szCs w:val="24"/>
        </w:rPr>
        <w:t>we are not employing any statistical sampling methods in this survey, we do not extrapolate the survey result to the population under consideration. The only stratification being employed involves separating the respondents into the four sectors described in Table 1.</w:t>
      </w:r>
    </w:p>
    <w:p w:rsidRPr="000E1FA2" w:rsidR="00113073" w:rsidP="00113073" w:rsidRDefault="00113073">
      <w:pPr>
        <w:rPr>
          <w:sz w:val="24"/>
          <w:szCs w:val="24"/>
        </w:rPr>
      </w:pPr>
    </w:p>
    <w:p w:rsidRPr="000E1FA2" w:rsidR="00113073" w:rsidP="00113073" w:rsidRDefault="00113073">
      <w:pPr>
        <w:rPr>
          <w:sz w:val="24"/>
          <w:szCs w:val="24"/>
        </w:rPr>
      </w:pPr>
      <w:r w:rsidRPr="000E1FA2">
        <w:rPr>
          <w:sz w:val="24"/>
          <w:szCs w:val="24"/>
        </w:rPr>
        <w:t>The NWS’s primary purpose for collecting these data is to better understand the breadth of use and understanding of the Cone of Uncertainty and to assess potential changes to the Cone based on the results of this survey. No information from this survey would be used to justify decisions to change the Cone. Any changes the Cone would require depends on additional research and assessment. This is described in more detail under section B.3 below.</w:t>
      </w:r>
    </w:p>
    <w:p w:rsidRPr="000E1FA2" w:rsidR="00113073" w:rsidP="00113073" w:rsidRDefault="00113073">
      <w:pPr>
        <w:rPr>
          <w:sz w:val="24"/>
          <w:szCs w:val="24"/>
        </w:rPr>
      </w:pPr>
    </w:p>
    <w:p w:rsidRPr="000E1FA2" w:rsidR="00113073" w:rsidP="00113073" w:rsidRDefault="00113073">
      <w:pPr>
        <w:rPr>
          <w:i/>
          <w:sz w:val="24"/>
          <w:szCs w:val="24"/>
          <w:u w:val="single"/>
        </w:rPr>
      </w:pPr>
      <w:r w:rsidRPr="000E1FA2">
        <w:rPr>
          <w:i/>
          <w:sz w:val="24"/>
          <w:szCs w:val="24"/>
          <w:u w:val="single"/>
        </w:rPr>
        <w:t>Unusual Problems Requiring Specialized Sampling Procedures</w:t>
      </w:r>
    </w:p>
    <w:p w:rsidRPr="000E1FA2" w:rsidR="00113073" w:rsidP="00113073" w:rsidRDefault="00113073">
      <w:pPr>
        <w:rPr>
          <w:sz w:val="24"/>
          <w:szCs w:val="24"/>
        </w:rPr>
      </w:pPr>
      <w:r w:rsidRPr="000E1FA2">
        <w:rPr>
          <w:sz w:val="24"/>
          <w:szCs w:val="24"/>
        </w:rPr>
        <w:t>No</w:t>
      </w:r>
      <w:r w:rsidR="000E1FA2">
        <w:rPr>
          <w:sz w:val="24"/>
          <w:szCs w:val="24"/>
        </w:rPr>
        <w:t xml:space="preserve"> specialized sampling procedures</w:t>
      </w:r>
      <w:r w:rsidRPr="000E1FA2">
        <w:rPr>
          <w:sz w:val="24"/>
          <w:szCs w:val="24"/>
        </w:rPr>
        <w:t xml:space="preserve"> are required.</w:t>
      </w:r>
    </w:p>
    <w:p w:rsidRPr="000E1FA2" w:rsidR="00113073" w:rsidP="00113073" w:rsidRDefault="00113073">
      <w:pPr>
        <w:rPr>
          <w:sz w:val="24"/>
          <w:szCs w:val="24"/>
        </w:rPr>
      </w:pPr>
    </w:p>
    <w:p w:rsidRPr="000E1FA2" w:rsidR="00113073" w:rsidP="00113073" w:rsidRDefault="00113073">
      <w:pPr>
        <w:rPr>
          <w:i/>
          <w:sz w:val="24"/>
          <w:szCs w:val="24"/>
          <w:u w:val="single"/>
        </w:rPr>
      </w:pPr>
      <w:r w:rsidRPr="000E1FA2">
        <w:rPr>
          <w:i/>
          <w:sz w:val="24"/>
          <w:szCs w:val="24"/>
          <w:u w:val="single"/>
        </w:rPr>
        <w:t>Periodic Data Collection Cycles</w:t>
      </w:r>
    </w:p>
    <w:p w:rsidRPr="000E1FA2" w:rsidR="00113073" w:rsidP="00113073" w:rsidRDefault="00113073">
      <w:pPr>
        <w:rPr>
          <w:sz w:val="24"/>
          <w:szCs w:val="24"/>
        </w:rPr>
      </w:pPr>
      <w:r w:rsidRPr="000E1FA2">
        <w:rPr>
          <w:sz w:val="24"/>
          <w:szCs w:val="24"/>
        </w:rPr>
        <w:t>This request is for a one-time data collection.</w:t>
      </w:r>
    </w:p>
    <w:p w:rsidRPr="00113073" w:rsidR="00113073" w:rsidP="00113073" w:rsidRDefault="00113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113073" w:rsidR="00113073" w:rsidP="00113073" w:rsidRDefault="00113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113073">
        <w:rPr>
          <w:b/>
          <w:sz w:val="24"/>
          <w:szCs w:val="24"/>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Pr="00113073" w:rsidR="00113073" w:rsidP="00113073" w:rsidRDefault="00113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0E1FA2" w:rsidR="00113073" w:rsidP="00113073" w:rsidRDefault="00113073">
      <w:pPr>
        <w:rPr>
          <w:sz w:val="24"/>
          <w:szCs w:val="24"/>
          <w:u w:val="single"/>
        </w:rPr>
      </w:pPr>
      <w:r w:rsidRPr="000E1FA2">
        <w:rPr>
          <w:sz w:val="24"/>
          <w:szCs w:val="24"/>
          <w:u w:val="single"/>
        </w:rPr>
        <w:t>Maximizing response rates</w:t>
      </w:r>
    </w:p>
    <w:p w:rsidRPr="000E1FA2" w:rsidR="00113073" w:rsidP="00113073" w:rsidRDefault="00113073">
      <w:pPr>
        <w:rPr>
          <w:sz w:val="24"/>
          <w:szCs w:val="24"/>
        </w:rPr>
      </w:pPr>
    </w:p>
    <w:p w:rsidRPr="000E1FA2" w:rsidR="00113073" w:rsidP="00113073" w:rsidRDefault="00113073">
      <w:pPr>
        <w:rPr>
          <w:sz w:val="24"/>
          <w:szCs w:val="24"/>
        </w:rPr>
      </w:pPr>
      <w:r w:rsidRPr="000E1FA2">
        <w:rPr>
          <w:sz w:val="24"/>
          <w:szCs w:val="24"/>
        </w:rPr>
        <w:t>The NWS’s contractor, ERG, will employ the following measures to maximize response rates from the potential respondents:</w:t>
      </w:r>
    </w:p>
    <w:p w:rsidRPr="000E1FA2" w:rsidR="00113073" w:rsidP="00113073" w:rsidRDefault="00113073">
      <w:pPr>
        <w:numPr>
          <w:ilvl w:val="0"/>
          <w:numId w:val="2"/>
        </w:numPr>
        <w:pBdr>
          <w:top w:val="nil"/>
          <w:left w:val="nil"/>
          <w:bottom w:val="nil"/>
          <w:right w:val="nil"/>
          <w:between w:val="nil"/>
        </w:pBdr>
        <w:shd w:val="clear" w:color="auto" w:fill="FFFFFF"/>
        <w:spacing w:before="280" w:after="240"/>
        <w:ind w:left="720"/>
        <w:rPr>
          <w:sz w:val="24"/>
          <w:szCs w:val="24"/>
        </w:rPr>
      </w:pPr>
      <w:r w:rsidRPr="000E1FA2">
        <w:rPr>
          <w:color w:val="000000"/>
          <w:sz w:val="24"/>
          <w:szCs w:val="24"/>
        </w:rPr>
        <w:t>The WFOs have strong knowledge of the organizations and enterprises at risk from hurricanes in their jurisdictions. In turn, these groups have a great deal of trust in the WFOs. Each WFO will send a personalized survey invitation to entities within the sectors of interest on their lists. This will help raise the visibility of the survey.</w:t>
      </w:r>
    </w:p>
    <w:p w:rsidRPr="000E1FA2" w:rsidR="00113073" w:rsidP="00113073" w:rsidRDefault="00113073">
      <w:pPr>
        <w:numPr>
          <w:ilvl w:val="0"/>
          <w:numId w:val="2"/>
        </w:numPr>
        <w:pBdr>
          <w:top w:val="nil"/>
          <w:left w:val="nil"/>
          <w:bottom w:val="nil"/>
          <w:right w:val="nil"/>
          <w:between w:val="nil"/>
        </w:pBdr>
        <w:shd w:val="clear" w:color="auto" w:fill="FFFFFF"/>
        <w:spacing w:before="280" w:after="240"/>
        <w:ind w:left="720"/>
        <w:rPr>
          <w:sz w:val="24"/>
          <w:szCs w:val="24"/>
        </w:rPr>
      </w:pPr>
      <w:bookmarkStart w:name="_Hlk34923592" w:id="4"/>
      <w:r w:rsidRPr="000E1FA2">
        <w:rPr>
          <w:color w:val="000000"/>
          <w:sz w:val="24"/>
          <w:szCs w:val="24"/>
        </w:rPr>
        <w:t>The personalized invitation for the survey will include details about the scope and purpose of the survey so that recipients can direct it appropriately within their organizations.</w:t>
      </w:r>
    </w:p>
    <w:bookmarkEnd w:id="4"/>
    <w:p w:rsidRPr="000E1FA2" w:rsidR="00113073" w:rsidP="00113073" w:rsidRDefault="00113073">
      <w:pPr>
        <w:numPr>
          <w:ilvl w:val="0"/>
          <w:numId w:val="2"/>
        </w:numPr>
        <w:pBdr>
          <w:top w:val="nil"/>
          <w:left w:val="nil"/>
          <w:bottom w:val="nil"/>
          <w:right w:val="nil"/>
          <w:between w:val="nil"/>
        </w:pBdr>
        <w:shd w:val="clear" w:color="auto" w:fill="FFFFFF"/>
        <w:spacing w:before="280" w:after="240"/>
        <w:ind w:left="720"/>
        <w:rPr>
          <w:sz w:val="24"/>
          <w:szCs w:val="24"/>
        </w:rPr>
      </w:pPr>
      <w:r w:rsidRPr="000E1FA2">
        <w:rPr>
          <w:color w:val="000000"/>
          <w:sz w:val="24"/>
          <w:szCs w:val="24"/>
        </w:rPr>
        <w:t xml:space="preserve">ERG has developed a survey that minimizes the burden on respondents by using good survey design. This includes developing well-written questions and limiting the number of questions to the minimum necessary. </w:t>
      </w:r>
    </w:p>
    <w:p w:rsidRPr="000E1FA2" w:rsidR="00113073" w:rsidP="00113073" w:rsidRDefault="00113073">
      <w:pPr>
        <w:shd w:val="clear" w:color="auto" w:fill="FFFFFF"/>
        <w:spacing w:before="280" w:after="240"/>
        <w:rPr>
          <w:sz w:val="24"/>
          <w:szCs w:val="24"/>
          <w:u w:val="single"/>
        </w:rPr>
      </w:pPr>
      <w:r w:rsidRPr="000E1FA2">
        <w:rPr>
          <w:sz w:val="24"/>
          <w:szCs w:val="24"/>
          <w:u w:val="single"/>
        </w:rPr>
        <w:t>Dealing with nonresponse</w:t>
      </w:r>
    </w:p>
    <w:p w:rsidRPr="000E1FA2" w:rsidR="00113073" w:rsidP="00113073" w:rsidRDefault="00113073">
      <w:pPr>
        <w:numPr>
          <w:ilvl w:val="0"/>
          <w:numId w:val="2"/>
        </w:numPr>
        <w:pBdr>
          <w:top w:val="nil"/>
          <w:left w:val="nil"/>
          <w:bottom w:val="nil"/>
          <w:right w:val="nil"/>
          <w:between w:val="nil"/>
        </w:pBdr>
        <w:shd w:val="clear" w:color="auto" w:fill="FFFFFF"/>
        <w:spacing w:before="280" w:after="240"/>
        <w:ind w:left="720"/>
        <w:rPr>
          <w:sz w:val="24"/>
          <w:szCs w:val="24"/>
        </w:rPr>
      </w:pPr>
      <w:r w:rsidRPr="000E1FA2">
        <w:rPr>
          <w:color w:val="000000"/>
          <w:sz w:val="24"/>
          <w:szCs w:val="24"/>
        </w:rPr>
        <w:t xml:space="preserve">ERG will use multiple prompts to generate responses. ERG will send a pre-notification email to respondents about the survey, an email that asks the respondent to take the survey, and then two reminder emails. </w:t>
      </w:r>
    </w:p>
    <w:p w:rsidRPr="000E1FA2" w:rsidR="00113073" w:rsidP="00113073" w:rsidRDefault="00113073">
      <w:pPr>
        <w:numPr>
          <w:ilvl w:val="0"/>
          <w:numId w:val="2"/>
        </w:numPr>
        <w:pBdr>
          <w:top w:val="nil"/>
          <w:left w:val="nil"/>
          <w:bottom w:val="nil"/>
          <w:right w:val="nil"/>
          <w:between w:val="nil"/>
        </w:pBdr>
        <w:shd w:val="clear" w:color="auto" w:fill="FFFFFF"/>
        <w:spacing w:before="280" w:after="240"/>
        <w:ind w:left="720"/>
        <w:rPr>
          <w:sz w:val="24"/>
          <w:szCs w:val="24"/>
        </w:rPr>
      </w:pPr>
      <w:r w:rsidRPr="000E1FA2">
        <w:rPr>
          <w:sz w:val="24"/>
          <w:szCs w:val="24"/>
        </w:rPr>
        <w:lastRenderedPageBreak/>
        <w:t>ERG will extend the survey open period if the target response is not met after two weeks. ERG will allow the survey to remain open until the 30 percent response target is met.</w:t>
      </w:r>
    </w:p>
    <w:p w:rsidRPr="000E1FA2" w:rsidR="00113073" w:rsidP="00113073" w:rsidRDefault="00113073">
      <w:pPr>
        <w:shd w:val="clear" w:color="auto" w:fill="FFFFFF"/>
        <w:spacing w:before="280" w:after="240"/>
        <w:rPr>
          <w:sz w:val="24"/>
          <w:szCs w:val="24"/>
          <w:u w:val="single"/>
        </w:rPr>
      </w:pPr>
      <w:r w:rsidRPr="000E1FA2">
        <w:rPr>
          <w:sz w:val="24"/>
          <w:szCs w:val="24"/>
          <w:u w:val="single"/>
        </w:rPr>
        <w:t xml:space="preserve">Adequacy for intended uses </w:t>
      </w:r>
    </w:p>
    <w:p w:rsidRPr="000E1FA2" w:rsidR="00113073" w:rsidP="00113073" w:rsidRDefault="00113073">
      <w:pPr>
        <w:shd w:val="clear" w:color="auto" w:fill="FFFFFF"/>
        <w:ind w:left="90"/>
        <w:rPr>
          <w:sz w:val="24"/>
          <w:szCs w:val="24"/>
        </w:rPr>
      </w:pPr>
      <w:r w:rsidRPr="000E1FA2">
        <w:rPr>
          <w:sz w:val="24"/>
          <w:szCs w:val="24"/>
        </w:rPr>
        <w:t xml:space="preserve">The purpose of the survey is to gather feedback from individuals in four key sectors (marine, transportation, energy/utilities, and tourism) and among internal government meteorologists to discern the degree to which they use the Cone of Uncertainty to make operational decisions, as well as determine whether the product helps or hinders their decision-making. The survey supports Section 104 of the 2017 Weather Research and Forecasting Innovation Act (Pub. L. 115-25, H.R. 535), which calls for NOAA to improve hurricane forecasting and communication. NOAA has no prior data on these uses beside anecdotal information provided by stakeholders. The data will provide a strong basis for NOAA to better understand how key partners in important U.S. sectors use its information in preparing for hurricanes. No decisions are being made solely from the data being collected from these surveys. Rather, these data feed into a base of information that NOAA is collecting about how the Cone of Uncertainty and other hurricane forecast products are used and interpreted. </w:t>
      </w:r>
    </w:p>
    <w:p w:rsidRPr="000E1FA2" w:rsidR="00113073" w:rsidP="00113073" w:rsidRDefault="00113073">
      <w:pPr>
        <w:shd w:val="clear" w:color="auto" w:fill="FFFFFF"/>
        <w:ind w:left="90"/>
        <w:rPr>
          <w:sz w:val="24"/>
          <w:szCs w:val="24"/>
        </w:rPr>
      </w:pPr>
    </w:p>
    <w:p w:rsidRPr="000E1FA2" w:rsidR="00113073" w:rsidP="00113073" w:rsidRDefault="00113073">
      <w:pPr>
        <w:shd w:val="clear" w:color="auto" w:fill="FFFFFF"/>
        <w:ind w:left="90"/>
        <w:rPr>
          <w:sz w:val="24"/>
          <w:szCs w:val="24"/>
        </w:rPr>
      </w:pPr>
      <w:r w:rsidRPr="000E1FA2">
        <w:rPr>
          <w:sz w:val="24"/>
          <w:szCs w:val="24"/>
        </w:rPr>
        <w:t>The results of the survey will be used primarily for internal deliberative purposes. NWS may also present the results at public meetings and/or conferences as needed.</w:t>
      </w:r>
    </w:p>
    <w:p w:rsidRPr="00113073" w:rsidR="00113073" w:rsidP="00113073" w:rsidRDefault="00113073">
      <w:pPr>
        <w:shd w:val="clear" w:color="auto" w:fill="FFFFFF"/>
        <w:ind w:left="90"/>
      </w:pPr>
    </w:p>
    <w:p w:rsidRPr="00113073" w:rsidR="00113073" w:rsidP="00113073" w:rsidRDefault="00113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113073">
        <w:rPr>
          <w:b/>
          <w:sz w:val="24"/>
          <w:szCs w:val="24"/>
          <w:u w:val="single"/>
        </w:rPr>
        <w:t>4.  Describe any tests of procedures or methods to be undertaken. Tests are encouraged as effective means to refine collections, but if ten or more test respondents are involved OMB must give prior approval.</w:t>
      </w:r>
    </w:p>
    <w:p w:rsidRPr="00113073" w:rsidR="00113073" w:rsidP="00113073" w:rsidRDefault="00113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0E1FA2" w:rsidR="00113073" w:rsidP="00113073" w:rsidRDefault="00113073">
      <w:pPr>
        <w:spacing w:after="120"/>
        <w:rPr>
          <w:sz w:val="24"/>
          <w:szCs w:val="24"/>
        </w:rPr>
      </w:pPr>
      <w:r w:rsidRPr="000E1FA2">
        <w:rPr>
          <w:sz w:val="24"/>
          <w:szCs w:val="24"/>
        </w:rPr>
        <w:t xml:space="preserve">The NWS’s contractor, ERG, will perform a pre-test of the survey prior to full implementation of the instrument. ERG will select approximately 10 to 20 respondents to be pre-testers from the set of respondents identified in Table 4. The pre-testers will be respondents who are known to WFOs and who are willing to assist the NWS in this effort. Thus, the pre-test portion of the total potential respondents is included as part of this request. ERG will make changes as needed based on the pre-test. </w:t>
      </w:r>
    </w:p>
    <w:p w:rsidRPr="00113073" w:rsidR="00113073" w:rsidP="00113073" w:rsidRDefault="00113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113073" w:rsidR="00113073" w:rsidP="00113073" w:rsidRDefault="00113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113073">
        <w:rPr>
          <w:b/>
          <w:sz w:val="24"/>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rsidRPr="000E1FA2" w:rsidR="00113073" w:rsidP="00113073" w:rsidRDefault="00113073">
      <w:pPr>
        <w:rPr>
          <w:sz w:val="24"/>
          <w:szCs w:val="24"/>
        </w:rPr>
      </w:pPr>
    </w:p>
    <w:p w:rsidRPr="000E1FA2" w:rsidR="00113073" w:rsidP="00113073" w:rsidRDefault="00113073">
      <w:pPr>
        <w:rPr>
          <w:sz w:val="24"/>
          <w:szCs w:val="24"/>
        </w:rPr>
      </w:pPr>
      <w:r w:rsidRPr="000E1FA2">
        <w:rPr>
          <w:sz w:val="24"/>
          <w:szCs w:val="24"/>
        </w:rPr>
        <w:t>The NW</w:t>
      </w:r>
      <w:bookmarkStart w:name="_GoBack" w:id="5"/>
      <w:bookmarkEnd w:id="5"/>
      <w:r w:rsidRPr="000E1FA2">
        <w:rPr>
          <w:sz w:val="24"/>
          <w:szCs w:val="24"/>
        </w:rPr>
        <w:t>S has contracted with Eastern Research Group, Inc. (ERG) of Lexington, MA, to design the survey instrument, develop the sampling approach, implement the survey, and analyze the resulting data collected. The survey design team included the following individuals:</w:t>
      </w:r>
    </w:p>
    <w:p w:rsidRPr="000E1FA2" w:rsidR="00113073" w:rsidP="00113073" w:rsidRDefault="00113073">
      <w:pPr>
        <w:rPr>
          <w:sz w:val="24"/>
          <w:szCs w:val="24"/>
        </w:rPr>
      </w:pPr>
    </w:p>
    <w:p w:rsidRPr="000E1FA2" w:rsidR="00113073" w:rsidP="00113073" w:rsidRDefault="00113073">
      <w:pPr>
        <w:rPr>
          <w:sz w:val="24"/>
          <w:szCs w:val="24"/>
        </w:rPr>
      </w:pPr>
      <w:r w:rsidRPr="000E1FA2">
        <w:rPr>
          <w:sz w:val="24"/>
          <w:szCs w:val="24"/>
        </w:rPr>
        <w:t xml:space="preserve">Dr. Lou Nadeau, (781) 674-7316, </w:t>
      </w:r>
      <w:hyperlink r:id="rId6">
        <w:r w:rsidRPr="000E1FA2">
          <w:rPr>
            <w:color w:val="0000FF"/>
            <w:sz w:val="24"/>
            <w:szCs w:val="24"/>
            <w:u w:val="single"/>
          </w:rPr>
          <w:t>lou.nadeau@erg.com</w:t>
        </w:r>
      </w:hyperlink>
      <w:r w:rsidRPr="000E1FA2">
        <w:rPr>
          <w:sz w:val="24"/>
          <w:szCs w:val="24"/>
        </w:rPr>
        <w:t xml:space="preserve">; Linda Girardi, (703) 841-0501, </w:t>
      </w:r>
      <w:hyperlink w:history="1" r:id="rId7">
        <w:r w:rsidRPr="000E1FA2">
          <w:rPr>
            <w:rStyle w:val="Hyperlink"/>
            <w:sz w:val="24"/>
            <w:szCs w:val="24"/>
          </w:rPr>
          <w:t>Linda.Girardi@erg.com</w:t>
        </w:r>
      </w:hyperlink>
      <w:r w:rsidRPr="000E1FA2">
        <w:rPr>
          <w:sz w:val="24"/>
          <w:szCs w:val="24"/>
        </w:rPr>
        <w:t xml:space="preserve">; Dr. Betty Morrow, </w:t>
      </w:r>
      <w:hyperlink r:id="rId8">
        <w:r w:rsidRPr="000E1FA2">
          <w:rPr>
            <w:color w:val="0000FF"/>
            <w:sz w:val="24"/>
            <w:szCs w:val="24"/>
            <w:u w:val="single"/>
          </w:rPr>
          <w:t>bettymorrow@mac.com</w:t>
        </w:r>
      </w:hyperlink>
      <w:r w:rsidRPr="000E1FA2">
        <w:rPr>
          <w:sz w:val="24"/>
          <w:szCs w:val="24"/>
        </w:rPr>
        <w:t xml:space="preserve">, (305) 812-2125; and Jeffrey </w:t>
      </w:r>
      <w:proofErr w:type="spellStart"/>
      <w:r w:rsidRPr="000E1FA2">
        <w:rPr>
          <w:sz w:val="24"/>
          <w:szCs w:val="24"/>
        </w:rPr>
        <w:t>Lazo</w:t>
      </w:r>
      <w:proofErr w:type="spellEnd"/>
      <w:r w:rsidRPr="000E1FA2">
        <w:rPr>
          <w:sz w:val="24"/>
          <w:szCs w:val="24"/>
        </w:rPr>
        <w:t xml:space="preserve">, </w:t>
      </w:r>
      <w:hyperlink r:id="rId9">
        <w:r w:rsidRPr="000E1FA2">
          <w:rPr>
            <w:color w:val="0000FF"/>
            <w:sz w:val="24"/>
            <w:szCs w:val="24"/>
            <w:u w:val="single"/>
          </w:rPr>
          <w:t>jeffrey.k.lazo@gmail.com</w:t>
        </w:r>
      </w:hyperlink>
      <w:bookmarkStart w:name="17dp8vu" w:colFirst="0" w:colLast="0" w:id="6"/>
      <w:bookmarkEnd w:id="6"/>
      <w:r w:rsidRPr="000E1FA2">
        <w:rPr>
          <w:sz w:val="24"/>
          <w:szCs w:val="24"/>
        </w:rPr>
        <w:t>, (970) 707-4160.</w:t>
      </w:r>
    </w:p>
    <w:p w:rsidRPr="00113073" w:rsidR="00113073" w:rsidP="00113073" w:rsidRDefault="00113073">
      <w:pPr>
        <w:ind w:left="450"/>
        <w:rPr>
          <w:b/>
        </w:rPr>
      </w:pPr>
    </w:p>
    <w:p w:rsidRPr="00113073" w:rsidR="005652B5" w:rsidRDefault="000E1FA2"/>
    <w:sectPr w:rsidRPr="00113073" w:rsidR="005652B5" w:rsidSect="00113073">
      <w:headerReference w:type="default" r:id="rId10"/>
      <w:footerReference w:type="default" r:id="rId11"/>
      <w:pgSz w:w="12240" w:h="15840"/>
      <w:pgMar w:top="90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088" w:rsidRDefault="000E1FA2">
    <w:pPr>
      <w:pBdr>
        <w:top w:val="nil"/>
        <w:left w:val="nil"/>
        <w:bottom w:val="nil"/>
        <w:right w:val="nil"/>
        <w:between w:val="nil"/>
      </w:pBdr>
      <w:tabs>
        <w:tab w:val="center" w:pos="4680"/>
        <w:tab w:val="right" w:pos="9360"/>
      </w:tabs>
      <w:jc w:val="right"/>
      <w:rPr>
        <w:color w:val="000000"/>
        <w:sz w:val="24"/>
        <w:szCs w:val="24"/>
      </w:rPr>
    </w:pPr>
    <w:r>
      <w:rPr>
        <w:rFonts w:ascii="Arial" w:eastAsia="Arial" w:hAnsi="Arial" w:cs="Arial"/>
        <w:b/>
        <w:color w:val="000000"/>
      </w:rPr>
      <w:tab/>
    </w: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4</w:t>
    </w:r>
    <w:r>
      <w:rPr>
        <w:color w:val="000000"/>
        <w:sz w:val="24"/>
        <w:szCs w:val="24"/>
      </w:rPr>
      <w:fldChar w:fldCharType="end"/>
    </w:r>
  </w:p>
  <w:p w:rsidR="00516088" w:rsidRDefault="000E1FA2">
    <w:pPr>
      <w:pBdr>
        <w:top w:val="nil"/>
        <w:left w:val="nil"/>
        <w:bottom w:val="nil"/>
        <w:right w:val="nil"/>
        <w:between w:val="nil"/>
      </w:pBdr>
      <w:tabs>
        <w:tab w:val="center" w:pos="4680"/>
        <w:tab w:val="right" w:pos="9360"/>
      </w:tabs>
      <w:rPr>
        <w:rFonts w:ascii="Arial" w:eastAsia="Arial" w:hAnsi="Arial" w:cs="Arial"/>
        <w:b/>
        <w:color w:val="000000"/>
        <w:sz w:val="24"/>
        <w:szCs w:val="24"/>
      </w:rPr>
    </w:pPr>
  </w:p>
  <w:p w:rsidR="00516088" w:rsidRDefault="000E1FA2"/>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088" w:rsidRDefault="000E1FA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D2A3E"/>
    <w:multiLevelType w:val="multilevel"/>
    <w:tmpl w:val="010EBF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6F444221"/>
    <w:multiLevelType w:val="multilevel"/>
    <w:tmpl w:val="E2A09380"/>
    <w:lvl w:ilvl="0">
      <w:start w:val="1"/>
      <w:numFmt w:val="bullet"/>
      <w:lvlText w:val=""/>
      <w:lvlJc w:val="left"/>
      <w:pPr>
        <w:ind w:left="810" w:hanging="360"/>
      </w:pPr>
      <w:rPr>
        <w:rFonts w:ascii="Symbol" w:hAnsi="Symbol" w:hint="default"/>
        <w:sz w:val="20"/>
        <w:szCs w:val="20"/>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73"/>
    <w:rsid w:val="000E1FA2"/>
    <w:rsid w:val="00113073"/>
    <w:rsid w:val="00451280"/>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8D6D"/>
  <w15:chartTrackingRefBased/>
  <w15:docId w15:val="{5C1C7EA1-D968-4A4D-B1C5-BC8006CB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3073"/>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113073"/>
    <w:pPr>
      <w:spacing w:after="0" w:line="240" w:lineRule="auto"/>
    </w:pPr>
    <w:rPr>
      <w:rFonts w:ascii="Times New Roman" w:eastAsia="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130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ymorrow@ma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da.Girardi@er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u.nadeau@erg.com" TargetMode="External"/><Relationship Id="rId11" Type="http://schemas.openxmlformats.org/officeDocument/2006/relationships/footer" Target="footer1.xml"/><Relationship Id="rId5" Type="http://schemas.openxmlformats.org/officeDocument/2006/relationships/hyperlink" Target="https://www.weather.gov/wrn/current-ambassador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effrey.k.laz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2</cp:revision>
  <dcterms:created xsi:type="dcterms:W3CDTF">2020-03-16T14:42:00Z</dcterms:created>
  <dcterms:modified xsi:type="dcterms:W3CDTF">2020-03-16T14:59:00Z</dcterms:modified>
</cp:coreProperties>
</file>