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6E9" w:rsidRDefault="004F26E9" w14:paraId="63435B7C" w14:textId="77777777">
      <w:pPr>
        <w:jc w:val="center"/>
        <w:rPr>
          <w:b/>
          <w:bCs/>
          <w:sz w:val="24"/>
          <w:szCs w:val="24"/>
        </w:rPr>
      </w:pPr>
      <w:r>
        <w:rPr>
          <w:b/>
          <w:bCs/>
          <w:sz w:val="24"/>
          <w:szCs w:val="24"/>
        </w:rPr>
        <w:t>SUPPORTING STATEMENT</w:t>
      </w:r>
    </w:p>
    <w:p w:rsidRPr="004A07FF" w:rsidR="008F2C04" w:rsidP="006C6451" w:rsidRDefault="00AF3080" w14:paraId="0CF4D619" w14:textId="77777777">
      <w:pPr>
        <w:jc w:val="center"/>
        <w:rPr>
          <w:b/>
          <w:bCs/>
          <w:sz w:val="24"/>
          <w:szCs w:val="24"/>
        </w:rPr>
      </w:pPr>
      <w:r w:rsidRPr="004A07FF">
        <w:rPr>
          <w:b/>
          <w:bCs/>
          <w:sz w:val="24"/>
          <w:szCs w:val="24"/>
        </w:rPr>
        <w:t xml:space="preserve">U.S. </w:t>
      </w:r>
      <w:r w:rsidRPr="004A07FF" w:rsidR="008F2C04">
        <w:rPr>
          <w:b/>
          <w:bCs/>
          <w:sz w:val="24"/>
          <w:szCs w:val="24"/>
        </w:rPr>
        <w:t>Department of Commerce</w:t>
      </w:r>
    </w:p>
    <w:p w:rsidRPr="004A07FF" w:rsidR="008F2C04" w:rsidP="006C6451" w:rsidRDefault="008F2C04" w14:paraId="3F318164" w14:textId="77777777">
      <w:pPr>
        <w:jc w:val="center"/>
        <w:rPr>
          <w:b/>
          <w:bCs/>
          <w:sz w:val="24"/>
          <w:szCs w:val="24"/>
        </w:rPr>
      </w:pPr>
      <w:r w:rsidRPr="004A07FF">
        <w:rPr>
          <w:b/>
          <w:bCs/>
          <w:sz w:val="24"/>
          <w:szCs w:val="24"/>
        </w:rPr>
        <w:t>National Oceanic &amp; Atmospheric Administration</w:t>
      </w:r>
    </w:p>
    <w:p w:rsidRPr="004A07FF" w:rsidR="006C6451" w:rsidP="008F2C04" w:rsidRDefault="006C6451" w14:paraId="327D36EB" w14:textId="282138F2">
      <w:pPr>
        <w:jc w:val="center"/>
        <w:rPr>
          <w:b/>
          <w:sz w:val="24"/>
          <w:szCs w:val="24"/>
        </w:rPr>
      </w:pPr>
      <w:r w:rsidRPr="004A07FF">
        <w:rPr>
          <w:b/>
          <w:sz w:val="24"/>
          <w:szCs w:val="24"/>
        </w:rPr>
        <w:t xml:space="preserve">West Coast </w:t>
      </w:r>
      <w:r w:rsidRPr="004A07FF" w:rsidR="002C1B0E">
        <w:rPr>
          <w:b/>
          <w:sz w:val="24"/>
          <w:szCs w:val="24"/>
        </w:rPr>
        <w:t>Swordfish</w:t>
      </w:r>
      <w:r w:rsidRPr="004A07FF">
        <w:rPr>
          <w:b/>
          <w:sz w:val="24"/>
          <w:szCs w:val="24"/>
        </w:rPr>
        <w:t xml:space="preserve"> Fishery Cost and Earnings Survey</w:t>
      </w:r>
    </w:p>
    <w:p w:rsidRPr="004A07FF" w:rsidR="004F26E9" w:rsidP="006C6451" w:rsidRDefault="004F26E9" w14:paraId="08B09F1B" w14:textId="3B0D236A">
      <w:pPr>
        <w:jc w:val="center"/>
        <w:rPr>
          <w:sz w:val="24"/>
          <w:szCs w:val="24"/>
        </w:rPr>
      </w:pPr>
      <w:r w:rsidRPr="004A07FF">
        <w:rPr>
          <w:b/>
          <w:bCs/>
          <w:sz w:val="24"/>
          <w:szCs w:val="24"/>
        </w:rPr>
        <w:t>OMB C</w:t>
      </w:r>
      <w:r w:rsidRPr="004A07FF" w:rsidR="008F2C04">
        <w:rPr>
          <w:b/>
          <w:bCs/>
          <w:sz w:val="24"/>
          <w:szCs w:val="24"/>
        </w:rPr>
        <w:t>ontrol No</w:t>
      </w:r>
      <w:r w:rsidRPr="004A07FF">
        <w:rPr>
          <w:b/>
          <w:bCs/>
          <w:sz w:val="24"/>
          <w:szCs w:val="24"/>
        </w:rPr>
        <w:t>. 0648-</w:t>
      </w:r>
      <w:r w:rsidRPr="004A07FF" w:rsidR="002C7A67">
        <w:rPr>
          <w:b/>
          <w:bCs/>
          <w:sz w:val="24"/>
          <w:szCs w:val="24"/>
        </w:rPr>
        <w:t>0751</w:t>
      </w:r>
    </w:p>
    <w:p w:rsidR="004F26E9" w:rsidRDefault="004F26E9" w14:paraId="7AD47817" w14:textId="77777777">
      <w:pPr>
        <w:rPr>
          <w:sz w:val="24"/>
          <w:szCs w:val="24"/>
        </w:rPr>
      </w:pPr>
    </w:p>
    <w:p w:rsidR="004F26E9" w:rsidRDefault="004F26E9" w14:paraId="44100DC8" w14:textId="77777777">
      <w:pPr>
        <w:rPr>
          <w:sz w:val="24"/>
          <w:szCs w:val="24"/>
        </w:rPr>
      </w:pPr>
    </w:p>
    <w:p w:rsidR="004F26E9" w:rsidRDefault="004D3FFC" w14:paraId="36ED7C36" w14:textId="77777777">
      <w:pPr>
        <w:tabs>
          <w:tab w:val="left" w:pos="720"/>
        </w:tabs>
        <w:ind w:left="720" w:hanging="720"/>
        <w:rPr>
          <w:sz w:val="24"/>
          <w:szCs w:val="24"/>
        </w:rPr>
      </w:pPr>
      <w:r>
        <w:rPr>
          <w:b/>
          <w:bCs/>
          <w:sz w:val="24"/>
          <w:szCs w:val="24"/>
        </w:rPr>
        <w:t>A.</w:t>
      </w:r>
      <w:r w:rsidR="004F26E9">
        <w:rPr>
          <w:b/>
          <w:bCs/>
          <w:sz w:val="24"/>
          <w:szCs w:val="24"/>
        </w:rPr>
        <w:tab/>
        <w:t>JUSTIFICATION</w:t>
      </w:r>
    </w:p>
    <w:p w:rsidR="004D3FFC" w:rsidRDefault="004D3FFC" w14:paraId="4FC2F331" w14:textId="77777777">
      <w:pPr>
        <w:rPr>
          <w:sz w:val="24"/>
          <w:szCs w:val="24"/>
        </w:rPr>
      </w:pPr>
    </w:p>
    <w:p w:rsidR="004F26E9" w:rsidRDefault="004F26E9" w14:paraId="04F874E6" w14:textId="77777777">
      <w:pPr>
        <w:rPr>
          <w:b/>
          <w:bCs/>
          <w:sz w:val="24"/>
          <w:szCs w:val="24"/>
          <w:u w:val="single"/>
        </w:rPr>
      </w:pPr>
      <w:r>
        <w:rPr>
          <w:b/>
          <w:bCs/>
          <w:sz w:val="24"/>
          <w:szCs w:val="24"/>
        </w:rPr>
        <w:t xml:space="preserve">1.  </w:t>
      </w:r>
      <w:r>
        <w:rPr>
          <w:b/>
          <w:bCs/>
          <w:sz w:val="24"/>
          <w:szCs w:val="24"/>
          <w:u w:val="single"/>
        </w:rPr>
        <w:t>Explain the circumstances that make the collection of information necessary.</w:t>
      </w:r>
    </w:p>
    <w:p w:rsidR="00D6744B" w:rsidRDefault="00D6744B" w14:paraId="4AA943B7" w14:textId="77777777">
      <w:pPr>
        <w:rPr>
          <w:sz w:val="22"/>
          <w:szCs w:val="22"/>
        </w:rPr>
      </w:pPr>
    </w:p>
    <w:p w:rsidRPr="008B27F8" w:rsidR="001426A8" w:rsidRDefault="001426A8" w14:paraId="5A97AB1B" w14:textId="77777777">
      <w:pPr>
        <w:rPr>
          <w:sz w:val="24"/>
          <w:szCs w:val="24"/>
        </w:rPr>
      </w:pPr>
      <w:r w:rsidRPr="008B27F8">
        <w:rPr>
          <w:sz w:val="24"/>
          <w:szCs w:val="24"/>
        </w:rPr>
        <w:t xml:space="preserve">Commercial fisheries economic data collection programs implemented by the National Marine Fisheries Service (NMFS) address statutory and regulatory mandates to determine the quantity and distribution of net benefits derived from living marine resources as well as predict the economic impacts from proposed management options on commercial harvesters, shore side industries, and fishing communities. In particular, these economic data collection programs contribute to legally mandated analyses required under the </w:t>
      </w:r>
      <w:hyperlink w:history="1" r:id="rId8">
        <w:r w:rsidRPr="008B27F8">
          <w:rPr>
            <w:rStyle w:val="Hyperlink"/>
            <w:sz w:val="24"/>
            <w:szCs w:val="24"/>
          </w:rPr>
          <w:t xml:space="preserve">Magnuson-Stevens Fishery Conservation and Management Act </w:t>
        </w:r>
      </w:hyperlink>
      <w:r w:rsidRPr="008B27F8">
        <w:rPr>
          <w:sz w:val="24"/>
          <w:szCs w:val="24"/>
        </w:rPr>
        <w:t>(</w:t>
      </w:r>
      <w:r w:rsidRPr="008B27F8" w:rsidR="00B53E03">
        <w:rPr>
          <w:sz w:val="24"/>
          <w:szCs w:val="24"/>
        </w:rPr>
        <w:t>MSA</w:t>
      </w:r>
      <w:r w:rsidRPr="008B27F8">
        <w:rPr>
          <w:sz w:val="24"/>
          <w:szCs w:val="24"/>
        </w:rPr>
        <w:t xml:space="preserve">), the </w:t>
      </w:r>
      <w:hyperlink w:history="1" r:id="rId9">
        <w:r w:rsidRPr="008B27F8">
          <w:rPr>
            <w:rStyle w:val="Hyperlink"/>
            <w:sz w:val="24"/>
            <w:szCs w:val="24"/>
          </w:rPr>
          <w:t>National Environmental Policy Act</w:t>
        </w:r>
      </w:hyperlink>
      <w:r w:rsidRPr="008B27F8">
        <w:rPr>
          <w:sz w:val="24"/>
          <w:szCs w:val="24"/>
        </w:rPr>
        <w:t xml:space="preserve"> (NEPA), the </w:t>
      </w:r>
      <w:hyperlink w:history="1" r:id="rId10">
        <w:r w:rsidRPr="008B27F8">
          <w:rPr>
            <w:rStyle w:val="Hyperlink"/>
            <w:sz w:val="24"/>
            <w:szCs w:val="24"/>
          </w:rPr>
          <w:t>Regulatory Flexibility Act</w:t>
        </w:r>
      </w:hyperlink>
      <w:r w:rsidRPr="008B27F8">
        <w:rPr>
          <w:sz w:val="24"/>
          <w:szCs w:val="24"/>
        </w:rPr>
        <w:t xml:space="preserve"> (RFA), and </w:t>
      </w:r>
      <w:hyperlink w:history="1" r:id="rId11">
        <w:r w:rsidRPr="008B27F8">
          <w:rPr>
            <w:rStyle w:val="Hyperlink"/>
            <w:sz w:val="24"/>
            <w:szCs w:val="24"/>
          </w:rPr>
          <w:t xml:space="preserve">Executive Order 12866 </w:t>
        </w:r>
      </w:hyperlink>
      <w:r w:rsidRPr="008B27F8">
        <w:rPr>
          <w:sz w:val="24"/>
          <w:szCs w:val="24"/>
        </w:rPr>
        <w:t>(E.O. 12866).</w:t>
      </w:r>
    </w:p>
    <w:p w:rsidRPr="008B27F8" w:rsidR="004F26E9" w:rsidRDefault="004F26E9" w14:paraId="078C0CAB" w14:textId="77777777">
      <w:pPr>
        <w:rPr>
          <w:sz w:val="24"/>
          <w:szCs w:val="24"/>
        </w:rPr>
      </w:pPr>
    </w:p>
    <w:p w:rsidRPr="008B27F8" w:rsidR="004F26E9" w:rsidRDefault="004F26E9" w14:paraId="22CEB824" w14:textId="3161EA7A">
      <w:pPr>
        <w:rPr>
          <w:b/>
          <w:bCs/>
          <w:sz w:val="24"/>
          <w:szCs w:val="24"/>
        </w:rPr>
      </w:pPr>
      <w:r w:rsidRPr="008B27F8">
        <w:rPr>
          <w:b/>
          <w:bCs/>
          <w:sz w:val="24"/>
          <w:szCs w:val="24"/>
        </w:rPr>
        <w:t xml:space="preserve">2.  </w:t>
      </w:r>
      <w:r w:rsidRPr="008B27F8">
        <w:rPr>
          <w:sz w:val="24"/>
          <w:szCs w:val="24"/>
          <w:lang w:val="en-CA"/>
        </w:rPr>
        <w:fldChar w:fldCharType="begin"/>
      </w:r>
      <w:r w:rsidRPr="008B27F8">
        <w:rPr>
          <w:sz w:val="24"/>
          <w:szCs w:val="24"/>
          <w:lang w:val="en-CA"/>
        </w:rPr>
        <w:instrText xml:space="preserve"> SEQ CHAPTER \h \r 1</w:instrText>
      </w:r>
      <w:r w:rsidRPr="008B27F8">
        <w:rPr>
          <w:sz w:val="24"/>
          <w:szCs w:val="24"/>
          <w:lang w:val="en-CA"/>
        </w:rPr>
        <w:fldChar w:fldCharType="end"/>
      </w:r>
      <w:r w:rsidRPr="008B27F8">
        <w:rPr>
          <w:b/>
          <w:bCs/>
          <w:sz w:val="24"/>
          <w:szCs w:val="24"/>
          <w:u w:val="single"/>
        </w:rPr>
        <w:t xml:space="preserve">Explain how, by whom, how frequently, and for what purpose the information will be used.  </w:t>
      </w:r>
      <w:r w:rsidRPr="008B27F8">
        <w:rPr>
          <w:sz w:val="24"/>
          <w:szCs w:val="24"/>
          <w:lang w:val="en-CA"/>
        </w:rPr>
        <w:fldChar w:fldCharType="begin"/>
      </w:r>
      <w:r w:rsidRPr="008B27F8">
        <w:rPr>
          <w:sz w:val="24"/>
          <w:szCs w:val="24"/>
          <w:lang w:val="en-CA"/>
        </w:rPr>
        <w:instrText xml:space="preserve"> SEQ CHAPTER \h \r 1</w:instrText>
      </w:r>
      <w:r w:rsidRPr="008B27F8">
        <w:rPr>
          <w:sz w:val="24"/>
          <w:szCs w:val="24"/>
          <w:lang w:val="en-CA"/>
        </w:rPr>
        <w:fldChar w:fldCharType="end"/>
      </w:r>
      <w:r w:rsidRPr="008B27F8">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B27F8">
        <w:rPr>
          <w:b/>
          <w:bCs/>
          <w:sz w:val="24"/>
          <w:szCs w:val="24"/>
        </w:rPr>
        <w:t xml:space="preserve">. </w:t>
      </w:r>
    </w:p>
    <w:p w:rsidRPr="008B27F8" w:rsidR="00D6744B" w:rsidP="009A0D8F" w:rsidRDefault="00D6744B" w14:paraId="6F7B0382" w14:textId="77777777">
      <w:pPr>
        <w:rPr>
          <w:sz w:val="24"/>
          <w:szCs w:val="24"/>
        </w:rPr>
      </w:pPr>
    </w:p>
    <w:p w:rsidRPr="008B27F8" w:rsidR="009A0D8F" w:rsidP="009A0D8F" w:rsidRDefault="009A0D8F" w14:paraId="5D428889" w14:textId="7A196283">
      <w:pPr>
        <w:rPr>
          <w:sz w:val="24"/>
          <w:szCs w:val="24"/>
        </w:rPr>
      </w:pPr>
      <w:r w:rsidRPr="008B27F8">
        <w:rPr>
          <w:sz w:val="24"/>
          <w:szCs w:val="24"/>
        </w:rPr>
        <w:t xml:space="preserve">NMFS Southwest Fisheries Science Center (SWFSC) proposes a fleet-wide survey of </w:t>
      </w:r>
      <w:r w:rsidRPr="008B27F8" w:rsidR="00AE3106">
        <w:rPr>
          <w:sz w:val="24"/>
          <w:szCs w:val="24"/>
        </w:rPr>
        <w:t>the current and former w</w:t>
      </w:r>
      <w:r w:rsidRPr="008B27F8">
        <w:rPr>
          <w:sz w:val="24"/>
          <w:szCs w:val="24"/>
        </w:rPr>
        <w:t>est</w:t>
      </w:r>
      <w:r w:rsidRPr="008B27F8" w:rsidR="00F56C90">
        <w:rPr>
          <w:sz w:val="24"/>
          <w:szCs w:val="24"/>
        </w:rPr>
        <w:t xml:space="preserve"> </w:t>
      </w:r>
      <w:r w:rsidRPr="008B27F8" w:rsidR="00AE3106">
        <w:rPr>
          <w:sz w:val="24"/>
          <w:szCs w:val="24"/>
        </w:rPr>
        <w:t>c</w:t>
      </w:r>
      <w:r w:rsidRPr="008B27F8">
        <w:rPr>
          <w:sz w:val="24"/>
          <w:szCs w:val="24"/>
        </w:rPr>
        <w:t xml:space="preserve">oast based commercial </w:t>
      </w:r>
      <w:r w:rsidRPr="008B27F8" w:rsidR="00AE3106">
        <w:rPr>
          <w:sz w:val="24"/>
          <w:szCs w:val="24"/>
        </w:rPr>
        <w:t>swordfish</w:t>
      </w:r>
      <w:r w:rsidRPr="008B27F8" w:rsidDel="00AE3106" w:rsidR="00AE3106">
        <w:rPr>
          <w:sz w:val="24"/>
          <w:szCs w:val="24"/>
        </w:rPr>
        <w:t xml:space="preserve"> </w:t>
      </w:r>
      <w:r w:rsidRPr="008B27F8">
        <w:rPr>
          <w:sz w:val="24"/>
          <w:szCs w:val="24"/>
        </w:rPr>
        <w:t xml:space="preserve">fleet </w:t>
      </w:r>
      <w:r w:rsidRPr="008B27F8" w:rsidR="00936EEF">
        <w:rPr>
          <w:sz w:val="24"/>
          <w:szCs w:val="24"/>
        </w:rPr>
        <w:t xml:space="preserve">including </w:t>
      </w:r>
      <w:r w:rsidRPr="008B27F8" w:rsidR="00AE3106">
        <w:rPr>
          <w:sz w:val="24"/>
          <w:szCs w:val="24"/>
        </w:rPr>
        <w:t xml:space="preserve">their state permitted fish spotter pilots, and commercial fish processors.  The survey is to </w:t>
      </w:r>
      <w:r w:rsidRPr="008B27F8">
        <w:rPr>
          <w:sz w:val="24"/>
          <w:szCs w:val="24"/>
        </w:rPr>
        <w:t xml:space="preserve">collect annual earnings and industry related expenditures for tax reporting years of </w:t>
      </w:r>
      <w:r w:rsidRPr="008B27F8" w:rsidR="00C42A1B">
        <w:rPr>
          <w:sz w:val="24"/>
          <w:szCs w:val="24"/>
        </w:rPr>
        <w:t>2018</w:t>
      </w:r>
      <w:r w:rsidRPr="008B27F8">
        <w:rPr>
          <w:sz w:val="24"/>
          <w:szCs w:val="24"/>
        </w:rPr>
        <w:t xml:space="preserve"> and </w:t>
      </w:r>
      <w:r w:rsidRPr="008B27F8" w:rsidR="00C42A1B">
        <w:rPr>
          <w:sz w:val="24"/>
          <w:szCs w:val="24"/>
        </w:rPr>
        <w:t>2019</w:t>
      </w:r>
      <w:r w:rsidRPr="008B27F8">
        <w:rPr>
          <w:sz w:val="24"/>
          <w:szCs w:val="24"/>
        </w:rPr>
        <w:t xml:space="preserve">. </w:t>
      </w:r>
      <w:r w:rsidRPr="008B27F8" w:rsidR="00A91C36">
        <w:rPr>
          <w:sz w:val="24"/>
          <w:szCs w:val="24"/>
        </w:rPr>
        <w:t xml:space="preserve"> </w:t>
      </w:r>
      <w:r w:rsidRPr="008B27F8">
        <w:rPr>
          <w:sz w:val="24"/>
          <w:szCs w:val="24"/>
        </w:rPr>
        <w:t xml:space="preserve">The project is being </w:t>
      </w:r>
      <w:proofErr w:type="gramStart"/>
      <w:r w:rsidRPr="008B27F8">
        <w:rPr>
          <w:sz w:val="24"/>
          <w:szCs w:val="24"/>
        </w:rPr>
        <w:t>conducted</w:t>
      </w:r>
      <w:proofErr w:type="gramEnd"/>
      <w:r w:rsidRPr="008B27F8">
        <w:rPr>
          <w:sz w:val="24"/>
          <w:szCs w:val="24"/>
        </w:rPr>
        <w:t xml:space="preserve"> by </w:t>
      </w:r>
      <w:proofErr w:type="spellStart"/>
      <w:r w:rsidRPr="008B27F8" w:rsidR="006C6451">
        <w:rPr>
          <w:sz w:val="24"/>
          <w:szCs w:val="24"/>
        </w:rPr>
        <w:t>Hanan</w:t>
      </w:r>
      <w:proofErr w:type="spellEnd"/>
      <w:r w:rsidRPr="008B27F8" w:rsidR="006C6451">
        <w:rPr>
          <w:sz w:val="24"/>
          <w:szCs w:val="24"/>
        </w:rPr>
        <w:t xml:space="preserve"> &amp; Associates</w:t>
      </w:r>
      <w:r w:rsidRPr="008B27F8" w:rsidR="00BB4632">
        <w:rPr>
          <w:sz w:val="24"/>
          <w:szCs w:val="24"/>
        </w:rPr>
        <w:t>, Inc., a California-</w:t>
      </w:r>
      <w:r w:rsidRPr="008B27F8">
        <w:rPr>
          <w:sz w:val="24"/>
          <w:szCs w:val="24"/>
        </w:rPr>
        <w:t xml:space="preserve">based consultant with experience in </w:t>
      </w:r>
      <w:r w:rsidRPr="008B27F8" w:rsidR="00AE3106">
        <w:rPr>
          <w:sz w:val="24"/>
          <w:szCs w:val="24"/>
        </w:rPr>
        <w:t xml:space="preserve">several commercial and sport fisheries including the </w:t>
      </w:r>
      <w:r w:rsidRPr="008B27F8" w:rsidR="006C6451">
        <w:rPr>
          <w:sz w:val="24"/>
          <w:szCs w:val="24"/>
        </w:rPr>
        <w:t xml:space="preserve">Drift Gillnet and Harpoon </w:t>
      </w:r>
      <w:r w:rsidRPr="008B27F8">
        <w:rPr>
          <w:sz w:val="24"/>
          <w:szCs w:val="24"/>
        </w:rPr>
        <w:t>fisher</w:t>
      </w:r>
      <w:r w:rsidRPr="008B27F8" w:rsidR="00AE3106">
        <w:rPr>
          <w:sz w:val="24"/>
          <w:szCs w:val="24"/>
        </w:rPr>
        <w:t>ies</w:t>
      </w:r>
      <w:r w:rsidRPr="008B27F8">
        <w:rPr>
          <w:sz w:val="24"/>
          <w:szCs w:val="24"/>
        </w:rPr>
        <w:t xml:space="preserve"> and in collecting human informant data.  The survey targets fixed and variable economic cost data, including labor and crew compensation methods; </w:t>
      </w:r>
      <w:r w:rsidRPr="008B27F8" w:rsidR="00D42D50">
        <w:rPr>
          <w:sz w:val="24"/>
          <w:szCs w:val="24"/>
        </w:rPr>
        <w:t xml:space="preserve">aerial spotter pilot support; </w:t>
      </w:r>
      <w:r w:rsidRPr="008B27F8" w:rsidR="00AE3106">
        <w:rPr>
          <w:sz w:val="24"/>
          <w:szCs w:val="24"/>
        </w:rPr>
        <w:t xml:space="preserve">fish processing; </w:t>
      </w:r>
      <w:r w:rsidRPr="008B27F8" w:rsidR="00D42D50">
        <w:rPr>
          <w:sz w:val="24"/>
          <w:szCs w:val="24"/>
        </w:rPr>
        <w:t xml:space="preserve">and </w:t>
      </w:r>
      <w:r w:rsidRPr="008B27F8">
        <w:rPr>
          <w:sz w:val="24"/>
          <w:szCs w:val="24"/>
        </w:rPr>
        <w:t xml:space="preserve">hard costs such as gear, operations, and maintenance; and soft costs such as financing, insurance, and regulatory compliance. </w:t>
      </w:r>
      <w:r w:rsidRPr="008B27F8" w:rsidR="00A91C36">
        <w:rPr>
          <w:sz w:val="24"/>
          <w:szCs w:val="24"/>
        </w:rPr>
        <w:t xml:space="preserve"> </w:t>
      </w:r>
      <w:r w:rsidRPr="008B27F8" w:rsidR="007418AA">
        <w:rPr>
          <w:sz w:val="24"/>
          <w:szCs w:val="24"/>
        </w:rPr>
        <w:t xml:space="preserve">The survey is designed to capture qualitative information on other fisheries in which </w:t>
      </w:r>
      <w:r w:rsidRPr="008B27F8" w:rsidR="00D42D50">
        <w:rPr>
          <w:sz w:val="24"/>
          <w:szCs w:val="24"/>
        </w:rPr>
        <w:t xml:space="preserve">these </w:t>
      </w:r>
      <w:r w:rsidRPr="008B27F8" w:rsidR="007418AA">
        <w:rPr>
          <w:sz w:val="24"/>
          <w:szCs w:val="24"/>
        </w:rPr>
        <w:t>commercial fishermen participate.</w:t>
      </w:r>
    </w:p>
    <w:p w:rsidRPr="008B27F8" w:rsidR="009A0D8F" w:rsidP="009A0D8F" w:rsidRDefault="009A0D8F" w14:paraId="5C7CE8C7" w14:textId="77777777">
      <w:pPr>
        <w:rPr>
          <w:sz w:val="24"/>
          <w:szCs w:val="24"/>
        </w:rPr>
      </w:pPr>
    </w:p>
    <w:p w:rsidRPr="008B27F8" w:rsidR="009A0D8F" w:rsidP="009A0D8F" w:rsidRDefault="009A0D8F" w14:paraId="3EFB018B" w14:textId="77777777">
      <w:pPr>
        <w:rPr>
          <w:sz w:val="24"/>
          <w:szCs w:val="24"/>
        </w:rPr>
      </w:pPr>
      <w:r w:rsidRPr="008B27F8">
        <w:rPr>
          <w:sz w:val="24"/>
          <w:szCs w:val="24"/>
        </w:rPr>
        <w:t>Given the absence of mandatory cost reporting requirements, the survey is intended to inform economic analyses in technical reports such as Regulatory Impact Review and Regulatory Flexibility Analysis. Survey results are intended to assist policy makers in efforts to design and improve policy to positively affect outcomes in the commercial fishing industry, and increase public benefits.</w:t>
      </w:r>
    </w:p>
    <w:p w:rsidRPr="008B27F8" w:rsidR="009A0D8F" w:rsidP="009A0D8F" w:rsidRDefault="009A0D8F" w14:paraId="3E7716E0" w14:textId="77777777">
      <w:pPr>
        <w:rPr>
          <w:sz w:val="24"/>
          <w:szCs w:val="24"/>
        </w:rPr>
      </w:pPr>
    </w:p>
    <w:p w:rsidRPr="008B27F8" w:rsidR="009A0D8F" w:rsidP="009A0D8F" w:rsidRDefault="009A0D8F" w14:paraId="79B55FFF" w14:textId="77777777">
      <w:pPr>
        <w:rPr>
          <w:sz w:val="24"/>
          <w:szCs w:val="24"/>
        </w:rPr>
      </w:pPr>
      <w:r w:rsidRPr="008B27F8">
        <w:rPr>
          <w:sz w:val="24"/>
          <w:szCs w:val="24"/>
        </w:rPr>
        <w:t>The survey is also intended to assist NMFS in developing a more comprehensive understanding of the economics of the U.S. commercial fishing industry by informing the Input-Output</w:t>
      </w:r>
      <w:r w:rsidRPr="008B27F8" w:rsidR="00251E63">
        <w:rPr>
          <w:sz w:val="24"/>
          <w:szCs w:val="24"/>
        </w:rPr>
        <w:t xml:space="preserve"> Model </w:t>
      </w:r>
      <w:r w:rsidRPr="008B27F8">
        <w:rPr>
          <w:sz w:val="24"/>
          <w:szCs w:val="24"/>
        </w:rPr>
        <w:t>for Pacific Coast Fisheries (IO-PAC) and is also intended to provide more accurate information and inform future IO-PAC model revisions.</w:t>
      </w:r>
    </w:p>
    <w:p w:rsidRPr="008B27F8" w:rsidR="009A0D8F" w:rsidRDefault="009A0D8F" w14:paraId="3E30A48F" w14:textId="77777777">
      <w:pPr>
        <w:rPr>
          <w:sz w:val="24"/>
          <w:szCs w:val="24"/>
        </w:rPr>
      </w:pPr>
    </w:p>
    <w:p w:rsidRPr="008B27F8" w:rsidR="00AF3080" w:rsidP="00597EF9" w:rsidRDefault="00AF3080" w14:paraId="6B25E394" w14:textId="25FA316B">
      <w:pPr>
        <w:rPr>
          <w:sz w:val="24"/>
          <w:szCs w:val="24"/>
        </w:rPr>
      </w:pPr>
      <w:r w:rsidRPr="008B27F8">
        <w:rPr>
          <w:sz w:val="24"/>
          <w:szCs w:val="24"/>
        </w:rPr>
        <w:lastRenderedPageBreak/>
        <w:t xml:space="preserve">The </w:t>
      </w:r>
      <w:r w:rsidRPr="008B27F8" w:rsidR="00C94F82">
        <w:rPr>
          <w:sz w:val="24"/>
          <w:szCs w:val="24"/>
        </w:rPr>
        <w:t>initial section of the survey (</w:t>
      </w:r>
      <w:r w:rsidRPr="008117CE" w:rsidR="00F7439F">
        <w:rPr>
          <w:b/>
          <w:sz w:val="24"/>
          <w:szCs w:val="24"/>
        </w:rPr>
        <w:t xml:space="preserve">Section 1: Vessel Information for </w:t>
      </w:r>
      <w:r w:rsidRPr="008117CE" w:rsidR="00C42A1B">
        <w:rPr>
          <w:b/>
          <w:sz w:val="24"/>
          <w:szCs w:val="24"/>
        </w:rPr>
        <w:t>2018-19</w:t>
      </w:r>
      <w:r w:rsidRPr="008117CE" w:rsidR="00C40684">
        <w:rPr>
          <w:b/>
          <w:sz w:val="24"/>
          <w:szCs w:val="24"/>
        </w:rPr>
        <w:t xml:space="preserve"> and 2019-20</w:t>
      </w:r>
      <w:r w:rsidRPr="008B27F8" w:rsidR="00C94F82">
        <w:rPr>
          <w:sz w:val="24"/>
          <w:szCs w:val="24"/>
        </w:rPr>
        <w:t xml:space="preserve">) requests </w:t>
      </w:r>
      <w:r w:rsidRPr="008B27F8" w:rsidR="00F7439F">
        <w:rPr>
          <w:sz w:val="24"/>
          <w:szCs w:val="24"/>
        </w:rPr>
        <w:t xml:space="preserve">only </w:t>
      </w:r>
      <w:r w:rsidRPr="008B27F8" w:rsidR="00C94F82">
        <w:rPr>
          <w:sz w:val="24"/>
          <w:szCs w:val="24"/>
        </w:rPr>
        <w:t>vessel identification information and basic characteristics which</w:t>
      </w:r>
      <w:r w:rsidRPr="008B27F8" w:rsidR="00F7439F">
        <w:rPr>
          <w:sz w:val="24"/>
          <w:szCs w:val="24"/>
        </w:rPr>
        <w:t xml:space="preserve"> are not available in the NMFS</w:t>
      </w:r>
      <w:r w:rsidRPr="008B27F8" w:rsidR="00857354">
        <w:rPr>
          <w:sz w:val="24"/>
          <w:szCs w:val="24"/>
        </w:rPr>
        <w:t xml:space="preserve"> or</w:t>
      </w:r>
      <w:r w:rsidRPr="008B27F8" w:rsidR="00F7439F">
        <w:rPr>
          <w:sz w:val="24"/>
          <w:szCs w:val="24"/>
        </w:rPr>
        <w:t xml:space="preserve"> Coast Guard </w:t>
      </w:r>
      <w:r w:rsidRPr="008B27F8" w:rsidR="00857354">
        <w:rPr>
          <w:sz w:val="24"/>
          <w:szCs w:val="24"/>
        </w:rPr>
        <w:t xml:space="preserve">Fishing </w:t>
      </w:r>
      <w:r w:rsidRPr="008B27F8" w:rsidR="00F7439F">
        <w:rPr>
          <w:sz w:val="24"/>
          <w:szCs w:val="24"/>
        </w:rPr>
        <w:t>Permit database</w:t>
      </w:r>
      <w:r w:rsidRPr="008B27F8" w:rsidR="000B1AB1">
        <w:rPr>
          <w:sz w:val="24"/>
          <w:szCs w:val="24"/>
        </w:rPr>
        <w:t xml:space="preserve"> and </w:t>
      </w:r>
      <w:r w:rsidRPr="008B27F8" w:rsidR="007679F5">
        <w:rPr>
          <w:sz w:val="24"/>
          <w:szCs w:val="24"/>
        </w:rPr>
        <w:t xml:space="preserve">have implications for the scope of fishing methods and cost of fishing effort. The next </w:t>
      </w:r>
      <w:r w:rsidR="0004033A">
        <w:rPr>
          <w:sz w:val="24"/>
          <w:szCs w:val="24"/>
        </w:rPr>
        <w:t xml:space="preserve">four </w:t>
      </w:r>
      <w:r w:rsidRPr="008B27F8" w:rsidR="007679F5">
        <w:rPr>
          <w:sz w:val="24"/>
          <w:szCs w:val="24"/>
        </w:rPr>
        <w:t>sections (</w:t>
      </w:r>
      <w:r w:rsidRPr="008117CE" w:rsidR="00597EF9">
        <w:rPr>
          <w:b/>
          <w:sz w:val="24"/>
          <w:szCs w:val="24"/>
        </w:rPr>
        <w:t xml:space="preserve">Section 2: </w:t>
      </w:r>
      <w:r w:rsidRPr="008117CE" w:rsidR="00F7439F">
        <w:rPr>
          <w:b/>
          <w:sz w:val="24"/>
          <w:szCs w:val="24"/>
        </w:rPr>
        <w:t>Drift Gillnet Fishery (DGN) Participants Only</w:t>
      </w:r>
      <w:r w:rsidRPr="008117CE" w:rsidR="007679F5">
        <w:rPr>
          <w:b/>
          <w:sz w:val="24"/>
          <w:szCs w:val="24"/>
        </w:rPr>
        <w:t xml:space="preserve">, </w:t>
      </w:r>
      <w:r w:rsidRPr="008117CE" w:rsidR="00597EF9">
        <w:rPr>
          <w:b/>
          <w:sz w:val="24"/>
          <w:szCs w:val="24"/>
        </w:rPr>
        <w:t xml:space="preserve">Section 3: Harpoon Fishery (HPN) Participants Only, Section 4: </w:t>
      </w:r>
      <w:r w:rsidRPr="008117CE" w:rsidR="004937B1">
        <w:rPr>
          <w:b/>
          <w:sz w:val="24"/>
          <w:szCs w:val="24"/>
        </w:rPr>
        <w:t xml:space="preserve">Longline Participants Only, </w:t>
      </w:r>
      <w:r w:rsidRPr="008117CE" w:rsidR="00427ACF">
        <w:rPr>
          <w:b/>
          <w:sz w:val="24"/>
          <w:szCs w:val="24"/>
        </w:rPr>
        <w:t xml:space="preserve">and </w:t>
      </w:r>
      <w:r w:rsidRPr="008117CE" w:rsidR="00ED203E">
        <w:rPr>
          <w:b/>
          <w:sz w:val="24"/>
          <w:szCs w:val="24"/>
        </w:rPr>
        <w:t>Section</w:t>
      </w:r>
      <w:r w:rsidRPr="008117CE" w:rsidR="004937B1">
        <w:rPr>
          <w:b/>
          <w:sz w:val="24"/>
          <w:szCs w:val="24"/>
        </w:rPr>
        <w:t xml:space="preserve"> 5: </w:t>
      </w:r>
      <w:r w:rsidRPr="008117CE" w:rsidR="00B53E03">
        <w:rPr>
          <w:b/>
          <w:sz w:val="24"/>
          <w:szCs w:val="24"/>
        </w:rPr>
        <w:t>Deep Set Buoy Gear Participants, Only</w:t>
      </w:r>
      <w:r w:rsidRPr="008B27F8" w:rsidR="007679F5">
        <w:rPr>
          <w:sz w:val="24"/>
          <w:szCs w:val="24"/>
        </w:rPr>
        <w:t>) ask for</w:t>
      </w:r>
      <w:r w:rsidRPr="008B27F8" w:rsidR="00556A67">
        <w:rPr>
          <w:sz w:val="24"/>
          <w:szCs w:val="24"/>
        </w:rPr>
        <w:t xml:space="preserve"> basic information for fisheries i</w:t>
      </w:r>
      <w:r w:rsidRPr="008B27F8" w:rsidR="00C94F82">
        <w:rPr>
          <w:sz w:val="24"/>
          <w:szCs w:val="24"/>
        </w:rPr>
        <w:t xml:space="preserve">n which the </w:t>
      </w:r>
      <w:r w:rsidRPr="008B27F8" w:rsidR="00A91C36">
        <w:rPr>
          <w:sz w:val="24"/>
          <w:szCs w:val="24"/>
        </w:rPr>
        <w:t>vessel</w:t>
      </w:r>
      <w:r w:rsidRPr="008B27F8" w:rsidR="00556A67">
        <w:rPr>
          <w:sz w:val="24"/>
          <w:szCs w:val="24"/>
        </w:rPr>
        <w:t xml:space="preserve"> participated</w:t>
      </w:r>
      <w:r w:rsidRPr="008B27F8" w:rsidR="007679F5">
        <w:rPr>
          <w:sz w:val="24"/>
          <w:szCs w:val="24"/>
        </w:rPr>
        <w:t xml:space="preserve">. </w:t>
      </w:r>
      <w:r w:rsidRPr="008B27F8" w:rsidR="00A91C36">
        <w:rPr>
          <w:sz w:val="24"/>
          <w:szCs w:val="24"/>
        </w:rPr>
        <w:t xml:space="preserve"> Each</w:t>
      </w:r>
      <w:r w:rsidRPr="008B27F8" w:rsidR="007679F5">
        <w:rPr>
          <w:sz w:val="24"/>
          <w:szCs w:val="24"/>
        </w:rPr>
        <w:t xml:space="preserve"> section requests information on fixed costs of participating in commercial fishing activities followed by </w:t>
      </w:r>
      <w:r w:rsidRPr="008B27F8" w:rsidR="00AA505F">
        <w:rPr>
          <w:sz w:val="24"/>
          <w:szCs w:val="24"/>
        </w:rPr>
        <w:t>successive sections for the respondent to enter variable costs and ex vessel revenue data</w:t>
      </w:r>
      <w:r w:rsidRPr="008B27F8" w:rsidR="00A91C36">
        <w:rPr>
          <w:sz w:val="24"/>
          <w:szCs w:val="24"/>
        </w:rPr>
        <w:t xml:space="preserve">. </w:t>
      </w:r>
      <w:r w:rsidRPr="008B27F8" w:rsidR="00AA505F">
        <w:rPr>
          <w:sz w:val="24"/>
          <w:szCs w:val="24"/>
        </w:rPr>
        <w:t xml:space="preserve"> </w:t>
      </w:r>
      <w:r w:rsidRPr="008B27F8" w:rsidR="002B7255">
        <w:rPr>
          <w:sz w:val="24"/>
          <w:szCs w:val="24"/>
        </w:rPr>
        <w:t>T</w:t>
      </w:r>
      <w:r w:rsidRPr="008B27F8" w:rsidR="00AA505F">
        <w:rPr>
          <w:sz w:val="24"/>
          <w:szCs w:val="24"/>
        </w:rPr>
        <w:t xml:space="preserve">he breakdown of cost information in our survey format is designed to facilitate </w:t>
      </w:r>
      <w:r w:rsidRPr="008B27F8" w:rsidR="00251E63">
        <w:rPr>
          <w:sz w:val="24"/>
          <w:szCs w:val="24"/>
        </w:rPr>
        <w:t>the use of cost information collected to parameterize an IO-PAC model of the fishery which can be used to estimate regional economic impacts.</w:t>
      </w:r>
    </w:p>
    <w:p w:rsidRPr="008B27F8" w:rsidR="00013F70" w:rsidP="00597EF9" w:rsidRDefault="00013F70" w14:paraId="2798989B" w14:textId="77777777">
      <w:pPr>
        <w:rPr>
          <w:b/>
          <w:sz w:val="24"/>
          <w:szCs w:val="24"/>
        </w:rPr>
      </w:pPr>
    </w:p>
    <w:p w:rsidRPr="008B27F8" w:rsidR="000B1AB1" w:rsidP="00597EF9" w:rsidRDefault="00013F70" w14:paraId="24234542" w14:textId="77777777">
      <w:pPr>
        <w:rPr>
          <w:sz w:val="24"/>
          <w:szCs w:val="24"/>
        </w:rPr>
      </w:pPr>
      <w:r w:rsidRPr="008B27F8">
        <w:rPr>
          <w:b/>
          <w:sz w:val="24"/>
          <w:szCs w:val="24"/>
        </w:rPr>
        <w:t>Section 6:  Spotter Plane Pilot or Owner</w:t>
      </w:r>
      <w:r w:rsidRPr="008B27F8" w:rsidR="00427ACF">
        <w:rPr>
          <w:b/>
          <w:sz w:val="24"/>
          <w:szCs w:val="24"/>
        </w:rPr>
        <w:t xml:space="preserve"> </w:t>
      </w:r>
      <w:r w:rsidRPr="008B27F8" w:rsidR="00427ACF">
        <w:rPr>
          <w:sz w:val="24"/>
          <w:szCs w:val="24"/>
        </w:rPr>
        <w:t>requests information on spotter pilots, including plane information and operating costs.</w:t>
      </w:r>
    </w:p>
    <w:p w:rsidRPr="008B27F8" w:rsidR="00232641" w:rsidP="00597EF9" w:rsidRDefault="00232641" w14:paraId="7824AB5F" w14:textId="77777777">
      <w:pPr>
        <w:rPr>
          <w:sz w:val="24"/>
          <w:szCs w:val="24"/>
        </w:rPr>
      </w:pPr>
    </w:p>
    <w:p w:rsidRPr="008B27F8" w:rsidR="00232641" w:rsidP="00597EF9" w:rsidRDefault="004937B1" w14:paraId="31CF56C5" w14:textId="77777777">
      <w:pPr>
        <w:rPr>
          <w:sz w:val="24"/>
          <w:szCs w:val="24"/>
        </w:rPr>
      </w:pPr>
      <w:r w:rsidRPr="008B27F8">
        <w:rPr>
          <w:b/>
          <w:sz w:val="24"/>
          <w:szCs w:val="24"/>
        </w:rPr>
        <w:t xml:space="preserve">Section </w:t>
      </w:r>
      <w:r w:rsidRPr="008B27F8" w:rsidR="00013F70">
        <w:rPr>
          <w:b/>
          <w:sz w:val="24"/>
          <w:szCs w:val="24"/>
        </w:rPr>
        <w:t>7</w:t>
      </w:r>
      <w:r w:rsidRPr="008B27F8" w:rsidR="00232641">
        <w:rPr>
          <w:b/>
          <w:sz w:val="24"/>
          <w:szCs w:val="24"/>
        </w:rPr>
        <w:t>: Commercial Swordfish Processor</w:t>
      </w:r>
      <w:r w:rsidRPr="008B27F8" w:rsidR="00232641">
        <w:rPr>
          <w:sz w:val="24"/>
          <w:szCs w:val="24"/>
        </w:rPr>
        <w:t xml:space="preserve"> seeks general data about individual processors and data regarding </w:t>
      </w:r>
      <w:r w:rsidRPr="008B27F8" w:rsidR="00427ACF">
        <w:rPr>
          <w:sz w:val="24"/>
          <w:szCs w:val="24"/>
        </w:rPr>
        <w:t>operating costs</w:t>
      </w:r>
      <w:r w:rsidRPr="008B27F8" w:rsidR="00232641">
        <w:rPr>
          <w:sz w:val="24"/>
          <w:szCs w:val="24"/>
        </w:rPr>
        <w:t xml:space="preserve"> for processors active in the swordfish industry.</w:t>
      </w:r>
    </w:p>
    <w:p w:rsidRPr="008B27F8" w:rsidR="00232641" w:rsidP="00597EF9" w:rsidRDefault="00232641" w14:paraId="7A4095C2" w14:textId="77777777">
      <w:pPr>
        <w:rPr>
          <w:sz w:val="24"/>
          <w:szCs w:val="24"/>
        </w:rPr>
      </w:pPr>
    </w:p>
    <w:p w:rsidRPr="008B27F8" w:rsidR="00232641" w:rsidP="00597EF9" w:rsidRDefault="004937B1" w14:paraId="1ABE3DA6" w14:textId="77777777">
      <w:pPr>
        <w:rPr>
          <w:sz w:val="24"/>
          <w:szCs w:val="24"/>
        </w:rPr>
      </w:pPr>
      <w:r w:rsidRPr="008B27F8">
        <w:rPr>
          <w:b/>
          <w:sz w:val="24"/>
          <w:szCs w:val="24"/>
        </w:rPr>
        <w:t xml:space="preserve">Section </w:t>
      </w:r>
      <w:r w:rsidRPr="008B27F8" w:rsidR="00013F70">
        <w:rPr>
          <w:b/>
          <w:sz w:val="24"/>
          <w:szCs w:val="24"/>
        </w:rPr>
        <w:t>8</w:t>
      </w:r>
      <w:r w:rsidRPr="008B27F8" w:rsidR="00232641">
        <w:rPr>
          <w:b/>
          <w:sz w:val="24"/>
          <w:szCs w:val="24"/>
        </w:rPr>
        <w:t xml:space="preserve">: Former Swordfish Participants </w:t>
      </w:r>
      <w:r w:rsidRPr="008B27F8" w:rsidR="00232641">
        <w:rPr>
          <w:sz w:val="24"/>
          <w:szCs w:val="24"/>
        </w:rPr>
        <w:t>was designed to acquire</w:t>
      </w:r>
      <w:r w:rsidRPr="008B27F8" w:rsidR="00232641">
        <w:rPr>
          <w:b/>
          <w:sz w:val="24"/>
          <w:szCs w:val="24"/>
        </w:rPr>
        <w:t xml:space="preserve"> </w:t>
      </w:r>
      <w:r w:rsidRPr="008B27F8" w:rsidR="00232641">
        <w:rPr>
          <w:sz w:val="24"/>
          <w:szCs w:val="24"/>
        </w:rPr>
        <w:t>basic data related to why these operators</w:t>
      </w:r>
      <w:r w:rsidRPr="008B27F8" w:rsidR="00232641">
        <w:rPr>
          <w:b/>
          <w:sz w:val="24"/>
          <w:szCs w:val="24"/>
        </w:rPr>
        <w:t xml:space="preserve"> </w:t>
      </w:r>
      <w:r w:rsidRPr="008B27F8" w:rsidR="00232641">
        <w:rPr>
          <w:sz w:val="24"/>
          <w:szCs w:val="24"/>
        </w:rPr>
        <w:t>left the fishery and in which fisheries they are currently fishing.</w:t>
      </w:r>
    </w:p>
    <w:p w:rsidRPr="008B27F8" w:rsidR="000B1AB1" w:rsidP="00597EF9" w:rsidRDefault="000B1AB1" w14:paraId="0F4FBAB0" w14:textId="77777777">
      <w:pPr>
        <w:rPr>
          <w:sz w:val="24"/>
          <w:szCs w:val="24"/>
        </w:rPr>
      </w:pPr>
    </w:p>
    <w:p w:rsidRPr="008B27F8" w:rsidR="000B1AB1" w:rsidP="00254CBD" w:rsidRDefault="000B1AB1" w14:paraId="00B999F4" w14:textId="6B87554B">
      <w:pPr>
        <w:rPr>
          <w:b/>
          <w:sz w:val="24"/>
          <w:szCs w:val="24"/>
        </w:rPr>
      </w:pPr>
      <w:r w:rsidRPr="008B27F8">
        <w:rPr>
          <w:b/>
          <w:sz w:val="24"/>
          <w:szCs w:val="24"/>
        </w:rPr>
        <w:t xml:space="preserve">Section </w:t>
      </w:r>
      <w:r w:rsidRPr="008B27F8" w:rsidR="00013F70">
        <w:rPr>
          <w:b/>
          <w:sz w:val="24"/>
          <w:szCs w:val="24"/>
        </w:rPr>
        <w:t>9</w:t>
      </w:r>
      <w:r w:rsidRPr="008B27F8">
        <w:rPr>
          <w:b/>
          <w:sz w:val="24"/>
          <w:szCs w:val="24"/>
        </w:rPr>
        <w:t xml:space="preserve">:  </w:t>
      </w:r>
      <w:r w:rsidRPr="008B27F8" w:rsidR="00254CBD">
        <w:rPr>
          <w:b/>
          <w:sz w:val="24"/>
          <w:szCs w:val="24"/>
        </w:rPr>
        <w:t xml:space="preserve">Additional West Coast Swordfish Fishery Survey Questions for All Participants </w:t>
      </w:r>
      <w:r w:rsidRPr="008B27F8" w:rsidR="00427ACF">
        <w:rPr>
          <w:sz w:val="24"/>
          <w:szCs w:val="24"/>
        </w:rPr>
        <w:t>asks a series of questions regarding the future management and structure of the West Coast Swordfish Fishery.</w:t>
      </w:r>
    </w:p>
    <w:p w:rsidRPr="008B27F8" w:rsidR="00AF3080" w:rsidP="00374894" w:rsidRDefault="00AF3080" w14:paraId="6B53D8F7" w14:textId="77777777">
      <w:pPr>
        <w:rPr>
          <w:sz w:val="24"/>
          <w:szCs w:val="24"/>
        </w:rPr>
      </w:pPr>
    </w:p>
    <w:p w:rsidRPr="008B27F8" w:rsidR="00374894" w:rsidP="00374894" w:rsidRDefault="00374894" w14:paraId="0AB765D5" w14:textId="77777777">
      <w:pPr>
        <w:rPr>
          <w:sz w:val="24"/>
          <w:szCs w:val="24"/>
        </w:rPr>
      </w:pPr>
      <w:r w:rsidRPr="008B27F8">
        <w:rPr>
          <w:sz w:val="24"/>
          <w:szCs w:val="24"/>
        </w:rPr>
        <w:t xml:space="preserve">It is anticipated that the information collected will be disseminated to the public or used to support publicly disseminated information.  However, data will not be released for public use except in aggregate statistical form without identification as to its source.  NMFS will retain control over the information and safeguard it from improper access, modification, and destruction, consistent with NOAA standards for confidentiality, privacy, and electronic information. </w:t>
      </w:r>
    </w:p>
    <w:p w:rsidRPr="008B27F8" w:rsidR="00374894" w:rsidP="00374894" w:rsidRDefault="00374894" w14:paraId="38CA6330" w14:textId="77777777">
      <w:pPr>
        <w:rPr>
          <w:sz w:val="24"/>
          <w:szCs w:val="24"/>
        </w:rPr>
      </w:pPr>
    </w:p>
    <w:p w:rsidRPr="008B27F8" w:rsidR="00374894" w:rsidP="00374894" w:rsidRDefault="00374894" w14:paraId="474BF4DD" w14:textId="77777777">
      <w:pPr>
        <w:rPr>
          <w:sz w:val="24"/>
          <w:szCs w:val="24"/>
        </w:rPr>
      </w:pPr>
      <w:r w:rsidRPr="008B27F8">
        <w:rPr>
          <w:sz w:val="24"/>
          <w:szCs w:val="24"/>
        </w:rPr>
        <w:t xml:space="preserve">The information collection is designed to yield data that meet all applicable information quality guidelines. </w:t>
      </w:r>
      <w:r w:rsidRPr="008B27F8" w:rsidR="00A24907">
        <w:rPr>
          <w:sz w:val="24"/>
          <w:szCs w:val="24"/>
        </w:rPr>
        <w:t xml:space="preserve"> </w:t>
      </w:r>
      <w:r w:rsidRPr="008B27F8">
        <w:rPr>
          <w:sz w:val="24"/>
          <w:szCs w:val="24"/>
        </w:rPr>
        <w:t xml:space="preserve">Prior to dissemination, the information will be subjected to quality control measures and a pre-dissemination review pursuant to </w:t>
      </w:r>
      <w:hyperlink w:history="1" r:id="rId12">
        <w:r w:rsidRPr="008B27F8">
          <w:rPr>
            <w:color w:val="0000FF"/>
            <w:sz w:val="24"/>
            <w:szCs w:val="24"/>
            <w:u w:val="single"/>
          </w:rPr>
          <w:t>Section 515 of Public Law 106-554</w:t>
        </w:r>
      </w:hyperlink>
      <w:r w:rsidRPr="008B27F8">
        <w:rPr>
          <w:sz w:val="24"/>
          <w:szCs w:val="24"/>
        </w:rPr>
        <w:t>.</w:t>
      </w:r>
    </w:p>
    <w:p w:rsidRPr="008B27F8" w:rsidR="00251E63" w:rsidP="00374894" w:rsidRDefault="00251E63" w14:paraId="47FDA69D" w14:textId="77777777">
      <w:pPr>
        <w:rPr>
          <w:sz w:val="24"/>
          <w:szCs w:val="24"/>
        </w:rPr>
      </w:pPr>
    </w:p>
    <w:p w:rsidRPr="008B27F8" w:rsidR="004F26E9" w:rsidRDefault="004F26E9" w14:paraId="68EDB730" w14:textId="77777777">
      <w:pPr>
        <w:rPr>
          <w:b/>
          <w:bCs/>
          <w:sz w:val="24"/>
          <w:szCs w:val="24"/>
        </w:rPr>
      </w:pPr>
      <w:r w:rsidRPr="008B27F8">
        <w:rPr>
          <w:b/>
          <w:bCs/>
          <w:sz w:val="24"/>
          <w:szCs w:val="24"/>
        </w:rPr>
        <w:t xml:space="preserve">3.  </w:t>
      </w:r>
      <w:r w:rsidRPr="008B27F8">
        <w:rPr>
          <w:b/>
          <w:bCs/>
          <w:sz w:val="24"/>
          <w:szCs w:val="24"/>
          <w:u w:val="single"/>
        </w:rPr>
        <w:t>Describe whether, and to what extent, the collection of information involves the use of automated, electronic, mechanical, or other technological techniques or other forms of information technology</w:t>
      </w:r>
      <w:r w:rsidRPr="008B27F8">
        <w:rPr>
          <w:b/>
          <w:bCs/>
          <w:sz w:val="24"/>
          <w:szCs w:val="24"/>
        </w:rPr>
        <w:t>.</w:t>
      </w:r>
    </w:p>
    <w:p w:rsidRPr="008B27F8" w:rsidR="00D6744B" w:rsidRDefault="00D6744B" w14:paraId="0299AAB2" w14:textId="77777777">
      <w:pPr>
        <w:rPr>
          <w:sz w:val="24"/>
          <w:szCs w:val="24"/>
        </w:rPr>
      </w:pPr>
    </w:p>
    <w:p w:rsidRPr="008B27F8" w:rsidR="00CD4CC2" w:rsidRDefault="00A24907" w14:paraId="5C36249C" w14:textId="77777777">
      <w:pPr>
        <w:rPr>
          <w:sz w:val="24"/>
          <w:szCs w:val="24"/>
        </w:rPr>
      </w:pPr>
      <w:r w:rsidRPr="008B27F8">
        <w:rPr>
          <w:sz w:val="24"/>
          <w:szCs w:val="24"/>
        </w:rPr>
        <w:t>Because this fleet is relatively small, data will be collected from vessel owners</w:t>
      </w:r>
      <w:r w:rsidRPr="008B27F8" w:rsidR="00F30FC8">
        <w:rPr>
          <w:sz w:val="24"/>
          <w:szCs w:val="24"/>
        </w:rPr>
        <w:t>/</w:t>
      </w:r>
      <w:r w:rsidRPr="008B27F8">
        <w:rPr>
          <w:sz w:val="24"/>
          <w:szCs w:val="24"/>
        </w:rPr>
        <w:t>operators</w:t>
      </w:r>
      <w:r w:rsidRPr="008B27F8" w:rsidR="00F30FC8">
        <w:rPr>
          <w:sz w:val="24"/>
          <w:szCs w:val="24"/>
        </w:rPr>
        <w:t>, pilots, and processors</w:t>
      </w:r>
      <w:r w:rsidRPr="008B27F8">
        <w:rPr>
          <w:sz w:val="24"/>
          <w:szCs w:val="24"/>
        </w:rPr>
        <w:t xml:space="preserve"> during personal interviews by the contractor and </w:t>
      </w:r>
      <w:r w:rsidRPr="008B27F8" w:rsidR="00CD4CC2">
        <w:rPr>
          <w:sz w:val="24"/>
          <w:szCs w:val="24"/>
        </w:rPr>
        <w:t>then entered manually in</w:t>
      </w:r>
      <w:r w:rsidRPr="008B27F8" w:rsidR="00F30FC8">
        <w:rPr>
          <w:sz w:val="24"/>
          <w:szCs w:val="24"/>
        </w:rPr>
        <w:t>to</w:t>
      </w:r>
      <w:r w:rsidRPr="008B27F8" w:rsidR="00CD4CC2">
        <w:rPr>
          <w:sz w:val="24"/>
          <w:szCs w:val="24"/>
        </w:rPr>
        <w:t xml:space="preserve"> a</w:t>
      </w:r>
      <w:r w:rsidRPr="008B27F8">
        <w:rPr>
          <w:sz w:val="24"/>
          <w:szCs w:val="24"/>
        </w:rPr>
        <w:t>n electronic</w:t>
      </w:r>
      <w:r w:rsidRPr="008B27F8" w:rsidR="00CD4CC2">
        <w:rPr>
          <w:sz w:val="24"/>
          <w:szCs w:val="24"/>
        </w:rPr>
        <w:t xml:space="preserve"> database.  </w:t>
      </w:r>
      <w:r w:rsidRPr="008B27F8">
        <w:rPr>
          <w:sz w:val="24"/>
          <w:szCs w:val="24"/>
        </w:rPr>
        <w:t xml:space="preserve">If requested and personal interviews are not possible, the contractor will perform the interview via telephone, and as a last attempt to obtain these data, the contactor will send the survey instrument to the respondent via email or </w:t>
      </w:r>
      <w:r w:rsidRPr="008B27F8" w:rsidR="00427ACF">
        <w:rPr>
          <w:sz w:val="24"/>
          <w:szCs w:val="24"/>
        </w:rPr>
        <w:t>mail w</w:t>
      </w:r>
      <w:r w:rsidRPr="008B27F8" w:rsidR="00D21B68">
        <w:rPr>
          <w:sz w:val="24"/>
          <w:szCs w:val="24"/>
        </w:rPr>
        <w:t>ith</w:t>
      </w:r>
      <w:r w:rsidRPr="008B27F8">
        <w:rPr>
          <w:sz w:val="24"/>
          <w:szCs w:val="24"/>
        </w:rPr>
        <w:t xml:space="preserve"> the returned survey </w:t>
      </w:r>
      <w:r w:rsidRPr="008B27F8" w:rsidR="00D21B68">
        <w:rPr>
          <w:sz w:val="24"/>
          <w:szCs w:val="24"/>
        </w:rPr>
        <w:t xml:space="preserve">entered </w:t>
      </w:r>
      <w:r w:rsidRPr="008B27F8">
        <w:rPr>
          <w:sz w:val="24"/>
          <w:szCs w:val="24"/>
        </w:rPr>
        <w:t>manually entered into the database identified by how it was obtained.</w:t>
      </w:r>
    </w:p>
    <w:p w:rsidRPr="008B27F8" w:rsidR="00CD4CC2" w:rsidRDefault="00CD4CC2" w14:paraId="24276C7D" w14:textId="77777777">
      <w:pPr>
        <w:rPr>
          <w:sz w:val="24"/>
          <w:szCs w:val="24"/>
        </w:rPr>
      </w:pPr>
    </w:p>
    <w:p w:rsidRPr="008B27F8" w:rsidR="004F26E9" w:rsidRDefault="004F26E9" w14:paraId="1779AC8A" w14:textId="77777777">
      <w:pPr>
        <w:rPr>
          <w:sz w:val="24"/>
          <w:szCs w:val="24"/>
        </w:rPr>
      </w:pPr>
      <w:r w:rsidRPr="008B27F8">
        <w:rPr>
          <w:b/>
          <w:bCs/>
          <w:sz w:val="24"/>
          <w:szCs w:val="24"/>
        </w:rPr>
        <w:lastRenderedPageBreak/>
        <w:t xml:space="preserve">4.  </w:t>
      </w:r>
      <w:r w:rsidRPr="008B27F8">
        <w:rPr>
          <w:b/>
          <w:bCs/>
          <w:sz w:val="24"/>
          <w:szCs w:val="24"/>
          <w:u w:val="single"/>
        </w:rPr>
        <w:t>Describe efforts to identify duplication</w:t>
      </w:r>
      <w:r w:rsidRPr="008B27F8">
        <w:rPr>
          <w:b/>
          <w:bCs/>
          <w:sz w:val="24"/>
          <w:szCs w:val="24"/>
        </w:rPr>
        <w:t>.</w:t>
      </w:r>
    </w:p>
    <w:p w:rsidRPr="008B27F8" w:rsidR="00D6744B" w:rsidP="00480502" w:rsidRDefault="00D6744B" w14:paraId="31DCD54B" w14:textId="77777777">
      <w:pPr>
        <w:rPr>
          <w:sz w:val="24"/>
          <w:szCs w:val="24"/>
        </w:rPr>
      </w:pPr>
    </w:p>
    <w:p w:rsidRPr="008B27F8" w:rsidR="001B2B9D" w:rsidP="00480502" w:rsidRDefault="001B2B9D" w14:paraId="7FEF69B2" w14:textId="77777777">
      <w:pPr>
        <w:rPr>
          <w:sz w:val="24"/>
          <w:szCs w:val="24"/>
        </w:rPr>
      </w:pPr>
      <w:r w:rsidRPr="008B27F8">
        <w:rPr>
          <w:sz w:val="24"/>
          <w:szCs w:val="24"/>
        </w:rPr>
        <w:t xml:space="preserve">The last cost earnings survey of the </w:t>
      </w:r>
      <w:r w:rsidRPr="008B27F8" w:rsidR="00A24907">
        <w:rPr>
          <w:sz w:val="24"/>
          <w:szCs w:val="24"/>
        </w:rPr>
        <w:t>West Coast Drift Gillnet and Harpoon</w:t>
      </w:r>
      <w:r w:rsidRPr="008B27F8" w:rsidR="00A24907">
        <w:rPr>
          <w:b/>
          <w:sz w:val="24"/>
          <w:szCs w:val="24"/>
        </w:rPr>
        <w:t xml:space="preserve"> </w:t>
      </w:r>
      <w:r w:rsidRPr="008B27F8">
        <w:rPr>
          <w:sz w:val="24"/>
          <w:szCs w:val="24"/>
        </w:rPr>
        <w:t>fleet was conducted in</w:t>
      </w:r>
      <w:r w:rsidRPr="008B27F8" w:rsidR="00A06653">
        <w:rPr>
          <w:sz w:val="24"/>
          <w:szCs w:val="24"/>
        </w:rPr>
        <w:t xml:space="preserve"> </w:t>
      </w:r>
      <w:r w:rsidRPr="008B27F8" w:rsidR="00A24907">
        <w:rPr>
          <w:sz w:val="24"/>
          <w:szCs w:val="24"/>
        </w:rPr>
        <w:t>2010</w:t>
      </w:r>
      <w:r w:rsidRPr="008B27F8">
        <w:rPr>
          <w:sz w:val="24"/>
          <w:szCs w:val="24"/>
        </w:rPr>
        <w:t xml:space="preserve"> </w:t>
      </w:r>
      <w:r w:rsidRPr="008B27F8" w:rsidR="00A24907">
        <w:rPr>
          <w:sz w:val="24"/>
          <w:szCs w:val="24"/>
        </w:rPr>
        <w:t xml:space="preserve">and was administered by </w:t>
      </w:r>
      <w:proofErr w:type="spellStart"/>
      <w:r w:rsidRPr="008B27F8" w:rsidR="00A24907">
        <w:rPr>
          <w:sz w:val="24"/>
          <w:szCs w:val="24"/>
        </w:rPr>
        <w:t>Hanan</w:t>
      </w:r>
      <w:proofErr w:type="spellEnd"/>
      <w:r w:rsidRPr="008B27F8" w:rsidR="00A24907">
        <w:rPr>
          <w:sz w:val="24"/>
          <w:szCs w:val="24"/>
        </w:rPr>
        <w:t xml:space="preserve"> &amp; Associates, Inc.</w:t>
      </w:r>
      <w:r w:rsidRPr="008B27F8">
        <w:rPr>
          <w:sz w:val="24"/>
          <w:szCs w:val="24"/>
        </w:rPr>
        <w:t xml:space="preserve"> </w:t>
      </w:r>
      <w:r w:rsidRPr="008B27F8" w:rsidR="008E3EA7">
        <w:rPr>
          <w:sz w:val="24"/>
          <w:szCs w:val="24"/>
        </w:rPr>
        <w:t xml:space="preserve"> We are not aware of any </w:t>
      </w:r>
      <w:r w:rsidRPr="008B27F8" w:rsidR="00A24907">
        <w:rPr>
          <w:sz w:val="24"/>
          <w:szCs w:val="24"/>
        </w:rPr>
        <w:t xml:space="preserve">other </w:t>
      </w:r>
      <w:r w:rsidRPr="008B27F8">
        <w:rPr>
          <w:sz w:val="24"/>
          <w:szCs w:val="24"/>
        </w:rPr>
        <w:t xml:space="preserve">surveys </w:t>
      </w:r>
      <w:r w:rsidRPr="008B27F8" w:rsidR="00A06653">
        <w:rPr>
          <w:sz w:val="24"/>
          <w:szCs w:val="24"/>
        </w:rPr>
        <w:t xml:space="preserve">currently or planned </w:t>
      </w:r>
      <w:r w:rsidRPr="008B27F8" w:rsidR="00A24907">
        <w:rPr>
          <w:sz w:val="24"/>
          <w:szCs w:val="24"/>
        </w:rPr>
        <w:t>to</w:t>
      </w:r>
      <w:r w:rsidRPr="008B27F8" w:rsidR="00A06653">
        <w:rPr>
          <w:sz w:val="24"/>
          <w:szCs w:val="24"/>
        </w:rPr>
        <w:t xml:space="preserve"> </w:t>
      </w:r>
      <w:r w:rsidRPr="008B27F8" w:rsidR="00957C1A">
        <w:rPr>
          <w:sz w:val="24"/>
          <w:szCs w:val="24"/>
        </w:rPr>
        <w:t>collect</w:t>
      </w:r>
      <w:r w:rsidRPr="008B27F8">
        <w:rPr>
          <w:sz w:val="24"/>
          <w:szCs w:val="24"/>
        </w:rPr>
        <w:t xml:space="preserve"> </w:t>
      </w:r>
      <w:r w:rsidRPr="008B27F8" w:rsidR="00A06653">
        <w:rPr>
          <w:sz w:val="24"/>
          <w:szCs w:val="24"/>
        </w:rPr>
        <w:t xml:space="preserve">cost and earnings data </w:t>
      </w:r>
      <w:r w:rsidRPr="008B27F8" w:rsidR="00A24907">
        <w:rPr>
          <w:sz w:val="24"/>
          <w:szCs w:val="24"/>
        </w:rPr>
        <w:t>at</w:t>
      </w:r>
      <w:r w:rsidRPr="008B27F8" w:rsidR="00A06653">
        <w:rPr>
          <w:sz w:val="24"/>
          <w:szCs w:val="24"/>
        </w:rPr>
        <w:t xml:space="preserve"> the vessel level in this fishery</w:t>
      </w:r>
      <w:r w:rsidRPr="008B27F8">
        <w:rPr>
          <w:sz w:val="24"/>
          <w:szCs w:val="24"/>
        </w:rPr>
        <w:t xml:space="preserve">.  </w:t>
      </w:r>
      <w:r w:rsidRPr="008B27F8" w:rsidR="00480502">
        <w:rPr>
          <w:sz w:val="24"/>
          <w:szCs w:val="24"/>
        </w:rPr>
        <w:t xml:space="preserve">  </w:t>
      </w:r>
    </w:p>
    <w:p w:rsidRPr="008B27F8" w:rsidR="001B2B9D" w:rsidP="00480502" w:rsidRDefault="001B2B9D" w14:paraId="1EB6CE7F" w14:textId="77777777">
      <w:pPr>
        <w:rPr>
          <w:sz w:val="24"/>
          <w:szCs w:val="24"/>
        </w:rPr>
      </w:pPr>
    </w:p>
    <w:p w:rsidRPr="008B27F8" w:rsidR="00A06653" w:rsidP="00480502" w:rsidRDefault="00B910A1" w14:paraId="661CA94A" w14:textId="77777777">
      <w:pPr>
        <w:rPr>
          <w:rFonts w:eastAsia="Calibri"/>
          <w:bCs/>
          <w:sz w:val="24"/>
          <w:szCs w:val="24"/>
        </w:rPr>
      </w:pPr>
      <w:r w:rsidRPr="008B27F8">
        <w:rPr>
          <w:sz w:val="24"/>
          <w:szCs w:val="24"/>
        </w:rPr>
        <w:t>The Pacific Fishery Information Network (</w:t>
      </w:r>
      <w:proofErr w:type="spellStart"/>
      <w:r w:rsidRPr="008B27F8">
        <w:rPr>
          <w:sz w:val="24"/>
          <w:szCs w:val="24"/>
        </w:rPr>
        <w:t>PacFIN</w:t>
      </w:r>
      <w:proofErr w:type="spellEnd"/>
      <w:r w:rsidRPr="008B27F8">
        <w:rPr>
          <w:sz w:val="24"/>
          <w:szCs w:val="24"/>
        </w:rPr>
        <w:t xml:space="preserve">) compiles a database of </w:t>
      </w:r>
      <w:r w:rsidRPr="008B27F8" w:rsidR="00957C1A">
        <w:rPr>
          <w:sz w:val="24"/>
          <w:szCs w:val="24"/>
        </w:rPr>
        <w:t xml:space="preserve">individual vessel </w:t>
      </w:r>
      <w:r w:rsidRPr="008B27F8">
        <w:rPr>
          <w:sz w:val="24"/>
          <w:szCs w:val="24"/>
        </w:rPr>
        <w:t>landings records</w:t>
      </w:r>
      <w:r w:rsidRPr="008B27F8" w:rsidR="00C94F82">
        <w:rPr>
          <w:sz w:val="24"/>
          <w:szCs w:val="24"/>
        </w:rPr>
        <w:t xml:space="preserve"> </w:t>
      </w:r>
      <w:r w:rsidRPr="008B27F8">
        <w:rPr>
          <w:sz w:val="24"/>
          <w:szCs w:val="24"/>
        </w:rPr>
        <w:t>submitted by the California</w:t>
      </w:r>
      <w:r w:rsidRPr="008B27F8" w:rsidR="00957C1A">
        <w:rPr>
          <w:sz w:val="24"/>
          <w:szCs w:val="24"/>
        </w:rPr>
        <w:t xml:space="preserve"> </w:t>
      </w:r>
      <w:r w:rsidRPr="008B27F8">
        <w:rPr>
          <w:sz w:val="24"/>
          <w:szCs w:val="24"/>
        </w:rPr>
        <w:t xml:space="preserve">Department of Fish and Wildlife. </w:t>
      </w:r>
      <w:r w:rsidRPr="008B27F8" w:rsidR="00957C1A">
        <w:rPr>
          <w:sz w:val="24"/>
          <w:szCs w:val="24"/>
        </w:rPr>
        <w:t xml:space="preserve"> </w:t>
      </w:r>
      <w:proofErr w:type="spellStart"/>
      <w:r w:rsidRPr="008B27F8">
        <w:rPr>
          <w:sz w:val="24"/>
          <w:szCs w:val="24"/>
        </w:rPr>
        <w:t>PacFIN</w:t>
      </w:r>
      <w:proofErr w:type="spellEnd"/>
      <w:r w:rsidRPr="008B27F8">
        <w:rPr>
          <w:sz w:val="24"/>
          <w:szCs w:val="24"/>
        </w:rPr>
        <w:t xml:space="preserve"> records represent mandatory landings r</w:t>
      </w:r>
      <w:r w:rsidRPr="008B27F8" w:rsidR="00C94F82">
        <w:rPr>
          <w:sz w:val="24"/>
          <w:szCs w:val="24"/>
        </w:rPr>
        <w:t xml:space="preserve">ecords (fish tickets) </w:t>
      </w:r>
      <w:r w:rsidRPr="008B27F8">
        <w:rPr>
          <w:sz w:val="24"/>
          <w:szCs w:val="24"/>
        </w:rPr>
        <w:t xml:space="preserve">submitted </w:t>
      </w:r>
      <w:r w:rsidRPr="008B27F8" w:rsidR="00C94F82">
        <w:rPr>
          <w:sz w:val="24"/>
          <w:szCs w:val="24"/>
        </w:rPr>
        <w:t xml:space="preserve">by species measured </w:t>
      </w:r>
      <w:r w:rsidRPr="008B27F8" w:rsidR="00A06653">
        <w:rPr>
          <w:sz w:val="24"/>
          <w:szCs w:val="24"/>
        </w:rPr>
        <w:t xml:space="preserve">by weight and </w:t>
      </w:r>
      <w:r w:rsidRPr="008B27F8" w:rsidR="00C94F82">
        <w:rPr>
          <w:sz w:val="24"/>
          <w:szCs w:val="24"/>
        </w:rPr>
        <w:t>ex vessel revenues</w:t>
      </w:r>
      <w:r w:rsidRPr="008B27F8" w:rsidR="00B95B58">
        <w:rPr>
          <w:rFonts w:eastAsia="Calibri"/>
          <w:bCs/>
          <w:sz w:val="24"/>
          <w:szCs w:val="24"/>
        </w:rPr>
        <w:t>;</w:t>
      </w:r>
      <w:r w:rsidRPr="008B27F8" w:rsidR="001B2B9D">
        <w:rPr>
          <w:rFonts w:eastAsia="Calibri"/>
          <w:bCs/>
          <w:sz w:val="24"/>
          <w:szCs w:val="24"/>
        </w:rPr>
        <w:t xml:space="preserve"> however</w:t>
      </w:r>
      <w:r w:rsidRPr="008B27F8" w:rsidR="00A24907">
        <w:rPr>
          <w:rFonts w:eastAsia="Calibri"/>
          <w:bCs/>
          <w:sz w:val="24"/>
          <w:szCs w:val="24"/>
        </w:rPr>
        <w:t>,</w:t>
      </w:r>
      <w:r w:rsidRPr="008B27F8" w:rsidR="001B2B9D">
        <w:rPr>
          <w:rFonts w:eastAsia="Calibri"/>
          <w:bCs/>
          <w:sz w:val="24"/>
          <w:szCs w:val="24"/>
        </w:rPr>
        <w:t xml:space="preserve"> </w:t>
      </w:r>
      <w:r w:rsidRPr="008B27F8" w:rsidR="00A06653">
        <w:rPr>
          <w:rFonts w:eastAsia="Calibri"/>
          <w:bCs/>
          <w:sz w:val="24"/>
          <w:szCs w:val="24"/>
        </w:rPr>
        <w:t xml:space="preserve">no cost data </w:t>
      </w:r>
      <w:r w:rsidRPr="008B27F8" w:rsidR="000B1AB1">
        <w:rPr>
          <w:rFonts w:eastAsia="Calibri"/>
          <w:bCs/>
          <w:sz w:val="24"/>
          <w:szCs w:val="24"/>
        </w:rPr>
        <w:t>are</w:t>
      </w:r>
      <w:r w:rsidRPr="008B27F8" w:rsidR="00A06653">
        <w:rPr>
          <w:rFonts w:eastAsia="Calibri"/>
          <w:bCs/>
          <w:sz w:val="24"/>
          <w:szCs w:val="24"/>
        </w:rPr>
        <w:t xml:space="preserve"> collected.</w:t>
      </w:r>
      <w:r w:rsidRPr="008B27F8" w:rsidR="004572CB">
        <w:rPr>
          <w:rFonts w:eastAsia="Calibri"/>
          <w:bCs/>
          <w:sz w:val="24"/>
          <w:szCs w:val="24"/>
        </w:rPr>
        <w:t xml:space="preserve"> </w:t>
      </w:r>
    </w:p>
    <w:p w:rsidRPr="008B27F8" w:rsidR="004F26E9" w:rsidRDefault="004F26E9" w14:paraId="74975CD6" w14:textId="77777777">
      <w:pPr>
        <w:rPr>
          <w:sz w:val="24"/>
          <w:szCs w:val="24"/>
        </w:rPr>
      </w:pPr>
    </w:p>
    <w:p w:rsidRPr="008B27F8" w:rsidR="004F26E9" w:rsidRDefault="004F26E9" w14:paraId="6DD17F97" w14:textId="77777777">
      <w:pPr>
        <w:rPr>
          <w:sz w:val="24"/>
          <w:szCs w:val="24"/>
        </w:rPr>
      </w:pPr>
      <w:r w:rsidRPr="008B27F8">
        <w:rPr>
          <w:b/>
          <w:bCs/>
          <w:sz w:val="24"/>
          <w:szCs w:val="24"/>
        </w:rPr>
        <w:t xml:space="preserve">5.  </w:t>
      </w:r>
      <w:r w:rsidRPr="008B27F8">
        <w:rPr>
          <w:b/>
          <w:bCs/>
          <w:sz w:val="24"/>
          <w:szCs w:val="24"/>
          <w:u w:val="single"/>
        </w:rPr>
        <w:t>If the collection of information involves small businesses or other small entities, describe the methods used to minimize burden</w:t>
      </w:r>
      <w:r w:rsidRPr="008B27F8">
        <w:rPr>
          <w:b/>
          <w:bCs/>
          <w:sz w:val="24"/>
          <w:szCs w:val="24"/>
        </w:rPr>
        <w:t>.</w:t>
      </w:r>
      <w:r w:rsidRPr="008B27F8">
        <w:rPr>
          <w:sz w:val="24"/>
          <w:szCs w:val="24"/>
        </w:rPr>
        <w:t xml:space="preserve"> </w:t>
      </w:r>
    </w:p>
    <w:p w:rsidRPr="008B27F8" w:rsidR="00957C1A" w:rsidRDefault="00957C1A" w14:paraId="1918BBD2" w14:textId="77777777">
      <w:pPr>
        <w:rPr>
          <w:sz w:val="24"/>
          <w:szCs w:val="24"/>
        </w:rPr>
      </w:pPr>
    </w:p>
    <w:p w:rsidRPr="008B27F8" w:rsidR="004F26E9" w:rsidRDefault="00CD1119" w14:paraId="64EA136B" w14:textId="77777777">
      <w:pPr>
        <w:rPr>
          <w:color w:val="000000"/>
          <w:sz w:val="24"/>
          <w:szCs w:val="24"/>
        </w:rPr>
      </w:pPr>
      <w:r w:rsidRPr="008B27F8">
        <w:rPr>
          <w:color w:val="000000"/>
          <w:sz w:val="24"/>
          <w:szCs w:val="24"/>
        </w:rPr>
        <w:t xml:space="preserve">The potential respondent universe for this survey is the owners or operators of all active West Coast vessels primarily targeting </w:t>
      </w:r>
      <w:r w:rsidRPr="008B27F8" w:rsidR="00957C1A">
        <w:rPr>
          <w:color w:val="000000"/>
          <w:sz w:val="24"/>
          <w:szCs w:val="24"/>
        </w:rPr>
        <w:t>swordfish and</w:t>
      </w:r>
      <w:r w:rsidRPr="008B27F8">
        <w:rPr>
          <w:color w:val="000000"/>
          <w:sz w:val="24"/>
          <w:szCs w:val="24"/>
        </w:rPr>
        <w:t xml:space="preserve"> tuna in </w:t>
      </w:r>
      <w:r w:rsidRPr="008B27F8" w:rsidR="00C42A1B">
        <w:rPr>
          <w:color w:val="000000"/>
          <w:sz w:val="24"/>
          <w:szCs w:val="24"/>
        </w:rPr>
        <w:t>2018-19</w:t>
      </w:r>
      <w:r w:rsidRPr="008B27F8" w:rsidR="00427ACF">
        <w:rPr>
          <w:color w:val="000000"/>
          <w:sz w:val="24"/>
          <w:szCs w:val="24"/>
        </w:rPr>
        <w:t xml:space="preserve"> and 2019-20 along with pilots and processors that serve the industry</w:t>
      </w:r>
      <w:r w:rsidRPr="008B27F8" w:rsidR="00957C1A">
        <w:rPr>
          <w:color w:val="000000"/>
          <w:sz w:val="24"/>
          <w:szCs w:val="24"/>
        </w:rPr>
        <w:t>.</w:t>
      </w:r>
      <w:r w:rsidRPr="008B27F8">
        <w:rPr>
          <w:color w:val="000000"/>
          <w:sz w:val="24"/>
          <w:szCs w:val="24"/>
        </w:rPr>
        <w:t xml:space="preserve"> </w:t>
      </w:r>
      <w:r w:rsidRPr="008B27F8" w:rsidR="00957C1A">
        <w:rPr>
          <w:color w:val="000000"/>
          <w:sz w:val="24"/>
          <w:szCs w:val="24"/>
        </w:rPr>
        <w:t xml:space="preserve"> </w:t>
      </w:r>
      <w:r w:rsidRPr="008B27F8" w:rsidR="00CD4CC2">
        <w:rPr>
          <w:color w:val="000000"/>
          <w:sz w:val="24"/>
          <w:szCs w:val="24"/>
        </w:rPr>
        <w:t xml:space="preserve">The burden to vessel owners will be minimized </w:t>
      </w:r>
      <w:r w:rsidRPr="008B27F8" w:rsidR="00666CE4">
        <w:rPr>
          <w:color w:val="000000"/>
          <w:sz w:val="24"/>
          <w:szCs w:val="24"/>
        </w:rPr>
        <w:t xml:space="preserve">by </w:t>
      </w:r>
      <w:r w:rsidRPr="008B27F8" w:rsidR="00957C1A">
        <w:rPr>
          <w:color w:val="000000"/>
          <w:sz w:val="24"/>
          <w:szCs w:val="24"/>
        </w:rPr>
        <w:t xml:space="preserve">administering the survey instrument in personal interviews which allows for clear and unambiguous understanding of the questions. </w:t>
      </w:r>
      <w:r w:rsidRPr="008B27F8" w:rsidR="00CD4CC2">
        <w:rPr>
          <w:color w:val="000000"/>
          <w:sz w:val="24"/>
          <w:szCs w:val="24"/>
        </w:rPr>
        <w:t xml:space="preserve"> Respondents </w:t>
      </w:r>
      <w:r w:rsidRPr="008B27F8" w:rsidR="00957C1A">
        <w:rPr>
          <w:color w:val="000000"/>
          <w:sz w:val="24"/>
          <w:szCs w:val="24"/>
        </w:rPr>
        <w:t xml:space="preserve">will be notified by </w:t>
      </w:r>
      <w:r w:rsidRPr="008B27F8" w:rsidR="000B1AB1">
        <w:rPr>
          <w:color w:val="000000"/>
          <w:sz w:val="24"/>
          <w:szCs w:val="24"/>
        </w:rPr>
        <w:t>mail</w:t>
      </w:r>
      <w:r w:rsidRPr="008B27F8" w:rsidR="00957C1A">
        <w:rPr>
          <w:color w:val="000000"/>
          <w:sz w:val="24"/>
          <w:szCs w:val="24"/>
        </w:rPr>
        <w:t xml:space="preserve"> and by email </w:t>
      </w:r>
      <w:r w:rsidRPr="008B27F8" w:rsidR="00666CE4">
        <w:rPr>
          <w:color w:val="000000"/>
          <w:sz w:val="24"/>
          <w:szCs w:val="24"/>
        </w:rPr>
        <w:t xml:space="preserve">of an upcoming phone call </w:t>
      </w:r>
      <w:r w:rsidRPr="008B27F8" w:rsidR="00957C1A">
        <w:rPr>
          <w:color w:val="000000"/>
          <w:sz w:val="24"/>
          <w:szCs w:val="24"/>
        </w:rPr>
        <w:t>to set up an appointment</w:t>
      </w:r>
      <w:r w:rsidRPr="008B27F8" w:rsidR="00666CE4">
        <w:rPr>
          <w:color w:val="000000"/>
          <w:sz w:val="24"/>
          <w:szCs w:val="24"/>
        </w:rPr>
        <w:t>.</w:t>
      </w:r>
      <w:r w:rsidRPr="008B27F8" w:rsidR="003A24FC">
        <w:rPr>
          <w:color w:val="000000"/>
          <w:sz w:val="24"/>
          <w:szCs w:val="24"/>
        </w:rPr>
        <w:t xml:space="preserve"> </w:t>
      </w:r>
      <w:r w:rsidRPr="008B27F8" w:rsidR="00666CE4">
        <w:rPr>
          <w:color w:val="000000"/>
          <w:sz w:val="24"/>
          <w:szCs w:val="24"/>
        </w:rPr>
        <w:t xml:space="preserve"> They</w:t>
      </w:r>
      <w:r w:rsidRPr="008B27F8" w:rsidR="00957C1A">
        <w:rPr>
          <w:color w:val="000000"/>
          <w:sz w:val="24"/>
          <w:szCs w:val="24"/>
        </w:rPr>
        <w:t xml:space="preserve"> will </w:t>
      </w:r>
      <w:r w:rsidRPr="008B27F8" w:rsidR="00666CE4">
        <w:rPr>
          <w:color w:val="000000"/>
          <w:sz w:val="24"/>
          <w:szCs w:val="24"/>
        </w:rPr>
        <w:t xml:space="preserve">also be able to set up the appointment by </w:t>
      </w:r>
      <w:r w:rsidRPr="008B27F8" w:rsidR="00D72A23">
        <w:rPr>
          <w:color w:val="000000"/>
          <w:sz w:val="24"/>
          <w:szCs w:val="24"/>
        </w:rPr>
        <w:t xml:space="preserve">phone, mail or </w:t>
      </w:r>
      <w:r w:rsidRPr="008B27F8" w:rsidR="00666CE4">
        <w:rPr>
          <w:color w:val="000000"/>
          <w:sz w:val="24"/>
          <w:szCs w:val="24"/>
        </w:rPr>
        <w:t xml:space="preserve">email and will be notified of </w:t>
      </w:r>
      <w:r w:rsidRPr="008B27F8" w:rsidR="00957C1A">
        <w:rPr>
          <w:color w:val="000000"/>
          <w:sz w:val="24"/>
          <w:szCs w:val="24"/>
        </w:rPr>
        <w:t xml:space="preserve">information that will be sought so they can have relevant records available at the interview. </w:t>
      </w:r>
      <w:r w:rsidRPr="008B27F8" w:rsidR="00CD4CC2">
        <w:rPr>
          <w:color w:val="000000"/>
          <w:sz w:val="24"/>
          <w:szCs w:val="24"/>
        </w:rPr>
        <w:t xml:space="preserve"> </w:t>
      </w:r>
    </w:p>
    <w:p w:rsidRPr="008B27F8" w:rsidR="00666CE4" w:rsidRDefault="00666CE4" w14:paraId="02F7EF8E" w14:textId="77777777">
      <w:pPr>
        <w:rPr>
          <w:sz w:val="24"/>
          <w:szCs w:val="24"/>
        </w:rPr>
      </w:pPr>
    </w:p>
    <w:p w:rsidRPr="008B27F8" w:rsidR="004F26E9" w:rsidRDefault="004F26E9" w14:paraId="7CADBB7A" w14:textId="77777777">
      <w:pPr>
        <w:rPr>
          <w:sz w:val="24"/>
          <w:szCs w:val="24"/>
        </w:rPr>
      </w:pPr>
      <w:r w:rsidRPr="008B27F8">
        <w:rPr>
          <w:b/>
          <w:bCs/>
          <w:sz w:val="24"/>
          <w:szCs w:val="24"/>
        </w:rPr>
        <w:t xml:space="preserve">6.  </w:t>
      </w:r>
      <w:r w:rsidRPr="008B27F8">
        <w:rPr>
          <w:b/>
          <w:bCs/>
          <w:sz w:val="24"/>
          <w:szCs w:val="24"/>
          <w:u w:val="single"/>
        </w:rPr>
        <w:t>Describe the consequences to the Federal program or policy activities if the collection is not conducted or is conducted less frequently</w:t>
      </w:r>
      <w:r w:rsidRPr="008B27F8">
        <w:rPr>
          <w:b/>
          <w:bCs/>
          <w:sz w:val="24"/>
          <w:szCs w:val="24"/>
        </w:rPr>
        <w:t>.</w:t>
      </w:r>
      <w:r w:rsidRPr="008B27F8">
        <w:rPr>
          <w:sz w:val="24"/>
          <w:szCs w:val="24"/>
        </w:rPr>
        <w:t xml:space="preserve"> </w:t>
      </w:r>
    </w:p>
    <w:p w:rsidRPr="008B27F8" w:rsidR="00D6744B" w:rsidRDefault="00D6744B" w14:paraId="2FFE2D90" w14:textId="77777777">
      <w:pPr>
        <w:rPr>
          <w:color w:val="000000"/>
          <w:sz w:val="24"/>
          <w:szCs w:val="24"/>
        </w:rPr>
      </w:pPr>
    </w:p>
    <w:p w:rsidRPr="008B27F8" w:rsidR="004F26E9" w:rsidRDefault="00CD4CC2" w14:paraId="4526A9A1" w14:textId="77777777">
      <w:pPr>
        <w:rPr>
          <w:sz w:val="24"/>
          <w:szCs w:val="24"/>
        </w:rPr>
      </w:pPr>
      <w:r w:rsidRPr="008B27F8">
        <w:rPr>
          <w:color w:val="000000"/>
          <w:sz w:val="24"/>
          <w:szCs w:val="24"/>
        </w:rPr>
        <w:t xml:space="preserve">Lack of information on vessel operating costs severely limits the ability of economists to assess the impacts that commercial </w:t>
      </w:r>
      <w:r w:rsidRPr="008B27F8" w:rsidR="002C1B0E">
        <w:rPr>
          <w:color w:val="000000"/>
          <w:sz w:val="24"/>
          <w:szCs w:val="24"/>
        </w:rPr>
        <w:t xml:space="preserve">swordfish </w:t>
      </w:r>
      <w:r w:rsidRPr="008B27F8">
        <w:rPr>
          <w:color w:val="000000"/>
          <w:sz w:val="24"/>
          <w:szCs w:val="24"/>
        </w:rPr>
        <w:t>fishermen face due to changes in regulat</w:t>
      </w:r>
      <w:r w:rsidRPr="008B27F8" w:rsidR="00D72A23">
        <w:rPr>
          <w:color w:val="000000"/>
          <w:sz w:val="24"/>
          <w:szCs w:val="24"/>
        </w:rPr>
        <w:t>ory</w:t>
      </w:r>
      <w:r w:rsidRPr="008B27F8">
        <w:rPr>
          <w:color w:val="000000"/>
          <w:sz w:val="24"/>
          <w:szCs w:val="24"/>
        </w:rPr>
        <w:t>, fishing, and market conditions.  Without this information, analyses that attempt to assess the economic effects of proposed regulations or policy alternatives on vessels, crew and the fishery as a whole are incomplete and inaccurate.</w:t>
      </w:r>
    </w:p>
    <w:p w:rsidRPr="008B27F8" w:rsidR="004F26E9" w:rsidRDefault="004F26E9" w14:paraId="774667CB" w14:textId="77777777">
      <w:pPr>
        <w:rPr>
          <w:sz w:val="24"/>
          <w:szCs w:val="24"/>
        </w:rPr>
      </w:pPr>
    </w:p>
    <w:p w:rsidRPr="008B27F8" w:rsidR="004F26E9" w:rsidRDefault="004F26E9" w14:paraId="6308BC92" w14:textId="77777777">
      <w:pPr>
        <w:rPr>
          <w:sz w:val="24"/>
          <w:szCs w:val="24"/>
        </w:rPr>
      </w:pPr>
      <w:r w:rsidRPr="008B27F8">
        <w:rPr>
          <w:b/>
          <w:bCs/>
          <w:sz w:val="24"/>
          <w:szCs w:val="24"/>
        </w:rPr>
        <w:t xml:space="preserve">7.  </w:t>
      </w:r>
      <w:r w:rsidRPr="008B27F8">
        <w:rPr>
          <w:b/>
          <w:bCs/>
          <w:sz w:val="24"/>
          <w:szCs w:val="24"/>
          <w:u w:val="single"/>
        </w:rPr>
        <w:t>Explain any special circumstances that require the collection to be conducted in a manner inconsistent with OMB guidelines</w:t>
      </w:r>
      <w:r w:rsidRPr="008B27F8">
        <w:rPr>
          <w:b/>
          <w:bCs/>
          <w:sz w:val="24"/>
          <w:szCs w:val="24"/>
        </w:rPr>
        <w:t xml:space="preserve">. </w:t>
      </w:r>
    </w:p>
    <w:p w:rsidRPr="008B27F8" w:rsidR="00BB4632" w:rsidP="00E917C0" w:rsidRDefault="00BB4632" w14:paraId="6137278C" w14:textId="77777777">
      <w:pPr>
        <w:rPr>
          <w:color w:val="000000"/>
          <w:sz w:val="24"/>
          <w:szCs w:val="24"/>
        </w:rPr>
      </w:pPr>
    </w:p>
    <w:p w:rsidRPr="000A181E" w:rsidR="008F2C04" w:rsidP="008F2C04" w:rsidRDefault="008F2C04" w14:paraId="6A88538C" w14:textId="04AF6CC3">
      <w:pPr>
        <w:pStyle w:val="BodyText"/>
        <w:spacing w:before="90"/>
        <w:ind w:left="0"/>
        <w:rPr>
          <w:rFonts w:cs="Times New Roman"/>
        </w:rPr>
      </w:pPr>
      <w:r>
        <w:rPr>
          <w:rFonts w:cs="Times New Roman"/>
        </w:rPr>
        <w:t>This collection will be conducted in a manner consistent with OMB guidelines</w:t>
      </w:r>
      <w:r w:rsidRPr="000A181E">
        <w:rPr>
          <w:rFonts w:cs="Times New Roman"/>
        </w:rPr>
        <w:t>.</w:t>
      </w:r>
    </w:p>
    <w:p w:rsidRPr="008B27F8" w:rsidR="00725C5C" w:rsidRDefault="00725C5C" w14:paraId="20E868DE" w14:textId="77777777">
      <w:pPr>
        <w:rPr>
          <w:b/>
          <w:bCs/>
          <w:sz w:val="24"/>
          <w:szCs w:val="24"/>
        </w:rPr>
      </w:pPr>
    </w:p>
    <w:p w:rsidR="008F2C04" w:rsidP="008F2C04" w:rsidRDefault="004F26E9" w14:paraId="23970C5D" w14:textId="77777777">
      <w:pPr>
        <w:widowControl/>
        <w:shd w:val="clear" w:color="auto" w:fill="FFFFFF"/>
        <w:autoSpaceDE/>
        <w:autoSpaceDN/>
        <w:ind w:left="540" w:hanging="540"/>
        <w:rPr>
          <w:b/>
          <w:bCs/>
          <w:color w:val="222222"/>
          <w:sz w:val="24"/>
          <w:szCs w:val="24"/>
        </w:rPr>
      </w:pPr>
      <w:r w:rsidRPr="008B27F8">
        <w:rPr>
          <w:b/>
          <w:bCs/>
          <w:sz w:val="24"/>
          <w:szCs w:val="24"/>
        </w:rPr>
        <w:t xml:space="preserve">8.  </w:t>
      </w:r>
      <w:r w:rsidRPr="00534D96" w:rsidR="008F2C04">
        <w:rPr>
          <w:b/>
          <w:bCs/>
          <w:color w:val="222222"/>
          <w:sz w:val="24"/>
          <w:szCs w:val="24"/>
        </w:rPr>
        <w:t>If applicable, provide a copy and identify the date an</w:t>
      </w:r>
      <w:r w:rsidR="008F2C04">
        <w:rPr>
          <w:b/>
          <w:bCs/>
          <w:color w:val="222222"/>
          <w:sz w:val="24"/>
          <w:szCs w:val="24"/>
        </w:rPr>
        <w:t>d page number of publication in</w:t>
      </w:r>
    </w:p>
    <w:p w:rsidR="008F2C04" w:rsidP="008F2C04" w:rsidRDefault="008F2C04" w14:paraId="3D79C5BF" w14:textId="77777777">
      <w:pPr>
        <w:widowControl/>
        <w:shd w:val="clear" w:color="auto" w:fill="FFFFFF"/>
        <w:autoSpaceDE/>
        <w:autoSpaceDN/>
        <w:ind w:left="540" w:hanging="540"/>
        <w:rPr>
          <w:b/>
          <w:bCs/>
          <w:color w:val="222222"/>
          <w:sz w:val="24"/>
          <w:szCs w:val="24"/>
        </w:rPr>
      </w:pPr>
      <w:proofErr w:type="gramStart"/>
      <w:r w:rsidRPr="00534D96">
        <w:rPr>
          <w:b/>
          <w:bCs/>
          <w:color w:val="222222"/>
          <w:sz w:val="24"/>
          <w:szCs w:val="24"/>
        </w:rPr>
        <w:t>the</w:t>
      </w:r>
      <w:proofErr w:type="gramEnd"/>
      <w:r w:rsidRPr="00534D96">
        <w:rPr>
          <w:b/>
          <w:bCs/>
          <w:color w:val="222222"/>
          <w:sz w:val="24"/>
          <w:szCs w:val="24"/>
        </w:rPr>
        <w:t xml:space="preserve"> Federal Register of the agency's notice, required </w:t>
      </w:r>
      <w:r>
        <w:rPr>
          <w:b/>
          <w:bCs/>
          <w:color w:val="222222"/>
          <w:sz w:val="24"/>
          <w:szCs w:val="24"/>
        </w:rPr>
        <w:t>by 5 CFR 1320.8 (d), soliciting</w:t>
      </w:r>
    </w:p>
    <w:p w:rsidR="008F2C04" w:rsidP="008F2C04" w:rsidRDefault="008F2C04" w14:paraId="41AD6C64" w14:textId="77FCEF6B">
      <w:pPr>
        <w:widowControl/>
        <w:shd w:val="clear" w:color="auto" w:fill="FFFFFF"/>
        <w:autoSpaceDE/>
        <w:autoSpaceDN/>
        <w:ind w:left="540" w:hanging="540"/>
        <w:rPr>
          <w:b/>
          <w:bCs/>
          <w:color w:val="222222"/>
          <w:sz w:val="24"/>
          <w:szCs w:val="24"/>
        </w:rPr>
      </w:pPr>
      <w:proofErr w:type="gramStart"/>
      <w:r w:rsidRPr="00534D96">
        <w:rPr>
          <w:b/>
          <w:bCs/>
          <w:color w:val="222222"/>
          <w:sz w:val="24"/>
          <w:szCs w:val="24"/>
        </w:rPr>
        <w:t>comments</w:t>
      </w:r>
      <w:proofErr w:type="gramEnd"/>
      <w:r w:rsidRPr="00534D96">
        <w:rPr>
          <w:b/>
          <w:bCs/>
          <w:color w:val="222222"/>
          <w:sz w:val="24"/>
          <w:szCs w:val="24"/>
        </w:rPr>
        <w:t xml:space="preserve"> on the information collection prior to submission to OMB. </w:t>
      </w:r>
    </w:p>
    <w:p w:rsidRPr="00114E29" w:rsidR="008F2C04" w:rsidP="008F2C04" w:rsidRDefault="008F2C04" w14:paraId="35240A00" w14:textId="4EC2F7DE">
      <w:pPr>
        <w:widowControl/>
        <w:shd w:val="clear" w:color="auto" w:fill="FFFFFF"/>
        <w:autoSpaceDE/>
        <w:autoSpaceDN/>
        <w:adjustRightInd/>
        <w:rPr>
          <w:color w:val="222222"/>
          <w:sz w:val="24"/>
          <w:szCs w:val="24"/>
        </w:rPr>
      </w:pPr>
      <w:r w:rsidRPr="00114E29">
        <w:rPr>
          <w:b/>
          <w:bCs/>
          <w:color w:val="222222"/>
          <w:sz w:val="24"/>
          <w:szCs w:val="24"/>
        </w:rPr>
        <w:t>Summarize public comments received in response to that notice and describe actions taken by the agency in response to these comments.</w:t>
      </w:r>
    </w:p>
    <w:p w:rsidRPr="00114E29" w:rsidR="008F2C04" w:rsidP="008F2C04" w:rsidRDefault="008F2C04" w14:paraId="42A07B64" w14:textId="771BD122">
      <w:pPr>
        <w:widowControl/>
        <w:shd w:val="clear" w:color="auto" w:fill="FFFFFF"/>
        <w:autoSpaceDE/>
        <w:autoSpaceDN/>
        <w:adjustRightInd/>
        <w:rPr>
          <w:color w:val="222222"/>
          <w:sz w:val="24"/>
          <w:szCs w:val="24"/>
        </w:rPr>
      </w:pPr>
      <w:r w:rsidRPr="00114E29">
        <w:rPr>
          <w:b/>
          <w:bCs/>
          <w:color w:val="222222"/>
          <w:sz w:val="24"/>
          <w:szCs w:val="24"/>
        </w:rPr>
        <w:t xml:space="preserve">Specifically address comments received on cost and hour burden. </w:t>
      </w:r>
    </w:p>
    <w:p w:rsidR="008F2C04" w:rsidP="008F2C04" w:rsidRDefault="008F2C04" w14:paraId="7D3ECD5F" w14:textId="77777777">
      <w:pPr>
        <w:widowControl/>
        <w:shd w:val="clear" w:color="auto" w:fill="FFFFFF"/>
        <w:autoSpaceDE/>
        <w:autoSpaceDN/>
        <w:adjustRightInd/>
        <w:rPr>
          <w:b/>
          <w:bCs/>
          <w:color w:val="222222"/>
          <w:sz w:val="24"/>
          <w:szCs w:val="24"/>
        </w:rPr>
      </w:pPr>
    </w:p>
    <w:p w:rsidRPr="00114E29" w:rsidR="008F2C04" w:rsidP="008F2C04" w:rsidRDefault="008F2C04" w14:paraId="21AA798E" w14:textId="6C045507">
      <w:pPr>
        <w:widowControl/>
        <w:shd w:val="clear" w:color="auto" w:fill="FFFFFF"/>
        <w:autoSpaceDE/>
        <w:autoSpaceDN/>
        <w:adjustRightInd/>
        <w:rPr>
          <w:color w:val="222222"/>
          <w:sz w:val="24"/>
          <w:szCs w:val="24"/>
        </w:rPr>
      </w:pPr>
      <w:r w:rsidRPr="00114E29">
        <w:rPr>
          <w:b/>
          <w:bCs/>
          <w:color w:val="222222"/>
          <w:sz w:val="24"/>
          <w:szCs w:val="24"/>
        </w:rPr>
        <w:t xml:space="preserve">Describe efforts to consult with persons outside the agency to obtain their views on the availability of data, frequency of collection, the clarity of instructions and recordkeeping, </w:t>
      </w:r>
      <w:r w:rsidRPr="00114E29">
        <w:rPr>
          <w:b/>
          <w:bCs/>
          <w:color w:val="222222"/>
          <w:sz w:val="24"/>
          <w:szCs w:val="24"/>
        </w:rPr>
        <w:lastRenderedPageBreak/>
        <w:t>disclosure, or reporting format (if any), and on the data elements to be recorded, disclosed, or reported.</w:t>
      </w:r>
    </w:p>
    <w:p w:rsidRPr="008B27F8" w:rsidR="004F26E9" w:rsidRDefault="004F26E9" w14:paraId="50944045" w14:textId="26FA1C87">
      <w:pPr>
        <w:rPr>
          <w:sz w:val="24"/>
          <w:szCs w:val="24"/>
        </w:rPr>
      </w:pPr>
    </w:p>
    <w:p w:rsidR="000B59D6" w:rsidRDefault="002C7A67" w14:paraId="012E2FED" w14:textId="7F0E7ADB">
      <w:pPr>
        <w:rPr>
          <w:sz w:val="24"/>
          <w:szCs w:val="24"/>
        </w:rPr>
      </w:pPr>
      <w:r w:rsidRPr="008B27F8">
        <w:rPr>
          <w:sz w:val="24"/>
          <w:szCs w:val="24"/>
        </w:rPr>
        <w:t>A Federal Register Notice published on January 7, 2020 (85 FR 670) solicited public comments. No comments were received</w:t>
      </w:r>
      <w:r w:rsidRPr="00AA6EDC">
        <w:rPr>
          <w:sz w:val="24"/>
          <w:szCs w:val="24"/>
        </w:rPr>
        <w:t>.</w:t>
      </w:r>
      <w:r w:rsidRPr="00A9205E" w:rsidR="00D33390">
        <w:rPr>
          <w:sz w:val="24"/>
          <w:szCs w:val="24"/>
        </w:rPr>
        <w:t xml:space="preserve"> </w:t>
      </w:r>
      <w:r w:rsidRPr="00D856C8" w:rsidR="00D856C8">
        <w:rPr>
          <w:sz w:val="24"/>
          <w:szCs w:val="24"/>
        </w:rPr>
        <w:t xml:space="preserve">DGN-HPN industry leaders provided a review of the survey and the survey was also pretested by commercial swordfish participants.  </w:t>
      </w:r>
    </w:p>
    <w:p w:rsidR="000B59D6" w:rsidRDefault="000B59D6" w14:paraId="36098C2C" w14:textId="77777777">
      <w:pPr>
        <w:rPr>
          <w:sz w:val="24"/>
          <w:szCs w:val="24"/>
        </w:rPr>
      </w:pPr>
    </w:p>
    <w:p w:rsidRPr="008B27F8" w:rsidR="002C7A67" w:rsidRDefault="002C7A67" w14:paraId="5E05C78F" w14:textId="77777777">
      <w:pPr>
        <w:rPr>
          <w:sz w:val="24"/>
          <w:szCs w:val="24"/>
        </w:rPr>
      </w:pPr>
    </w:p>
    <w:p w:rsidRPr="008B27F8" w:rsidR="004F26E9" w:rsidRDefault="004F26E9" w14:paraId="1EC5AF57" w14:textId="77777777">
      <w:pPr>
        <w:rPr>
          <w:sz w:val="24"/>
          <w:szCs w:val="24"/>
        </w:rPr>
      </w:pPr>
      <w:r w:rsidRPr="008B27F8">
        <w:rPr>
          <w:b/>
          <w:bCs/>
          <w:sz w:val="24"/>
          <w:szCs w:val="24"/>
        </w:rPr>
        <w:t xml:space="preserve">9.  </w:t>
      </w:r>
      <w:r w:rsidRPr="008B27F8">
        <w:rPr>
          <w:b/>
          <w:bCs/>
          <w:sz w:val="24"/>
          <w:szCs w:val="24"/>
          <w:u w:val="single"/>
        </w:rPr>
        <w:t>Explain any decisions to provide payments or gifts to respondents, other than remuneration of contractors or grantees</w:t>
      </w:r>
      <w:r w:rsidRPr="008B27F8">
        <w:rPr>
          <w:b/>
          <w:bCs/>
          <w:sz w:val="24"/>
          <w:szCs w:val="24"/>
        </w:rPr>
        <w:t>.</w:t>
      </w:r>
    </w:p>
    <w:p w:rsidRPr="008B27F8" w:rsidR="00D6744B" w:rsidRDefault="00D6744B" w14:paraId="20E44FC9" w14:textId="77777777">
      <w:pPr>
        <w:rPr>
          <w:sz w:val="24"/>
          <w:szCs w:val="24"/>
        </w:rPr>
      </w:pPr>
    </w:p>
    <w:p w:rsidRPr="008B27F8" w:rsidR="00615112" w:rsidRDefault="00BB4632" w14:paraId="71D587D1" w14:textId="77777777">
      <w:pPr>
        <w:rPr>
          <w:b/>
          <w:bCs/>
          <w:sz w:val="24"/>
          <w:szCs w:val="24"/>
        </w:rPr>
      </w:pPr>
      <w:r w:rsidRPr="008B27F8">
        <w:rPr>
          <w:sz w:val="24"/>
          <w:szCs w:val="24"/>
        </w:rPr>
        <w:t>T</w:t>
      </w:r>
      <w:r w:rsidRPr="008B27F8" w:rsidR="00CD4CC2">
        <w:rPr>
          <w:sz w:val="24"/>
          <w:szCs w:val="24"/>
        </w:rPr>
        <w:t>he project does not include payments or gifts to respondents.</w:t>
      </w:r>
    </w:p>
    <w:p w:rsidRPr="008B27F8" w:rsidR="00615112" w:rsidRDefault="00615112" w14:paraId="27C846CD" w14:textId="77777777">
      <w:pPr>
        <w:rPr>
          <w:b/>
          <w:bCs/>
          <w:sz w:val="24"/>
          <w:szCs w:val="24"/>
        </w:rPr>
      </w:pPr>
    </w:p>
    <w:p w:rsidRPr="008B27F8" w:rsidR="004F26E9" w:rsidRDefault="004F26E9" w14:paraId="4950F346" w14:textId="77777777">
      <w:pPr>
        <w:rPr>
          <w:sz w:val="24"/>
          <w:szCs w:val="24"/>
        </w:rPr>
      </w:pPr>
      <w:r w:rsidRPr="008B27F8">
        <w:rPr>
          <w:b/>
          <w:bCs/>
          <w:sz w:val="24"/>
          <w:szCs w:val="24"/>
        </w:rPr>
        <w:t xml:space="preserve">10.  </w:t>
      </w:r>
      <w:r w:rsidRPr="008B27F8">
        <w:rPr>
          <w:b/>
          <w:bCs/>
          <w:sz w:val="24"/>
          <w:szCs w:val="24"/>
          <w:u w:val="single"/>
        </w:rPr>
        <w:t>Describe any assurance of confidentiality provided to respondents and the basis for assurance in statute, regulation, or agency policy</w:t>
      </w:r>
      <w:r w:rsidRPr="008B27F8">
        <w:rPr>
          <w:b/>
          <w:bCs/>
          <w:sz w:val="24"/>
          <w:szCs w:val="24"/>
        </w:rPr>
        <w:t>.</w:t>
      </w:r>
    </w:p>
    <w:p w:rsidRPr="008B27F8" w:rsidR="00D6744B" w:rsidP="00CD4CC2" w:rsidRDefault="00D6744B" w14:paraId="4191A53D" w14:textId="77777777">
      <w:pPr>
        <w:rPr>
          <w:sz w:val="24"/>
          <w:szCs w:val="24"/>
        </w:rPr>
      </w:pPr>
    </w:p>
    <w:p w:rsidRPr="008B27F8" w:rsidR="003E23FD" w:rsidP="00EF0434" w:rsidRDefault="00CD4CC2" w14:paraId="0B7CE2B7" w14:textId="5CDCFA8F">
      <w:pPr>
        <w:rPr>
          <w:sz w:val="24"/>
          <w:szCs w:val="24"/>
        </w:rPr>
      </w:pPr>
      <w:r w:rsidRPr="008B27F8">
        <w:rPr>
          <w:sz w:val="24"/>
          <w:szCs w:val="24"/>
        </w:rPr>
        <w:t xml:space="preserve">Respondents are assured in the introductory language of the survey instrument that data </w:t>
      </w:r>
      <w:r w:rsidRPr="008B27F8" w:rsidR="00D72A23">
        <w:rPr>
          <w:sz w:val="24"/>
          <w:szCs w:val="24"/>
        </w:rPr>
        <w:t xml:space="preserve">responses to this information request are confidential under NOAA Administrative Order 216-100, which sets forth procedures to protect confidentiality of fishery statistics. The information </w:t>
      </w:r>
      <w:r w:rsidRPr="008B27F8">
        <w:rPr>
          <w:sz w:val="24"/>
          <w:szCs w:val="24"/>
        </w:rPr>
        <w:t xml:space="preserve">will not be released for public use except in aggregate statistical form without identification as to its source and that no individual names, vessel names, or other identifying information will be included in any reports or publications.  </w:t>
      </w:r>
      <w:r w:rsidRPr="008B27F8" w:rsidR="00280952">
        <w:rPr>
          <w:sz w:val="24"/>
          <w:szCs w:val="24"/>
        </w:rPr>
        <w:t>Personally</w:t>
      </w:r>
      <w:r w:rsidRPr="008B27F8" w:rsidR="003E23FD">
        <w:rPr>
          <w:sz w:val="24"/>
          <w:szCs w:val="24"/>
        </w:rPr>
        <w:t xml:space="preserve"> identifiable information is requested </w:t>
      </w:r>
      <w:r w:rsidRPr="008B27F8" w:rsidR="00EF0434">
        <w:rPr>
          <w:sz w:val="24"/>
          <w:szCs w:val="24"/>
        </w:rPr>
        <w:t xml:space="preserve">to enable </w:t>
      </w:r>
      <w:proofErr w:type="spellStart"/>
      <w:r w:rsidRPr="008B27F8" w:rsidR="00936EEF">
        <w:rPr>
          <w:sz w:val="24"/>
          <w:szCs w:val="24"/>
        </w:rPr>
        <w:t>Hanan</w:t>
      </w:r>
      <w:proofErr w:type="spellEnd"/>
      <w:r w:rsidRPr="008B27F8" w:rsidR="00936EEF">
        <w:rPr>
          <w:sz w:val="24"/>
          <w:szCs w:val="24"/>
        </w:rPr>
        <w:t xml:space="preserve"> &amp; Associates, Inc.</w:t>
      </w:r>
      <w:r w:rsidR="008117CE">
        <w:rPr>
          <w:sz w:val="24"/>
          <w:szCs w:val="24"/>
        </w:rPr>
        <w:t>,</w:t>
      </w:r>
      <w:r w:rsidRPr="008B27F8" w:rsidR="00EF0434">
        <w:rPr>
          <w:sz w:val="24"/>
          <w:szCs w:val="24"/>
        </w:rPr>
        <w:t xml:space="preserve"> to follow up where necessary and clarify or complete individual responses and/or to conduct a spoken survey with respondents who are unable, unwilling</w:t>
      </w:r>
      <w:r w:rsidR="008117CE">
        <w:rPr>
          <w:sz w:val="24"/>
          <w:szCs w:val="24"/>
        </w:rPr>
        <w:t>,</w:t>
      </w:r>
      <w:r w:rsidRPr="008B27F8" w:rsidR="00EF0434">
        <w:rPr>
          <w:sz w:val="24"/>
          <w:szCs w:val="24"/>
        </w:rPr>
        <w:t xml:space="preserve"> or prefer </w:t>
      </w:r>
      <w:r w:rsidRPr="008B27F8" w:rsidR="00D72A23">
        <w:rPr>
          <w:sz w:val="24"/>
          <w:szCs w:val="24"/>
        </w:rPr>
        <w:t>not to respond in person</w:t>
      </w:r>
      <w:r w:rsidRPr="008B27F8" w:rsidR="00EF0434">
        <w:rPr>
          <w:sz w:val="24"/>
          <w:szCs w:val="24"/>
        </w:rPr>
        <w:t xml:space="preserve">.  As such, the information is provided to boost the completeness, accuracy and response rate of the survey. </w:t>
      </w:r>
      <w:r w:rsidRPr="008B27F8" w:rsidR="003E23FD">
        <w:rPr>
          <w:sz w:val="24"/>
          <w:szCs w:val="24"/>
        </w:rPr>
        <w:t xml:space="preserve">As stated above, no information linking </w:t>
      </w:r>
      <w:proofErr w:type="spellStart"/>
      <w:r w:rsidRPr="008B27F8" w:rsidR="003E23FD">
        <w:rPr>
          <w:sz w:val="24"/>
          <w:szCs w:val="24"/>
        </w:rPr>
        <w:t>PacFIN</w:t>
      </w:r>
      <w:proofErr w:type="spellEnd"/>
      <w:r w:rsidRPr="008B27F8" w:rsidR="003E23FD">
        <w:rPr>
          <w:sz w:val="24"/>
          <w:szCs w:val="24"/>
        </w:rPr>
        <w:t xml:space="preserve"> identifiers with survey response results will be released in any reports or publications, or to NMFS</w:t>
      </w:r>
      <w:r w:rsidRPr="008B27F8" w:rsidR="00EF0434">
        <w:rPr>
          <w:sz w:val="24"/>
          <w:szCs w:val="24"/>
        </w:rPr>
        <w:t xml:space="preserve"> or any other individual or organization</w:t>
      </w:r>
      <w:r w:rsidRPr="008B27F8" w:rsidR="003E23FD">
        <w:rPr>
          <w:sz w:val="24"/>
          <w:szCs w:val="24"/>
        </w:rPr>
        <w:t>.</w:t>
      </w:r>
    </w:p>
    <w:p w:rsidRPr="008B27F8" w:rsidR="00CD4CC2" w:rsidP="00CD4CC2" w:rsidRDefault="00CD4CC2" w14:paraId="511239E1" w14:textId="77777777">
      <w:pPr>
        <w:rPr>
          <w:sz w:val="24"/>
          <w:szCs w:val="24"/>
        </w:rPr>
      </w:pPr>
    </w:p>
    <w:p w:rsidRPr="008B27F8" w:rsidR="00E917C0" w:rsidRDefault="00E917C0" w14:paraId="43435DCE" w14:textId="77777777">
      <w:pPr>
        <w:rPr>
          <w:b/>
          <w:bCs/>
          <w:sz w:val="24"/>
          <w:szCs w:val="24"/>
        </w:rPr>
      </w:pPr>
    </w:p>
    <w:p w:rsidRPr="008B27F8" w:rsidR="004F26E9" w:rsidRDefault="004F26E9" w14:paraId="0A72855A" w14:textId="77777777">
      <w:pPr>
        <w:rPr>
          <w:sz w:val="24"/>
          <w:szCs w:val="24"/>
        </w:rPr>
      </w:pPr>
      <w:r w:rsidRPr="008B27F8">
        <w:rPr>
          <w:b/>
          <w:bCs/>
          <w:sz w:val="24"/>
          <w:szCs w:val="24"/>
        </w:rPr>
        <w:t xml:space="preserve">11.  </w:t>
      </w:r>
      <w:r w:rsidRPr="008B27F8">
        <w:rPr>
          <w:b/>
          <w:bCs/>
          <w:sz w:val="24"/>
          <w:szCs w:val="24"/>
          <w:u w:val="single"/>
        </w:rPr>
        <w:t>Provide additional justification for any questions of a sensitive nature, such as sexual behavior and attitudes, religious beliefs, and other matters that are commonly considered private</w:t>
      </w:r>
      <w:r w:rsidRPr="008B27F8">
        <w:rPr>
          <w:b/>
          <w:bCs/>
          <w:sz w:val="24"/>
          <w:szCs w:val="24"/>
        </w:rPr>
        <w:t>.</w:t>
      </w:r>
    </w:p>
    <w:p w:rsidRPr="008B27F8" w:rsidR="00D6744B" w:rsidRDefault="00D6744B" w14:paraId="6672752E" w14:textId="77777777">
      <w:pPr>
        <w:rPr>
          <w:sz w:val="24"/>
          <w:szCs w:val="24"/>
        </w:rPr>
      </w:pPr>
    </w:p>
    <w:p w:rsidRPr="008B27F8" w:rsidR="004F26E9" w:rsidRDefault="00DC5A23" w14:paraId="50065B59" w14:textId="77777777">
      <w:pPr>
        <w:rPr>
          <w:sz w:val="24"/>
          <w:szCs w:val="24"/>
        </w:rPr>
      </w:pPr>
      <w:r w:rsidRPr="008B27F8">
        <w:rPr>
          <w:sz w:val="24"/>
          <w:szCs w:val="24"/>
        </w:rPr>
        <w:t xml:space="preserve">The survey </w:t>
      </w:r>
      <w:r w:rsidRPr="008B27F8" w:rsidR="005079A8">
        <w:rPr>
          <w:sz w:val="24"/>
          <w:szCs w:val="24"/>
        </w:rPr>
        <w:t>does not include</w:t>
      </w:r>
      <w:r w:rsidRPr="008B27F8">
        <w:rPr>
          <w:sz w:val="24"/>
          <w:szCs w:val="24"/>
        </w:rPr>
        <w:t xml:space="preserve"> questions on sexual behavior, attitudes, beliefs, or other private information.</w:t>
      </w:r>
    </w:p>
    <w:p w:rsidRPr="008B27F8" w:rsidR="00E917C0" w:rsidRDefault="00E917C0" w14:paraId="1EEB45EB" w14:textId="77777777">
      <w:pPr>
        <w:rPr>
          <w:b/>
          <w:bCs/>
          <w:sz w:val="24"/>
          <w:szCs w:val="24"/>
        </w:rPr>
      </w:pPr>
    </w:p>
    <w:p w:rsidRPr="008B27F8" w:rsidR="004F26E9" w:rsidRDefault="004F26E9" w14:paraId="42E60104" w14:textId="77777777">
      <w:pPr>
        <w:rPr>
          <w:sz w:val="24"/>
          <w:szCs w:val="24"/>
        </w:rPr>
      </w:pPr>
      <w:r w:rsidRPr="008B27F8">
        <w:rPr>
          <w:b/>
          <w:bCs/>
          <w:sz w:val="24"/>
          <w:szCs w:val="24"/>
        </w:rPr>
        <w:t xml:space="preserve">12.  </w:t>
      </w:r>
      <w:r w:rsidRPr="008B27F8">
        <w:rPr>
          <w:b/>
          <w:bCs/>
          <w:sz w:val="24"/>
          <w:szCs w:val="24"/>
          <w:u w:val="single"/>
        </w:rPr>
        <w:t>Provide an estimate in hours of the burden of the collection of information</w:t>
      </w:r>
      <w:r w:rsidRPr="008B27F8">
        <w:rPr>
          <w:b/>
          <w:bCs/>
          <w:sz w:val="24"/>
          <w:szCs w:val="24"/>
        </w:rPr>
        <w:t>.</w:t>
      </w:r>
    </w:p>
    <w:p w:rsidRPr="008B27F8" w:rsidR="00D6744B" w:rsidP="00A66151" w:rsidRDefault="00D6744B" w14:paraId="0CC1DC95" w14:textId="77777777">
      <w:pPr>
        <w:rPr>
          <w:sz w:val="24"/>
          <w:szCs w:val="24"/>
        </w:rPr>
      </w:pPr>
    </w:p>
    <w:p w:rsidRPr="008B27F8" w:rsidR="00A66151" w:rsidP="00A66151" w:rsidRDefault="00A66151" w14:paraId="043809B6" w14:textId="18CB51AB">
      <w:pPr>
        <w:rPr>
          <w:sz w:val="24"/>
          <w:szCs w:val="24"/>
        </w:rPr>
      </w:pPr>
      <w:r w:rsidRPr="008B27F8">
        <w:rPr>
          <w:sz w:val="24"/>
          <w:szCs w:val="24"/>
        </w:rPr>
        <w:t xml:space="preserve">The public reporting burden for this voluntary collection of information is estimated to average </w:t>
      </w:r>
      <w:r w:rsidRPr="008B27F8" w:rsidR="00D21B68">
        <w:rPr>
          <w:sz w:val="24"/>
          <w:szCs w:val="24"/>
        </w:rPr>
        <w:t>one</w:t>
      </w:r>
      <w:r w:rsidRPr="008B27F8">
        <w:rPr>
          <w:sz w:val="24"/>
          <w:szCs w:val="24"/>
        </w:rPr>
        <w:t xml:space="preserve"> (</w:t>
      </w:r>
      <w:r w:rsidRPr="008B27F8" w:rsidR="00D21B68">
        <w:rPr>
          <w:sz w:val="24"/>
          <w:szCs w:val="24"/>
        </w:rPr>
        <w:t>1) hour</w:t>
      </w:r>
      <w:r w:rsidRPr="008B27F8">
        <w:rPr>
          <w:sz w:val="24"/>
          <w:szCs w:val="24"/>
        </w:rPr>
        <w:t xml:space="preserve"> per respondent. This includes the time required to read the introductory statement and the gathering of business information necessary to complete the survey</w:t>
      </w:r>
      <w:r w:rsidRPr="008B27F8" w:rsidR="00D21B68">
        <w:rPr>
          <w:sz w:val="24"/>
          <w:szCs w:val="24"/>
        </w:rPr>
        <w:t>, set up and meet with the contractor</w:t>
      </w:r>
      <w:r w:rsidRPr="008B27F8">
        <w:rPr>
          <w:sz w:val="24"/>
          <w:szCs w:val="24"/>
        </w:rPr>
        <w:t>. The response rate is expected to be</w:t>
      </w:r>
      <w:r w:rsidRPr="008B27F8" w:rsidR="005C2E45">
        <w:rPr>
          <w:sz w:val="24"/>
          <w:szCs w:val="24"/>
        </w:rPr>
        <w:t xml:space="preserve"> </w:t>
      </w:r>
      <w:r w:rsidRPr="008B27F8" w:rsidR="004A654C">
        <w:rPr>
          <w:sz w:val="24"/>
          <w:szCs w:val="24"/>
        </w:rPr>
        <w:t>near</w:t>
      </w:r>
      <w:r w:rsidRPr="008B27F8" w:rsidR="005C2E45">
        <w:rPr>
          <w:sz w:val="24"/>
          <w:szCs w:val="24"/>
        </w:rPr>
        <w:t xml:space="preserve"> </w:t>
      </w:r>
      <w:r w:rsidRPr="008B27F8" w:rsidR="00D21B68">
        <w:rPr>
          <w:sz w:val="24"/>
          <w:szCs w:val="24"/>
        </w:rPr>
        <w:t>5</w:t>
      </w:r>
      <w:r w:rsidR="00AA6EDC">
        <w:rPr>
          <w:sz w:val="24"/>
          <w:szCs w:val="24"/>
        </w:rPr>
        <w:t>7</w:t>
      </w:r>
      <w:r w:rsidRPr="008B27F8">
        <w:rPr>
          <w:sz w:val="24"/>
          <w:szCs w:val="24"/>
        </w:rPr>
        <w:t xml:space="preserve">%, resulting in approximately </w:t>
      </w:r>
      <w:r w:rsidR="00AA6EDC">
        <w:rPr>
          <w:sz w:val="24"/>
          <w:szCs w:val="24"/>
        </w:rPr>
        <w:t>17</w:t>
      </w:r>
      <w:r w:rsidRPr="008B27F8" w:rsidR="00211315">
        <w:rPr>
          <w:sz w:val="24"/>
          <w:szCs w:val="24"/>
        </w:rPr>
        <w:t xml:space="preserve"> </w:t>
      </w:r>
      <w:r w:rsidRPr="008B27F8" w:rsidR="00B9305E">
        <w:rPr>
          <w:sz w:val="24"/>
          <w:szCs w:val="24"/>
        </w:rPr>
        <w:t xml:space="preserve">completed </w:t>
      </w:r>
      <w:r w:rsidRPr="008B27F8">
        <w:rPr>
          <w:sz w:val="24"/>
          <w:szCs w:val="24"/>
        </w:rPr>
        <w:t xml:space="preserve">surveys.  As a result, the survey is expected to impose a total of </w:t>
      </w:r>
      <w:r w:rsidR="00AA6EDC">
        <w:rPr>
          <w:sz w:val="24"/>
          <w:szCs w:val="24"/>
        </w:rPr>
        <w:t>17</w:t>
      </w:r>
      <w:r w:rsidRPr="008B27F8" w:rsidR="00211315">
        <w:rPr>
          <w:sz w:val="24"/>
          <w:szCs w:val="24"/>
        </w:rPr>
        <w:t xml:space="preserve"> </w:t>
      </w:r>
      <w:r w:rsidRPr="008B27F8">
        <w:rPr>
          <w:sz w:val="24"/>
          <w:szCs w:val="24"/>
        </w:rPr>
        <w:t>burden hours on the U.S. West Coast commercial</w:t>
      </w:r>
      <w:r w:rsidRPr="008B27F8" w:rsidR="002C1B0E">
        <w:rPr>
          <w:sz w:val="24"/>
          <w:szCs w:val="24"/>
        </w:rPr>
        <w:t xml:space="preserve"> swordfish</w:t>
      </w:r>
      <w:r w:rsidRPr="008B27F8">
        <w:rPr>
          <w:sz w:val="24"/>
          <w:szCs w:val="24"/>
        </w:rPr>
        <w:t xml:space="preserve"> </w:t>
      </w:r>
      <w:r w:rsidRPr="008B27F8" w:rsidR="00F56C90">
        <w:rPr>
          <w:sz w:val="24"/>
          <w:szCs w:val="24"/>
        </w:rPr>
        <w:t xml:space="preserve">fishing </w:t>
      </w:r>
      <w:r w:rsidRPr="008B27F8">
        <w:rPr>
          <w:sz w:val="24"/>
          <w:szCs w:val="24"/>
        </w:rPr>
        <w:t>industry.</w:t>
      </w:r>
    </w:p>
    <w:p w:rsidRPr="008B27F8" w:rsidR="00A66151" w:rsidP="00A66151" w:rsidRDefault="00A66151" w14:paraId="74D94CD4" w14:textId="77777777">
      <w:pPr>
        <w:rPr>
          <w:sz w:val="24"/>
          <w:szCs w:val="24"/>
        </w:rPr>
      </w:pPr>
    </w:p>
    <w:p w:rsidRPr="008B27F8" w:rsidR="00A66151" w:rsidP="00A66151" w:rsidRDefault="00A66151" w14:paraId="4F654651" w14:textId="57085B4D">
      <w:pPr>
        <w:rPr>
          <w:sz w:val="24"/>
          <w:szCs w:val="24"/>
        </w:rPr>
      </w:pPr>
      <w:r w:rsidRPr="008B27F8">
        <w:rPr>
          <w:sz w:val="24"/>
          <w:szCs w:val="24"/>
        </w:rPr>
        <w:t>Approximate total number of participants</w:t>
      </w:r>
      <w:r w:rsidRPr="008B27F8">
        <w:rPr>
          <w:sz w:val="24"/>
          <w:szCs w:val="24"/>
        </w:rPr>
        <w:tab/>
      </w:r>
      <w:r w:rsidR="00AA6EDC">
        <w:rPr>
          <w:sz w:val="24"/>
          <w:szCs w:val="24"/>
        </w:rPr>
        <w:t>30</w:t>
      </w:r>
    </w:p>
    <w:p w:rsidRPr="008B27F8" w:rsidR="00A66151" w:rsidP="00A66151" w:rsidRDefault="008E4604" w14:paraId="7B478171" w14:textId="256EF609">
      <w:pPr>
        <w:rPr>
          <w:sz w:val="24"/>
          <w:szCs w:val="24"/>
        </w:rPr>
      </w:pPr>
      <w:r w:rsidRPr="008B27F8">
        <w:rPr>
          <w:sz w:val="24"/>
          <w:szCs w:val="24"/>
        </w:rPr>
        <w:t>Approximate sa</w:t>
      </w:r>
      <w:r w:rsidRPr="008B27F8" w:rsidR="00A66151">
        <w:rPr>
          <w:sz w:val="24"/>
          <w:szCs w:val="24"/>
        </w:rPr>
        <w:t>mple size</w:t>
      </w:r>
      <w:r w:rsidRPr="008B27F8" w:rsidR="00A66151">
        <w:rPr>
          <w:sz w:val="24"/>
          <w:szCs w:val="24"/>
        </w:rPr>
        <w:tab/>
      </w:r>
      <w:r w:rsidRPr="008B27F8" w:rsidR="00A66151">
        <w:rPr>
          <w:sz w:val="24"/>
          <w:szCs w:val="24"/>
        </w:rPr>
        <w:tab/>
      </w:r>
      <w:r w:rsidRPr="008B27F8" w:rsidR="005079A8">
        <w:rPr>
          <w:sz w:val="24"/>
          <w:szCs w:val="24"/>
        </w:rPr>
        <w:tab/>
      </w:r>
      <w:r w:rsidR="00AA6EDC">
        <w:rPr>
          <w:sz w:val="24"/>
          <w:szCs w:val="24"/>
        </w:rPr>
        <w:t>30</w:t>
      </w:r>
    </w:p>
    <w:p w:rsidRPr="008B27F8" w:rsidR="00A66151" w:rsidP="00A66151" w:rsidRDefault="005C2E45" w14:paraId="013DBB19" w14:textId="011FF212">
      <w:pPr>
        <w:rPr>
          <w:sz w:val="24"/>
          <w:szCs w:val="24"/>
        </w:rPr>
      </w:pPr>
      <w:r w:rsidRPr="008B27F8">
        <w:rPr>
          <w:sz w:val="24"/>
          <w:szCs w:val="24"/>
        </w:rPr>
        <w:lastRenderedPageBreak/>
        <w:t>Approximate e</w:t>
      </w:r>
      <w:r w:rsidRPr="008B27F8" w:rsidR="00A66151">
        <w:rPr>
          <w:sz w:val="24"/>
          <w:szCs w:val="24"/>
        </w:rPr>
        <w:t>xpected survey response rate</w:t>
      </w:r>
      <w:r w:rsidRPr="008B27F8" w:rsidR="00A66151">
        <w:rPr>
          <w:sz w:val="24"/>
          <w:szCs w:val="24"/>
        </w:rPr>
        <w:tab/>
      </w:r>
      <w:r w:rsidR="00AA6EDC">
        <w:rPr>
          <w:sz w:val="24"/>
          <w:szCs w:val="24"/>
        </w:rPr>
        <w:t>57</w:t>
      </w:r>
      <w:r w:rsidRPr="008B27F8" w:rsidR="00A66151">
        <w:rPr>
          <w:sz w:val="24"/>
          <w:szCs w:val="24"/>
        </w:rPr>
        <w:t>%</w:t>
      </w:r>
    </w:p>
    <w:p w:rsidRPr="008B27F8" w:rsidR="00A66151" w:rsidP="00A66151" w:rsidRDefault="008F2CDB" w14:paraId="383F690D" w14:textId="5375DBED">
      <w:pPr>
        <w:rPr>
          <w:sz w:val="24"/>
          <w:szCs w:val="24"/>
        </w:rPr>
      </w:pPr>
      <w:r w:rsidRPr="008B27F8">
        <w:rPr>
          <w:sz w:val="24"/>
          <w:szCs w:val="24"/>
        </w:rPr>
        <w:t>Approximate e</w:t>
      </w:r>
      <w:r w:rsidRPr="008B27F8" w:rsidR="00A66151">
        <w:rPr>
          <w:sz w:val="24"/>
          <w:szCs w:val="24"/>
        </w:rPr>
        <w:t xml:space="preserve">xpected </w:t>
      </w:r>
      <w:r w:rsidRPr="008B27F8">
        <w:rPr>
          <w:sz w:val="24"/>
          <w:szCs w:val="24"/>
        </w:rPr>
        <w:t xml:space="preserve"># </w:t>
      </w:r>
      <w:r w:rsidRPr="008B27F8" w:rsidR="00A66151">
        <w:rPr>
          <w:sz w:val="24"/>
          <w:szCs w:val="24"/>
        </w:rPr>
        <w:t>survey respondents</w:t>
      </w:r>
      <w:r w:rsidRPr="008B27F8" w:rsidR="00A66151">
        <w:rPr>
          <w:sz w:val="24"/>
          <w:szCs w:val="24"/>
        </w:rPr>
        <w:tab/>
      </w:r>
      <w:r w:rsidR="00211315">
        <w:rPr>
          <w:sz w:val="24"/>
          <w:szCs w:val="24"/>
        </w:rPr>
        <w:t>17</w:t>
      </w:r>
    </w:p>
    <w:p w:rsidRPr="008B27F8" w:rsidR="00A66151" w:rsidP="00A66151" w:rsidRDefault="00A66151" w14:paraId="73ADEFB0" w14:textId="77777777">
      <w:pPr>
        <w:rPr>
          <w:sz w:val="24"/>
          <w:szCs w:val="24"/>
        </w:rPr>
      </w:pPr>
      <w:r w:rsidRPr="008B27F8">
        <w:rPr>
          <w:sz w:val="24"/>
          <w:szCs w:val="24"/>
        </w:rPr>
        <w:t>Average burden hours/survey</w:t>
      </w:r>
      <w:r w:rsidRPr="008B27F8">
        <w:rPr>
          <w:sz w:val="24"/>
          <w:szCs w:val="24"/>
        </w:rPr>
        <w:tab/>
      </w:r>
      <w:r w:rsidRPr="008B27F8">
        <w:rPr>
          <w:sz w:val="24"/>
          <w:szCs w:val="24"/>
        </w:rPr>
        <w:tab/>
      </w:r>
      <w:r w:rsidRPr="008B27F8" w:rsidR="005079A8">
        <w:rPr>
          <w:sz w:val="24"/>
          <w:szCs w:val="24"/>
        </w:rPr>
        <w:tab/>
      </w:r>
      <w:r w:rsidRPr="008B27F8" w:rsidR="003E23FD">
        <w:rPr>
          <w:sz w:val="24"/>
          <w:szCs w:val="24"/>
        </w:rPr>
        <w:t xml:space="preserve">1 </w:t>
      </w:r>
      <w:r w:rsidRPr="008B27F8" w:rsidR="00D21B68">
        <w:rPr>
          <w:sz w:val="24"/>
          <w:szCs w:val="24"/>
        </w:rPr>
        <w:t>hour</w:t>
      </w:r>
    </w:p>
    <w:p w:rsidRPr="008B27F8" w:rsidR="004F26E9" w:rsidRDefault="00A66151" w14:paraId="72D121AE" w14:textId="3C789941">
      <w:pPr>
        <w:rPr>
          <w:sz w:val="24"/>
          <w:szCs w:val="24"/>
        </w:rPr>
      </w:pPr>
      <w:r w:rsidRPr="008B27F8">
        <w:rPr>
          <w:sz w:val="24"/>
          <w:szCs w:val="24"/>
        </w:rPr>
        <w:t>Total annual burden hours</w:t>
      </w:r>
      <w:r w:rsidRPr="008B27F8">
        <w:rPr>
          <w:sz w:val="24"/>
          <w:szCs w:val="24"/>
        </w:rPr>
        <w:tab/>
      </w:r>
      <w:r w:rsidRPr="008B27F8">
        <w:rPr>
          <w:sz w:val="24"/>
          <w:szCs w:val="24"/>
        </w:rPr>
        <w:tab/>
      </w:r>
      <w:r w:rsidRPr="008B27F8">
        <w:rPr>
          <w:sz w:val="24"/>
          <w:szCs w:val="24"/>
        </w:rPr>
        <w:tab/>
      </w:r>
      <w:r w:rsidR="00211315">
        <w:rPr>
          <w:sz w:val="24"/>
          <w:szCs w:val="24"/>
        </w:rPr>
        <w:t>17</w:t>
      </w:r>
    </w:p>
    <w:tbl>
      <w:tblPr>
        <w:tblW w:w="11070" w:type="dxa"/>
        <w:tblInd w:w="-370" w:type="dxa"/>
        <w:tblLook w:val="04A0" w:firstRow="1" w:lastRow="0" w:firstColumn="1" w:lastColumn="0" w:noHBand="0" w:noVBand="1"/>
      </w:tblPr>
      <w:tblGrid>
        <w:gridCol w:w="1955"/>
        <w:gridCol w:w="1275"/>
        <w:gridCol w:w="1188"/>
        <w:gridCol w:w="1242"/>
        <w:gridCol w:w="1170"/>
        <w:gridCol w:w="990"/>
        <w:gridCol w:w="1141"/>
        <w:gridCol w:w="1172"/>
        <w:gridCol w:w="937"/>
      </w:tblGrid>
      <w:tr w:rsidRPr="000D49BA" w:rsidR="000D4483" w:rsidTr="000D4483" w14:paraId="7EBB843E" w14:textId="77777777">
        <w:trPr>
          <w:trHeight w:val="932"/>
        </w:trPr>
        <w:tc>
          <w:tcPr>
            <w:tcW w:w="1955" w:type="dxa"/>
            <w:tcBorders>
              <w:top w:val="single" w:color="auto" w:sz="8" w:space="0"/>
              <w:left w:val="single" w:color="auto" w:sz="8" w:space="0"/>
              <w:bottom w:val="single" w:color="auto" w:sz="8" w:space="0"/>
              <w:right w:val="single" w:color="000000" w:sz="8" w:space="0"/>
            </w:tcBorders>
            <w:shd w:val="clear" w:color="auto" w:fill="4472C4" w:themeFill="accent1"/>
            <w:vAlign w:val="center"/>
            <w:hideMark/>
          </w:tcPr>
          <w:p w:rsidRPr="00CA2B37" w:rsidR="008F2C04" w:rsidP="004050B9" w:rsidRDefault="008F2C04" w14:paraId="5F89B7A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75" w:type="dxa"/>
            <w:tcBorders>
              <w:top w:val="single" w:color="auto" w:sz="8" w:space="0"/>
              <w:left w:val="nil"/>
              <w:bottom w:val="single" w:color="auto" w:sz="8" w:space="0"/>
              <w:right w:val="single" w:color="000000" w:sz="8" w:space="0"/>
            </w:tcBorders>
            <w:shd w:val="clear" w:color="auto" w:fill="4472C4" w:themeFill="accent1"/>
            <w:vAlign w:val="center"/>
            <w:hideMark/>
          </w:tcPr>
          <w:p w:rsidRPr="00CA2B37" w:rsidR="008F2C04" w:rsidP="004050B9" w:rsidRDefault="008F2C04" w14:paraId="4157BEB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4472C4" w:themeFill="accent1"/>
            <w:vAlign w:val="center"/>
            <w:hideMark/>
          </w:tcPr>
          <w:p w:rsidR="008F2C04" w:rsidP="004050B9" w:rsidRDefault="008F2C04" w14:paraId="5E3C30A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8F2C04" w:rsidP="004050B9" w:rsidRDefault="008F2C04" w14:paraId="4624072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242" w:type="dxa"/>
            <w:tcBorders>
              <w:top w:val="single" w:color="auto" w:sz="8" w:space="0"/>
              <w:left w:val="nil"/>
              <w:bottom w:val="single" w:color="auto" w:sz="8" w:space="0"/>
              <w:right w:val="single" w:color="auto" w:sz="8" w:space="0"/>
            </w:tcBorders>
            <w:shd w:val="clear" w:color="auto" w:fill="4472C4" w:themeFill="accent1"/>
            <w:vAlign w:val="center"/>
            <w:hideMark/>
          </w:tcPr>
          <w:p w:rsidR="008F2C04" w:rsidP="004050B9" w:rsidRDefault="008F2C04" w14:paraId="6F34619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8F2C04" w:rsidP="004050B9" w:rsidRDefault="008F2C04" w14:paraId="47912E6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170" w:type="dxa"/>
            <w:tcBorders>
              <w:top w:val="single" w:color="auto" w:sz="8" w:space="0"/>
              <w:left w:val="nil"/>
              <w:bottom w:val="single" w:color="auto" w:sz="8" w:space="0"/>
              <w:right w:val="single" w:color="auto" w:sz="8" w:space="0"/>
            </w:tcBorders>
            <w:shd w:val="clear" w:color="auto" w:fill="4472C4" w:themeFill="accent1"/>
            <w:vAlign w:val="center"/>
            <w:hideMark/>
          </w:tcPr>
          <w:p w:rsidR="008F2C04" w:rsidP="004050B9" w:rsidRDefault="008F2C04" w14:paraId="27AD2C8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Pr="00CA2B37" w:rsidR="008F2C04" w:rsidP="004050B9" w:rsidRDefault="008F2C04" w14:paraId="3993445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990" w:type="dxa"/>
            <w:tcBorders>
              <w:top w:val="single" w:color="auto" w:sz="8" w:space="0"/>
              <w:left w:val="nil"/>
              <w:bottom w:val="single" w:color="auto" w:sz="8" w:space="0"/>
              <w:right w:val="single" w:color="auto" w:sz="8" w:space="0"/>
            </w:tcBorders>
            <w:shd w:val="clear" w:color="auto" w:fill="4472C4" w:themeFill="accent1"/>
            <w:vAlign w:val="center"/>
            <w:hideMark/>
          </w:tcPr>
          <w:p w:rsidR="008F2C04" w:rsidP="004050B9" w:rsidRDefault="008F2C04" w14:paraId="61B08D2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8F2C04" w:rsidP="004050B9" w:rsidRDefault="008F2C04" w14:paraId="4D23CDB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41" w:type="dxa"/>
            <w:tcBorders>
              <w:top w:val="single" w:color="auto" w:sz="8" w:space="0"/>
              <w:left w:val="nil"/>
              <w:bottom w:val="single" w:color="auto" w:sz="8" w:space="0"/>
              <w:right w:val="single" w:color="auto" w:sz="8" w:space="0"/>
            </w:tcBorders>
            <w:shd w:val="clear" w:color="auto" w:fill="4472C4" w:themeFill="accent1"/>
            <w:vAlign w:val="center"/>
            <w:hideMark/>
          </w:tcPr>
          <w:p w:rsidR="008F2C04" w:rsidP="004050B9" w:rsidRDefault="008F2C04" w14:paraId="71978FF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8F2C04" w:rsidP="004050B9" w:rsidRDefault="008F2C04" w14:paraId="5E7AD03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172" w:type="dxa"/>
            <w:tcBorders>
              <w:top w:val="single" w:color="auto" w:sz="8" w:space="0"/>
              <w:left w:val="nil"/>
              <w:bottom w:val="single" w:color="auto" w:sz="8" w:space="0"/>
              <w:right w:val="single" w:color="auto" w:sz="8" w:space="0"/>
            </w:tcBorders>
            <w:shd w:val="clear" w:color="auto" w:fill="4472C4" w:themeFill="accent1"/>
            <w:vAlign w:val="center"/>
            <w:hideMark/>
          </w:tcPr>
          <w:p w:rsidR="008F2C04" w:rsidP="004050B9" w:rsidRDefault="008F2C04" w14:paraId="2891E38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p w:rsidRPr="00CA2B37" w:rsidR="008F2C04" w:rsidP="004050B9" w:rsidRDefault="008F2C04" w14:paraId="7FD1C7C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937" w:type="dxa"/>
            <w:tcBorders>
              <w:top w:val="single" w:color="auto" w:sz="8" w:space="0"/>
              <w:left w:val="nil"/>
              <w:bottom w:val="single" w:color="auto" w:sz="8" w:space="0"/>
              <w:right w:val="single" w:color="auto" w:sz="8" w:space="0"/>
            </w:tcBorders>
            <w:shd w:val="clear" w:color="auto" w:fill="4472C4" w:themeFill="accent1"/>
            <w:vAlign w:val="center"/>
            <w:hideMark/>
          </w:tcPr>
          <w:p w:rsidR="008F2C04" w:rsidP="004050B9" w:rsidRDefault="008F2C04" w14:paraId="2DEAA13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8F2C04" w:rsidP="004050B9" w:rsidRDefault="008F2C04" w14:paraId="1D37BF8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8F2C04" w:rsidTr="000D4483" w14:paraId="2E0DAD02" w14:textId="77777777">
        <w:trPr>
          <w:trHeight w:val="245"/>
        </w:trPr>
        <w:tc>
          <w:tcPr>
            <w:tcW w:w="1955" w:type="dxa"/>
            <w:tcBorders>
              <w:top w:val="nil"/>
              <w:left w:val="single" w:color="auto" w:sz="8" w:space="0"/>
              <w:bottom w:val="single" w:color="auto" w:sz="4" w:space="0"/>
              <w:right w:val="single" w:color="auto" w:sz="4" w:space="0"/>
            </w:tcBorders>
            <w:shd w:val="clear" w:color="auto" w:fill="auto"/>
            <w:vAlign w:val="bottom"/>
            <w:hideMark/>
          </w:tcPr>
          <w:p w:rsidRPr="00CA2B37" w:rsidR="008F2C04" w:rsidP="004050B9" w:rsidRDefault="008F2C04" w14:paraId="7ACD356E" w14:textId="065E26F2">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B1396E">
              <w:rPr>
                <w:rFonts w:ascii="Calibri" w:hAnsi="Calibri" w:cs="Calibri"/>
                <w:color w:val="000000"/>
                <w:sz w:val="16"/>
                <w:szCs w:val="16"/>
              </w:rPr>
              <w:t>Cost and Earnings Survey</w:t>
            </w:r>
          </w:p>
        </w:tc>
        <w:tc>
          <w:tcPr>
            <w:tcW w:w="1275" w:type="dxa"/>
            <w:tcBorders>
              <w:top w:val="nil"/>
              <w:left w:val="nil"/>
              <w:bottom w:val="single" w:color="auto" w:sz="4" w:space="0"/>
              <w:right w:val="single" w:color="auto" w:sz="4" w:space="0"/>
            </w:tcBorders>
            <w:shd w:val="clear" w:color="auto" w:fill="auto"/>
            <w:vAlign w:val="bottom"/>
            <w:hideMark/>
          </w:tcPr>
          <w:p w:rsidRPr="00CA2B37" w:rsidR="008F2C04" w:rsidP="004050B9" w:rsidRDefault="004346C2" w14:paraId="2D87C75B" w14:textId="1CFB740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Captain</w:t>
            </w:r>
            <w:r w:rsidR="000D4483">
              <w:rPr>
                <w:rFonts w:ascii="Calibri" w:hAnsi="Calibri" w:cs="Calibri"/>
                <w:color w:val="000000"/>
                <w:sz w:val="16"/>
                <w:szCs w:val="16"/>
              </w:rPr>
              <w:t xml:space="preserve"> </w:t>
            </w:r>
            <w:r>
              <w:rPr>
                <w:rFonts w:ascii="Calibri" w:hAnsi="Calibri" w:cs="Calibri"/>
                <w:color w:val="000000"/>
                <w:sz w:val="16"/>
                <w:szCs w:val="16"/>
              </w:rPr>
              <w:t>/</w:t>
            </w:r>
            <w:r w:rsidR="000D4483">
              <w:rPr>
                <w:rFonts w:ascii="Calibri" w:hAnsi="Calibri" w:cs="Calibri"/>
                <w:color w:val="000000"/>
                <w:sz w:val="16"/>
                <w:szCs w:val="16"/>
              </w:rPr>
              <w:t xml:space="preserve"> </w:t>
            </w:r>
            <w:r>
              <w:rPr>
                <w:rFonts w:ascii="Calibri" w:hAnsi="Calibri" w:cs="Calibri"/>
                <w:color w:val="000000"/>
                <w:sz w:val="16"/>
                <w:szCs w:val="16"/>
              </w:rPr>
              <w:t>Operator</w:t>
            </w:r>
            <w:r w:rsidRPr="00CA2B37" w:rsidR="008F2C04">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8F2C04" w:rsidP="00AA6EDC" w:rsidRDefault="00211315" w14:paraId="4CF7B46A" w14:textId="5977D2F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AA6EDC">
              <w:rPr>
                <w:rFonts w:ascii="Calibri" w:hAnsi="Calibri" w:cs="Calibri"/>
                <w:color w:val="000000"/>
                <w:sz w:val="16"/>
                <w:szCs w:val="16"/>
              </w:rPr>
              <w:t>0</w:t>
            </w:r>
            <w:r w:rsidRPr="00CA2B37">
              <w:rPr>
                <w:rFonts w:ascii="Calibri" w:hAnsi="Calibri" w:cs="Calibri"/>
                <w:color w:val="000000"/>
                <w:sz w:val="16"/>
                <w:szCs w:val="16"/>
              </w:rPr>
              <w:t> </w:t>
            </w:r>
          </w:p>
        </w:tc>
        <w:tc>
          <w:tcPr>
            <w:tcW w:w="1242" w:type="dxa"/>
            <w:tcBorders>
              <w:top w:val="nil"/>
              <w:left w:val="nil"/>
              <w:bottom w:val="single" w:color="auto" w:sz="4" w:space="0"/>
              <w:right w:val="single" w:color="auto" w:sz="4" w:space="0"/>
            </w:tcBorders>
            <w:shd w:val="clear" w:color="auto" w:fill="auto"/>
            <w:vAlign w:val="bottom"/>
            <w:hideMark/>
          </w:tcPr>
          <w:p w:rsidRPr="00CA2B37" w:rsidR="008F2C04" w:rsidP="004050B9" w:rsidRDefault="00B1396E" w14:paraId="55D135DA" w14:textId="6866D2F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AA6EDC">
              <w:rPr>
                <w:rFonts w:ascii="Calibri" w:hAnsi="Calibri" w:cs="Calibri"/>
                <w:color w:val="000000"/>
                <w:sz w:val="16"/>
                <w:szCs w:val="16"/>
              </w:rPr>
              <w:t>7</w:t>
            </w:r>
            <w:r w:rsidRPr="00CA2B37" w:rsidR="008F2C04">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8F2C04" w:rsidP="004050B9" w:rsidRDefault="00211315" w14:paraId="560BC2E3" w14:textId="7EEB8C4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w:t>
            </w:r>
          </w:p>
        </w:tc>
        <w:tc>
          <w:tcPr>
            <w:tcW w:w="990" w:type="dxa"/>
            <w:tcBorders>
              <w:top w:val="nil"/>
              <w:left w:val="nil"/>
              <w:bottom w:val="single" w:color="auto" w:sz="4" w:space="0"/>
              <w:right w:val="single" w:color="auto" w:sz="4" w:space="0"/>
            </w:tcBorders>
            <w:shd w:val="clear" w:color="auto" w:fill="auto"/>
            <w:vAlign w:val="bottom"/>
            <w:hideMark/>
          </w:tcPr>
          <w:p w:rsidRPr="00CA2B37" w:rsidR="008F2C04" w:rsidP="004050B9" w:rsidRDefault="00B1396E" w14:paraId="1C405E60" w14:textId="64977AE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41" w:type="dxa"/>
            <w:tcBorders>
              <w:top w:val="nil"/>
              <w:left w:val="nil"/>
              <w:bottom w:val="single" w:color="auto" w:sz="4" w:space="0"/>
              <w:right w:val="single" w:color="auto" w:sz="4" w:space="0"/>
            </w:tcBorders>
            <w:shd w:val="clear" w:color="auto" w:fill="auto"/>
            <w:vAlign w:val="bottom"/>
            <w:hideMark/>
          </w:tcPr>
          <w:p w:rsidRPr="00CA2B37" w:rsidR="008F2C04" w:rsidP="004050B9" w:rsidRDefault="00211315" w14:paraId="6C714F88" w14:textId="3F2F8D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w:t>
            </w:r>
          </w:p>
        </w:tc>
        <w:tc>
          <w:tcPr>
            <w:tcW w:w="1172" w:type="dxa"/>
            <w:tcBorders>
              <w:top w:val="nil"/>
              <w:left w:val="nil"/>
              <w:bottom w:val="single" w:color="auto" w:sz="4" w:space="0"/>
              <w:right w:val="single" w:color="auto" w:sz="4" w:space="0"/>
            </w:tcBorders>
            <w:shd w:val="clear" w:color="auto" w:fill="auto"/>
            <w:noWrap/>
            <w:vAlign w:val="bottom"/>
            <w:hideMark/>
          </w:tcPr>
          <w:p w:rsidRPr="00B1396E" w:rsidR="008F2C04" w:rsidP="004050B9" w:rsidRDefault="00D81AE1" w14:paraId="5204F942" w14:textId="32F5A5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12.92</w:t>
            </w:r>
            <w:r w:rsidRPr="00B1396E" w:rsidR="008F2C04">
              <w:rPr>
                <w:rFonts w:ascii="Calibri" w:hAnsi="Calibri" w:cs="Calibri"/>
                <w:color w:val="000000"/>
                <w:sz w:val="16"/>
                <w:szCs w:val="16"/>
              </w:rPr>
              <w:t> </w:t>
            </w:r>
          </w:p>
        </w:tc>
        <w:tc>
          <w:tcPr>
            <w:tcW w:w="937" w:type="dxa"/>
            <w:tcBorders>
              <w:top w:val="nil"/>
              <w:left w:val="nil"/>
              <w:bottom w:val="single" w:color="auto" w:sz="4" w:space="0"/>
              <w:right w:val="single" w:color="auto" w:sz="8" w:space="0"/>
            </w:tcBorders>
            <w:shd w:val="clear" w:color="auto" w:fill="auto"/>
            <w:noWrap/>
            <w:vAlign w:val="bottom"/>
            <w:hideMark/>
          </w:tcPr>
          <w:p w:rsidRPr="00B1396E" w:rsidR="008F2C04" w:rsidP="004050B9" w:rsidRDefault="00211315" w14:paraId="23DB45B3" w14:textId="5F2340E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220</w:t>
            </w:r>
            <w:r w:rsidRPr="00B1396E" w:rsidR="008F2C04">
              <w:rPr>
                <w:rFonts w:ascii="Calibri" w:hAnsi="Calibri" w:cs="Calibri"/>
                <w:color w:val="000000"/>
                <w:sz w:val="16"/>
                <w:szCs w:val="16"/>
              </w:rPr>
              <w:t> </w:t>
            </w:r>
          </w:p>
        </w:tc>
      </w:tr>
      <w:tr w:rsidRPr="00CA2B37" w:rsidR="000D4483" w:rsidTr="000D4483" w14:paraId="60D2DA40" w14:textId="77777777">
        <w:trPr>
          <w:trHeight w:val="257"/>
        </w:trPr>
        <w:tc>
          <w:tcPr>
            <w:tcW w:w="1955"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8F2C04" w:rsidP="004050B9" w:rsidRDefault="008F2C04" w14:paraId="1D582594"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275" w:type="dxa"/>
            <w:tcBorders>
              <w:top w:val="nil"/>
              <w:left w:val="nil"/>
              <w:bottom w:val="single" w:color="auto" w:sz="8" w:space="0"/>
              <w:right w:val="single" w:color="auto" w:sz="8" w:space="0"/>
            </w:tcBorders>
            <w:shd w:val="clear" w:color="000000" w:fill="000000"/>
            <w:noWrap/>
            <w:vAlign w:val="bottom"/>
            <w:hideMark/>
          </w:tcPr>
          <w:p w:rsidRPr="00CA2B37" w:rsidR="008F2C04" w:rsidP="004050B9" w:rsidRDefault="008F2C04" w14:paraId="59A660A0"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8F2C04" w:rsidP="004050B9" w:rsidRDefault="008F2C04" w14:paraId="5ED5CD5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42" w:type="dxa"/>
            <w:tcBorders>
              <w:top w:val="nil"/>
              <w:left w:val="nil"/>
              <w:bottom w:val="single" w:color="auto" w:sz="8" w:space="0"/>
              <w:right w:val="single" w:color="auto" w:sz="8" w:space="0"/>
            </w:tcBorders>
            <w:shd w:val="clear" w:color="000000" w:fill="000000"/>
            <w:noWrap/>
            <w:vAlign w:val="bottom"/>
            <w:hideMark/>
          </w:tcPr>
          <w:p w:rsidRPr="00CA2B37" w:rsidR="008F2C04" w:rsidP="004050B9" w:rsidRDefault="008F2C04" w14:paraId="4B34508F"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8F2C04" w:rsidP="004050B9" w:rsidRDefault="008F2C04" w14:paraId="31036DBE" w14:textId="49BDB4DD">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677B64">
              <w:rPr>
                <w:rFonts w:ascii="Calibri" w:hAnsi="Calibri" w:cs="Calibri"/>
                <w:b/>
                <w:bCs/>
                <w:color w:val="000000"/>
                <w:sz w:val="22"/>
                <w:szCs w:val="22"/>
              </w:rPr>
              <w:t>17</w:t>
            </w:r>
          </w:p>
        </w:tc>
        <w:tc>
          <w:tcPr>
            <w:tcW w:w="990" w:type="dxa"/>
            <w:tcBorders>
              <w:top w:val="nil"/>
              <w:left w:val="nil"/>
              <w:bottom w:val="single" w:color="auto" w:sz="8" w:space="0"/>
              <w:right w:val="single" w:color="auto" w:sz="8" w:space="0"/>
            </w:tcBorders>
            <w:shd w:val="clear" w:color="000000" w:fill="000000"/>
            <w:noWrap/>
            <w:vAlign w:val="bottom"/>
            <w:hideMark/>
          </w:tcPr>
          <w:p w:rsidRPr="00CA2B37" w:rsidR="008F2C04" w:rsidP="004050B9" w:rsidRDefault="008F2C04" w14:paraId="6B95EC2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41" w:type="dxa"/>
            <w:tcBorders>
              <w:top w:val="nil"/>
              <w:left w:val="nil"/>
              <w:bottom w:val="single" w:color="auto" w:sz="8" w:space="0"/>
              <w:right w:val="single" w:color="auto" w:sz="8" w:space="0"/>
            </w:tcBorders>
            <w:shd w:val="clear" w:color="000000" w:fill="BDD7EE"/>
            <w:noWrap/>
            <w:vAlign w:val="bottom"/>
            <w:hideMark/>
          </w:tcPr>
          <w:p w:rsidRPr="00CA2B37" w:rsidR="008F2C04" w:rsidP="004050B9" w:rsidRDefault="00677B64" w14:paraId="7191CE70" w14:textId="75FDDA03">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17</w:t>
            </w:r>
          </w:p>
        </w:tc>
        <w:tc>
          <w:tcPr>
            <w:tcW w:w="1172" w:type="dxa"/>
            <w:tcBorders>
              <w:top w:val="nil"/>
              <w:left w:val="nil"/>
              <w:bottom w:val="single" w:color="auto" w:sz="8" w:space="0"/>
              <w:right w:val="single" w:color="auto" w:sz="8" w:space="0"/>
            </w:tcBorders>
            <w:shd w:val="clear" w:color="000000" w:fill="000000"/>
            <w:noWrap/>
            <w:vAlign w:val="bottom"/>
            <w:hideMark/>
          </w:tcPr>
          <w:p w:rsidRPr="00CA2B37" w:rsidR="008F2C04" w:rsidP="004050B9" w:rsidRDefault="008F2C04" w14:paraId="01A98E1C"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937" w:type="dxa"/>
            <w:tcBorders>
              <w:top w:val="nil"/>
              <w:left w:val="nil"/>
              <w:bottom w:val="single" w:color="auto" w:sz="8" w:space="0"/>
              <w:right w:val="single" w:color="auto" w:sz="8" w:space="0"/>
            </w:tcBorders>
            <w:shd w:val="clear" w:color="000000" w:fill="BDD7EE"/>
            <w:noWrap/>
            <w:vAlign w:val="bottom"/>
            <w:hideMark/>
          </w:tcPr>
          <w:p w:rsidRPr="00CA2B37" w:rsidR="008F2C04" w:rsidP="00211315" w:rsidRDefault="008F2C04" w14:paraId="60BD7F8B" w14:textId="3A6E63BB">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677B64">
              <w:rPr>
                <w:rFonts w:ascii="Calibri" w:hAnsi="Calibri" w:cs="Calibri"/>
                <w:b/>
                <w:bCs/>
                <w:color w:val="000000"/>
                <w:sz w:val="22"/>
                <w:szCs w:val="22"/>
              </w:rPr>
              <w:t>2</w:t>
            </w:r>
            <w:r w:rsidR="00211315">
              <w:rPr>
                <w:rFonts w:ascii="Calibri" w:hAnsi="Calibri" w:cs="Calibri"/>
                <w:b/>
                <w:bCs/>
                <w:color w:val="000000"/>
                <w:sz w:val="22"/>
                <w:szCs w:val="22"/>
              </w:rPr>
              <w:t>20</w:t>
            </w:r>
          </w:p>
        </w:tc>
      </w:tr>
    </w:tbl>
    <w:p w:rsidRPr="008B27F8" w:rsidR="00A568D2" w:rsidRDefault="00A568D2" w14:paraId="5C05FC08" w14:textId="77777777">
      <w:pPr>
        <w:rPr>
          <w:sz w:val="24"/>
          <w:szCs w:val="24"/>
        </w:rPr>
      </w:pPr>
    </w:p>
    <w:p w:rsidRPr="008B27F8" w:rsidR="004F26E9" w:rsidRDefault="004F26E9" w14:paraId="36FE0FB6" w14:textId="77777777">
      <w:pPr>
        <w:rPr>
          <w:sz w:val="24"/>
          <w:szCs w:val="24"/>
        </w:rPr>
      </w:pPr>
      <w:r w:rsidRPr="008B27F8">
        <w:rPr>
          <w:b/>
          <w:bCs/>
          <w:sz w:val="24"/>
          <w:szCs w:val="24"/>
        </w:rPr>
        <w:t xml:space="preserve">13.  </w:t>
      </w:r>
      <w:r w:rsidRPr="008B27F8">
        <w:rPr>
          <w:b/>
          <w:bCs/>
          <w:sz w:val="24"/>
          <w:szCs w:val="24"/>
          <w:u w:val="single"/>
        </w:rPr>
        <w:t xml:space="preserve">Provide an estimate of the total annual cost burden to the respondents or record-keepers resulting from the collection (excluding the value of the burden hours in </w:t>
      </w:r>
      <w:r w:rsidRPr="008B27F8" w:rsidR="00725C5C">
        <w:rPr>
          <w:b/>
          <w:bCs/>
          <w:sz w:val="24"/>
          <w:szCs w:val="24"/>
          <w:u w:val="single"/>
        </w:rPr>
        <w:t xml:space="preserve">Question </w:t>
      </w:r>
      <w:r w:rsidRPr="008B27F8">
        <w:rPr>
          <w:b/>
          <w:bCs/>
          <w:sz w:val="24"/>
          <w:szCs w:val="24"/>
          <w:u w:val="single"/>
        </w:rPr>
        <w:t>12 above)</w:t>
      </w:r>
      <w:r w:rsidRPr="008B27F8">
        <w:rPr>
          <w:b/>
          <w:bCs/>
          <w:sz w:val="24"/>
          <w:szCs w:val="24"/>
        </w:rPr>
        <w:t>.</w:t>
      </w:r>
    </w:p>
    <w:p w:rsidRPr="008B27F8" w:rsidR="00D6744B" w:rsidRDefault="00D6744B" w14:paraId="4BAD908F" w14:textId="77777777">
      <w:pPr>
        <w:rPr>
          <w:sz w:val="24"/>
          <w:szCs w:val="24"/>
        </w:rPr>
      </w:pPr>
    </w:p>
    <w:p w:rsidRPr="008B27F8" w:rsidR="004F26E9" w:rsidP="00330655" w:rsidRDefault="00B910A1" w14:paraId="5C8F96D0" w14:textId="7ECE71A5">
      <w:pPr>
        <w:rPr>
          <w:sz w:val="24"/>
          <w:szCs w:val="24"/>
        </w:rPr>
      </w:pPr>
      <w:r w:rsidRPr="008B27F8">
        <w:rPr>
          <w:sz w:val="24"/>
          <w:szCs w:val="24"/>
        </w:rPr>
        <w:t xml:space="preserve">No recordkeeping or reporting cost is anticipated </w:t>
      </w:r>
      <w:r w:rsidRPr="008B27F8" w:rsidR="00D21B68">
        <w:rPr>
          <w:sz w:val="24"/>
          <w:szCs w:val="24"/>
        </w:rPr>
        <w:t>as the contractor will meet the respondent at their place of choice.</w:t>
      </w:r>
      <w:r w:rsidR="00330655">
        <w:rPr>
          <w:sz w:val="24"/>
          <w:szCs w:val="24"/>
        </w:rPr>
        <w:t xml:space="preserve"> </w:t>
      </w:r>
      <w:r w:rsidRPr="00330655" w:rsidR="00330655">
        <w:rPr>
          <w:sz w:val="24"/>
          <w:szCs w:val="24"/>
        </w:rPr>
        <w:t>The respondents make purchases of equipment or services as part of customary and usual business or private practices.  They will require no additional such purchases to provide the requested information.</w:t>
      </w:r>
    </w:p>
    <w:p w:rsidRPr="008B27F8" w:rsidR="004F26E9" w:rsidRDefault="004F26E9" w14:paraId="0B9993BD" w14:textId="77777777">
      <w:pPr>
        <w:rPr>
          <w:sz w:val="24"/>
          <w:szCs w:val="24"/>
        </w:rPr>
      </w:pPr>
    </w:p>
    <w:p w:rsidRPr="008B27F8" w:rsidR="004F26E9" w:rsidRDefault="004F26E9" w14:paraId="1DC57BE6" w14:textId="77777777">
      <w:pPr>
        <w:rPr>
          <w:sz w:val="24"/>
          <w:szCs w:val="24"/>
        </w:rPr>
      </w:pPr>
      <w:r w:rsidRPr="008B27F8">
        <w:rPr>
          <w:b/>
          <w:bCs/>
          <w:sz w:val="24"/>
          <w:szCs w:val="24"/>
        </w:rPr>
        <w:t xml:space="preserve">14.  </w:t>
      </w:r>
      <w:r w:rsidRPr="008B27F8">
        <w:rPr>
          <w:b/>
          <w:bCs/>
          <w:sz w:val="24"/>
          <w:szCs w:val="24"/>
          <w:u w:val="single"/>
        </w:rPr>
        <w:t>Provide estimates of annualized cost to the Federal government</w:t>
      </w:r>
      <w:r w:rsidRPr="008B27F8">
        <w:rPr>
          <w:b/>
          <w:bCs/>
          <w:sz w:val="24"/>
          <w:szCs w:val="24"/>
        </w:rPr>
        <w:t>.</w:t>
      </w:r>
    </w:p>
    <w:p w:rsidRPr="008B27F8" w:rsidR="00D6744B" w:rsidRDefault="00D6744B" w14:paraId="3C2EEFE9" w14:textId="77777777">
      <w:pPr>
        <w:rPr>
          <w:sz w:val="24"/>
          <w:szCs w:val="24"/>
        </w:rPr>
      </w:pPr>
    </w:p>
    <w:p w:rsidRPr="008B27F8" w:rsidR="004F26E9" w:rsidRDefault="004B41C2" w14:paraId="6FB690D0" w14:textId="197C5B0A">
      <w:pPr>
        <w:rPr>
          <w:i/>
          <w:sz w:val="24"/>
          <w:szCs w:val="24"/>
        </w:rPr>
      </w:pPr>
      <w:r w:rsidRPr="008B27F8">
        <w:rPr>
          <w:sz w:val="24"/>
          <w:szCs w:val="24"/>
        </w:rPr>
        <w:t>Total estimated cost to the Federal Government will be $</w:t>
      </w:r>
      <w:r w:rsidR="00AA6EDC">
        <w:rPr>
          <w:sz w:val="24"/>
          <w:szCs w:val="24"/>
        </w:rPr>
        <w:t>1</w:t>
      </w:r>
      <w:r w:rsidRPr="008B27F8" w:rsidR="002C7A67">
        <w:rPr>
          <w:sz w:val="24"/>
          <w:szCs w:val="24"/>
        </w:rPr>
        <w:t>0,000</w:t>
      </w:r>
      <w:r w:rsidRPr="008B27F8" w:rsidR="003F1A7C">
        <w:rPr>
          <w:sz w:val="24"/>
          <w:szCs w:val="24"/>
        </w:rPr>
        <w:t xml:space="preserve"> </w:t>
      </w:r>
      <w:r w:rsidRPr="008B27F8" w:rsidR="00F56C90">
        <w:rPr>
          <w:sz w:val="24"/>
          <w:szCs w:val="24"/>
        </w:rPr>
        <w:t xml:space="preserve">plus the </w:t>
      </w:r>
      <w:r w:rsidRPr="008B27F8" w:rsidR="002C1B0E">
        <w:rPr>
          <w:sz w:val="24"/>
          <w:szCs w:val="24"/>
        </w:rPr>
        <w:t>cost of time to federal employees involved in the survey effort</w:t>
      </w:r>
      <w:r w:rsidRPr="008B27F8" w:rsidR="00DA4FE4">
        <w:rPr>
          <w:sz w:val="24"/>
          <w:szCs w:val="24"/>
        </w:rPr>
        <w:t xml:space="preserve"> (</w:t>
      </w:r>
      <w:r w:rsidRPr="008B27F8" w:rsidR="005F7BAA">
        <w:rPr>
          <w:sz w:val="24"/>
          <w:szCs w:val="24"/>
        </w:rPr>
        <w:t xml:space="preserve">estimated cost of </w:t>
      </w:r>
      <w:r w:rsidRPr="008B27F8" w:rsidR="00DA4FE4">
        <w:rPr>
          <w:sz w:val="24"/>
          <w:szCs w:val="24"/>
        </w:rPr>
        <w:t>$</w:t>
      </w:r>
      <w:r w:rsidR="00AA6EDC">
        <w:rPr>
          <w:sz w:val="24"/>
          <w:szCs w:val="24"/>
        </w:rPr>
        <w:t>8</w:t>
      </w:r>
      <w:r w:rsidRPr="008B27F8" w:rsidR="00DA4FE4">
        <w:rPr>
          <w:sz w:val="24"/>
          <w:szCs w:val="24"/>
        </w:rPr>
        <w:t>,</w:t>
      </w:r>
      <w:r w:rsidR="00AA6EDC">
        <w:rPr>
          <w:sz w:val="24"/>
          <w:szCs w:val="24"/>
        </w:rPr>
        <w:t>000</w:t>
      </w:r>
      <w:r w:rsidRPr="008B27F8" w:rsidR="00DA4FE4">
        <w:rPr>
          <w:sz w:val="24"/>
          <w:szCs w:val="24"/>
        </w:rPr>
        <w:t>)</w:t>
      </w:r>
      <w:r w:rsidRPr="008B27F8" w:rsidR="002C1B0E">
        <w:rPr>
          <w:sz w:val="24"/>
          <w:szCs w:val="24"/>
        </w:rPr>
        <w:t xml:space="preserve">.  </w:t>
      </w:r>
      <w:r w:rsidRPr="008B27F8" w:rsidR="005B5683">
        <w:rPr>
          <w:sz w:val="24"/>
          <w:szCs w:val="24"/>
        </w:rPr>
        <w:t xml:space="preserve">A private firm, </w:t>
      </w:r>
      <w:proofErr w:type="spellStart"/>
      <w:r w:rsidRPr="008B27F8" w:rsidR="00D21B68">
        <w:rPr>
          <w:sz w:val="24"/>
          <w:szCs w:val="24"/>
        </w:rPr>
        <w:t>Hanan</w:t>
      </w:r>
      <w:proofErr w:type="spellEnd"/>
      <w:r w:rsidRPr="008B27F8" w:rsidR="00D21B68">
        <w:rPr>
          <w:sz w:val="24"/>
          <w:szCs w:val="24"/>
        </w:rPr>
        <w:t xml:space="preserve"> &amp; Associates</w:t>
      </w:r>
      <w:r w:rsidRPr="008B27F8" w:rsidR="005B5683">
        <w:rPr>
          <w:sz w:val="24"/>
          <w:szCs w:val="24"/>
        </w:rPr>
        <w:t>, Inc. has been hired to administer</w:t>
      </w:r>
      <w:r w:rsidRPr="008B27F8" w:rsidR="00DC5BF3">
        <w:rPr>
          <w:sz w:val="24"/>
          <w:szCs w:val="24"/>
        </w:rPr>
        <w:t xml:space="preserve"> and collect the survey</w:t>
      </w:r>
      <w:r w:rsidRPr="008B27F8" w:rsidR="005B5683">
        <w:rPr>
          <w:sz w:val="24"/>
          <w:szCs w:val="24"/>
        </w:rPr>
        <w:t xml:space="preserve">, tabulate the </w:t>
      </w:r>
      <w:r w:rsidRPr="008B27F8" w:rsidR="00DC5BF3">
        <w:rPr>
          <w:sz w:val="24"/>
          <w:szCs w:val="24"/>
        </w:rPr>
        <w:t>survey data</w:t>
      </w:r>
      <w:r w:rsidRPr="008B27F8" w:rsidR="005B5683">
        <w:rPr>
          <w:sz w:val="24"/>
          <w:szCs w:val="24"/>
        </w:rPr>
        <w:t xml:space="preserve">, conduct follow up contacts, and enter and validate the data.  In addition to survey firm contract costs, there will be additional costs for </w:t>
      </w:r>
      <w:r w:rsidRPr="008B27F8">
        <w:rPr>
          <w:sz w:val="24"/>
          <w:szCs w:val="24"/>
        </w:rPr>
        <w:t xml:space="preserve">meetings, project management, </w:t>
      </w:r>
      <w:r w:rsidRPr="008B27F8" w:rsidR="00B95B58">
        <w:rPr>
          <w:sz w:val="24"/>
          <w:szCs w:val="24"/>
        </w:rPr>
        <w:t>and phone</w:t>
      </w:r>
      <w:r w:rsidRPr="008B27F8">
        <w:rPr>
          <w:sz w:val="24"/>
          <w:szCs w:val="24"/>
        </w:rPr>
        <w:t xml:space="preserve"> and email communication</w:t>
      </w:r>
      <w:r w:rsidRPr="008B27F8" w:rsidR="005B5683">
        <w:rPr>
          <w:sz w:val="24"/>
          <w:szCs w:val="24"/>
        </w:rPr>
        <w:t xml:space="preserve"> and for supplies. </w:t>
      </w:r>
      <w:r w:rsidRPr="008B27F8" w:rsidR="005B5683">
        <w:rPr>
          <w:i/>
          <w:sz w:val="24"/>
          <w:szCs w:val="24"/>
        </w:rPr>
        <w:t>A table of itemized costs is presented below.</w:t>
      </w:r>
    </w:p>
    <w:p w:rsidRPr="008B27F8" w:rsidR="00104BFF" w:rsidRDefault="00104BFF" w14:paraId="49DE6D3A" w14:textId="52BD5151">
      <w:pPr>
        <w:rPr>
          <w:i/>
          <w:sz w:val="24"/>
          <w:szCs w:val="24"/>
        </w:rPr>
      </w:pPr>
    </w:p>
    <w:p w:rsidRPr="008B27F8" w:rsidR="004F26E9" w:rsidRDefault="00104BFF" w14:paraId="75113909" w14:textId="057B5378">
      <w:pPr>
        <w:rPr>
          <w:sz w:val="24"/>
          <w:szCs w:val="24"/>
        </w:rPr>
      </w:pPr>
      <w:r w:rsidRPr="008B27F8">
        <w:rPr>
          <w:sz w:val="24"/>
          <w:szCs w:val="24"/>
        </w:rPr>
        <w:t xml:space="preserve">Note does not include </w:t>
      </w:r>
      <w:r w:rsidRPr="008B27F8" w:rsidR="00A72735">
        <w:rPr>
          <w:sz w:val="24"/>
          <w:szCs w:val="24"/>
        </w:rPr>
        <w:t>ECS</w:t>
      </w:r>
      <w:r w:rsidRPr="008B27F8">
        <w:rPr>
          <w:sz w:val="24"/>
          <w:szCs w:val="24"/>
        </w:rPr>
        <w:t xml:space="preserve"> overhead:</w:t>
      </w:r>
    </w:p>
    <w:tbl>
      <w:tblPr>
        <w:tblW w:w="9720" w:type="dxa"/>
        <w:tblInd w:w="108" w:type="dxa"/>
        <w:tblLook w:val="04A0" w:firstRow="1" w:lastRow="0" w:firstColumn="1" w:lastColumn="0" w:noHBand="0" w:noVBand="1"/>
      </w:tblPr>
      <w:tblGrid>
        <w:gridCol w:w="7520"/>
        <w:gridCol w:w="2200"/>
      </w:tblGrid>
      <w:tr w:rsidRPr="004346C2" w:rsidR="003F1A7C" w:rsidTr="004346C2" w14:paraId="2AAC5055" w14:textId="0B4760DC">
        <w:trPr>
          <w:trHeight w:val="222"/>
        </w:trPr>
        <w:tc>
          <w:tcPr>
            <w:tcW w:w="7520" w:type="dxa"/>
            <w:tcBorders>
              <w:top w:val="single" w:color="auto" w:sz="12" w:space="0"/>
              <w:left w:val="single" w:color="auto" w:sz="12" w:space="0"/>
              <w:bottom w:val="single" w:color="auto" w:sz="4" w:space="0"/>
              <w:right w:val="single" w:color="auto" w:sz="4" w:space="0"/>
            </w:tcBorders>
            <w:shd w:val="clear" w:color="auto" w:fill="auto"/>
            <w:noWrap/>
            <w:vAlign w:val="bottom"/>
            <w:hideMark/>
          </w:tcPr>
          <w:p w:rsidRPr="004346C2" w:rsidR="003F1A7C" w:rsidP="003F1A7C" w:rsidRDefault="003F1A7C" w14:paraId="30C60ED9" w14:textId="48059C56">
            <w:pPr>
              <w:widowControl/>
              <w:autoSpaceDE/>
              <w:autoSpaceDN/>
              <w:adjustRightInd/>
              <w:rPr>
                <w:b/>
                <w:bCs/>
                <w:color w:val="000000"/>
              </w:rPr>
            </w:pPr>
            <w:r w:rsidRPr="004346C2">
              <w:rPr>
                <w:b/>
                <w:bCs/>
                <w:color w:val="000000"/>
              </w:rPr>
              <w:t>Description</w:t>
            </w:r>
          </w:p>
        </w:tc>
        <w:tc>
          <w:tcPr>
            <w:tcW w:w="2200" w:type="dxa"/>
            <w:tcBorders>
              <w:top w:val="single" w:color="auto" w:sz="12" w:space="0"/>
              <w:left w:val="nil"/>
              <w:bottom w:val="single" w:color="auto" w:sz="4" w:space="0"/>
              <w:right w:val="single" w:color="000000" w:sz="12" w:space="0"/>
            </w:tcBorders>
            <w:shd w:val="clear" w:color="auto" w:fill="auto"/>
            <w:noWrap/>
            <w:vAlign w:val="bottom"/>
            <w:hideMark/>
          </w:tcPr>
          <w:p w:rsidRPr="004346C2" w:rsidR="003F1A7C" w:rsidP="003F1A7C" w:rsidRDefault="003F1A7C" w14:paraId="393468FC" w14:textId="583F30FE">
            <w:pPr>
              <w:widowControl/>
              <w:autoSpaceDE/>
              <w:autoSpaceDN/>
              <w:adjustRightInd/>
              <w:rPr>
                <w:b/>
                <w:bCs/>
                <w:color w:val="000000"/>
              </w:rPr>
            </w:pPr>
            <w:r w:rsidRPr="004346C2">
              <w:rPr>
                <w:b/>
                <w:bCs/>
                <w:color w:val="000000"/>
              </w:rPr>
              <w:t>Estimated Cost</w:t>
            </w:r>
          </w:p>
        </w:tc>
      </w:tr>
      <w:tr w:rsidRPr="004346C2" w:rsidR="003F1A7C" w:rsidTr="004346C2" w14:paraId="7095858E" w14:textId="4546F32C">
        <w:trPr>
          <w:trHeight w:val="260"/>
        </w:trPr>
        <w:tc>
          <w:tcPr>
            <w:tcW w:w="7520" w:type="dxa"/>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4346C2" w:rsidR="003F1A7C" w:rsidP="003F1A7C" w:rsidRDefault="003F1A7C" w14:paraId="2F929CFB" w14:textId="6FC5F0CD">
            <w:pPr>
              <w:widowControl/>
              <w:autoSpaceDE/>
              <w:autoSpaceDN/>
              <w:adjustRightInd/>
              <w:rPr>
                <w:i/>
                <w:iCs/>
                <w:color w:val="000000"/>
              </w:rPr>
            </w:pPr>
            <w:r w:rsidRPr="004346C2">
              <w:rPr>
                <w:i/>
                <w:iCs/>
                <w:color w:val="000000"/>
              </w:rPr>
              <w:t>Data Collection</w:t>
            </w:r>
          </w:p>
        </w:tc>
        <w:tc>
          <w:tcPr>
            <w:tcW w:w="2200" w:type="dxa"/>
            <w:tcBorders>
              <w:top w:val="single" w:color="auto" w:sz="4" w:space="0"/>
              <w:left w:val="nil"/>
              <w:bottom w:val="single" w:color="auto" w:sz="4" w:space="0"/>
              <w:right w:val="single" w:color="000000" w:sz="12" w:space="0"/>
            </w:tcBorders>
            <w:shd w:val="clear" w:color="auto" w:fill="auto"/>
            <w:noWrap/>
            <w:vAlign w:val="bottom"/>
            <w:hideMark/>
          </w:tcPr>
          <w:p w:rsidRPr="004346C2" w:rsidR="003F1A7C" w:rsidP="003F1A7C" w:rsidRDefault="003F1A7C" w14:paraId="269D0354" w14:textId="698242BB">
            <w:pPr>
              <w:widowControl/>
              <w:autoSpaceDE/>
              <w:autoSpaceDN/>
              <w:adjustRightInd/>
              <w:rPr>
                <w:color w:val="000000"/>
              </w:rPr>
            </w:pPr>
            <w:r w:rsidRPr="004346C2">
              <w:rPr>
                <w:color w:val="000000"/>
              </w:rPr>
              <w:t> </w:t>
            </w:r>
          </w:p>
        </w:tc>
      </w:tr>
      <w:tr w:rsidRPr="004346C2" w:rsidR="003F1A7C" w:rsidTr="004346C2" w14:paraId="5FB73340" w14:textId="64B62194">
        <w:trPr>
          <w:trHeight w:val="260"/>
        </w:trPr>
        <w:tc>
          <w:tcPr>
            <w:tcW w:w="7520" w:type="dxa"/>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4346C2" w:rsidR="003F1A7C" w:rsidP="003F1A7C" w:rsidRDefault="003F1A7C" w14:paraId="333182D6" w14:textId="6934F044">
            <w:pPr>
              <w:widowControl/>
              <w:autoSpaceDE/>
              <w:autoSpaceDN/>
              <w:adjustRightInd/>
              <w:rPr>
                <w:color w:val="000000"/>
              </w:rPr>
            </w:pPr>
            <w:r w:rsidRPr="004346C2">
              <w:rPr>
                <w:color w:val="000000"/>
              </w:rPr>
              <w:t>Outreach to Industry</w:t>
            </w:r>
          </w:p>
        </w:tc>
        <w:tc>
          <w:tcPr>
            <w:tcW w:w="2200" w:type="dxa"/>
            <w:tcBorders>
              <w:top w:val="single" w:color="auto" w:sz="4" w:space="0"/>
              <w:left w:val="nil"/>
              <w:bottom w:val="single" w:color="auto" w:sz="4" w:space="0"/>
              <w:right w:val="single" w:color="000000" w:sz="12" w:space="0"/>
            </w:tcBorders>
            <w:shd w:val="clear" w:color="auto" w:fill="auto"/>
            <w:noWrap/>
            <w:vAlign w:val="bottom"/>
            <w:hideMark/>
          </w:tcPr>
          <w:p w:rsidRPr="004346C2" w:rsidR="003F1A7C" w:rsidP="00AA6EDC" w:rsidRDefault="003F1A7C" w14:paraId="0D75151A" w14:textId="6907A0F1">
            <w:pPr>
              <w:widowControl/>
              <w:autoSpaceDE/>
              <w:autoSpaceDN/>
              <w:adjustRightInd/>
              <w:jc w:val="right"/>
              <w:rPr>
                <w:color w:val="000000"/>
              </w:rPr>
            </w:pPr>
            <w:r w:rsidRPr="004346C2">
              <w:rPr>
                <w:color w:val="000000"/>
              </w:rPr>
              <w:t>$</w:t>
            </w:r>
            <w:r w:rsidRPr="004346C2" w:rsidR="00AA6EDC">
              <w:rPr>
                <w:color w:val="000000"/>
              </w:rPr>
              <w:t>3</w:t>
            </w:r>
            <w:r w:rsidRPr="004346C2">
              <w:rPr>
                <w:color w:val="000000"/>
              </w:rPr>
              <w:t>,500</w:t>
            </w:r>
          </w:p>
        </w:tc>
      </w:tr>
      <w:tr w:rsidRPr="004346C2" w:rsidR="003F1A7C" w:rsidTr="004346C2" w14:paraId="01FDDB2B" w14:textId="646BD226">
        <w:trPr>
          <w:trHeight w:val="260"/>
        </w:trPr>
        <w:tc>
          <w:tcPr>
            <w:tcW w:w="7520" w:type="dxa"/>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4346C2" w:rsidR="003F1A7C" w:rsidP="003F1A7C" w:rsidRDefault="003F1A7C" w14:paraId="12360FEB" w14:textId="47F86C21">
            <w:pPr>
              <w:widowControl/>
              <w:autoSpaceDE/>
              <w:autoSpaceDN/>
              <w:adjustRightInd/>
              <w:rPr>
                <w:color w:val="000000"/>
              </w:rPr>
            </w:pPr>
            <w:r w:rsidRPr="004346C2">
              <w:rPr>
                <w:color w:val="000000"/>
              </w:rPr>
              <w:t>Administrative support</w:t>
            </w:r>
          </w:p>
        </w:tc>
        <w:tc>
          <w:tcPr>
            <w:tcW w:w="2200" w:type="dxa"/>
            <w:tcBorders>
              <w:top w:val="single" w:color="auto" w:sz="4" w:space="0"/>
              <w:left w:val="nil"/>
              <w:bottom w:val="single" w:color="auto" w:sz="4" w:space="0"/>
              <w:right w:val="single" w:color="000000" w:sz="12" w:space="0"/>
            </w:tcBorders>
            <w:shd w:val="clear" w:color="auto" w:fill="auto"/>
            <w:noWrap/>
            <w:vAlign w:val="bottom"/>
            <w:hideMark/>
          </w:tcPr>
          <w:p w:rsidRPr="004346C2" w:rsidR="003F1A7C" w:rsidP="00AA6EDC" w:rsidRDefault="003F1A7C" w14:paraId="3F0D72E7" w14:textId="2E96A605">
            <w:pPr>
              <w:widowControl/>
              <w:autoSpaceDE/>
              <w:autoSpaceDN/>
              <w:adjustRightInd/>
              <w:jc w:val="right"/>
              <w:rPr>
                <w:color w:val="000000"/>
              </w:rPr>
            </w:pPr>
            <w:r w:rsidRPr="004346C2">
              <w:rPr>
                <w:color w:val="000000"/>
              </w:rPr>
              <w:t>$</w:t>
            </w:r>
            <w:r w:rsidRPr="004346C2" w:rsidR="00AA6EDC">
              <w:rPr>
                <w:color w:val="000000"/>
              </w:rPr>
              <w:t>834</w:t>
            </w:r>
          </w:p>
        </w:tc>
      </w:tr>
      <w:tr w:rsidRPr="004346C2" w:rsidR="003F1A7C" w:rsidTr="004346C2" w14:paraId="412CB98B" w14:textId="6499BB52">
        <w:trPr>
          <w:trHeight w:val="260"/>
        </w:trPr>
        <w:tc>
          <w:tcPr>
            <w:tcW w:w="7520" w:type="dxa"/>
            <w:tcBorders>
              <w:top w:val="single" w:color="auto" w:sz="4" w:space="0"/>
              <w:left w:val="single" w:color="auto" w:sz="12" w:space="0"/>
              <w:bottom w:val="single" w:color="auto" w:sz="4" w:space="0"/>
              <w:right w:val="nil"/>
            </w:tcBorders>
            <w:shd w:val="clear" w:color="auto" w:fill="auto"/>
            <w:noWrap/>
            <w:vAlign w:val="bottom"/>
            <w:hideMark/>
          </w:tcPr>
          <w:p w:rsidRPr="004346C2" w:rsidR="003F1A7C" w:rsidP="003F1A7C" w:rsidRDefault="003F1A7C" w14:paraId="02CDAC88" w14:textId="55FBC129">
            <w:pPr>
              <w:widowControl/>
              <w:autoSpaceDE/>
              <w:autoSpaceDN/>
              <w:adjustRightInd/>
              <w:rPr>
                <w:color w:val="000000"/>
              </w:rPr>
            </w:pPr>
            <w:r w:rsidRPr="004346C2">
              <w:rPr>
                <w:color w:val="000000"/>
              </w:rPr>
              <w:t>Administer Personal Survey Interviews</w:t>
            </w:r>
          </w:p>
        </w:tc>
        <w:tc>
          <w:tcPr>
            <w:tcW w:w="2200" w:type="dxa"/>
            <w:tcBorders>
              <w:top w:val="single" w:color="auto" w:sz="4" w:space="0"/>
              <w:left w:val="single" w:color="auto" w:sz="4" w:space="0"/>
              <w:bottom w:val="single" w:color="auto" w:sz="4" w:space="0"/>
              <w:right w:val="single" w:color="000000" w:sz="12" w:space="0"/>
            </w:tcBorders>
            <w:shd w:val="clear" w:color="auto" w:fill="auto"/>
            <w:noWrap/>
            <w:vAlign w:val="bottom"/>
            <w:hideMark/>
          </w:tcPr>
          <w:p w:rsidRPr="004346C2" w:rsidR="003F1A7C" w:rsidP="00AA6EDC" w:rsidRDefault="00074C8D" w14:paraId="2760A1D2" w14:textId="04EBC964">
            <w:pPr>
              <w:widowControl/>
              <w:autoSpaceDE/>
              <w:autoSpaceDN/>
              <w:adjustRightInd/>
              <w:jc w:val="right"/>
              <w:rPr>
                <w:color w:val="000000"/>
              </w:rPr>
            </w:pPr>
            <w:r w:rsidRPr="004346C2">
              <w:rPr>
                <w:color w:val="000000"/>
              </w:rPr>
              <w:t>$</w:t>
            </w:r>
            <w:r w:rsidRPr="004346C2" w:rsidR="00AA6EDC">
              <w:rPr>
                <w:color w:val="000000"/>
              </w:rPr>
              <w:t>4,166</w:t>
            </w:r>
          </w:p>
        </w:tc>
      </w:tr>
      <w:tr w:rsidRPr="004346C2" w:rsidR="003F1A7C" w:rsidTr="004346C2" w14:paraId="2F55DC0F" w14:textId="2D345C94">
        <w:trPr>
          <w:trHeight w:val="260"/>
        </w:trPr>
        <w:tc>
          <w:tcPr>
            <w:tcW w:w="7520" w:type="dxa"/>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4346C2" w:rsidR="003F1A7C" w:rsidP="003F1A7C" w:rsidRDefault="003F1A7C" w14:paraId="6BD6EDE6" w14:textId="329F951B">
            <w:pPr>
              <w:widowControl/>
              <w:autoSpaceDE/>
              <w:autoSpaceDN/>
              <w:adjustRightInd/>
              <w:rPr>
                <w:i/>
                <w:iCs/>
                <w:color w:val="000000"/>
              </w:rPr>
            </w:pPr>
            <w:r w:rsidRPr="004346C2">
              <w:rPr>
                <w:i/>
                <w:iCs/>
                <w:color w:val="000000"/>
              </w:rPr>
              <w:t>Data Preparation</w:t>
            </w:r>
          </w:p>
        </w:tc>
        <w:tc>
          <w:tcPr>
            <w:tcW w:w="2200" w:type="dxa"/>
            <w:tcBorders>
              <w:top w:val="single" w:color="auto" w:sz="4" w:space="0"/>
              <w:left w:val="nil"/>
              <w:bottom w:val="single" w:color="auto" w:sz="4" w:space="0"/>
              <w:right w:val="single" w:color="000000" w:sz="12" w:space="0"/>
            </w:tcBorders>
            <w:shd w:val="clear" w:color="auto" w:fill="auto"/>
            <w:noWrap/>
            <w:vAlign w:val="bottom"/>
            <w:hideMark/>
          </w:tcPr>
          <w:p w:rsidRPr="004346C2" w:rsidR="003F1A7C" w:rsidP="003F1A7C" w:rsidRDefault="003F1A7C" w14:paraId="2F7179AE" w14:textId="2AF8FDFB">
            <w:pPr>
              <w:widowControl/>
              <w:autoSpaceDE/>
              <w:autoSpaceDN/>
              <w:adjustRightInd/>
              <w:rPr>
                <w:color w:val="000000"/>
              </w:rPr>
            </w:pPr>
            <w:r w:rsidRPr="004346C2">
              <w:rPr>
                <w:color w:val="000000"/>
              </w:rPr>
              <w:t> </w:t>
            </w:r>
          </w:p>
        </w:tc>
      </w:tr>
      <w:tr w:rsidRPr="004346C2" w:rsidR="003F1A7C" w:rsidTr="004346C2" w14:paraId="4052BDA2" w14:textId="6BF82102">
        <w:trPr>
          <w:trHeight w:val="260"/>
        </w:trPr>
        <w:tc>
          <w:tcPr>
            <w:tcW w:w="7520" w:type="dxa"/>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4346C2" w:rsidR="003F1A7C" w:rsidP="003F1A7C" w:rsidRDefault="003F1A7C" w14:paraId="0BE7E8BE" w14:textId="7D926AC5">
            <w:pPr>
              <w:widowControl/>
              <w:autoSpaceDE/>
              <w:autoSpaceDN/>
              <w:adjustRightInd/>
              <w:rPr>
                <w:color w:val="000000"/>
              </w:rPr>
            </w:pPr>
            <w:r w:rsidRPr="004346C2">
              <w:rPr>
                <w:color w:val="000000"/>
              </w:rPr>
              <w:t xml:space="preserve">Data </w:t>
            </w:r>
            <w:r w:rsidRPr="004346C2" w:rsidR="00D53052">
              <w:rPr>
                <w:color w:val="000000"/>
              </w:rPr>
              <w:t>Entry/</w:t>
            </w:r>
            <w:r w:rsidRPr="004346C2">
              <w:rPr>
                <w:color w:val="000000"/>
              </w:rPr>
              <w:t>Verification/Checks</w:t>
            </w:r>
          </w:p>
        </w:tc>
        <w:tc>
          <w:tcPr>
            <w:tcW w:w="2200" w:type="dxa"/>
            <w:tcBorders>
              <w:top w:val="single" w:color="auto" w:sz="4" w:space="0"/>
              <w:left w:val="nil"/>
              <w:bottom w:val="single" w:color="auto" w:sz="4" w:space="0"/>
              <w:right w:val="single" w:color="000000" w:sz="12" w:space="0"/>
            </w:tcBorders>
            <w:shd w:val="clear" w:color="auto" w:fill="auto"/>
            <w:noWrap/>
            <w:vAlign w:val="bottom"/>
            <w:hideMark/>
          </w:tcPr>
          <w:p w:rsidRPr="004346C2" w:rsidR="003F1A7C" w:rsidP="00AA6EDC" w:rsidRDefault="003F1A7C" w14:paraId="5AD88AD4" w14:textId="473C3633">
            <w:pPr>
              <w:widowControl/>
              <w:autoSpaceDE/>
              <w:autoSpaceDN/>
              <w:adjustRightInd/>
              <w:jc w:val="right"/>
              <w:rPr>
                <w:color w:val="000000"/>
              </w:rPr>
            </w:pPr>
            <w:r w:rsidRPr="004346C2">
              <w:rPr>
                <w:color w:val="000000"/>
              </w:rPr>
              <w:t>$</w:t>
            </w:r>
            <w:r w:rsidRPr="004346C2" w:rsidR="00AA6EDC">
              <w:rPr>
                <w:color w:val="000000"/>
              </w:rPr>
              <w:t>1</w:t>
            </w:r>
            <w:r w:rsidRPr="004346C2">
              <w:rPr>
                <w:color w:val="000000"/>
              </w:rPr>
              <w:t>,500</w:t>
            </w:r>
          </w:p>
        </w:tc>
      </w:tr>
      <w:tr w:rsidRPr="004346C2" w:rsidR="003F1A7C" w:rsidTr="004346C2" w14:paraId="69259F28" w14:textId="5F7341BE">
        <w:trPr>
          <w:trHeight w:val="260"/>
        </w:trPr>
        <w:tc>
          <w:tcPr>
            <w:tcW w:w="7520" w:type="dxa"/>
            <w:tcBorders>
              <w:top w:val="single" w:color="auto" w:sz="4" w:space="0"/>
              <w:left w:val="single" w:color="auto" w:sz="12" w:space="0"/>
              <w:bottom w:val="single" w:color="auto" w:sz="12" w:space="0"/>
              <w:right w:val="single" w:color="auto" w:sz="4" w:space="0"/>
            </w:tcBorders>
            <w:shd w:val="clear" w:color="auto" w:fill="auto"/>
            <w:noWrap/>
            <w:vAlign w:val="bottom"/>
            <w:hideMark/>
          </w:tcPr>
          <w:p w:rsidRPr="004346C2" w:rsidR="003F1A7C" w:rsidP="003F1A7C" w:rsidRDefault="003F1A7C" w14:paraId="4141C8CB" w14:textId="7DC3DDE5">
            <w:pPr>
              <w:widowControl/>
              <w:autoSpaceDE/>
              <w:autoSpaceDN/>
              <w:adjustRightInd/>
              <w:rPr>
                <w:b/>
                <w:bCs/>
                <w:color w:val="000000"/>
              </w:rPr>
            </w:pPr>
            <w:r w:rsidRPr="004346C2">
              <w:rPr>
                <w:b/>
                <w:bCs/>
                <w:color w:val="000000"/>
              </w:rPr>
              <w:t>Total</w:t>
            </w:r>
          </w:p>
        </w:tc>
        <w:tc>
          <w:tcPr>
            <w:tcW w:w="2200" w:type="dxa"/>
            <w:tcBorders>
              <w:top w:val="single" w:color="auto" w:sz="4" w:space="0"/>
              <w:left w:val="nil"/>
              <w:bottom w:val="single" w:color="auto" w:sz="12" w:space="0"/>
              <w:right w:val="single" w:color="000000" w:sz="12" w:space="0"/>
            </w:tcBorders>
            <w:shd w:val="clear" w:color="auto" w:fill="auto"/>
            <w:noWrap/>
            <w:vAlign w:val="bottom"/>
            <w:hideMark/>
          </w:tcPr>
          <w:p w:rsidRPr="004346C2" w:rsidR="003F1A7C" w:rsidP="00AA6EDC" w:rsidRDefault="003F1A7C" w14:paraId="13C0DE87" w14:textId="377004C1">
            <w:pPr>
              <w:widowControl/>
              <w:autoSpaceDE/>
              <w:autoSpaceDN/>
              <w:adjustRightInd/>
              <w:jc w:val="right"/>
              <w:rPr>
                <w:color w:val="000000"/>
              </w:rPr>
            </w:pPr>
            <w:r w:rsidRPr="004346C2">
              <w:rPr>
                <w:color w:val="000000"/>
              </w:rPr>
              <w:t>$</w:t>
            </w:r>
            <w:r w:rsidRPr="004346C2" w:rsidR="00AA6EDC">
              <w:rPr>
                <w:color w:val="000000"/>
              </w:rPr>
              <w:t>10</w:t>
            </w:r>
            <w:r w:rsidRPr="004346C2" w:rsidR="00F56C90">
              <w:rPr>
                <w:color w:val="000000"/>
              </w:rPr>
              <w:t>,000</w:t>
            </w:r>
          </w:p>
        </w:tc>
      </w:tr>
    </w:tbl>
    <w:p w:rsidRPr="008B27F8" w:rsidR="003F1A7C" w:rsidRDefault="003F1A7C" w14:paraId="6357B19F" w14:textId="77777777">
      <w:pPr>
        <w:rPr>
          <w:sz w:val="24"/>
          <w:szCs w:val="24"/>
        </w:rPr>
      </w:pPr>
    </w:p>
    <w:tbl>
      <w:tblPr>
        <w:tblW w:w="9104" w:type="dxa"/>
        <w:tblLook w:val="04A0" w:firstRow="1" w:lastRow="0" w:firstColumn="1" w:lastColumn="0" w:noHBand="0" w:noVBand="1"/>
      </w:tblPr>
      <w:tblGrid>
        <w:gridCol w:w="1798"/>
        <w:gridCol w:w="1478"/>
        <w:gridCol w:w="1395"/>
        <w:gridCol w:w="985"/>
        <w:gridCol w:w="1642"/>
        <w:gridCol w:w="1806"/>
      </w:tblGrid>
      <w:tr w:rsidRPr="00F37052" w:rsidR="00B1396E" w:rsidTr="004346C2" w14:paraId="7001DF34" w14:textId="77777777">
        <w:trPr>
          <w:trHeight w:val="448"/>
        </w:trPr>
        <w:tc>
          <w:tcPr>
            <w:tcW w:w="1798" w:type="dxa"/>
            <w:tcBorders>
              <w:top w:val="single" w:color="auto" w:sz="8" w:space="0"/>
              <w:left w:val="single" w:color="auto" w:sz="8" w:space="0"/>
              <w:bottom w:val="nil"/>
              <w:right w:val="single" w:color="auto" w:sz="8" w:space="0"/>
            </w:tcBorders>
            <w:shd w:val="clear" w:color="auto" w:fill="4472C4" w:themeFill="accent1"/>
            <w:vAlign w:val="center"/>
            <w:hideMark/>
          </w:tcPr>
          <w:p w:rsidRPr="00F37052" w:rsidR="00B1396E" w:rsidP="004050B9" w:rsidRDefault="00B1396E" w14:paraId="17C954B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478" w:type="dxa"/>
            <w:tcBorders>
              <w:top w:val="single" w:color="auto" w:sz="8" w:space="0"/>
              <w:left w:val="nil"/>
              <w:bottom w:val="nil"/>
              <w:right w:val="single" w:color="auto" w:sz="8" w:space="0"/>
            </w:tcBorders>
            <w:shd w:val="clear" w:color="auto" w:fill="4472C4" w:themeFill="accent1"/>
            <w:vAlign w:val="center"/>
            <w:hideMark/>
          </w:tcPr>
          <w:p w:rsidRPr="00F37052" w:rsidR="00B1396E" w:rsidP="004050B9" w:rsidRDefault="00B1396E" w14:paraId="21C3512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395" w:type="dxa"/>
            <w:tcBorders>
              <w:top w:val="single" w:color="auto" w:sz="8" w:space="0"/>
              <w:left w:val="nil"/>
              <w:bottom w:val="nil"/>
              <w:right w:val="single" w:color="auto" w:sz="8" w:space="0"/>
            </w:tcBorders>
            <w:shd w:val="clear" w:color="auto" w:fill="4472C4" w:themeFill="accent1"/>
            <w:vAlign w:val="center"/>
            <w:hideMark/>
          </w:tcPr>
          <w:p w:rsidRPr="00F37052" w:rsidR="00B1396E" w:rsidP="004050B9" w:rsidRDefault="00B1396E" w14:paraId="5D0D6E9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985" w:type="dxa"/>
            <w:tcBorders>
              <w:top w:val="single" w:color="auto" w:sz="8" w:space="0"/>
              <w:left w:val="nil"/>
              <w:bottom w:val="nil"/>
              <w:right w:val="single" w:color="auto" w:sz="8" w:space="0"/>
            </w:tcBorders>
            <w:shd w:val="clear" w:color="auto" w:fill="4472C4" w:themeFill="accent1"/>
            <w:vAlign w:val="center"/>
            <w:hideMark/>
          </w:tcPr>
          <w:p w:rsidRPr="00F37052" w:rsidR="00B1396E" w:rsidP="004050B9" w:rsidRDefault="00B1396E" w14:paraId="6758180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642" w:type="dxa"/>
            <w:tcBorders>
              <w:top w:val="single" w:color="auto" w:sz="8" w:space="0"/>
              <w:left w:val="nil"/>
              <w:bottom w:val="nil"/>
              <w:right w:val="single" w:color="auto" w:sz="8" w:space="0"/>
            </w:tcBorders>
            <w:shd w:val="clear" w:color="auto" w:fill="4472C4" w:themeFill="accent1"/>
            <w:vAlign w:val="center"/>
            <w:hideMark/>
          </w:tcPr>
          <w:p w:rsidRPr="00F37052" w:rsidR="00B1396E" w:rsidP="004050B9" w:rsidRDefault="00B1396E" w14:paraId="399FA75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806" w:type="dxa"/>
            <w:tcBorders>
              <w:top w:val="single" w:color="auto" w:sz="8" w:space="0"/>
              <w:left w:val="nil"/>
              <w:bottom w:val="nil"/>
              <w:right w:val="single" w:color="auto" w:sz="8" w:space="0"/>
            </w:tcBorders>
            <w:shd w:val="clear" w:color="auto" w:fill="4472C4" w:themeFill="accent1"/>
            <w:vAlign w:val="center"/>
            <w:hideMark/>
          </w:tcPr>
          <w:p w:rsidRPr="00F37052" w:rsidR="00B1396E" w:rsidP="004050B9" w:rsidRDefault="00B1396E" w14:paraId="3CE31DF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B1396E" w:rsidTr="004346C2" w14:paraId="344A2B94" w14:textId="77777777">
        <w:trPr>
          <w:trHeight w:val="260"/>
        </w:trPr>
        <w:tc>
          <w:tcPr>
            <w:tcW w:w="1798"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B1396E" w:rsidP="004050B9" w:rsidRDefault="00B1396E" w14:paraId="12DCB080"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478" w:type="dxa"/>
            <w:tcBorders>
              <w:top w:val="single" w:color="auto" w:sz="4" w:space="0"/>
              <w:left w:val="nil"/>
              <w:bottom w:val="single" w:color="auto" w:sz="4" w:space="0"/>
              <w:right w:val="single" w:color="auto" w:sz="4" w:space="0"/>
            </w:tcBorders>
            <w:shd w:val="clear" w:color="auto" w:fill="auto"/>
            <w:noWrap/>
            <w:vAlign w:val="bottom"/>
            <w:hideMark/>
          </w:tcPr>
          <w:p w:rsidRPr="00F37052" w:rsidR="00B1396E" w:rsidP="004050B9" w:rsidRDefault="00117707" w14:paraId="376BD37A" w14:textId="1692BC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 04 / 03</w:t>
            </w:r>
            <w:r w:rsidRPr="00F37052" w:rsidR="00B1396E">
              <w:rPr>
                <w:rFonts w:ascii="Calibri" w:hAnsi="Calibri" w:cs="Calibri"/>
                <w:color w:val="000000"/>
                <w:sz w:val="16"/>
                <w:szCs w:val="16"/>
              </w:rPr>
              <w:t> </w:t>
            </w:r>
          </w:p>
        </w:tc>
        <w:tc>
          <w:tcPr>
            <w:tcW w:w="1395" w:type="dxa"/>
            <w:tcBorders>
              <w:top w:val="single" w:color="auto" w:sz="4" w:space="0"/>
              <w:left w:val="nil"/>
              <w:bottom w:val="single" w:color="auto" w:sz="4" w:space="0"/>
              <w:right w:val="single" w:color="auto" w:sz="4" w:space="0"/>
            </w:tcBorders>
            <w:shd w:val="clear" w:color="auto" w:fill="auto"/>
            <w:noWrap/>
            <w:vAlign w:val="bottom"/>
            <w:hideMark/>
          </w:tcPr>
          <w:p w:rsidRPr="00F37052" w:rsidR="00B1396E" w:rsidP="00117707" w:rsidRDefault="00B1396E" w14:paraId="3E9CB2E8" w14:textId="1610C495">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r w:rsidR="00117707">
              <w:rPr>
                <w:rFonts w:ascii="Calibri" w:hAnsi="Calibri" w:cs="Calibri"/>
                <w:color w:val="000000"/>
                <w:sz w:val="16"/>
                <w:szCs w:val="16"/>
              </w:rPr>
              <w:t>$155,366</w:t>
            </w:r>
          </w:p>
        </w:tc>
        <w:tc>
          <w:tcPr>
            <w:tcW w:w="985" w:type="dxa"/>
            <w:tcBorders>
              <w:top w:val="single" w:color="auto" w:sz="4" w:space="0"/>
              <w:left w:val="nil"/>
              <w:bottom w:val="single" w:color="auto" w:sz="4" w:space="0"/>
              <w:right w:val="single" w:color="auto" w:sz="4" w:space="0"/>
            </w:tcBorders>
            <w:shd w:val="clear" w:color="auto" w:fill="auto"/>
            <w:noWrap/>
            <w:vAlign w:val="bottom"/>
            <w:hideMark/>
          </w:tcPr>
          <w:p w:rsidRPr="00F37052" w:rsidR="00B1396E" w:rsidP="00211315" w:rsidRDefault="00B1396E" w14:paraId="1C8841FB" w14:textId="1EC283E9">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r w:rsidR="00211315">
              <w:rPr>
                <w:rFonts w:ascii="Calibri" w:hAnsi="Calibri" w:cs="Calibri"/>
                <w:color w:val="000000"/>
                <w:sz w:val="16"/>
                <w:szCs w:val="16"/>
              </w:rPr>
              <w:t>5</w:t>
            </w:r>
            <w:r w:rsidR="00117707">
              <w:rPr>
                <w:rFonts w:ascii="Calibri" w:hAnsi="Calibri" w:cs="Calibri"/>
                <w:color w:val="000000"/>
                <w:sz w:val="16"/>
                <w:szCs w:val="16"/>
              </w:rPr>
              <w:t>%</w:t>
            </w:r>
          </w:p>
        </w:tc>
        <w:tc>
          <w:tcPr>
            <w:tcW w:w="1642"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B1396E" w:rsidP="004050B9" w:rsidRDefault="00B1396E" w14:paraId="3257E98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6" w:type="dxa"/>
            <w:tcBorders>
              <w:top w:val="single" w:color="auto" w:sz="4" w:space="0"/>
              <w:left w:val="nil"/>
              <w:bottom w:val="single" w:color="auto" w:sz="4" w:space="0"/>
              <w:right w:val="single" w:color="auto" w:sz="8" w:space="0"/>
            </w:tcBorders>
            <w:shd w:val="clear" w:color="auto" w:fill="auto"/>
            <w:noWrap/>
            <w:vAlign w:val="bottom"/>
            <w:hideMark/>
          </w:tcPr>
          <w:p w:rsidRPr="00F37052" w:rsidR="00B1396E" w:rsidP="00A9205E" w:rsidRDefault="00B1396E" w14:paraId="71A7252D" w14:textId="08BCEFD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A9205E">
              <w:rPr>
                <w:rFonts w:ascii="Calibri" w:hAnsi="Calibri" w:cs="Calibri"/>
                <w:color w:val="000000"/>
                <w:sz w:val="16"/>
                <w:szCs w:val="16"/>
              </w:rPr>
              <w:t>8</w:t>
            </w:r>
            <w:r>
              <w:rPr>
                <w:rFonts w:ascii="Calibri" w:hAnsi="Calibri" w:cs="Calibri"/>
                <w:color w:val="000000"/>
                <w:sz w:val="16"/>
                <w:szCs w:val="16"/>
              </w:rPr>
              <w:t>,000</w:t>
            </w:r>
            <w:r w:rsidRPr="00F37052">
              <w:rPr>
                <w:rFonts w:ascii="Calibri" w:hAnsi="Calibri" w:cs="Calibri"/>
                <w:color w:val="000000"/>
                <w:sz w:val="16"/>
                <w:szCs w:val="16"/>
              </w:rPr>
              <w:t> </w:t>
            </w:r>
          </w:p>
        </w:tc>
      </w:tr>
      <w:tr w:rsidRPr="00F37052" w:rsidR="00B1396E" w:rsidTr="004346C2" w14:paraId="5BF19F95" w14:textId="77777777">
        <w:trPr>
          <w:trHeight w:val="260"/>
        </w:trPr>
        <w:tc>
          <w:tcPr>
            <w:tcW w:w="1798" w:type="dxa"/>
            <w:tcBorders>
              <w:top w:val="nil"/>
              <w:left w:val="single" w:color="auto" w:sz="8" w:space="0"/>
              <w:bottom w:val="single" w:color="auto" w:sz="4" w:space="0"/>
              <w:right w:val="single" w:color="auto" w:sz="8" w:space="0"/>
            </w:tcBorders>
            <w:shd w:val="clear" w:color="auto" w:fill="auto"/>
            <w:vAlign w:val="bottom"/>
            <w:hideMark/>
          </w:tcPr>
          <w:p w:rsidRPr="00F37052" w:rsidR="00B1396E" w:rsidP="004050B9" w:rsidRDefault="00B1396E" w14:paraId="605BD000"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478"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3D47855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95" w:type="dxa"/>
            <w:tcBorders>
              <w:top w:val="nil"/>
              <w:left w:val="nil"/>
              <w:bottom w:val="single" w:color="auto" w:sz="4" w:space="0"/>
              <w:right w:val="single" w:color="auto" w:sz="4" w:space="0"/>
            </w:tcBorders>
            <w:shd w:val="clear" w:color="auto" w:fill="auto"/>
            <w:noWrap/>
            <w:vAlign w:val="bottom"/>
            <w:hideMark/>
          </w:tcPr>
          <w:p w:rsidRPr="00F37052" w:rsidR="00B1396E" w:rsidP="004050B9" w:rsidRDefault="00B1396E" w14:paraId="7BD31F5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985" w:type="dxa"/>
            <w:tcBorders>
              <w:top w:val="nil"/>
              <w:left w:val="nil"/>
              <w:bottom w:val="single" w:color="auto" w:sz="4" w:space="0"/>
              <w:right w:val="single" w:color="auto" w:sz="4" w:space="0"/>
            </w:tcBorders>
            <w:shd w:val="clear" w:color="auto" w:fill="auto"/>
            <w:noWrap/>
            <w:vAlign w:val="bottom"/>
            <w:hideMark/>
          </w:tcPr>
          <w:p w:rsidRPr="00F37052" w:rsidR="00B1396E" w:rsidP="004050B9" w:rsidRDefault="00B1396E" w14:paraId="6D652F8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642" w:type="dxa"/>
            <w:tcBorders>
              <w:top w:val="nil"/>
              <w:left w:val="nil"/>
              <w:bottom w:val="single" w:color="auto" w:sz="4" w:space="0"/>
              <w:right w:val="single" w:color="auto" w:sz="4" w:space="0"/>
            </w:tcBorders>
            <w:shd w:val="clear" w:color="auto" w:fill="auto"/>
            <w:noWrap/>
            <w:vAlign w:val="bottom"/>
            <w:hideMark/>
          </w:tcPr>
          <w:p w:rsidRPr="00F37052" w:rsidR="00B1396E" w:rsidP="004050B9" w:rsidRDefault="00B1396E" w14:paraId="5DDE3F3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6" w:type="dxa"/>
            <w:tcBorders>
              <w:top w:val="nil"/>
              <w:left w:val="nil"/>
              <w:bottom w:val="single" w:color="auto" w:sz="4" w:space="0"/>
              <w:right w:val="single" w:color="auto" w:sz="8" w:space="0"/>
            </w:tcBorders>
            <w:shd w:val="clear" w:color="auto" w:fill="auto"/>
            <w:noWrap/>
            <w:vAlign w:val="bottom"/>
            <w:hideMark/>
          </w:tcPr>
          <w:p w:rsidRPr="00F37052" w:rsidR="00B1396E" w:rsidP="004050B9" w:rsidRDefault="00994AE8" w14:paraId="322BF8B9" w14:textId="01AA48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A9205E">
              <w:rPr>
                <w:rFonts w:ascii="Calibri" w:hAnsi="Calibri" w:cs="Calibri"/>
                <w:color w:val="000000"/>
                <w:sz w:val="16"/>
                <w:szCs w:val="16"/>
              </w:rPr>
              <w:t>1</w:t>
            </w:r>
            <w:r w:rsidRPr="00994AE8">
              <w:rPr>
                <w:rFonts w:ascii="Calibri" w:hAnsi="Calibri" w:cs="Calibri"/>
                <w:color w:val="000000"/>
                <w:sz w:val="16"/>
                <w:szCs w:val="16"/>
              </w:rPr>
              <w:t>0,000</w:t>
            </w:r>
            <w:r w:rsidRPr="00F37052" w:rsidR="00B1396E">
              <w:rPr>
                <w:rFonts w:ascii="Calibri" w:hAnsi="Calibri" w:cs="Calibri"/>
                <w:color w:val="000000"/>
                <w:sz w:val="16"/>
                <w:szCs w:val="16"/>
              </w:rPr>
              <w:t> </w:t>
            </w:r>
          </w:p>
        </w:tc>
      </w:tr>
      <w:tr w:rsidRPr="00F37052" w:rsidR="00B1396E" w:rsidTr="004346C2" w14:paraId="42848BF0" w14:textId="77777777">
        <w:trPr>
          <w:trHeight w:val="260"/>
        </w:trPr>
        <w:tc>
          <w:tcPr>
            <w:tcW w:w="1798" w:type="dxa"/>
            <w:tcBorders>
              <w:top w:val="nil"/>
              <w:left w:val="single" w:color="auto" w:sz="8" w:space="0"/>
              <w:bottom w:val="single" w:color="auto" w:sz="4" w:space="0"/>
              <w:right w:val="single" w:color="auto" w:sz="8" w:space="0"/>
            </w:tcBorders>
            <w:shd w:val="clear" w:color="auto" w:fill="auto"/>
            <w:noWrap/>
            <w:vAlign w:val="bottom"/>
            <w:hideMark/>
          </w:tcPr>
          <w:p w:rsidRPr="00F37052" w:rsidR="00B1396E" w:rsidP="004050B9" w:rsidRDefault="00B1396E" w14:paraId="2CF095A3"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478"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24A96A6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95"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1262CEC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985"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73A2687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642"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388EEA2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6" w:type="dxa"/>
            <w:tcBorders>
              <w:top w:val="nil"/>
              <w:left w:val="nil"/>
              <w:bottom w:val="single" w:color="auto" w:sz="4" w:space="0"/>
              <w:right w:val="single" w:color="auto" w:sz="8" w:space="0"/>
            </w:tcBorders>
            <w:shd w:val="clear" w:color="auto" w:fill="auto"/>
            <w:noWrap/>
            <w:vAlign w:val="bottom"/>
            <w:hideMark/>
          </w:tcPr>
          <w:p w:rsidRPr="00F37052" w:rsidR="00B1396E" w:rsidP="004050B9" w:rsidRDefault="00B1396E" w14:paraId="5DB9F8A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B1396E" w:rsidTr="004346C2" w14:paraId="4D3FE4ED" w14:textId="77777777">
        <w:trPr>
          <w:trHeight w:val="260"/>
        </w:trPr>
        <w:tc>
          <w:tcPr>
            <w:tcW w:w="1798" w:type="dxa"/>
            <w:tcBorders>
              <w:top w:val="nil"/>
              <w:left w:val="single" w:color="auto" w:sz="8" w:space="0"/>
              <w:bottom w:val="single" w:color="auto" w:sz="4" w:space="0"/>
              <w:right w:val="single" w:color="auto" w:sz="8" w:space="0"/>
            </w:tcBorders>
            <w:shd w:val="clear" w:color="auto" w:fill="auto"/>
            <w:noWrap/>
            <w:vAlign w:val="bottom"/>
            <w:hideMark/>
          </w:tcPr>
          <w:p w:rsidRPr="00F37052" w:rsidR="00B1396E" w:rsidP="004050B9" w:rsidRDefault="00B1396E" w14:paraId="71F9404A"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478"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0224496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95"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451FB05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985"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6BBC792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642" w:type="dxa"/>
            <w:tcBorders>
              <w:top w:val="nil"/>
              <w:left w:val="nil"/>
              <w:bottom w:val="single" w:color="auto" w:sz="4" w:space="0"/>
              <w:right w:val="single" w:color="auto" w:sz="4" w:space="0"/>
            </w:tcBorders>
            <w:shd w:val="clear" w:color="000000" w:fill="808080"/>
            <w:noWrap/>
            <w:vAlign w:val="bottom"/>
            <w:hideMark/>
          </w:tcPr>
          <w:p w:rsidRPr="00F37052" w:rsidR="00B1396E" w:rsidP="004050B9" w:rsidRDefault="00B1396E" w14:paraId="3880E0E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6" w:type="dxa"/>
            <w:tcBorders>
              <w:top w:val="nil"/>
              <w:left w:val="nil"/>
              <w:bottom w:val="single" w:color="auto" w:sz="4" w:space="0"/>
              <w:right w:val="single" w:color="auto" w:sz="8" w:space="0"/>
            </w:tcBorders>
            <w:shd w:val="clear" w:color="auto" w:fill="auto"/>
            <w:noWrap/>
            <w:vAlign w:val="bottom"/>
          </w:tcPr>
          <w:p w:rsidRPr="00F37052" w:rsidR="00B1396E" w:rsidP="004050B9" w:rsidRDefault="00B1396E" w14:paraId="4341C56E" w14:textId="704AB3DA">
            <w:pPr>
              <w:widowControl/>
              <w:autoSpaceDE/>
              <w:autoSpaceDN/>
              <w:adjustRightInd/>
              <w:jc w:val="right"/>
              <w:rPr>
                <w:rFonts w:ascii="Calibri" w:hAnsi="Calibri" w:cs="Calibri"/>
                <w:color w:val="000000"/>
                <w:sz w:val="16"/>
                <w:szCs w:val="16"/>
              </w:rPr>
            </w:pPr>
          </w:p>
        </w:tc>
      </w:tr>
      <w:tr w:rsidRPr="00F37052" w:rsidR="00B1396E" w:rsidTr="004346C2" w14:paraId="36440609" w14:textId="77777777">
        <w:trPr>
          <w:trHeight w:val="268"/>
        </w:trPr>
        <w:tc>
          <w:tcPr>
            <w:tcW w:w="1798" w:type="dxa"/>
            <w:tcBorders>
              <w:top w:val="single" w:color="auto" w:sz="8" w:space="0"/>
              <w:left w:val="single" w:color="auto" w:sz="8" w:space="0"/>
              <w:bottom w:val="single" w:color="auto" w:sz="8" w:space="0"/>
              <w:right w:val="single" w:color="auto" w:sz="8" w:space="0"/>
            </w:tcBorders>
            <w:shd w:val="clear" w:color="auto" w:fill="B4C6E7" w:themeFill="accent1" w:themeFillTint="66"/>
            <w:noWrap/>
            <w:vAlign w:val="bottom"/>
            <w:hideMark/>
          </w:tcPr>
          <w:p w:rsidRPr="00F37052" w:rsidR="00B1396E" w:rsidP="004050B9" w:rsidRDefault="00B1396E" w14:paraId="1D2A7268"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478"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B1396E" w:rsidP="004050B9" w:rsidRDefault="00B1396E" w14:paraId="0073C6E4"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395" w:type="dxa"/>
            <w:tcBorders>
              <w:top w:val="single" w:color="auto" w:sz="8" w:space="0"/>
              <w:left w:val="nil"/>
              <w:bottom w:val="single" w:color="auto" w:sz="8" w:space="0"/>
              <w:right w:val="single" w:color="auto" w:sz="8" w:space="0"/>
            </w:tcBorders>
            <w:shd w:val="clear" w:color="auto" w:fill="B4C6E7" w:themeFill="accent1" w:themeFillTint="66"/>
            <w:noWrap/>
            <w:vAlign w:val="bottom"/>
            <w:hideMark/>
          </w:tcPr>
          <w:p w:rsidRPr="00F37052" w:rsidR="00B1396E" w:rsidP="004050B9" w:rsidRDefault="00B1396E" w14:paraId="74A1DAC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985"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B1396E" w:rsidP="004050B9" w:rsidRDefault="00B1396E" w14:paraId="0052650E"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642" w:type="dxa"/>
            <w:tcBorders>
              <w:top w:val="single" w:color="auto" w:sz="8" w:space="0"/>
              <w:left w:val="nil"/>
              <w:bottom w:val="single" w:color="auto" w:sz="8" w:space="0"/>
              <w:right w:val="single" w:color="auto" w:sz="8" w:space="0"/>
            </w:tcBorders>
            <w:shd w:val="clear" w:color="auto" w:fill="B4C6E7" w:themeFill="accent1" w:themeFillTint="66"/>
            <w:noWrap/>
            <w:vAlign w:val="bottom"/>
            <w:hideMark/>
          </w:tcPr>
          <w:p w:rsidRPr="00F37052" w:rsidR="00B1396E" w:rsidP="004050B9" w:rsidRDefault="00B1396E" w14:paraId="73FB6CA0"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6" w:type="dxa"/>
            <w:tcBorders>
              <w:top w:val="single" w:color="auto" w:sz="8" w:space="0"/>
              <w:left w:val="nil"/>
              <w:bottom w:val="single" w:color="auto" w:sz="8" w:space="0"/>
              <w:right w:val="single" w:color="auto" w:sz="8" w:space="0"/>
            </w:tcBorders>
            <w:shd w:val="clear" w:color="auto" w:fill="B4C6E7" w:themeFill="accent1" w:themeFillTint="66"/>
            <w:noWrap/>
            <w:vAlign w:val="bottom"/>
            <w:hideMark/>
          </w:tcPr>
          <w:p w:rsidRPr="00F37052" w:rsidR="00B1396E" w:rsidP="00A9205E" w:rsidRDefault="00994AE8" w14:paraId="0F832C37" w14:textId="7679CC5B">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A9205E">
              <w:rPr>
                <w:rFonts w:ascii="Calibri" w:hAnsi="Calibri" w:cs="Calibri"/>
                <w:b/>
                <w:color w:val="000000"/>
                <w:sz w:val="16"/>
                <w:szCs w:val="16"/>
              </w:rPr>
              <w:t>18</w:t>
            </w:r>
            <w:r>
              <w:rPr>
                <w:rFonts w:ascii="Calibri" w:hAnsi="Calibri" w:cs="Calibri"/>
                <w:b/>
                <w:color w:val="000000"/>
                <w:sz w:val="16"/>
                <w:szCs w:val="16"/>
              </w:rPr>
              <w:t>,000</w:t>
            </w:r>
            <w:r w:rsidRPr="00F37052" w:rsidR="00B1396E">
              <w:rPr>
                <w:rFonts w:ascii="Calibri" w:hAnsi="Calibri" w:cs="Calibri"/>
                <w:b/>
                <w:color w:val="000000"/>
                <w:sz w:val="16"/>
                <w:szCs w:val="16"/>
              </w:rPr>
              <w:t> </w:t>
            </w:r>
          </w:p>
        </w:tc>
      </w:tr>
    </w:tbl>
    <w:p w:rsidRPr="008B27F8" w:rsidR="004F26E9" w:rsidRDefault="004F26E9" w14:paraId="364616C6" w14:textId="77777777">
      <w:pPr>
        <w:rPr>
          <w:sz w:val="24"/>
          <w:szCs w:val="24"/>
        </w:rPr>
      </w:pPr>
    </w:p>
    <w:p w:rsidRPr="008B27F8" w:rsidR="00E917C0" w:rsidRDefault="004F26E9" w14:paraId="39E486FE" w14:textId="77777777">
      <w:pPr>
        <w:rPr>
          <w:b/>
          <w:bCs/>
          <w:sz w:val="24"/>
          <w:szCs w:val="24"/>
        </w:rPr>
      </w:pPr>
      <w:r w:rsidRPr="008B27F8">
        <w:rPr>
          <w:b/>
          <w:bCs/>
          <w:sz w:val="24"/>
          <w:szCs w:val="24"/>
        </w:rPr>
        <w:t xml:space="preserve">15.  </w:t>
      </w:r>
      <w:r w:rsidRPr="008B27F8">
        <w:rPr>
          <w:b/>
          <w:bCs/>
          <w:sz w:val="24"/>
          <w:szCs w:val="24"/>
          <w:u w:val="single"/>
        </w:rPr>
        <w:t>Explain the reasons for any program changes or adjustments</w:t>
      </w:r>
      <w:r w:rsidRPr="008B27F8">
        <w:rPr>
          <w:b/>
          <w:bCs/>
          <w:sz w:val="24"/>
          <w:szCs w:val="24"/>
        </w:rPr>
        <w:t>.</w:t>
      </w:r>
    </w:p>
    <w:p w:rsidRPr="008B27F8" w:rsidR="00E917C0" w:rsidRDefault="00E917C0" w14:paraId="0F1B88AE" w14:textId="77777777">
      <w:pPr>
        <w:rPr>
          <w:b/>
          <w:bCs/>
          <w:sz w:val="24"/>
          <w:szCs w:val="24"/>
        </w:rPr>
      </w:pPr>
    </w:p>
    <w:p w:rsidR="004F26E9" w:rsidRDefault="00DA4FE4" w14:paraId="2E573CD9" w14:textId="3AC057EA">
      <w:pPr>
        <w:rPr>
          <w:sz w:val="24"/>
          <w:szCs w:val="24"/>
        </w:rPr>
      </w:pPr>
      <w:r w:rsidRPr="008B27F8">
        <w:rPr>
          <w:sz w:val="24"/>
          <w:szCs w:val="24"/>
        </w:rPr>
        <w:t>This is an extension of an existing collection, with no substantive changes.</w:t>
      </w:r>
    </w:p>
    <w:tbl>
      <w:tblPr>
        <w:tblW w:w="101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990"/>
        <w:gridCol w:w="900"/>
        <w:gridCol w:w="990"/>
        <w:gridCol w:w="990"/>
        <w:gridCol w:w="900"/>
        <w:gridCol w:w="990"/>
        <w:gridCol w:w="2520"/>
      </w:tblGrid>
      <w:tr w:rsidRPr="00A110F0" w:rsidR="00B1396E" w:rsidTr="00F57135" w14:paraId="5E887183" w14:textId="77777777">
        <w:trPr>
          <w:trHeight w:val="204"/>
        </w:trPr>
        <w:tc>
          <w:tcPr>
            <w:tcW w:w="1890" w:type="dxa"/>
            <w:vMerge w:val="restart"/>
            <w:shd w:val="clear" w:color="auto" w:fill="4472C4" w:themeFill="accent1"/>
            <w:vAlign w:val="center"/>
          </w:tcPr>
          <w:p w:rsidRPr="00A110F0" w:rsidR="00B1396E" w:rsidP="004050B9" w:rsidRDefault="00B1396E" w14:paraId="6A58B739"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890" w:type="dxa"/>
            <w:gridSpan w:val="2"/>
            <w:tcBorders>
              <w:bottom w:val="single" w:color="auto" w:sz="4" w:space="0"/>
            </w:tcBorders>
            <w:shd w:val="clear" w:color="auto" w:fill="4472C4" w:themeFill="accent1"/>
            <w:vAlign w:val="center"/>
          </w:tcPr>
          <w:p w:rsidRPr="00A110F0" w:rsidR="00B1396E" w:rsidP="004050B9" w:rsidRDefault="00B1396E" w14:paraId="6879E58A"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1980" w:type="dxa"/>
            <w:gridSpan w:val="2"/>
            <w:tcBorders>
              <w:bottom w:val="single" w:color="auto" w:sz="4" w:space="0"/>
            </w:tcBorders>
            <w:shd w:val="clear" w:color="auto" w:fill="4472C4" w:themeFill="accent1"/>
            <w:vAlign w:val="center"/>
          </w:tcPr>
          <w:p w:rsidRPr="00A110F0" w:rsidR="00B1396E" w:rsidP="004050B9" w:rsidRDefault="00B1396E" w14:paraId="2767C530"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1890" w:type="dxa"/>
            <w:gridSpan w:val="2"/>
            <w:tcBorders>
              <w:bottom w:val="single" w:color="auto" w:sz="4" w:space="0"/>
            </w:tcBorders>
            <w:shd w:val="clear" w:color="auto" w:fill="4472C4" w:themeFill="accent1"/>
            <w:vAlign w:val="center"/>
          </w:tcPr>
          <w:p w:rsidRPr="00A110F0" w:rsidR="00B1396E" w:rsidP="004050B9" w:rsidRDefault="00B1396E" w14:paraId="5304850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520" w:type="dxa"/>
            <w:vMerge w:val="restart"/>
            <w:shd w:val="clear" w:color="auto" w:fill="4472C4" w:themeFill="accent1"/>
            <w:vAlign w:val="center"/>
          </w:tcPr>
          <w:p w:rsidRPr="00A110F0" w:rsidR="00B1396E" w:rsidP="004050B9" w:rsidRDefault="00B1396E" w14:paraId="6F71098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B1396E" w:rsidTr="00F57135" w14:paraId="24672C0F" w14:textId="77777777">
        <w:trPr>
          <w:trHeight w:val="604"/>
        </w:trPr>
        <w:tc>
          <w:tcPr>
            <w:tcW w:w="1890" w:type="dxa"/>
            <w:vMerge/>
            <w:shd w:val="clear" w:color="auto" w:fill="4472C4" w:themeFill="accent1"/>
            <w:vAlign w:val="center"/>
          </w:tcPr>
          <w:p w:rsidRPr="00A110F0" w:rsidR="00B1396E" w:rsidP="004050B9" w:rsidRDefault="00B1396E" w14:paraId="3377A235" w14:textId="77777777">
            <w:pPr>
              <w:keepNext/>
              <w:rPr>
                <w:rFonts w:eastAsia="Calibri" w:asciiTheme="minorHAnsi" w:hAnsiTheme="minorHAnsi"/>
                <w:sz w:val="16"/>
                <w:szCs w:val="16"/>
              </w:rPr>
            </w:pPr>
          </w:p>
        </w:tc>
        <w:tc>
          <w:tcPr>
            <w:tcW w:w="990" w:type="dxa"/>
            <w:tcBorders>
              <w:bottom w:val="single" w:color="auto" w:sz="4" w:space="0"/>
              <w:right w:val="dashed" w:color="auto" w:sz="4" w:space="0"/>
            </w:tcBorders>
            <w:shd w:val="clear" w:color="auto" w:fill="FBE4D5"/>
            <w:vAlign w:val="center"/>
          </w:tcPr>
          <w:p w:rsidRPr="00A110F0" w:rsidR="00B1396E" w:rsidP="004050B9" w:rsidRDefault="00B1396E" w14:paraId="0F96892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color="auto" w:sz="4" w:space="0"/>
              <w:bottom w:val="single" w:color="auto" w:sz="4" w:space="0"/>
            </w:tcBorders>
            <w:shd w:val="clear" w:color="auto" w:fill="FBE4D5"/>
            <w:vAlign w:val="center"/>
          </w:tcPr>
          <w:p w:rsidRPr="00A110F0" w:rsidR="00B1396E" w:rsidP="004050B9" w:rsidRDefault="00B1396E" w14:paraId="1D182BA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990" w:type="dxa"/>
            <w:tcBorders>
              <w:right w:val="dashed" w:color="auto" w:sz="4" w:space="0"/>
            </w:tcBorders>
            <w:shd w:val="clear" w:color="auto" w:fill="FBE4D5"/>
            <w:vAlign w:val="center"/>
          </w:tcPr>
          <w:p w:rsidRPr="00A110F0" w:rsidR="00B1396E" w:rsidP="004050B9" w:rsidRDefault="00B1396E" w14:paraId="434E9B8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90" w:type="dxa"/>
            <w:tcBorders>
              <w:left w:val="dashed" w:color="auto" w:sz="4" w:space="0"/>
            </w:tcBorders>
            <w:shd w:val="clear" w:color="auto" w:fill="FBE4D5"/>
            <w:vAlign w:val="center"/>
          </w:tcPr>
          <w:p w:rsidRPr="00A110F0" w:rsidR="00B1396E" w:rsidP="004050B9" w:rsidRDefault="00B1396E" w14:paraId="39B0597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900" w:type="dxa"/>
            <w:tcBorders>
              <w:bottom w:val="single" w:color="auto" w:sz="4" w:space="0"/>
              <w:right w:val="dashed" w:color="auto" w:sz="4" w:space="0"/>
            </w:tcBorders>
            <w:shd w:val="clear" w:color="auto" w:fill="FBE4D5"/>
            <w:vAlign w:val="center"/>
          </w:tcPr>
          <w:p w:rsidRPr="00A110F0" w:rsidR="00B1396E" w:rsidP="004050B9" w:rsidRDefault="00B1396E" w14:paraId="3D63F2A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90" w:type="dxa"/>
            <w:tcBorders>
              <w:left w:val="dashed" w:color="auto" w:sz="4" w:space="0"/>
            </w:tcBorders>
            <w:shd w:val="clear" w:color="auto" w:fill="FBE4D5"/>
            <w:vAlign w:val="center"/>
          </w:tcPr>
          <w:p w:rsidRPr="00A110F0" w:rsidR="00B1396E" w:rsidP="004050B9" w:rsidRDefault="00B1396E" w14:paraId="3E60F01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2520" w:type="dxa"/>
            <w:vMerge/>
            <w:shd w:val="clear" w:color="auto" w:fill="FBE4D5"/>
            <w:vAlign w:val="center"/>
          </w:tcPr>
          <w:p w:rsidRPr="00A110F0" w:rsidR="00B1396E" w:rsidP="004050B9" w:rsidRDefault="00B1396E" w14:paraId="27E8ADFB" w14:textId="77777777">
            <w:pPr>
              <w:keepNext/>
              <w:rPr>
                <w:rFonts w:eastAsia="Calibri" w:asciiTheme="minorHAnsi" w:hAnsiTheme="minorHAnsi"/>
                <w:sz w:val="16"/>
                <w:szCs w:val="16"/>
              </w:rPr>
            </w:pPr>
          </w:p>
        </w:tc>
      </w:tr>
      <w:tr w:rsidRPr="00A110F0" w:rsidR="00B1396E" w:rsidTr="00F57135" w14:paraId="5AB6937B" w14:textId="77777777">
        <w:trPr>
          <w:trHeight w:val="204"/>
        </w:trPr>
        <w:tc>
          <w:tcPr>
            <w:tcW w:w="1890" w:type="dxa"/>
            <w:shd w:val="clear" w:color="auto" w:fill="auto"/>
            <w:vAlign w:val="center"/>
          </w:tcPr>
          <w:p w:rsidRPr="00A110F0" w:rsidR="00B1396E" w:rsidP="00F57135" w:rsidRDefault="00B1396E" w14:paraId="251205EE" w14:textId="243704B4">
            <w:pPr>
              <w:rPr>
                <w:rFonts w:asciiTheme="minorHAnsi" w:hAnsiTheme="minorHAnsi"/>
                <w:sz w:val="16"/>
                <w:szCs w:val="16"/>
              </w:rPr>
            </w:pPr>
            <w:r w:rsidRPr="00CA2B37">
              <w:rPr>
                <w:rFonts w:ascii="Calibri" w:hAnsi="Calibri" w:cs="Calibri"/>
                <w:color w:val="000000"/>
                <w:sz w:val="16"/>
                <w:szCs w:val="16"/>
              </w:rPr>
              <w:t> </w:t>
            </w:r>
            <w:r>
              <w:rPr>
                <w:rFonts w:ascii="Calibri" w:hAnsi="Calibri" w:cs="Calibri"/>
                <w:color w:val="000000"/>
                <w:sz w:val="16"/>
                <w:szCs w:val="16"/>
              </w:rPr>
              <w:t>Cost and Earnings Survey</w:t>
            </w:r>
          </w:p>
        </w:tc>
        <w:tc>
          <w:tcPr>
            <w:tcW w:w="990" w:type="dxa"/>
            <w:tcBorders>
              <w:bottom w:val="dotted" w:color="auto" w:sz="4" w:space="0"/>
              <w:right w:val="dashed" w:color="auto" w:sz="4" w:space="0"/>
            </w:tcBorders>
            <w:shd w:val="clear" w:color="auto" w:fill="auto"/>
            <w:vAlign w:val="center"/>
          </w:tcPr>
          <w:p w:rsidRPr="00A110F0" w:rsidR="00B1396E" w:rsidP="00B1396E" w:rsidRDefault="00A9205E" w14:paraId="3F7A4411" w14:textId="4337A321">
            <w:pPr>
              <w:jc w:val="center"/>
              <w:rPr>
                <w:rFonts w:eastAsia="Calibri" w:asciiTheme="minorHAnsi" w:hAnsiTheme="minorHAnsi"/>
                <w:sz w:val="16"/>
                <w:szCs w:val="16"/>
              </w:rPr>
            </w:pPr>
            <w:r>
              <w:rPr>
                <w:rFonts w:eastAsia="Calibri" w:asciiTheme="minorHAnsi" w:hAnsiTheme="minorHAnsi"/>
                <w:sz w:val="16"/>
                <w:szCs w:val="16"/>
              </w:rPr>
              <w:t>30</w:t>
            </w:r>
          </w:p>
        </w:tc>
        <w:tc>
          <w:tcPr>
            <w:tcW w:w="900" w:type="dxa"/>
            <w:tcBorders>
              <w:left w:val="dashed" w:color="auto" w:sz="4" w:space="0"/>
              <w:bottom w:val="dotted" w:color="auto" w:sz="4" w:space="0"/>
            </w:tcBorders>
            <w:shd w:val="clear" w:color="auto" w:fill="auto"/>
            <w:vAlign w:val="center"/>
          </w:tcPr>
          <w:p w:rsidRPr="00A110F0" w:rsidR="00B1396E" w:rsidP="00B1396E" w:rsidRDefault="00B1396E" w14:paraId="50921A64" w14:textId="29520E94">
            <w:pPr>
              <w:keepNext/>
              <w:jc w:val="center"/>
              <w:rPr>
                <w:rFonts w:eastAsia="Calibri" w:asciiTheme="minorHAnsi" w:hAnsiTheme="minorHAnsi"/>
                <w:sz w:val="16"/>
                <w:szCs w:val="16"/>
              </w:rPr>
            </w:pPr>
            <w:r>
              <w:rPr>
                <w:rFonts w:eastAsia="Calibri" w:asciiTheme="minorHAnsi" w:hAnsiTheme="minorHAnsi"/>
                <w:sz w:val="16"/>
                <w:szCs w:val="16"/>
              </w:rPr>
              <w:t>77</w:t>
            </w:r>
          </w:p>
        </w:tc>
        <w:tc>
          <w:tcPr>
            <w:tcW w:w="990" w:type="dxa"/>
            <w:tcBorders>
              <w:bottom w:val="dotted" w:color="auto" w:sz="4" w:space="0"/>
              <w:right w:val="dashed" w:color="auto" w:sz="4" w:space="0"/>
            </w:tcBorders>
            <w:shd w:val="clear" w:color="auto" w:fill="auto"/>
            <w:vAlign w:val="center"/>
          </w:tcPr>
          <w:p w:rsidRPr="00A110F0" w:rsidR="00B1396E" w:rsidP="00B1396E" w:rsidRDefault="00A9205E" w14:paraId="100B3C7B" w14:textId="1C3B428B">
            <w:pPr>
              <w:jc w:val="center"/>
              <w:rPr>
                <w:rFonts w:eastAsia="Calibri" w:asciiTheme="minorHAnsi" w:hAnsiTheme="minorHAnsi"/>
                <w:sz w:val="16"/>
                <w:szCs w:val="16"/>
              </w:rPr>
            </w:pPr>
            <w:r>
              <w:rPr>
                <w:rFonts w:eastAsia="Calibri" w:asciiTheme="minorHAnsi" w:hAnsiTheme="minorHAnsi"/>
                <w:sz w:val="16"/>
                <w:szCs w:val="16"/>
              </w:rPr>
              <w:t>17</w:t>
            </w:r>
          </w:p>
        </w:tc>
        <w:tc>
          <w:tcPr>
            <w:tcW w:w="990" w:type="dxa"/>
            <w:tcBorders>
              <w:left w:val="dashed" w:color="auto" w:sz="4" w:space="0"/>
              <w:bottom w:val="dotted" w:color="auto" w:sz="4" w:space="0"/>
            </w:tcBorders>
            <w:shd w:val="clear" w:color="auto" w:fill="auto"/>
            <w:vAlign w:val="center"/>
          </w:tcPr>
          <w:p w:rsidRPr="00A110F0" w:rsidR="00B1396E" w:rsidP="00B1396E" w:rsidRDefault="00B1396E" w14:paraId="1A1BFF78" w14:textId="5098488B">
            <w:pPr>
              <w:keepNext/>
              <w:jc w:val="center"/>
              <w:rPr>
                <w:rFonts w:eastAsia="Calibri" w:asciiTheme="minorHAnsi" w:hAnsiTheme="minorHAnsi"/>
                <w:sz w:val="16"/>
                <w:szCs w:val="16"/>
              </w:rPr>
            </w:pPr>
            <w:r>
              <w:rPr>
                <w:rFonts w:eastAsia="Calibri" w:asciiTheme="minorHAnsi" w:hAnsiTheme="minorHAnsi"/>
                <w:sz w:val="16"/>
                <w:szCs w:val="16"/>
              </w:rPr>
              <w:t>77</w:t>
            </w:r>
          </w:p>
        </w:tc>
        <w:tc>
          <w:tcPr>
            <w:tcW w:w="900" w:type="dxa"/>
            <w:tcBorders>
              <w:bottom w:val="dotted" w:color="auto" w:sz="4" w:space="0"/>
              <w:right w:val="dashed" w:color="auto" w:sz="4" w:space="0"/>
            </w:tcBorders>
            <w:shd w:val="clear" w:color="auto" w:fill="auto"/>
            <w:vAlign w:val="center"/>
          </w:tcPr>
          <w:p w:rsidRPr="00A110F0" w:rsidR="00B1396E" w:rsidP="00B1396E" w:rsidRDefault="00A9205E" w14:paraId="3F246EB1" w14:textId="58ADF9C8">
            <w:pPr>
              <w:jc w:val="center"/>
              <w:rPr>
                <w:rFonts w:eastAsia="Calibri" w:asciiTheme="minorHAnsi" w:hAnsiTheme="minorHAnsi"/>
                <w:sz w:val="16"/>
                <w:szCs w:val="16"/>
              </w:rPr>
            </w:pPr>
            <w:r>
              <w:rPr>
                <w:rFonts w:eastAsia="Calibri" w:asciiTheme="minorHAnsi" w:hAnsiTheme="minorHAnsi"/>
                <w:sz w:val="16"/>
                <w:szCs w:val="16"/>
              </w:rPr>
              <w:t>17</w:t>
            </w:r>
          </w:p>
        </w:tc>
        <w:tc>
          <w:tcPr>
            <w:tcW w:w="990" w:type="dxa"/>
            <w:tcBorders>
              <w:left w:val="dashed" w:color="auto" w:sz="4" w:space="0"/>
              <w:bottom w:val="dotted" w:color="auto" w:sz="4" w:space="0"/>
            </w:tcBorders>
            <w:shd w:val="clear" w:color="auto" w:fill="auto"/>
            <w:vAlign w:val="center"/>
          </w:tcPr>
          <w:p w:rsidRPr="00A110F0" w:rsidR="00B1396E" w:rsidP="00B1396E" w:rsidRDefault="00B1396E" w14:paraId="73B75CCE" w14:textId="7C7FF6A3">
            <w:pPr>
              <w:keepNext/>
              <w:jc w:val="center"/>
              <w:rPr>
                <w:rFonts w:eastAsia="Calibri" w:asciiTheme="minorHAnsi" w:hAnsiTheme="minorHAnsi"/>
                <w:sz w:val="16"/>
                <w:szCs w:val="16"/>
              </w:rPr>
            </w:pPr>
            <w:r>
              <w:rPr>
                <w:rFonts w:eastAsia="Calibri" w:asciiTheme="minorHAnsi" w:hAnsiTheme="minorHAnsi"/>
                <w:sz w:val="16"/>
                <w:szCs w:val="16"/>
              </w:rPr>
              <w:t>77</w:t>
            </w:r>
          </w:p>
        </w:tc>
        <w:tc>
          <w:tcPr>
            <w:tcW w:w="2520" w:type="dxa"/>
            <w:tcBorders>
              <w:left w:val="dotted" w:color="auto" w:sz="4" w:space="0"/>
              <w:bottom w:val="dotted" w:color="auto" w:sz="4" w:space="0"/>
            </w:tcBorders>
            <w:shd w:val="clear" w:color="auto" w:fill="auto"/>
            <w:vAlign w:val="center"/>
          </w:tcPr>
          <w:p w:rsidRPr="00A110F0" w:rsidR="00B1396E" w:rsidP="008766B5" w:rsidRDefault="008766B5" w14:paraId="5C70493D" w14:textId="25A1C6C2">
            <w:pPr>
              <w:rPr>
                <w:rFonts w:eastAsia="Calibri" w:asciiTheme="minorHAnsi" w:hAnsiTheme="minorHAnsi"/>
                <w:sz w:val="16"/>
                <w:szCs w:val="16"/>
              </w:rPr>
            </w:pPr>
            <w:r>
              <w:rPr>
                <w:rFonts w:eastAsia="Calibri" w:asciiTheme="minorHAnsi" w:hAnsiTheme="minorHAnsi"/>
                <w:sz w:val="16"/>
                <w:szCs w:val="16"/>
              </w:rPr>
              <w:t>Number of respondents updated to reflect annualized number of anticipated respondents, rather than total respondents for a one-time collection. Some previously intended respondents have become unavailable to participate</w:t>
            </w:r>
          </w:p>
        </w:tc>
      </w:tr>
      <w:tr w:rsidRPr="00A110F0" w:rsidR="00B1396E" w:rsidTr="00F57135" w14:paraId="67C5AB8C" w14:textId="77777777">
        <w:trPr>
          <w:trHeight w:val="204"/>
        </w:trPr>
        <w:tc>
          <w:tcPr>
            <w:tcW w:w="1890" w:type="dxa"/>
            <w:shd w:val="clear" w:color="auto" w:fill="B4C6E7" w:themeFill="accent1" w:themeFillTint="66"/>
            <w:vAlign w:val="center"/>
          </w:tcPr>
          <w:p w:rsidRPr="00A110F0" w:rsidR="00B1396E" w:rsidP="00B1396E" w:rsidRDefault="00B1396E" w14:paraId="53C03FF9"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990" w:type="dxa"/>
            <w:tcBorders>
              <w:right w:val="dashed" w:color="auto" w:sz="4" w:space="0"/>
            </w:tcBorders>
            <w:shd w:val="clear" w:color="auto" w:fill="B4C6E7" w:themeFill="accent1" w:themeFillTint="66"/>
            <w:vAlign w:val="center"/>
          </w:tcPr>
          <w:p w:rsidRPr="00A110F0" w:rsidR="00B1396E" w:rsidP="00B1396E" w:rsidRDefault="00B1396E" w14:paraId="116306DB" w14:textId="77777777">
            <w:pPr>
              <w:keepNext/>
              <w:jc w:val="center"/>
              <w:rPr>
                <w:rFonts w:eastAsia="Calibri" w:asciiTheme="minorHAnsi" w:hAnsiTheme="minorHAnsi"/>
                <w:b/>
                <w:sz w:val="16"/>
                <w:szCs w:val="16"/>
              </w:rPr>
            </w:pPr>
          </w:p>
        </w:tc>
        <w:tc>
          <w:tcPr>
            <w:tcW w:w="900" w:type="dxa"/>
            <w:tcBorders>
              <w:left w:val="dashed" w:color="auto" w:sz="4" w:space="0"/>
            </w:tcBorders>
            <w:shd w:val="clear" w:color="auto" w:fill="B4C6E7" w:themeFill="accent1" w:themeFillTint="66"/>
            <w:vAlign w:val="center"/>
          </w:tcPr>
          <w:p w:rsidRPr="00A110F0" w:rsidR="00B1396E" w:rsidP="00B1396E" w:rsidRDefault="00B1396E" w14:paraId="1F0AB968" w14:textId="77777777">
            <w:pPr>
              <w:keepNext/>
              <w:jc w:val="center"/>
              <w:rPr>
                <w:rFonts w:eastAsia="Calibri" w:asciiTheme="minorHAnsi" w:hAnsiTheme="minorHAnsi"/>
                <w:b/>
                <w:sz w:val="16"/>
                <w:szCs w:val="16"/>
              </w:rPr>
            </w:pPr>
          </w:p>
        </w:tc>
        <w:tc>
          <w:tcPr>
            <w:tcW w:w="990" w:type="dxa"/>
            <w:tcBorders>
              <w:right w:val="dashed" w:color="auto" w:sz="4" w:space="0"/>
            </w:tcBorders>
            <w:shd w:val="clear" w:color="auto" w:fill="B4C6E7" w:themeFill="accent1" w:themeFillTint="66"/>
            <w:vAlign w:val="center"/>
          </w:tcPr>
          <w:p w:rsidRPr="00A110F0" w:rsidR="00B1396E" w:rsidP="00B1396E" w:rsidRDefault="00B1396E" w14:paraId="797786F2" w14:textId="77777777">
            <w:pPr>
              <w:keepNext/>
              <w:jc w:val="center"/>
              <w:rPr>
                <w:rFonts w:eastAsia="Calibri" w:asciiTheme="minorHAnsi" w:hAnsiTheme="minorHAnsi"/>
                <w:b/>
                <w:sz w:val="16"/>
                <w:szCs w:val="16"/>
              </w:rPr>
            </w:pPr>
          </w:p>
        </w:tc>
        <w:tc>
          <w:tcPr>
            <w:tcW w:w="990" w:type="dxa"/>
            <w:tcBorders>
              <w:left w:val="dashed" w:color="auto" w:sz="4" w:space="0"/>
            </w:tcBorders>
            <w:shd w:val="clear" w:color="auto" w:fill="B4C6E7" w:themeFill="accent1" w:themeFillTint="66"/>
            <w:vAlign w:val="center"/>
          </w:tcPr>
          <w:p w:rsidRPr="00A110F0" w:rsidR="00B1396E" w:rsidP="00B1396E" w:rsidRDefault="00B1396E" w14:paraId="7980ECA5" w14:textId="77777777">
            <w:pPr>
              <w:keepNext/>
              <w:jc w:val="center"/>
              <w:rPr>
                <w:rFonts w:eastAsia="Calibri" w:asciiTheme="minorHAnsi" w:hAnsiTheme="minorHAnsi"/>
                <w:b/>
                <w:sz w:val="16"/>
                <w:szCs w:val="16"/>
              </w:rPr>
            </w:pPr>
          </w:p>
        </w:tc>
        <w:tc>
          <w:tcPr>
            <w:tcW w:w="900" w:type="dxa"/>
            <w:tcBorders>
              <w:right w:val="dashed" w:color="auto" w:sz="4" w:space="0"/>
            </w:tcBorders>
            <w:shd w:val="clear" w:color="auto" w:fill="B4C6E7" w:themeFill="accent1" w:themeFillTint="66"/>
            <w:vAlign w:val="center"/>
          </w:tcPr>
          <w:p w:rsidRPr="00A110F0" w:rsidR="00B1396E" w:rsidP="00B1396E" w:rsidRDefault="00B1396E" w14:paraId="62036429" w14:textId="77777777">
            <w:pPr>
              <w:keepNext/>
              <w:jc w:val="center"/>
              <w:rPr>
                <w:rFonts w:eastAsia="Calibri" w:asciiTheme="minorHAnsi" w:hAnsiTheme="minorHAnsi"/>
                <w:b/>
                <w:sz w:val="16"/>
                <w:szCs w:val="16"/>
              </w:rPr>
            </w:pPr>
          </w:p>
        </w:tc>
        <w:tc>
          <w:tcPr>
            <w:tcW w:w="990" w:type="dxa"/>
            <w:tcBorders>
              <w:left w:val="dashed" w:color="auto" w:sz="4" w:space="0"/>
            </w:tcBorders>
            <w:shd w:val="clear" w:color="auto" w:fill="B4C6E7" w:themeFill="accent1" w:themeFillTint="66"/>
            <w:vAlign w:val="center"/>
          </w:tcPr>
          <w:p w:rsidRPr="00A110F0" w:rsidR="00B1396E" w:rsidP="00B1396E" w:rsidRDefault="00B1396E" w14:paraId="37265A3A" w14:textId="77777777">
            <w:pPr>
              <w:keepNext/>
              <w:jc w:val="center"/>
              <w:rPr>
                <w:rFonts w:eastAsia="Calibri" w:asciiTheme="minorHAnsi" w:hAnsiTheme="minorHAnsi"/>
                <w:b/>
                <w:sz w:val="16"/>
                <w:szCs w:val="16"/>
              </w:rPr>
            </w:pPr>
          </w:p>
        </w:tc>
        <w:tc>
          <w:tcPr>
            <w:tcW w:w="2520" w:type="dxa"/>
            <w:tcBorders>
              <w:left w:val="dotted" w:color="auto" w:sz="4" w:space="0"/>
            </w:tcBorders>
            <w:shd w:val="clear" w:color="auto" w:fill="000000" w:themeFill="text1"/>
            <w:vAlign w:val="center"/>
          </w:tcPr>
          <w:p w:rsidRPr="00A110F0" w:rsidR="00B1396E" w:rsidP="00B1396E" w:rsidRDefault="00B1396E" w14:paraId="55603B09" w14:textId="77777777">
            <w:pPr>
              <w:keepNext/>
              <w:jc w:val="center"/>
              <w:rPr>
                <w:rFonts w:eastAsia="Calibri" w:asciiTheme="minorHAnsi" w:hAnsiTheme="minorHAnsi"/>
                <w:b/>
                <w:sz w:val="16"/>
                <w:szCs w:val="16"/>
              </w:rPr>
            </w:pPr>
          </w:p>
        </w:tc>
      </w:tr>
      <w:tr w:rsidRPr="00A110F0" w:rsidR="00B1396E" w:rsidTr="00F57135" w14:paraId="5B260439" w14:textId="77777777">
        <w:trPr>
          <w:trHeight w:val="194"/>
        </w:trPr>
        <w:tc>
          <w:tcPr>
            <w:tcW w:w="1890" w:type="dxa"/>
            <w:shd w:val="clear" w:color="auto" w:fill="FBE4D5" w:themeFill="accent2" w:themeFillTint="33"/>
            <w:vAlign w:val="center"/>
          </w:tcPr>
          <w:p w:rsidRPr="00A110F0" w:rsidR="00B1396E" w:rsidP="00B1396E" w:rsidRDefault="00B1396E" w14:paraId="25530D8D"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890" w:type="dxa"/>
            <w:gridSpan w:val="2"/>
            <w:shd w:val="clear" w:color="auto" w:fill="FBE4D5" w:themeFill="accent2" w:themeFillTint="33"/>
            <w:vAlign w:val="center"/>
          </w:tcPr>
          <w:p w:rsidRPr="00A110F0" w:rsidR="00B1396E" w:rsidP="00B1396E" w:rsidRDefault="009F66DB" w14:paraId="7E3B9F14" w14:textId="4A226A82">
            <w:pPr>
              <w:keepNext/>
              <w:jc w:val="center"/>
              <w:rPr>
                <w:rFonts w:eastAsia="Calibri" w:asciiTheme="minorHAnsi" w:hAnsiTheme="minorHAnsi"/>
                <w:b/>
                <w:sz w:val="16"/>
                <w:szCs w:val="16"/>
              </w:rPr>
            </w:pPr>
            <w:r>
              <w:rPr>
                <w:rFonts w:eastAsia="Calibri" w:asciiTheme="minorHAnsi" w:hAnsiTheme="minorHAnsi"/>
                <w:b/>
                <w:sz w:val="16"/>
                <w:szCs w:val="16"/>
              </w:rPr>
              <w:t>-47</w:t>
            </w:r>
          </w:p>
        </w:tc>
        <w:tc>
          <w:tcPr>
            <w:tcW w:w="1980" w:type="dxa"/>
            <w:gridSpan w:val="2"/>
            <w:tcBorders>
              <w:bottom w:val="single" w:color="auto" w:sz="4" w:space="0"/>
            </w:tcBorders>
            <w:shd w:val="clear" w:color="auto" w:fill="FBE4D5" w:themeFill="accent2" w:themeFillTint="33"/>
            <w:vAlign w:val="center"/>
          </w:tcPr>
          <w:p w:rsidRPr="00A110F0" w:rsidR="00B1396E" w:rsidP="00B1396E" w:rsidRDefault="009F66DB" w14:paraId="5052BFB2" w14:textId="6FD8B1D8">
            <w:pPr>
              <w:keepNext/>
              <w:jc w:val="center"/>
              <w:rPr>
                <w:rFonts w:eastAsia="Calibri" w:asciiTheme="minorHAnsi" w:hAnsiTheme="minorHAnsi"/>
                <w:b/>
                <w:sz w:val="16"/>
                <w:szCs w:val="16"/>
              </w:rPr>
            </w:pPr>
            <w:r>
              <w:rPr>
                <w:rFonts w:eastAsia="Calibri" w:asciiTheme="minorHAnsi" w:hAnsiTheme="minorHAnsi"/>
                <w:b/>
                <w:sz w:val="16"/>
                <w:szCs w:val="16"/>
              </w:rPr>
              <w:t>-60</w:t>
            </w:r>
          </w:p>
        </w:tc>
        <w:tc>
          <w:tcPr>
            <w:tcW w:w="1890" w:type="dxa"/>
            <w:gridSpan w:val="2"/>
            <w:shd w:val="clear" w:color="auto" w:fill="FBE4D5" w:themeFill="accent2" w:themeFillTint="33"/>
            <w:vAlign w:val="center"/>
          </w:tcPr>
          <w:p w:rsidRPr="00A110F0" w:rsidR="00B1396E" w:rsidP="00B1396E" w:rsidRDefault="009F66DB" w14:paraId="1190EC34" w14:textId="47DD0EB5">
            <w:pPr>
              <w:keepNext/>
              <w:jc w:val="center"/>
              <w:rPr>
                <w:rFonts w:eastAsia="Calibri" w:asciiTheme="minorHAnsi" w:hAnsiTheme="minorHAnsi"/>
                <w:b/>
                <w:sz w:val="16"/>
                <w:szCs w:val="16"/>
              </w:rPr>
            </w:pPr>
            <w:r>
              <w:rPr>
                <w:rFonts w:eastAsia="Calibri" w:asciiTheme="minorHAnsi" w:hAnsiTheme="minorHAnsi"/>
                <w:b/>
                <w:sz w:val="16"/>
                <w:szCs w:val="16"/>
              </w:rPr>
              <w:t>-60</w:t>
            </w:r>
          </w:p>
        </w:tc>
        <w:tc>
          <w:tcPr>
            <w:tcW w:w="2520" w:type="dxa"/>
            <w:tcBorders>
              <w:left w:val="dotted" w:color="auto" w:sz="4" w:space="0"/>
            </w:tcBorders>
            <w:shd w:val="clear" w:color="auto" w:fill="000000" w:themeFill="text1"/>
            <w:vAlign w:val="center"/>
          </w:tcPr>
          <w:p w:rsidRPr="00A110F0" w:rsidR="00B1396E" w:rsidP="00B1396E" w:rsidRDefault="00B1396E" w14:paraId="7FC246E0" w14:textId="77777777">
            <w:pPr>
              <w:keepNext/>
              <w:jc w:val="center"/>
              <w:rPr>
                <w:rFonts w:eastAsia="Calibri" w:asciiTheme="minorHAnsi" w:hAnsiTheme="minorHAnsi"/>
                <w:b/>
                <w:sz w:val="16"/>
                <w:szCs w:val="16"/>
              </w:rPr>
            </w:pPr>
          </w:p>
        </w:tc>
      </w:tr>
    </w:tbl>
    <w:p w:rsidRPr="00A110F0" w:rsidR="00B1396E" w:rsidP="00B1396E" w:rsidRDefault="00B1396E" w14:paraId="5C7CDA7E" w14:textId="77777777">
      <w:pPr>
        <w:tabs>
          <w:tab w:val="left" w:pos="540"/>
        </w:tabs>
        <w:ind w:left="540"/>
        <w:rPr>
          <w:rFonts w:asciiTheme="minorHAnsi" w:hAnsiTheme="minorHAnsi"/>
          <w:sz w:val="16"/>
          <w:szCs w:val="16"/>
        </w:rPr>
      </w:pPr>
    </w:p>
    <w:tbl>
      <w:tblPr>
        <w:tblW w:w="1014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17"/>
        <w:gridCol w:w="1170"/>
        <w:gridCol w:w="900"/>
        <w:gridCol w:w="990"/>
        <w:gridCol w:w="1170"/>
        <w:gridCol w:w="3600"/>
      </w:tblGrid>
      <w:tr w:rsidRPr="00A110F0" w:rsidR="00B1396E" w:rsidTr="00F57135" w14:paraId="41820A2F" w14:textId="77777777">
        <w:trPr>
          <w:trHeight w:val="253"/>
        </w:trPr>
        <w:tc>
          <w:tcPr>
            <w:tcW w:w="2317" w:type="dxa"/>
            <w:vMerge w:val="restart"/>
            <w:shd w:val="clear" w:color="auto" w:fill="4472C4" w:themeFill="accent1"/>
            <w:vAlign w:val="center"/>
          </w:tcPr>
          <w:p w:rsidRPr="00A110F0" w:rsidR="00B1396E" w:rsidP="004050B9" w:rsidRDefault="00B1396E" w14:paraId="3CD7012B" w14:textId="77777777">
            <w:pPr>
              <w:keepNext/>
              <w:shd w:val="clear" w:color="auto" w:fill="4472C4"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070" w:type="dxa"/>
            <w:gridSpan w:val="2"/>
            <w:tcBorders>
              <w:bottom w:val="single" w:color="auto" w:sz="4" w:space="0"/>
            </w:tcBorders>
            <w:shd w:val="clear" w:color="auto" w:fill="4472C4" w:themeFill="accent1"/>
            <w:vAlign w:val="center"/>
          </w:tcPr>
          <w:p w:rsidRPr="00A110F0" w:rsidR="00B1396E" w:rsidP="004050B9" w:rsidRDefault="00B1396E" w14:paraId="1F54AFF5" w14:textId="77777777">
            <w:pPr>
              <w:keepNext/>
              <w:shd w:val="clear" w:color="auto" w:fill="4472C4"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160" w:type="dxa"/>
            <w:gridSpan w:val="2"/>
            <w:shd w:val="clear" w:color="auto" w:fill="4472C4" w:themeFill="accent1"/>
          </w:tcPr>
          <w:p w:rsidRPr="00A110F0" w:rsidR="00B1396E" w:rsidP="004050B9" w:rsidRDefault="00B1396E" w14:paraId="0EEEFB9C" w14:textId="77777777">
            <w:pPr>
              <w:keepNext/>
              <w:shd w:val="clear" w:color="auto" w:fill="4472C4"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600" w:type="dxa"/>
            <w:vMerge w:val="restart"/>
            <w:tcBorders>
              <w:right w:val="single" w:color="auto" w:sz="4" w:space="0"/>
            </w:tcBorders>
            <w:shd w:val="clear" w:color="auto" w:fill="4472C4" w:themeFill="accent1"/>
            <w:vAlign w:val="center"/>
          </w:tcPr>
          <w:p w:rsidRPr="00A110F0" w:rsidR="00B1396E" w:rsidP="004050B9" w:rsidRDefault="00B1396E" w14:paraId="01374C98" w14:textId="77777777">
            <w:pPr>
              <w:keepNext/>
              <w:shd w:val="clear" w:color="auto" w:fill="4472C4"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B1396E" w:rsidTr="00F57135" w14:paraId="0781268A" w14:textId="77777777">
        <w:trPr>
          <w:trHeight w:val="253"/>
        </w:trPr>
        <w:tc>
          <w:tcPr>
            <w:tcW w:w="2317" w:type="dxa"/>
            <w:vMerge/>
            <w:shd w:val="clear" w:color="auto" w:fill="4472C4" w:themeFill="accent1"/>
            <w:vAlign w:val="center"/>
          </w:tcPr>
          <w:p w:rsidRPr="00A110F0" w:rsidR="00B1396E" w:rsidP="004050B9" w:rsidRDefault="00B1396E" w14:paraId="34CD71EF" w14:textId="77777777">
            <w:pPr>
              <w:keepNext/>
              <w:jc w:val="center"/>
              <w:rPr>
                <w:rFonts w:eastAsia="Calibri" w:asciiTheme="minorHAnsi" w:hAnsiTheme="minorHAnsi"/>
                <w:sz w:val="16"/>
                <w:szCs w:val="16"/>
              </w:rPr>
            </w:pPr>
          </w:p>
        </w:tc>
        <w:tc>
          <w:tcPr>
            <w:tcW w:w="1170" w:type="dxa"/>
            <w:tcBorders>
              <w:bottom w:val="single" w:color="auto" w:sz="4" w:space="0"/>
              <w:right w:val="dashSmallGap" w:color="auto" w:sz="4" w:space="0"/>
            </w:tcBorders>
            <w:shd w:val="clear" w:color="auto" w:fill="FBE4D5"/>
            <w:vAlign w:val="center"/>
          </w:tcPr>
          <w:p w:rsidRPr="00A110F0" w:rsidR="00B1396E" w:rsidP="004050B9" w:rsidRDefault="00B1396E" w14:paraId="4898C05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900" w:type="dxa"/>
            <w:tcBorders>
              <w:left w:val="dashSmallGap" w:color="auto" w:sz="4" w:space="0"/>
              <w:bottom w:val="single" w:color="auto" w:sz="4" w:space="0"/>
            </w:tcBorders>
            <w:shd w:val="clear" w:color="auto" w:fill="FBE4D5"/>
            <w:vAlign w:val="center"/>
          </w:tcPr>
          <w:p w:rsidRPr="00A110F0" w:rsidR="00B1396E" w:rsidP="004050B9" w:rsidRDefault="00B1396E" w14:paraId="2718376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990" w:type="dxa"/>
            <w:tcBorders>
              <w:right w:val="dashSmallGap" w:color="auto" w:sz="4" w:space="0"/>
            </w:tcBorders>
            <w:shd w:val="clear" w:color="auto" w:fill="FBE4D5"/>
            <w:vAlign w:val="center"/>
          </w:tcPr>
          <w:p w:rsidRPr="00A110F0" w:rsidR="00B1396E" w:rsidP="004050B9" w:rsidRDefault="00B1396E" w14:paraId="67133EA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70" w:type="dxa"/>
            <w:tcBorders>
              <w:left w:val="dashSmallGap" w:color="auto" w:sz="4" w:space="0"/>
            </w:tcBorders>
            <w:shd w:val="clear" w:color="auto" w:fill="FBE4D5"/>
            <w:vAlign w:val="center"/>
          </w:tcPr>
          <w:p w:rsidRPr="00A110F0" w:rsidR="00B1396E" w:rsidP="004050B9" w:rsidRDefault="00B1396E" w14:paraId="6857F97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600" w:type="dxa"/>
            <w:vMerge/>
            <w:tcBorders>
              <w:right w:val="single" w:color="auto" w:sz="4" w:space="0"/>
            </w:tcBorders>
            <w:shd w:val="clear" w:color="auto" w:fill="FBE4D5"/>
            <w:vAlign w:val="center"/>
          </w:tcPr>
          <w:p w:rsidRPr="00A110F0" w:rsidR="00B1396E" w:rsidP="004050B9" w:rsidRDefault="00B1396E" w14:paraId="12093D4B" w14:textId="77777777">
            <w:pPr>
              <w:keepNext/>
              <w:rPr>
                <w:rFonts w:eastAsia="Calibri" w:asciiTheme="minorHAnsi" w:hAnsiTheme="minorHAnsi"/>
                <w:sz w:val="16"/>
                <w:szCs w:val="16"/>
              </w:rPr>
            </w:pPr>
          </w:p>
        </w:tc>
      </w:tr>
      <w:tr w:rsidRPr="00A110F0" w:rsidR="008766B5" w:rsidTr="00F57135" w14:paraId="10AA9C1D" w14:textId="77777777">
        <w:trPr>
          <w:trHeight w:val="253"/>
        </w:trPr>
        <w:tc>
          <w:tcPr>
            <w:tcW w:w="2317" w:type="dxa"/>
            <w:shd w:val="clear" w:color="auto" w:fill="auto"/>
            <w:vAlign w:val="center"/>
          </w:tcPr>
          <w:p w:rsidRPr="00A110F0" w:rsidR="008766B5" w:rsidP="008766B5" w:rsidRDefault="008766B5" w14:paraId="00B029C5" w14:textId="189C2F88">
            <w:pPr>
              <w:keepNext/>
              <w:rPr>
                <w:rFonts w:eastAsia="Calibri" w:asciiTheme="minorHAnsi" w:hAnsiTheme="minorHAnsi"/>
                <w:sz w:val="16"/>
                <w:szCs w:val="16"/>
              </w:rPr>
            </w:pPr>
            <w:r w:rsidRPr="00CA2B37">
              <w:rPr>
                <w:rFonts w:ascii="Calibri" w:hAnsi="Calibri" w:cs="Calibri"/>
                <w:color w:val="000000"/>
                <w:sz w:val="16"/>
                <w:szCs w:val="16"/>
              </w:rPr>
              <w:t> </w:t>
            </w:r>
            <w:r>
              <w:rPr>
                <w:rFonts w:ascii="Calibri" w:hAnsi="Calibri" w:cs="Calibri"/>
                <w:color w:val="000000"/>
                <w:sz w:val="16"/>
                <w:szCs w:val="16"/>
              </w:rPr>
              <w:t>Cost and Earnings Survey</w:t>
            </w:r>
          </w:p>
        </w:tc>
        <w:tc>
          <w:tcPr>
            <w:tcW w:w="1170" w:type="dxa"/>
            <w:tcBorders>
              <w:bottom w:val="dotted" w:color="auto" w:sz="4" w:space="0"/>
              <w:right w:val="dashSmallGap" w:color="auto" w:sz="4" w:space="0"/>
            </w:tcBorders>
            <w:shd w:val="clear" w:color="auto" w:fill="auto"/>
            <w:vAlign w:val="center"/>
          </w:tcPr>
          <w:p w:rsidRPr="00A110F0" w:rsidR="008766B5" w:rsidP="008766B5" w:rsidRDefault="008766B5" w14:paraId="013F0F6F" w14:textId="17353D01">
            <w:pPr>
              <w:jc w:val="center"/>
              <w:rPr>
                <w:rFonts w:eastAsia="Calibri" w:asciiTheme="minorHAnsi" w:hAnsiTheme="minorHAnsi"/>
                <w:sz w:val="16"/>
                <w:szCs w:val="16"/>
              </w:rPr>
            </w:pPr>
            <w:r>
              <w:rPr>
                <w:rFonts w:eastAsia="Calibri" w:asciiTheme="minorHAnsi" w:hAnsiTheme="minorHAnsi"/>
                <w:sz w:val="16"/>
                <w:szCs w:val="16"/>
              </w:rPr>
              <w:t>$18,000</w:t>
            </w:r>
          </w:p>
        </w:tc>
        <w:tc>
          <w:tcPr>
            <w:tcW w:w="900" w:type="dxa"/>
            <w:tcBorders>
              <w:left w:val="dashSmallGap" w:color="auto" w:sz="4" w:space="0"/>
              <w:bottom w:val="dotted" w:color="auto" w:sz="4" w:space="0"/>
            </w:tcBorders>
            <w:shd w:val="clear" w:color="auto" w:fill="auto"/>
            <w:vAlign w:val="center"/>
          </w:tcPr>
          <w:p w:rsidRPr="00A110F0" w:rsidR="008766B5" w:rsidP="008766B5" w:rsidRDefault="008766B5" w14:paraId="6B3FD6E3" w14:textId="16894A24">
            <w:pPr>
              <w:keepNext/>
              <w:jc w:val="center"/>
              <w:rPr>
                <w:rFonts w:eastAsia="Calibri" w:asciiTheme="minorHAnsi" w:hAnsiTheme="minorHAnsi"/>
                <w:sz w:val="16"/>
                <w:szCs w:val="16"/>
              </w:rPr>
            </w:pPr>
            <w:r>
              <w:rPr>
                <w:rFonts w:eastAsia="Calibri" w:asciiTheme="minorHAnsi" w:hAnsiTheme="minorHAnsi"/>
                <w:sz w:val="16"/>
                <w:szCs w:val="16"/>
              </w:rPr>
              <w:t>$64,340</w:t>
            </w:r>
          </w:p>
        </w:tc>
        <w:tc>
          <w:tcPr>
            <w:tcW w:w="990" w:type="dxa"/>
            <w:tcBorders>
              <w:left w:val="dotted" w:color="auto" w:sz="4" w:space="0"/>
              <w:bottom w:val="dotted" w:color="auto" w:sz="4" w:space="0"/>
              <w:right w:val="dashSmallGap" w:color="auto" w:sz="4" w:space="0"/>
            </w:tcBorders>
            <w:vAlign w:val="center"/>
          </w:tcPr>
          <w:p w:rsidRPr="00A110F0" w:rsidR="008766B5" w:rsidP="008766B5" w:rsidRDefault="008766B5" w14:paraId="0B23A555" w14:textId="204492EB">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right w:val="single" w:color="auto" w:sz="4" w:space="0"/>
            </w:tcBorders>
            <w:vAlign w:val="center"/>
          </w:tcPr>
          <w:p w:rsidRPr="00A110F0" w:rsidR="008766B5" w:rsidP="008766B5" w:rsidRDefault="008766B5" w14:paraId="718A7788" w14:textId="3502C871">
            <w:pPr>
              <w:keepNext/>
              <w:jc w:val="center"/>
              <w:rPr>
                <w:rFonts w:eastAsia="Calibri" w:asciiTheme="minorHAnsi" w:hAnsiTheme="minorHAnsi"/>
                <w:sz w:val="16"/>
                <w:szCs w:val="16"/>
              </w:rPr>
            </w:pPr>
            <w:r>
              <w:rPr>
                <w:rFonts w:eastAsia="Calibri" w:asciiTheme="minorHAnsi" w:hAnsiTheme="minorHAnsi"/>
                <w:sz w:val="16"/>
                <w:szCs w:val="16"/>
              </w:rPr>
              <w:t>0</w:t>
            </w:r>
          </w:p>
        </w:tc>
        <w:tc>
          <w:tcPr>
            <w:tcW w:w="3600" w:type="dxa"/>
            <w:tcBorders>
              <w:left w:val="single" w:color="auto" w:sz="4" w:space="0"/>
              <w:bottom w:val="dotted" w:color="auto" w:sz="4" w:space="0"/>
              <w:right w:val="single" w:color="auto" w:sz="4" w:space="0"/>
            </w:tcBorders>
            <w:shd w:val="clear" w:color="auto" w:fill="auto"/>
            <w:vAlign w:val="center"/>
          </w:tcPr>
          <w:p w:rsidRPr="00A110F0" w:rsidR="008766B5" w:rsidP="008766B5" w:rsidRDefault="008766B5" w14:paraId="68188B73" w14:textId="1E2E3613">
            <w:pPr>
              <w:keepNext/>
              <w:rPr>
                <w:rFonts w:eastAsia="Calibri" w:asciiTheme="minorHAnsi" w:hAnsiTheme="minorHAnsi"/>
                <w:sz w:val="16"/>
                <w:szCs w:val="16"/>
              </w:rPr>
            </w:pPr>
            <w:r>
              <w:rPr>
                <w:rFonts w:eastAsia="Calibri" w:asciiTheme="minorHAnsi" w:hAnsiTheme="minorHAnsi"/>
                <w:sz w:val="16"/>
                <w:szCs w:val="16"/>
              </w:rPr>
              <w:t>Number of respondents updated to reflect annualized number of anticipated respondents, rather than t</w:t>
            </w:r>
            <w:bookmarkStart w:name="_GoBack" w:id="0"/>
            <w:bookmarkEnd w:id="0"/>
            <w:r>
              <w:rPr>
                <w:rFonts w:eastAsia="Calibri" w:asciiTheme="minorHAnsi" w:hAnsiTheme="minorHAnsi"/>
                <w:sz w:val="16"/>
                <w:szCs w:val="16"/>
              </w:rPr>
              <w:t>otal respondents for a one-time collection. Some previously intended respondents have become unavailable to participate</w:t>
            </w:r>
          </w:p>
        </w:tc>
      </w:tr>
      <w:tr w:rsidRPr="00A110F0" w:rsidR="008766B5" w:rsidTr="00F57135" w14:paraId="1B84C81C" w14:textId="77777777">
        <w:trPr>
          <w:trHeight w:val="253"/>
        </w:trPr>
        <w:tc>
          <w:tcPr>
            <w:tcW w:w="2317" w:type="dxa"/>
            <w:shd w:val="clear" w:color="auto" w:fill="B4C6E7" w:themeFill="accent1" w:themeFillTint="66"/>
            <w:vAlign w:val="center"/>
          </w:tcPr>
          <w:p w:rsidRPr="00A110F0" w:rsidR="008766B5" w:rsidP="008766B5" w:rsidRDefault="008766B5" w14:paraId="589028F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170" w:type="dxa"/>
            <w:tcBorders>
              <w:right w:val="dashSmallGap" w:color="auto" w:sz="4" w:space="0"/>
            </w:tcBorders>
            <w:shd w:val="clear" w:color="auto" w:fill="B4C6E7" w:themeFill="accent1" w:themeFillTint="66"/>
            <w:vAlign w:val="center"/>
          </w:tcPr>
          <w:p w:rsidRPr="00A110F0" w:rsidR="008766B5" w:rsidP="008766B5" w:rsidRDefault="008766B5" w14:paraId="2D7FED9C" w14:textId="77777777">
            <w:pPr>
              <w:keepNext/>
              <w:jc w:val="center"/>
              <w:rPr>
                <w:rFonts w:eastAsia="Calibri" w:asciiTheme="minorHAnsi" w:hAnsiTheme="minorHAnsi"/>
                <w:b/>
                <w:sz w:val="16"/>
                <w:szCs w:val="16"/>
              </w:rPr>
            </w:pPr>
          </w:p>
        </w:tc>
        <w:tc>
          <w:tcPr>
            <w:tcW w:w="900" w:type="dxa"/>
            <w:tcBorders>
              <w:left w:val="dashSmallGap" w:color="auto" w:sz="4" w:space="0"/>
            </w:tcBorders>
            <w:shd w:val="clear" w:color="auto" w:fill="B4C6E7" w:themeFill="accent1" w:themeFillTint="66"/>
            <w:vAlign w:val="center"/>
          </w:tcPr>
          <w:p w:rsidRPr="00A110F0" w:rsidR="008766B5" w:rsidP="008766B5" w:rsidRDefault="008766B5" w14:paraId="1FCB52C4" w14:textId="77777777">
            <w:pPr>
              <w:jc w:val="center"/>
              <w:rPr>
                <w:rFonts w:eastAsia="Calibri" w:asciiTheme="minorHAnsi" w:hAnsiTheme="minorHAnsi"/>
                <w:b/>
                <w:bCs/>
                <w:sz w:val="16"/>
                <w:szCs w:val="16"/>
              </w:rPr>
            </w:pPr>
          </w:p>
        </w:tc>
        <w:tc>
          <w:tcPr>
            <w:tcW w:w="990" w:type="dxa"/>
            <w:tcBorders>
              <w:left w:val="dotted" w:color="auto" w:sz="4" w:space="0"/>
              <w:right w:val="dashSmallGap" w:color="auto" w:sz="4" w:space="0"/>
            </w:tcBorders>
            <w:shd w:val="clear" w:color="auto" w:fill="B4C6E7" w:themeFill="accent1" w:themeFillTint="66"/>
            <w:vAlign w:val="center"/>
          </w:tcPr>
          <w:p w:rsidRPr="00A110F0" w:rsidR="008766B5" w:rsidP="008766B5" w:rsidRDefault="008766B5" w14:paraId="5632DB8E" w14:textId="77777777">
            <w:pPr>
              <w:keepNext/>
              <w:jc w:val="center"/>
              <w:rPr>
                <w:rFonts w:eastAsia="Calibri" w:asciiTheme="minorHAnsi" w:hAnsiTheme="minorHAnsi"/>
                <w:b/>
                <w:sz w:val="16"/>
                <w:szCs w:val="16"/>
              </w:rPr>
            </w:pPr>
          </w:p>
        </w:tc>
        <w:tc>
          <w:tcPr>
            <w:tcW w:w="1170" w:type="dxa"/>
            <w:tcBorders>
              <w:left w:val="dashSmallGap" w:color="auto" w:sz="4" w:space="0"/>
              <w:right w:val="single" w:color="auto" w:sz="4" w:space="0"/>
            </w:tcBorders>
            <w:shd w:val="clear" w:color="auto" w:fill="B4C6E7" w:themeFill="accent1" w:themeFillTint="66"/>
            <w:vAlign w:val="center"/>
          </w:tcPr>
          <w:p w:rsidRPr="00A110F0" w:rsidR="008766B5" w:rsidP="008766B5" w:rsidRDefault="008766B5" w14:paraId="781DB2D2" w14:textId="77777777">
            <w:pPr>
              <w:keepNext/>
              <w:jc w:val="center"/>
              <w:rPr>
                <w:rFonts w:eastAsia="Calibri" w:asciiTheme="minorHAnsi" w:hAnsiTheme="minorHAnsi"/>
                <w:b/>
                <w:sz w:val="16"/>
                <w:szCs w:val="16"/>
              </w:rPr>
            </w:pPr>
          </w:p>
        </w:tc>
        <w:tc>
          <w:tcPr>
            <w:tcW w:w="3600" w:type="dxa"/>
            <w:tcBorders>
              <w:left w:val="single" w:color="auto" w:sz="4" w:space="0"/>
              <w:right w:val="single" w:color="auto" w:sz="4" w:space="0"/>
            </w:tcBorders>
            <w:shd w:val="clear" w:color="auto" w:fill="000000" w:themeFill="text1"/>
            <w:vAlign w:val="center"/>
          </w:tcPr>
          <w:p w:rsidRPr="00A110F0" w:rsidR="008766B5" w:rsidP="008766B5" w:rsidRDefault="008766B5" w14:paraId="26621322" w14:textId="77777777">
            <w:pPr>
              <w:keepNext/>
              <w:jc w:val="center"/>
              <w:rPr>
                <w:rFonts w:eastAsia="Calibri" w:asciiTheme="minorHAnsi" w:hAnsiTheme="minorHAnsi"/>
                <w:b/>
                <w:sz w:val="16"/>
                <w:szCs w:val="16"/>
              </w:rPr>
            </w:pPr>
          </w:p>
        </w:tc>
      </w:tr>
      <w:tr w:rsidRPr="00A110F0" w:rsidR="008766B5" w:rsidTr="00F57135" w14:paraId="7C136CB2" w14:textId="77777777">
        <w:trPr>
          <w:trHeight w:val="240"/>
        </w:trPr>
        <w:tc>
          <w:tcPr>
            <w:tcW w:w="2317" w:type="dxa"/>
            <w:shd w:val="clear" w:color="auto" w:fill="FBE4D5" w:themeFill="accent2" w:themeFillTint="33"/>
            <w:vAlign w:val="center"/>
          </w:tcPr>
          <w:p w:rsidRPr="00A110F0" w:rsidR="008766B5" w:rsidP="008766B5" w:rsidRDefault="008766B5" w14:paraId="4FFD9BF5"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070" w:type="dxa"/>
            <w:gridSpan w:val="2"/>
            <w:shd w:val="clear" w:color="auto" w:fill="FBE4D5" w:themeFill="accent2" w:themeFillTint="33"/>
            <w:vAlign w:val="center"/>
          </w:tcPr>
          <w:p w:rsidRPr="00A110F0" w:rsidR="008766B5" w:rsidP="008766B5" w:rsidRDefault="008766B5" w14:paraId="4F54F246" w14:textId="0ECC6023">
            <w:pPr>
              <w:jc w:val="center"/>
              <w:rPr>
                <w:rFonts w:eastAsia="Calibri" w:asciiTheme="minorHAnsi" w:hAnsiTheme="minorHAnsi"/>
                <w:b/>
                <w:bCs/>
                <w:sz w:val="16"/>
                <w:szCs w:val="16"/>
              </w:rPr>
            </w:pPr>
            <w:r>
              <w:rPr>
                <w:rFonts w:eastAsia="Calibri" w:asciiTheme="minorHAnsi" w:hAnsiTheme="minorHAnsi"/>
                <w:b/>
                <w:bCs/>
                <w:sz w:val="16"/>
                <w:szCs w:val="16"/>
              </w:rPr>
              <w:t>-$46,340</w:t>
            </w:r>
          </w:p>
        </w:tc>
        <w:tc>
          <w:tcPr>
            <w:tcW w:w="2160" w:type="dxa"/>
            <w:gridSpan w:val="2"/>
            <w:tcBorders>
              <w:left w:val="dotted" w:color="auto" w:sz="4" w:space="0"/>
              <w:right w:val="single" w:color="auto" w:sz="4" w:space="0"/>
            </w:tcBorders>
            <w:shd w:val="clear" w:color="auto" w:fill="FBE4D5" w:themeFill="accent2" w:themeFillTint="33"/>
            <w:vAlign w:val="center"/>
          </w:tcPr>
          <w:p w:rsidRPr="00A110F0" w:rsidR="008766B5" w:rsidP="008766B5" w:rsidRDefault="008766B5" w14:paraId="08DF5355" w14:textId="75A50326">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3600" w:type="dxa"/>
            <w:tcBorders>
              <w:left w:val="single" w:color="auto" w:sz="4" w:space="0"/>
              <w:bottom w:val="single" w:color="auto" w:sz="4" w:space="0"/>
              <w:right w:val="single" w:color="auto" w:sz="4" w:space="0"/>
            </w:tcBorders>
            <w:shd w:val="clear" w:color="auto" w:fill="000000" w:themeFill="text1"/>
            <w:vAlign w:val="center"/>
          </w:tcPr>
          <w:p w:rsidRPr="00A110F0" w:rsidR="008766B5" w:rsidP="008766B5" w:rsidRDefault="008766B5" w14:paraId="7A8C8691" w14:textId="77777777">
            <w:pPr>
              <w:keepNext/>
              <w:jc w:val="center"/>
              <w:rPr>
                <w:rFonts w:eastAsia="Calibri" w:asciiTheme="minorHAnsi" w:hAnsiTheme="minorHAnsi"/>
                <w:b/>
                <w:sz w:val="16"/>
                <w:szCs w:val="16"/>
              </w:rPr>
            </w:pPr>
          </w:p>
        </w:tc>
      </w:tr>
    </w:tbl>
    <w:p w:rsidRPr="008B27F8" w:rsidR="00B1396E" w:rsidRDefault="00B1396E" w14:paraId="7FF97822" w14:textId="77777777">
      <w:pPr>
        <w:rPr>
          <w:sz w:val="24"/>
          <w:szCs w:val="24"/>
        </w:rPr>
      </w:pPr>
    </w:p>
    <w:p w:rsidRPr="008B27F8" w:rsidR="00DA4FE4" w:rsidRDefault="00DA4FE4" w14:paraId="63C62F2A" w14:textId="77777777">
      <w:pPr>
        <w:rPr>
          <w:sz w:val="24"/>
          <w:szCs w:val="24"/>
        </w:rPr>
      </w:pPr>
    </w:p>
    <w:p w:rsidRPr="008B27F8" w:rsidR="004F26E9" w:rsidRDefault="004F26E9" w14:paraId="450C5266" w14:textId="77777777">
      <w:pPr>
        <w:rPr>
          <w:b/>
          <w:bCs/>
          <w:sz w:val="24"/>
          <w:szCs w:val="24"/>
        </w:rPr>
      </w:pPr>
      <w:r w:rsidRPr="008B27F8">
        <w:rPr>
          <w:b/>
          <w:bCs/>
          <w:sz w:val="24"/>
          <w:szCs w:val="24"/>
        </w:rPr>
        <w:t xml:space="preserve">16.  </w:t>
      </w:r>
      <w:r w:rsidRPr="008B27F8">
        <w:rPr>
          <w:b/>
          <w:bCs/>
          <w:sz w:val="24"/>
          <w:szCs w:val="24"/>
          <w:u w:val="single"/>
        </w:rPr>
        <w:t>For collections whose results will be published, outline the plans for tabulation and publication</w:t>
      </w:r>
      <w:r w:rsidRPr="008B27F8">
        <w:rPr>
          <w:b/>
          <w:bCs/>
          <w:sz w:val="24"/>
          <w:szCs w:val="24"/>
        </w:rPr>
        <w:t>.</w:t>
      </w:r>
    </w:p>
    <w:p w:rsidRPr="008B27F8" w:rsidR="00D6744B" w:rsidP="00C213B7" w:rsidRDefault="00D6744B" w14:paraId="04C1DB5D" w14:textId="77777777">
      <w:pPr>
        <w:rPr>
          <w:sz w:val="24"/>
          <w:szCs w:val="24"/>
        </w:rPr>
      </w:pPr>
    </w:p>
    <w:p w:rsidRPr="008B27F8" w:rsidR="00C213B7" w:rsidP="00C213B7" w:rsidRDefault="00C213B7" w14:paraId="1C093D21" w14:textId="77777777">
      <w:pPr>
        <w:rPr>
          <w:sz w:val="24"/>
          <w:szCs w:val="24"/>
        </w:rPr>
      </w:pPr>
      <w:r w:rsidRPr="008B27F8">
        <w:rPr>
          <w:sz w:val="24"/>
          <w:szCs w:val="24"/>
        </w:rPr>
        <w:t>Survey results will be reported in SWFSC’s administrative</w:t>
      </w:r>
      <w:r w:rsidRPr="008B27F8" w:rsidR="00104BFF">
        <w:rPr>
          <w:sz w:val="24"/>
          <w:szCs w:val="24"/>
        </w:rPr>
        <w:t xml:space="preserve"> or technical</w:t>
      </w:r>
      <w:r w:rsidRPr="008B27F8">
        <w:rPr>
          <w:sz w:val="24"/>
          <w:szCs w:val="24"/>
        </w:rPr>
        <w:t xml:space="preserve"> report and published on the NMFS web site. Summaries will include descriptive statistics (such as mean and standard deviation) of the various cost and earnings categories.</w:t>
      </w:r>
    </w:p>
    <w:p w:rsidRPr="008B27F8" w:rsidR="00743124" w:rsidRDefault="00743124" w14:paraId="297AD343" w14:textId="77777777">
      <w:pPr>
        <w:rPr>
          <w:sz w:val="24"/>
          <w:szCs w:val="24"/>
        </w:rPr>
      </w:pPr>
    </w:p>
    <w:p w:rsidRPr="008B27F8" w:rsidR="004F26E9" w:rsidRDefault="00C213B7" w14:paraId="680774A0" w14:textId="77777777">
      <w:pPr>
        <w:rPr>
          <w:sz w:val="24"/>
          <w:szCs w:val="24"/>
        </w:rPr>
      </w:pPr>
      <w:r w:rsidRPr="008B27F8">
        <w:rPr>
          <w:sz w:val="24"/>
          <w:szCs w:val="24"/>
        </w:rPr>
        <w:t xml:space="preserve">Survey results will be </w:t>
      </w:r>
      <w:r w:rsidRPr="008B27F8" w:rsidR="002C1B0E">
        <w:rPr>
          <w:sz w:val="24"/>
          <w:szCs w:val="24"/>
        </w:rPr>
        <w:t xml:space="preserve">used to support </w:t>
      </w:r>
      <w:r w:rsidRPr="008B27F8">
        <w:rPr>
          <w:sz w:val="24"/>
          <w:szCs w:val="24"/>
        </w:rPr>
        <w:t xml:space="preserve">studies prepared for </w:t>
      </w:r>
      <w:r w:rsidRPr="008B27F8" w:rsidR="00104BFF">
        <w:rPr>
          <w:sz w:val="24"/>
          <w:szCs w:val="24"/>
        </w:rPr>
        <w:t>the Pacific Fisheries M</w:t>
      </w:r>
      <w:r w:rsidRPr="008B27F8">
        <w:rPr>
          <w:sz w:val="24"/>
          <w:szCs w:val="24"/>
        </w:rPr>
        <w:t>anagement</w:t>
      </w:r>
      <w:r w:rsidRPr="008B27F8" w:rsidR="00104BFF">
        <w:rPr>
          <w:sz w:val="24"/>
          <w:szCs w:val="24"/>
        </w:rPr>
        <w:t xml:space="preserve"> Council and NMFS management</w:t>
      </w:r>
      <w:r w:rsidRPr="008B27F8">
        <w:rPr>
          <w:sz w:val="24"/>
          <w:szCs w:val="24"/>
        </w:rPr>
        <w:t>. Results may also be discussed in conference presentations, public meetings, and technical guides. All reporting of survey results will conform to data confidentiality requirements. Qualified researchers with confidentiality agreements will have access to raw data for performing future analyses.</w:t>
      </w:r>
    </w:p>
    <w:p w:rsidRPr="008B27F8" w:rsidR="004F26E9" w:rsidRDefault="004F26E9" w14:paraId="0111FC50" w14:textId="77777777">
      <w:pPr>
        <w:rPr>
          <w:sz w:val="24"/>
          <w:szCs w:val="24"/>
        </w:rPr>
      </w:pPr>
    </w:p>
    <w:p w:rsidRPr="008B27F8" w:rsidR="004F26E9" w:rsidRDefault="004F26E9" w14:paraId="2A0948E7" w14:textId="77777777">
      <w:pPr>
        <w:rPr>
          <w:sz w:val="24"/>
          <w:szCs w:val="24"/>
        </w:rPr>
      </w:pPr>
      <w:r w:rsidRPr="008B27F8">
        <w:rPr>
          <w:b/>
          <w:bCs/>
          <w:sz w:val="24"/>
          <w:szCs w:val="24"/>
        </w:rPr>
        <w:t xml:space="preserve">17.  </w:t>
      </w:r>
      <w:r w:rsidRPr="008B27F8">
        <w:rPr>
          <w:b/>
          <w:bCs/>
          <w:sz w:val="24"/>
          <w:szCs w:val="24"/>
          <w:u w:val="single"/>
        </w:rPr>
        <w:t>If seeking approval to not display the expiration date for OMB approval of the information collection, explain the reasons why display would be inappropriate</w:t>
      </w:r>
      <w:r w:rsidRPr="008B27F8">
        <w:rPr>
          <w:b/>
          <w:bCs/>
          <w:sz w:val="24"/>
          <w:szCs w:val="24"/>
        </w:rPr>
        <w:t>.</w:t>
      </w:r>
    </w:p>
    <w:p w:rsidRPr="008B27F8" w:rsidR="00856A75" w:rsidRDefault="00856A75" w14:paraId="413E9678" w14:textId="77777777">
      <w:pPr>
        <w:rPr>
          <w:sz w:val="24"/>
          <w:szCs w:val="24"/>
        </w:rPr>
      </w:pPr>
    </w:p>
    <w:p w:rsidRPr="008B27F8" w:rsidR="004D3FFC" w:rsidP="004D3FFC" w:rsidRDefault="009F66DB" w14:paraId="191F42B0" w14:textId="34AD6439">
      <w:pPr>
        <w:rPr>
          <w:sz w:val="24"/>
          <w:szCs w:val="24"/>
        </w:rPr>
      </w:pPr>
      <w:r>
        <w:rPr>
          <w:color w:val="000000"/>
          <w:sz w:val="24"/>
          <w:szCs w:val="24"/>
        </w:rPr>
        <w:t>The expiration date will be displayed</w:t>
      </w:r>
    </w:p>
    <w:p w:rsidRPr="008B27F8" w:rsidR="004F26E9" w:rsidRDefault="004F26E9" w14:paraId="5F4E27DD" w14:textId="77777777">
      <w:pPr>
        <w:rPr>
          <w:sz w:val="24"/>
          <w:szCs w:val="24"/>
        </w:rPr>
      </w:pPr>
    </w:p>
    <w:p w:rsidRPr="008B27F8" w:rsidR="004F26E9" w:rsidRDefault="004F26E9" w14:paraId="545C1F87" w14:textId="77777777">
      <w:pPr>
        <w:rPr>
          <w:b/>
          <w:bCs/>
          <w:sz w:val="24"/>
          <w:szCs w:val="24"/>
        </w:rPr>
      </w:pPr>
      <w:r w:rsidRPr="008B27F8">
        <w:rPr>
          <w:b/>
          <w:bCs/>
          <w:sz w:val="24"/>
          <w:szCs w:val="24"/>
        </w:rPr>
        <w:t xml:space="preserve">18.  </w:t>
      </w:r>
      <w:r w:rsidRPr="008B27F8">
        <w:rPr>
          <w:b/>
          <w:bCs/>
          <w:sz w:val="24"/>
          <w:szCs w:val="24"/>
          <w:u w:val="single"/>
        </w:rPr>
        <w:t>Explain each</w:t>
      </w:r>
      <w:r w:rsidRPr="008B27F8" w:rsidR="00A52249">
        <w:rPr>
          <w:b/>
          <w:bCs/>
          <w:sz w:val="24"/>
          <w:szCs w:val="24"/>
          <w:u w:val="single"/>
        </w:rPr>
        <w:t xml:space="preserve"> exception to the certification </w:t>
      </w:r>
      <w:r w:rsidRPr="008B27F8">
        <w:rPr>
          <w:b/>
          <w:bCs/>
          <w:sz w:val="24"/>
          <w:szCs w:val="24"/>
          <w:u w:val="single"/>
        </w:rPr>
        <w:t>statement</w:t>
      </w:r>
      <w:r w:rsidRPr="008B27F8">
        <w:rPr>
          <w:b/>
          <w:bCs/>
          <w:sz w:val="24"/>
          <w:szCs w:val="24"/>
        </w:rPr>
        <w:t>.</w:t>
      </w:r>
    </w:p>
    <w:p w:rsidRPr="008B27F8" w:rsidR="00856A75" w:rsidRDefault="00856A75" w14:paraId="6D325A81" w14:textId="77777777">
      <w:pPr>
        <w:rPr>
          <w:sz w:val="24"/>
          <w:szCs w:val="24"/>
        </w:rPr>
      </w:pPr>
    </w:p>
    <w:p w:rsidRPr="008B27F8" w:rsidR="004F26E9" w:rsidRDefault="008F2C04" w14:paraId="4C7BE191" w14:textId="43153097">
      <w:pPr>
        <w:rPr>
          <w:sz w:val="24"/>
          <w:szCs w:val="24"/>
        </w:rPr>
      </w:pPr>
      <w:r w:rsidRPr="005643CC">
        <w:rPr>
          <w:sz w:val="24"/>
          <w:szCs w:val="24"/>
        </w:rPr>
        <w:t>There are no exceptions for compliance with provisions in the certification statement.</w:t>
      </w:r>
    </w:p>
    <w:sectPr w:rsidRPr="008B27F8" w:rsidR="004F26E9">
      <w:footerReference w:type="default" r:id="rId1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D3995" w14:textId="77777777" w:rsidR="0063657B" w:rsidRDefault="0063657B">
      <w:r>
        <w:separator/>
      </w:r>
    </w:p>
  </w:endnote>
  <w:endnote w:type="continuationSeparator" w:id="0">
    <w:p w14:paraId="3E364DCE" w14:textId="77777777" w:rsidR="0063657B" w:rsidRDefault="0063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848B" w14:textId="2D94F219"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766B5">
      <w:rPr>
        <w:rStyle w:val="PageNumber"/>
        <w:noProof/>
        <w:sz w:val="24"/>
        <w:szCs w:val="24"/>
      </w:rPr>
      <w:t>5</w:t>
    </w:r>
    <w:r>
      <w:rPr>
        <w:rStyle w:val="PageNumber"/>
        <w:sz w:val="24"/>
        <w:szCs w:val="24"/>
      </w:rPr>
      <w:fldChar w:fldCharType="end"/>
    </w:r>
  </w:p>
  <w:p w14:paraId="42658783" w14:textId="77777777" w:rsidR="004F26E9" w:rsidRDefault="004F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CB9A8" w14:textId="77777777" w:rsidR="0063657B" w:rsidRDefault="0063657B">
      <w:r>
        <w:separator/>
      </w:r>
    </w:p>
  </w:footnote>
  <w:footnote w:type="continuationSeparator" w:id="0">
    <w:p w14:paraId="3A72E3DB" w14:textId="77777777" w:rsidR="0063657B" w:rsidRDefault="0063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A13AD"/>
    <w:multiLevelType w:val="hybridMultilevel"/>
    <w:tmpl w:val="033E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C33"/>
    <w:rsid w:val="000104E9"/>
    <w:rsid w:val="0001347A"/>
    <w:rsid w:val="00013F70"/>
    <w:rsid w:val="00014B8F"/>
    <w:rsid w:val="000300EE"/>
    <w:rsid w:val="0004033A"/>
    <w:rsid w:val="00041456"/>
    <w:rsid w:val="00074C8D"/>
    <w:rsid w:val="000B1AB1"/>
    <w:rsid w:val="000B59D6"/>
    <w:rsid w:val="000C091F"/>
    <w:rsid w:val="000C2A6E"/>
    <w:rsid w:val="000C2B82"/>
    <w:rsid w:val="000D4483"/>
    <w:rsid w:val="000E1422"/>
    <w:rsid w:val="00104BFF"/>
    <w:rsid w:val="00106374"/>
    <w:rsid w:val="00107F5D"/>
    <w:rsid w:val="00117707"/>
    <w:rsid w:val="00117E19"/>
    <w:rsid w:val="00130BE1"/>
    <w:rsid w:val="001426A8"/>
    <w:rsid w:val="00143BFC"/>
    <w:rsid w:val="00145919"/>
    <w:rsid w:val="00160AC8"/>
    <w:rsid w:val="00190761"/>
    <w:rsid w:val="001A6603"/>
    <w:rsid w:val="001A68BE"/>
    <w:rsid w:val="001A74F7"/>
    <w:rsid w:val="001B2B9D"/>
    <w:rsid w:val="001B5462"/>
    <w:rsid w:val="001D0B64"/>
    <w:rsid w:val="001D7BE2"/>
    <w:rsid w:val="001E20DF"/>
    <w:rsid w:val="001E6F72"/>
    <w:rsid w:val="00211315"/>
    <w:rsid w:val="0022017D"/>
    <w:rsid w:val="00232641"/>
    <w:rsid w:val="00237FE6"/>
    <w:rsid w:val="00251E63"/>
    <w:rsid w:val="00254CBD"/>
    <w:rsid w:val="00280952"/>
    <w:rsid w:val="002B18A4"/>
    <w:rsid w:val="002B5EB4"/>
    <w:rsid w:val="002B7255"/>
    <w:rsid w:val="002C1B0E"/>
    <w:rsid w:val="002C7A67"/>
    <w:rsid w:val="002D0623"/>
    <w:rsid w:val="002D5849"/>
    <w:rsid w:val="00301A8C"/>
    <w:rsid w:val="003140D8"/>
    <w:rsid w:val="003214E8"/>
    <w:rsid w:val="003230ED"/>
    <w:rsid w:val="003263FE"/>
    <w:rsid w:val="00330655"/>
    <w:rsid w:val="00374894"/>
    <w:rsid w:val="00375523"/>
    <w:rsid w:val="003A24FC"/>
    <w:rsid w:val="003B1CAD"/>
    <w:rsid w:val="003B6A4E"/>
    <w:rsid w:val="003E23FD"/>
    <w:rsid w:val="003F1A7C"/>
    <w:rsid w:val="004107E6"/>
    <w:rsid w:val="00410815"/>
    <w:rsid w:val="00427ACF"/>
    <w:rsid w:val="004302E5"/>
    <w:rsid w:val="004346C2"/>
    <w:rsid w:val="004572CB"/>
    <w:rsid w:val="00480502"/>
    <w:rsid w:val="0048257E"/>
    <w:rsid w:val="004937B1"/>
    <w:rsid w:val="004A07FF"/>
    <w:rsid w:val="004A654C"/>
    <w:rsid w:val="004B1FFA"/>
    <w:rsid w:val="004B41C2"/>
    <w:rsid w:val="004D3FFC"/>
    <w:rsid w:val="004F26E9"/>
    <w:rsid w:val="00502C69"/>
    <w:rsid w:val="005079A8"/>
    <w:rsid w:val="00532DD5"/>
    <w:rsid w:val="00540524"/>
    <w:rsid w:val="00556A67"/>
    <w:rsid w:val="00560882"/>
    <w:rsid w:val="00561F3E"/>
    <w:rsid w:val="00570035"/>
    <w:rsid w:val="00597EF9"/>
    <w:rsid w:val="005B5683"/>
    <w:rsid w:val="005C2E45"/>
    <w:rsid w:val="005F7BAA"/>
    <w:rsid w:val="006074CB"/>
    <w:rsid w:val="0061352B"/>
    <w:rsid w:val="00615112"/>
    <w:rsid w:val="0063657B"/>
    <w:rsid w:val="00663D7F"/>
    <w:rsid w:val="0066597F"/>
    <w:rsid w:val="00666CE4"/>
    <w:rsid w:val="00677B64"/>
    <w:rsid w:val="00680884"/>
    <w:rsid w:val="00680F30"/>
    <w:rsid w:val="006C0834"/>
    <w:rsid w:val="006C6451"/>
    <w:rsid w:val="006C67EC"/>
    <w:rsid w:val="006C68CB"/>
    <w:rsid w:val="006D78B9"/>
    <w:rsid w:val="00704D85"/>
    <w:rsid w:val="007248F1"/>
    <w:rsid w:val="00725C5C"/>
    <w:rsid w:val="0074026A"/>
    <w:rsid w:val="007418AA"/>
    <w:rsid w:val="00743124"/>
    <w:rsid w:val="00743647"/>
    <w:rsid w:val="00760494"/>
    <w:rsid w:val="00760A0A"/>
    <w:rsid w:val="007679F5"/>
    <w:rsid w:val="007707E2"/>
    <w:rsid w:val="007846AD"/>
    <w:rsid w:val="007A0AC9"/>
    <w:rsid w:val="007A5A5B"/>
    <w:rsid w:val="007A72D8"/>
    <w:rsid w:val="007C70D6"/>
    <w:rsid w:val="007E4EF6"/>
    <w:rsid w:val="007F4294"/>
    <w:rsid w:val="008032C9"/>
    <w:rsid w:val="008077BC"/>
    <w:rsid w:val="008117CE"/>
    <w:rsid w:val="00833898"/>
    <w:rsid w:val="00847891"/>
    <w:rsid w:val="008503BC"/>
    <w:rsid w:val="00854141"/>
    <w:rsid w:val="00856A21"/>
    <w:rsid w:val="00856A75"/>
    <w:rsid w:val="00857354"/>
    <w:rsid w:val="00866874"/>
    <w:rsid w:val="008715AB"/>
    <w:rsid w:val="008766B5"/>
    <w:rsid w:val="008916A9"/>
    <w:rsid w:val="00893B60"/>
    <w:rsid w:val="00896557"/>
    <w:rsid w:val="008971EF"/>
    <w:rsid w:val="008B27F8"/>
    <w:rsid w:val="008B5F0E"/>
    <w:rsid w:val="008D5245"/>
    <w:rsid w:val="008E3EA7"/>
    <w:rsid w:val="008E4604"/>
    <w:rsid w:val="008F2C04"/>
    <w:rsid w:val="008F2CDB"/>
    <w:rsid w:val="009046E8"/>
    <w:rsid w:val="00922BFD"/>
    <w:rsid w:val="009235A4"/>
    <w:rsid w:val="00936EEF"/>
    <w:rsid w:val="0094028C"/>
    <w:rsid w:val="0094479E"/>
    <w:rsid w:val="00957C1A"/>
    <w:rsid w:val="00963743"/>
    <w:rsid w:val="00993BAF"/>
    <w:rsid w:val="00994AE8"/>
    <w:rsid w:val="009A052C"/>
    <w:rsid w:val="009A0D8F"/>
    <w:rsid w:val="009A3DE2"/>
    <w:rsid w:val="009B3E01"/>
    <w:rsid w:val="009C502E"/>
    <w:rsid w:val="009C7F3D"/>
    <w:rsid w:val="009E186E"/>
    <w:rsid w:val="009F66DB"/>
    <w:rsid w:val="00A06653"/>
    <w:rsid w:val="00A11C8F"/>
    <w:rsid w:val="00A24907"/>
    <w:rsid w:val="00A4375C"/>
    <w:rsid w:val="00A5017C"/>
    <w:rsid w:val="00A52249"/>
    <w:rsid w:val="00A568D2"/>
    <w:rsid w:val="00A57346"/>
    <w:rsid w:val="00A66151"/>
    <w:rsid w:val="00A6758A"/>
    <w:rsid w:val="00A72735"/>
    <w:rsid w:val="00A91C36"/>
    <w:rsid w:val="00A91D9C"/>
    <w:rsid w:val="00A9205E"/>
    <w:rsid w:val="00AA4D24"/>
    <w:rsid w:val="00AA505F"/>
    <w:rsid w:val="00AA6EDC"/>
    <w:rsid w:val="00AB59EE"/>
    <w:rsid w:val="00AE28E7"/>
    <w:rsid w:val="00AE3106"/>
    <w:rsid w:val="00AE72B9"/>
    <w:rsid w:val="00AF0B9F"/>
    <w:rsid w:val="00AF3080"/>
    <w:rsid w:val="00B113E7"/>
    <w:rsid w:val="00B1396E"/>
    <w:rsid w:val="00B2762D"/>
    <w:rsid w:val="00B348C5"/>
    <w:rsid w:val="00B51875"/>
    <w:rsid w:val="00B53E03"/>
    <w:rsid w:val="00B6096A"/>
    <w:rsid w:val="00B6269E"/>
    <w:rsid w:val="00B64097"/>
    <w:rsid w:val="00B76D95"/>
    <w:rsid w:val="00B90F71"/>
    <w:rsid w:val="00B910A1"/>
    <w:rsid w:val="00B92222"/>
    <w:rsid w:val="00B9305E"/>
    <w:rsid w:val="00B95B58"/>
    <w:rsid w:val="00BA49DD"/>
    <w:rsid w:val="00BB4632"/>
    <w:rsid w:val="00BC62B2"/>
    <w:rsid w:val="00BC77EC"/>
    <w:rsid w:val="00BF2A14"/>
    <w:rsid w:val="00BF68FB"/>
    <w:rsid w:val="00C213B7"/>
    <w:rsid w:val="00C25189"/>
    <w:rsid w:val="00C40684"/>
    <w:rsid w:val="00C42A1B"/>
    <w:rsid w:val="00C44E16"/>
    <w:rsid w:val="00C47C06"/>
    <w:rsid w:val="00C73FA5"/>
    <w:rsid w:val="00C917AD"/>
    <w:rsid w:val="00C94F82"/>
    <w:rsid w:val="00CA626E"/>
    <w:rsid w:val="00CA67B6"/>
    <w:rsid w:val="00CD1119"/>
    <w:rsid w:val="00CD121A"/>
    <w:rsid w:val="00CD4CC2"/>
    <w:rsid w:val="00CE1E61"/>
    <w:rsid w:val="00CF05E1"/>
    <w:rsid w:val="00D00F59"/>
    <w:rsid w:val="00D13287"/>
    <w:rsid w:val="00D20434"/>
    <w:rsid w:val="00D21B68"/>
    <w:rsid w:val="00D33390"/>
    <w:rsid w:val="00D42D50"/>
    <w:rsid w:val="00D52FA9"/>
    <w:rsid w:val="00D53052"/>
    <w:rsid w:val="00D545DC"/>
    <w:rsid w:val="00D60513"/>
    <w:rsid w:val="00D668A6"/>
    <w:rsid w:val="00D6744B"/>
    <w:rsid w:val="00D72A23"/>
    <w:rsid w:val="00D81AE1"/>
    <w:rsid w:val="00D856C8"/>
    <w:rsid w:val="00DA4FE4"/>
    <w:rsid w:val="00DA7B95"/>
    <w:rsid w:val="00DC152D"/>
    <w:rsid w:val="00DC5A23"/>
    <w:rsid w:val="00DC5BF3"/>
    <w:rsid w:val="00DC6853"/>
    <w:rsid w:val="00DC7063"/>
    <w:rsid w:val="00E03E0C"/>
    <w:rsid w:val="00E11FD8"/>
    <w:rsid w:val="00E166E6"/>
    <w:rsid w:val="00E228E1"/>
    <w:rsid w:val="00E372A0"/>
    <w:rsid w:val="00E512C0"/>
    <w:rsid w:val="00E55233"/>
    <w:rsid w:val="00E917C0"/>
    <w:rsid w:val="00E97239"/>
    <w:rsid w:val="00E972B7"/>
    <w:rsid w:val="00EB493A"/>
    <w:rsid w:val="00EC1D62"/>
    <w:rsid w:val="00EC69BD"/>
    <w:rsid w:val="00EC77B8"/>
    <w:rsid w:val="00ED203E"/>
    <w:rsid w:val="00EF0434"/>
    <w:rsid w:val="00F16BFA"/>
    <w:rsid w:val="00F30FC8"/>
    <w:rsid w:val="00F31B23"/>
    <w:rsid w:val="00F506DE"/>
    <w:rsid w:val="00F525EF"/>
    <w:rsid w:val="00F56C90"/>
    <w:rsid w:val="00F57135"/>
    <w:rsid w:val="00F7439F"/>
    <w:rsid w:val="00F82ABB"/>
    <w:rsid w:val="00F924B3"/>
    <w:rsid w:val="00F9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142CE"/>
  <w15:chartTrackingRefBased/>
  <w15:docId w15:val="{FB71F00B-92B2-4682-B852-F221623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480502"/>
    <w:pPr>
      <w:keepNext/>
      <w:autoSpaceDE/>
      <w:autoSpaceDN/>
      <w:adjustRightInd/>
      <w:outlineLvl w:val="0"/>
    </w:pPr>
    <w:rPr>
      <w:rFonts w:eastAsia="SimSun"/>
      <w:snapToGrid w:val="0"/>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5B56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C5BF3"/>
    <w:rPr>
      <w:sz w:val="16"/>
      <w:szCs w:val="16"/>
    </w:rPr>
  </w:style>
  <w:style w:type="paragraph" w:styleId="CommentText">
    <w:name w:val="annotation text"/>
    <w:basedOn w:val="Normal"/>
    <w:link w:val="CommentTextChar"/>
    <w:rsid w:val="00DC5BF3"/>
  </w:style>
  <w:style w:type="character" w:customStyle="1" w:styleId="CommentTextChar">
    <w:name w:val="Comment Text Char"/>
    <w:basedOn w:val="DefaultParagraphFont"/>
    <w:link w:val="CommentText"/>
    <w:rsid w:val="00DC5BF3"/>
  </w:style>
  <w:style w:type="paragraph" w:styleId="CommentSubject">
    <w:name w:val="annotation subject"/>
    <w:basedOn w:val="CommentText"/>
    <w:next w:val="CommentText"/>
    <w:link w:val="CommentSubjectChar"/>
    <w:rsid w:val="00DC5BF3"/>
    <w:rPr>
      <w:b/>
      <w:bCs/>
      <w:lang w:val="x-none" w:eastAsia="x-none"/>
    </w:rPr>
  </w:style>
  <w:style w:type="character" w:customStyle="1" w:styleId="CommentSubjectChar">
    <w:name w:val="Comment Subject Char"/>
    <w:link w:val="CommentSubject"/>
    <w:rsid w:val="00DC5BF3"/>
    <w:rPr>
      <w:b/>
      <w:bCs/>
    </w:rPr>
  </w:style>
  <w:style w:type="paragraph" w:styleId="BalloonText">
    <w:name w:val="Balloon Text"/>
    <w:basedOn w:val="Normal"/>
    <w:link w:val="BalloonTextChar"/>
    <w:rsid w:val="00DC5BF3"/>
    <w:rPr>
      <w:rFonts w:ascii="Tahoma" w:hAnsi="Tahoma"/>
      <w:sz w:val="16"/>
      <w:szCs w:val="16"/>
      <w:lang w:val="x-none" w:eastAsia="x-none"/>
    </w:rPr>
  </w:style>
  <w:style w:type="character" w:customStyle="1" w:styleId="BalloonTextChar">
    <w:name w:val="Balloon Text Char"/>
    <w:link w:val="BalloonText"/>
    <w:rsid w:val="00DC5BF3"/>
    <w:rPr>
      <w:rFonts w:ascii="Tahoma" w:hAnsi="Tahoma" w:cs="Tahoma"/>
      <w:sz w:val="16"/>
      <w:szCs w:val="16"/>
    </w:rPr>
  </w:style>
  <w:style w:type="paragraph" w:styleId="NormalWeb">
    <w:name w:val="Normal (Web)"/>
    <w:basedOn w:val="Normal"/>
    <w:rsid w:val="00F96E85"/>
    <w:pPr>
      <w:widowControl/>
      <w:autoSpaceDE/>
      <w:autoSpaceDN/>
      <w:adjustRightInd/>
      <w:spacing w:before="100" w:beforeAutospacing="1" w:after="100" w:afterAutospacing="1"/>
    </w:pPr>
    <w:rPr>
      <w:rFonts w:eastAsia="SimSun"/>
      <w:sz w:val="24"/>
      <w:szCs w:val="24"/>
    </w:rPr>
  </w:style>
  <w:style w:type="character" w:customStyle="1" w:styleId="Heading1Char">
    <w:name w:val="Heading 1 Char"/>
    <w:link w:val="Heading1"/>
    <w:rsid w:val="00480502"/>
    <w:rPr>
      <w:rFonts w:eastAsia="SimSun"/>
      <w:snapToGrid w:val="0"/>
      <w:sz w:val="24"/>
      <w:u w:val="single"/>
    </w:rPr>
  </w:style>
  <w:style w:type="character" w:styleId="Hyperlink">
    <w:name w:val="Hyperlink"/>
    <w:rsid w:val="004B41C2"/>
    <w:rPr>
      <w:color w:val="0000FF"/>
      <w:u w:val="single"/>
    </w:rPr>
  </w:style>
  <w:style w:type="paragraph" w:styleId="Revision">
    <w:name w:val="Revision"/>
    <w:hidden/>
    <w:uiPriority w:val="99"/>
    <w:semiHidden/>
    <w:rsid w:val="00C40684"/>
  </w:style>
  <w:style w:type="paragraph" w:styleId="BodyText">
    <w:name w:val="Body Text"/>
    <w:basedOn w:val="Normal"/>
    <w:link w:val="BodyTextChar"/>
    <w:uiPriority w:val="1"/>
    <w:qFormat/>
    <w:rsid w:val="008F2C04"/>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8F2C04"/>
    <w:rPr>
      <w:rFonts w:cstheme="minorBidi"/>
      <w:sz w:val="24"/>
      <w:szCs w:val="24"/>
    </w:rPr>
  </w:style>
  <w:style w:type="paragraph" w:styleId="ListParagraph">
    <w:name w:val="List Paragraph"/>
    <w:basedOn w:val="Normal"/>
    <w:uiPriority w:val="1"/>
    <w:qFormat/>
    <w:rsid w:val="00B13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4345">
      <w:bodyDiv w:val="1"/>
      <w:marLeft w:val="0"/>
      <w:marRight w:val="0"/>
      <w:marTop w:val="0"/>
      <w:marBottom w:val="0"/>
      <w:divBdr>
        <w:top w:val="none" w:sz="0" w:space="0" w:color="auto"/>
        <w:left w:val="none" w:sz="0" w:space="0" w:color="auto"/>
        <w:bottom w:val="none" w:sz="0" w:space="0" w:color="auto"/>
        <w:right w:val="none" w:sz="0" w:space="0" w:color="auto"/>
      </w:divBdr>
    </w:div>
    <w:div w:id="7630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federal-register/executive-orders/pdf/1286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o.gov/fdsys/pkg/STATUTE-94/pdf/STATUTE-94-Pg1164.pdf" TargetMode="External"/><Relationship Id="rId4" Type="http://schemas.openxmlformats.org/officeDocument/2006/relationships/settings" Target="settings.xml"/><Relationship Id="rId9" Type="http://schemas.openxmlformats.org/officeDocument/2006/relationships/hyperlink" Target="http://ceq.hss.doe.gov/laws_and_executive_orders/the_nepa_statut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2215-6EE8-47FB-8963-E5C96752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16937</CharactersWithSpaces>
  <SharedDoc>false</SharedDoc>
  <HLinks>
    <vt:vector size="30" baseType="variant">
      <vt:variant>
        <vt:i4>852034</vt:i4>
      </vt:variant>
      <vt:variant>
        <vt:i4>16</vt:i4>
      </vt:variant>
      <vt:variant>
        <vt:i4>0</vt:i4>
      </vt:variant>
      <vt:variant>
        <vt:i4>5</vt:i4>
      </vt:variant>
      <vt:variant>
        <vt:lpwstr>http://www.fws.gov/informationquality/section515.html</vt:lpwstr>
      </vt:variant>
      <vt:variant>
        <vt:lpwstr/>
      </vt:variant>
      <vt:variant>
        <vt:i4>2556007</vt:i4>
      </vt:variant>
      <vt:variant>
        <vt:i4>9</vt:i4>
      </vt:variant>
      <vt:variant>
        <vt:i4>0</vt:i4>
      </vt:variant>
      <vt:variant>
        <vt:i4>5</vt:i4>
      </vt:variant>
      <vt:variant>
        <vt:lpwstr>http://www.archives.gov/federal-register/executive-orders/pdf/12866.pdf</vt:lpwstr>
      </vt:variant>
      <vt:variant>
        <vt:lpwstr/>
      </vt:variant>
      <vt:variant>
        <vt:i4>4980807</vt:i4>
      </vt:variant>
      <vt:variant>
        <vt:i4>6</vt:i4>
      </vt:variant>
      <vt:variant>
        <vt:i4>0</vt:i4>
      </vt:variant>
      <vt:variant>
        <vt:i4>5</vt:i4>
      </vt:variant>
      <vt:variant>
        <vt:lpwstr>http://www.gpo.gov/fdsys/pkg/STATUTE-94/pdf/STATUTE-94-Pg1164.pdf</vt:lpwstr>
      </vt:variant>
      <vt:variant>
        <vt:lpwstr/>
      </vt:variant>
      <vt:variant>
        <vt:i4>7798802</vt:i4>
      </vt:variant>
      <vt:variant>
        <vt:i4>3</vt:i4>
      </vt:variant>
      <vt:variant>
        <vt:i4>0</vt:i4>
      </vt:variant>
      <vt:variant>
        <vt:i4>5</vt:i4>
      </vt:variant>
      <vt:variant>
        <vt:lpwstr>http://ceq.hss.doe.gov/laws_and_executive_orders/the_nepa_statute.html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3</cp:revision>
  <cp:lastPrinted>2020-03-19T18:08:00Z</cp:lastPrinted>
  <dcterms:created xsi:type="dcterms:W3CDTF">2020-03-20T17:50:00Z</dcterms:created>
  <dcterms:modified xsi:type="dcterms:W3CDTF">2020-06-25T21:07:00Z</dcterms:modified>
</cp:coreProperties>
</file>