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1477A3">
      <w:pPr>
        <w:pStyle w:val="Heading1"/>
        <w:ind w:left="0"/>
        <w:jc w:val="center"/>
        <w:rPr>
          <w:rFonts w:cs="Times New Roman"/>
        </w:rPr>
      </w:pPr>
      <w:r w:rsidRPr="004E4785">
        <w:rPr>
          <w:rFonts w:cs="Times New Roman"/>
        </w:rPr>
        <w:t>SUPPORTING STATEMENT</w:t>
      </w:r>
    </w:p>
    <w:p w:rsidRPr="004E4785" w:rsidR="00BD7237" w:rsidP="00BD7237" w:rsidRDefault="001477A3">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000A1E85" w:rsidP="000A1E85" w:rsidRDefault="000A1E85">
      <w:pPr>
        <w:jc w:val="center"/>
        <w:rPr>
          <w:b/>
          <w:bCs/>
          <w:szCs w:val="24"/>
        </w:rPr>
      </w:pPr>
      <w:r>
        <w:rPr>
          <w:b/>
          <w:bCs/>
          <w:szCs w:val="24"/>
        </w:rPr>
        <w:t>Applications and Reporting Requirements for the Incidental Take of Marine</w:t>
      </w:r>
    </w:p>
    <w:p w:rsidR="000A1E85" w:rsidP="000A1E85" w:rsidRDefault="000A1E85">
      <w:pPr>
        <w:jc w:val="center"/>
        <w:rPr>
          <w:b/>
          <w:bCs/>
          <w:szCs w:val="24"/>
        </w:rPr>
      </w:pPr>
      <w:r>
        <w:rPr>
          <w:b/>
          <w:bCs/>
          <w:szCs w:val="24"/>
        </w:rPr>
        <w:t xml:space="preserve">Mammals by Specified Activities (Other than Commercial Fishing Operations) </w:t>
      </w:r>
    </w:p>
    <w:p w:rsidR="000A1E85" w:rsidP="000A1E85" w:rsidRDefault="000A1E85">
      <w:pPr>
        <w:spacing w:line="259" w:lineRule="auto"/>
        <w:ind w:hanging="6"/>
        <w:jc w:val="center"/>
        <w:rPr>
          <w:b/>
          <w:bCs/>
          <w:szCs w:val="24"/>
        </w:rPr>
      </w:pPr>
      <w:r>
        <w:rPr>
          <w:b/>
          <w:bCs/>
          <w:szCs w:val="24"/>
        </w:rPr>
        <w:t xml:space="preserve">Under the Marine Mammal Protection Act </w:t>
      </w:r>
    </w:p>
    <w:p w:rsidRPr="004E4785" w:rsidR="008E61C9" w:rsidP="000A1E85" w:rsidRDefault="001477A3">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Pr="004E4785">
        <w:rPr>
          <w:rFonts w:cs="Times New Roman"/>
          <w:b/>
          <w:szCs w:val="24"/>
        </w:rPr>
        <w:t>-</w:t>
      </w:r>
      <w:r w:rsidR="00CA2C2D">
        <w:rPr>
          <w:rFonts w:cs="Times New Roman"/>
          <w:b/>
          <w:szCs w:val="24"/>
        </w:rPr>
        <w:t>0151</w:t>
      </w:r>
    </w:p>
    <w:p w:rsidRPr="004E4785" w:rsidR="008E61C9" w:rsidP="00BD7237" w:rsidRDefault="008E61C9">
      <w:pPr>
        <w:pStyle w:val="BodyText"/>
        <w:spacing w:before="1"/>
        <w:ind w:left="0"/>
        <w:jc w:val="center"/>
        <w:rPr>
          <w:rFonts w:cs="Times New Roman"/>
          <w:b/>
        </w:rPr>
      </w:pPr>
    </w:p>
    <w:p w:rsidRPr="004E4785" w:rsidR="008E61C9" w:rsidP="00BD7237" w:rsidRDefault="001477A3">
      <w:pPr>
        <w:pStyle w:val="Heading1"/>
        <w:spacing w:before="199"/>
        <w:ind w:left="0"/>
        <w:rPr>
          <w:rFonts w:cs="Times New Roman"/>
        </w:rPr>
      </w:pPr>
      <w:r w:rsidRPr="004E4785">
        <w:rPr>
          <w:rFonts w:cs="Times New Roman"/>
        </w:rPr>
        <w:t>Abstract</w:t>
      </w:r>
    </w:p>
    <w:p w:rsidR="00167FF4" w:rsidP="00167FF4" w:rsidRDefault="00167FF4">
      <w:pPr>
        <w:spacing w:before="240"/>
        <w:rPr>
          <w:szCs w:val="24"/>
        </w:rPr>
      </w:pPr>
      <w:r w:rsidRPr="00B256B7">
        <w:rPr>
          <w:szCs w:val="24"/>
        </w:rPr>
        <w:t xml:space="preserve">This request is for a revision of an existing information </w:t>
      </w:r>
      <w:r>
        <w:rPr>
          <w:szCs w:val="24"/>
        </w:rPr>
        <w:t>collection under OMB Control No. 0648-0151. The revision is necessary because o</w:t>
      </w:r>
      <w:r w:rsidRPr="00B256B7">
        <w:rPr>
          <w:szCs w:val="24"/>
        </w:rPr>
        <w:t xml:space="preserve">n June 22, 2018, </w:t>
      </w:r>
      <w:r>
        <w:rPr>
          <w:szCs w:val="24"/>
        </w:rPr>
        <w:t>the National Marine Fisheries Service (</w:t>
      </w:r>
      <w:r w:rsidRPr="00B256B7">
        <w:rPr>
          <w:szCs w:val="24"/>
        </w:rPr>
        <w:t>NMFS</w:t>
      </w:r>
      <w:r>
        <w:rPr>
          <w:szCs w:val="24"/>
        </w:rPr>
        <w:t>)</w:t>
      </w:r>
      <w:r w:rsidRPr="00B256B7">
        <w:rPr>
          <w:szCs w:val="24"/>
        </w:rPr>
        <w:t xml:space="preserve"> published a </w:t>
      </w:r>
      <w:r w:rsidRPr="006C0AC8">
        <w:rPr>
          <w:szCs w:val="24"/>
          <w:u w:val="single"/>
        </w:rPr>
        <w:t>Federal Register</w:t>
      </w:r>
      <w:r w:rsidRPr="00B256B7">
        <w:rPr>
          <w:szCs w:val="24"/>
        </w:rPr>
        <w:t xml:space="preserve"> Notice (83 FR 29212) notifying the public of a propos</w:t>
      </w:r>
      <w:r>
        <w:rPr>
          <w:szCs w:val="24"/>
        </w:rPr>
        <w:t>ed rule (RIN 0648-BB38)</w:t>
      </w:r>
      <w:r w:rsidRPr="00B256B7">
        <w:rPr>
          <w:szCs w:val="24"/>
        </w:rPr>
        <w:t xml:space="preserve"> to issue </w:t>
      </w:r>
      <w:r>
        <w:rPr>
          <w:szCs w:val="24"/>
        </w:rPr>
        <w:t xml:space="preserve">5-year </w:t>
      </w:r>
      <w:r w:rsidRPr="00B256B7">
        <w:rPr>
          <w:szCs w:val="24"/>
        </w:rPr>
        <w:t xml:space="preserve">incidental take regulations </w:t>
      </w:r>
      <w:r>
        <w:rPr>
          <w:szCs w:val="24"/>
        </w:rPr>
        <w:t xml:space="preserve">allowing for the </w:t>
      </w:r>
      <w:r w:rsidRPr="00B256B7">
        <w:rPr>
          <w:szCs w:val="24"/>
        </w:rPr>
        <w:t xml:space="preserve">take of marine mammals incidental to geophysical survey activities conducted by industry operators in Federal waters of </w:t>
      </w:r>
      <w:r>
        <w:rPr>
          <w:szCs w:val="24"/>
        </w:rPr>
        <w:t xml:space="preserve">the U.S. Gulf of Mexico (GOM). </w:t>
      </w:r>
      <w:r w:rsidRPr="00B256B7">
        <w:rPr>
          <w:szCs w:val="24"/>
        </w:rPr>
        <w:t>NMFS does not anticipate that the proposed regulations will substantially add to the burden to individual private applicants for incidental take authorizations</w:t>
      </w:r>
      <w:r>
        <w:rPr>
          <w:szCs w:val="24"/>
        </w:rPr>
        <w:t xml:space="preserve"> under the existing Control Number. </w:t>
      </w:r>
      <w:r w:rsidRPr="00B256B7">
        <w:rPr>
          <w:szCs w:val="24"/>
        </w:rPr>
        <w:t>In fact, we expect individual applicant’s information collection burdens will be substantially less than the typical applicant under the existing O</w:t>
      </w:r>
      <w:r>
        <w:rPr>
          <w:szCs w:val="24"/>
        </w:rPr>
        <w:t xml:space="preserve">MB Control Number. </w:t>
      </w:r>
      <w:r w:rsidRPr="00B256B7">
        <w:rPr>
          <w:szCs w:val="24"/>
        </w:rPr>
        <w:t>This is due to the fact that the application for these regulations (</w:t>
      </w:r>
      <w:r>
        <w:rPr>
          <w:szCs w:val="24"/>
        </w:rPr>
        <w:t>one of the three</w:t>
      </w:r>
      <w:r w:rsidRPr="00B256B7">
        <w:rPr>
          <w:szCs w:val="24"/>
        </w:rPr>
        <w:t xml:space="preserve"> information collection burden</w:t>
      </w:r>
      <w:r>
        <w:rPr>
          <w:szCs w:val="24"/>
        </w:rPr>
        <w:t>s for this Control Number</w:t>
      </w:r>
      <w:r w:rsidRPr="00B256B7">
        <w:rPr>
          <w:szCs w:val="24"/>
        </w:rPr>
        <w:t xml:space="preserve">) was completed by the Bureau of Ocean Energy Management (BOEM) instead of individual applicants. The </w:t>
      </w:r>
      <w:r>
        <w:rPr>
          <w:szCs w:val="24"/>
        </w:rPr>
        <w:t>main</w:t>
      </w:r>
      <w:r w:rsidRPr="00B256B7">
        <w:rPr>
          <w:szCs w:val="24"/>
        </w:rPr>
        <w:t xml:space="preserve"> difference we expect related to these proposed regulations is that there will be a larger number of applicants/respondents than accounted for in th</w:t>
      </w:r>
      <w:r>
        <w:rPr>
          <w:szCs w:val="24"/>
        </w:rPr>
        <w:t xml:space="preserve">e existing OMB Control Number. </w:t>
      </w:r>
      <w:r w:rsidRPr="00B256B7">
        <w:rPr>
          <w:szCs w:val="24"/>
        </w:rPr>
        <w:t xml:space="preserve">The proposed rule forecasts that </w:t>
      </w:r>
      <w:r>
        <w:rPr>
          <w:szCs w:val="24"/>
        </w:rPr>
        <w:t>95</w:t>
      </w:r>
      <w:r w:rsidRPr="00B256B7">
        <w:rPr>
          <w:szCs w:val="24"/>
        </w:rPr>
        <w:t xml:space="preserve"> to 151 geophysical surveys will take place annually on average over the five years of the proposed regulations in the GOM that would be subject to potential information collection requirements.    </w:t>
      </w:r>
    </w:p>
    <w:p w:rsidR="00167FF4" w:rsidP="00167FF4" w:rsidRDefault="00167FF4">
      <w:pPr>
        <w:rPr>
          <w:szCs w:val="24"/>
        </w:rPr>
      </w:pPr>
    </w:p>
    <w:p w:rsidR="00167FF4" w:rsidP="00167FF4" w:rsidRDefault="00167FF4">
      <w:pPr>
        <w:rPr>
          <w:szCs w:val="24"/>
        </w:rPr>
      </w:pPr>
      <w:r>
        <w:rPr>
          <w:szCs w:val="24"/>
        </w:rPr>
        <w:t>The remainder of this supporting statement details the justification for the existing information collection while highlighting the changes resulting from the GOM proposed rulemaking.</w:t>
      </w:r>
    </w:p>
    <w:p w:rsidRPr="004E4785" w:rsidR="008E61C9" w:rsidP="00BD7237" w:rsidRDefault="001477A3">
      <w:pPr>
        <w:pStyle w:val="Heading1"/>
        <w:spacing w:before="124"/>
        <w:ind w:left="0"/>
        <w:rPr>
          <w:rFonts w:cs="Times New Roman"/>
        </w:rPr>
      </w:pPr>
      <w:r w:rsidRPr="004E4785">
        <w:rPr>
          <w:rFonts w:cs="Times New Roman"/>
        </w:rPr>
        <w:t>Justification</w:t>
      </w:r>
    </w:p>
    <w:p w:rsidRPr="004E4785" w:rsidR="008E61C9" w:rsidP="00BD7237" w:rsidRDefault="001477A3">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3762A" w:rsidR="00167FF4" w:rsidP="00167FF4" w:rsidRDefault="00167FF4">
      <w:pPr>
        <w:spacing w:before="120"/>
        <w:rPr>
          <w:szCs w:val="24"/>
        </w:rPr>
      </w:pPr>
      <w:r w:rsidRPr="0093762A">
        <w:rPr>
          <w:szCs w:val="24"/>
        </w:rPr>
        <w:t xml:space="preserve">The </w:t>
      </w:r>
      <w:hyperlink w:history="1" w:anchor="marine-mammal-protection-act" r:id="rId7">
        <w:r w:rsidRPr="00B847B5">
          <w:rPr>
            <w:rStyle w:val="Hyperlink"/>
            <w:szCs w:val="24"/>
          </w:rPr>
          <w:t>Marine Mammal Protection Act of 1972</w:t>
        </w:r>
      </w:hyperlink>
      <w:r w:rsidRPr="0093762A">
        <w:rPr>
          <w:szCs w:val="24"/>
        </w:rPr>
        <w:t xml:space="preserve"> (MMPA; 16 U.S.C. 1361 </w:t>
      </w:r>
      <w:r w:rsidRPr="00AA331F">
        <w:rPr>
          <w:i/>
          <w:szCs w:val="24"/>
        </w:rPr>
        <w:t>et seq.</w:t>
      </w:r>
      <w:r w:rsidRPr="0093762A">
        <w:rPr>
          <w:szCs w:val="24"/>
        </w:rPr>
        <w:t xml:space="preserve">) prohibits the “take” of marine mammals unless otherwise </w:t>
      </w:r>
      <w:r>
        <w:rPr>
          <w:szCs w:val="24"/>
        </w:rPr>
        <w:t xml:space="preserve">authorized or exempted by law. </w:t>
      </w:r>
      <w:r w:rsidRPr="0093762A">
        <w:rPr>
          <w:szCs w:val="24"/>
        </w:rPr>
        <w:t xml:space="preserve">Among the provisions that allow for lawful take of marine mammals, sections 101(a)(5)(A) and (D) of the MMPA direct the Secretary of Commerce to allow, upon request, the incidental, but not intentional, taking of small numbers of marine mammals by </w:t>
      </w:r>
      <w:r>
        <w:rPr>
          <w:szCs w:val="24"/>
        </w:rPr>
        <w:t>United States (</w:t>
      </w:r>
      <w:r w:rsidRPr="0093762A">
        <w:rPr>
          <w:szCs w:val="24"/>
        </w:rPr>
        <w:t>U.S.</w:t>
      </w:r>
      <w:r>
        <w:rPr>
          <w:szCs w:val="24"/>
        </w:rPr>
        <w:t>)</w:t>
      </w:r>
      <w:r w:rsidRPr="0093762A">
        <w:rPr>
          <w:szCs w:val="24"/>
        </w:rPr>
        <w:t xml:space="preserve"> citizens who engage in a specified activity (other than commercial fishing), within a specified geographical region, if certain findings are made and either regulations are issued or, if the taking is limited to harassment, a notice of a proposed authorization is provided to the public for review.</w:t>
      </w:r>
      <w:r>
        <w:rPr>
          <w:szCs w:val="24"/>
        </w:rPr>
        <w:t xml:space="preserve">  </w:t>
      </w:r>
      <w:r w:rsidRPr="0093762A">
        <w:rPr>
          <w:szCs w:val="24"/>
        </w:rPr>
        <w:t>Authorization for incidental takings shall be granted if the Secretary, acting by delegation through</w:t>
      </w:r>
      <w:r>
        <w:rPr>
          <w:szCs w:val="24"/>
        </w:rPr>
        <w:t xml:space="preserve"> the National Marine Fisheries Service (</w:t>
      </w:r>
      <w:r w:rsidRPr="0093762A">
        <w:rPr>
          <w:szCs w:val="24"/>
        </w:rPr>
        <w:t>NMFS</w:t>
      </w:r>
      <w:r>
        <w:rPr>
          <w:szCs w:val="24"/>
        </w:rPr>
        <w:t xml:space="preserve">) </w:t>
      </w:r>
      <w:r w:rsidRPr="0093762A">
        <w:rPr>
          <w:szCs w:val="24"/>
        </w:rPr>
        <w:t xml:space="preserve">finds that the taking will have a negligible impact on the species or stock(s) and will not have an immitigable adverse impact on the availability of the species or stock(s) for subsistence uses (where relevant), and if the permissible methods of taking and requirements pertaining to the mitigation, monitoring and reporting </w:t>
      </w:r>
      <w:r>
        <w:rPr>
          <w:szCs w:val="24"/>
        </w:rPr>
        <w:t>of such takings are set forth.</w:t>
      </w:r>
    </w:p>
    <w:p w:rsidRPr="0093762A" w:rsidR="00167FF4" w:rsidP="00167FF4" w:rsidRDefault="00167FF4">
      <w:pPr>
        <w:rPr>
          <w:szCs w:val="24"/>
        </w:rPr>
      </w:pPr>
    </w:p>
    <w:p w:rsidR="00167FF4" w:rsidP="00167FF4" w:rsidRDefault="00167FF4">
      <w:pPr>
        <w:rPr>
          <w:szCs w:val="24"/>
        </w:rPr>
      </w:pPr>
      <w:r w:rsidRPr="0093762A">
        <w:rPr>
          <w:szCs w:val="24"/>
        </w:rPr>
        <w:t>Issuance of an incidental take authorization (</w:t>
      </w:r>
      <w:r>
        <w:rPr>
          <w:szCs w:val="24"/>
        </w:rPr>
        <w:t>Authorization</w:t>
      </w:r>
      <w:r w:rsidRPr="0093762A">
        <w:rPr>
          <w:szCs w:val="24"/>
        </w:rPr>
        <w:t>) under section 101(a)(5)(A) or (D) of the MMPA requires three s</w:t>
      </w:r>
      <w:r>
        <w:rPr>
          <w:szCs w:val="24"/>
        </w:rPr>
        <w:t>ets of information collection:</w:t>
      </w:r>
    </w:p>
    <w:p w:rsidR="00167FF4" w:rsidP="00167FF4" w:rsidRDefault="00167FF4">
      <w:pPr>
        <w:pStyle w:val="ListParagraph"/>
        <w:numPr>
          <w:ilvl w:val="0"/>
          <w:numId w:val="15"/>
        </w:numPr>
        <w:adjustRightInd w:val="0"/>
        <w:spacing w:before="120"/>
        <w:rPr>
          <w:szCs w:val="24"/>
        </w:rPr>
      </w:pPr>
      <w:r>
        <w:rPr>
          <w:szCs w:val="24"/>
        </w:rPr>
        <w:t>a</w:t>
      </w:r>
      <w:r w:rsidRPr="0093762A">
        <w:rPr>
          <w:szCs w:val="24"/>
        </w:rPr>
        <w:t xml:space="preserve"> complete application for an </w:t>
      </w:r>
      <w:r>
        <w:rPr>
          <w:szCs w:val="24"/>
        </w:rPr>
        <w:t>Authorization</w:t>
      </w:r>
      <w:r w:rsidRPr="0093762A">
        <w:rPr>
          <w:szCs w:val="24"/>
        </w:rPr>
        <w:t xml:space="preserve">, as set forth in </w:t>
      </w:r>
      <w:r>
        <w:rPr>
          <w:szCs w:val="24"/>
        </w:rPr>
        <w:t>our</w:t>
      </w:r>
      <w:r w:rsidRPr="0093762A">
        <w:rPr>
          <w:szCs w:val="24"/>
        </w:rPr>
        <w:t xml:space="preserve"> implementing regulations at </w:t>
      </w:r>
      <w:hyperlink w:history="1" r:id="rId8">
        <w:r w:rsidRPr="00B847B5">
          <w:rPr>
            <w:rStyle w:val="Hyperlink"/>
            <w:szCs w:val="24"/>
          </w:rPr>
          <w:t>50 CFR 216.104</w:t>
        </w:r>
      </w:hyperlink>
      <w:r w:rsidRPr="0093762A">
        <w:rPr>
          <w:szCs w:val="24"/>
        </w:rPr>
        <w:t xml:space="preserve">, which provides the information necessary for </w:t>
      </w:r>
      <w:r>
        <w:rPr>
          <w:szCs w:val="24"/>
        </w:rPr>
        <w:t>us</w:t>
      </w:r>
      <w:r w:rsidRPr="0093762A">
        <w:rPr>
          <w:szCs w:val="24"/>
        </w:rPr>
        <w:t xml:space="preserve"> to make the necessary statutory determinations; </w:t>
      </w:r>
    </w:p>
    <w:p w:rsidRPr="0093762A" w:rsidR="00167FF4" w:rsidP="00167FF4" w:rsidRDefault="00167FF4">
      <w:pPr>
        <w:pStyle w:val="ListParagraph"/>
        <w:numPr>
          <w:ilvl w:val="0"/>
          <w:numId w:val="15"/>
        </w:numPr>
        <w:adjustRightInd w:val="0"/>
        <w:spacing w:before="120"/>
        <w:rPr>
          <w:szCs w:val="24"/>
        </w:rPr>
      </w:pPr>
      <w:r>
        <w:rPr>
          <w:szCs w:val="24"/>
        </w:rPr>
        <w:t>i</w:t>
      </w:r>
      <w:r w:rsidRPr="0093762A">
        <w:rPr>
          <w:szCs w:val="24"/>
        </w:rPr>
        <w:t xml:space="preserve">nformation relating to required monitoring; and </w:t>
      </w:r>
    </w:p>
    <w:p w:rsidR="00167FF4" w:rsidP="00167FF4" w:rsidRDefault="00167FF4">
      <w:pPr>
        <w:pStyle w:val="ListParagraph"/>
        <w:numPr>
          <w:ilvl w:val="0"/>
          <w:numId w:val="15"/>
        </w:numPr>
        <w:adjustRightInd w:val="0"/>
        <w:spacing w:before="120"/>
        <w:rPr>
          <w:szCs w:val="24"/>
        </w:rPr>
      </w:pPr>
      <w:r>
        <w:rPr>
          <w:szCs w:val="24"/>
        </w:rPr>
        <w:t>i</w:t>
      </w:r>
      <w:r w:rsidRPr="0093762A">
        <w:rPr>
          <w:szCs w:val="24"/>
        </w:rPr>
        <w:t>nformation related to required reporting.</w:t>
      </w:r>
    </w:p>
    <w:p w:rsidR="00167FF4" w:rsidP="00167FF4" w:rsidRDefault="00167FF4">
      <w:pPr>
        <w:ind w:firstLine="720"/>
        <w:rPr>
          <w:szCs w:val="24"/>
        </w:rPr>
      </w:pPr>
    </w:p>
    <w:p w:rsidR="00167FF4" w:rsidP="00167FF4" w:rsidRDefault="00167FF4">
      <w:pPr>
        <w:rPr>
          <w:szCs w:val="24"/>
        </w:rPr>
      </w:pPr>
      <w:r w:rsidRPr="0093762A">
        <w:rPr>
          <w:szCs w:val="24"/>
        </w:rPr>
        <w:t xml:space="preserve">These collections of information enable </w:t>
      </w:r>
      <w:r>
        <w:rPr>
          <w:szCs w:val="24"/>
        </w:rPr>
        <w:t>us to:</w:t>
      </w:r>
    </w:p>
    <w:p w:rsidR="00167FF4" w:rsidP="00167FF4" w:rsidRDefault="00167FF4">
      <w:pPr>
        <w:pStyle w:val="ListParagraph"/>
        <w:numPr>
          <w:ilvl w:val="0"/>
          <w:numId w:val="16"/>
        </w:numPr>
        <w:adjustRightInd w:val="0"/>
        <w:spacing w:before="120"/>
        <w:rPr>
          <w:szCs w:val="24"/>
        </w:rPr>
      </w:pPr>
      <w:r>
        <w:rPr>
          <w:szCs w:val="24"/>
        </w:rPr>
        <w:t>e</w:t>
      </w:r>
      <w:r w:rsidRPr="0093762A">
        <w:rPr>
          <w:szCs w:val="24"/>
        </w:rPr>
        <w:t>valuate the proposed activity’s impact on marine mammals</w:t>
      </w:r>
      <w:r>
        <w:rPr>
          <w:szCs w:val="24"/>
        </w:rPr>
        <w:t>;</w:t>
      </w:r>
    </w:p>
    <w:p w:rsidR="00167FF4" w:rsidP="00167FF4" w:rsidRDefault="00167FF4">
      <w:pPr>
        <w:pStyle w:val="ListParagraph"/>
        <w:numPr>
          <w:ilvl w:val="0"/>
          <w:numId w:val="16"/>
        </w:numPr>
        <w:adjustRightInd w:val="0"/>
        <w:spacing w:before="120"/>
        <w:rPr>
          <w:szCs w:val="24"/>
        </w:rPr>
      </w:pPr>
      <w:r>
        <w:rPr>
          <w:szCs w:val="24"/>
        </w:rPr>
        <w:t>a</w:t>
      </w:r>
      <w:r w:rsidRPr="0093762A">
        <w:rPr>
          <w:szCs w:val="24"/>
        </w:rPr>
        <w:t xml:space="preserve">rrive at the appropriate determinations required by the MMPA and other applicable laws prior to issuing the </w:t>
      </w:r>
      <w:r>
        <w:rPr>
          <w:szCs w:val="24"/>
        </w:rPr>
        <w:t>A</w:t>
      </w:r>
      <w:r w:rsidRPr="0093762A">
        <w:rPr>
          <w:szCs w:val="24"/>
        </w:rPr>
        <w:t xml:space="preserve">uthorization; and </w:t>
      </w:r>
    </w:p>
    <w:p w:rsidRPr="0093762A" w:rsidR="00167FF4" w:rsidP="00167FF4" w:rsidRDefault="00167FF4">
      <w:pPr>
        <w:pStyle w:val="ListParagraph"/>
        <w:numPr>
          <w:ilvl w:val="0"/>
          <w:numId w:val="16"/>
        </w:numPr>
        <w:adjustRightInd w:val="0"/>
        <w:spacing w:before="120"/>
        <w:rPr>
          <w:szCs w:val="24"/>
        </w:rPr>
      </w:pPr>
      <w:r>
        <w:rPr>
          <w:szCs w:val="24"/>
        </w:rPr>
        <w:t>m</w:t>
      </w:r>
      <w:r w:rsidRPr="0093762A">
        <w:rPr>
          <w:szCs w:val="24"/>
        </w:rPr>
        <w:t xml:space="preserve">onitor impacts of activities for which </w:t>
      </w:r>
      <w:r>
        <w:rPr>
          <w:szCs w:val="24"/>
        </w:rPr>
        <w:t>we, NMFS, have issued Authorizations</w:t>
      </w:r>
      <w:r w:rsidRPr="0093762A">
        <w:rPr>
          <w:szCs w:val="24"/>
        </w:rPr>
        <w:t xml:space="preserve"> to determine if predictions regarding impacts on ma</w:t>
      </w:r>
      <w:r>
        <w:rPr>
          <w:szCs w:val="24"/>
        </w:rPr>
        <w:t xml:space="preserve">rine mammals </w:t>
      </w:r>
      <w:r w:rsidRPr="0093762A">
        <w:rPr>
          <w:szCs w:val="24"/>
        </w:rPr>
        <w:t>were valid.</w:t>
      </w:r>
    </w:p>
    <w:p w:rsidR="00167FF4" w:rsidP="00167FF4" w:rsidRDefault="00167FF4">
      <w:pPr>
        <w:rPr>
          <w:szCs w:val="24"/>
        </w:rPr>
      </w:pPr>
    </w:p>
    <w:p w:rsidRPr="00925DE5" w:rsidR="00167FF4" w:rsidP="00167FF4" w:rsidRDefault="00167FF4">
      <w:pPr>
        <w:rPr>
          <w:b/>
          <w:szCs w:val="24"/>
          <w:u w:val="single"/>
        </w:rPr>
      </w:pPr>
      <w:r>
        <w:rPr>
          <w:b/>
          <w:szCs w:val="24"/>
          <w:u w:val="single"/>
        </w:rPr>
        <w:t>Letters of Authorization –</w:t>
      </w:r>
      <w:r w:rsidRPr="00925DE5">
        <w:rPr>
          <w:b/>
          <w:szCs w:val="24"/>
          <w:u w:val="single"/>
        </w:rPr>
        <w:t xml:space="preserve"> </w:t>
      </w:r>
      <w:r>
        <w:rPr>
          <w:b/>
          <w:szCs w:val="24"/>
          <w:u w:val="single"/>
        </w:rPr>
        <w:t xml:space="preserve">MMPA § </w:t>
      </w:r>
      <w:r w:rsidRPr="00925DE5">
        <w:rPr>
          <w:b/>
          <w:szCs w:val="24"/>
          <w:u w:val="single"/>
        </w:rPr>
        <w:t>101(a)(5)(A)</w:t>
      </w:r>
    </w:p>
    <w:p w:rsidRPr="005B1706" w:rsidR="00167FF4" w:rsidP="00167FF4" w:rsidRDefault="00167FF4">
      <w:pPr>
        <w:spacing w:before="120"/>
        <w:rPr>
          <w:szCs w:val="24"/>
        </w:rPr>
      </w:pPr>
      <w:r w:rsidRPr="005B1706">
        <w:rPr>
          <w:szCs w:val="24"/>
        </w:rPr>
        <w:t xml:space="preserve">In 1981, Congress amended the MMPA to provide for </w:t>
      </w:r>
      <w:r>
        <w:rPr>
          <w:szCs w:val="24"/>
        </w:rPr>
        <w:t>Authorizations</w:t>
      </w:r>
      <w:r w:rsidRPr="005B1706">
        <w:rPr>
          <w:szCs w:val="24"/>
        </w:rPr>
        <w:t xml:space="preserve"> for activities</w:t>
      </w:r>
      <w:r>
        <w:rPr>
          <w:szCs w:val="24"/>
        </w:rPr>
        <w:t xml:space="preserve"> other than commercial fishing</w:t>
      </w:r>
      <w:r w:rsidRPr="005B1706">
        <w:rPr>
          <w:szCs w:val="24"/>
        </w:rPr>
        <w:t xml:space="preserve">, provided </w:t>
      </w:r>
      <w:r>
        <w:rPr>
          <w:szCs w:val="24"/>
        </w:rPr>
        <w:t>that we</w:t>
      </w:r>
      <w:r w:rsidRPr="005B1706">
        <w:rPr>
          <w:szCs w:val="24"/>
        </w:rPr>
        <w:t xml:space="preserve"> found </w:t>
      </w:r>
      <w:r>
        <w:rPr>
          <w:szCs w:val="24"/>
        </w:rPr>
        <w:t xml:space="preserve">that </w:t>
      </w:r>
      <w:r w:rsidRPr="005B1706">
        <w:rPr>
          <w:szCs w:val="24"/>
        </w:rPr>
        <w:t xml:space="preserve">the takings </w:t>
      </w:r>
      <w:r>
        <w:rPr>
          <w:szCs w:val="24"/>
        </w:rPr>
        <w:t xml:space="preserve">would consist of </w:t>
      </w:r>
      <w:r w:rsidRPr="005B1706">
        <w:rPr>
          <w:szCs w:val="24"/>
        </w:rPr>
        <w:t xml:space="preserve">small numbers and </w:t>
      </w:r>
      <w:r>
        <w:rPr>
          <w:szCs w:val="24"/>
        </w:rPr>
        <w:t xml:space="preserve">would </w:t>
      </w:r>
      <w:r w:rsidRPr="005B1706">
        <w:rPr>
          <w:szCs w:val="24"/>
        </w:rPr>
        <w:t>have no more than a "negligible impact" on those marine mammal species not listed as depleted under the MMPA, and not having an "immitigable adverse impact" on subsistence ha</w:t>
      </w:r>
      <w:r>
        <w:rPr>
          <w:szCs w:val="24"/>
        </w:rPr>
        <w:t>rvests of these species by Alaskan Natives. NMFS, may prescribe regulations authorizing take for periods of up to five consecutive years. Implementing regulations</w:t>
      </w:r>
      <w:r w:rsidRPr="005B1706">
        <w:rPr>
          <w:szCs w:val="24"/>
        </w:rPr>
        <w:t xml:space="preserve"> require that </w:t>
      </w:r>
      <w:r>
        <w:rPr>
          <w:szCs w:val="24"/>
        </w:rPr>
        <w:t>any such regulations set forth</w:t>
      </w:r>
      <w:r w:rsidRPr="005B1706">
        <w:rPr>
          <w:szCs w:val="24"/>
        </w:rPr>
        <w:t>:</w:t>
      </w:r>
    </w:p>
    <w:p w:rsidRPr="005B1706" w:rsidR="00167FF4" w:rsidP="00167FF4" w:rsidRDefault="00167FF4">
      <w:pPr>
        <w:pStyle w:val="ListParagraph"/>
        <w:numPr>
          <w:ilvl w:val="0"/>
          <w:numId w:val="17"/>
        </w:numPr>
        <w:adjustRightInd w:val="0"/>
        <w:spacing w:before="120"/>
        <w:rPr>
          <w:szCs w:val="24"/>
        </w:rPr>
      </w:pPr>
      <w:r w:rsidRPr="005B1706">
        <w:rPr>
          <w:szCs w:val="24"/>
        </w:rPr>
        <w:t xml:space="preserve">Permissible methods and the specified geographical region of taking; </w:t>
      </w:r>
    </w:p>
    <w:p w:rsidRPr="005B1706" w:rsidR="00167FF4" w:rsidP="00167FF4" w:rsidRDefault="00167FF4">
      <w:pPr>
        <w:pStyle w:val="ListParagraph"/>
        <w:numPr>
          <w:ilvl w:val="0"/>
          <w:numId w:val="17"/>
        </w:numPr>
        <w:adjustRightInd w:val="0"/>
        <w:spacing w:before="120"/>
        <w:rPr>
          <w:szCs w:val="24"/>
        </w:rPr>
      </w:pPr>
      <w:r w:rsidRPr="005B1706">
        <w:rPr>
          <w:szCs w:val="24"/>
        </w:rPr>
        <w:t xml:space="preserve">The means of effecting the least practicable adverse impact on the species or stock and its habitat and on the availability of the species or stock for "subsistence" uses; and, </w:t>
      </w:r>
    </w:p>
    <w:p w:rsidR="00167FF4" w:rsidP="00167FF4" w:rsidRDefault="00167FF4">
      <w:pPr>
        <w:pStyle w:val="ListParagraph"/>
        <w:numPr>
          <w:ilvl w:val="0"/>
          <w:numId w:val="17"/>
        </w:numPr>
        <w:adjustRightInd w:val="0"/>
        <w:spacing w:before="120"/>
        <w:rPr>
          <w:szCs w:val="24"/>
        </w:rPr>
      </w:pPr>
      <w:r w:rsidRPr="005B1706">
        <w:rPr>
          <w:szCs w:val="24"/>
        </w:rPr>
        <w:t>Requirements for monitoring and reporting, including requirements for the independent peer-review of proposed monitoring plans where the proposed activity may affect the availability of a species or stock f</w:t>
      </w:r>
      <w:r>
        <w:rPr>
          <w:szCs w:val="24"/>
        </w:rPr>
        <w:t>or taking for subsistence uses.</w:t>
      </w:r>
    </w:p>
    <w:p w:rsidRPr="00407762" w:rsidR="00167FF4" w:rsidP="00167FF4" w:rsidRDefault="00167FF4">
      <w:pPr>
        <w:spacing w:before="120"/>
        <w:rPr>
          <w:szCs w:val="24"/>
        </w:rPr>
      </w:pPr>
      <w:hyperlink w:history="1" r:id="rId9">
        <w:r w:rsidRPr="00A351C5">
          <w:rPr>
            <w:rStyle w:val="Hyperlink"/>
            <w:szCs w:val="24"/>
          </w:rPr>
          <w:t xml:space="preserve">50 CFR 216.105. </w:t>
        </w:r>
      </w:hyperlink>
      <w:r>
        <w:rPr>
          <w:szCs w:val="24"/>
        </w:rPr>
        <w:t xml:space="preserve"> Once we issue the </w:t>
      </w:r>
      <w:r w:rsidRPr="007324DB">
        <w:rPr>
          <w:szCs w:val="24"/>
        </w:rPr>
        <w:t xml:space="preserve">regulations to authorize the taking, </w:t>
      </w:r>
      <w:r>
        <w:rPr>
          <w:szCs w:val="24"/>
        </w:rPr>
        <w:t>those conducting the activity must request and obtain a subsequent Letter of Authorization from us. Once we issue the Authorization, the applicant must abide by the prescribed reporting requirements.</w:t>
      </w:r>
    </w:p>
    <w:p w:rsidRPr="005B1706" w:rsidR="00167FF4" w:rsidP="00167FF4" w:rsidRDefault="00167FF4">
      <w:pPr>
        <w:rPr>
          <w:szCs w:val="24"/>
        </w:rPr>
      </w:pPr>
    </w:p>
    <w:p w:rsidRPr="00925DE5" w:rsidR="00167FF4" w:rsidP="00167FF4" w:rsidRDefault="00167FF4">
      <w:pPr>
        <w:rPr>
          <w:b/>
          <w:szCs w:val="24"/>
          <w:u w:val="single"/>
        </w:rPr>
      </w:pPr>
      <w:r>
        <w:rPr>
          <w:b/>
          <w:szCs w:val="24"/>
          <w:u w:val="single"/>
        </w:rPr>
        <w:t>Incidental Harassment Authorization –</w:t>
      </w:r>
      <w:r w:rsidRPr="00925DE5">
        <w:rPr>
          <w:b/>
          <w:szCs w:val="24"/>
          <w:u w:val="single"/>
        </w:rPr>
        <w:t xml:space="preserve"> </w:t>
      </w:r>
      <w:r>
        <w:rPr>
          <w:b/>
          <w:szCs w:val="24"/>
          <w:u w:val="single"/>
        </w:rPr>
        <w:t xml:space="preserve">MMPA § </w:t>
      </w:r>
      <w:r w:rsidRPr="00925DE5">
        <w:rPr>
          <w:b/>
          <w:szCs w:val="24"/>
          <w:u w:val="single"/>
        </w:rPr>
        <w:t>101(a)(5)(</w:t>
      </w:r>
      <w:r>
        <w:rPr>
          <w:b/>
          <w:szCs w:val="24"/>
          <w:u w:val="single"/>
        </w:rPr>
        <w:t>D</w:t>
      </w:r>
      <w:r w:rsidRPr="00925DE5">
        <w:rPr>
          <w:b/>
          <w:szCs w:val="24"/>
          <w:u w:val="single"/>
        </w:rPr>
        <w:t>)</w:t>
      </w:r>
    </w:p>
    <w:p w:rsidR="00167FF4" w:rsidP="00167FF4" w:rsidRDefault="00167FF4">
      <w:pPr>
        <w:spacing w:before="120"/>
        <w:rPr>
          <w:szCs w:val="24"/>
        </w:rPr>
      </w:pPr>
      <w:r w:rsidRPr="00925DE5">
        <w:rPr>
          <w:szCs w:val="24"/>
        </w:rPr>
        <w:t xml:space="preserve">In 1994, </w:t>
      </w:r>
      <w:r>
        <w:rPr>
          <w:szCs w:val="24"/>
        </w:rPr>
        <w:t xml:space="preserve">Congress amended </w:t>
      </w:r>
      <w:r w:rsidRPr="00925DE5">
        <w:rPr>
          <w:szCs w:val="24"/>
        </w:rPr>
        <w:t xml:space="preserve">MMPA section 101(a)(5) to establish an expedited process by which </w:t>
      </w:r>
      <w:r>
        <w:rPr>
          <w:szCs w:val="24"/>
        </w:rPr>
        <w:t xml:space="preserve">U.S. </w:t>
      </w:r>
      <w:r w:rsidRPr="00925DE5">
        <w:rPr>
          <w:szCs w:val="24"/>
        </w:rPr>
        <w:t xml:space="preserve">citizens </w:t>
      </w:r>
      <w:r w:rsidRPr="004C4766">
        <w:rPr>
          <w:szCs w:val="24"/>
        </w:rPr>
        <w:t>can apply for an authorization to take incidentally, but not intentionally, small numbers of marine mammals by harassment</w:t>
      </w:r>
      <w:r>
        <w:rPr>
          <w:szCs w:val="24"/>
        </w:rPr>
        <w:t xml:space="preserve">. </w:t>
      </w:r>
      <w:r w:rsidRPr="004C4766">
        <w:rPr>
          <w:szCs w:val="24"/>
        </w:rPr>
        <w:t xml:space="preserve">This amendment eliminates the need for applying for regulations but retains the requirements for applications for </w:t>
      </w:r>
      <w:r>
        <w:rPr>
          <w:szCs w:val="24"/>
        </w:rPr>
        <w:t>the Incidental Harassment Authorization</w:t>
      </w:r>
      <w:r w:rsidRPr="004C4766">
        <w:rPr>
          <w:szCs w:val="24"/>
        </w:rPr>
        <w:t>,</w:t>
      </w:r>
      <w:r>
        <w:rPr>
          <w:szCs w:val="24"/>
        </w:rPr>
        <w:t xml:space="preserve"> including</w:t>
      </w:r>
      <w:r w:rsidRPr="004C4766">
        <w:rPr>
          <w:szCs w:val="24"/>
        </w:rPr>
        <w:t xml:space="preserve"> monitoring and reporting int</w:t>
      </w:r>
      <w:r>
        <w:rPr>
          <w:szCs w:val="24"/>
        </w:rPr>
        <w:t>eractions with marine mammals. This type of Authorization</w:t>
      </w:r>
      <w:r w:rsidRPr="004C4766">
        <w:rPr>
          <w:szCs w:val="24"/>
        </w:rPr>
        <w:t xml:space="preserve"> does not reduce the paperwork burdens significantly on the activity, </w:t>
      </w:r>
      <w:r>
        <w:rPr>
          <w:szCs w:val="24"/>
        </w:rPr>
        <w:t xml:space="preserve">but, rather, </w:t>
      </w:r>
      <w:r w:rsidRPr="004C4766">
        <w:rPr>
          <w:szCs w:val="24"/>
        </w:rPr>
        <w:t xml:space="preserve">it expedites </w:t>
      </w:r>
      <w:r>
        <w:rPr>
          <w:szCs w:val="24"/>
        </w:rPr>
        <w:t xml:space="preserve">our review and subsequent approval or denial of the application. The 1994 amendments also </w:t>
      </w:r>
      <w:r w:rsidRPr="00925DE5">
        <w:rPr>
          <w:szCs w:val="24"/>
        </w:rPr>
        <w:t xml:space="preserve">established specific time limits for public notice and comment on requests for </w:t>
      </w:r>
      <w:r>
        <w:rPr>
          <w:szCs w:val="24"/>
        </w:rPr>
        <w:t>an Incidental Harassment Authorization</w:t>
      </w:r>
      <w:r w:rsidRPr="00925DE5">
        <w:rPr>
          <w:szCs w:val="24"/>
        </w:rPr>
        <w:t>.</w:t>
      </w:r>
    </w:p>
    <w:p w:rsidR="00167FF4" w:rsidP="00167FF4" w:rsidRDefault="00167FF4">
      <w:pPr>
        <w:rPr>
          <w:b/>
          <w:szCs w:val="24"/>
          <w:u w:val="single"/>
        </w:rPr>
      </w:pPr>
    </w:p>
    <w:p w:rsidRPr="00407762" w:rsidR="00167FF4" w:rsidP="00167FF4" w:rsidRDefault="00167FF4">
      <w:pPr>
        <w:rPr>
          <w:szCs w:val="24"/>
          <w:u w:val="single"/>
        </w:rPr>
      </w:pPr>
      <w:r>
        <w:rPr>
          <w:b/>
          <w:szCs w:val="24"/>
          <w:u w:val="single"/>
        </w:rPr>
        <w:t>The Endangered Species Act</w:t>
      </w:r>
    </w:p>
    <w:p w:rsidR="00167FF4" w:rsidP="00167FF4" w:rsidRDefault="00167FF4">
      <w:pPr>
        <w:spacing w:before="120"/>
        <w:rPr>
          <w:szCs w:val="24"/>
        </w:rPr>
      </w:pPr>
      <w:r w:rsidRPr="005B1706">
        <w:rPr>
          <w:szCs w:val="24"/>
        </w:rPr>
        <w:lastRenderedPageBreak/>
        <w:t>In 1986, Congress am</w:t>
      </w:r>
      <w:r>
        <w:rPr>
          <w:szCs w:val="24"/>
        </w:rPr>
        <w:t>ended both the MMPA, under the I</w:t>
      </w:r>
      <w:r w:rsidRPr="005B1706">
        <w:rPr>
          <w:szCs w:val="24"/>
        </w:rPr>
        <w:t xml:space="preserve">ncidental </w:t>
      </w:r>
      <w:r>
        <w:rPr>
          <w:szCs w:val="24"/>
        </w:rPr>
        <w:t>T</w:t>
      </w:r>
      <w:r w:rsidRPr="005B1706">
        <w:rPr>
          <w:szCs w:val="24"/>
        </w:rPr>
        <w:t xml:space="preserve">ake </w:t>
      </w:r>
      <w:r>
        <w:rPr>
          <w:szCs w:val="24"/>
        </w:rPr>
        <w:t>P</w:t>
      </w:r>
      <w:r w:rsidRPr="005B1706">
        <w:rPr>
          <w:szCs w:val="24"/>
        </w:rPr>
        <w:t xml:space="preserve">rogram, and the </w:t>
      </w:r>
      <w:hyperlink w:history="1" r:id="rId10">
        <w:r w:rsidRPr="00B847B5">
          <w:rPr>
            <w:rStyle w:val="Hyperlink"/>
            <w:szCs w:val="24"/>
          </w:rPr>
          <w:t xml:space="preserve">Endangered Species Act </w:t>
        </w:r>
      </w:hyperlink>
      <w:r>
        <w:rPr>
          <w:szCs w:val="24"/>
        </w:rPr>
        <w:t>(</w:t>
      </w:r>
      <w:r w:rsidRPr="00DF37D8">
        <w:rPr>
          <w:szCs w:val="24"/>
        </w:rPr>
        <w:t xml:space="preserve">ESA; 16 U.S.C. 1531 </w:t>
      </w:r>
      <w:r w:rsidRPr="00DF37D8">
        <w:rPr>
          <w:i/>
          <w:szCs w:val="24"/>
        </w:rPr>
        <w:t>et seq</w:t>
      </w:r>
      <w:r w:rsidRPr="00DF37D8">
        <w:rPr>
          <w:szCs w:val="24"/>
        </w:rPr>
        <w:t>.</w:t>
      </w:r>
      <w:r>
        <w:rPr>
          <w:szCs w:val="24"/>
        </w:rPr>
        <w:t xml:space="preserve">) </w:t>
      </w:r>
      <w:r w:rsidRPr="005B1706">
        <w:rPr>
          <w:szCs w:val="24"/>
        </w:rPr>
        <w:t>to authorize takings of depleted (and endangered or threatened) marine mammals</w:t>
      </w:r>
      <w:r>
        <w:rPr>
          <w:szCs w:val="24"/>
        </w:rPr>
        <w:t xml:space="preserve">. The amendments required that the </w:t>
      </w:r>
      <w:r w:rsidRPr="005B1706">
        <w:rPr>
          <w:szCs w:val="24"/>
        </w:rPr>
        <w:t xml:space="preserve">taking (lethal, injurious, or harassment) </w:t>
      </w:r>
      <w:r>
        <w:rPr>
          <w:szCs w:val="24"/>
        </w:rPr>
        <w:t>would be</w:t>
      </w:r>
      <w:r w:rsidRPr="005B1706">
        <w:rPr>
          <w:szCs w:val="24"/>
        </w:rPr>
        <w:t xml:space="preserve"> small in number and </w:t>
      </w:r>
      <w:r>
        <w:rPr>
          <w:szCs w:val="24"/>
        </w:rPr>
        <w:t xml:space="preserve">would have </w:t>
      </w:r>
      <w:r w:rsidRPr="005B1706">
        <w:rPr>
          <w:szCs w:val="24"/>
        </w:rPr>
        <w:t>a negligible impact on marine mammals.</w:t>
      </w:r>
      <w:r>
        <w:rPr>
          <w:szCs w:val="24"/>
        </w:rPr>
        <w:t xml:space="preserve"> </w:t>
      </w:r>
      <w:r w:rsidRPr="00F927EB">
        <w:rPr>
          <w:szCs w:val="24"/>
        </w:rPr>
        <w:t xml:space="preserve">The </w:t>
      </w:r>
      <w:r>
        <w:rPr>
          <w:szCs w:val="24"/>
        </w:rPr>
        <w:t>1986 a</w:t>
      </w:r>
      <w:r w:rsidRPr="00F927EB">
        <w:rPr>
          <w:szCs w:val="24"/>
        </w:rPr>
        <w:t>mendments provided for an authorization to incidentally take ESA-listed marine mammals provided the taking (including mortality) was authorized under section 101(a)(5) of the MMPA.</w:t>
      </w:r>
      <w:r>
        <w:rPr>
          <w:szCs w:val="24"/>
        </w:rPr>
        <w:t xml:space="preserve"> As a result, we must authorize a</w:t>
      </w:r>
      <w:r w:rsidRPr="00F927EB">
        <w:rPr>
          <w:szCs w:val="24"/>
        </w:rPr>
        <w:t xml:space="preserve">ny </w:t>
      </w:r>
      <w:r>
        <w:rPr>
          <w:szCs w:val="24"/>
        </w:rPr>
        <w:t>take</w:t>
      </w:r>
      <w:r w:rsidRPr="00F927EB">
        <w:rPr>
          <w:szCs w:val="24"/>
        </w:rPr>
        <w:t xml:space="preserve"> of </w:t>
      </w:r>
      <w:r>
        <w:rPr>
          <w:szCs w:val="24"/>
        </w:rPr>
        <w:t xml:space="preserve">ESA-listed </w:t>
      </w:r>
      <w:r w:rsidRPr="00F927EB">
        <w:rPr>
          <w:szCs w:val="24"/>
        </w:rPr>
        <w:t xml:space="preserve">marine mammals under </w:t>
      </w:r>
      <w:r>
        <w:rPr>
          <w:szCs w:val="24"/>
        </w:rPr>
        <w:t>both the MMPA as well as the ESA</w:t>
      </w:r>
      <w:r w:rsidRPr="00F927EB">
        <w:rPr>
          <w:szCs w:val="24"/>
        </w:rPr>
        <w:t>.</w:t>
      </w:r>
    </w:p>
    <w:p w:rsidR="00167FF4" w:rsidP="00167FF4" w:rsidRDefault="00167FF4">
      <w:pPr>
        <w:rPr>
          <w:szCs w:val="24"/>
        </w:rPr>
      </w:pPr>
    </w:p>
    <w:p w:rsidRPr="00407762" w:rsidR="00167FF4" w:rsidP="00167FF4" w:rsidRDefault="00167FF4">
      <w:pPr>
        <w:rPr>
          <w:b/>
          <w:szCs w:val="24"/>
          <w:u w:val="single"/>
        </w:rPr>
      </w:pPr>
      <w:r>
        <w:rPr>
          <w:b/>
          <w:szCs w:val="24"/>
          <w:u w:val="single"/>
        </w:rPr>
        <w:t xml:space="preserve">The </w:t>
      </w:r>
      <w:r w:rsidRPr="00407762">
        <w:rPr>
          <w:b/>
          <w:szCs w:val="24"/>
          <w:u w:val="single"/>
        </w:rPr>
        <w:t>Na</w:t>
      </w:r>
      <w:r>
        <w:rPr>
          <w:b/>
          <w:szCs w:val="24"/>
          <w:u w:val="single"/>
        </w:rPr>
        <w:t>tional Environmental Policy Act</w:t>
      </w:r>
    </w:p>
    <w:p w:rsidR="00167FF4" w:rsidP="00167FF4" w:rsidRDefault="00167FF4">
      <w:pPr>
        <w:widowControl/>
        <w:spacing w:before="120"/>
        <w:rPr>
          <w:szCs w:val="24"/>
        </w:rPr>
      </w:pPr>
      <w:r>
        <w:rPr>
          <w:szCs w:val="24"/>
        </w:rPr>
        <w:t xml:space="preserve">Issuance of an Authorization </w:t>
      </w:r>
      <w:r w:rsidRPr="00F927EB">
        <w:rPr>
          <w:szCs w:val="24"/>
        </w:rPr>
        <w:t xml:space="preserve">is </w:t>
      </w:r>
      <w:r>
        <w:rPr>
          <w:szCs w:val="24"/>
        </w:rPr>
        <w:t xml:space="preserve">subject to our conducting an environmental review under the </w:t>
      </w:r>
      <w:hyperlink w:history="1" r:id="rId11">
        <w:r w:rsidRPr="00B847B5">
          <w:rPr>
            <w:rStyle w:val="Hyperlink"/>
            <w:szCs w:val="24"/>
          </w:rPr>
          <w:t xml:space="preserve">National Environmental Policy Act </w:t>
        </w:r>
      </w:hyperlink>
      <w:r>
        <w:rPr>
          <w:szCs w:val="24"/>
        </w:rPr>
        <w:t>(</w:t>
      </w:r>
      <w:r w:rsidRPr="00F927EB">
        <w:rPr>
          <w:szCs w:val="24"/>
        </w:rPr>
        <w:t>NEPA</w:t>
      </w:r>
      <w:r w:rsidRPr="00652D5D">
        <w:rPr>
          <w:szCs w:val="24"/>
        </w:rPr>
        <w:t xml:space="preserve">; 42 U.S.C. 4321 </w:t>
      </w:r>
      <w:r w:rsidRPr="00652D5D">
        <w:rPr>
          <w:i/>
          <w:szCs w:val="24"/>
        </w:rPr>
        <w:t>et seq</w:t>
      </w:r>
      <w:r w:rsidRPr="00652D5D">
        <w:rPr>
          <w:szCs w:val="24"/>
        </w:rPr>
        <w:t>.)</w:t>
      </w:r>
      <w:r>
        <w:rPr>
          <w:szCs w:val="24"/>
        </w:rPr>
        <w:t xml:space="preserve"> which may take the form of either an </w:t>
      </w:r>
      <w:r w:rsidRPr="00F927EB">
        <w:rPr>
          <w:szCs w:val="24"/>
        </w:rPr>
        <w:t>Environmental Assessment (EA) or an Environmental Impact Statement (EIS</w:t>
      </w:r>
      <w:r>
        <w:rPr>
          <w:szCs w:val="24"/>
        </w:rPr>
        <w:t>) or we may Categorically Exclude the action from NEPA. Adequate and complete applications allow us to determine whether an EA or EIS is appropriate because the information provided is sufficient to complete our NEPA analyses. On the other hand, incomplete applications or applications without</w:t>
      </w:r>
      <w:r w:rsidRPr="00F927EB">
        <w:rPr>
          <w:szCs w:val="24"/>
        </w:rPr>
        <w:t xml:space="preserve"> sufficient information on the environmental impact of the proposed activity </w:t>
      </w:r>
      <w:r>
        <w:rPr>
          <w:szCs w:val="24"/>
        </w:rPr>
        <w:t>would typically delay our evaluation under NEPA.</w:t>
      </w:r>
    </w:p>
    <w:p w:rsidRPr="004E4785" w:rsidR="001C3806" w:rsidP="001C3806" w:rsidRDefault="001C3806">
      <w:pPr>
        <w:pStyle w:val="Heading1"/>
        <w:tabs>
          <w:tab w:val="left" w:pos="360"/>
        </w:tabs>
        <w:spacing w:before="197"/>
        <w:ind w:left="0"/>
        <w:rPr>
          <w:rFonts w:cs="Times New Roman"/>
          <w:b w:val="0"/>
        </w:rPr>
      </w:pPr>
    </w:p>
    <w:p w:rsidRPr="004E4785" w:rsidR="008E61C9" w:rsidP="00BD7237" w:rsidRDefault="001477A3">
      <w:pPr>
        <w:pStyle w:val="Heading1"/>
        <w:numPr>
          <w:ilvl w:val="0"/>
          <w:numId w:val="7"/>
        </w:numPr>
        <w:tabs>
          <w:tab w:val="left" w:pos="360"/>
        </w:tabs>
        <w:spacing w:before="197"/>
        <w:ind w:left="0" w:firstLine="0"/>
        <w:rPr>
          <w:rFonts w:cs="Times New Roman"/>
        </w:rPr>
      </w:pPr>
      <w:r w:rsidRPr="004E4785">
        <w:rPr>
          <w:rFonts w:cs="Times New Roman"/>
          <w:bCs w:val="0"/>
        </w:rPr>
        <w:t>Indicate how, by whom, and for what purpose the information is to be used.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167FF4" w:rsidP="00167FF4" w:rsidRDefault="00167FF4">
      <w:pPr>
        <w:spacing w:before="120"/>
        <w:rPr>
          <w:szCs w:val="24"/>
        </w:rPr>
      </w:pPr>
      <w:r>
        <w:rPr>
          <w:szCs w:val="24"/>
        </w:rPr>
        <w:t xml:space="preserve">If the applicant </w:t>
      </w:r>
      <w:r w:rsidRPr="00B8499C">
        <w:rPr>
          <w:szCs w:val="24"/>
        </w:rPr>
        <w:t>determine</w:t>
      </w:r>
      <w:r>
        <w:rPr>
          <w:szCs w:val="24"/>
        </w:rPr>
        <w:t xml:space="preserve">s that their activity has the potential to cause take, they may </w:t>
      </w:r>
      <w:r w:rsidRPr="00B8499C">
        <w:rPr>
          <w:szCs w:val="24"/>
        </w:rPr>
        <w:t xml:space="preserve">request </w:t>
      </w:r>
      <w:r>
        <w:rPr>
          <w:szCs w:val="24"/>
        </w:rPr>
        <w:t>an Authorization and/or regulations</w:t>
      </w:r>
      <w:r w:rsidRPr="00B8499C">
        <w:rPr>
          <w:szCs w:val="24"/>
        </w:rPr>
        <w:t xml:space="preserve"> </w:t>
      </w:r>
      <w:r>
        <w:rPr>
          <w:szCs w:val="24"/>
        </w:rPr>
        <w:t xml:space="preserve">from us </w:t>
      </w:r>
      <w:r w:rsidRPr="00B8499C">
        <w:rPr>
          <w:szCs w:val="24"/>
        </w:rPr>
        <w:t xml:space="preserve">to obtain an exemption </w:t>
      </w:r>
      <w:r>
        <w:rPr>
          <w:szCs w:val="24"/>
        </w:rPr>
        <w:t xml:space="preserve">under the MMPA. Once the applicant determines that it is appropriate to request an Authorization and/or regulations, it is their responsibility to collect the information required to answer the fourteen questions listed in </w:t>
      </w:r>
      <w:hyperlink w:history="1" r:id="rId12">
        <w:r w:rsidRPr="005C23EF">
          <w:rPr>
            <w:rStyle w:val="Hyperlink"/>
            <w:szCs w:val="24"/>
          </w:rPr>
          <w:t>50 CFR 216.104(a)(1-14)</w:t>
        </w:r>
      </w:hyperlink>
      <w:r>
        <w:rPr>
          <w:szCs w:val="24"/>
        </w:rPr>
        <w:t xml:space="preserve"> to support their request. </w:t>
      </w:r>
    </w:p>
    <w:p w:rsidR="00167FF4" w:rsidP="00167FF4" w:rsidRDefault="00167FF4">
      <w:pPr>
        <w:spacing w:before="120"/>
        <w:rPr>
          <w:szCs w:val="24"/>
        </w:rPr>
      </w:pPr>
      <w:r>
        <w:rPr>
          <w:szCs w:val="24"/>
        </w:rPr>
        <w:t xml:space="preserve">The collection of information is the responsibility of the individual, organization, state, local, or tribal government, or business petitioning us for an authorization to allow </w:t>
      </w:r>
      <w:r w:rsidRPr="0093762A">
        <w:rPr>
          <w:szCs w:val="24"/>
        </w:rPr>
        <w:t>the incidental, but not intentional, taking of small numbers of marine mammals</w:t>
      </w:r>
      <w:r>
        <w:rPr>
          <w:szCs w:val="24"/>
        </w:rPr>
        <w:t>. Without this collection of information requirement, we cannot authorize</w:t>
      </w:r>
      <w:r w:rsidRPr="004459F7">
        <w:rPr>
          <w:szCs w:val="24"/>
        </w:rPr>
        <w:t xml:space="preserve"> the incidental taking </w:t>
      </w:r>
      <w:r>
        <w:rPr>
          <w:szCs w:val="24"/>
        </w:rPr>
        <w:t>of marine mammals for the applicant’s activities.  The Authorization does not permit the underlying activity and only authorizes the</w:t>
      </w:r>
      <w:r w:rsidRPr="004459F7">
        <w:rPr>
          <w:szCs w:val="24"/>
        </w:rPr>
        <w:t xml:space="preserve"> incidental take </w:t>
      </w:r>
      <w:r>
        <w:rPr>
          <w:szCs w:val="24"/>
        </w:rPr>
        <w:t xml:space="preserve">of </w:t>
      </w:r>
      <w:r w:rsidRPr="004459F7">
        <w:rPr>
          <w:szCs w:val="24"/>
        </w:rPr>
        <w:t>marine mammals durin</w:t>
      </w:r>
      <w:r>
        <w:rPr>
          <w:szCs w:val="24"/>
        </w:rPr>
        <w:t xml:space="preserve">g the course of that activity. </w:t>
      </w:r>
      <w:r w:rsidRPr="004459F7">
        <w:rPr>
          <w:szCs w:val="24"/>
        </w:rPr>
        <w:t xml:space="preserve">Failure to obtain an </w:t>
      </w:r>
      <w:r>
        <w:rPr>
          <w:szCs w:val="24"/>
        </w:rPr>
        <w:t>Authorization and/or regulations</w:t>
      </w:r>
      <w:r w:rsidRPr="004459F7">
        <w:rPr>
          <w:szCs w:val="24"/>
        </w:rPr>
        <w:t xml:space="preserve"> does not mean the activity cannot take place, but if a</w:t>
      </w:r>
      <w:r>
        <w:rPr>
          <w:szCs w:val="24"/>
        </w:rPr>
        <w:t xml:space="preserve">n applicant takes a </w:t>
      </w:r>
      <w:r w:rsidRPr="004459F7">
        <w:rPr>
          <w:szCs w:val="24"/>
        </w:rPr>
        <w:t>marine mammal (</w:t>
      </w:r>
      <w:r>
        <w:rPr>
          <w:szCs w:val="24"/>
        </w:rPr>
        <w:t xml:space="preserve">by </w:t>
      </w:r>
      <w:r w:rsidRPr="004459F7">
        <w:rPr>
          <w:szCs w:val="24"/>
        </w:rPr>
        <w:t>harass</w:t>
      </w:r>
      <w:r>
        <w:rPr>
          <w:szCs w:val="24"/>
        </w:rPr>
        <w:t>ment</w:t>
      </w:r>
      <w:r w:rsidRPr="004459F7">
        <w:rPr>
          <w:szCs w:val="24"/>
        </w:rPr>
        <w:t>, injur</w:t>
      </w:r>
      <w:r>
        <w:rPr>
          <w:szCs w:val="24"/>
        </w:rPr>
        <w:t>y, serious injury, or mortality</w:t>
      </w:r>
      <w:r w:rsidRPr="004459F7">
        <w:rPr>
          <w:szCs w:val="24"/>
        </w:rPr>
        <w:t xml:space="preserve">) while conducting that activity, the </w:t>
      </w:r>
      <w:r>
        <w:rPr>
          <w:szCs w:val="24"/>
        </w:rPr>
        <w:t>applicant</w:t>
      </w:r>
      <w:r w:rsidRPr="004459F7">
        <w:rPr>
          <w:szCs w:val="24"/>
        </w:rPr>
        <w:t xml:space="preserve"> may be subject to prosecution under the MMPA or vulnerable to third party litigation.</w:t>
      </w:r>
    </w:p>
    <w:p w:rsidR="00167FF4" w:rsidP="00167FF4" w:rsidRDefault="00167FF4">
      <w:pPr>
        <w:rPr>
          <w:szCs w:val="24"/>
        </w:rPr>
      </w:pPr>
    </w:p>
    <w:p w:rsidR="00167FF4" w:rsidP="00167FF4" w:rsidRDefault="00167FF4">
      <w:pPr>
        <w:rPr>
          <w:szCs w:val="24"/>
        </w:rPr>
      </w:pPr>
      <w:r>
        <w:rPr>
          <w:szCs w:val="24"/>
        </w:rPr>
        <w:t>The</w:t>
      </w:r>
      <w:r w:rsidRPr="007F4CD8">
        <w:rPr>
          <w:szCs w:val="24"/>
        </w:rPr>
        <w:t xml:space="preserve"> Director, Office of Protected Resources </w:t>
      </w:r>
      <w:r w:rsidRPr="003E729F">
        <w:rPr>
          <w:szCs w:val="24"/>
        </w:rPr>
        <w:t>will use the information</w:t>
      </w:r>
      <w:r>
        <w:rPr>
          <w:szCs w:val="24"/>
        </w:rPr>
        <w:t xml:space="preserve"> collection</w:t>
      </w:r>
      <w:r w:rsidRPr="003E729F">
        <w:rPr>
          <w:szCs w:val="24"/>
        </w:rPr>
        <w:t xml:space="preserve"> as</w:t>
      </w:r>
      <w:r>
        <w:rPr>
          <w:szCs w:val="24"/>
        </w:rPr>
        <w:t>:</w:t>
      </w:r>
    </w:p>
    <w:p w:rsidR="00167FF4" w:rsidP="00167FF4" w:rsidRDefault="00167FF4">
      <w:pPr>
        <w:pStyle w:val="ListParagraph"/>
        <w:numPr>
          <w:ilvl w:val="0"/>
          <w:numId w:val="18"/>
        </w:numPr>
        <w:adjustRightInd w:val="0"/>
        <w:spacing w:before="120"/>
        <w:ind w:left="763"/>
        <w:rPr>
          <w:szCs w:val="24"/>
        </w:rPr>
      </w:pPr>
      <w:r w:rsidRPr="00033EF0">
        <w:rPr>
          <w:szCs w:val="24"/>
        </w:rPr>
        <w:t xml:space="preserve">a basis for a decision on issuance or denial of an </w:t>
      </w:r>
      <w:r>
        <w:rPr>
          <w:szCs w:val="24"/>
        </w:rPr>
        <w:t>Authorization</w:t>
      </w:r>
      <w:r w:rsidRPr="00033EF0">
        <w:rPr>
          <w:szCs w:val="24"/>
        </w:rPr>
        <w:t xml:space="preserve"> and/or regulations under the MMPA</w:t>
      </w:r>
      <w:r>
        <w:rPr>
          <w:szCs w:val="24"/>
        </w:rPr>
        <w:t xml:space="preserve"> (application); and </w:t>
      </w:r>
    </w:p>
    <w:p w:rsidR="00167FF4" w:rsidP="00167FF4" w:rsidRDefault="00167FF4">
      <w:pPr>
        <w:pStyle w:val="ListParagraph"/>
        <w:numPr>
          <w:ilvl w:val="0"/>
          <w:numId w:val="18"/>
        </w:numPr>
        <w:adjustRightInd w:val="0"/>
        <w:spacing w:before="120"/>
        <w:ind w:left="763"/>
        <w:rPr>
          <w:szCs w:val="24"/>
        </w:rPr>
      </w:pPr>
      <w:r>
        <w:rPr>
          <w:szCs w:val="24"/>
        </w:rPr>
        <w:t>a basis for monitoring and evaluating the impacts of the authorized activity’s impact on marine mammals (monitoring and reporting);</w:t>
      </w:r>
    </w:p>
    <w:p w:rsidR="00167FF4" w:rsidP="00167FF4" w:rsidRDefault="00167FF4">
      <w:pPr>
        <w:ind w:left="48"/>
        <w:rPr>
          <w:szCs w:val="24"/>
        </w:rPr>
      </w:pPr>
    </w:p>
    <w:p w:rsidRPr="00992A98" w:rsidR="00167FF4" w:rsidP="00167FF4" w:rsidRDefault="00167FF4">
      <w:pPr>
        <w:ind w:left="48"/>
        <w:rPr>
          <w:b/>
          <w:szCs w:val="24"/>
          <w:u w:val="single"/>
        </w:rPr>
      </w:pPr>
      <w:r w:rsidRPr="00992A98">
        <w:rPr>
          <w:b/>
          <w:szCs w:val="24"/>
          <w:u w:val="single"/>
        </w:rPr>
        <w:t xml:space="preserve">Information Collection </w:t>
      </w:r>
      <w:r>
        <w:rPr>
          <w:b/>
          <w:szCs w:val="24"/>
          <w:u w:val="single"/>
        </w:rPr>
        <w:t xml:space="preserve">– </w:t>
      </w:r>
      <w:r w:rsidRPr="00992A98">
        <w:rPr>
          <w:b/>
          <w:szCs w:val="24"/>
          <w:u w:val="single"/>
        </w:rPr>
        <w:t>Application</w:t>
      </w:r>
      <w:r>
        <w:rPr>
          <w:b/>
          <w:szCs w:val="24"/>
          <w:u w:val="single"/>
        </w:rPr>
        <w:t xml:space="preserve"> and Supporting Documentation</w:t>
      </w:r>
    </w:p>
    <w:p w:rsidR="00167FF4" w:rsidP="00167FF4" w:rsidRDefault="00167FF4">
      <w:pPr>
        <w:spacing w:before="120"/>
        <w:ind w:left="48"/>
        <w:rPr>
          <w:szCs w:val="24"/>
        </w:rPr>
      </w:pPr>
      <w:r>
        <w:rPr>
          <w:szCs w:val="24"/>
        </w:rPr>
        <w:t xml:space="preserve">The regulations for an Authorization (Incidental Harassment Authorization or Letter of Authorization) require applicants to include responses to fourteen questions listed in </w:t>
      </w:r>
      <w:hyperlink w:history="1" r:id="rId13">
        <w:r w:rsidRPr="005C23EF">
          <w:rPr>
            <w:rStyle w:val="Hyperlink"/>
            <w:szCs w:val="24"/>
          </w:rPr>
          <w:t>50 CFR 216.104(a)(1-14)</w:t>
        </w:r>
      </w:hyperlink>
      <w:r>
        <w:rPr>
          <w:szCs w:val="24"/>
        </w:rPr>
        <w:t xml:space="preserve">. </w:t>
      </w:r>
    </w:p>
    <w:p w:rsidR="00167FF4" w:rsidP="00167FF4" w:rsidRDefault="00167FF4">
      <w:pPr>
        <w:spacing w:before="120"/>
        <w:ind w:left="48"/>
        <w:rPr>
          <w:szCs w:val="24"/>
        </w:rPr>
      </w:pPr>
      <w:r w:rsidRPr="0093762A">
        <w:rPr>
          <w:szCs w:val="24"/>
        </w:rPr>
        <w:t xml:space="preserve">All applications for marine mammal </w:t>
      </w:r>
      <w:r>
        <w:rPr>
          <w:szCs w:val="24"/>
        </w:rPr>
        <w:t xml:space="preserve">Authorizations and/or regulations </w:t>
      </w:r>
      <w:r w:rsidRPr="0093762A">
        <w:rPr>
          <w:szCs w:val="24"/>
        </w:rPr>
        <w:t xml:space="preserve">must </w:t>
      </w:r>
      <w:r>
        <w:rPr>
          <w:szCs w:val="24"/>
        </w:rPr>
        <w:t xml:space="preserve">include this information </w:t>
      </w:r>
      <w:r w:rsidRPr="0093762A">
        <w:rPr>
          <w:szCs w:val="24"/>
        </w:rPr>
        <w:t xml:space="preserve">in </w:t>
      </w:r>
      <w:r w:rsidRPr="0093762A">
        <w:rPr>
          <w:szCs w:val="24"/>
        </w:rPr>
        <w:lastRenderedPageBreak/>
        <w:t xml:space="preserve">sufficient detail </w:t>
      </w:r>
      <w:r>
        <w:rPr>
          <w:szCs w:val="24"/>
        </w:rPr>
        <w:t xml:space="preserve">necessary </w:t>
      </w:r>
      <w:r w:rsidRPr="0093762A">
        <w:rPr>
          <w:szCs w:val="24"/>
        </w:rPr>
        <w:t xml:space="preserve">for </w:t>
      </w:r>
      <w:r>
        <w:rPr>
          <w:szCs w:val="24"/>
        </w:rPr>
        <w:t>us</w:t>
      </w:r>
      <w:r w:rsidRPr="0093762A">
        <w:rPr>
          <w:szCs w:val="24"/>
        </w:rPr>
        <w:t xml:space="preserve"> </w:t>
      </w:r>
      <w:r w:rsidRPr="00A71904">
        <w:rPr>
          <w:szCs w:val="24"/>
        </w:rPr>
        <w:t xml:space="preserve">to conduct </w:t>
      </w:r>
      <w:r>
        <w:rPr>
          <w:szCs w:val="24"/>
        </w:rPr>
        <w:t>appropriate</w:t>
      </w:r>
      <w:r w:rsidRPr="00A71904">
        <w:rPr>
          <w:szCs w:val="24"/>
        </w:rPr>
        <w:t xml:space="preserve"> analys</w:t>
      </w:r>
      <w:r>
        <w:rPr>
          <w:szCs w:val="24"/>
        </w:rPr>
        <w:t>e</w:t>
      </w:r>
      <w:r w:rsidRPr="00A71904">
        <w:rPr>
          <w:szCs w:val="24"/>
        </w:rPr>
        <w:t>s and make necessary findings</w:t>
      </w:r>
      <w:r>
        <w:rPr>
          <w:szCs w:val="24"/>
        </w:rPr>
        <w:t xml:space="preserve"> under the MMPA and other applicable laws. In addition to the information collection required under 50 CFR 216.104, applicants often voluntarily provide environmental analyses, raw data, and/or geospatial data files to further support their request for an ITA.</w:t>
      </w:r>
    </w:p>
    <w:p w:rsidR="00167FF4" w:rsidP="00167FF4" w:rsidRDefault="00167FF4">
      <w:pPr>
        <w:ind w:left="228"/>
        <w:rPr>
          <w:szCs w:val="24"/>
        </w:rPr>
      </w:pPr>
      <w:r>
        <w:rPr>
          <w:szCs w:val="24"/>
        </w:rPr>
        <w:t>We use the information to:</w:t>
      </w:r>
    </w:p>
    <w:p w:rsidR="00167FF4" w:rsidP="00167FF4" w:rsidRDefault="00167FF4">
      <w:pPr>
        <w:pStyle w:val="ListParagraph"/>
        <w:numPr>
          <w:ilvl w:val="0"/>
          <w:numId w:val="19"/>
        </w:numPr>
        <w:adjustRightInd w:val="0"/>
        <w:spacing w:before="120"/>
        <w:ind w:left="677" w:hanging="274"/>
        <w:rPr>
          <w:szCs w:val="24"/>
        </w:rPr>
      </w:pPr>
      <w:r>
        <w:rPr>
          <w:szCs w:val="24"/>
        </w:rPr>
        <w:t>review</w:t>
      </w:r>
      <w:r w:rsidRPr="00A71904">
        <w:rPr>
          <w:szCs w:val="24"/>
        </w:rPr>
        <w:t xml:space="preserve"> </w:t>
      </w:r>
      <w:r>
        <w:rPr>
          <w:szCs w:val="24"/>
        </w:rPr>
        <w:t xml:space="preserve">the </w:t>
      </w:r>
      <w:r w:rsidRPr="00A71904">
        <w:rPr>
          <w:szCs w:val="24"/>
        </w:rPr>
        <w:t>application and ensure that it is adequate and complete</w:t>
      </w:r>
      <w:r>
        <w:rPr>
          <w:szCs w:val="24"/>
        </w:rPr>
        <w:t>.</w:t>
      </w:r>
    </w:p>
    <w:p w:rsidR="00167FF4" w:rsidP="00167FF4" w:rsidRDefault="00167FF4">
      <w:pPr>
        <w:pStyle w:val="ListParagraph"/>
        <w:numPr>
          <w:ilvl w:val="0"/>
          <w:numId w:val="19"/>
        </w:numPr>
        <w:adjustRightInd w:val="0"/>
        <w:spacing w:before="120"/>
        <w:ind w:left="677" w:hanging="274"/>
        <w:rPr>
          <w:szCs w:val="24"/>
        </w:rPr>
      </w:pPr>
      <w:r>
        <w:rPr>
          <w:szCs w:val="24"/>
        </w:rPr>
        <w:t>d</w:t>
      </w:r>
      <w:r w:rsidRPr="00982F74">
        <w:rPr>
          <w:szCs w:val="24"/>
        </w:rPr>
        <w:t xml:space="preserve">etermine the status of the proposed action under the ESA and NEPA. </w:t>
      </w:r>
    </w:p>
    <w:p w:rsidRPr="00982F74" w:rsidR="00167FF4" w:rsidP="00167FF4" w:rsidRDefault="00167FF4">
      <w:pPr>
        <w:pStyle w:val="ListParagraph"/>
        <w:numPr>
          <w:ilvl w:val="0"/>
          <w:numId w:val="19"/>
        </w:numPr>
        <w:adjustRightInd w:val="0"/>
        <w:spacing w:before="120"/>
        <w:ind w:left="677" w:hanging="274"/>
        <w:rPr>
          <w:szCs w:val="24"/>
        </w:rPr>
      </w:pPr>
      <w:r>
        <w:rPr>
          <w:szCs w:val="24"/>
        </w:rPr>
        <w:t>d</w:t>
      </w:r>
      <w:r w:rsidRPr="00982F74">
        <w:rPr>
          <w:szCs w:val="24"/>
        </w:rPr>
        <w:t>etermine the size, scope and duration of the proposed activity (Questions 1 and 2).</w:t>
      </w:r>
    </w:p>
    <w:p w:rsidR="00167FF4" w:rsidP="00167FF4" w:rsidRDefault="00167FF4">
      <w:pPr>
        <w:pStyle w:val="ListParagraph"/>
        <w:numPr>
          <w:ilvl w:val="0"/>
          <w:numId w:val="19"/>
        </w:numPr>
        <w:adjustRightInd w:val="0"/>
        <w:spacing w:before="120"/>
        <w:ind w:left="677" w:hanging="274"/>
        <w:rPr>
          <w:szCs w:val="24"/>
        </w:rPr>
      </w:pPr>
      <w:r>
        <w:rPr>
          <w:szCs w:val="24"/>
        </w:rPr>
        <w:t>determine the environmental setting of the activity (Questions 3 and 4).</w:t>
      </w:r>
    </w:p>
    <w:p w:rsidRPr="00982F74" w:rsidR="00167FF4" w:rsidP="00167FF4" w:rsidRDefault="00167FF4">
      <w:pPr>
        <w:pStyle w:val="ListParagraph"/>
        <w:numPr>
          <w:ilvl w:val="0"/>
          <w:numId w:val="19"/>
        </w:numPr>
        <w:adjustRightInd w:val="0"/>
        <w:spacing w:before="120"/>
        <w:ind w:left="677" w:hanging="274"/>
        <w:rPr>
          <w:szCs w:val="24"/>
        </w:rPr>
      </w:pPr>
      <w:r>
        <w:rPr>
          <w:szCs w:val="24"/>
        </w:rPr>
        <w:t>c</w:t>
      </w:r>
      <w:r w:rsidRPr="00982F74">
        <w:rPr>
          <w:szCs w:val="24"/>
        </w:rPr>
        <w:t>omplete an analysis of the effects of the action on marine mammals, their habitat, and subsistence uses (including methods of take) (Questions 5 -10).</w:t>
      </w:r>
    </w:p>
    <w:p w:rsidR="00167FF4" w:rsidP="00167FF4" w:rsidRDefault="00167FF4">
      <w:pPr>
        <w:pStyle w:val="ListParagraph"/>
        <w:numPr>
          <w:ilvl w:val="0"/>
          <w:numId w:val="19"/>
        </w:numPr>
        <w:adjustRightInd w:val="0"/>
        <w:spacing w:before="120"/>
        <w:ind w:left="677" w:hanging="274"/>
        <w:rPr>
          <w:szCs w:val="24"/>
        </w:rPr>
      </w:pPr>
      <w:r>
        <w:rPr>
          <w:szCs w:val="24"/>
        </w:rPr>
        <w:t>v</w:t>
      </w:r>
      <w:r w:rsidRPr="00A71904">
        <w:rPr>
          <w:szCs w:val="24"/>
        </w:rPr>
        <w:t>erify an estimate of the numbers of animals likely to be taken</w:t>
      </w:r>
      <w:r>
        <w:rPr>
          <w:szCs w:val="24"/>
        </w:rPr>
        <w:t xml:space="preserve"> (Questions 5-10).</w:t>
      </w:r>
    </w:p>
    <w:p w:rsidR="00167FF4" w:rsidP="00167FF4" w:rsidRDefault="00167FF4">
      <w:pPr>
        <w:pStyle w:val="ListParagraph"/>
        <w:numPr>
          <w:ilvl w:val="0"/>
          <w:numId w:val="19"/>
        </w:numPr>
        <w:adjustRightInd w:val="0"/>
        <w:spacing w:before="120"/>
        <w:ind w:left="677" w:hanging="274"/>
        <w:rPr>
          <w:szCs w:val="24"/>
        </w:rPr>
      </w:pPr>
      <w:r>
        <w:rPr>
          <w:szCs w:val="24"/>
        </w:rPr>
        <w:t>e</w:t>
      </w:r>
      <w:r w:rsidRPr="005A14E7">
        <w:rPr>
          <w:szCs w:val="24"/>
        </w:rPr>
        <w:t xml:space="preserve">nsure that </w:t>
      </w:r>
      <w:r>
        <w:rPr>
          <w:szCs w:val="24"/>
        </w:rPr>
        <w:t xml:space="preserve">the applicant included </w:t>
      </w:r>
      <w:r w:rsidRPr="005A14E7">
        <w:rPr>
          <w:szCs w:val="24"/>
        </w:rPr>
        <w:t xml:space="preserve">adequate mitigation measures </w:t>
      </w:r>
      <w:r>
        <w:rPr>
          <w:szCs w:val="24"/>
        </w:rPr>
        <w:t>(Question 11).</w:t>
      </w:r>
    </w:p>
    <w:p w:rsidRPr="005A14E7" w:rsidR="00167FF4" w:rsidP="00167FF4" w:rsidRDefault="00167FF4">
      <w:pPr>
        <w:pStyle w:val="ListParagraph"/>
        <w:numPr>
          <w:ilvl w:val="0"/>
          <w:numId w:val="19"/>
        </w:numPr>
        <w:adjustRightInd w:val="0"/>
        <w:spacing w:before="120"/>
        <w:ind w:left="677" w:hanging="274"/>
        <w:rPr>
          <w:szCs w:val="24"/>
        </w:rPr>
      </w:pPr>
      <w:r>
        <w:rPr>
          <w:szCs w:val="24"/>
        </w:rPr>
        <w:t xml:space="preserve">ensure the applicant included </w:t>
      </w:r>
      <w:r w:rsidRPr="005A14E7">
        <w:rPr>
          <w:szCs w:val="24"/>
        </w:rPr>
        <w:t>adequate mo</w:t>
      </w:r>
      <w:r>
        <w:rPr>
          <w:szCs w:val="24"/>
        </w:rPr>
        <w:t>nitoring and reporting measures (Question 13).</w:t>
      </w:r>
    </w:p>
    <w:p w:rsidR="00167FF4" w:rsidP="00167FF4" w:rsidRDefault="00167FF4">
      <w:pPr>
        <w:ind w:left="408"/>
        <w:rPr>
          <w:szCs w:val="24"/>
        </w:rPr>
      </w:pPr>
    </w:p>
    <w:p w:rsidR="00167FF4" w:rsidP="00167FF4" w:rsidRDefault="00167FF4">
      <w:pPr>
        <w:ind w:left="408"/>
        <w:rPr>
          <w:szCs w:val="24"/>
        </w:rPr>
      </w:pPr>
      <w:r>
        <w:rPr>
          <w:szCs w:val="24"/>
        </w:rPr>
        <w:t xml:space="preserve">Question 12 is specific to actions in Alaska. </w:t>
      </w:r>
      <w:r w:rsidRPr="005C23EF">
        <w:rPr>
          <w:szCs w:val="24"/>
        </w:rPr>
        <w:t>For activities conducted in the Arctic, the MMPA and/or implementing regulations require that the applicant’s monitoring plan undergo an independent review.</w:t>
      </w:r>
      <w:r>
        <w:rPr>
          <w:szCs w:val="24"/>
        </w:rPr>
        <w:t xml:space="preserve"> Question 14 </w:t>
      </w:r>
      <w:r w:rsidRPr="00CA09CF">
        <w:rPr>
          <w:szCs w:val="24"/>
        </w:rPr>
        <w:t>requests information on what plans the applicant may have to conduct research on the impacts on marine mammals from the activity. This information is requested to effectuate leg</w:t>
      </w:r>
      <w:r>
        <w:rPr>
          <w:szCs w:val="24"/>
        </w:rPr>
        <w:t xml:space="preserve">islative intent behind the 1981 </w:t>
      </w:r>
      <w:r w:rsidRPr="00CA09CF">
        <w:rPr>
          <w:szCs w:val="24"/>
        </w:rPr>
        <w:t>Amendments to the MMPA (H. Rept.</w:t>
      </w:r>
      <w:r>
        <w:rPr>
          <w:szCs w:val="24"/>
        </w:rPr>
        <w:t xml:space="preserve"> </w:t>
      </w:r>
      <w:r w:rsidRPr="00CA09CF">
        <w:rPr>
          <w:szCs w:val="24"/>
        </w:rPr>
        <w:t>97-228, p.</w:t>
      </w:r>
      <w:r>
        <w:rPr>
          <w:szCs w:val="24"/>
        </w:rPr>
        <w:t xml:space="preserve"> </w:t>
      </w:r>
      <w:r w:rsidRPr="00CA09CF">
        <w:rPr>
          <w:szCs w:val="24"/>
        </w:rPr>
        <w:t xml:space="preserve">20) that persons operating under the </w:t>
      </w:r>
      <w:r>
        <w:rPr>
          <w:szCs w:val="24"/>
        </w:rPr>
        <w:t>incidental</w:t>
      </w:r>
      <w:r w:rsidRPr="00CA09CF">
        <w:rPr>
          <w:szCs w:val="24"/>
        </w:rPr>
        <w:t xml:space="preserve"> take authority engage in appropriate research desig</w:t>
      </w:r>
      <w:r>
        <w:rPr>
          <w:szCs w:val="24"/>
        </w:rPr>
        <w:t xml:space="preserve">ned to reduce incidental take. </w:t>
      </w:r>
    </w:p>
    <w:p w:rsidR="00167FF4" w:rsidP="00167FF4" w:rsidRDefault="00167FF4">
      <w:pPr>
        <w:ind w:left="180"/>
        <w:rPr>
          <w:szCs w:val="24"/>
        </w:rPr>
      </w:pPr>
    </w:p>
    <w:p w:rsidR="00167FF4" w:rsidP="00167FF4" w:rsidRDefault="00167FF4">
      <w:pPr>
        <w:ind w:left="408"/>
        <w:rPr>
          <w:szCs w:val="24"/>
        </w:rPr>
      </w:pPr>
      <w:r>
        <w:rPr>
          <w:szCs w:val="24"/>
        </w:rPr>
        <w:t>We review the application and analyze the information collection to make</w:t>
      </w:r>
      <w:r w:rsidRPr="00A85107">
        <w:rPr>
          <w:szCs w:val="24"/>
        </w:rPr>
        <w:t xml:space="preserve"> </w:t>
      </w:r>
      <w:r>
        <w:rPr>
          <w:szCs w:val="24"/>
        </w:rPr>
        <w:t>statutory</w:t>
      </w:r>
      <w:r w:rsidRPr="00A85107">
        <w:rPr>
          <w:szCs w:val="24"/>
        </w:rPr>
        <w:t xml:space="preserve"> findings </w:t>
      </w:r>
      <w:r>
        <w:rPr>
          <w:szCs w:val="24"/>
        </w:rPr>
        <w:t xml:space="preserve">under the MMPA </w:t>
      </w:r>
      <w:r w:rsidRPr="00A85107">
        <w:rPr>
          <w:szCs w:val="24"/>
        </w:rPr>
        <w:t>that the taking</w:t>
      </w:r>
      <w:r>
        <w:rPr>
          <w:szCs w:val="24"/>
        </w:rPr>
        <w:t xml:space="preserve">: </w:t>
      </w:r>
      <w:r w:rsidRPr="00B3716C">
        <w:rPr>
          <w:szCs w:val="24"/>
        </w:rPr>
        <w:t xml:space="preserve">will </w:t>
      </w:r>
      <w:r>
        <w:rPr>
          <w:szCs w:val="24"/>
        </w:rPr>
        <w:t xml:space="preserve">satisfy the small numbers requirement, where applicable; will </w:t>
      </w:r>
      <w:r w:rsidRPr="00B3716C">
        <w:rPr>
          <w:szCs w:val="24"/>
        </w:rPr>
        <w:t>have a negligible impact on the species or stock(s)</w:t>
      </w:r>
      <w:r>
        <w:rPr>
          <w:szCs w:val="24"/>
        </w:rPr>
        <w:t xml:space="preserve"> (Questions 1-11);</w:t>
      </w:r>
      <w:r w:rsidRPr="00B3716C">
        <w:rPr>
          <w:szCs w:val="24"/>
        </w:rPr>
        <w:t xml:space="preserve"> and will not have an immitigable adverse impact on the availability of the species or stock(s) for subsistence uses</w:t>
      </w:r>
      <w:r>
        <w:rPr>
          <w:szCs w:val="24"/>
        </w:rPr>
        <w:t xml:space="preserve"> (where relevant) (Questions 8, 11, and 12)</w:t>
      </w:r>
      <w:r w:rsidRPr="00B3716C">
        <w:rPr>
          <w:szCs w:val="24"/>
        </w:rPr>
        <w:t>. The authorization</w:t>
      </w:r>
      <w:r>
        <w:rPr>
          <w:szCs w:val="24"/>
        </w:rPr>
        <w:t xml:space="preserve"> (if issued)</w:t>
      </w:r>
      <w:r w:rsidRPr="00B3716C">
        <w:rPr>
          <w:szCs w:val="24"/>
        </w:rPr>
        <w:t xml:space="preserve"> must set forth the permissible me</w:t>
      </w:r>
      <w:r>
        <w:rPr>
          <w:szCs w:val="24"/>
        </w:rPr>
        <w:t xml:space="preserve">thods of taking, other means of </w:t>
      </w:r>
      <w:r w:rsidRPr="00B3716C">
        <w:rPr>
          <w:szCs w:val="24"/>
        </w:rPr>
        <w:t>effecting the least practicable adverse impact on the species or stock and its habitat, and monitoring and reporting of such</w:t>
      </w:r>
      <w:r>
        <w:rPr>
          <w:szCs w:val="24"/>
        </w:rPr>
        <w:t xml:space="preserve"> </w:t>
      </w:r>
      <w:r w:rsidRPr="00B3716C">
        <w:rPr>
          <w:szCs w:val="24"/>
        </w:rPr>
        <w:t>takings.</w:t>
      </w:r>
    </w:p>
    <w:p w:rsidR="00167FF4" w:rsidP="00167FF4" w:rsidRDefault="00167FF4">
      <w:pPr>
        <w:ind w:left="408"/>
        <w:rPr>
          <w:szCs w:val="24"/>
        </w:rPr>
      </w:pPr>
    </w:p>
    <w:p w:rsidR="00167FF4" w:rsidP="00167FF4" w:rsidRDefault="00167FF4">
      <w:pPr>
        <w:ind w:left="408"/>
        <w:rPr>
          <w:szCs w:val="24"/>
        </w:rPr>
      </w:pPr>
      <w:r>
        <w:rPr>
          <w:szCs w:val="24"/>
        </w:rPr>
        <w:t>Our</w:t>
      </w:r>
      <w:r w:rsidRPr="00927778">
        <w:rPr>
          <w:szCs w:val="24"/>
        </w:rPr>
        <w:t xml:space="preserve"> review of a</w:t>
      </w:r>
      <w:r>
        <w:rPr>
          <w:szCs w:val="24"/>
        </w:rPr>
        <w:t xml:space="preserve"> complete</w:t>
      </w:r>
      <w:r w:rsidRPr="00927778">
        <w:rPr>
          <w:szCs w:val="24"/>
        </w:rPr>
        <w:t xml:space="preserve"> application</w:t>
      </w:r>
      <w:r>
        <w:rPr>
          <w:szCs w:val="24"/>
        </w:rPr>
        <w:t xml:space="preserve"> is </w:t>
      </w:r>
      <w:r w:rsidRPr="00927778">
        <w:rPr>
          <w:szCs w:val="24"/>
        </w:rPr>
        <w:t xml:space="preserve">followed by </w:t>
      </w:r>
      <w:r>
        <w:rPr>
          <w:szCs w:val="24"/>
        </w:rPr>
        <w:t xml:space="preserve">one </w:t>
      </w:r>
      <w:r w:rsidRPr="00927778">
        <w:rPr>
          <w:szCs w:val="24"/>
        </w:rPr>
        <w:t xml:space="preserve">30-day public comment period </w:t>
      </w:r>
      <w:r>
        <w:rPr>
          <w:szCs w:val="24"/>
        </w:rPr>
        <w:t xml:space="preserve">in the </w:t>
      </w:r>
      <w:r w:rsidRPr="006C0AC8">
        <w:rPr>
          <w:szCs w:val="24"/>
          <w:u w:val="single"/>
        </w:rPr>
        <w:t>Federal Register</w:t>
      </w:r>
      <w:r>
        <w:rPr>
          <w:szCs w:val="24"/>
        </w:rPr>
        <w:t xml:space="preserve"> for an Incidental Harassment Authorization (Section 101(a)(5)(D)) or by two </w:t>
      </w:r>
      <w:r w:rsidRPr="00927778">
        <w:rPr>
          <w:szCs w:val="24"/>
        </w:rPr>
        <w:t>public comment period</w:t>
      </w:r>
      <w:r>
        <w:rPr>
          <w:szCs w:val="24"/>
        </w:rPr>
        <w:t>s (</w:t>
      </w:r>
      <w:r w:rsidRPr="006C0AC8">
        <w:rPr>
          <w:szCs w:val="24"/>
        </w:rPr>
        <w:t>e.g.,</w:t>
      </w:r>
      <w:r>
        <w:rPr>
          <w:szCs w:val="24"/>
        </w:rPr>
        <w:t xml:space="preserve"> one 30-day upon receipt and one 30-45-day period when regulations are proposed)</w:t>
      </w:r>
      <w:r w:rsidRPr="00927778">
        <w:rPr>
          <w:szCs w:val="24"/>
        </w:rPr>
        <w:t xml:space="preserve"> </w:t>
      </w:r>
      <w:r>
        <w:rPr>
          <w:szCs w:val="24"/>
        </w:rPr>
        <w:t>for regulations and subsequent Letters of Authorization (</w:t>
      </w:r>
      <w:hyperlink w:history="1" r:id="rId14">
        <w:r w:rsidRPr="000C2E9F">
          <w:rPr>
            <w:rStyle w:val="Hyperlink"/>
            <w:szCs w:val="24"/>
          </w:rPr>
          <w:t>Section 101(a)(5)(A</w:t>
        </w:r>
      </w:hyperlink>
      <w:r>
        <w:rPr>
          <w:szCs w:val="24"/>
        </w:rPr>
        <w:t>)).</w:t>
      </w:r>
    </w:p>
    <w:p w:rsidR="00167FF4" w:rsidP="00167FF4" w:rsidRDefault="00167FF4">
      <w:pPr>
        <w:rPr>
          <w:szCs w:val="24"/>
        </w:rPr>
      </w:pPr>
    </w:p>
    <w:p w:rsidRPr="00992A98" w:rsidR="00167FF4" w:rsidP="00167FF4" w:rsidRDefault="00167FF4">
      <w:pPr>
        <w:rPr>
          <w:b/>
          <w:szCs w:val="24"/>
          <w:u w:val="single"/>
        </w:rPr>
      </w:pPr>
      <w:r>
        <w:rPr>
          <w:b/>
          <w:szCs w:val="24"/>
          <w:u w:val="single"/>
        </w:rPr>
        <w:t>Information Collection – Monitoring and Reporting</w:t>
      </w:r>
    </w:p>
    <w:p w:rsidR="00167FF4" w:rsidP="00167FF4" w:rsidRDefault="00167FF4">
      <w:pPr>
        <w:spacing w:before="120"/>
        <w:rPr>
          <w:szCs w:val="24"/>
        </w:rPr>
      </w:pPr>
      <w:r>
        <w:rPr>
          <w:szCs w:val="24"/>
        </w:rPr>
        <w:t xml:space="preserve">We use monitoring requirements and interim, </w:t>
      </w:r>
      <w:r w:rsidRPr="00C2537F">
        <w:rPr>
          <w:szCs w:val="24"/>
        </w:rPr>
        <w:t>annual</w:t>
      </w:r>
      <w:r>
        <w:rPr>
          <w:szCs w:val="24"/>
        </w:rPr>
        <w:t>, and comprehensive reports to determine:</w:t>
      </w:r>
    </w:p>
    <w:p w:rsidR="00167FF4" w:rsidP="00167FF4" w:rsidRDefault="00167FF4">
      <w:pPr>
        <w:pStyle w:val="ListParagraph"/>
        <w:numPr>
          <w:ilvl w:val="0"/>
          <w:numId w:val="20"/>
        </w:numPr>
        <w:adjustRightInd w:val="0"/>
        <w:spacing w:before="120"/>
        <w:ind w:left="763"/>
        <w:rPr>
          <w:szCs w:val="24"/>
        </w:rPr>
      </w:pPr>
      <w:r w:rsidRPr="006A19A0">
        <w:rPr>
          <w:szCs w:val="24"/>
        </w:rPr>
        <w:t xml:space="preserve">if the activity took place as described in the request for an </w:t>
      </w:r>
      <w:r>
        <w:rPr>
          <w:szCs w:val="24"/>
        </w:rPr>
        <w:t>Authorization;</w:t>
      </w:r>
    </w:p>
    <w:p w:rsidR="00167FF4" w:rsidP="00167FF4" w:rsidRDefault="00167FF4">
      <w:pPr>
        <w:pStyle w:val="ListParagraph"/>
        <w:numPr>
          <w:ilvl w:val="0"/>
          <w:numId w:val="20"/>
        </w:numPr>
        <w:adjustRightInd w:val="0"/>
        <w:spacing w:before="120"/>
        <w:ind w:left="763"/>
        <w:rPr>
          <w:szCs w:val="24"/>
        </w:rPr>
      </w:pPr>
      <w:r>
        <w:rPr>
          <w:szCs w:val="24"/>
        </w:rPr>
        <w:t xml:space="preserve">if the applicant complied with </w:t>
      </w:r>
      <w:r w:rsidRPr="0094288C">
        <w:rPr>
          <w:szCs w:val="24"/>
        </w:rPr>
        <w:t xml:space="preserve">the terms and conditions of the </w:t>
      </w:r>
      <w:r>
        <w:rPr>
          <w:szCs w:val="24"/>
        </w:rPr>
        <w:t>Authorization;</w:t>
      </w:r>
    </w:p>
    <w:p w:rsidR="00167FF4" w:rsidP="00167FF4" w:rsidRDefault="00167FF4">
      <w:pPr>
        <w:pStyle w:val="ListParagraph"/>
        <w:numPr>
          <w:ilvl w:val="0"/>
          <w:numId w:val="20"/>
        </w:numPr>
        <w:adjustRightInd w:val="0"/>
        <w:spacing w:before="120"/>
        <w:ind w:left="763"/>
        <w:rPr>
          <w:szCs w:val="24"/>
        </w:rPr>
      </w:pPr>
      <w:r w:rsidRPr="006A19A0">
        <w:rPr>
          <w:szCs w:val="24"/>
        </w:rPr>
        <w:t xml:space="preserve">if the </w:t>
      </w:r>
      <w:r>
        <w:rPr>
          <w:szCs w:val="24"/>
        </w:rPr>
        <w:t xml:space="preserve">applicant conducted the </w:t>
      </w:r>
      <w:r w:rsidRPr="006A19A0">
        <w:rPr>
          <w:szCs w:val="24"/>
        </w:rPr>
        <w:t xml:space="preserve">monitoring plan </w:t>
      </w:r>
      <w:r>
        <w:rPr>
          <w:szCs w:val="24"/>
        </w:rPr>
        <w:t xml:space="preserve">as authorized; </w:t>
      </w:r>
    </w:p>
    <w:p w:rsidR="00167FF4" w:rsidP="00167FF4" w:rsidRDefault="00167FF4">
      <w:pPr>
        <w:pStyle w:val="ListParagraph"/>
        <w:numPr>
          <w:ilvl w:val="0"/>
          <w:numId w:val="20"/>
        </w:numPr>
        <w:adjustRightInd w:val="0"/>
        <w:spacing w:before="120"/>
        <w:ind w:left="763"/>
        <w:rPr>
          <w:szCs w:val="24"/>
        </w:rPr>
      </w:pPr>
      <w:r w:rsidRPr="006A19A0">
        <w:rPr>
          <w:szCs w:val="24"/>
        </w:rPr>
        <w:t>if the taking of marine mammals was more than that authorized</w:t>
      </w:r>
      <w:r>
        <w:rPr>
          <w:szCs w:val="24"/>
        </w:rPr>
        <w:t>; and</w:t>
      </w:r>
    </w:p>
    <w:p w:rsidRPr="0094288C" w:rsidR="00167FF4" w:rsidP="00167FF4" w:rsidRDefault="00167FF4">
      <w:pPr>
        <w:pStyle w:val="ListParagraph"/>
        <w:numPr>
          <w:ilvl w:val="0"/>
          <w:numId w:val="20"/>
        </w:numPr>
        <w:adjustRightInd w:val="0"/>
        <w:spacing w:before="120"/>
        <w:ind w:left="763"/>
        <w:rPr>
          <w:szCs w:val="24"/>
        </w:rPr>
      </w:pPr>
      <w:r>
        <w:rPr>
          <w:szCs w:val="24"/>
        </w:rPr>
        <w:t xml:space="preserve">if the impacts of the activity are consistent with what we anticipated and permitted in the </w:t>
      </w:r>
      <w:r>
        <w:rPr>
          <w:szCs w:val="24"/>
        </w:rPr>
        <w:lastRenderedPageBreak/>
        <w:t>Authorization.</w:t>
      </w:r>
      <w:r w:rsidRPr="0094288C">
        <w:rPr>
          <w:szCs w:val="24"/>
        </w:rPr>
        <w:t xml:space="preserve">  </w:t>
      </w:r>
    </w:p>
    <w:p w:rsidR="00167FF4" w:rsidP="00167FF4" w:rsidRDefault="00167FF4">
      <w:pPr>
        <w:rPr>
          <w:szCs w:val="24"/>
        </w:rPr>
      </w:pPr>
    </w:p>
    <w:p w:rsidR="00167FF4" w:rsidP="00167FF4" w:rsidRDefault="00167FF4">
      <w:pPr>
        <w:rPr>
          <w:szCs w:val="24"/>
        </w:rPr>
      </w:pPr>
      <w:r>
        <w:rPr>
          <w:szCs w:val="24"/>
        </w:rPr>
        <w:t>The</w:t>
      </w:r>
      <w:r w:rsidRPr="00C2537F">
        <w:rPr>
          <w:szCs w:val="24"/>
        </w:rPr>
        <w:t xml:space="preserve"> reports must include a description of the activity including </w:t>
      </w:r>
      <w:r>
        <w:rPr>
          <w:szCs w:val="24"/>
        </w:rPr>
        <w:t xml:space="preserve">the </w:t>
      </w:r>
      <w:r w:rsidRPr="00C2537F">
        <w:rPr>
          <w:szCs w:val="24"/>
        </w:rPr>
        <w:t xml:space="preserve">time, location, and place; a summary of the monitoring program; and an assessment of the effects of the activity on marine mammals including the estimated level of </w:t>
      </w:r>
      <w:r>
        <w:rPr>
          <w:szCs w:val="24"/>
        </w:rPr>
        <w:t>incidental take by species.</w:t>
      </w:r>
    </w:p>
    <w:p w:rsidR="00167FF4" w:rsidP="00167FF4" w:rsidRDefault="00167FF4">
      <w:pPr>
        <w:rPr>
          <w:szCs w:val="24"/>
        </w:rPr>
      </w:pPr>
    </w:p>
    <w:p w:rsidR="00167FF4" w:rsidP="00167FF4" w:rsidRDefault="00167FF4">
      <w:pPr>
        <w:widowControl/>
        <w:rPr>
          <w:szCs w:val="24"/>
        </w:rPr>
      </w:pPr>
      <w:r>
        <w:rPr>
          <w:szCs w:val="24"/>
        </w:rPr>
        <w:t>We may require a</w:t>
      </w:r>
      <w:r w:rsidRPr="00C2537F">
        <w:rPr>
          <w:szCs w:val="24"/>
        </w:rPr>
        <w:t xml:space="preserve">dditional reporting requirements </w:t>
      </w:r>
      <w:r>
        <w:rPr>
          <w:szCs w:val="24"/>
        </w:rPr>
        <w:t xml:space="preserve">(submission of raw data and/or geospatial data files) </w:t>
      </w:r>
      <w:r w:rsidRPr="00C2537F">
        <w:rPr>
          <w:szCs w:val="24"/>
        </w:rPr>
        <w:t xml:space="preserve">on a case-by-case basis </w:t>
      </w:r>
      <w:r>
        <w:rPr>
          <w:szCs w:val="24"/>
        </w:rPr>
        <w:t xml:space="preserve">for </w:t>
      </w:r>
      <w:r w:rsidRPr="00C2537F">
        <w:rPr>
          <w:szCs w:val="24"/>
        </w:rPr>
        <w:t>activity-specific r</w:t>
      </w:r>
      <w:r>
        <w:rPr>
          <w:szCs w:val="24"/>
        </w:rPr>
        <w:t>egulations and authorizations.</w:t>
      </w:r>
    </w:p>
    <w:p w:rsidR="00167FF4" w:rsidP="00167FF4" w:rsidRDefault="00167FF4">
      <w:pPr>
        <w:rPr>
          <w:szCs w:val="24"/>
        </w:rPr>
      </w:pPr>
    </w:p>
    <w:p w:rsidRPr="00853388" w:rsidR="00167FF4" w:rsidP="00167FF4" w:rsidRDefault="00167FF4">
      <w:pPr>
        <w:rPr>
          <w:b/>
          <w:szCs w:val="24"/>
          <w:u w:val="single"/>
        </w:rPr>
      </w:pPr>
      <w:r>
        <w:rPr>
          <w:b/>
          <w:szCs w:val="24"/>
          <w:u w:val="single"/>
        </w:rPr>
        <w:t>Compliance with the Information Quality Act Guidelines</w:t>
      </w:r>
    </w:p>
    <w:p w:rsidR="00167FF4" w:rsidP="00167FF4" w:rsidRDefault="00167FF4">
      <w:pPr>
        <w:spacing w:before="120"/>
        <w:rPr>
          <w:szCs w:val="24"/>
        </w:rPr>
      </w:pPr>
      <w:r>
        <w:rPr>
          <w:szCs w:val="24"/>
        </w:rPr>
        <w:t xml:space="preserve">We disseminate the information collection to the public to </w:t>
      </w:r>
      <w:r w:rsidRPr="009F7735">
        <w:rPr>
          <w:szCs w:val="24"/>
        </w:rPr>
        <w:t xml:space="preserve">provide a detailed description of the </w:t>
      </w:r>
      <w:r>
        <w:rPr>
          <w:szCs w:val="24"/>
        </w:rPr>
        <w:t>proposed action and to explain how we</w:t>
      </w:r>
      <w:r w:rsidRPr="009F7735">
        <w:rPr>
          <w:szCs w:val="24"/>
        </w:rPr>
        <w:t xml:space="preserve"> arrived at a determination</w:t>
      </w:r>
      <w:r>
        <w:rPr>
          <w:szCs w:val="24"/>
        </w:rPr>
        <w:t xml:space="preserve"> (either preliminary or final)</w:t>
      </w:r>
      <w:r w:rsidRPr="009F7735">
        <w:rPr>
          <w:szCs w:val="24"/>
        </w:rPr>
        <w:t xml:space="preserve"> that an </w:t>
      </w:r>
      <w:r>
        <w:rPr>
          <w:szCs w:val="24"/>
        </w:rPr>
        <w:t xml:space="preserve">Authorization and/or a regulation </w:t>
      </w:r>
      <w:r w:rsidRPr="009F7735">
        <w:rPr>
          <w:szCs w:val="24"/>
        </w:rPr>
        <w:t xml:space="preserve">is </w:t>
      </w:r>
      <w:r>
        <w:rPr>
          <w:szCs w:val="24"/>
        </w:rPr>
        <w:t xml:space="preserve">or is not </w:t>
      </w:r>
      <w:r w:rsidRPr="009F7735">
        <w:rPr>
          <w:szCs w:val="24"/>
        </w:rPr>
        <w:t xml:space="preserve">appropriate under the </w:t>
      </w:r>
      <w:r>
        <w:rPr>
          <w:szCs w:val="24"/>
        </w:rPr>
        <w:t xml:space="preserve">MMPA. </w:t>
      </w:r>
    </w:p>
    <w:p w:rsidR="00167FF4" w:rsidP="00167FF4" w:rsidRDefault="00167FF4">
      <w:pPr>
        <w:rPr>
          <w:szCs w:val="24"/>
        </w:rPr>
      </w:pPr>
    </w:p>
    <w:p w:rsidR="00167FF4" w:rsidP="00167FF4" w:rsidRDefault="00167FF4">
      <w:pPr>
        <w:widowControl/>
        <w:rPr>
          <w:szCs w:val="24"/>
        </w:rPr>
      </w:pPr>
      <w:r w:rsidRPr="0094288C">
        <w:rPr>
          <w:szCs w:val="24"/>
        </w:rPr>
        <w:t xml:space="preserve">The information collected is available to the public under the Freedom of Information Act and on-line </w:t>
      </w:r>
      <w:r>
        <w:rPr>
          <w:szCs w:val="24"/>
        </w:rPr>
        <w:t>at:</w:t>
      </w:r>
      <w:r w:rsidRPr="006C0AC8">
        <w:rPr>
          <w:szCs w:val="24"/>
        </w:rPr>
        <w:t xml:space="preserve"> </w:t>
      </w:r>
      <w:hyperlink w:history="1" r:id="rId15">
        <w:r w:rsidRPr="006C0AC8">
          <w:rPr>
            <w:rStyle w:val="Hyperlink"/>
            <w:szCs w:val="24"/>
          </w:rPr>
          <w:t>https://www.fisheries.noaa.gov/permit/incidental-take-authorizations-under-marine-mammal-protection-act</w:t>
        </w:r>
      </w:hyperlink>
      <w:r w:rsidRPr="006C0AC8">
        <w:rPr>
          <w:szCs w:val="24"/>
        </w:rPr>
        <w:t>.</w:t>
      </w:r>
      <w:r>
        <w:rPr>
          <w:szCs w:val="24"/>
        </w:rPr>
        <w:t xml:space="preserve"> We provide the information in a standard </w:t>
      </w:r>
      <w:r w:rsidRPr="00D00C9B">
        <w:rPr>
          <w:szCs w:val="24"/>
        </w:rPr>
        <w:t>data format (</w:t>
      </w:r>
      <w:r>
        <w:rPr>
          <w:szCs w:val="24"/>
        </w:rPr>
        <w:t>Adobe PDF files</w:t>
      </w:r>
      <w:r w:rsidRPr="00D00C9B">
        <w:rPr>
          <w:szCs w:val="24"/>
        </w:rPr>
        <w:t>)</w:t>
      </w:r>
      <w:r>
        <w:rPr>
          <w:szCs w:val="24"/>
        </w:rPr>
        <w:t xml:space="preserve"> and</w:t>
      </w:r>
      <w:r w:rsidRPr="00D00C9B">
        <w:rPr>
          <w:szCs w:val="24"/>
        </w:rPr>
        <w:t xml:space="preserve"> </w:t>
      </w:r>
      <w:r>
        <w:rPr>
          <w:szCs w:val="24"/>
        </w:rPr>
        <w:t xml:space="preserve">provide </w:t>
      </w:r>
      <w:r w:rsidRPr="00D00C9B">
        <w:rPr>
          <w:szCs w:val="24"/>
        </w:rPr>
        <w:t xml:space="preserve">unit </w:t>
      </w:r>
      <w:r>
        <w:rPr>
          <w:szCs w:val="24"/>
        </w:rPr>
        <w:t xml:space="preserve">style </w:t>
      </w:r>
      <w:r w:rsidRPr="00D00C9B">
        <w:rPr>
          <w:szCs w:val="24"/>
        </w:rPr>
        <w:t xml:space="preserve">conventions </w:t>
      </w:r>
      <w:r>
        <w:rPr>
          <w:szCs w:val="24"/>
        </w:rPr>
        <w:t xml:space="preserve">within the </w:t>
      </w:r>
      <w:r w:rsidRPr="006C0AC8">
        <w:rPr>
          <w:szCs w:val="24"/>
          <w:u w:val="single"/>
        </w:rPr>
        <w:t>Federal Register</w:t>
      </w:r>
      <w:r>
        <w:rPr>
          <w:szCs w:val="24"/>
        </w:rPr>
        <w:t xml:space="preserve"> notice </w:t>
      </w:r>
      <w:r w:rsidRPr="00D00C9B">
        <w:rPr>
          <w:szCs w:val="24"/>
        </w:rPr>
        <w:t xml:space="preserve">to facilitate </w:t>
      </w:r>
      <w:r>
        <w:rPr>
          <w:szCs w:val="24"/>
        </w:rPr>
        <w:t>the public’s understanding.</w:t>
      </w:r>
    </w:p>
    <w:p w:rsidR="00167FF4" w:rsidP="00167FF4" w:rsidRDefault="00167FF4">
      <w:pPr>
        <w:rPr>
          <w:szCs w:val="24"/>
        </w:rPr>
      </w:pPr>
    </w:p>
    <w:p w:rsidR="00167FF4" w:rsidP="00167FF4" w:rsidRDefault="00167FF4">
      <w:pPr>
        <w:rPr>
          <w:szCs w:val="24"/>
        </w:rPr>
      </w:pPr>
      <w:r w:rsidRPr="00F8553A">
        <w:rPr>
          <w:szCs w:val="24"/>
        </w:rPr>
        <w:t xml:space="preserve">Before disseminating information in any format, </w:t>
      </w:r>
      <w:r>
        <w:rPr>
          <w:szCs w:val="24"/>
        </w:rPr>
        <w:t xml:space="preserve">we review the </w:t>
      </w:r>
      <w:r w:rsidRPr="00F8553A">
        <w:rPr>
          <w:szCs w:val="24"/>
        </w:rPr>
        <w:t xml:space="preserve">data internally </w:t>
      </w:r>
      <w:r w:rsidRPr="0094288C">
        <w:rPr>
          <w:szCs w:val="24"/>
        </w:rPr>
        <w:t xml:space="preserve">(pursuant to </w:t>
      </w:r>
      <w:hyperlink w:history="1" r:id="rId16">
        <w:r w:rsidRPr="000C2E9F">
          <w:rPr>
            <w:rStyle w:val="Hyperlink"/>
            <w:szCs w:val="24"/>
          </w:rPr>
          <w:t>Section 515 of Public Law 106-554)</w:t>
        </w:r>
      </w:hyperlink>
      <w:r>
        <w:rPr>
          <w:szCs w:val="24"/>
        </w:rPr>
        <w:t xml:space="preserve"> </w:t>
      </w:r>
      <w:r w:rsidRPr="00F8553A">
        <w:rPr>
          <w:szCs w:val="24"/>
        </w:rPr>
        <w:t>to ensure that they are scientifically sound and m</w:t>
      </w:r>
      <w:r>
        <w:rPr>
          <w:szCs w:val="24"/>
        </w:rPr>
        <w:t xml:space="preserve">eet standards for data quality. </w:t>
      </w:r>
      <w:r w:rsidRPr="00CB6BEF">
        <w:rPr>
          <w:szCs w:val="24"/>
        </w:rPr>
        <w:t xml:space="preserve">The review process for </w:t>
      </w:r>
      <w:r>
        <w:rPr>
          <w:szCs w:val="24"/>
        </w:rPr>
        <w:t>Authorizations and/or regulations</w:t>
      </w:r>
      <w:r w:rsidRPr="00CB6BEF">
        <w:rPr>
          <w:szCs w:val="24"/>
        </w:rPr>
        <w:t xml:space="preserve"> includes review of the application by the principal drafter of the </w:t>
      </w:r>
      <w:r>
        <w:rPr>
          <w:szCs w:val="24"/>
        </w:rPr>
        <w:t xml:space="preserve">Authorization </w:t>
      </w:r>
      <w:r w:rsidRPr="00CB6BEF">
        <w:rPr>
          <w:szCs w:val="24"/>
        </w:rPr>
        <w:t>to ensure that the applicant has met the requi</w:t>
      </w:r>
      <w:r>
        <w:rPr>
          <w:szCs w:val="24"/>
        </w:rPr>
        <w:t xml:space="preserve">rements under section 101(a)(5) of the MMPA. The </w:t>
      </w:r>
      <w:r w:rsidRPr="00CB6BEF">
        <w:rPr>
          <w:szCs w:val="24"/>
        </w:rPr>
        <w:t>principal drafter’s</w:t>
      </w:r>
      <w:r>
        <w:rPr>
          <w:szCs w:val="24"/>
        </w:rPr>
        <w:t xml:space="preserve"> </w:t>
      </w:r>
      <w:r w:rsidRPr="00CB6BEF">
        <w:rPr>
          <w:szCs w:val="24"/>
        </w:rPr>
        <w:t xml:space="preserve">supervisor </w:t>
      </w:r>
      <w:r>
        <w:rPr>
          <w:szCs w:val="24"/>
        </w:rPr>
        <w:t>and the National Oceanographic and Atmospheric Administration’s (</w:t>
      </w:r>
      <w:r w:rsidRPr="00CB6BEF">
        <w:rPr>
          <w:szCs w:val="24"/>
        </w:rPr>
        <w:t>NOAA</w:t>
      </w:r>
      <w:r>
        <w:rPr>
          <w:szCs w:val="24"/>
        </w:rPr>
        <w:t>)</w:t>
      </w:r>
      <w:r w:rsidRPr="00CB6BEF">
        <w:rPr>
          <w:szCs w:val="24"/>
        </w:rPr>
        <w:t xml:space="preserve"> Office of General Counsel</w:t>
      </w:r>
      <w:r>
        <w:rPr>
          <w:szCs w:val="24"/>
        </w:rPr>
        <w:t xml:space="preserve"> review the </w:t>
      </w:r>
      <w:r w:rsidRPr="00CB6BEF">
        <w:rPr>
          <w:szCs w:val="24"/>
        </w:rPr>
        <w:t xml:space="preserve">proposed and final </w:t>
      </w:r>
      <w:r w:rsidRPr="000C2E9F">
        <w:rPr>
          <w:szCs w:val="24"/>
          <w:u w:val="single"/>
        </w:rPr>
        <w:t>Federal Register</w:t>
      </w:r>
      <w:r w:rsidRPr="00CB6BEF">
        <w:rPr>
          <w:szCs w:val="24"/>
        </w:rPr>
        <w:t xml:space="preserve"> notices</w:t>
      </w:r>
      <w:r>
        <w:rPr>
          <w:szCs w:val="24"/>
        </w:rPr>
        <w:t xml:space="preserve"> for the Authorization and/or regulation, as well as the actual Authorization or regulation. If applicable, a NMFS biologist also conducts an </w:t>
      </w:r>
      <w:r w:rsidRPr="00CB6BEF">
        <w:rPr>
          <w:szCs w:val="24"/>
        </w:rPr>
        <w:t xml:space="preserve">independent review of </w:t>
      </w:r>
      <w:r>
        <w:rPr>
          <w:szCs w:val="24"/>
        </w:rPr>
        <w:t>the</w:t>
      </w:r>
      <w:r w:rsidRPr="00CB6BEF">
        <w:rPr>
          <w:szCs w:val="24"/>
        </w:rPr>
        <w:t xml:space="preserve"> action’s effects on ESA-listed species</w:t>
      </w:r>
      <w:r>
        <w:rPr>
          <w:szCs w:val="24"/>
        </w:rPr>
        <w:t xml:space="preserve"> under </w:t>
      </w:r>
      <w:r w:rsidRPr="00CB6BEF">
        <w:rPr>
          <w:szCs w:val="24"/>
        </w:rPr>
        <w:t>Section 7 of the ESA.</w:t>
      </w:r>
      <w:r>
        <w:rPr>
          <w:szCs w:val="24"/>
        </w:rPr>
        <w:t xml:space="preserve">  </w:t>
      </w:r>
    </w:p>
    <w:p w:rsidR="00167FF4" w:rsidP="00167FF4" w:rsidRDefault="00167FF4">
      <w:pPr>
        <w:rPr>
          <w:szCs w:val="24"/>
        </w:rPr>
      </w:pPr>
    </w:p>
    <w:p w:rsidR="00167FF4" w:rsidP="00167FF4" w:rsidRDefault="00167FF4">
      <w:pPr>
        <w:rPr>
          <w:szCs w:val="24"/>
        </w:rPr>
      </w:pPr>
      <w:r>
        <w:rPr>
          <w:szCs w:val="24"/>
        </w:rPr>
        <w:t xml:space="preserve">Our dissemination of all </w:t>
      </w:r>
      <w:r w:rsidRPr="00D00C9B">
        <w:rPr>
          <w:szCs w:val="24"/>
        </w:rPr>
        <w:t>electronic information adheres to the stan</w:t>
      </w:r>
      <w:r>
        <w:rPr>
          <w:szCs w:val="24"/>
        </w:rPr>
        <w:t xml:space="preserve">dards set out in Appendix III, </w:t>
      </w:r>
      <w:r w:rsidRPr="00D00C9B">
        <w:rPr>
          <w:szCs w:val="24"/>
        </w:rPr>
        <w:t xml:space="preserve">Security of Automated Information Resources, </w:t>
      </w:r>
      <w:hyperlink w:history="1" r:id="rId17">
        <w:r w:rsidRPr="000C2E9F">
          <w:rPr>
            <w:rStyle w:val="Hyperlink"/>
            <w:szCs w:val="24"/>
          </w:rPr>
          <w:t>Office of Management and Budget Circular A-130</w:t>
        </w:r>
      </w:hyperlink>
      <w:r w:rsidRPr="00D00C9B">
        <w:rPr>
          <w:szCs w:val="24"/>
        </w:rPr>
        <w:t xml:space="preserve">; the </w:t>
      </w:r>
      <w:hyperlink w:history="1" r:id="rId18">
        <w:r w:rsidRPr="000C2E9F">
          <w:rPr>
            <w:rStyle w:val="Hyperlink"/>
            <w:szCs w:val="24"/>
          </w:rPr>
          <w:t>Computer Security Act</w:t>
        </w:r>
      </w:hyperlink>
      <w:r w:rsidRPr="00D00C9B">
        <w:rPr>
          <w:szCs w:val="24"/>
        </w:rPr>
        <w:t xml:space="preserve">; and the </w:t>
      </w:r>
      <w:hyperlink w:history="1" r:id="rId19">
        <w:r w:rsidRPr="000C2E9F">
          <w:rPr>
            <w:rStyle w:val="Hyperlink"/>
            <w:szCs w:val="24"/>
          </w:rPr>
          <w:t>Government Information Security Reform Act</w:t>
        </w:r>
      </w:hyperlink>
      <w:r w:rsidRPr="00D00C9B">
        <w:rPr>
          <w:szCs w:val="24"/>
        </w:rPr>
        <w:t>.</w:t>
      </w:r>
      <w:r>
        <w:rPr>
          <w:szCs w:val="24"/>
        </w:rPr>
        <w:t xml:space="preserve">  </w:t>
      </w:r>
    </w:p>
    <w:p w:rsidR="00167FF4" w:rsidP="00167FF4" w:rsidRDefault="00167FF4">
      <w:pPr>
        <w:rPr>
          <w:szCs w:val="24"/>
        </w:rPr>
      </w:pPr>
    </w:p>
    <w:p w:rsidR="00167FF4" w:rsidP="00167FF4" w:rsidRDefault="00167FF4">
      <w:pPr>
        <w:rPr>
          <w:szCs w:val="24"/>
        </w:rPr>
      </w:pPr>
      <w:r>
        <w:rPr>
          <w:szCs w:val="24"/>
        </w:rPr>
        <w:t>We</w:t>
      </w:r>
      <w:r w:rsidRPr="003D4989">
        <w:rPr>
          <w:szCs w:val="24"/>
        </w:rPr>
        <w:t xml:space="preserve"> will retain control over the information and safeguard it from improper access, modification, and destruction, consistent with NOAA standards for confidentiality, privac</w:t>
      </w:r>
      <w:r>
        <w:rPr>
          <w:szCs w:val="24"/>
        </w:rPr>
        <w:t xml:space="preserve">y, and electronic information. </w:t>
      </w:r>
      <w:r w:rsidRPr="003D4989">
        <w:rPr>
          <w:szCs w:val="24"/>
        </w:rPr>
        <w:t xml:space="preserve">See </w:t>
      </w:r>
      <w:r>
        <w:rPr>
          <w:szCs w:val="24"/>
        </w:rPr>
        <w:t>R</w:t>
      </w:r>
      <w:r w:rsidRPr="003D4989">
        <w:rPr>
          <w:szCs w:val="24"/>
        </w:rPr>
        <w:t xml:space="preserve">esponse #10 of this Supporting Statement for more information on confidentiality and privacy.  </w:t>
      </w:r>
    </w:p>
    <w:p w:rsidRPr="004E4785" w:rsidR="001C3806" w:rsidP="00167FF4" w:rsidRDefault="00167FF4">
      <w:pPr>
        <w:pStyle w:val="BodyText"/>
        <w:spacing w:before="159"/>
        <w:ind w:left="0"/>
        <w:rPr>
          <w:rFonts w:cs="Times New Roman"/>
        </w:rPr>
      </w:pPr>
      <w:r w:rsidRPr="0053189B">
        <w:t xml:space="preserve">This information </w:t>
      </w:r>
      <w:r>
        <w:t xml:space="preserve">collection </w:t>
      </w:r>
      <w:r w:rsidRPr="0053189B">
        <w:t xml:space="preserve">meets the </w:t>
      </w:r>
      <w:r>
        <w:t>standards for utility under</w:t>
      </w:r>
      <w:r w:rsidRPr="0053189B">
        <w:t xml:space="preserve"> the P</w:t>
      </w:r>
      <w:r>
        <w:t xml:space="preserve">aperwork Reduction Act, </w:t>
      </w:r>
      <w:r w:rsidRPr="0053189B">
        <w:t xml:space="preserve">as </w:t>
      </w:r>
      <w:r>
        <w:t xml:space="preserve">we use the </w:t>
      </w:r>
      <w:r w:rsidRPr="0053189B">
        <w:t xml:space="preserve">information </w:t>
      </w:r>
      <w:r>
        <w:t>collection to meet statutory requirements under the MMPA, ESA (</w:t>
      </w:r>
      <w:r w:rsidRPr="00D92F43">
        <w:t>e.g.,</w:t>
      </w:r>
      <w:r>
        <w:t xml:space="preserve"> ESA section 7 and/or section 10), and NEPA.</w:t>
      </w:r>
    </w:p>
    <w:p w:rsidRPr="004E4785" w:rsidR="001C3806" w:rsidP="001C3806" w:rsidRDefault="001C3806">
      <w:pPr>
        <w:pStyle w:val="BodyText"/>
        <w:spacing w:before="159"/>
        <w:ind w:left="0"/>
        <w:rPr>
          <w:rFonts w:cs="Times New Roman"/>
        </w:rPr>
      </w:pPr>
    </w:p>
    <w:p w:rsidRPr="004E4785" w:rsidR="008E61C9" w:rsidP="00BD7237" w:rsidRDefault="001477A3">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00167FF4" w:rsidP="00167FF4" w:rsidRDefault="00167FF4">
      <w:pPr>
        <w:rPr>
          <w:szCs w:val="24"/>
        </w:rPr>
      </w:pPr>
    </w:p>
    <w:p w:rsidRPr="00167FF4" w:rsidR="00167FF4" w:rsidP="00167FF4" w:rsidRDefault="00167FF4">
      <w:pPr>
        <w:rPr>
          <w:szCs w:val="24"/>
        </w:rPr>
      </w:pPr>
      <w:r w:rsidRPr="00167FF4">
        <w:rPr>
          <w:szCs w:val="24"/>
        </w:rPr>
        <w:t xml:space="preserve">Applicants may transmit an electronic application or report (e.g., a Microsoft Word (.docx) or Adobe </w:t>
      </w:r>
      <w:r w:rsidRPr="00167FF4">
        <w:rPr>
          <w:szCs w:val="24"/>
        </w:rPr>
        <w:lastRenderedPageBreak/>
        <w:t>Acrobat (.pdf) file) via email or deliver paper forms via hand delivery, the U.S. Postal Service, or by an overnight delivery service. During the processing of the application for an Authorization, we correspond with the applicant either by e-mail or by telephone.</w:t>
      </w:r>
    </w:p>
    <w:p w:rsidRPr="00167FF4" w:rsidR="00167FF4" w:rsidP="00167FF4" w:rsidRDefault="00167FF4">
      <w:pPr>
        <w:rPr>
          <w:szCs w:val="24"/>
        </w:rPr>
      </w:pPr>
    </w:p>
    <w:p w:rsidRPr="00167FF4" w:rsidR="00167FF4" w:rsidP="00167FF4" w:rsidRDefault="00167FF4">
      <w:pPr>
        <w:rPr>
          <w:szCs w:val="24"/>
        </w:rPr>
      </w:pPr>
      <w:r w:rsidRPr="00167FF4">
        <w:rPr>
          <w:szCs w:val="24"/>
        </w:rPr>
        <w:t xml:space="preserve">All Authorization applications and reports are available on the internet as Adobe Acrobat .pdf files at </w:t>
      </w:r>
      <w:hyperlink w:history="1" r:id="rId20">
        <w:r w:rsidRPr="00167FF4">
          <w:rPr>
            <w:rStyle w:val="Hyperlink"/>
            <w:szCs w:val="24"/>
          </w:rPr>
          <w:t>https://www.fisheries.noaa.gov/permit/incidental-take-authorizations-under-marine-mammal-protection-act</w:t>
        </w:r>
      </w:hyperlink>
      <w:r w:rsidRPr="00167FF4">
        <w:rPr>
          <w:szCs w:val="24"/>
        </w:rPr>
        <w:t xml:space="preserve"> as electronic format allows the public easy access to applications and activity reports. The interested public may also obtain a copy of the application by writing to the Office of Protected Resources, Permits and Conservation Division or by telephoning the contact listed in the </w:t>
      </w:r>
      <w:r w:rsidRPr="00167FF4">
        <w:rPr>
          <w:szCs w:val="24"/>
          <w:u w:val="single"/>
        </w:rPr>
        <w:t xml:space="preserve">Federal Register </w:t>
      </w:r>
      <w:r w:rsidRPr="00167FF4">
        <w:rPr>
          <w:szCs w:val="24"/>
        </w:rPr>
        <w:t>notice.</w:t>
      </w:r>
    </w:p>
    <w:p w:rsidRPr="00167FF4" w:rsidR="00167FF4" w:rsidP="00167FF4" w:rsidRDefault="00167FF4">
      <w:pPr>
        <w:rPr>
          <w:szCs w:val="24"/>
        </w:rPr>
      </w:pPr>
    </w:p>
    <w:p w:rsidRPr="00167FF4" w:rsidR="00167FF4" w:rsidP="00167FF4" w:rsidRDefault="00167FF4">
      <w:pPr>
        <w:rPr>
          <w:szCs w:val="24"/>
        </w:rPr>
      </w:pPr>
      <w:r w:rsidRPr="00167FF4">
        <w:rPr>
          <w:szCs w:val="24"/>
        </w:rPr>
        <w:t>The application instructions are available for downloading on our website at</w:t>
      </w:r>
      <w:r>
        <w:t xml:space="preserve"> </w:t>
      </w:r>
      <w:hyperlink w:history="1" r:id="rId21">
        <w:r w:rsidRPr="00167FF4">
          <w:rPr>
            <w:rStyle w:val="Hyperlink"/>
            <w:szCs w:val="24"/>
          </w:rPr>
          <w:t>https://www.fisheries.noaa.gov/national/marine-mammal-protection/apply-incidental-take-authorization</w:t>
        </w:r>
      </w:hyperlink>
      <w:r w:rsidRPr="00167FF4">
        <w:rPr>
          <w:szCs w:val="24"/>
        </w:rPr>
        <w:t xml:space="preserve">. Upon request, we can forward these instructions to the interested party via e-mail in either Adobe Acrobat or Microsoft Word format. </w:t>
      </w:r>
    </w:p>
    <w:p w:rsidRPr="004E4785" w:rsidR="001C3806" w:rsidP="00BD7237" w:rsidRDefault="001C3806">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Pr="00167FF4" w:rsidR="00167FF4" w:rsidP="00167FF4" w:rsidRDefault="00167FF4">
      <w:pPr>
        <w:spacing w:before="120"/>
        <w:rPr>
          <w:i/>
          <w:szCs w:val="24"/>
        </w:rPr>
      </w:pPr>
      <w:r w:rsidRPr="00167FF4">
        <w:rPr>
          <w:szCs w:val="24"/>
        </w:rPr>
        <w:t xml:space="preserve">We and the U.S. Fish and Wildlife Service (USFWS), Department of the Interior (DOI), are responsible for different species under the MMPA. Our agency manages and conserves whales, dolphins, porpoise, seals, and sea lions and the USFWS is responsible for the manatee, dugong, sea otter, walrus, and polar bear populations. </w:t>
      </w:r>
      <w:r w:rsidRPr="00167FF4">
        <w:rPr>
          <w:i/>
          <w:szCs w:val="24"/>
        </w:rPr>
        <w:t>The applicant may submit a single application to both agencies when there is a potential to take a marine mammal species within the same activity under each agency’s jurisdiction.</w:t>
      </w:r>
    </w:p>
    <w:p w:rsidRPr="00167FF4" w:rsidR="00167FF4" w:rsidP="00167FF4" w:rsidRDefault="00167FF4">
      <w:pPr>
        <w:rPr>
          <w:szCs w:val="24"/>
        </w:rPr>
      </w:pPr>
    </w:p>
    <w:p w:rsidRPr="00167FF4" w:rsidR="001C3806" w:rsidP="00167FF4" w:rsidRDefault="00167FF4">
      <w:pPr>
        <w:tabs>
          <w:tab w:val="left" w:pos="360"/>
        </w:tabs>
        <w:spacing w:before="80"/>
        <w:rPr>
          <w:rFonts w:cs="Times New Roman"/>
          <w:szCs w:val="24"/>
        </w:rPr>
      </w:pPr>
      <w:r w:rsidRPr="00167FF4">
        <w:rPr>
          <w:szCs w:val="24"/>
        </w:rPr>
        <w:t xml:space="preserve">The Bureau of Ocean Energy Management (BOEM) of the DOI has an overlapping collection requirement with us and the USFWS for reporting impacts on the marine environment from offshore oil and gas activities. This is a large information collection which mostly does not involve us (or the USFWS). There is a small overlap of collecting responsibilities when oil companies apply for an Authorization. When there is an overlap, we work cooperatively with the USFWS and BOEM to implement unified mitigation, monitoring and reporting requirements to reduce duplicative information collection on the part of the applicant.  </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the collection of information impacts small businesses or other small entities, describe any methods used to minimize burden.</w:t>
      </w:r>
    </w:p>
    <w:p w:rsidRPr="00167FF4" w:rsidR="00167FF4" w:rsidP="00167FF4" w:rsidRDefault="00167FF4">
      <w:pPr>
        <w:spacing w:before="120"/>
        <w:rPr>
          <w:szCs w:val="24"/>
        </w:rPr>
      </w:pPr>
      <w:r w:rsidRPr="00167FF4">
        <w:rPr>
          <w:szCs w:val="24"/>
        </w:rPr>
        <w:t>There should not be a significant burden to small businesses or other small entities. We do not anticipate significant impacts to small businesses, unless they are involved in an activity that will otherwise have an unauthorized taking of a marine mammal (e.g., they have not applied for an Incidental Take Authorization and are subject to prosecution).</w:t>
      </w:r>
    </w:p>
    <w:p w:rsidRPr="00167FF4" w:rsidR="00167FF4" w:rsidP="00167FF4" w:rsidRDefault="00167FF4">
      <w:pPr>
        <w:rPr>
          <w:szCs w:val="24"/>
        </w:rPr>
      </w:pPr>
    </w:p>
    <w:p w:rsidRPr="00167FF4" w:rsidR="001C3806" w:rsidP="00167FF4" w:rsidRDefault="00167FF4">
      <w:pPr>
        <w:spacing w:before="80"/>
        <w:rPr>
          <w:rFonts w:cs="Times New Roman"/>
          <w:szCs w:val="24"/>
        </w:rPr>
      </w:pPr>
      <w:r w:rsidRPr="00167FF4">
        <w:rPr>
          <w:szCs w:val="24"/>
        </w:rPr>
        <w:t>We anticipate that the affected applicants would include university researchers, municipalities, oil and gas exploration companies, other energy companies, and their contractors. While contractors fall within the category of a small business, in many cases they supply the information required under this collection to Federal agencies, and thereby obtain a benefit. Otherwise, they are unaffected.</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the consequence to Federal program or policy activities if the collection is not conducted or is conducted less frequently, as well as any technical or legal obstacles to reducing burden.</w:t>
      </w:r>
    </w:p>
    <w:p w:rsidR="00E874CD" w:rsidP="00E874CD" w:rsidRDefault="00E874CD">
      <w:pPr>
        <w:spacing w:before="120"/>
        <w:rPr>
          <w:szCs w:val="24"/>
        </w:rPr>
      </w:pPr>
      <w:r>
        <w:rPr>
          <w:szCs w:val="24"/>
        </w:rPr>
        <w:lastRenderedPageBreak/>
        <w:t xml:space="preserve">Without the information collection, required by </w:t>
      </w:r>
      <w:r w:rsidRPr="00821AB9">
        <w:rPr>
          <w:szCs w:val="24"/>
        </w:rPr>
        <w:t>statut</w:t>
      </w:r>
      <w:r>
        <w:rPr>
          <w:szCs w:val="24"/>
        </w:rPr>
        <w:t xml:space="preserve">e and </w:t>
      </w:r>
      <w:r w:rsidRPr="00821AB9">
        <w:rPr>
          <w:szCs w:val="24"/>
        </w:rPr>
        <w:t>regulat</w:t>
      </w:r>
      <w:r>
        <w:rPr>
          <w:szCs w:val="24"/>
        </w:rPr>
        <w:t>ions, we</w:t>
      </w:r>
      <w:r w:rsidRPr="00821AB9">
        <w:rPr>
          <w:szCs w:val="24"/>
        </w:rPr>
        <w:t xml:space="preserve"> </w:t>
      </w:r>
      <w:r>
        <w:rPr>
          <w:szCs w:val="24"/>
        </w:rPr>
        <w:t>would be:</w:t>
      </w:r>
    </w:p>
    <w:p w:rsidR="00E874CD" w:rsidP="00E874CD" w:rsidRDefault="00E874CD">
      <w:pPr>
        <w:pStyle w:val="ListParagraph"/>
        <w:numPr>
          <w:ilvl w:val="0"/>
          <w:numId w:val="21"/>
        </w:numPr>
        <w:adjustRightInd w:val="0"/>
        <w:spacing w:before="120"/>
        <w:rPr>
          <w:szCs w:val="24"/>
        </w:rPr>
      </w:pPr>
      <w:r w:rsidRPr="00AB1DFE">
        <w:rPr>
          <w:szCs w:val="24"/>
        </w:rPr>
        <w:t>unaware of the applicant's need for an exemption to the MMPA's moratorium on taking marine mammals</w:t>
      </w:r>
      <w:r>
        <w:rPr>
          <w:szCs w:val="24"/>
        </w:rPr>
        <w:t>;</w:t>
      </w:r>
    </w:p>
    <w:p w:rsidR="00E874CD" w:rsidP="00E874CD" w:rsidRDefault="00E874CD">
      <w:pPr>
        <w:pStyle w:val="ListParagraph"/>
        <w:numPr>
          <w:ilvl w:val="0"/>
          <w:numId w:val="21"/>
        </w:numPr>
        <w:adjustRightInd w:val="0"/>
        <w:spacing w:before="120"/>
        <w:rPr>
          <w:szCs w:val="24"/>
        </w:rPr>
      </w:pPr>
      <w:r>
        <w:rPr>
          <w:szCs w:val="24"/>
        </w:rPr>
        <w:t>unable to e</w:t>
      </w:r>
      <w:r w:rsidRPr="00AB1DFE">
        <w:rPr>
          <w:szCs w:val="24"/>
        </w:rPr>
        <w:t xml:space="preserve">valuate the proposed activity’s impact on marine mammals; </w:t>
      </w:r>
    </w:p>
    <w:p w:rsidRPr="003E37F5" w:rsidR="00E874CD" w:rsidP="00E874CD" w:rsidRDefault="00E874CD">
      <w:pPr>
        <w:pStyle w:val="ListParagraph"/>
        <w:numPr>
          <w:ilvl w:val="0"/>
          <w:numId w:val="21"/>
        </w:numPr>
        <w:adjustRightInd w:val="0"/>
        <w:spacing w:before="120"/>
        <w:rPr>
          <w:szCs w:val="24"/>
        </w:rPr>
      </w:pPr>
      <w:r>
        <w:rPr>
          <w:szCs w:val="24"/>
        </w:rPr>
        <w:t>unable to a</w:t>
      </w:r>
      <w:r w:rsidRPr="00AB1DFE">
        <w:rPr>
          <w:szCs w:val="24"/>
        </w:rPr>
        <w:t>rrive at the appropriate determinations required by the MMPA and other applicable laws prior to issuing the authorization;</w:t>
      </w:r>
    </w:p>
    <w:p w:rsidR="00E874CD" w:rsidP="00E874CD" w:rsidRDefault="00E874CD">
      <w:pPr>
        <w:pStyle w:val="ListParagraph"/>
        <w:numPr>
          <w:ilvl w:val="0"/>
          <w:numId w:val="21"/>
        </w:numPr>
        <w:adjustRightInd w:val="0"/>
        <w:spacing w:before="120"/>
        <w:rPr>
          <w:szCs w:val="24"/>
        </w:rPr>
      </w:pPr>
      <w:r>
        <w:rPr>
          <w:szCs w:val="24"/>
        </w:rPr>
        <w:t>unable to meet the “shall allow” or “shall issue” requirements of the MMPA due to the agency’s inability to make the appropriate determinations without adequate information; and</w:t>
      </w:r>
    </w:p>
    <w:p w:rsidRPr="00AB1DFE" w:rsidR="00E874CD" w:rsidP="00E874CD" w:rsidRDefault="00E874CD">
      <w:pPr>
        <w:pStyle w:val="ListParagraph"/>
        <w:numPr>
          <w:ilvl w:val="0"/>
          <w:numId w:val="21"/>
        </w:numPr>
        <w:adjustRightInd w:val="0"/>
        <w:spacing w:before="120"/>
        <w:rPr>
          <w:szCs w:val="24"/>
        </w:rPr>
      </w:pPr>
      <w:r>
        <w:rPr>
          <w:szCs w:val="24"/>
        </w:rPr>
        <w:t>unable to m</w:t>
      </w:r>
      <w:r w:rsidRPr="00AB1DFE">
        <w:rPr>
          <w:szCs w:val="24"/>
        </w:rPr>
        <w:t>onitor impacts of activities for which take authorizations have been issued to determine if predictions regarding impacts</w:t>
      </w:r>
      <w:r>
        <w:rPr>
          <w:szCs w:val="24"/>
        </w:rPr>
        <w:t xml:space="preserve"> on marine mammals were valid.</w:t>
      </w:r>
    </w:p>
    <w:p w:rsidR="00E874CD" w:rsidP="00E874CD" w:rsidRDefault="00E874CD">
      <w:pPr>
        <w:rPr>
          <w:szCs w:val="24"/>
        </w:rPr>
      </w:pPr>
    </w:p>
    <w:p w:rsidRPr="00722FFA" w:rsidR="00E874CD" w:rsidP="00E874CD" w:rsidRDefault="00E874CD">
      <w:pPr>
        <w:widowControl/>
        <w:rPr>
          <w:szCs w:val="24"/>
        </w:rPr>
      </w:pPr>
      <w:r w:rsidRPr="004A238F">
        <w:rPr>
          <w:szCs w:val="24"/>
        </w:rPr>
        <w:t>The interim (e.g.,</w:t>
      </w:r>
      <w:r>
        <w:rPr>
          <w:szCs w:val="24"/>
        </w:rPr>
        <w:t xml:space="preserve"> 90-day), </w:t>
      </w:r>
      <w:r w:rsidRPr="00C2537F">
        <w:rPr>
          <w:szCs w:val="24"/>
        </w:rPr>
        <w:t>annual</w:t>
      </w:r>
      <w:r>
        <w:rPr>
          <w:szCs w:val="24"/>
        </w:rPr>
        <w:t xml:space="preserve">, and/or comprehensive report </w:t>
      </w:r>
      <w:r w:rsidRPr="00D96758">
        <w:rPr>
          <w:szCs w:val="24"/>
        </w:rPr>
        <w:t xml:space="preserve">must summarize activities </w:t>
      </w:r>
      <w:r>
        <w:rPr>
          <w:szCs w:val="24"/>
        </w:rPr>
        <w:t xml:space="preserve">conducted </w:t>
      </w:r>
      <w:r w:rsidRPr="00D96758">
        <w:rPr>
          <w:szCs w:val="24"/>
        </w:rPr>
        <w:t>during the reporting period</w:t>
      </w:r>
      <w:r>
        <w:rPr>
          <w:szCs w:val="24"/>
        </w:rPr>
        <w:t xml:space="preserve">. </w:t>
      </w:r>
      <w:r w:rsidRPr="00D96758">
        <w:rPr>
          <w:szCs w:val="24"/>
        </w:rPr>
        <w:t xml:space="preserve">If </w:t>
      </w:r>
      <w:r>
        <w:rPr>
          <w:szCs w:val="24"/>
        </w:rPr>
        <w:t xml:space="preserve">the applicant does not submit this </w:t>
      </w:r>
      <w:r w:rsidRPr="00D96758">
        <w:rPr>
          <w:szCs w:val="24"/>
        </w:rPr>
        <w:t>information</w:t>
      </w:r>
      <w:r>
        <w:rPr>
          <w:szCs w:val="24"/>
        </w:rPr>
        <w:t>, we</w:t>
      </w:r>
      <w:r w:rsidRPr="00D96758">
        <w:rPr>
          <w:szCs w:val="24"/>
        </w:rPr>
        <w:t xml:space="preserve"> </w:t>
      </w:r>
      <w:r>
        <w:rPr>
          <w:szCs w:val="24"/>
        </w:rPr>
        <w:t>would</w:t>
      </w:r>
      <w:r w:rsidRPr="00D96758">
        <w:rPr>
          <w:szCs w:val="24"/>
        </w:rPr>
        <w:t xml:space="preserve"> not be able to adequately monitor compliance with </w:t>
      </w:r>
      <w:r>
        <w:rPr>
          <w:szCs w:val="24"/>
        </w:rPr>
        <w:t xml:space="preserve">the terms and conditions of the Authorization. </w:t>
      </w:r>
      <w:r w:rsidRPr="00D96758">
        <w:rPr>
          <w:szCs w:val="24"/>
        </w:rPr>
        <w:t xml:space="preserve">Additionally, </w:t>
      </w:r>
      <w:r>
        <w:rPr>
          <w:szCs w:val="24"/>
        </w:rPr>
        <w:t xml:space="preserve">we use </w:t>
      </w:r>
      <w:r w:rsidRPr="00D96758">
        <w:rPr>
          <w:szCs w:val="24"/>
        </w:rPr>
        <w:t xml:space="preserve">the information </w:t>
      </w:r>
      <w:r>
        <w:rPr>
          <w:szCs w:val="24"/>
        </w:rPr>
        <w:t>mined</w:t>
      </w:r>
      <w:r w:rsidRPr="00D96758">
        <w:rPr>
          <w:szCs w:val="24"/>
        </w:rPr>
        <w:t xml:space="preserve"> from the annual reports in making management decisions to aid in </w:t>
      </w:r>
      <w:r>
        <w:rPr>
          <w:szCs w:val="24"/>
        </w:rPr>
        <w:t xml:space="preserve">our </w:t>
      </w:r>
      <w:r w:rsidRPr="00D96758">
        <w:rPr>
          <w:szCs w:val="24"/>
        </w:rPr>
        <w:t>assess</w:t>
      </w:r>
      <w:r>
        <w:rPr>
          <w:szCs w:val="24"/>
        </w:rPr>
        <w:t>ment of potential</w:t>
      </w:r>
      <w:r w:rsidRPr="00D96758">
        <w:rPr>
          <w:szCs w:val="24"/>
        </w:rPr>
        <w:t xml:space="preserve"> impacts of the </w:t>
      </w:r>
      <w:r>
        <w:rPr>
          <w:szCs w:val="24"/>
        </w:rPr>
        <w:t xml:space="preserve">incidental take on marine mammals. We also use this information to comply with any </w:t>
      </w:r>
      <w:r w:rsidRPr="00D96758">
        <w:rPr>
          <w:szCs w:val="24"/>
        </w:rPr>
        <w:t xml:space="preserve">analyses required under </w:t>
      </w:r>
      <w:r>
        <w:rPr>
          <w:szCs w:val="24"/>
        </w:rPr>
        <w:t>s</w:t>
      </w:r>
      <w:r w:rsidRPr="00D96758">
        <w:rPr>
          <w:szCs w:val="24"/>
        </w:rPr>
        <w:t>ecti</w:t>
      </w:r>
      <w:r>
        <w:rPr>
          <w:szCs w:val="24"/>
        </w:rPr>
        <w:t>on 7 of the ESA and/or the NEPA</w:t>
      </w:r>
      <w:r w:rsidRPr="00D96758">
        <w:rPr>
          <w:szCs w:val="24"/>
        </w:rPr>
        <w:t>.</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any special circumstances that would cause an information collection to be conducted in a manner</w:t>
      </w:r>
      <w:r w:rsidR="00E874CD">
        <w:rPr>
          <w:rFonts w:cs="Times New Roman"/>
          <w:b/>
          <w:szCs w:val="24"/>
        </w:rPr>
        <w:t xml:space="preserve"> inconsistent with OMB guidelines.</w:t>
      </w:r>
    </w:p>
    <w:p w:rsidRPr="00E874CD" w:rsidR="00E874CD" w:rsidP="00E874CD" w:rsidRDefault="00E874CD">
      <w:pPr>
        <w:spacing w:before="120"/>
        <w:rPr>
          <w:szCs w:val="24"/>
        </w:rPr>
      </w:pPr>
      <w:r w:rsidRPr="00E874CD">
        <w:rPr>
          <w:szCs w:val="24"/>
        </w:rPr>
        <w:t>The collection will be conducted in a manner consistent with OMB guidelines.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74CD" w:rsidP="00E874CD" w:rsidRDefault="00E874CD">
      <w:pPr>
        <w:rPr>
          <w:szCs w:val="24"/>
        </w:rPr>
      </w:pPr>
    </w:p>
    <w:p w:rsidRPr="00E874CD" w:rsidR="00E874CD" w:rsidP="00E874CD" w:rsidRDefault="00E874CD">
      <w:pPr>
        <w:rPr>
          <w:szCs w:val="24"/>
        </w:rPr>
      </w:pPr>
      <w:r w:rsidRPr="00E874CD">
        <w:rPr>
          <w:szCs w:val="24"/>
        </w:rPr>
        <w:t xml:space="preserve">A </w:t>
      </w:r>
      <w:r w:rsidRPr="00E874CD">
        <w:rPr>
          <w:szCs w:val="24"/>
          <w:u w:val="single"/>
        </w:rPr>
        <w:t xml:space="preserve">Federal Register </w:t>
      </w:r>
      <w:r w:rsidRPr="00E874CD">
        <w:rPr>
          <w:szCs w:val="24"/>
        </w:rPr>
        <w:t xml:space="preserve">Notice published on </w:t>
      </w:r>
      <w:r w:rsidRPr="00E874CD">
        <w:rPr>
          <w:szCs w:val="24"/>
          <w:highlight w:val="yellow"/>
        </w:rPr>
        <w:t>October 3, 2016 (81 FR 67984)</w:t>
      </w:r>
      <w:r w:rsidRPr="00E874CD">
        <w:rPr>
          <w:szCs w:val="24"/>
        </w:rPr>
        <w:t xml:space="preserve"> soliciting public comment on this information collection.</w:t>
      </w:r>
    </w:p>
    <w:p w:rsidRPr="00E874CD" w:rsidR="00E874CD" w:rsidP="00E874CD" w:rsidRDefault="00E874CD">
      <w:pPr>
        <w:spacing w:before="120"/>
        <w:rPr>
          <w:szCs w:val="24"/>
        </w:rPr>
      </w:pPr>
      <w:r w:rsidRPr="00E874CD">
        <w:rPr>
          <w:szCs w:val="24"/>
        </w:rPr>
        <w:t xml:space="preserve">We received </w:t>
      </w:r>
      <w:r w:rsidRPr="00E874CD">
        <w:rPr>
          <w:szCs w:val="24"/>
          <w:highlight w:val="yellow"/>
        </w:rPr>
        <w:t>XX</w:t>
      </w:r>
      <w:r w:rsidRPr="00E874CD">
        <w:rPr>
          <w:szCs w:val="24"/>
        </w:rPr>
        <w:t xml:space="preserve"> comment during the public review and comment period, which was from </w:t>
      </w:r>
      <w:r w:rsidRPr="00E874CD">
        <w:rPr>
          <w:szCs w:val="24"/>
          <w:highlight w:val="yellow"/>
        </w:rPr>
        <w:t>Xx</w:t>
      </w:r>
      <w:r w:rsidRPr="00E874CD">
        <w:rPr>
          <w:szCs w:val="24"/>
        </w:rPr>
        <w:t xml:space="preserve"> </w:t>
      </w:r>
    </w:p>
    <w:p w:rsidRPr="00E874CD" w:rsidR="00E874CD" w:rsidP="00E874CD" w:rsidRDefault="00E874CD">
      <w:pPr>
        <w:rPr>
          <w:szCs w:val="24"/>
        </w:rPr>
      </w:pPr>
    </w:p>
    <w:p w:rsidRPr="00E874CD" w:rsidR="00E874CD" w:rsidP="00E874CD" w:rsidRDefault="00E874CD">
      <w:pPr>
        <w:rPr>
          <w:szCs w:val="24"/>
        </w:rPr>
      </w:pPr>
      <w:r w:rsidRPr="00E874CD">
        <w:rPr>
          <w:b/>
          <w:szCs w:val="24"/>
        </w:rPr>
        <w:t xml:space="preserve">External Consultation: </w:t>
      </w:r>
      <w:r w:rsidRPr="00E874CD">
        <w:rPr>
          <w:szCs w:val="24"/>
        </w:rPr>
        <w:t>We receive input regularly from the Marine Mammal Commission, industry, the scientific community, and other interested parties, to obtain their views on the availability of data, frequency of collection, clarity of instructions and record keeping, the amount of burden imposed, and ways to minimize burden.  Such information exchanges occur via phone/email from applicants and during professional society meetings such as the Biennial Conference on Marine Mammals and other national and international protected species meetings and workshops.</w:t>
      </w:r>
    </w:p>
    <w:p w:rsidRPr="00E874CD" w:rsidR="00E874CD" w:rsidP="00E874CD" w:rsidRDefault="00E874CD">
      <w:pPr>
        <w:rPr>
          <w:szCs w:val="24"/>
        </w:rPr>
      </w:pPr>
    </w:p>
    <w:p w:rsidRPr="00E874CD" w:rsidR="00E874CD" w:rsidP="00E874CD" w:rsidRDefault="00E874CD">
      <w:pPr>
        <w:rPr>
          <w:szCs w:val="24"/>
        </w:rPr>
      </w:pPr>
      <w:r w:rsidRPr="00E874CD">
        <w:rPr>
          <w:b/>
          <w:szCs w:val="24"/>
        </w:rPr>
        <w:t xml:space="preserve">Solicitation of Comments from Stakeholders: </w:t>
      </w:r>
      <w:r w:rsidRPr="00E874CD">
        <w:rPr>
          <w:szCs w:val="24"/>
        </w:rPr>
        <w:t xml:space="preserve">In their application for the GOM incidental take authorization, BOEM provided burden estimates for the number of respondents we should expect based on their historical amount of activity in this sector and their outreach with stakeholders. </w:t>
      </w:r>
    </w:p>
    <w:p w:rsidRPr="004E4785" w:rsidR="001C3806" w:rsidP="001C3806" w:rsidRDefault="001C3806">
      <w:pPr>
        <w:tabs>
          <w:tab w:val="left" w:pos="360"/>
        </w:tabs>
        <w:spacing w:before="8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w:t>
      </w:r>
      <w:r w:rsidRPr="004E4785">
        <w:rPr>
          <w:rFonts w:cs="Times New Roman"/>
          <w:b/>
          <w:szCs w:val="24"/>
        </w:rPr>
        <w:lastRenderedPageBreak/>
        <w:t>of contractors or grantees.</w:t>
      </w:r>
    </w:p>
    <w:p w:rsidRPr="004E4785" w:rsidR="001C3806" w:rsidP="001C3806" w:rsidRDefault="00E874CD">
      <w:pPr>
        <w:pStyle w:val="ListParagraph"/>
        <w:tabs>
          <w:tab w:val="left" w:pos="360"/>
        </w:tabs>
        <w:spacing w:before="80"/>
        <w:ind w:left="0" w:firstLine="0"/>
        <w:rPr>
          <w:rFonts w:cs="Times New Roman"/>
          <w:szCs w:val="24"/>
        </w:rPr>
      </w:pPr>
      <w:r>
        <w:rPr>
          <w:szCs w:val="24"/>
        </w:rPr>
        <w:t>We do not provide payments or gifts to respondents.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E874CD" w:rsidR="00E874CD" w:rsidP="00E874CD" w:rsidRDefault="00E874CD">
      <w:pPr>
        <w:spacing w:before="120"/>
        <w:rPr>
          <w:szCs w:val="24"/>
        </w:rPr>
      </w:pPr>
      <w:r w:rsidRPr="00E874CD">
        <w:rPr>
          <w:szCs w:val="24"/>
        </w:rPr>
        <w:t xml:space="preserve">The information collection is a matter of public record (with the exception of classified military materials), and the MMPA and our regulations do not require the submission of confidential material.  </w:t>
      </w:r>
    </w:p>
    <w:p w:rsidRPr="00E874CD" w:rsidR="00E874CD" w:rsidP="00E874CD" w:rsidRDefault="00E874CD">
      <w:pPr>
        <w:rPr>
          <w:szCs w:val="24"/>
        </w:rPr>
      </w:pPr>
    </w:p>
    <w:p w:rsidRPr="00E874CD" w:rsidR="00E874CD" w:rsidP="00E874CD" w:rsidRDefault="00E874CD">
      <w:pPr>
        <w:rPr>
          <w:szCs w:val="24"/>
        </w:rPr>
      </w:pPr>
      <w:r w:rsidRPr="00E874CD">
        <w:rPr>
          <w:szCs w:val="24"/>
        </w:rPr>
        <w:t xml:space="preserve">The statute and our regulations require that we publish a notice of receipt of an application in the </w:t>
      </w:r>
      <w:r w:rsidRPr="00E874CD">
        <w:rPr>
          <w:szCs w:val="24"/>
          <w:u w:val="single"/>
        </w:rPr>
        <w:t>Federal Register</w:t>
      </w:r>
      <w:r w:rsidRPr="00E874CD">
        <w:rPr>
          <w:i/>
          <w:szCs w:val="24"/>
        </w:rPr>
        <w:t xml:space="preserve"> </w:t>
      </w:r>
      <w:r w:rsidRPr="00E874CD">
        <w:rPr>
          <w:szCs w:val="24"/>
        </w:rPr>
        <w:t xml:space="preserve">requesting comments on the proposed action. The interested public can review the application and supporting documentation at </w:t>
      </w:r>
      <w:hyperlink w:history="1" r:id="rId22">
        <w:r w:rsidRPr="00E874CD">
          <w:rPr>
            <w:rStyle w:val="Hyperlink"/>
            <w:szCs w:val="24"/>
          </w:rPr>
          <w:t>https://www.fisheries.noaa.gov/permit/incidental-take-authorizations-under-marine-mammal-protection-act</w:t>
        </w:r>
      </w:hyperlink>
      <w:r w:rsidRPr="00E874CD">
        <w:rPr>
          <w:szCs w:val="24"/>
        </w:rPr>
        <w:t xml:space="preserve"> and submit comments electronically. For each </w:t>
      </w:r>
      <w:r w:rsidRPr="00E874CD">
        <w:rPr>
          <w:szCs w:val="24"/>
          <w:u w:val="single"/>
        </w:rPr>
        <w:t>Federal Register</w:t>
      </w:r>
      <w:r w:rsidRPr="00E874CD">
        <w:rPr>
          <w:i/>
          <w:szCs w:val="24"/>
        </w:rPr>
        <w:t xml:space="preserve"> </w:t>
      </w:r>
      <w:r w:rsidRPr="00E874CD">
        <w:rPr>
          <w:szCs w:val="24"/>
        </w:rPr>
        <w:t xml:space="preserve">notice, we include a disclaimer that a commenter should not submit Personal Identifying Information (for example, name, address, etc.), confidential business information, or otherwise sensitive or protected information with his/her public comment, as we typically post the comments online without change. </w:t>
      </w:r>
    </w:p>
    <w:p w:rsidRPr="00E874CD" w:rsidR="00E874CD" w:rsidP="00E874CD" w:rsidRDefault="00E874CD">
      <w:pPr>
        <w:rPr>
          <w:szCs w:val="24"/>
        </w:rPr>
      </w:pPr>
    </w:p>
    <w:p w:rsidRPr="00E874CD" w:rsidR="001C3806" w:rsidP="00E874CD" w:rsidRDefault="00E874CD">
      <w:pPr>
        <w:tabs>
          <w:tab w:val="left" w:pos="360"/>
        </w:tabs>
        <w:spacing w:before="80"/>
        <w:rPr>
          <w:rFonts w:cs="Times New Roman"/>
          <w:b/>
          <w:szCs w:val="24"/>
        </w:rPr>
      </w:pPr>
      <w:r w:rsidRPr="00E874CD">
        <w:rPr>
          <w:szCs w:val="24"/>
        </w:rPr>
        <w:t xml:space="preserve">The authorization documentation, including reports, is subject to the </w:t>
      </w:r>
      <w:hyperlink w:history="1" r:id="rId23">
        <w:r w:rsidRPr="00E874CD">
          <w:rPr>
            <w:rStyle w:val="Hyperlink"/>
            <w:szCs w:val="24"/>
          </w:rPr>
          <w:t xml:space="preserve">Freedom of Information Act </w:t>
        </w:r>
      </w:hyperlink>
      <w:r w:rsidRPr="00E874CD">
        <w:rPr>
          <w:szCs w:val="24"/>
        </w:rPr>
        <w:t xml:space="preserve">(FOIA). However, any personal information that is subject to the </w:t>
      </w:r>
      <w:hyperlink w:history="1" r:id="rId24">
        <w:r w:rsidRPr="00E874CD">
          <w:rPr>
            <w:rStyle w:val="Hyperlink"/>
            <w:szCs w:val="24"/>
          </w:rPr>
          <w:t>Privacy Act</w:t>
        </w:r>
      </w:hyperlink>
      <w:r w:rsidRPr="00E874CD">
        <w:rPr>
          <w:szCs w:val="24"/>
        </w:rPr>
        <w:t xml:space="preserve"> is redacted if contained within documents released under FOIA.</w:t>
      </w:r>
    </w:p>
    <w:p w:rsidRPr="004E4785" w:rsidR="001C3806" w:rsidP="001C3806" w:rsidRDefault="001C3806">
      <w:pPr>
        <w:pStyle w:val="ListParagraph"/>
        <w:tabs>
          <w:tab w:val="left" w:pos="360"/>
        </w:tabs>
        <w:spacing w:before="80"/>
        <w:ind w:left="0" w:firstLine="0"/>
        <w:rPr>
          <w:rFonts w:cs="Times New Roman"/>
          <w:b/>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4785" w:rsidR="001C3806" w:rsidP="00BD7237" w:rsidRDefault="001C3806">
      <w:pPr>
        <w:spacing w:line="259" w:lineRule="auto"/>
        <w:rPr>
          <w:rFonts w:cs="Times New Roman"/>
          <w:szCs w:val="24"/>
        </w:rPr>
      </w:pPr>
    </w:p>
    <w:p w:rsidRPr="00136836" w:rsidR="00E874CD" w:rsidP="00E874CD" w:rsidRDefault="00E874CD">
      <w:pPr>
        <w:spacing w:before="120"/>
        <w:rPr>
          <w:szCs w:val="24"/>
        </w:rPr>
      </w:pPr>
      <w:r>
        <w:rPr>
          <w:szCs w:val="24"/>
        </w:rPr>
        <w:t>The statute and regulations do not require the submission of sensitive material.</w:t>
      </w:r>
    </w:p>
    <w:p w:rsidRPr="004E4785" w:rsidR="001C3806" w:rsidP="00BD7237" w:rsidRDefault="001C3806">
      <w:pPr>
        <w:spacing w:line="259" w:lineRule="auto"/>
        <w:rPr>
          <w:rFonts w:cs="Times New Roman"/>
          <w:szCs w:val="24"/>
        </w:rPr>
      </w:pPr>
    </w:p>
    <w:p w:rsidRPr="004E4785" w:rsidR="00D64DF9" w:rsidP="00BD7237" w:rsidRDefault="001477A3">
      <w:pPr>
        <w:spacing w:line="259" w:lineRule="auto"/>
        <w:rPr>
          <w:rFonts w:cs="Times New Roman"/>
          <w:color w:val="2F5496"/>
          <w:szCs w:val="24"/>
        </w:rPr>
        <w:sectPr w:rsidRPr="004E4785" w:rsidR="00D64DF9" w:rsidSect="00167FF4">
          <w:footerReference w:type="default" r:id="rId25"/>
          <w:pgSz w:w="12240" w:h="15840"/>
          <w:pgMar w:top="810" w:right="1080" w:bottom="1200" w:left="1080" w:header="0" w:footer="1014" w:gutter="0"/>
          <w:cols w:space="720"/>
        </w:sectPr>
      </w:pPr>
      <w:r w:rsidRPr="004E4785">
        <w:rPr>
          <w:rFonts w:cs="Times New Roman"/>
          <w:color w:val="2F5496"/>
          <w:szCs w:val="24"/>
        </w:rPr>
        <w:t>.</w:t>
      </w:r>
    </w:p>
    <w:p w:rsidRPr="004E4785" w:rsidR="008E61C9" w:rsidP="00BD7237" w:rsidRDefault="008E61C9">
      <w:pPr>
        <w:spacing w:line="259" w:lineRule="auto"/>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00D64DF9" w:rsidP="00BD7237" w:rsidRDefault="00D64DF9">
      <w:pPr>
        <w:spacing w:line="259" w:lineRule="auto"/>
        <w:ind w:hanging="43"/>
        <w:jc w:val="center"/>
        <w:rPr>
          <w:rFonts w:cs="Times New Roman"/>
          <w:b/>
          <w:color w:val="FF0000"/>
          <w:szCs w:val="24"/>
        </w:rPr>
      </w:pPr>
    </w:p>
    <w:p w:rsidR="001C0FB0" w:rsidP="001C0FB0" w:rsidRDefault="001C0FB0">
      <w:pPr>
        <w:spacing w:before="120"/>
        <w:rPr>
          <w:szCs w:val="24"/>
        </w:rPr>
      </w:pPr>
      <w:r w:rsidRPr="00117F9B">
        <w:rPr>
          <w:szCs w:val="24"/>
        </w:rPr>
        <w:t xml:space="preserve">We estimate the total annual burden hours at </w:t>
      </w:r>
      <w:r>
        <w:rPr>
          <w:szCs w:val="24"/>
        </w:rPr>
        <w:t>25,973</w:t>
      </w:r>
      <w:r w:rsidRPr="00117F9B">
        <w:rPr>
          <w:szCs w:val="24"/>
        </w:rPr>
        <w:t xml:space="preserve"> hours, as shown in </w:t>
      </w:r>
      <w:r>
        <w:rPr>
          <w:szCs w:val="24"/>
        </w:rPr>
        <w:t>the below tables</w:t>
      </w:r>
      <w:r w:rsidRPr="00117F9B">
        <w:rPr>
          <w:szCs w:val="24"/>
        </w:rPr>
        <w:t>. We based our prior burden estimates on discussions with current Authorization holders from three different sectors (e.g., oil and gas, state agency, and other non-NOAA Federal agencies) and an accounting of the number and different types of actions that we have processed recently.  For</w:t>
      </w:r>
      <w:r>
        <w:rPr>
          <w:szCs w:val="24"/>
        </w:rPr>
        <w:t xml:space="preserve"> the change in number of respondents and responses due to the GOM proposed rule we estimate 95 new LOA applications, the low end of the annual estimate discussed in the proposed rule because the GOM rule is not expected to be finalized until late 2020 and this OMB Control Number expires less than a year later (June 30, 2021). Because there will be less than a year for respondents to carry out work under the GOM regulations before this OMB Control Number expires, we estimate no more than one-quarter of respondents (24) will complete work to the point of developing an annual report. </w:t>
      </w:r>
    </w:p>
    <w:p w:rsidR="001C0FB0" w:rsidP="001C0FB0" w:rsidRDefault="001C0FB0">
      <w:pPr>
        <w:spacing w:before="120"/>
        <w:rPr>
          <w:szCs w:val="24"/>
        </w:rPr>
      </w:pPr>
      <w:r>
        <w:rPr>
          <w:szCs w:val="24"/>
        </w:rPr>
        <w:t>As our application process has not changed, we do not anticipate a substantial increase in burden hours per applicant as a result of this revision. As stated in the FR notice for the Proposed Information Collection Comment Request (83 FR 29212), “</w:t>
      </w:r>
      <w:r w:rsidRPr="00040CD5">
        <w:rPr>
          <w:szCs w:val="24"/>
        </w:rPr>
        <w:t>we expect individual applicant’s information collection burdens will be substantially less than the typical applicant under th</w:t>
      </w:r>
      <w:r>
        <w:rPr>
          <w:szCs w:val="24"/>
        </w:rPr>
        <w:t xml:space="preserve">e existing OMB Control Number. </w:t>
      </w:r>
      <w:r w:rsidRPr="00040CD5">
        <w:rPr>
          <w:szCs w:val="24"/>
        </w:rPr>
        <w:t>This is due to the fact that the application for these regulations (the first information collection burden noted above) was completed by the Bureau of Ocean Energy Management (BOEM) in</w:t>
      </w:r>
      <w:r>
        <w:rPr>
          <w:szCs w:val="24"/>
        </w:rPr>
        <w:t>stead of individual applicants</w:t>
      </w:r>
      <w:r w:rsidRPr="004B5049">
        <w:rPr>
          <w:szCs w:val="24"/>
        </w:rPr>
        <w:t>.” There were no comments received that disagree with this assessment from any project proponents.</w:t>
      </w:r>
      <w:r w:rsidRPr="00B728B2">
        <w:rPr>
          <w:szCs w:val="24"/>
        </w:rPr>
        <w:t xml:space="preserve">  </w:t>
      </w:r>
    </w:p>
    <w:p w:rsidR="001C0FB0" w:rsidP="001C0FB0" w:rsidRDefault="001C0FB0">
      <w:pPr>
        <w:spacing w:before="120"/>
        <w:rPr>
          <w:szCs w:val="24"/>
        </w:rPr>
      </w:pPr>
      <w:r w:rsidRPr="005E574B">
        <w:rPr>
          <w:szCs w:val="24"/>
        </w:rPr>
        <w:t>The complexity of the information required in applications or reports varies greatly due to the following: (a) level of controversy over the activity</w:t>
      </w:r>
      <w:r>
        <w:rPr>
          <w:szCs w:val="24"/>
        </w:rPr>
        <w:t>;</w:t>
      </w:r>
      <w:r w:rsidRPr="005E574B">
        <w:rPr>
          <w:szCs w:val="24"/>
        </w:rPr>
        <w:t xml:space="preserve"> (b) level and type of incidental take of marine mammals</w:t>
      </w:r>
      <w:r>
        <w:rPr>
          <w:szCs w:val="24"/>
        </w:rPr>
        <w:t>;</w:t>
      </w:r>
      <w:r w:rsidRPr="005E574B">
        <w:rPr>
          <w:szCs w:val="24"/>
        </w:rPr>
        <w:t xml:space="preserve"> and (c) level of unresolved questions involving </w:t>
      </w:r>
      <w:r>
        <w:rPr>
          <w:szCs w:val="24"/>
        </w:rPr>
        <w:t xml:space="preserve">the </w:t>
      </w:r>
      <w:r w:rsidRPr="005E574B">
        <w:rPr>
          <w:szCs w:val="24"/>
        </w:rPr>
        <w:t>activity's long-term impact on marine mammals, habitat and/or subsistence needs for marine mammals</w:t>
      </w:r>
      <w:r>
        <w:rPr>
          <w:szCs w:val="24"/>
        </w:rPr>
        <w:t xml:space="preserve">. </w:t>
      </w:r>
      <w:r w:rsidRPr="00340A05">
        <w:rPr>
          <w:szCs w:val="24"/>
        </w:rPr>
        <w:t>Response times will vary for the public based upon the complexity of the requested action.</w:t>
      </w:r>
      <w:r>
        <w:rPr>
          <w:szCs w:val="24"/>
        </w:rPr>
        <w:t xml:space="preserve"> For the responses related to the GOM proposed rule we estimate the application burden to be the same (or less) for other annual LOA applications (70 hours) and add the increased number of responses to that information request line in Table 2. For the reporting burden estimate for the GOM proposed rule we estimate the reporting burden will be 140 hours for preparing the draft annual report and 28 hours for preparing the final annual report.  </w:t>
      </w:r>
    </w:p>
    <w:p w:rsidR="001C0FB0" w:rsidP="001C0FB0" w:rsidRDefault="001C0FB0">
      <w:pPr>
        <w:spacing w:before="120"/>
        <w:rPr>
          <w:szCs w:val="24"/>
        </w:rPr>
      </w:pPr>
    </w:p>
    <w:p w:rsidR="001C0FB0" w:rsidP="001C0FB0" w:rsidRDefault="001C0FB0">
      <w:pPr>
        <w:tabs>
          <w:tab w:val="left" w:pos="3420"/>
        </w:tabs>
        <w:spacing w:before="120"/>
        <w:rPr>
          <w:szCs w:val="24"/>
        </w:rPr>
      </w:pPr>
      <w:r>
        <w:rPr>
          <w:b/>
          <w:szCs w:val="24"/>
        </w:rPr>
        <w:tab/>
      </w:r>
      <w:r w:rsidRPr="001812CF">
        <w:rPr>
          <w:b/>
          <w:szCs w:val="24"/>
        </w:rPr>
        <w:t>Table 1 - Estimated total annual burden hours.</w:t>
      </w:r>
    </w:p>
    <w:tbl>
      <w:tblPr>
        <w:tblW w:w="7300" w:type="dxa"/>
        <w:jc w:val="center"/>
        <w:tblLook w:val="04A0" w:firstRow="1" w:lastRow="0" w:firstColumn="1" w:lastColumn="0" w:noHBand="0" w:noVBand="1"/>
      </w:tblPr>
      <w:tblGrid>
        <w:gridCol w:w="4820"/>
        <w:gridCol w:w="1240"/>
        <w:gridCol w:w="1240"/>
      </w:tblGrid>
      <w:tr w:rsidRPr="001812CF" w:rsidR="001C0FB0" w:rsidTr="00426FC9">
        <w:trPr>
          <w:trHeight w:val="510"/>
          <w:jc w:val="center"/>
        </w:trPr>
        <w:tc>
          <w:tcPr>
            <w:tcW w:w="4820" w:type="dxa"/>
            <w:tcBorders>
              <w:top w:val="single" w:color="auto" w:sz="4" w:space="0"/>
              <w:left w:val="single" w:color="auto" w:sz="4" w:space="0"/>
              <w:bottom w:val="single" w:color="auto" w:sz="4" w:space="0"/>
              <w:right w:val="single" w:color="auto" w:sz="4" w:space="0"/>
            </w:tcBorders>
            <w:shd w:val="clear" w:color="000000" w:fill="C0C0C0"/>
            <w:vAlign w:val="center"/>
          </w:tcPr>
          <w:p w:rsidRPr="001812CF" w:rsidR="001C0FB0" w:rsidP="00426FC9" w:rsidRDefault="001C0FB0">
            <w:pPr>
              <w:widowControl/>
              <w:autoSpaceDE/>
              <w:autoSpaceDN/>
              <w:rPr>
                <w:b/>
                <w:bCs/>
                <w:szCs w:val="24"/>
              </w:rPr>
            </w:pPr>
            <w:r w:rsidRPr="001812CF">
              <w:rPr>
                <w:b/>
                <w:bCs/>
                <w:szCs w:val="24"/>
              </w:rPr>
              <w:t>Summary</w:t>
            </w:r>
          </w:p>
        </w:tc>
        <w:tc>
          <w:tcPr>
            <w:tcW w:w="1240" w:type="dxa"/>
            <w:tcBorders>
              <w:top w:val="single" w:color="auto" w:sz="4" w:space="0"/>
              <w:left w:val="nil"/>
              <w:bottom w:val="single" w:color="auto" w:sz="4" w:space="0"/>
              <w:right w:val="single" w:color="auto" w:sz="4" w:space="0"/>
            </w:tcBorders>
            <w:shd w:val="clear" w:color="000000" w:fill="C0C0C0"/>
            <w:vAlign w:val="center"/>
          </w:tcPr>
          <w:p w:rsidRPr="001812CF" w:rsidR="001C0FB0" w:rsidP="00426FC9" w:rsidRDefault="001C0FB0">
            <w:pPr>
              <w:widowControl/>
              <w:autoSpaceDE/>
              <w:autoSpaceDN/>
              <w:rPr>
                <w:b/>
                <w:bCs/>
                <w:szCs w:val="24"/>
              </w:rPr>
            </w:pPr>
            <w:r w:rsidRPr="001812CF">
              <w:rPr>
                <w:b/>
                <w:bCs/>
                <w:szCs w:val="24"/>
              </w:rPr>
              <w:t>2016</w:t>
            </w:r>
          </w:p>
          <w:p w:rsidRPr="001812CF" w:rsidR="001C0FB0" w:rsidP="00426FC9" w:rsidRDefault="001C0FB0">
            <w:pPr>
              <w:widowControl/>
              <w:autoSpaceDE/>
              <w:autoSpaceDN/>
              <w:rPr>
                <w:b/>
                <w:bCs/>
                <w:szCs w:val="24"/>
              </w:rPr>
            </w:pPr>
            <w:r w:rsidRPr="001812CF">
              <w:rPr>
                <w:b/>
                <w:bCs/>
                <w:szCs w:val="24"/>
              </w:rPr>
              <w:t>Estimate</w:t>
            </w:r>
          </w:p>
        </w:tc>
        <w:tc>
          <w:tcPr>
            <w:tcW w:w="1240" w:type="dxa"/>
            <w:tcBorders>
              <w:top w:val="single" w:color="auto" w:sz="4" w:space="0"/>
              <w:left w:val="nil"/>
              <w:bottom w:val="single" w:color="auto" w:sz="4" w:space="0"/>
              <w:right w:val="single" w:color="auto" w:sz="4" w:space="0"/>
            </w:tcBorders>
            <w:shd w:val="clear" w:color="000000" w:fill="C0C0C0"/>
          </w:tcPr>
          <w:p w:rsidRPr="001812CF" w:rsidR="001C0FB0" w:rsidP="00426FC9" w:rsidRDefault="001C0FB0">
            <w:pPr>
              <w:widowControl/>
              <w:autoSpaceDE/>
              <w:autoSpaceDN/>
              <w:rPr>
                <w:b/>
                <w:bCs/>
                <w:szCs w:val="24"/>
              </w:rPr>
            </w:pPr>
            <w:r w:rsidRPr="001812CF">
              <w:rPr>
                <w:b/>
                <w:bCs/>
                <w:szCs w:val="24"/>
              </w:rPr>
              <w:t>Current Estimate</w:t>
            </w:r>
          </w:p>
        </w:tc>
      </w:tr>
      <w:tr w:rsidRPr="001812CF" w:rsidR="001C0FB0" w:rsidTr="00426FC9">
        <w:trPr>
          <w:trHeight w:val="255"/>
          <w:jc w:val="center"/>
        </w:trPr>
        <w:tc>
          <w:tcPr>
            <w:tcW w:w="4820" w:type="dxa"/>
            <w:tcBorders>
              <w:top w:val="nil"/>
              <w:left w:val="single" w:color="auto" w:sz="4" w:space="0"/>
              <w:bottom w:val="single" w:color="auto" w:sz="4" w:space="0"/>
              <w:right w:val="single" w:color="auto" w:sz="4" w:space="0"/>
            </w:tcBorders>
            <w:shd w:val="clear" w:color="auto" w:fill="auto"/>
            <w:vAlign w:val="bottom"/>
          </w:tcPr>
          <w:p w:rsidRPr="001812CF" w:rsidR="001C0FB0" w:rsidP="00426FC9" w:rsidRDefault="001C0FB0">
            <w:pPr>
              <w:widowControl/>
              <w:autoSpaceDE/>
              <w:autoSpaceDN/>
              <w:rPr>
                <w:szCs w:val="24"/>
              </w:rPr>
            </w:pPr>
            <w:r w:rsidRPr="001812CF">
              <w:rPr>
                <w:szCs w:val="24"/>
              </w:rPr>
              <w:t xml:space="preserve">Estimated Number of Respondents </w:t>
            </w:r>
          </w:p>
        </w:tc>
        <w:tc>
          <w:tcPr>
            <w:tcW w:w="1240" w:type="dxa"/>
            <w:tcBorders>
              <w:top w:val="nil"/>
              <w:left w:val="nil"/>
              <w:bottom w:val="single" w:color="auto" w:sz="4" w:space="0"/>
              <w:right w:val="single" w:color="auto" w:sz="4" w:space="0"/>
            </w:tcBorders>
            <w:shd w:val="clear" w:color="auto" w:fill="auto"/>
            <w:noWrap/>
            <w:vAlign w:val="bottom"/>
          </w:tcPr>
          <w:p w:rsidRPr="001812CF" w:rsidR="001C0FB0" w:rsidP="00426FC9" w:rsidRDefault="001C0FB0">
            <w:pPr>
              <w:widowControl/>
              <w:autoSpaceDE/>
              <w:autoSpaceDN/>
              <w:rPr>
                <w:szCs w:val="24"/>
              </w:rPr>
            </w:pPr>
            <w:r w:rsidRPr="001812CF">
              <w:rPr>
                <w:szCs w:val="24"/>
              </w:rPr>
              <w:t>93</w:t>
            </w:r>
          </w:p>
        </w:tc>
        <w:tc>
          <w:tcPr>
            <w:tcW w:w="1240" w:type="dxa"/>
            <w:tcBorders>
              <w:top w:val="nil"/>
              <w:left w:val="nil"/>
              <w:bottom w:val="single" w:color="auto" w:sz="4" w:space="0"/>
              <w:right w:val="single" w:color="auto" w:sz="4" w:space="0"/>
            </w:tcBorders>
          </w:tcPr>
          <w:p w:rsidRPr="00365BDC" w:rsidR="001C0FB0" w:rsidP="00426FC9" w:rsidRDefault="001C0FB0">
            <w:pPr>
              <w:widowControl/>
              <w:autoSpaceDE/>
              <w:autoSpaceDN/>
              <w:rPr>
                <w:szCs w:val="24"/>
              </w:rPr>
            </w:pPr>
            <w:r w:rsidRPr="00365BDC">
              <w:rPr>
                <w:szCs w:val="24"/>
              </w:rPr>
              <w:t>188</w:t>
            </w:r>
          </w:p>
        </w:tc>
      </w:tr>
      <w:tr w:rsidRPr="001812CF" w:rsidR="001C0FB0" w:rsidTr="00426FC9">
        <w:trPr>
          <w:trHeight w:val="255"/>
          <w:jc w:val="center"/>
        </w:trPr>
        <w:tc>
          <w:tcPr>
            <w:tcW w:w="4820" w:type="dxa"/>
            <w:tcBorders>
              <w:top w:val="nil"/>
              <w:left w:val="single" w:color="auto" w:sz="4" w:space="0"/>
              <w:bottom w:val="single" w:color="auto" w:sz="4" w:space="0"/>
              <w:right w:val="single" w:color="auto" w:sz="4" w:space="0"/>
            </w:tcBorders>
            <w:shd w:val="clear" w:color="auto" w:fill="auto"/>
            <w:vAlign w:val="bottom"/>
          </w:tcPr>
          <w:p w:rsidRPr="001812CF" w:rsidR="001C0FB0" w:rsidP="00426FC9" w:rsidRDefault="001C0FB0">
            <w:pPr>
              <w:widowControl/>
              <w:autoSpaceDE/>
              <w:autoSpaceDN/>
              <w:rPr>
                <w:szCs w:val="24"/>
              </w:rPr>
            </w:pPr>
            <w:r w:rsidRPr="001812CF">
              <w:rPr>
                <w:szCs w:val="24"/>
              </w:rPr>
              <w:t>Estimated Number of Responses</w:t>
            </w:r>
          </w:p>
        </w:tc>
        <w:tc>
          <w:tcPr>
            <w:tcW w:w="1240" w:type="dxa"/>
            <w:tcBorders>
              <w:top w:val="nil"/>
              <w:left w:val="nil"/>
              <w:bottom w:val="single" w:color="auto" w:sz="4" w:space="0"/>
              <w:right w:val="single" w:color="auto" w:sz="4" w:space="0"/>
            </w:tcBorders>
            <w:shd w:val="clear" w:color="auto" w:fill="auto"/>
            <w:noWrap/>
            <w:vAlign w:val="bottom"/>
          </w:tcPr>
          <w:p w:rsidRPr="001812CF" w:rsidR="001C0FB0" w:rsidP="00426FC9" w:rsidRDefault="001C0FB0">
            <w:pPr>
              <w:widowControl/>
              <w:autoSpaceDE/>
              <w:autoSpaceDN/>
              <w:rPr>
                <w:szCs w:val="24"/>
              </w:rPr>
            </w:pPr>
            <w:r w:rsidRPr="001812CF">
              <w:rPr>
                <w:szCs w:val="24"/>
              </w:rPr>
              <w:t>93</w:t>
            </w:r>
          </w:p>
        </w:tc>
        <w:tc>
          <w:tcPr>
            <w:tcW w:w="1240" w:type="dxa"/>
            <w:tcBorders>
              <w:top w:val="nil"/>
              <w:left w:val="nil"/>
              <w:bottom w:val="single" w:color="auto" w:sz="4" w:space="0"/>
              <w:right w:val="single" w:color="auto" w:sz="4" w:space="0"/>
            </w:tcBorders>
            <w:shd w:val="clear" w:color="auto" w:fill="auto"/>
          </w:tcPr>
          <w:p w:rsidRPr="00365BDC" w:rsidR="001C0FB0" w:rsidP="00426FC9" w:rsidRDefault="001C0FB0">
            <w:pPr>
              <w:widowControl/>
              <w:autoSpaceDE/>
              <w:autoSpaceDN/>
              <w:rPr>
                <w:szCs w:val="24"/>
              </w:rPr>
            </w:pPr>
            <w:r w:rsidRPr="00365BDC">
              <w:rPr>
                <w:szCs w:val="24"/>
              </w:rPr>
              <w:t>236</w:t>
            </w:r>
          </w:p>
        </w:tc>
      </w:tr>
      <w:tr w:rsidRPr="001812CF" w:rsidR="001C0FB0" w:rsidTr="00426FC9">
        <w:trPr>
          <w:trHeight w:val="255"/>
          <w:jc w:val="center"/>
        </w:trPr>
        <w:tc>
          <w:tcPr>
            <w:tcW w:w="4820" w:type="dxa"/>
            <w:tcBorders>
              <w:top w:val="nil"/>
              <w:left w:val="single" w:color="auto" w:sz="4" w:space="0"/>
              <w:bottom w:val="single" w:color="auto" w:sz="4" w:space="0"/>
              <w:right w:val="single" w:color="auto" w:sz="4" w:space="0"/>
            </w:tcBorders>
            <w:shd w:val="clear" w:color="auto" w:fill="auto"/>
            <w:vAlign w:val="bottom"/>
          </w:tcPr>
          <w:p w:rsidRPr="001812CF" w:rsidR="001C0FB0" w:rsidP="00426FC9" w:rsidRDefault="001C0FB0">
            <w:pPr>
              <w:widowControl/>
              <w:autoSpaceDE/>
              <w:autoSpaceDN/>
              <w:rPr>
                <w:szCs w:val="24"/>
              </w:rPr>
            </w:pPr>
            <w:r w:rsidRPr="001812CF">
              <w:rPr>
                <w:szCs w:val="24"/>
              </w:rPr>
              <w:t xml:space="preserve">Estimated Annualized Burden Hours </w:t>
            </w:r>
          </w:p>
        </w:tc>
        <w:tc>
          <w:tcPr>
            <w:tcW w:w="1240" w:type="dxa"/>
            <w:tcBorders>
              <w:top w:val="nil"/>
              <w:left w:val="nil"/>
              <w:bottom w:val="single" w:color="auto" w:sz="4" w:space="0"/>
              <w:right w:val="single" w:color="auto" w:sz="4" w:space="0"/>
            </w:tcBorders>
            <w:shd w:val="clear" w:color="auto" w:fill="auto"/>
            <w:noWrap/>
            <w:vAlign w:val="bottom"/>
          </w:tcPr>
          <w:p w:rsidRPr="008245AA" w:rsidR="001C0FB0" w:rsidP="00426FC9" w:rsidRDefault="001C0FB0">
            <w:pPr>
              <w:widowControl/>
              <w:autoSpaceDE/>
              <w:autoSpaceDN/>
              <w:rPr>
                <w:szCs w:val="24"/>
              </w:rPr>
            </w:pPr>
            <w:r w:rsidRPr="008245AA">
              <w:rPr>
                <w:szCs w:val="24"/>
              </w:rPr>
              <w:t>15,291</w:t>
            </w:r>
          </w:p>
        </w:tc>
        <w:tc>
          <w:tcPr>
            <w:tcW w:w="1240" w:type="dxa"/>
            <w:tcBorders>
              <w:top w:val="nil"/>
              <w:left w:val="nil"/>
              <w:bottom w:val="single" w:color="auto" w:sz="4" w:space="0"/>
              <w:right w:val="single" w:color="auto" w:sz="4" w:space="0"/>
            </w:tcBorders>
            <w:shd w:val="clear" w:color="auto" w:fill="auto"/>
          </w:tcPr>
          <w:p w:rsidRPr="008245AA" w:rsidR="001C0FB0" w:rsidP="00426FC9" w:rsidRDefault="001C0FB0">
            <w:pPr>
              <w:widowControl/>
              <w:autoSpaceDE/>
              <w:autoSpaceDN/>
              <w:rPr>
                <w:szCs w:val="24"/>
              </w:rPr>
            </w:pPr>
            <w:r w:rsidRPr="008245AA">
              <w:rPr>
                <w:szCs w:val="24"/>
              </w:rPr>
              <w:t>25,973</w:t>
            </w:r>
          </w:p>
        </w:tc>
      </w:tr>
    </w:tbl>
    <w:p w:rsidR="001C0FB0" w:rsidP="001C0FB0" w:rsidRDefault="001C0FB0">
      <w:pPr>
        <w:spacing w:before="120"/>
        <w:rPr>
          <w:szCs w:val="24"/>
        </w:rPr>
      </w:pPr>
    </w:p>
    <w:p w:rsidR="001C0FB0" w:rsidP="001C0FB0" w:rsidRDefault="001C0FB0">
      <w:pPr>
        <w:spacing w:line="259" w:lineRule="auto"/>
        <w:rPr>
          <w:rFonts w:cs="Times New Roman"/>
          <w:b/>
          <w:color w:val="FF0000"/>
          <w:szCs w:val="24"/>
        </w:rPr>
      </w:pPr>
    </w:p>
    <w:p w:rsidR="00426FC9" w:rsidP="001C0FB0" w:rsidRDefault="00426FC9">
      <w:pPr>
        <w:spacing w:line="259" w:lineRule="auto"/>
        <w:rPr>
          <w:rFonts w:cs="Times New Roman"/>
          <w:b/>
          <w:color w:val="FF0000"/>
          <w:szCs w:val="24"/>
        </w:rPr>
      </w:pPr>
    </w:p>
    <w:p w:rsidR="00426FC9" w:rsidP="001C0FB0" w:rsidRDefault="00426FC9">
      <w:pPr>
        <w:spacing w:line="259" w:lineRule="auto"/>
        <w:rPr>
          <w:rFonts w:cs="Times New Roman"/>
          <w:b/>
          <w:color w:val="FF0000"/>
          <w:szCs w:val="24"/>
        </w:rPr>
      </w:pPr>
      <w:r w:rsidRPr="001812CF">
        <w:rPr>
          <w:b/>
          <w:szCs w:val="24"/>
        </w:rPr>
        <w:lastRenderedPageBreak/>
        <w:t xml:space="preserve">Table </w:t>
      </w:r>
      <w:r>
        <w:rPr>
          <w:b/>
          <w:szCs w:val="24"/>
        </w:rPr>
        <w:t>2</w:t>
      </w:r>
      <w:r w:rsidRPr="001812CF">
        <w:rPr>
          <w:b/>
          <w:szCs w:val="24"/>
        </w:rPr>
        <w:t xml:space="preserve"> </w:t>
      </w:r>
      <w:r>
        <w:rPr>
          <w:b/>
          <w:szCs w:val="24"/>
        </w:rPr>
        <w:t>–</w:t>
      </w:r>
      <w:r w:rsidRPr="001812CF">
        <w:rPr>
          <w:b/>
          <w:szCs w:val="24"/>
        </w:rPr>
        <w:t xml:space="preserve"> </w:t>
      </w:r>
      <w:r>
        <w:rPr>
          <w:b/>
          <w:szCs w:val="24"/>
        </w:rPr>
        <w:t>Detailed Estimates of</w:t>
      </w:r>
      <w:r w:rsidRPr="001812CF">
        <w:rPr>
          <w:b/>
          <w:szCs w:val="24"/>
        </w:rPr>
        <w:t xml:space="preserve"> total annual burden hours.</w:t>
      </w:r>
    </w:p>
    <w:tbl>
      <w:tblPr>
        <w:tblW w:w="12960" w:type="dxa"/>
        <w:tblInd w:w="-10" w:type="dxa"/>
        <w:tblLayout w:type="fixed"/>
        <w:tblLook w:val="04A0" w:firstRow="1" w:lastRow="0" w:firstColumn="1" w:lastColumn="0" w:noHBand="0" w:noVBand="1"/>
      </w:tblPr>
      <w:tblGrid>
        <w:gridCol w:w="2610"/>
        <w:gridCol w:w="1440"/>
        <w:gridCol w:w="1080"/>
        <w:gridCol w:w="1170"/>
        <w:gridCol w:w="1170"/>
        <w:gridCol w:w="1080"/>
        <w:gridCol w:w="1080"/>
        <w:gridCol w:w="1530"/>
        <w:gridCol w:w="1800"/>
      </w:tblGrid>
      <w:tr w:rsidRPr="00426FC9" w:rsidR="00426FC9" w:rsidTr="00426FC9">
        <w:trPr>
          <w:trHeight w:val="1140"/>
        </w:trPr>
        <w:tc>
          <w:tcPr>
            <w:tcW w:w="261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Information Collection</w:t>
            </w:r>
          </w:p>
        </w:tc>
        <w:tc>
          <w:tcPr>
            <w:tcW w:w="1440" w:type="dxa"/>
            <w:tcBorders>
              <w:top w:val="single" w:color="auto" w:sz="8" w:space="0"/>
              <w:left w:val="nil"/>
              <w:bottom w:val="single" w:color="auto" w:sz="8" w:space="0"/>
              <w:right w:val="single" w:color="000000"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Type of Respondent (Occupational Title)</w:t>
            </w:r>
          </w:p>
        </w:tc>
        <w:tc>
          <w:tcPr>
            <w:tcW w:w="1080" w:type="dxa"/>
            <w:tcBorders>
              <w:top w:val="single" w:color="auto" w:sz="8" w:space="0"/>
              <w:left w:val="nil"/>
              <w:bottom w:val="single" w:color="auto" w:sz="8" w:space="0"/>
              <w:right w:val="single" w:color="000000"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 of Respondents</w:t>
            </w:r>
          </w:p>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(a)</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Annual # of Responses / Respondent</w:t>
            </w:r>
          </w:p>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(b)</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 xml:space="preserve"> Total # of Annual Responses</w:t>
            </w:r>
          </w:p>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(c) = (a) x (b)</w:t>
            </w:r>
          </w:p>
        </w:tc>
        <w:tc>
          <w:tcPr>
            <w:tcW w:w="1080" w:type="dxa"/>
            <w:tcBorders>
              <w:top w:val="single" w:color="auto" w:sz="8" w:space="0"/>
              <w:left w:val="nil"/>
              <w:bottom w:val="single" w:color="auto" w:sz="8" w:space="0"/>
              <w:right w:val="single" w:color="auto"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Burden Hrs / Response</w:t>
            </w:r>
          </w:p>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(d)</w:t>
            </w:r>
          </w:p>
        </w:tc>
        <w:tc>
          <w:tcPr>
            <w:tcW w:w="1080" w:type="dxa"/>
            <w:tcBorders>
              <w:top w:val="single" w:color="auto" w:sz="8" w:space="0"/>
              <w:left w:val="nil"/>
              <w:bottom w:val="single" w:color="auto" w:sz="8" w:space="0"/>
              <w:right w:val="single" w:color="auto"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Total Annual Burden Hrs</w:t>
            </w:r>
          </w:p>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(e) = (c) x (d)</w:t>
            </w:r>
          </w:p>
        </w:tc>
        <w:tc>
          <w:tcPr>
            <w:tcW w:w="1530" w:type="dxa"/>
            <w:tcBorders>
              <w:top w:val="single" w:color="auto" w:sz="8" w:space="0"/>
              <w:left w:val="nil"/>
              <w:bottom w:val="single" w:color="auto" w:sz="8" w:space="0"/>
              <w:right w:val="single" w:color="auto"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Mean Hourly Wage Rate  (for Type of Respondent)</w:t>
            </w:r>
          </w:p>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(f)</w:t>
            </w:r>
          </w:p>
        </w:tc>
        <w:tc>
          <w:tcPr>
            <w:tcW w:w="1800" w:type="dxa"/>
            <w:tcBorders>
              <w:top w:val="single" w:color="auto" w:sz="8" w:space="0"/>
              <w:left w:val="nil"/>
              <w:bottom w:val="single" w:color="auto" w:sz="4" w:space="0"/>
              <w:right w:val="single" w:color="auto" w:sz="8" w:space="0"/>
            </w:tcBorders>
            <w:shd w:val="clear" w:color="auto" w:fill="5B9BD5"/>
            <w:vAlign w:val="center"/>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Total Annual Wage Burden Costs</w:t>
            </w:r>
          </w:p>
          <w:p w:rsidRPr="00426FC9" w:rsidR="00426FC9" w:rsidP="00426FC9" w:rsidRDefault="00426FC9">
            <w:pPr>
              <w:widowControl/>
              <w:autoSpaceDE/>
              <w:autoSpaceDN/>
              <w:jc w:val="center"/>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(g) = (e) x (f)</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IHA Application</w:t>
            </w:r>
          </w:p>
        </w:tc>
        <w:tc>
          <w:tcPr>
            <w:tcW w:w="144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19</w:t>
            </w:r>
          </w:p>
        </w:tc>
        <w:tc>
          <w:tcPr>
            <w:tcW w:w="117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19</w:t>
            </w:r>
          </w:p>
        </w:tc>
        <w:tc>
          <w:tcPr>
            <w:tcW w:w="108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281</w:t>
            </w:r>
          </w:p>
        </w:tc>
        <w:tc>
          <w:tcPr>
            <w:tcW w:w="108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5,339</w:t>
            </w:r>
          </w:p>
        </w:tc>
        <w:tc>
          <w:tcPr>
            <w:tcW w:w="1530" w:type="dxa"/>
            <w:tcBorders>
              <w:top w:val="nil"/>
              <w:left w:val="nil"/>
              <w:bottom w:val="single" w:color="auto" w:sz="4" w:space="0"/>
              <w:right w:val="single" w:color="auto" w:sz="4" w:space="0"/>
            </w:tcBorders>
            <w:shd w:val="clear" w:color="auto" w:fill="auto"/>
            <w:noWrap/>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172,503.09</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IHA Interim Draft Report</w:t>
            </w:r>
          </w:p>
        </w:tc>
        <w:tc>
          <w:tcPr>
            <w:tcW w:w="144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30</w:t>
            </w:r>
          </w:p>
        </w:tc>
        <w:tc>
          <w:tcPr>
            <w:tcW w:w="1080" w:type="dxa"/>
            <w:tcBorders>
              <w:top w:val="nil"/>
              <w:left w:val="nil"/>
              <w:bottom w:val="single" w:color="auto" w:sz="4"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30</w:t>
            </w:r>
          </w:p>
        </w:tc>
        <w:tc>
          <w:tcPr>
            <w:tcW w:w="1530" w:type="dxa"/>
            <w:tcBorders>
              <w:top w:val="nil"/>
              <w:left w:val="nil"/>
              <w:bottom w:val="single" w:color="auto" w:sz="4" w:space="0"/>
              <w:right w:val="single" w:color="auto" w:sz="4" w:space="0"/>
            </w:tcBorders>
            <w:shd w:val="clear" w:color="auto" w:fill="auto"/>
            <w:noWrap/>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$9</w:t>
            </w:r>
            <w:r w:rsidR="00677894">
              <w:rPr>
                <w:rFonts w:asciiTheme="minorHAnsi" w:hAnsiTheme="minorHAnsi" w:cstheme="minorHAnsi"/>
                <w:color w:val="000000"/>
                <w:sz w:val="16"/>
                <w:szCs w:val="16"/>
              </w:rPr>
              <w:t>69.30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xml:space="preserve">IHA Draft Report </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19</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19</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140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2,660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85,944.60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IHA Final Report</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19</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19</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28</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532</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r w:rsidR="00677894">
              <w:rPr>
                <w:rFonts w:asciiTheme="minorHAnsi" w:hAnsiTheme="minorHAnsi" w:cstheme="minorHAnsi"/>
                <w:color w:val="000000"/>
                <w:sz w:val="16"/>
                <w:szCs w:val="16"/>
              </w:rPr>
              <w:t>7,188.92</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xml:space="preserve">LOA - Initial Application Preparation </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1200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1,200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$36,588.00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sz w:val="16"/>
                <w:szCs w:val="16"/>
              </w:rPr>
              <w:t>LOA - Annual LOA Application</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105</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105</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70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7,350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$2</w:t>
            </w:r>
            <w:r w:rsidR="00677894">
              <w:rPr>
                <w:rFonts w:asciiTheme="minorHAnsi" w:hAnsiTheme="minorHAnsi" w:cstheme="minorHAnsi"/>
                <w:color w:val="000000"/>
                <w:sz w:val="16"/>
                <w:szCs w:val="16"/>
              </w:rPr>
              <w:t>37,478.50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xml:space="preserve">LOA - Draft Annual Report </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10</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225</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2,250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72,697.50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xml:space="preserve">LOA - Final Annual Report </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10</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70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700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22,617.</w:t>
            </w:r>
            <w:r w:rsidRPr="00426FC9">
              <w:rPr>
                <w:rFonts w:asciiTheme="minorHAnsi" w:hAnsiTheme="minorHAnsi" w:cstheme="minorHAnsi"/>
                <w:color w:val="000000"/>
                <w:sz w:val="16"/>
                <w:szCs w:val="16"/>
              </w:rPr>
              <w:t>00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LOA - LOA Draft Final Report</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640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1,280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41,356.80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LOA - LOA Final Report</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300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600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19,386</w:t>
            </w:r>
            <w:r w:rsidRPr="00426FC9">
              <w:rPr>
                <w:rFonts w:asciiTheme="minorHAnsi" w:hAnsiTheme="minorHAnsi" w:cstheme="minorHAnsi"/>
                <w:color w:val="000000"/>
                <w:sz w:val="16"/>
                <w:szCs w:val="16"/>
              </w:rPr>
              <w:t>.00</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xml:space="preserve">GOM - Draft Annual Report </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24</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24</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140</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3,360</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108,561.16</w:t>
            </w:r>
          </w:p>
        </w:tc>
      </w:tr>
      <w:tr w:rsidRPr="00426FC9" w:rsidR="00426FC9" w:rsidTr="00426FC9">
        <w:trPr>
          <w:trHeight w:val="300"/>
        </w:trPr>
        <w:tc>
          <w:tcPr>
            <w:tcW w:w="2610" w:type="dxa"/>
            <w:tcBorders>
              <w:top w:val="nil"/>
              <w:left w:val="single" w:color="auto" w:sz="8" w:space="0"/>
              <w:bottom w:val="single" w:color="auto" w:sz="4" w:space="0"/>
              <w:right w:val="single" w:color="auto" w:sz="4" w:space="0"/>
            </w:tcBorders>
            <w:shd w:val="clear" w:color="auto" w:fill="auto"/>
            <w:vAlign w:val="bottom"/>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xml:space="preserve">GOM - Final Annual Report </w:t>
            </w:r>
          </w:p>
        </w:tc>
        <w:tc>
          <w:tcPr>
            <w:tcW w:w="144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Zoologist/Wildlife Biologist </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24</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24</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28</w:t>
            </w:r>
          </w:p>
        </w:tc>
        <w:tc>
          <w:tcPr>
            <w:tcW w:w="1080" w:type="dxa"/>
            <w:tcBorders>
              <w:top w:val="nil"/>
              <w:left w:val="nil"/>
              <w:bottom w:val="single" w:color="auto" w:sz="4" w:space="0"/>
              <w:right w:val="single" w:color="auto" w:sz="4" w:space="0"/>
            </w:tcBorders>
            <w:shd w:val="clear" w:color="auto" w:fill="auto"/>
            <w:vAlign w:val="bottom"/>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sz w:val="16"/>
                <w:szCs w:val="16"/>
              </w:rPr>
              <w:t>672</w:t>
            </w:r>
          </w:p>
        </w:tc>
        <w:tc>
          <w:tcPr>
            <w:tcW w:w="1530" w:type="dxa"/>
            <w:tcBorders>
              <w:top w:val="nil"/>
              <w:left w:val="nil"/>
              <w:bottom w:val="single" w:color="auto" w:sz="4" w:space="0"/>
              <w:right w:val="single" w:color="auto" w:sz="4" w:space="0"/>
            </w:tcBorders>
            <w:shd w:val="clear" w:color="auto" w:fill="auto"/>
            <w:noWrap/>
            <w:vAlign w:val="bottom"/>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$3</w:t>
            </w:r>
            <w:r>
              <w:rPr>
                <w:rFonts w:asciiTheme="minorHAnsi" w:hAnsiTheme="minorHAnsi" w:cstheme="minorHAnsi"/>
                <w:color w:val="000000"/>
                <w:sz w:val="16"/>
                <w:szCs w:val="16"/>
              </w:rPr>
              <w:t>2.31</w:t>
            </w: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tcPr>
          <w:p w:rsidRPr="00426FC9" w:rsidR="00426FC9" w:rsidP="00677894"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w:t>
            </w:r>
            <w:r w:rsidR="00677894">
              <w:rPr>
                <w:rFonts w:asciiTheme="minorHAnsi" w:hAnsiTheme="minorHAnsi" w:cstheme="minorHAnsi"/>
                <w:color w:val="000000"/>
                <w:sz w:val="16"/>
                <w:szCs w:val="16"/>
              </w:rPr>
              <w:t>21,712.32</w:t>
            </w:r>
          </w:p>
        </w:tc>
      </w:tr>
      <w:tr w:rsidRPr="00426FC9" w:rsidR="00426FC9" w:rsidTr="00426FC9">
        <w:trPr>
          <w:trHeight w:val="315"/>
        </w:trPr>
        <w:tc>
          <w:tcPr>
            <w:tcW w:w="2610" w:type="dxa"/>
            <w:tcBorders>
              <w:top w:val="nil"/>
              <w:left w:val="single" w:color="auto" w:sz="8" w:space="0"/>
              <w:bottom w:val="single" w:color="auto" w:sz="8" w:space="0"/>
              <w:right w:val="single" w:color="auto" w:sz="4" w:space="0"/>
            </w:tcBorders>
            <w:shd w:val="clear" w:color="auto" w:fill="auto"/>
            <w:vAlign w:val="bottom"/>
            <w:hideMark/>
          </w:tcPr>
          <w:p w:rsidRPr="00426FC9" w:rsidR="00426FC9" w:rsidP="00426FC9" w:rsidRDefault="00426FC9">
            <w:pPr>
              <w:widowControl/>
              <w:autoSpaceDE/>
              <w:autoSpaceDN/>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440" w:type="dxa"/>
            <w:tcBorders>
              <w:top w:val="nil"/>
              <w:left w:val="nil"/>
              <w:bottom w:val="single" w:color="auto" w:sz="8" w:space="0"/>
              <w:right w:val="single" w:color="auto" w:sz="4" w:space="0"/>
            </w:tcBorders>
            <w:shd w:val="clear" w:color="auto" w:fill="auto"/>
            <w:vAlign w:val="bottom"/>
            <w:hideMark/>
          </w:tcPr>
          <w:p w:rsidRPr="00426FC9" w:rsidR="00426FC9" w:rsidP="00426FC9" w:rsidRDefault="00426FC9">
            <w:pPr>
              <w:widowControl/>
              <w:autoSpaceDE/>
              <w:autoSpaceDN/>
              <w:jc w:val="center"/>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080" w:type="dxa"/>
            <w:tcBorders>
              <w:top w:val="nil"/>
              <w:left w:val="nil"/>
              <w:bottom w:val="single" w:color="auto" w:sz="8" w:space="0"/>
              <w:right w:val="single" w:color="auto" w:sz="4" w:space="0"/>
            </w:tcBorders>
            <w:shd w:val="clear" w:color="auto" w:fill="auto"/>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170" w:type="dxa"/>
            <w:tcBorders>
              <w:top w:val="nil"/>
              <w:left w:val="nil"/>
              <w:bottom w:val="single" w:color="auto" w:sz="8" w:space="0"/>
              <w:right w:val="single" w:color="auto" w:sz="4" w:space="0"/>
            </w:tcBorders>
            <w:shd w:val="clear" w:color="auto" w:fill="auto"/>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170" w:type="dxa"/>
            <w:tcBorders>
              <w:top w:val="nil"/>
              <w:left w:val="nil"/>
              <w:bottom w:val="single" w:color="auto" w:sz="8" w:space="0"/>
              <w:right w:val="single" w:color="auto" w:sz="4" w:space="0"/>
            </w:tcBorders>
            <w:shd w:val="clear" w:color="auto" w:fill="auto"/>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080" w:type="dxa"/>
            <w:tcBorders>
              <w:top w:val="nil"/>
              <w:left w:val="nil"/>
              <w:bottom w:val="single" w:color="auto" w:sz="8" w:space="0"/>
              <w:right w:val="single" w:color="auto" w:sz="4" w:space="0"/>
            </w:tcBorders>
            <w:shd w:val="clear" w:color="auto" w:fill="auto"/>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080" w:type="dxa"/>
            <w:tcBorders>
              <w:top w:val="nil"/>
              <w:left w:val="nil"/>
              <w:bottom w:val="single" w:color="auto" w:sz="8" w:space="0"/>
              <w:right w:val="single" w:color="auto" w:sz="4" w:space="0"/>
            </w:tcBorders>
            <w:shd w:val="clear" w:color="auto" w:fill="auto"/>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530" w:type="dxa"/>
            <w:tcBorders>
              <w:top w:val="nil"/>
              <w:left w:val="nil"/>
              <w:bottom w:val="single" w:color="auto" w:sz="8" w:space="0"/>
              <w:right w:val="single" w:color="auto" w:sz="4" w:space="0"/>
            </w:tcBorders>
            <w:shd w:val="clear" w:color="auto" w:fill="auto"/>
            <w:noWrap/>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426FC9" w:rsidR="00426FC9" w:rsidP="00426FC9" w:rsidRDefault="00426FC9">
            <w:pPr>
              <w:widowControl/>
              <w:autoSpaceDE/>
              <w:autoSpaceDN/>
              <w:jc w:val="right"/>
              <w:rPr>
                <w:rFonts w:asciiTheme="minorHAnsi" w:hAnsiTheme="minorHAnsi" w:cstheme="minorHAnsi"/>
                <w:color w:val="000000"/>
                <w:sz w:val="16"/>
                <w:szCs w:val="16"/>
              </w:rPr>
            </w:pPr>
            <w:r w:rsidRPr="00426FC9">
              <w:rPr>
                <w:rFonts w:asciiTheme="minorHAnsi" w:hAnsiTheme="minorHAnsi" w:cstheme="minorHAnsi"/>
                <w:color w:val="000000"/>
                <w:sz w:val="16"/>
                <w:szCs w:val="16"/>
              </w:rPr>
              <w:t> </w:t>
            </w:r>
          </w:p>
        </w:tc>
      </w:tr>
      <w:tr w:rsidRPr="00426FC9" w:rsidR="00426FC9" w:rsidTr="00426FC9">
        <w:trPr>
          <w:trHeight w:val="315"/>
        </w:trPr>
        <w:tc>
          <w:tcPr>
            <w:tcW w:w="2610" w:type="dxa"/>
            <w:tcBorders>
              <w:top w:val="nil"/>
              <w:left w:val="single" w:color="auto" w:sz="8" w:space="0"/>
              <w:bottom w:val="single" w:color="auto" w:sz="8" w:space="0"/>
              <w:right w:val="single" w:color="auto" w:sz="8" w:space="0"/>
            </w:tcBorders>
            <w:shd w:val="clear" w:color="000000" w:fill="BDD7EE"/>
            <w:noWrap/>
            <w:vAlign w:val="bottom"/>
            <w:hideMark/>
          </w:tcPr>
          <w:p w:rsidRPr="00426FC9" w:rsidR="00426FC9" w:rsidP="00426FC9" w:rsidRDefault="00426FC9">
            <w:pPr>
              <w:widowControl/>
              <w:autoSpaceDE/>
              <w:autoSpaceDN/>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426FC9" w:rsidR="00426FC9" w:rsidP="00426FC9" w:rsidRDefault="00426FC9">
            <w:pPr>
              <w:widowControl/>
              <w:autoSpaceDE/>
              <w:autoSpaceDN/>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426FC9" w:rsidR="00426FC9" w:rsidP="00426FC9" w:rsidRDefault="00426FC9">
            <w:pPr>
              <w:widowControl/>
              <w:autoSpaceDE/>
              <w:autoSpaceDN/>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 </w:t>
            </w:r>
          </w:p>
        </w:tc>
        <w:tc>
          <w:tcPr>
            <w:tcW w:w="1170" w:type="dxa"/>
            <w:tcBorders>
              <w:top w:val="nil"/>
              <w:left w:val="nil"/>
              <w:bottom w:val="single" w:color="auto" w:sz="8" w:space="0"/>
              <w:right w:val="single" w:color="auto" w:sz="8" w:space="0"/>
            </w:tcBorders>
            <w:shd w:val="clear" w:color="000000" w:fill="000000"/>
            <w:noWrap/>
            <w:vAlign w:val="bottom"/>
            <w:hideMark/>
          </w:tcPr>
          <w:p w:rsidRPr="00426FC9" w:rsidR="00426FC9" w:rsidP="00426FC9" w:rsidRDefault="00426FC9">
            <w:pPr>
              <w:widowControl/>
              <w:autoSpaceDE/>
              <w:autoSpaceDN/>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677894" w:rsidR="00426FC9" w:rsidP="00426FC9" w:rsidRDefault="00426FC9">
            <w:pPr>
              <w:widowControl/>
              <w:autoSpaceDE/>
              <w:autoSpaceDN/>
              <w:jc w:val="center"/>
              <w:rPr>
                <w:rFonts w:asciiTheme="minorHAnsi" w:hAnsiTheme="minorHAnsi" w:cstheme="minorHAnsi"/>
                <w:b/>
                <w:bCs/>
                <w:color w:val="000000"/>
                <w:sz w:val="18"/>
                <w:szCs w:val="18"/>
              </w:rPr>
            </w:pPr>
            <w:r w:rsidRPr="00677894">
              <w:rPr>
                <w:rFonts w:asciiTheme="minorHAnsi" w:hAnsiTheme="minorHAnsi" w:cstheme="minorHAnsi"/>
                <w:b/>
                <w:bCs/>
                <w:color w:val="000000"/>
                <w:sz w:val="18"/>
                <w:szCs w:val="18"/>
              </w:rPr>
              <w:t>236</w:t>
            </w:r>
          </w:p>
        </w:tc>
        <w:tc>
          <w:tcPr>
            <w:tcW w:w="1080" w:type="dxa"/>
            <w:tcBorders>
              <w:top w:val="nil"/>
              <w:left w:val="nil"/>
              <w:bottom w:val="single" w:color="auto" w:sz="8" w:space="0"/>
              <w:right w:val="single" w:color="auto" w:sz="8" w:space="0"/>
            </w:tcBorders>
            <w:shd w:val="clear" w:color="000000" w:fill="000000"/>
            <w:noWrap/>
            <w:vAlign w:val="bottom"/>
            <w:hideMark/>
          </w:tcPr>
          <w:p w:rsidRPr="00426FC9" w:rsidR="00426FC9" w:rsidP="00426FC9" w:rsidRDefault="00426FC9">
            <w:pPr>
              <w:widowControl/>
              <w:autoSpaceDE/>
              <w:autoSpaceDN/>
              <w:jc w:val="center"/>
              <w:rPr>
                <w:rFonts w:asciiTheme="minorHAnsi" w:hAnsiTheme="minorHAnsi" w:cstheme="minorHAnsi"/>
                <w:b/>
                <w:bCs/>
                <w:color w:val="000000"/>
                <w:sz w:val="16"/>
                <w:szCs w:val="16"/>
              </w:rPr>
            </w:pPr>
          </w:p>
        </w:tc>
        <w:tc>
          <w:tcPr>
            <w:tcW w:w="1080" w:type="dxa"/>
            <w:tcBorders>
              <w:top w:val="nil"/>
              <w:left w:val="nil"/>
              <w:bottom w:val="single" w:color="auto" w:sz="8" w:space="0"/>
              <w:right w:val="single" w:color="auto" w:sz="8" w:space="0"/>
            </w:tcBorders>
            <w:shd w:val="clear" w:color="000000" w:fill="BDD7EE"/>
            <w:noWrap/>
            <w:vAlign w:val="bottom"/>
            <w:hideMark/>
          </w:tcPr>
          <w:p w:rsidRPr="00677894" w:rsidR="00426FC9" w:rsidP="00426FC9" w:rsidRDefault="00426FC9">
            <w:pPr>
              <w:widowControl/>
              <w:autoSpaceDE/>
              <w:autoSpaceDN/>
              <w:jc w:val="center"/>
              <w:rPr>
                <w:rFonts w:asciiTheme="minorHAnsi" w:hAnsiTheme="minorHAnsi" w:cstheme="minorHAnsi"/>
                <w:b/>
                <w:bCs/>
                <w:color w:val="000000"/>
                <w:sz w:val="18"/>
                <w:szCs w:val="18"/>
              </w:rPr>
            </w:pPr>
            <w:r w:rsidRPr="00677894">
              <w:rPr>
                <w:rFonts w:asciiTheme="minorHAnsi" w:hAnsiTheme="minorHAnsi" w:cstheme="minorHAnsi"/>
                <w:b/>
                <w:bCs/>
                <w:color w:val="000000"/>
                <w:sz w:val="18"/>
                <w:szCs w:val="18"/>
              </w:rPr>
              <w:t>25,973</w:t>
            </w:r>
          </w:p>
        </w:tc>
        <w:tc>
          <w:tcPr>
            <w:tcW w:w="1530" w:type="dxa"/>
            <w:tcBorders>
              <w:top w:val="nil"/>
              <w:left w:val="nil"/>
              <w:bottom w:val="single" w:color="auto" w:sz="8" w:space="0"/>
              <w:right w:val="single" w:color="auto" w:sz="8" w:space="0"/>
            </w:tcBorders>
            <w:shd w:val="clear" w:color="000000" w:fill="000000"/>
            <w:noWrap/>
            <w:vAlign w:val="bottom"/>
            <w:hideMark/>
          </w:tcPr>
          <w:p w:rsidRPr="00426FC9" w:rsidR="00426FC9" w:rsidP="00426FC9" w:rsidRDefault="00426FC9">
            <w:pPr>
              <w:widowControl/>
              <w:autoSpaceDE/>
              <w:autoSpaceDN/>
              <w:rPr>
                <w:rFonts w:asciiTheme="minorHAnsi" w:hAnsiTheme="minorHAnsi" w:cstheme="minorHAnsi"/>
                <w:b/>
                <w:bCs/>
                <w:color w:val="000000"/>
                <w:sz w:val="16"/>
                <w:szCs w:val="16"/>
              </w:rPr>
            </w:pPr>
            <w:r w:rsidRPr="00426FC9">
              <w:rPr>
                <w:rFonts w:asciiTheme="minorHAnsi" w:hAnsiTheme="minorHAnsi" w:cstheme="minorHAnsi"/>
                <w:b/>
                <w:bCs/>
                <w:color w:val="000000"/>
                <w:sz w:val="16"/>
                <w:szCs w:val="16"/>
              </w:rPr>
              <w:t> </w:t>
            </w:r>
          </w:p>
        </w:tc>
        <w:tc>
          <w:tcPr>
            <w:tcW w:w="1800" w:type="dxa"/>
            <w:tcBorders>
              <w:top w:val="single" w:color="auto" w:sz="4" w:space="0"/>
              <w:left w:val="nil"/>
              <w:bottom w:val="single" w:color="auto" w:sz="8" w:space="0"/>
              <w:right w:val="single" w:color="auto" w:sz="8" w:space="0"/>
            </w:tcBorders>
            <w:shd w:val="clear" w:color="000000" w:fill="BDD7EE"/>
            <w:noWrap/>
            <w:vAlign w:val="bottom"/>
            <w:hideMark/>
          </w:tcPr>
          <w:p w:rsidRPr="00677894" w:rsidR="00426FC9" w:rsidP="00677894" w:rsidRDefault="00677894">
            <w:pPr>
              <w:jc w:val="right"/>
              <w:rPr>
                <w:rFonts w:ascii="Calibri" w:hAnsi="Calibri" w:cs="Calibri"/>
                <w:b/>
                <w:color w:val="000000"/>
                <w:sz w:val="18"/>
                <w:szCs w:val="18"/>
              </w:rPr>
            </w:pPr>
            <w:r w:rsidRPr="00677894">
              <w:rPr>
                <w:rFonts w:ascii="Calibri" w:hAnsi="Calibri" w:cs="Calibri"/>
                <w:b/>
                <w:color w:val="000000"/>
                <w:sz w:val="18"/>
                <w:szCs w:val="18"/>
              </w:rPr>
              <w:t xml:space="preserve">$837,003.19 </w:t>
            </w:r>
          </w:p>
        </w:tc>
      </w:tr>
    </w:tbl>
    <w:p w:rsidR="00426FC9" w:rsidP="001C0FB0" w:rsidRDefault="00426FC9">
      <w:pPr>
        <w:spacing w:line="259" w:lineRule="auto"/>
        <w:rPr>
          <w:rFonts w:cs="Times New Roman"/>
          <w:b/>
          <w:color w:val="FF0000"/>
          <w:szCs w:val="24"/>
        </w:rPr>
      </w:pPr>
    </w:p>
    <w:p w:rsidRPr="004E4785" w:rsidR="008E61C9" w:rsidP="00677894" w:rsidRDefault="001477A3">
      <w:pPr>
        <w:spacing w:line="259" w:lineRule="auto"/>
        <w:ind w:hanging="43"/>
        <w:rPr>
          <w:rFonts w:cs="Times New Roman"/>
          <w:b/>
          <w:szCs w:val="24"/>
        </w:rPr>
      </w:pPr>
      <w:r w:rsidRPr="00677894">
        <w:rPr>
          <w:rFonts w:cs="Times New Roman"/>
          <w:szCs w:val="24"/>
        </w:rPr>
        <w:t>*</w:t>
      </w:r>
      <w:r w:rsidRPr="00677894" w:rsidR="00677894">
        <w:rPr>
          <w:rFonts w:cs="Times New Roman"/>
          <w:szCs w:val="24"/>
        </w:rPr>
        <w:t>Wage rate obtained from 2019 Occupational Employment data at</w:t>
      </w:r>
      <w:r w:rsidRPr="004E4785">
        <w:rPr>
          <w:rFonts w:cs="Times New Roman"/>
          <w:b/>
          <w:color w:val="FF0000"/>
          <w:szCs w:val="24"/>
        </w:rPr>
        <w:t xml:space="preserve"> </w:t>
      </w:r>
      <w:hyperlink w:history="1" r:id="rId26">
        <w:r w:rsidRPr="00677894" w:rsidR="00677894">
          <w:rPr>
            <w:rStyle w:val="Hyperlink"/>
            <w:b/>
          </w:rPr>
          <w:t>https://www.bls.gov/oes/current/oes_nat.htm#19-0000</w:t>
        </w:r>
      </w:hyperlink>
    </w:p>
    <w:p w:rsidRPr="004E4785" w:rsidR="008E61C9" w:rsidP="00BD7237" w:rsidRDefault="008E61C9">
      <w:pPr>
        <w:spacing w:line="259" w:lineRule="auto"/>
        <w:jc w:val="center"/>
        <w:rPr>
          <w:rFonts w:cs="Times New Roman"/>
          <w:szCs w:val="24"/>
        </w:rPr>
        <w:sectPr w:rsidRPr="004E4785" w:rsidR="008E61C9" w:rsidSect="0011790D">
          <w:pgSz w:w="15840" w:h="12240" w:orient="landscape"/>
          <w:pgMar w:top="1080" w:right="1200" w:bottom="1080" w:left="640" w:header="0" w:footer="789" w:gutter="0"/>
          <w:cols w:space="720"/>
          <w:docGrid w:linePitch="299"/>
        </w:sect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pPr>
        <w:pStyle w:val="BodyText"/>
        <w:spacing w:before="1"/>
        <w:ind w:left="0"/>
        <w:rPr>
          <w:rFonts w:cs="Times New Roman"/>
          <w:b/>
        </w:rPr>
      </w:pPr>
    </w:p>
    <w:p w:rsidRPr="00380BC0" w:rsidR="007A21BF" w:rsidP="007A21BF" w:rsidRDefault="007A21BF">
      <w:pPr>
        <w:rPr>
          <w:szCs w:val="24"/>
        </w:rPr>
      </w:pPr>
      <w:r w:rsidRPr="004B5049">
        <w:rPr>
          <w:szCs w:val="24"/>
        </w:rPr>
        <w:t>We estimate the total annual cost burden to the respondents at $</w:t>
      </w:r>
      <w:r>
        <w:rPr>
          <w:szCs w:val="24"/>
        </w:rPr>
        <w:t>255,352</w:t>
      </w:r>
      <w:r w:rsidRPr="004B5049">
        <w:rPr>
          <w:szCs w:val="24"/>
        </w:rPr>
        <w:t xml:space="preserve"> (approximately $1,082.00 per respondent), as shown in Table 3. The reporting and recordkeeping estimates include costs for equipment/software (not required, but incidental based on respondents’ needs), copying and printing, faxing/telephony, and postage and shipping. We base these estimates on discussions with Authorization holders from three different sectors (e.g., oil and gas, state agency, and non-profit)</w:t>
      </w:r>
      <w:r>
        <w:rPr>
          <w:szCs w:val="24"/>
        </w:rPr>
        <w:t xml:space="preserve"> from previous efforts. </w:t>
      </w:r>
      <w:r w:rsidRPr="004B5049">
        <w:rPr>
          <w:szCs w:val="24"/>
        </w:rPr>
        <w:t>As our burden hours and costs are not anticipated to have changed substantially, we estimate that the cost burden would be approximately the same.</w:t>
      </w:r>
    </w:p>
    <w:p w:rsidR="007A21BF" w:rsidP="00BD7237" w:rsidRDefault="007A21BF">
      <w:pPr>
        <w:pStyle w:val="BodyText"/>
        <w:spacing w:before="1"/>
        <w:ind w:left="0"/>
        <w:rPr>
          <w:rFonts w:cs="Times New Roman"/>
          <w:b/>
        </w:rPr>
      </w:pPr>
    </w:p>
    <w:p w:rsidRPr="00380BC0" w:rsidR="007A21BF" w:rsidP="007A21BF" w:rsidRDefault="007A21BF">
      <w:pPr>
        <w:jc w:val="center"/>
        <w:rPr>
          <w:b/>
          <w:sz w:val="22"/>
        </w:rPr>
      </w:pPr>
      <w:r w:rsidRPr="00380BC0">
        <w:rPr>
          <w:b/>
          <w:sz w:val="22"/>
        </w:rPr>
        <w:t>Table 3. Estimated total annual cost burden.</w:t>
      </w:r>
    </w:p>
    <w:tbl>
      <w:tblPr>
        <w:tblW w:w="7300" w:type="dxa"/>
        <w:jc w:val="center"/>
        <w:tblLook w:val="04A0" w:firstRow="1" w:lastRow="0" w:firstColumn="1" w:lastColumn="0" w:noHBand="0" w:noVBand="1"/>
      </w:tblPr>
      <w:tblGrid>
        <w:gridCol w:w="4820"/>
        <w:gridCol w:w="1240"/>
        <w:gridCol w:w="1240"/>
      </w:tblGrid>
      <w:tr w:rsidRPr="00380BC0" w:rsidR="007A21BF" w:rsidTr="0083442C">
        <w:trPr>
          <w:trHeight w:val="510"/>
          <w:jc w:val="center"/>
        </w:trPr>
        <w:tc>
          <w:tcPr>
            <w:tcW w:w="4820" w:type="dxa"/>
            <w:tcBorders>
              <w:top w:val="single" w:color="auto" w:sz="4" w:space="0"/>
              <w:left w:val="single" w:color="auto" w:sz="4" w:space="0"/>
              <w:bottom w:val="single" w:color="auto" w:sz="4" w:space="0"/>
              <w:right w:val="single" w:color="auto" w:sz="4" w:space="0"/>
            </w:tcBorders>
            <w:shd w:val="clear" w:color="000000" w:fill="C0C0C0"/>
            <w:vAlign w:val="center"/>
          </w:tcPr>
          <w:p w:rsidRPr="00380BC0" w:rsidR="007A21BF" w:rsidP="0083442C" w:rsidRDefault="007A21BF">
            <w:pPr>
              <w:widowControl/>
              <w:autoSpaceDE/>
              <w:autoSpaceDN/>
              <w:jc w:val="center"/>
              <w:rPr>
                <w:b/>
                <w:bCs/>
                <w:sz w:val="22"/>
              </w:rPr>
            </w:pPr>
            <w:r w:rsidRPr="00380BC0">
              <w:rPr>
                <w:b/>
                <w:bCs/>
                <w:sz w:val="22"/>
              </w:rPr>
              <w:t>Summary</w:t>
            </w:r>
          </w:p>
        </w:tc>
        <w:tc>
          <w:tcPr>
            <w:tcW w:w="1240" w:type="dxa"/>
            <w:tcBorders>
              <w:top w:val="single" w:color="auto" w:sz="4" w:space="0"/>
              <w:left w:val="nil"/>
              <w:bottom w:val="single" w:color="auto" w:sz="4" w:space="0"/>
              <w:right w:val="single" w:color="auto" w:sz="4" w:space="0"/>
            </w:tcBorders>
            <w:shd w:val="clear" w:color="000000" w:fill="C0C0C0"/>
            <w:vAlign w:val="center"/>
          </w:tcPr>
          <w:p w:rsidRPr="00380BC0" w:rsidR="007A21BF" w:rsidP="0083442C" w:rsidRDefault="007A21BF">
            <w:pPr>
              <w:widowControl/>
              <w:autoSpaceDE/>
              <w:autoSpaceDN/>
              <w:jc w:val="center"/>
              <w:rPr>
                <w:b/>
                <w:bCs/>
                <w:sz w:val="22"/>
              </w:rPr>
            </w:pPr>
            <w:r w:rsidRPr="00380BC0">
              <w:rPr>
                <w:b/>
                <w:bCs/>
                <w:sz w:val="22"/>
              </w:rPr>
              <w:t>2016 Estimate</w:t>
            </w:r>
          </w:p>
        </w:tc>
        <w:tc>
          <w:tcPr>
            <w:tcW w:w="1240" w:type="dxa"/>
            <w:tcBorders>
              <w:top w:val="single" w:color="auto" w:sz="4" w:space="0"/>
              <w:left w:val="nil"/>
              <w:bottom w:val="single" w:color="auto" w:sz="4" w:space="0"/>
              <w:right w:val="single" w:color="auto" w:sz="4" w:space="0"/>
            </w:tcBorders>
            <w:shd w:val="clear" w:color="000000" w:fill="C0C0C0"/>
          </w:tcPr>
          <w:p w:rsidRPr="00380BC0" w:rsidR="007A21BF" w:rsidP="0083442C" w:rsidRDefault="007A21BF">
            <w:pPr>
              <w:widowControl/>
              <w:autoSpaceDE/>
              <w:autoSpaceDN/>
              <w:jc w:val="center"/>
              <w:rPr>
                <w:b/>
                <w:bCs/>
                <w:sz w:val="22"/>
              </w:rPr>
            </w:pPr>
            <w:r>
              <w:rPr>
                <w:b/>
                <w:bCs/>
                <w:sz w:val="22"/>
              </w:rPr>
              <w:t>Current Estimate</w:t>
            </w:r>
          </w:p>
        </w:tc>
      </w:tr>
      <w:tr w:rsidRPr="00B218E2" w:rsidR="007A21BF" w:rsidTr="0083442C">
        <w:trPr>
          <w:trHeight w:val="255"/>
          <w:jc w:val="center"/>
        </w:trPr>
        <w:tc>
          <w:tcPr>
            <w:tcW w:w="4820" w:type="dxa"/>
            <w:tcBorders>
              <w:top w:val="nil"/>
              <w:left w:val="single" w:color="auto" w:sz="4" w:space="0"/>
              <w:bottom w:val="single" w:color="auto" w:sz="4" w:space="0"/>
              <w:right w:val="single" w:color="auto" w:sz="4" w:space="0"/>
            </w:tcBorders>
            <w:shd w:val="clear" w:color="auto" w:fill="auto"/>
            <w:vAlign w:val="bottom"/>
          </w:tcPr>
          <w:p w:rsidRPr="00380BC0" w:rsidR="007A21BF" w:rsidP="0083442C" w:rsidRDefault="007A21BF">
            <w:pPr>
              <w:widowControl/>
              <w:autoSpaceDE/>
              <w:autoSpaceDN/>
              <w:rPr>
                <w:sz w:val="22"/>
              </w:rPr>
            </w:pPr>
            <w:r w:rsidRPr="00380BC0">
              <w:rPr>
                <w:sz w:val="22"/>
              </w:rPr>
              <w:t xml:space="preserve">Estimated Total Annual Cost to Public </w:t>
            </w:r>
          </w:p>
        </w:tc>
        <w:tc>
          <w:tcPr>
            <w:tcW w:w="1240" w:type="dxa"/>
            <w:tcBorders>
              <w:top w:val="nil"/>
              <w:left w:val="nil"/>
              <w:bottom w:val="single" w:color="auto" w:sz="4" w:space="0"/>
              <w:right w:val="single" w:color="auto" w:sz="4" w:space="0"/>
            </w:tcBorders>
            <w:shd w:val="clear" w:color="auto" w:fill="auto"/>
            <w:noWrap/>
            <w:vAlign w:val="bottom"/>
          </w:tcPr>
          <w:p w:rsidRPr="00380BC0" w:rsidR="007A21BF" w:rsidP="0083442C" w:rsidRDefault="007A21BF">
            <w:pPr>
              <w:widowControl/>
              <w:autoSpaceDE/>
              <w:autoSpaceDN/>
              <w:jc w:val="right"/>
              <w:rPr>
                <w:sz w:val="22"/>
              </w:rPr>
            </w:pPr>
            <w:r w:rsidRPr="00380BC0">
              <w:rPr>
                <w:sz w:val="22"/>
              </w:rPr>
              <w:t>$</w:t>
            </w:r>
            <w:r>
              <w:rPr>
                <w:sz w:val="22"/>
              </w:rPr>
              <w:t>100,626</w:t>
            </w:r>
          </w:p>
        </w:tc>
        <w:tc>
          <w:tcPr>
            <w:tcW w:w="1240" w:type="dxa"/>
            <w:tcBorders>
              <w:top w:val="nil"/>
              <w:left w:val="nil"/>
              <w:bottom w:val="single" w:color="auto" w:sz="4" w:space="0"/>
              <w:right w:val="single" w:color="auto" w:sz="4" w:space="0"/>
            </w:tcBorders>
          </w:tcPr>
          <w:p w:rsidRPr="00380BC0" w:rsidR="007A21BF" w:rsidP="0083442C" w:rsidRDefault="007A21BF">
            <w:pPr>
              <w:widowControl/>
              <w:autoSpaceDE/>
              <w:autoSpaceDN/>
              <w:jc w:val="right"/>
              <w:rPr>
                <w:sz w:val="22"/>
              </w:rPr>
            </w:pPr>
            <w:r>
              <w:rPr>
                <w:sz w:val="22"/>
              </w:rPr>
              <w:t>$255,352</w:t>
            </w:r>
          </w:p>
        </w:tc>
      </w:tr>
    </w:tbl>
    <w:p w:rsidR="007A21BF" w:rsidP="00BD7237" w:rsidRDefault="007A21BF">
      <w:pPr>
        <w:pStyle w:val="BodyText"/>
        <w:spacing w:before="1"/>
        <w:ind w:left="0"/>
        <w:rPr>
          <w:rFonts w:cs="Times New Roman"/>
          <w:b/>
        </w:rPr>
      </w:pPr>
    </w:p>
    <w:p w:rsidRPr="00380BC0" w:rsidR="007A21BF" w:rsidP="007A21BF" w:rsidRDefault="007A21BF">
      <w:pPr>
        <w:jc w:val="center"/>
        <w:rPr>
          <w:b/>
          <w:sz w:val="22"/>
        </w:rPr>
      </w:pPr>
      <w:r w:rsidRPr="00380BC0">
        <w:rPr>
          <w:b/>
          <w:sz w:val="22"/>
        </w:rPr>
        <w:t>Table</w:t>
      </w:r>
      <w:r>
        <w:rPr>
          <w:b/>
          <w:sz w:val="22"/>
        </w:rPr>
        <w:t xml:space="preserve"> 4</w:t>
      </w:r>
      <w:r w:rsidRPr="00380BC0">
        <w:rPr>
          <w:b/>
          <w:sz w:val="22"/>
        </w:rPr>
        <w:t xml:space="preserve">. </w:t>
      </w:r>
      <w:r>
        <w:rPr>
          <w:b/>
          <w:sz w:val="22"/>
        </w:rPr>
        <w:t>Detailed e</w:t>
      </w:r>
      <w:r w:rsidRPr="00380BC0">
        <w:rPr>
          <w:b/>
          <w:sz w:val="22"/>
        </w:rPr>
        <w:t>stimate</w:t>
      </w:r>
      <w:r>
        <w:rPr>
          <w:b/>
          <w:sz w:val="22"/>
        </w:rPr>
        <w:t>s of</w:t>
      </w:r>
      <w:r w:rsidRPr="00380BC0">
        <w:rPr>
          <w:b/>
          <w:sz w:val="22"/>
        </w:rPr>
        <w:t xml:space="preserve"> total annual cost burden.</w:t>
      </w:r>
    </w:p>
    <w:tbl>
      <w:tblPr>
        <w:tblW w:w="10080" w:type="dxa"/>
        <w:tblLook w:val="04A0" w:firstRow="1" w:lastRow="0" w:firstColumn="1" w:lastColumn="0" w:noHBand="0" w:noVBand="1"/>
      </w:tblPr>
      <w:tblGrid>
        <w:gridCol w:w="3662"/>
        <w:gridCol w:w="1188"/>
        <w:gridCol w:w="1260"/>
        <w:gridCol w:w="1260"/>
        <w:gridCol w:w="1260"/>
        <w:gridCol w:w="1450"/>
      </w:tblGrid>
      <w:tr w:rsidRPr="00F535BC" w:rsidR="007A21BF" w:rsidTr="0083442C">
        <w:trPr>
          <w:trHeight w:val="690"/>
        </w:trPr>
        <w:tc>
          <w:tcPr>
            <w:tcW w:w="3662" w:type="dxa"/>
            <w:tcBorders>
              <w:top w:val="single" w:color="auto" w:sz="8" w:space="0"/>
              <w:left w:val="single" w:color="auto" w:sz="8" w:space="0"/>
              <w:bottom w:val="single" w:color="auto" w:sz="8" w:space="0"/>
              <w:right w:val="single" w:color="auto" w:sz="8" w:space="0"/>
            </w:tcBorders>
            <w:shd w:val="clear" w:color="auto" w:fill="5B9BD5"/>
            <w:vAlign w:val="center"/>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Information Collection</w:t>
            </w:r>
          </w:p>
        </w:tc>
        <w:tc>
          <w:tcPr>
            <w:tcW w:w="1188" w:type="dxa"/>
            <w:tcBorders>
              <w:top w:val="single" w:color="auto" w:sz="8" w:space="0"/>
              <w:left w:val="nil"/>
              <w:bottom w:val="single" w:color="auto" w:sz="8" w:space="0"/>
              <w:right w:val="single" w:color="auto" w:sz="8" w:space="0"/>
            </w:tcBorders>
            <w:shd w:val="clear" w:color="auto" w:fill="5B9BD5"/>
            <w:vAlign w:val="center"/>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 of Respondents</w:t>
            </w:r>
          </w:p>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(a)</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Annual # of Responses / Respondent</w:t>
            </w:r>
          </w:p>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 xml:space="preserve"> Total # of Annual Responses</w:t>
            </w:r>
          </w:p>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(c)=(a) x (b)</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Cost Burden / Response</w:t>
            </w:r>
          </w:p>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(d)</w:t>
            </w:r>
          </w:p>
        </w:tc>
        <w:tc>
          <w:tcPr>
            <w:tcW w:w="1450" w:type="dxa"/>
            <w:tcBorders>
              <w:top w:val="single" w:color="auto" w:sz="8" w:space="0"/>
              <w:left w:val="nil"/>
              <w:bottom w:val="single" w:color="auto" w:sz="8" w:space="0"/>
              <w:right w:val="single" w:color="auto" w:sz="8" w:space="0"/>
            </w:tcBorders>
            <w:shd w:val="clear" w:color="auto" w:fill="5B9BD5"/>
            <w:vAlign w:val="center"/>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Total Annual Cost Burden</w:t>
            </w:r>
          </w:p>
          <w:p w:rsidRPr="00F535BC" w:rsidR="007A21BF" w:rsidP="0083442C" w:rsidRDefault="007A21BF">
            <w:pPr>
              <w:widowControl/>
              <w:autoSpaceDE/>
              <w:autoSpaceDN/>
              <w:jc w:val="center"/>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(e) = (c) x (d)</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hideMark/>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 IHA Application</w:t>
            </w:r>
          </w:p>
        </w:tc>
        <w:tc>
          <w:tcPr>
            <w:tcW w:w="1188" w:type="dxa"/>
            <w:tcBorders>
              <w:top w:val="nil"/>
              <w:left w:val="nil"/>
              <w:bottom w:val="single" w:color="auto" w:sz="4" w:space="0"/>
              <w:right w:val="single" w:color="auto" w:sz="4" w:space="0"/>
            </w:tcBorders>
            <w:shd w:val="clear" w:color="auto" w:fill="auto"/>
            <w:vAlign w:val="bottom"/>
            <w:hideMark/>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19</w:t>
            </w:r>
          </w:p>
        </w:tc>
        <w:tc>
          <w:tcPr>
            <w:tcW w:w="1260" w:type="dxa"/>
            <w:tcBorders>
              <w:top w:val="nil"/>
              <w:left w:val="nil"/>
              <w:bottom w:val="single" w:color="auto" w:sz="4" w:space="0"/>
              <w:right w:val="single" w:color="auto" w:sz="4" w:space="0"/>
            </w:tcBorders>
            <w:shd w:val="clear" w:color="auto" w:fill="auto"/>
            <w:vAlign w:val="bottom"/>
            <w:hideMark/>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hideMark/>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19</w:t>
            </w:r>
          </w:p>
        </w:tc>
        <w:tc>
          <w:tcPr>
            <w:tcW w:w="1260" w:type="dxa"/>
            <w:tcBorders>
              <w:top w:val="nil"/>
              <w:left w:val="nil"/>
              <w:bottom w:val="single" w:color="auto" w:sz="4" w:space="0"/>
              <w:right w:val="single" w:color="auto" w:sz="4" w:space="0"/>
            </w:tcBorders>
            <w:shd w:val="clear" w:color="000000" w:fill="FFFFFF"/>
            <w:vAlign w:val="center"/>
            <w:hideMark/>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hideMark/>
          </w:tcPr>
          <w:p w:rsidRPr="00F535BC" w:rsidR="007A21BF" w:rsidP="0083442C" w:rsidRDefault="007A21BF">
            <w:pPr>
              <w:widowControl/>
              <w:autoSpaceDE/>
              <w:autoSpaceDN/>
              <w:ind w:right="-100"/>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 xml:space="preserve"> $20,558 </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IHA Interim Draft Report</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ind w:right="-10"/>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 xml:space="preserve">IHA Draft Report </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19</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19</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ind w:right="-100"/>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$20,558 </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IHA Final Report</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19</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19</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ind w:right="-100"/>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$20,558 </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 xml:space="preserve">LOA - Initial Application Preparation </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sz w:val="18"/>
                <w:szCs w:val="18"/>
              </w:rPr>
              <w:t>LOA - Annual LOA Application</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r>
              <w:rPr>
                <w:rFonts w:asciiTheme="minorHAnsi" w:hAnsiTheme="minorHAnsi" w:cstheme="minorHAnsi"/>
                <w:color w:val="000000"/>
                <w:sz w:val="18"/>
                <w:szCs w:val="18"/>
              </w:rPr>
              <w:t>05</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r>
              <w:rPr>
                <w:rFonts w:asciiTheme="minorHAnsi" w:hAnsiTheme="minorHAnsi" w:cstheme="minorHAnsi"/>
                <w:color w:val="000000"/>
                <w:sz w:val="18"/>
                <w:szCs w:val="18"/>
              </w:rPr>
              <w:t>05</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w:t>
            </w:r>
            <w:r>
              <w:rPr>
                <w:rFonts w:asciiTheme="minorHAnsi" w:hAnsiTheme="minorHAnsi" w:cstheme="minorHAnsi"/>
                <w:color w:val="000000"/>
                <w:sz w:val="18"/>
                <w:szCs w:val="18"/>
              </w:rPr>
              <w:t>113,610</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 xml:space="preserve">LOA - Draft Annual Report </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10</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10</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$10,820</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 xml:space="preserve">LOA - Final Annual Report </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10</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10</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$10,820</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LOA - LOA Draft Final Report</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$2,164</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LOA - LOA Final Report</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$2,164</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 xml:space="preserve">GOM - Draft Annual Report </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w:t>
            </w:r>
            <w:r>
              <w:rPr>
                <w:rFonts w:asciiTheme="minorHAnsi" w:hAnsiTheme="minorHAnsi" w:cstheme="minorHAnsi"/>
                <w:color w:val="000000"/>
                <w:sz w:val="18"/>
                <w:szCs w:val="18"/>
              </w:rPr>
              <w:t>25,968</w:t>
            </w:r>
          </w:p>
        </w:tc>
      </w:tr>
      <w:tr w:rsidRPr="00F535BC" w:rsidR="007A21BF" w:rsidTr="0083442C">
        <w:trPr>
          <w:trHeight w:val="300"/>
        </w:trPr>
        <w:tc>
          <w:tcPr>
            <w:tcW w:w="3662" w:type="dxa"/>
            <w:tcBorders>
              <w:top w:val="nil"/>
              <w:left w:val="single" w:color="auto" w:sz="8" w:space="0"/>
              <w:bottom w:val="single" w:color="auto" w:sz="4" w:space="0"/>
              <w:right w:val="single" w:color="auto" w:sz="4" w:space="0"/>
            </w:tcBorders>
            <w:shd w:val="clear" w:color="auto" w:fill="auto"/>
            <w:vAlign w:val="bottom"/>
          </w:tcPr>
          <w:p w:rsidRPr="00F535BC" w:rsidR="007A21BF" w:rsidP="0083442C" w:rsidRDefault="007A21BF">
            <w:pPr>
              <w:widowControl/>
              <w:autoSpaceDE/>
              <w:autoSpaceDN/>
              <w:rPr>
                <w:rFonts w:asciiTheme="minorHAnsi" w:hAnsiTheme="minorHAnsi" w:cstheme="minorHAnsi"/>
                <w:color w:val="000000"/>
                <w:sz w:val="18"/>
                <w:szCs w:val="18"/>
              </w:rPr>
            </w:pPr>
            <w:r w:rsidRPr="00F535BC">
              <w:rPr>
                <w:rFonts w:asciiTheme="minorHAnsi" w:hAnsiTheme="minorHAnsi" w:cstheme="minorHAnsi"/>
                <w:color w:val="000000"/>
                <w:sz w:val="18"/>
                <w:szCs w:val="18"/>
              </w:rPr>
              <w:t xml:space="preserve">GOM - Final Annual Report </w:t>
            </w:r>
          </w:p>
        </w:tc>
        <w:tc>
          <w:tcPr>
            <w:tcW w:w="1188"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sidRPr="00F535BC">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tcPr>
          <w:p w:rsidRPr="00F535BC" w:rsidR="007A21BF" w:rsidP="0083442C" w:rsidRDefault="007A21BF">
            <w:pPr>
              <w:widowControl/>
              <w:autoSpaceDE/>
              <w:autoSpaceDN/>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p>
        </w:tc>
        <w:tc>
          <w:tcPr>
            <w:tcW w:w="1260" w:type="dxa"/>
            <w:tcBorders>
              <w:top w:val="nil"/>
              <w:left w:val="nil"/>
              <w:bottom w:val="single" w:color="auto" w:sz="4" w:space="0"/>
              <w:right w:val="single" w:color="auto" w:sz="4"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$1,082</w:t>
            </w:r>
          </w:p>
        </w:tc>
        <w:tc>
          <w:tcPr>
            <w:tcW w:w="1450" w:type="dxa"/>
            <w:tcBorders>
              <w:top w:val="nil"/>
              <w:left w:val="nil"/>
              <w:bottom w:val="single" w:color="auto" w:sz="4" w:space="0"/>
              <w:right w:val="single" w:color="auto" w:sz="8" w:space="0"/>
            </w:tcBorders>
            <w:shd w:val="clear" w:color="000000" w:fill="FFFFFF"/>
            <w:vAlign w:val="center"/>
          </w:tcPr>
          <w:p w:rsidRPr="00F535BC" w:rsidR="007A21BF" w:rsidP="0083442C" w:rsidRDefault="007A21BF">
            <w:pPr>
              <w:widowControl/>
              <w:autoSpaceDE/>
              <w:autoSpaceDN/>
              <w:jc w:val="right"/>
              <w:rPr>
                <w:rFonts w:asciiTheme="minorHAnsi" w:hAnsiTheme="minorHAnsi" w:cstheme="minorHAnsi"/>
                <w:color w:val="000000"/>
                <w:sz w:val="18"/>
                <w:szCs w:val="18"/>
              </w:rPr>
            </w:pPr>
            <w:r w:rsidRPr="00F535BC">
              <w:rPr>
                <w:rFonts w:asciiTheme="minorHAnsi" w:hAnsiTheme="minorHAnsi" w:cstheme="minorHAnsi"/>
                <w:color w:val="000000"/>
                <w:sz w:val="18"/>
                <w:szCs w:val="18"/>
              </w:rPr>
              <w:t>$</w:t>
            </w:r>
            <w:r>
              <w:rPr>
                <w:rFonts w:asciiTheme="minorHAnsi" w:hAnsiTheme="minorHAnsi" w:cstheme="minorHAnsi"/>
                <w:color w:val="000000"/>
                <w:sz w:val="18"/>
                <w:szCs w:val="18"/>
              </w:rPr>
              <w:t>25,968</w:t>
            </w:r>
          </w:p>
        </w:tc>
      </w:tr>
      <w:tr w:rsidRPr="00F535BC" w:rsidR="007A21BF" w:rsidTr="0083442C">
        <w:trPr>
          <w:trHeight w:val="315"/>
        </w:trPr>
        <w:tc>
          <w:tcPr>
            <w:tcW w:w="3662" w:type="dxa"/>
            <w:tcBorders>
              <w:top w:val="single" w:color="auto" w:sz="8" w:space="0"/>
              <w:left w:val="single" w:color="auto" w:sz="8" w:space="0"/>
              <w:bottom w:val="single" w:color="auto" w:sz="8" w:space="0"/>
              <w:right w:val="single" w:color="auto" w:sz="4" w:space="0"/>
            </w:tcBorders>
            <w:shd w:val="clear" w:color="auto" w:fill="BDD6EE"/>
            <w:vAlign w:val="center"/>
            <w:hideMark/>
          </w:tcPr>
          <w:p w:rsidRPr="00F535BC" w:rsidR="007A21BF" w:rsidP="0083442C" w:rsidRDefault="007A21BF">
            <w:pPr>
              <w:widowControl/>
              <w:autoSpaceDE/>
              <w:autoSpaceDN/>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TOTALS</w:t>
            </w:r>
          </w:p>
        </w:tc>
        <w:tc>
          <w:tcPr>
            <w:tcW w:w="1188" w:type="dxa"/>
            <w:tcBorders>
              <w:top w:val="single" w:color="auto" w:sz="8" w:space="0"/>
              <w:left w:val="nil"/>
              <w:bottom w:val="single" w:color="auto" w:sz="8" w:space="0"/>
              <w:right w:val="single" w:color="auto" w:sz="4" w:space="0"/>
            </w:tcBorders>
            <w:shd w:val="clear" w:color="auto" w:fill="000000"/>
            <w:vAlign w:val="bottom"/>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p>
        </w:tc>
        <w:tc>
          <w:tcPr>
            <w:tcW w:w="1260" w:type="dxa"/>
            <w:tcBorders>
              <w:top w:val="single" w:color="auto" w:sz="8" w:space="0"/>
              <w:left w:val="nil"/>
              <w:bottom w:val="single" w:color="auto" w:sz="8" w:space="0"/>
              <w:right w:val="single" w:color="auto" w:sz="4" w:space="0"/>
            </w:tcBorders>
            <w:shd w:val="clear" w:color="auto" w:fill="000000"/>
            <w:vAlign w:val="bottom"/>
            <w:hideMark/>
          </w:tcPr>
          <w:p w:rsidRPr="00F535BC" w:rsidR="007A21BF" w:rsidP="0083442C" w:rsidRDefault="007A21BF">
            <w:pPr>
              <w:widowControl/>
              <w:autoSpaceDE/>
              <w:autoSpaceDN/>
              <w:jc w:val="center"/>
              <w:rPr>
                <w:rFonts w:asciiTheme="minorHAnsi" w:hAnsiTheme="minorHAnsi" w:cstheme="minorHAnsi"/>
                <w:b/>
                <w:bCs/>
                <w:color w:val="000000"/>
                <w:sz w:val="18"/>
                <w:szCs w:val="18"/>
              </w:rPr>
            </w:pPr>
          </w:p>
        </w:tc>
        <w:tc>
          <w:tcPr>
            <w:tcW w:w="1260" w:type="dxa"/>
            <w:tcBorders>
              <w:top w:val="single" w:color="auto" w:sz="8" w:space="0"/>
              <w:left w:val="nil"/>
              <w:bottom w:val="single" w:color="auto" w:sz="8" w:space="0"/>
              <w:right w:val="single" w:color="auto" w:sz="4" w:space="0"/>
            </w:tcBorders>
            <w:shd w:val="clear" w:color="auto" w:fill="BDD6EE"/>
            <w:vAlign w:val="bottom"/>
          </w:tcPr>
          <w:p w:rsidRPr="00F535BC" w:rsidR="007A21BF" w:rsidP="0083442C" w:rsidRDefault="007A21BF">
            <w:pPr>
              <w:widowControl/>
              <w:autoSpaceDE/>
              <w:autoSpaceDN/>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236</w:t>
            </w:r>
          </w:p>
        </w:tc>
        <w:tc>
          <w:tcPr>
            <w:tcW w:w="1260" w:type="dxa"/>
            <w:tcBorders>
              <w:top w:val="single" w:color="auto" w:sz="8" w:space="0"/>
              <w:left w:val="nil"/>
              <w:bottom w:val="single" w:color="auto" w:sz="8" w:space="0"/>
              <w:right w:val="single" w:color="auto" w:sz="4" w:space="0"/>
            </w:tcBorders>
            <w:shd w:val="clear" w:color="auto" w:fill="000000"/>
            <w:vAlign w:val="center"/>
            <w:hideMark/>
          </w:tcPr>
          <w:p w:rsidRPr="00F535BC" w:rsidR="007A21BF" w:rsidP="0083442C" w:rsidRDefault="007A21BF">
            <w:pPr>
              <w:widowControl/>
              <w:autoSpaceDE/>
              <w:autoSpaceDN/>
              <w:jc w:val="right"/>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 </w:t>
            </w:r>
          </w:p>
        </w:tc>
        <w:tc>
          <w:tcPr>
            <w:tcW w:w="1450" w:type="dxa"/>
            <w:tcBorders>
              <w:top w:val="single" w:color="auto" w:sz="8" w:space="0"/>
              <w:left w:val="nil"/>
              <w:bottom w:val="single" w:color="auto" w:sz="8" w:space="0"/>
              <w:right w:val="single" w:color="auto" w:sz="8" w:space="0"/>
            </w:tcBorders>
            <w:shd w:val="clear" w:color="auto" w:fill="BDD6EE"/>
            <w:vAlign w:val="center"/>
            <w:hideMark/>
          </w:tcPr>
          <w:p w:rsidRPr="00F535BC" w:rsidR="007A21BF" w:rsidP="0083442C" w:rsidRDefault="007A21BF">
            <w:pPr>
              <w:widowControl/>
              <w:autoSpaceDE/>
              <w:autoSpaceDN/>
              <w:jc w:val="right"/>
              <w:rPr>
                <w:rFonts w:asciiTheme="minorHAnsi" w:hAnsiTheme="minorHAnsi" w:cstheme="minorHAnsi"/>
                <w:b/>
                <w:bCs/>
                <w:color w:val="000000"/>
                <w:sz w:val="18"/>
                <w:szCs w:val="18"/>
              </w:rPr>
            </w:pPr>
            <w:r w:rsidRPr="00F535BC">
              <w:rPr>
                <w:rFonts w:asciiTheme="minorHAnsi" w:hAnsiTheme="minorHAnsi" w:cstheme="minorHAnsi"/>
                <w:b/>
                <w:bCs/>
                <w:color w:val="000000"/>
                <w:sz w:val="18"/>
                <w:szCs w:val="18"/>
              </w:rPr>
              <w:t>$</w:t>
            </w:r>
            <w:r>
              <w:rPr>
                <w:rFonts w:asciiTheme="minorHAnsi" w:hAnsiTheme="minorHAnsi" w:cstheme="minorHAnsi"/>
                <w:b/>
                <w:bCs/>
                <w:color w:val="000000"/>
                <w:sz w:val="18"/>
                <w:szCs w:val="18"/>
              </w:rPr>
              <w:t>255,352</w:t>
            </w:r>
          </w:p>
        </w:tc>
      </w:tr>
    </w:tbl>
    <w:p w:rsidR="00115034" w:rsidP="00BD7237" w:rsidRDefault="00115034">
      <w:pPr>
        <w:pStyle w:val="BodyText"/>
        <w:spacing w:before="1"/>
        <w:ind w:left="0"/>
        <w:rPr>
          <w:rFonts w:cs="Times New Roman"/>
          <w:b/>
        </w:rPr>
      </w:pPr>
    </w:p>
    <w:p w:rsidRPr="007A21BF" w:rsidR="008E61C9" w:rsidP="00BD7237" w:rsidRDefault="001477A3">
      <w:pPr>
        <w:rPr>
          <w:rFonts w:cs="Times New Roman"/>
          <w:szCs w:val="24"/>
        </w:rPr>
      </w:pPr>
      <w:r w:rsidRPr="007A21BF">
        <w:rPr>
          <w:rFonts w:cs="Times New Roman"/>
          <w:szCs w:val="24"/>
        </w:rPr>
        <w:t>There are no capital costs or operating and maintenance costs associated with this information collection.</w:t>
      </w:r>
    </w:p>
    <w:p w:rsidRPr="004E4785" w:rsidR="008E61C9" w:rsidP="00BD7237" w:rsidRDefault="008E61C9">
      <w:pPr>
        <w:pStyle w:val="BodyText"/>
        <w:spacing w:before="7"/>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pPr>
        <w:pStyle w:val="BodyText"/>
        <w:spacing w:before="9" w:after="1"/>
        <w:ind w:left="0"/>
        <w:rPr>
          <w:rFonts w:cs="Times New Roman"/>
          <w:b/>
        </w:rPr>
      </w:pPr>
    </w:p>
    <w:p w:rsidR="007A21BF" w:rsidP="007A21BF" w:rsidRDefault="007A21BF">
      <w:pPr>
        <w:rPr>
          <w:szCs w:val="24"/>
        </w:rPr>
      </w:pPr>
      <w:r w:rsidRPr="00E92887">
        <w:rPr>
          <w:szCs w:val="24"/>
        </w:rPr>
        <w:t xml:space="preserve">We estimate the annual cost to the Federal government at $688,095 for 10 Full Time Equivalents (FTE) calculated at $45 per hour under the original submission and a total of $1,405,655 with </w:t>
      </w:r>
      <w:r>
        <w:rPr>
          <w:szCs w:val="24"/>
        </w:rPr>
        <w:t>the revisions from the GOM rule</w:t>
      </w:r>
      <w:r w:rsidRPr="00E92887">
        <w:rPr>
          <w:szCs w:val="24"/>
        </w:rPr>
        <w:t>.</w:t>
      </w:r>
      <w:r w:rsidRPr="00B50DD4">
        <w:rPr>
          <w:szCs w:val="24"/>
        </w:rPr>
        <w:t xml:space="preserve"> </w:t>
      </w:r>
    </w:p>
    <w:p w:rsidRPr="004E4785" w:rsidR="007A21BF" w:rsidP="00BD7237" w:rsidRDefault="007A21BF">
      <w:pPr>
        <w:pStyle w:val="BodyText"/>
        <w:spacing w:before="9" w:after="1"/>
        <w:ind w:left="0"/>
        <w:rPr>
          <w:rFonts w:cs="Times New Roman"/>
          <w:b/>
        </w:rPr>
      </w:pPr>
      <w:bookmarkStart w:name="_GoBack" w:id="0"/>
      <w:bookmarkEnd w:id="0"/>
    </w:p>
    <w:p w:rsidR="00DF0CE3" w:rsidP="00BD7237" w:rsidRDefault="00DF0CE3">
      <w:pPr>
        <w:pStyle w:val="BodyText"/>
        <w:spacing w:before="9" w:after="1"/>
        <w:ind w:left="0"/>
        <w:rPr>
          <w:rFonts w:cs="Times New Roman"/>
          <w:b/>
        </w:rPr>
      </w:pPr>
    </w:p>
    <w:p w:rsidRPr="007352E3" w:rsidR="007A21BF" w:rsidP="007A21BF" w:rsidRDefault="007A21BF">
      <w:pPr>
        <w:rPr>
          <w:b/>
          <w:szCs w:val="24"/>
        </w:rPr>
      </w:pPr>
      <w:r>
        <w:rPr>
          <w:b/>
          <w:szCs w:val="24"/>
        </w:rPr>
        <w:lastRenderedPageBreak/>
        <w:t>Table 5</w:t>
      </w:r>
      <w:r w:rsidRPr="007352E3">
        <w:rPr>
          <w:b/>
          <w:szCs w:val="24"/>
        </w:rPr>
        <w:t xml:space="preserve"> - Estimated annualized cost to the Federal government.</w:t>
      </w:r>
      <w:r>
        <w:rPr>
          <w:b/>
          <w:szCs w:val="24"/>
        </w:rPr>
        <w:t xml:space="preserve"> </w:t>
      </w:r>
    </w:p>
    <w:p w:rsidR="007A21BF" w:rsidP="00BD7237" w:rsidRDefault="007A21BF">
      <w:pPr>
        <w:pStyle w:val="BodyText"/>
        <w:spacing w:before="9" w:after="1"/>
        <w:ind w:left="0"/>
        <w:rPr>
          <w:rFonts w:cs="Times New Roman"/>
          <w:b/>
        </w:rPr>
      </w:pPr>
    </w:p>
    <w:tbl>
      <w:tblPr>
        <w:tblW w:w="9980" w:type="dxa"/>
        <w:tblLook w:val="04A0" w:firstRow="1" w:lastRow="0" w:firstColumn="1" w:lastColumn="0" w:noHBand="0" w:noVBand="1"/>
      </w:tblPr>
      <w:tblGrid>
        <w:gridCol w:w="1970"/>
        <w:gridCol w:w="1620"/>
        <w:gridCol w:w="1530"/>
        <w:gridCol w:w="1080"/>
        <w:gridCol w:w="1800"/>
        <w:gridCol w:w="1980"/>
      </w:tblGrid>
      <w:tr w:rsidRPr="007352E3" w:rsidR="007A21BF" w:rsidTr="0083442C">
        <w:trPr>
          <w:trHeight w:val="450"/>
        </w:trPr>
        <w:tc>
          <w:tcPr>
            <w:tcW w:w="1970" w:type="dxa"/>
            <w:tcBorders>
              <w:top w:val="single" w:color="auto" w:sz="8" w:space="0"/>
              <w:left w:val="single" w:color="auto" w:sz="8" w:space="0"/>
              <w:bottom w:val="nil"/>
              <w:right w:val="single" w:color="auto" w:sz="8" w:space="0"/>
            </w:tcBorders>
            <w:shd w:val="clear" w:color="auto" w:fill="5B9BD5"/>
            <w:vAlign w:val="center"/>
            <w:hideMark/>
          </w:tcPr>
          <w:p w:rsidRPr="007352E3" w:rsidR="007A21BF" w:rsidP="0083442C" w:rsidRDefault="007A21BF">
            <w:pPr>
              <w:widowControl/>
              <w:autoSpaceDE/>
              <w:autoSpaceDN/>
              <w:jc w:val="center"/>
              <w:rPr>
                <w:rFonts w:ascii="Calibri" w:hAnsi="Calibri" w:cs="Calibri"/>
                <w:b/>
                <w:bCs/>
                <w:color w:val="000000"/>
                <w:sz w:val="16"/>
                <w:szCs w:val="16"/>
              </w:rPr>
            </w:pPr>
            <w:r w:rsidRPr="007352E3">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vAlign w:val="center"/>
            <w:hideMark/>
          </w:tcPr>
          <w:p w:rsidRPr="007352E3" w:rsidR="007A21BF" w:rsidP="0083442C" w:rsidRDefault="007A21BF">
            <w:pPr>
              <w:widowControl/>
              <w:autoSpaceDE/>
              <w:autoSpaceDN/>
              <w:jc w:val="center"/>
              <w:rPr>
                <w:rFonts w:ascii="Calibri" w:hAnsi="Calibri" w:cs="Calibri"/>
                <w:b/>
                <w:bCs/>
                <w:color w:val="000000"/>
                <w:sz w:val="16"/>
                <w:szCs w:val="16"/>
              </w:rPr>
            </w:pPr>
            <w:r w:rsidRPr="007352E3">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vAlign w:val="center"/>
            <w:hideMark/>
          </w:tcPr>
          <w:p w:rsidRPr="007352E3" w:rsidR="007A21BF" w:rsidP="0083442C" w:rsidRDefault="007A21BF">
            <w:pPr>
              <w:widowControl/>
              <w:autoSpaceDE/>
              <w:autoSpaceDN/>
              <w:jc w:val="center"/>
              <w:rPr>
                <w:rFonts w:ascii="Calibri" w:hAnsi="Calibri" w:cs="Calibri"/>
                <w:b/>
                <w:bCs/>
                <w:color w:val="000000"/>
                <w:sz w:val="16"/>
                <w:szCs w:val="16"/>
              </w:rPr>
            </w:pPr>
            <w:r w:rsidRPr="007352E3">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vAlign w:val="center"/>
            <w:hideMark/>
          </w:tcPr>
          <w:p w:rsidRPr="007352E3" w:rsidR="007A21BF" w:rsidP="0083442C" w:rsidRDefault="007A21BF">
            <w:pPr>
              <w:widowControl/>
              <w:autoSpaceDE/>
              <w:autoSpaceDN/>
              <w:jc w:val="center"/>
              <w:rPr>
                <w:rFonts w:ascii="Calibri" w:hAnsi="Calibri" w:cs="Calibri"/>
                <w:b/>
                <w:bCs/>
                <w:color w:val="000000"/>
                <w:sz w:val="16"/>
                <w:szCs w:val="16"/>
              </w:rPr>
            </w:pPr>
            <w:r w:rsidRPr="007352E3">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vAlign w:val="center"/>
            <w:hideMark/>
          </w:tcPr>
          <w:p w:rsidRPr="007352E3" w:rsidR="007A21BF" w:rsidP="0083442C" w:rsidRDefault="007A21BF">
            <w:pPr>
              <w:widowControl/>
              <w:autoSpaceDE/>
              <w:autoSpaceDN/>
              <w:jc w:val="center"/>
              <w:rPr>
                <w:rFonts w:ascii="Calibri" w:hAnsi="Calibri" w:cs="Calibri"/>
                <w:b/>
                <w:bCs/>
                <w:color w:val="000000"/>
                <w:sz w:val="16"/>
                <w:szCs w:val="16"/>
              </w:rPr>
            </w:pPr>
            <w:r w:rsidRPr="007352E3">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vAlign w:val="center"/>
            <w:hideMark/>
          </w:tcPr>
          <w:p w:rsidRPr="007352E3" w:rsidR="007A21BF" w:rsidP="0083442C" w:rsidRDefault="007A21BF">
            <w:pPr>
              <w:widowControl/>
              <w:autoSpaceDE/>
              <w:autoSpaceDN/>
              <w:jc w:val="center"/>
              <w:rPr>
                <w:rFonts w:ascii="Calibri" w:hAnsi="Calibri" w:cs="Calibri"/>
                <w:b/>
                <w:bCs/>
                <w:color w:val="000000"/>
                <w:sz w:val="16"/>
                <w:szCs w:val="16"/>
              </w:rPr>
            </w:pPr>
            <w:r w:rsidRPr="007352E3">
              <w:rPr>
                <w:rFonts w:ascii="Calibri" w:hAnsi="Calibri" w:cs="Calibri"/>
                <w:b/>
                <w:bCs/>
                <w:color w:val="000000"/>
                <w:sz w:val="16"/>
                <w:szCs w:val="16"/>
              </w:rPr>
              <w:t>Total Cost to Government</w:t>
            </w:r>
          </w:p>
        </w:tc>
      </w:tr>
      <w:tr w:rsidRPr="007352E3" w:rsidR="007A21BF" w:rsidTr="0083442C">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7352E3" w:rsidR="007A21BF" w:rsidP="0083442C" w:rsidRDefault="007A21BF">
            <w:pPr>
              <w:widowControl/>
              <w:autoSpaceDE/>
              <w:autoSpaceDN/>
              <w:rPr>
                <w:rFonts w:ascii="Calibri" w:hAnsi="Calibri" w:cs="Calibri"/>
                <w:b/>
                <w:bCs/>
                <w:color w:val="000000"/>
                <w:sz w:val="16"/>
                <w:szCs w:val="16"/>
              </w:rPr>
            </w:pPr>
            <w:r w:rsidRPr="007352E3">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GS-15 (ZP-5) x 1</w:t>
            </w:r>
            <w:r w:rsidRPr="007352E3">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$256,200</w:t>
            </w:r>
            <w:r w:rsidRPr="007352E3">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60</w:t>
            </w:r>
            <w:r w:rsidRPr="007352E3">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jc w:val="center"/>
              <w:rPr>
                <w:rFonts w:ascii="Calibri" w:hAnsi="Calibri" w:cs="Calibri"/>
                <w:color w:val="000000"/>
                <w:sz w:val="16"/>
                <w:szCs w:val="16"/>
              </w:rPr>
            </w:pPr>
            <w:r>
              <w:rPr>
                <w:rFonts w:ascii="Calibri" w:hAnsi="Calibri" w:cs="Calibri"/>
                <w:color w:val="000000"/>
                <w:sz w:val="16"/>
                <w:szCs w:val="16"/>
              </w:rPr>
              <w:t xml:space="preserve">                               $153,720</w:t>
            </w:r>
          </w:p>
        </w:tc>
      </w:tr>
      <w:tr w:rsidRPr="007352E3" w:rsidR="007A21BF" w:rsidTr="0083442C">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rPr>
                <w:rFonts w:ascii="Calibri" w:hAnsi="Calibri" w:cs="Calibri"/>
                <w:color w:val="000000"/>
                <w:sz w:val="16"/>
                <w:szCs w:val="16"/>
              </w:rPr>
            </w:pPr>
            <w:r w:rsidRPr="007352E3">
              <w:rPr>
                <w:rFonts w:ascii="Calibri" w:hAnsi="Calibri" w:cs="Calibri"/>
                <w:b/>
                <w:bCs/>
                <w:color w:val="000000"/>
                <w:sz w:val="16"/>
                <w:szCs w:val="16"/>
              </w:rPr>
              <w:t>Federal Oversight</w:t>
            </w:r>
          </w:p>
        </w:tc>
        <w:tc>
          <w:tcPr>
            <w:tcW w:w="162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GS -13/14 (ZP-4) x 3</w:t>
            </w:r>
            <w:r w:rsidRPr="007352E3">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$236,550</w:t>
            </w:r>
          </w:p>
        </w:tc>
        <w:tc>
          <w:tcPr>
            <w:tcW w:w="108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75</w:t>
            </w:r>
            <w:r w:rsidRPr="007352E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$532,238</w:t>
            </w:r>
            <w:r w:rsidRPr="007352E3">
              <w:rPr>
                <w:rFonts w:ascii="Calibri" w:hAnsi="Calibri" w:cs="Calibri"/>
                <w:color w:val="000000"/>
                <w:sz w:val="16"/>
                <w:szCs w:val="16"/>
              </w:rPr>
              <w:t> </w:t>
            </w:r>
          </w:p>
        </w:tc>
      </w:tr>
      <w:tr w:rsidRPr="007352E3" w:rsidR="007A21BF" w:rsidTr="0083442C">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rPr>
                <w:rFonts w:ascii="Calibri" w:hAnsi="Calibri" w:cs="Calibri"/>
                <w:color w:val="000000"/>
                <w:sz w:val="16"/>
                <w:szCs w:val="16"/>
              </w:rPr>
            </w:pPr>
            <w:r w:rsidRPr="007352E3">
              <w:rPr>
                <w:rFonts w:ascii="Calibri" w:hAnsi="Calibri" w:cs="Calibri"/>
                <w:color w:val="000000"/>
                <w:sz w:val="16"/>
                <w:szCs w:val="16"/>
              </w:rPr>
              <w:t> </w:t>
            </w:r>
            <w:r w:rsidRPr="007352E3">
              <w:rPr>
                <w:rFonts w:ascii="Calibri" w:hAnsi="Calibri" w:cs="Calibri"/>
                <w:b/>
                <w:bCs/>
                <w:color w:val="000000"/>
                <w:sz w:val="16"/>
                <w:szCs w:val="16"/>
              </w:rPr>
              <w:t>Federal Oversight</w:t>
            </w:r>
          </w:p>
        </w:tc>
        <w:tc>
          <w:tcPr>
            <w:tcW w:w="162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GS 11/12 (ZP-3) x 4</w:t>
            </w:r>
            <w:r w:rsidRPr="007352E3">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$168,360</w:t>
            </w:r>
            <w:r w:rsidRPr="007352E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80</w:t>
            </w:r>
            <w:r w:rsidRPr="007352E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$404,064</w:t>
            </w:r>
            <w:r w:rsidRPr="007352E3">
              <w:rPr>
                <w:rFonts w:ascii="Calibri" w:hAnsi="Calibri" w:cs="Calibri"/>
                <w:color w:val="000000"/>
                <w:sz w:val="16"/>
                <w:szCs w:val="16"/>
              </w:rPr>
              <w:t> </w:t>
            </w:r>
          </w:p>
        </w:tc>
      </w:tr>
      <w:tr w:rsidRPr="007352E3" w:rsidR="007A21BF" w:rsidTr="0083442C">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rPr>
                <w:rFonts w:ascii="Calibri" w:hAnsi="Calibri" w:cs="Calibri"/>
                <w:color w:val="000000"/>
                <w:sz w:val="16"/>
                <w:szCs w:val="16"/>
              </w:rPr>
            </w:pPr>
            <w:r w:rsidRPr="007352E3">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GS-7 (ZP-2) x 10</w:t>
            </w:r>
            <w:r w:rsidRPr="007352E3">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$68,809.50 (x10)</w:t>
            </w:r>
            <w:r w:rsidRPr="007352E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100</w:t>
            </w:r>
            <w:r w:rsidRPr="007352E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$688,095</w:t>
            </w:r>
            <w:r w:rsidRPr="007352E3">
              <w:rPr>
                <w:rFonts w:ascii="Calibri" w:hAnsi="Calibri" w:cs="Calibri"/>
                <w:color w:val="000000"/>
                <w:sz w:val="16"/>
                <w:szCs w:val="16"/>
              </w:rPr>
              <w:t> </w:t>
            </w:r>
          </w:p>
        </w:tc>
      </w:tr>
      <w:tr w:rsidRPr="007352E3" w:rsidR="007A21BF" w:rsidTr="0083442C">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7352E3" w:rsidR="007A21BF" w:rsidP="0083442C" w:rsidRDefault="007A21BF">
            <w:pPr>
              <w:widowControl/>
              <w:autoSpaceDE/>
              <w:autoSpaceDN/>
              <w:rPr>
                <w:rFonts w:ascii="Calibri" w:hAnsi="Calibri" w:cs="Calibri"/>
                <w:b/>
                <w:bCs/>
                <w:color w:val="000000"/>
                <w:sz w:val="16"/>
                <w:szCs w:val="16"/>
              </w:rPr>
            </w:pPr>
            <w:r w:rsidRPr="007352E3">
              <w:rPr>
                <w:rFonts w:ascii="Calibri" w:hAnsi="Calibri" w:cs="Calibri"/>
                <w:b/>
                <w:bCs/>
                <w:color w:val="000000"/>
                <w:sz w:val="16"/>
                <w:szCs w:val="16"/>
              </w:rPr>
              <w:t>Contractor Cost</w:t>
            </w:r>
            <w:r>
              <w:rPr>
                <w:rFonts w:ascii="Calibri" w:hAnsi="Calibri" w:cs="Calibri"/>
                <w:b/>
                <w:bCs/>
                <w:color w:val="000000"/>
                <w:sz w:val="16"/>
                <w:szCs w:val="16"/>
              </w:rPr>
              <w:t xml:space="preserve"> </w:t>
            </w:r>
            <w:r w:rsidRPr="00CE3D06">
              <w:rPr>
                <w:rFonts w:ascii="Calibri" w:hAnsi="Calibri" w:cs="Calibri"/>
                <w:b/>
                <w:bCs/>
                <w:color w:val="000000"/>
                <w:sz w:val="16"/>
                <w:szCs w:val="16"/>
              </w:rPr>
              <w:t>(</w:t>
            </w:r>
            <w:r>
              <w:rPr>
                <w:rFonts w:ascii="Calibri" w:hAnsi="Calibri" w:cs="Calibri"/>
                <w:b/>
                <w:bCs/>
                <w:color w:val="000000"/>
                <w:sz w:val="16"/>
                <w:szCs w:val="16"/>
              </w:rPr>
              <w:t>4</w:t>
            </w:r>
            <w:r w:rsidRPr="00CE3D06">
              <w:rPr>
                <w:rFonts w:ascii="Calibri" w:hAnsi="Calibri" w:cs="Calibri"/>
                <w:b/>
                <w:bCs/>
                <w:color w:val="000000"/>
                <w:sz w:val="16"/>
                <w:szCs w:val="16"/>
              </w:rPr>
              <w:t xml:space="preserve"> FTE)</w:t>
            </w:r>
          </w:p>
        </w:tc>
        <w:tc>
          <w:tcPr>
            <w:tcW w:w="162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$128,064</w:t>
            </w:r>
            <w:r w:rsidRPr="007352E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85</w:t>
            </w:r>
            <w:r w:rsidRPr="007352E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$315,633</w:t>
            </w:r>
            <w:r w:rsidRPr="007352E3">
              <w:rPr>
                <w:rFonts w:ascii="Calibri" w:hAnsi="Calibri" w:cs="Calibri"/>
                <w:color w:val="000000"/>
                <w:sz w:val="16"/>
                <w:szCs w:val="16"/>
              </w:rPr>
              <w:t> </w:t>
            </w:r>
          </w:p>
        </w:tc>
      </w:tr>
      <w:tr w:rsidRPr="007352E3" w:rsidR="007A21BF" w:rsidTr="0083442C">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rPr>
                <w:rFonts w:ascii="Calibri" w:hAnsi="Calibri" w:cs="Calibri"/>
                <w:b/>
                <w:bCs/>
                <w:color w:val="000000"/>
                <w:sz w:val="16"/>
                <w:szCs w:val="16"/>
              </w:rPr>
            </w:pPr>
            <w:r w:rsidRPr="007352E3">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$0</w:t>
            </w:r>
            <w:r w:rsidRPr="007352E3">
              <w:rPr>
                <w:rFonts w:ascii="Calibri" w:hAnsi="Calibri" w:cs="Calibri"/>
                <w:color w:val="000000"/>
                <w:sz w:val="16"/>
                <w:szCs w:val="16"/>
              </w:rPr>
              <w:t> </w:t>
            </w:r>
          </w:p>
        </w:tc>
      </w:tr>
      <w:tr w:rsidRPr="007352E3" w:rsidR="007A21BF" w:rsidTr="0083442C">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rPr>
                <w:rFonts w:ascii="Calibri" w:hAnsi="Calibri" w:cs="Calibri"/>
                <w:b/>
                <w:bCs/>
                <w:color w:val="000000"/>
                <w:sz w:val="16"/>
                <w:szCs w:val="16"/>
              </w:rPr>
            </w:pPr>
            <w:r w:rsidRPr="007352E3">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sidRPr="007352E3">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7352E3" w:rsidR="007A21BF" w:rsidP="0083442C" w:rsidRDefault="007A21BF">
            <w:pPr>
              <w:widowControl/>
              <w:autoSpaceDE/>
              <w:autoSpaceDN/>
              <w:jc w:val="right"/>
              <w:rPr>
                <w:rFonts w:ascii="Calibri" w:hAnsi="Calibri" w:cs="Calibri"/>
                <w:color w:val="000000"/>
                <w:sz w:val="16"/>
                <w:szCs w:val="16"/>
              </w:rPr>
            </w:pPr>
            <w:r>
              <w:rPr>
                <w:rFonts w:ascii="Calibri" w:hAnsi="Calibri" w:cs="Calibri"/>
                <w:color w:val="000000"/>
                <w:sz w:val="16"/>
                <w:szCs w:val="16"/>
              </w:rPr>
              <w:t>$0</w:t>
            </w:r>
            <w:r w:rsidRPr="007352E3">
              <w:rPr>
                <w:rFonts w:ascii="Calibri" w:hAnsi="Calibri" w:cs="Calibri"/>
                <w:color w:val="000000"/>
                <w:sz w:val="16"/>
                <w:szCs w:val="16"/>
              </w:rPr>
              <w:t> </w:t>
            </w:r>
          </w:p>
        </w:tc>
      </w:tr>
      <w:tr w:rsidRPr="007352E3" w:rsidR="007A21BF" w:rsidTr="0083442C">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noWrap/>
            <w:vAlign w:val="bottom"/>
            <w:hideMark/>
          </w:tcPr>
          <w:p w:rsidRPr="007352E3" w:rsidR="007A21BF" w:rsidP="0083442C" w:rsidRDefault="007A21BF">
            <w:pPr>
              <w:widowControl/>
              <w:autoSpaceDE/>
              <w:autoSpaceDN/>
              <w:rPr>
                <w:rFonts w:ascii="Calibri" w:hAnsi="Calibri" w:cs="Calibri"/>
                <w:b/>
                <w:bCs/>
                <w:color w:val="000000"/>
                <w:sz w:val="16"/>
                <w:szCs w:val="16"/>
              </w:rPr>
            </w:pPr>
            <w:r w:rsidRPr="007352E3">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7352E3" w:rsidR="007A21BF" w:rsidP="0083442C" w:rsidRDefault="007A21BF">
            <w:pPr>
              <w:widowControl/>
              <w:autoSpaceDE/>
              <w:autoSpaceDN/>
              <w:jc w:val="right"/>
              <w:rPr>
                <w:rFonts w:ascii="Calibri" w:hAnsi="Calibri" w:cs="Calibri"/>
                <w:b/>
                <w:color w:val="000000"/>
                <w:sz w:val="16"/>
                <w:szCs w:val="16"/>
              </w:rPr>
            </w:pPr>
            <w:r w:rsidRPr="007352E3">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noWrap/>
            <w:vAlign w:val="bottom"/>
            <w:hideMark/>
          </w:tcPr>
          <w:p w:rsidRPr="007352E3" w:rsidR="007A21BF" w:rsidP="0083442C" w:rsidRDefault="007A21BF">
            <w:pPr>
              <w:widowControl/>
              <w:autoSpaceDE/>
              <w:autoSpaceDN/>
              <w:jc w:val="right"/>
              <w:rPr>
                <w:rFonts w:ascii="Calibri" w:hAnsi="Calibri" w:cs="Calibri"/>
                <w:b/>
                <w:color w:val="000000"/>
                <w:sz w:val="16"/>
                <w:szCs w:val="16"/>
              </w:rPr>
            </w:pPr>
            <w:r w:rsidRPr="007352E3">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7352E3" w:rsidR="007A21BF" w:rsidP="0083442C" w:rsidRDefault="007A21BF">
            <w:pPr>
              <w:widowControl/>
              <w:autoSpaceDE/>
              <w:autoSpaceDN/>
              <w:jc w:val="right"/>
              <w:rPr>
                <w:rFonts w:ascii="Calibri" w:hAnsi="Calibri" w:cs="Calibri"/>
                <w:b/>
                <w:color w:val="000000"/>
                <w:sz w:val="16"/>
                <w:szCs w:val="16"/>
              </w:rPr>
            </w:pPr>
            <w:r w:rsidRPr="007352E3">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noWrap/>
            <w:vAlign w:val="bottom"/>
            <w:hideMark/>
          </w:tcPr>
          <w:p w:rsidRPr="007352E3" w:rsidR="007A21BF" w:rsidP="0083442C" w:rsidRDefault="007A21BF">
            <w:pPr>
              <w:widowControl/>
              <w:autoSpaceDE/>
              <w:autoSpaceDN/>
              <w:jc w:val="right"/>
              <w:rPr>
                <w:rFonts w:ascii="Calibri" w:hAnsi="Calibri" w:cs="Calibri"/>
                <w:b/>
                <w:color w:val="000000"/>
                <w:sz w:val="16"/>
                <w:szCs w:val="16"/>
              </w:rPr>
            </w:pPr>
            <w:r w:rsidRPr="007352E3">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noWrap/>
            <w:vAlign w:val="bottom"/>
            <w:hideMark/>
          </w:tcPr>
          <w:p w:rsidRPr="007A21BF" w:rsidR="007A21BF" w:rsidP="007A21BF" w:rsidRDefault="007A21BF">
            <w:pPr>
              <w:widowControl/>
              <w:autoSpaceDE/>
              <w:autoSpaceDN/>
              <w:jc w:val="right"/>
              <w:rPr>
                <w:rFonts w:ascii="Calibri" w:hAnsi="Calibri" w:cs="Calibri"/>
                <w:b/>
                <w:color w:val="000000"/>
                <w:sz w:val="18"/>
                <w:szCs w:val="18"/>
              </w:rPr>
            </w:pPr>
            <w:r w:rsidRPr="007A21BF">
              <w:rPr>
                <w:rFonts w:ascii="Calibri" w:hAnsi="Calibri" w:cs="Calibri"/>
                <w:b/>
                <w:color w:val="000000"/>
                <w:sz w:val="18"/>
                <w:szCs w:val="18"/>
              </w:rPr>
              <w:t>$</w:t>
            </w:r>
            <w:r w:rsidRPr="007A21BF">
              <w:rPr>
                <w:rFonts w:ascii="Calibri" w:hAnsi="Calibri" w:cs="Calibri"/>
                <w:b/>
                <w:color w:val="000000"/>
                <w:sz w:val="18"/>
                <w:szCs w:val="18"/>
              </w:rPr>
              <w:t>2,093,750</w:t>
            </w:r>
            <w:r w:rsidRPr="007A21BF">
              <w:rPr>
                <w:rFonts w:ascii="Calibri" w:hAnsi="Calibri" w:cs="Calibri"/>
                <w:b/>
                <w:color w:val="000000"/>
                <w:sz w:val="18"/>
                <w:szCs w:val="18"/>
              </w:rPr>
              <w:t> </w:t>
            </w:r>
          </w:p>
        </w:tc>
      </w:tr>
    </w:tbl>
    <w:p w:rsidRPr="004E4785" w:rsidR="007A21BF" w:rsidP="00BD7237" w:rsidRDefault="007A21BF">
      <w:pPr>
        <w:pStyle w:val="BodyText"/>
        <w:spacing w:before="9" w:after="1"/>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008E61C9" w:rsidP="00BD7237" w:rsidRDefault="008E61C9">
      <w:pPr>
        <w:pStyle w:val="BodyText"/>
        <w:spacing w:before="7"/>
        <w:ind w:left="0"/>
        <w:rPr>
          <w:rFonts w:cs="Times New Roman"/>
          <w:b/>
        </w:rPr>
      </w:pPr>
    </w:p>
    <w:tbl>
      <w:tblPr>
        <w:tblW w:w="5775" w:type="pct"/>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7"/>
        <w:gridCol w:w="1289"/>
        <w:gridCol w:w="1140"/>
        <w:gridCol w:w="1089"/>
        <w:gridCol w:w="1163"/>
        <w:gridCol w:w="970"/>
        <w:gridCol w:w="1068"/>
        <w:gridCol w:w="2615"/>
      </w:tblGrid>
      <w:tr w:rsidRPr="00A243CB" w:rsidR="0011790D" w:rsidTr="0083442C">
        <w:tc>
          <w:tcPr>
            <w:tcW w:w="988" w:type="pct"/>
            <w:vMerge w:val="restart"/>
            <w:shd w:val="clear" w:color="auto" w:fill="4F81BD" w:themeFill="accent1"/>
            <w:vAlign w:val="center"/>
          </w:tcPr>
          <w:p w:rsidRPr="00A243CB" w:rsidR="0011790D" w:rsidP="0083442C" w:rsidRDefault="0011790D">
            <w:pPr>
              <w:rPr>
                <w:rFonts w:asciiTheme="minorHAnsi" w:hAnsiTheme="minorHAnsi" w:cstheme="minorHAnsi"/>
                <w:b/>
                <w:sz w:val="18"/>
                <w:szCs w:val="18"/>
              </w:rPr>
            </w:pPr>
            <w:r w:rsidRPr="00A243CB">
              <w:rPr>
                <w:rFonts w:asciiTheme="minorHAnsi" w:hAnsiTheme="minorHAnsi" w:cstheme="minorHAnsi"/>
                <w:b/>
                <w:sz w:val="18"/>
                <w:szCs w:val="18"/>
              </w:rPr>
              <w:t>Information Collection</w:t>
            </w:r>
          </w:p>
        </w:tc>
        <w:tc>
          <w:tcPr>
            <w:tcW w:w="1044" w:type="pct"/>
            <w:gridSpan w:val="2"/>
            <w:tcBorders>
              <w:bottom w:val="single" w:color="auto" w:sz="4" w:space="0"/>
            </w:tcBorders>
            <w:shd w:val="clear" w:color="auto" w:fill="4F81BD" w:themeFill="accent1"/>
            <w:vAlign w:val="center"/>
          </w:tcPr>
          <w:p w:rsidRPr="00A243CB" w:rsidR="0011790D" w:rsidP="0083442C" w:rsidRDefault="0011790D">
            <w:pPr>
              <w:jc w:val="center"/>
              <w:rPr>
                <w:rFonts w:asciiTheme="minorHAnsi" w:hAnsiTheme="minorHAnsi" w:cstheme="minorHAnsi"/>
                <w:b/>
                <w:sz w:val="18"/>
                <w:szCs w:val="18"/>
              </w:rPr>
            </w:pPr>
            <w:r w:rsidRPr="00A243CB">
              <w:rPr>
                <w:rFonts w:asciiTheme="minorHAnsi" w:hAnsiTheme="minorHAnsi" w:cstheme="minorHAnsi"/>
                <w:b/>
                <w:sz w:val="18"/>
                <w:szCs w:val="18"/>
              </w:rPr>
              <w:t>Respondents</w:t>
            </w:r>
          </w:p>
        </w:tc>
        <w:tc>
          <w:tcPr>
            <w:tcW w:w="968" w:type="pct"/>
            <w:gridSpan w:val="2"/>
            <w:tcBorders>
              <w:bottom w:val="single" w:color="auto" w:sz="4" w:space="0"/>
            </w:tcBorders>
            <w:shd w:val="clear" w:color="auto" w:fill="4F81BD" w:themeFill="accent1"/>
            <w:vAlign w:val="center"/>
          </w:tcPr>
          <w:p w:rsidRPr="00A243CB" w:rsidR="0011790D" w:rsidP="0083442C" w:rsidRDefault="0011790D">
            <w:pPr>
              <w:jc w:val="center"/>
              <w:rPr>
                <w:rFonts w:asciiTheme="minorHAnsi" w:hAnsiTheme="minorHAnsi" w:cstheme="minorHAnsi"/>
                <w:b/>
                <w:sz w:val="18"/>
                <w:szCs w:val="18"/>
              </w:rPr>
            </w:pPr>
            <w:r w:rsidRPr="00A243CB">
              <w:rPr>
                <w:rFonts w:asciiTheme="minorHAnsi" w:hAnsiTheme="minorHAnsi" w:cstheme="minorHAnsi"/>
                <w:b/>
                <w:sz w:val="18"/>
                <w:szCs w:val="18"/>
              </w:rPr>
              <w:t>Responses</w:t>
            </w:r>
          </w:p>
        </w:tc>
        <w:tc>
          <w:tcPr>
            <w:tcW w:w="876" w:type="pct"/>
            <w:gridSpan w:val="2"/>
            <w:tcBorders>
              <w:bottom w:val="single" w:color="auto" w:sz="4" w:space="0"/>
            </w:tcBorders>
            <w:shd w:val="clear" w:color="auto" w:fill="4F81BD" w:themeFill="accent1"/>
            <w:vAlign w:val="center"/>
          </w:tcPr>
          <w:p w:rsidRPr="00A243CB" w:rsidR="0011790D" w:rsidP="0083442C" w:rsidRDefault="0011790D">
            <w:pPr>
              <w:jc w:val="center"/>
              <w:rPr>
                <w:rFonts w:asciiTheme="minorHAnsi" w:hAnsiTheme="minorHAnsi" w:cstheme="minorHAnsi"/>
                <w:b/>
                <w:sz w:val="18"/>
                <w:szCs w:val="18"/>
              </w:rPr>
            </w:pPr>
            <w:r w:rsidRPr="00A243CB">
              <w:rPr>
                <w:rFonts w:asciiTheme="minorHAnsi" w:hAnsiTheme="minorHAnsi" w:cstheme="minorHAnsi"/>
                <w:b/>
                <w:sz w:val="18"/>
                <w:szCs w:val="18"/>
              </w:rPr>
              <w:t>Burden Hours</w:t>
            </w:r>
          </w:p>
        </w:tc>
        <w:tc>
          <w:tcPr>
            <w:tcW w:w="1124" w:type="pct"/>
            <w:vMerge w:val="restart"/>
            <w:shd w:val="clear" w:color="auto" w:fill="4F81BD" w:themeFill="accent1"/>
            <w:vAlign w:val="center"/>
          </w:tcPr>
          <w:p w:rsidRPr="00A243CB" w:rsidR="0011790D" w:rsidP="0083442C" w:rsidRDefault="0011790D">
            <w:pPr>
              <w:rPr>
                <w:rFonts w:asciiTheme="minorHAnsi" w:hAnsiTheme="minorHAnsi" w:cstheme="minorHAnsi"/>
                <w:b/>
                <w:sz w:val="18"/>
                <w:szCs w:val="18"/>
              </w:rPr>
            </w:pPr>
            <w:r w:rsidRPr="00A243CB">
              <w:rPr>
                <w:rFonts w:asciiTheme="minorHAnsi" w:hAnsiTheme="minorHAnsi" w:cstheme="minorHAnsi"/>
                <w:b/>
                <w:sz w:val="18"/>
                <w:szCs w:val="18"/>
              </w:rPr>
              <w:t>Reason for change or adjustment</w:t>
            </w:r>
          </w:p>
        </w:tc>
      </w:tr>
      <w:tr w:rsidRPr="00A243CB" w:rsidR="0011790D" w:rsidTr="0083442C">
        <w:tc>
          <w:tcPr>
            <w:tcW w:w="988" w:type="pct"/>
            <w:vMerge/>
            <w:shd w:val="clear" w:color="auto" w:fill="4F81BD" w:themeFill="accent1"/>
            <w:vAlign w:val="center"/>
          </w:tcPr>
          <w:p w:rsidRPr="00A243CB" w:rsidR="0011790D" w:rsidP="0083442C" w:rsidRDefault="0011790D">
            <w:pPr>
              <w:rPr>
                <w:rFonts w:asciiTheme="minorHAnsi" w:hAnsiTheme="minorHAnsi" w:cstheme="minorHAnsi"/>
                <w:sz w:val="18"/>
                <w:szCs w:val="18"/>
              </w:rPr>
            </w:pPr>
          </w:p>
        </w:tc>
        <w:tc>
          <w:tcPr>
            <w:tcW w:w="554" w:type="pct"/>
            <w:tcBorders>
              <w:bottom w:val="single" w:color="auto" w:sz="4" w:space="0"/>
              <w:right w:val="dashed"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Current Renewal / Revision</w:t>
            </w:r>
          </w:p>
        </w:tc>
        <w:tc>
          <w:tcPr>
            <w:tcW w:w="490" w:type="pct"/>
            <w:tcBorders>
              <w:left w:val="dashed" w:color="auto" w:sz="4" w:space="0"/>
              <w:bottom w:val="single"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Previous Renewal / Revision</w:t>
            </w:r>
          </w:p>
        </w:tc>
        <w:tc>
          <w:tcPr>
            <w:tcW w:w="468" w:type="pct"/>
            <w:tcBorders>
              <w:right w:val="dashed"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Current Renewal / Revision</w:t>
            </w:r>
          </w:p>
        </w:tc>
        <w:tc>
          <w:tcPr>
            <w:tcW w:w="500" w:type="pct"/>
            <w:tcBorders>
              <w:left w:val="dashed"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Previous Renewal / Revision</w:t>
            </w:r>
          </w:p>
        </w:tc>
        <w:tc>
          <w:tcPr>
            <w:tcW w:w="417" w:type="pct"/>
            <w:tcBorders>
              <w:bottom w:val="single" w:color="auto" w:sz="4" w:space="0"/>
              <w:right w:val="dashed"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Current Renewal / Revision</w:t>
            </w:r>
          </w:p>
        </w:tc>
        <w:tc>
          <w:tcPr>
            <w:tcW w:w="459" w:type="pct"/>
            <w:tcBorders>
              <w:left w:val="dashed"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Previous Renewal / Revision</w:t>
            </w:r>
          </w:p>
        </w:tc>
        <w:tc>
          <w:tcPr>
            <w:tcW w:w="1124" w:type="pct"/>
            <w:vMerge/>
            <w:shd w:val="clear" w:color="auto" w:fill="FBE4D5"/>
            <w:vAlign w:val="center"/>
          </w:tcPr>
          <w:p w:rsidRPr="00A243CB" w:rsidR="0011790D" w:rsidP="0083442C" w:rsidRDefault="0011790D">
            <w:pPr>
              <w:rPr>
                <w:rFonts w:asciiTheme="minorHAnsi" w:hAnsiTheme="minorHAnsi" w:cstheme="minorHAnsi"/>
                <w:sz w:val="18"/>
                <w:szCs w:val="18"/>
              </w:rPr>
            </w:pPr>
          </w:p>
        </w:tc>
      </w:tr>
      <w:tr w:rsidRPr="00A243CB" w:rsidR="0011790D" w:rsidTr="0083442C">
        <w:tc>
          <w:tcPr>
            <w:tcW w:w="988" w:type="pct"/>
            <w:tcBorders>
              <w:top w:val="nil"/>
              <w:left w:val="single" w:color="auto" w:sz="4" w:space="0"/>
              <w:bottom w:val="single" w:color="auto" w:sz="4" w:space="0"/>
              <w:right w:val="single"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sidRPr="00A243CB">
              <w:rPr>
                <w:rFonts w:asciiTheme="minorHAnsi" w:hAnsiTheme="minorHAnsi" w:cstheme="minorHAnsi"/>
                <w:sz w:val="18"/>
                <w:szCs w:val="18"/>
              </w:rPr>
              <w:t>LOA - Annual LOA Application</w:t>
            </w:r>
          </w:p>
        </w:tc>
        <w:tc>
          <w:tcPr>
            <w:tcW w:w="554"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1</w:t>
            </w:r>
            <w:r>
              <w:rPr>
                <w:rFonts w:asciiTheme="minorHAnsi" w:hAnsiTheme="minorHAnsi" w:cstheme="minorHAnsi"/>
                <w:color w:val="000000"/>
                <w:sz w:val="18"/>
                <w:szCs w:val="18"/>
              </w:rPr>
              <w:t>05</w:t>
            </w:r>
          </w:p>
        </w:tc>
        <w:tc>
          <w:tcPr>
            <w:tcW w:w="490"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10</w:t>
            </w:r>
          </w:p>
        </w:tc>
        <w:tc>
          <w:tcPr>
            <w:tcW w:w="468"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1</w:t>
            </w:r>
            <w:r>
              <w:rPr>
                <w:rFonts w:asciiTheme="minorHAnsi" w:hAnsiTheme="minorHAnsi" w:cstheme="minorHAnsi"/>
                <w:color w:val="000000"/>
                <w:sz w:val="18"/>
                <w:szCs w:val="18"/>
              </w:rPr>
              <w:t>05</w:t>
            </w:r>
          </w:p>
        </w:tc>
        <w:tc>
          <w:tcPr>
            <w:tcW w:w="500"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10</w:t>
            </w:r>
          </w:p>
        </w:tc>
        <w:tc>
          <w:tcPr>
            <w:tcW w:w="417"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7</w:t>
            </w:r>
            <w:r>
              <w:rPr>
                <w:rFonts w:asciiTheme="minorHAnsi" w:hAnsiTheme="minorHAnsi" w:cstheme="minorHAnsi"/>
                <w:sz w:val="18"/>
                <w:szCs w:val="18"/>
              </w:rPr>
              <w:t>,350</w:t>
            </w:r>
          </w:p>
        </w:tc>
        <w:tc>
          <w:tcPr>
            <w:tcW w:w="459"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700</w:t>
            </w:r>
          </w:p>
        </w:tc>
        <w:tc>
          <w:tcPr>
            <w:tcW w:w="1124"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sidRPr="00A243CB">
              <w:rPr>
                <w:rFonts w:asciiTheme="minorHAnsi" w:hAnsiTheme="minorHAnsi" w:cstheme="minorHAnsi"/>
                <w:sz w:val="18"/>
                <w:szCs w:val="18"/>
              </w:rPr>
              <w:t>GOM rule</w:t>
            </w:r>
          </w:p>
        </w:tc>
      </w:tr>
      <w:tr w:rsidRPr="00A243CB" w:rsidR="0011790D" w:rsidTr="0083442C">
        <w:tc>
          <w:tcPr>
            <w:tcW w:w="988" w:type="pct"/>
            <w:tcBorders>
              <w:top w:val="nil"/>
              <w:left w:val="single" w:color="auto" w:sz="8" w:space="0"/>
              <w:bottom w:val="single" w:color="auto" w:sz="4" w:space="0"/>
              <w:right w:val="single"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sidRPr="00A243CB">
              <w:rPr>
                <w:rFonts w:asciiTheme="minorHAnsi" w:hAnsiTheme="minorHAnsi" w:cstheme="minorHAnsi"/>
                <w:color w:val="000000"/>
                <w:sz w:val="18"/>
                <w:szCs w:val="18"/>
              </w:rPr>
              <w:t xml:space="preserve">GOM - Draft Annual Report </w:t>
            </w:r>
          </w:p>
        </w:tc>
        <w:tc>
          <w:tcPr>
            <w:tcW w:w="554"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Pr>
                <w:rFonts w:asciiTheme="minorHAnsi" w:hAnsiTheme="minorHAnsi" w:cstheme="minorHAnsi"/>
                <w:color w:val="000000"/>
                <w:sz w:val="18"/>
                <w:szCs w:val="18"/>
              </w:rPr>
              <w:t>24</w:t>
            </w:r>
          </w:p>
        </w:tc>
        <w:tc>
          <w:tcPr>
            <w:tcW w:w="490"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0</w:t>
            </w:r>
          </w:p>
        </w:tc>
        <w:tc>
          <w:tcPr>
            <w:tcW w:w="468"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Pr>
                <w:rFonts w:asciiTheme="minorHAnsi" w:hAnsiTheme="minorHAnsi" w:cstheme="minorHAnsi"/>
                <w:color w:val="000000"/>
                <w:sz w:val="18"/>
                <w:szCs w:val="18"/>
              </w:rPr>
              <w:t>24</w:t>
            </w:r>
          </w:p>
        </w:tc>
        <w:tc>
          <w:tcPr>
            <w:tcW w:w="500"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0</w:t>
            </w:r>
          </w:p>
        </w:tc>
        <w:tc>
          <w:tcPr>
            <w:tcW w:w="417"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Pr>
                <w:rFonts w:asciiTheme="minorHAnsi" w:hAnsiTheme="minorHAnsi" w:cstheme="minorHAnsi"/>
                <w:sz w:val="18"/>
                <w:szCs w:val="18"/>
              </w:rPr>
              <w:t>3,360</w:t>
            </w:r>
          </w:p>
        </w:tc>
        <w:tc>
          <w:tcPr>
            <w:tcW w:w="459"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0</w:t>
            </w:r>
          </w:p>
        </w:tc>
        <w:tc>
          <w:tcPr>
            <w:tcW w:w="1124"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sidRPr="00A243CB">
              <w:rPr>
                <w:rFonts w:asciiTheme="minorHAnsi" w:hAnsiTheme="minorHAnsi" w:cstheme="minorHAnsi"/>
                <w:sz w:val="18"/>
                <w:szCs w:val="18"/>
              </w:rPr>
              <w:t>GOM rule</w:t>
            </w:r>
          </w:p>
        </w:tc>
      </w:tr>
      <w:tr w:rsidRPr="00A243CB" w:rsidR="0011790D" w:rsidTr="0083442C">
        <w:tc>
          <w:tcPr>
            <w:tcW w:w="988" w:type="pct"/>
            <w:tcBorders>
              <w:top w:val="nil"/>
              <w:left w:val="single" w:color="auto" w:sz="8" w:space="0"/>
              <w:bottom w:val="single" w:color="auto" w:sz="4" w:space="0"/>
              <w:right w:val="single"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sidRPr="00A243CB">
              <w:rPr>
                <w:rFonts w:asciiTheme="minorHAnsi" w:hAnsiTheme="minorHAnsi" w:cstheme="minorHAnsi"/>
                <w:color w:val="000000"/>
                <w:sz w:val="18"/>
                <w:szCs w:val="18"/>
              </w:rPr>
              <w:t xml:space="preserve">GOM - Final Annual Report </w:t>
            </w:r>
          </w:p>
        </w:tc>
        <w:tc>
          <w:tcPr>
            <w:tcW w:w="554"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Pr>
                <w:rFonts w:asciiTheme="minorHAnsi" w:hAnsiTheme="minorHAnsi" w:cstheme="minorHAnsi"/>
                <w:color w:val="000000"/>
                <w:sz w:val="18"/>
                <w:szCs w:val="18"/>
              </w:rPr>
              <w:t>24</w:t>
            </w:r>
          </w:p>
        </w:tc>
        <w:tc>
          <w:tcPr>
            <w:tcW w:w="490"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0</w:t>
            </w:r>
          </w:p>
        </w:tc>
        <w:tc>
          <w:tcPr>
            <w:tcW w:w="468"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Pr>
                <w:rFonts w:asciiTheme="minorHAnsi" w:hAnsiTheme="minorHAnsi" w:cstheme="minorHAnsi"/>
                <w:color w:val="000000"/>
                <w:sz w:val="18"/>
                <w:szCs w:val="18"/>
              </w:rPr>
              <w:t>24</w:t>
            </w:r>
          </w:p>
        </w:tc>
        <w:tc>
          <w:tcPr>
            <w:tcW w:w="500"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color w:val="000000"/>
                <w:sz w:val="18"/>
                <w:szCs w:val="18"/>
              </w:rPr>
              <w:t>0</w:t>
            </w:r>
          </w:p>
        </w:tc>
        <w:tc>
          <w:tcPr>
            <w:tcW w:w="417"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Pr>
                <w:rFonts w:asciiTheme="minorHAnsi" w:hAnsiTheme="minorHAnsi" w:cstheme="minorHAnsi"/>
                <w:sz w:val="18"/>
                <w:szCs w:val="18"/>
              </w:rPr>
              <w:t>672</w:t>
            </w:r>
          </w:p>
        </w:tc>
        <w:tc>
          <w:tcPr>
            <w:tcW w:w="459" w:type="pct"/>
            <w:tcBorders>
              <w:top w:val="nil"/>
              <w:left w:val="nil"/>
              <w:bottom w:val="single" w:color="auto" w:sz="4" w:space="0"/>
              <w:right w:val="single" w:color="auto" w:sz="4" w:space="0"/>
            </w:tcBorders>
            <w:shd w:val="clear" w:color="auto" w:fill="auto"/>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0</w:t>
            </w:r>
          </w:p>
        </w:tc>
        <w:tc>
          <w:tcPr>
            <w:tcW w:w="1124"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sidRPr="00A243CB">
              <w:rPr>
                <w:rFonts w:asciiTheme="minorHAnsi" w:hAnsiTheme="minorHAnsi" w:cstheme="minorHAnsi"/>
                <w:sz w:val="18"/>
                <w:szCs w:val="18"/>
              </w:rPr>
              <w:t>GOM rule</w:t>
            </w:r>
          </w:p>
        </w:tc>
      </w:tr>
      <w:tr w:rsidRPr="00A243CB" w:rsidR="0011790D" w:rsidTr="0083442C">
        <w:tc>
          <w:tcPr>
            <w:tcW w:w="988" w:type="pct"/>
            <w:shd w:val="clear" w:color="auto" w:fill="B8CCE4" w:themeFill="accent1" w:themeFillTint="66"/>
            <w:vAlign w:val="center"/>
          </w:tcPr>
          <w:p w:rsidRPr="00A243CB" w:rsidR="0011790D" w:rsidP="0083442C" w:rsidRDefault="0011790D">
            <w:pPr>
              <w:rPr>
                <w:rFonts w:asciiTheme="minorHAnsi" w:hAnsiTheme="minorHAnsi" w:cstheme="minorHAnsi"/>
                <w:b/>
                <w:sz w:val="18"/>
                <w:szCs w:val="18"/>
              </w:rPr>
            </w:pPr>
            <w:r w:rsidRPr="00A243CB">
              <w:rPr>
                <w:rFonts w:asciiTheme="minorHAnsi" w:hAnsiTheme="minorHAnsi" w:cstheme="minorHAnsi"/>
                <w:b/>
                <w:sz w:val="18"/>
                <w:szCs w:val="18"/>
              </w:rPr>
              <w:t>Total for Collection</w:t>
            </w:r>
          </w:p>
        </w:tc>
        <w:tc>
          <w:tcPr>
            <w:tcW w:w="554" w:type="pct"/>
            <w:tcBorders>
              <w:right w:val="dashed" w:color="auto" w:sz="4" w:space="0"/>
            </w:tcBorders>
            <w:shd w:val="clear" w:color="auto" w:fill="B8CCE4" w:themeFill="accent1" w:themeFillTint="66"/>
            <w:vAlign w:val="center"/>
          </w:tcPr>
          <w:p w:rsidRPr="00A243CB" w:rsidR="0011790D" w:rsidP="0083442C" w:rsidRDefault="0011790D">
            <w:pPr>
              <w:jc w:val="center"/>
              <w:rPr>
                <w:rFonts w:asciiTheme="minorHAnsi" w:hAnsiTheme="minorHAnsi" w:cstheme="minorHAnsi"/>
                <w:b/>
                <w:sz w:val="18"/>
                <w:szCs w:val="18"/>
              </w:rPr>
            </w:pPr>
            <w:r>
              <w:rPr>
                <w:rFonts w:asciiTheme="minorHAnsi" w:hAnsiTheme="minorHAnsi" w:cstheme="minorHAnsi"/>
                <w:b/>
                <w:sz w:val="18"/>
                <w:szCs w:val="18"/>
              </w:rPr>
              <w:t>153</w:t>
            </w:r>
          </w:p>
        </w:tc>
        <w:tc>
          <w:tcPr>
            <w:tcW w:w="490" w:type="pct"/>
            <w:tcBorders>
              <w:left w:val="dashed" w:color="auto" w:sz="4" w:space="0"/>
            </w:tcBorders>
            <w:shd w:val="clear" w:color="auto" w:fill="B8CCE4" w:themeFill="accent1" w:themeFillTint="66"/>
            <w:vAlign w:val="center"/>
          </w:tcPr>
          <w:p w:rsidRPr="00A243CB" w:rsidR="0011790D" w:rsidP="0083442C" w:rsidRDefault="0011790D">
            <w:pPr>
              <w:jc w:val="center"/>
              <w:rPr>
                <w:rFonts w:asciiTheme="minorHAnsi" w:hAnsiTheme="minorHAnsi" w:cstheme="minorHAnsi"/>
                <w:b/>
                <w:sz w:val="18"/>
                <w:szCs w:val="18"/>
              </w:rPr>
            </w:pPr>
            <w:r>
              <w:rPr>
                <w:rFonts w:asciiTheme="minorHAnsi" w:hAnsiTheme="minorHAnsi" w:cstheme="minorHAnsi"/>
                <w:b/>
                <w:sz w:val="18"/>
                <w:szCs w:val="18"/>
              </w:rPr>
              <w:t>10</w:t>
            </w:r>
          </w:p>
        </w:tc>
        <w:tc>
          <w:tcPr>
            <w:tcW w:w="468" w:type="pct"/>
            <w:tcBorders>
              <w:right w:val="dashed" w:color="auto" w:sz="4" w:space="0"/>
            </w:tcBorders>
            <w:shd w:val="clear" w:color="auto" w:fill="B8CCE4" w:themeFill="accent1" w:themeFillTint="66"/>
            <w:vAlign w:val="center"/>
          </w:tcPr>
          <w:p w:rsidRPr="00A243CB" w:rsidR="0011790D" w:rsidP="0083442C" w:rsidRDefault="0011790D">
            <w:pPr>
              <w:jc w:val="center"/>
              <w:rPr>
                <w:rFonts w:asciiTheme="minorHAnsi" w:hAnsiTheme="minorHAnsi" w:cstheme="minorHAnsi"/>
                <w:b/>
                <w:sz w:val="18"/>
                <w:szCs w:val="18"/>
              </w:rPr>
            </w:pPr>
            <w:r>
              <w:rPr>
                <w:rFonts w:asciiTheme="minorHAnsi" w:hAnsiTheme="minorHAnsi" w:cstheme="minorHAnsi"/>
                <w:b/>
                <w:sz w:val="18"/>
                <w:szCs w:val="18"/>
              </w:rPr>
              <w:t>153</w:t>
            </w:r>
          </w:p>
        </w:tc>
        <w:tc>
          <w:tcPr>
            <w:tcW w:w="500" w:type="pct"/>
            <w:tcBorders>
              <w:left w:val="dashed" w:color="auto" w:sz="4" w:space="0"/>
            </w:tcBorders>
            <w:shd w:val="clear" w:color="auto" w:fill="B8CCE4" w:themeFill="accent1" w:themeFillTint="66"/>
            <w:vAlign w:val="center"/>
          </w:tcPr>
          <w:p w:rsidRPr="00A243CB" w:rsidR="0011790D" w:rsidP="0083442C" w:rsidRDefault="0011790D">
            <w:pPr>
              <w:jc w:val="center"/>
              <w:rPr>
                <w:rFonts w:asciiTheme="minorHAnsi" w:hAnsiTheme="minorHAnsi" w:cstheme="minorHAnsi"/>
                <w:b/>
                <w:sz w:val="18"/>
                <w:szCs w:val="18"/>
              </w:rPr>
            </w:pPr>
            <w:r>
              <w:rPr>
                <w:rFonts w:asciiTheme="minorHAnsi" w:hAnsiTheme="minorHAnsi" w:cstheme="minorHAnsi"/>
                <w:b/>
                <w:sz w:val="18"/>
                <w:szCs w:val="18"/>
              </w:rPr>
              <w:t>10</w:t>
            </w:r>
          </w:p>
        </w:tc>
        <w:tc>
          <w:tcPr>
            <w:tcW w:w="417" w:type="pct"/>
            <w:tcBorders>
              <w:right w:val="dashed" w:color="auto" w:sz="4" w:space="0"/>
            </w:tcBorders>
            <w:shd w:val="clear" w:color="auto" w:fill="B8CCE4" w:themeFill="accent1" w:themeFillTint="66"/>
            <w:vAlign w:val="center"/>
          </w:tcPr>
          <w:p w:rsidRPr="00A243CB" w:rsidR="0011790D" w:rsidP="0083442C" w:rsidRDefault="0011790D">
            <w:pPr>
              <w:jc w:val="center"/>
              <w:rPr>
                <w:rFonts w:asciiTheme="minorHAnsi" w:hAnsiTheme="minorHAnsi" w:cstheme="minorHAnsi"/>
                <w:b/>
                <w:sz w:val="18"/>
                <w:szCs w:val="18"/>
              </w:rPr>
            </w:pPr>
            <w:r>
              <w:rPr>
                <w:rFonts w:asciiTheme="minorHAnsi" w:hAnsiTheme="minorHAnsi" w:cstheme="minorHAnsi"/>
                <w:b/>
                <w:sz w:val="18"/>
                <w:szCs w:val="18"/>
              </w:rPr>
              <w:t>11,382</w:t>
            </w:r>
          </w:p>
        </w:tc>
        <w:tc>
          <w:tcPr>
            <w:tcW w:w="459" w:type="pct"/>
            <w:tcBorders>
              <w:left w:val="dashed" w:color="auto" w:sz="4" w:space="0"/>
            </w:tcBorders>
            <w:shd w:val="clear" w:color="auto" w:fill="B8CCE4" w:themeFill="accent1" w:themeFillTint="66"/>
            <w:vAlign w:val="center"/>
          </w:tcPr>
          <w:p w:rsidRPr="00A243CB" w:rsidR="0011790D" w:rsidP="0083442C" w:rsidRDefault="0011790D">
            <w:pPr>
              <w:jc w:val="center"/>
              <w:rPr>
                <w:rFonts w:asciiTheme="minorHAnsi" w:hAnsiTheme="minorHAnsi" w:cstheme="minorHAnsi"/>
                <w:b/>
                <w:sz w:val="18"/>
                <w:szCs w:val="18"/>
              </w:rPr>
            </w:pPr>
            <w:r>
              <w:rPr>
                <w:rFonts w:asciiTheme="minorHAnsi" w:hAnsiTheme="minorHAnsi" w:cstheme="minorHAnsi"/>
                <w:b/>
                <w:sz w:val="18"/>
                <w:szCs w:val="18"/>
              </w:rPr>
              <w:t>700</w:t>
            </w:r>
          </w:p>
        </w:tc>
        <w:tc>
          <w:tcPr>
            <w:tcW w:w="1124" w:type="pct"/>
            <w:tcBorders>
              <w:left w:val="dotted" w:color="auto" w:sz="4" w:space="0"/>
            </w:tcBorders>
            <w:shd w:val="clear" w:color="auto" w:fill="000000" w:themeFill="text1"/>
            <w:vAlign w:val="center"/>
          </w:tcPr>
          <w:p w:rsidRPr="00A243CB" w:rsidR="0011790D" w:rsidP="0083442C" w:rsidRDefault="0011790D">
            <w:pPr>
              <w:rPr>
                <w:rFonts w:asciiTheme="minorHAnsi" w:hAnsiTheme="minorHAnsi" w:cstheme="minorHAnsi"/>
                <w:b/>
                <w:sz w:val="18"/>
                <w:szCs w:val="18"/>
              </w:rPr>
            </w:pPr>
          </w:p>
        </w:tc>
      </w:tr>
      <w:tr w:rsidRPr="00A243CB" w:rsidR="0011790D" w:rsidTr="0083442C">
        <w:tc>
          <w:tcPr>
            <w:tcW w:w="988" w:type="pct"/>
            <w:shd w:val="clear" w:color="auto" w:fill="FDE9D9" w:themeFill="accent6" w:themeFillTint="33"/>
            <w:vAlign w:val="center"/>
          </w:tcPr>
          <w:p w:rsidRPr="00A243CB" w:rsidR="0011790D" w:rsidP="0083442C" w:rsidRDefault="0011790D">
            <w:pPr>
              <w:shd w:val="clear" w:color="auto" w:fill="FDE9D9" w:themeFill="accent6" w:themeFillTint="33"/>
              <w:rPr>
                <w:rFonts w:asciiTheme="minorHAnsi" w:hAnsiTheme="minorHAnsi" w:cstheme="minorHAnsi"/>
                <w:b/>
                <w:sz w:val="18"/>
                <w:szCs w:val="18"/>
              </w:rPr>
            </w:pPr>
            <w:r>
              <w:rPr>
                <w:rFonts w:asciiTheme="minorHAnsi" w:hAnsiTheme="minorHAnsi" w:cstheme="minorHAnsi"/>
                <w:b/>
                <w:sz w:val="18"/>
                <w:szCs w:val="18"/>
              </w:rPr>
              <w:t>Difference</w:t>
            </w:r>
          </w:p>
        </w:tc>
        <w:tc>
          <w:tcPr>
            <w:tcW w:w="1044" w:type="pct"/>
            <w:gridSpan w:val="2"/>
            <w:shd w:val="clear" w:color="auto" w:fill="FDE9D9" w:themeFill="accent6" w:themeFillTint="33"/>
            <w:vAlign w:val="center"/>
          </w:tcPr>
          <w:p w:rsidR="0011790D" w:rsidP="0083442C" w:rsidRDefault="0011790D">
            <w:pPr>
              <w:shd w:val="clear" w:color="auto" w:fill="FDE9D9" w:themeFill="accent6" w:themeFillTint="33"/>
              <w:jc w:val="center"/>
              <w:rPr>
                <w:rFonts w:asciiTheme="minorHAnsi" w:hAnsiTheme="minorHAnsi" w:cstheme="minorHAnsi"/>
                <w:b/>
                <w:sz w:val="18"/>
                <w:szCs w:val="18"/>
              </w:rPr>
            </w:pPr>
            <w:r>
              <w:rPr>
                <w:rFonts w:asciiTheme="minorHAnsi" w:hAnsiTheme="minorHAnsi" w:cstheme="minorHAnsi"/>
                <w:b/>
                <w:sz w:val="18"/>
                <w:szCs w:val="18"/>
              </w:rPr>
              <w:t>143</w:t>
            </w:r>
          </w:p>
        </w:tc>
        <w:tc>
          <w:tcPr>
            <w:tcW w:w="968" w:type="pct"/>
            <w:gridSpan w:val="2"/>
            <w:tcBorders>
              <w:bottom w:val="single" w:color="auto" w:sz="4" w:space="0"/>
            </w:tcBorders>
            <w:shd w:val="clear" w:color="auto" w:fill="FDE9D9" w:themeFill="accent6" w:themeFillTint="33"/>
            <w:vAlign w:val="center"/>
          </w:tcPr>
          <w:p w:rsidR="0011790D" w:rsidP="0083442C" w:rsidRDefault="0011790D">
            <w:pPr>
              <w:shd w:val="clear" w:color="auto" w:fill="FDE9D9" w:themeFill="accent6" w:themeFillTint="33"/>
              <w:jc w:val="center"/>
              <w:rPr>
                <w:rFonts w:asciiTheme="minorHAnsi" w:hAnsiTheme="minorHAnsi" w:cstheme="minorHAnsi"/>
                <w:b/>
                <w:sz w:val="18"/>
                <w:szCs w:val="18"/>
              </w:rPr>
            </w:pPr>
            <w:r>
              <w:rPr>
                <w:rFonts w:asciiTheme="minorHAnsi" w:hAnsiTheme="minorHAnsi" w:cstheme="minorHAnsi"/>
                <w:b/>
                <w:sz w:val="18"/>
                <w:szCs w:val="18"/>
              </w:rPr>
              <w:t>143</w:t>
            </w:r>
          </w:p>
        </w:tc>
        <w:tc>
          <w:tcPr>
            <w:tcW w:w="876" w:type="pct"/>
            <w:gridSpan w:val="2"/>
            <w:shd w:val="clear" w:color="auto" w:fill="FDE9D9" w:themeFill="accent6" w:themeFillTint="33"/>
            <w:vAlign w:val="center"/>
          </w:tcPr>
          <w:p w:rsidR="0011790D" w:rsidP="0083442C" w:rsidRDefault="0011790D">
            <w:pPr>
              <w:shd w:val="clear" w:color="auto" w:fill="FDE9D9" w:themeFill="accent6" w:themeFillTint="33"/>
              <w:jc w:val="center"/>
              <w:rPr>
                <w:rFonts w:asciiTheme="minorHAnsi" w:hAnsiTheme="minorHAnsi" w:cstheme="minorHAnsi"/>
                <w:b/>
                <w:sz w:val="18"/>
                <w:szCs w:val="18"/>
              </w:rPr>
            </w:pPr>
            <w:r>
              <w:rPr>
                <w:rFonts w:asciiTheme="minorHAnsi" w:hAnsiTheme="minorHAnsi" w:cstheme="minorHAnsi"/>
                <w:b/>
                <w:sz w:val="18"/>
                <w:szCs w:val="18"/>
              </w:rPr>
              <w:t>10,682</w:t>
            </w:r>
          </w:p>
        </w:tc>
        <w:tc>
          <w:tcPr>
            <w:tcW w:w="1124" w:type="pct"/>
            <w:tcBorders>
              <w:left w:val="dotted" w:color="auto" w:sz="4" w:space="0"/>
            </w:tcBorders>
            <w:shd w:val="clear" w:color="auto" w:fill="FDE9D9" w:themeFill="accent6" w:themeFillTint="33"/>
            <w:vAlign w:val="center"/>
          </w:tcPr>
          <w:p w:rsidRPr="00A243CB" w:rsidR="0011790D" w:rsidP="0083442C" w:rsidRDefault="0011790D">
            <w:pPr>
              <w:shd w:val="clear" w:color="auto" w:fill="FDE9D9" w:themeFill="accent6" w:themeFillTint="33"/>
              <w:rPr>
                <w:rFonts w:asciiTheme="minorHAnsi" w:hAnsiTheme="minorHAnsi" w:cstheme="minorHAnsi"/>
                <w:b/>
                <w:sz w:val="18"/>
                <w:szCs w:val="18"/>
              </w:rPr>
            </w:pPr>
          </w:p>
        </w:tc>
      </w:tr>
    </w:tbl>
    <w:p w:rsidR="0011790D" w:rsidP="00BD7237" w:rsidRDefault="0011790D">
      <w:pPr>
        <w:pStyle w:val="BodyText"/>
        <w:spacing w:before="7"/>
        <w:ind w:left="0"/>
        <w:rPr>
          <w:rFonts w:cs="Times New Roman"/>
          <w:b/>
        </w:rPr>
      </w:pPr>
    </w:p>
    <w:tbl>
      <w:tblPr>
        <w:tblW w:w="5727" w:type="pct"/>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0"/>
        <w:gridCol w:w="1257"/>
        <w:gridCol w:w="1276"/>
        <w:gridCol w:w="1260"/>
        <w:gridCol w:w="1746"/>
        <w:gridCol w:w="3875"/>
      </w:tblGrid>
      <w:tr w:rsidRPr="00A243CB" w:rsidR="0011790D" w:rsidTr="0083442C">
        <w:tc>
          <w:tcPr>
            <w:tcW w:w="919" w:type="pct"/>
            <w:vMerge w:val="restart"/>
            <w:shd w:val="clear" w:color="auto" w:fill="4F81BD" w:themeFill="accent1"/>
            <w:vAlign w:val="center"/>
          </w:tcPr>
          <w:p w:rsidRPr="00A243CB" w:rsidR="0011790D" w:rsidP="0083442C" w:rsidRDefault="0011790D">
            <w:pPr>
              <w:ind w:left="-20" w:firstLine="20"/>
              <w:rPr>
                <w:rFonts w:asciiTheme="minorHAnsi" w:hAnsiTheme="minorHAnsi" w:cstheme="minorHAnsi"/>
                <w:b/>
                <w:sz w:val="18"/>
                <w:szCs w:val="18"/>
              </w:rPr>
            </w:pPr>
            <w:r w:rsidRPr="00A243CB">
              <w:rPr>
                <w:rFonts w:asciiTheme="minorHAnsi" w:hAnsiTheme="minorHAnsi" w:cstheme="minorHAnsi"/>
                <w:b/>
                <w:sz w:val="18"/>
                <w:szCs w:val="18"/>
              </w:rPr>
              <w:t>Information Collection</w:t>
            </w:r>
          </w:p>
        </w:tc>
        <w:tc>
          <w:tcPr>
            <w:tcW w:w="1098" w:type="pct"/>
            <w:gridSpan w:val="2"/>
            <w:tcBorders>
              <w:bottom w:val="single" w:color="auto" w:sz="4" w:space="0"/>
            </w:tcBorders>
            <w:shd w:val="clear" w:color="auto" w:fill="4F81BD" w:themeFill="accent1"/>
            <w:vAlign w:val="center"/>
          </w:tcPr>
          <w:p w:rsidRPr="00A243CB" w:rsidR="0011790D" w:rsidP="0083442C" w:rsidRDefault="0011790D">
            <w:pPr>
              <w:jc w:val="center"/>
              <w:rPr>
                <w:rFonts w:asciiTheme="minorHAnsi" w:hAnsiTheme="minorHAnsi" w:cstheme="minorHAnsi"/>
                <w:b/>
                <w:sz w:val="18"/>
                <w:szCs w:val="18"/>
              </w:rPr>
            </w:pPr>
            <w:r w:rsidRPr="00A243CB">
              <w:rPr>
                <w:rFonts w:asciiTheme="minorHAnsi" w:hAnsiTheme="minorHAnsi" w:cstheme="minorHAnsi"/>
                <w:b/>
                <w:sz w:val="18"/>
                <w:szCs w:val="18"/>
              </w:rPr>
              <w:t>Labor Costs</w:t>
            </w:r>
          </w:p>
        </w:tc>
        <w:tc>
          <w:tcPr>
            <w:tcW w:w="1303" w:type="pct"/>
            <w:gridSpan w:val="2"/>
            <w:shd w:val="clear" w:color="auto" w:fill="4F81BD" w:themeFill="accent1"/>
            <w:vAlign w:val="center"/>
          </w:tcPr>
          <w:p w:rsidRPr="00A243CB" w:rsidR="0011790D" w:rsidP="0083442C" w:rsidRDefault="0011790D">
            <w:pPr>
              <w:jc w:val="center"/>
              <w:rPr>
                <w:rFonts w:asciiTheme="minorHAnsi" w:hAnsiTheme="minorHAnsi" w:cstheme="minorHAnsi"/>
                <w:b/>
                <w:sz w:val="18"/>
                <w:szCs w:val="18"/>
              </w:rPr>
            </w:pPr>
            <w:r w:rsidRPr="00A243CB">
              <w:rPr>
                <w:rFonts w:asciiTheme="minorHAnsi" w:hAnsiTheme="minorHAnsi" w:cstheme="minorHAnsi"/>
                <w:b/>
                <w:sz w:val="18"/>
                <w:szCs w:val="18"/>
              </w:rPr>
              <w:t>Miscellaneous Costs</w:t>
            </w:r>
          </w:p>
        </w:tc>
        <w:tc>
          <w:tcPr>
            <w:tcW w:w="1680" w:type="pct"/>
            <w:vMerge w:val="restart"/>
            <w:tcBorders>
              <w:right w:val="single" w:color="auto" w:sz="4" w:space="0"/>
            </w:tcBorders>
            <w:shd w:val="clear" w:color="auto" w:fill="4F81BD" w:themeFill="accent1"/>
            <w:vAlign w:val="center"/>
          </w:tcPr>
          <w:p w:rsidRPr="00A243CB" w:rsidR="0011790D" w:rsidP="0083442C" w:rsidRDefault="0011790D">
            <w:pPr>
              <w:rPr>
                <w:rFonts w:asciiTheme="minorHAnsi" w:hAnsiTheme="minorHAnsi" w:cstheme="minorHAnsi"/>
                <w:b/>
                <w:sz w:val="18"/>
                <w:szCs w:val="18"/>
              </w:rPr>
            </w:pPr>
            <w:r w:rsidRPr="00A243CB">
              <w:rPr>
                <w:rFonts w:asciiTheme="minorHAnsi" w:hAnsiTheme="minorHAnsi" w:cstheme="minorHAnsi"/>
                <w:b/>
                <w:sz w:val="18"/>
                <w:szCs w:val="18"/>
              </w:rPr>
              <w:t>Reason for change or adjustment</w:t>
            </w:r>
          </w:p>
        </w:tc>
      </w:tr>
      <w:tr w:rsidRPr="00A243CB" w:rsidR="0011790D" w:rsidTr="0083442C">
        <w:tc>
          <w:tcPr>
            <w:tcW w:w="919" w:type="pct"/>
            <w:vMerge/>
            <w:shd w:val="clear" w:color="auto" w:fill="4F81BD" w:themeFill="accent1"/>
            <w:vAlign w:val="center"/>
          </w:tcPr>
          <w:p w:rsidRPr="00A243CB" w:rsidR="0011790D" w:rsidP="0083442C" w:rsidRDefault="0011790D">
            <w:pPr>
              <w:ind w:left="-20" w:firstLine="20"/>
              <w:rPr>
                <w:rFonts w:asciiTheme="minorHAnsi" w:hAnsiTheme="minorHAnsi" w:cstheme="minorHAnsi"/>
                <w:sz w:val="18"/>
                <w:szCs w:val="18"/>
              </w:rPr>
            </w:pPr>
          </w:p>
        </w:tc>
        <w:tc>
          <w:tcPr>
            <w:tcW w:w="545" w:type="pct"/>
            <w:tcBorders>
              <w:bottom w:val="single" w:color="auto" w:sz="4" w:space="0"/>
              <w:right w:val="dashSmallGap"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Current</w:t>
            </w:r>
          </w:p>
        </w:tc>
        <w:tc>
          <w:tcPr>
            <w:tcW w:w="553" w:type="pct"/>
            <w:tcBorders>
              <w:left w:val="dashSmallGap" w:color="auto" w:sz="4" w:space="0"/>
              <w:bottom w:val="single"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Previous</w:t>
            </w:r>
          </w:p>
        </w:tc>
        <w:tc>
          <w:tcPr>
            <w:tcW w:w="546" w:type="pct"/>
            <w:tcBorders>
              <w:right w:val="dashSmallGap"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Current</w:t>
            </w:r>
          </w:p>
        </w:tc>
        <w:tc>
          <w:tcPr>
            <w:tcW w:w="757" w:type="pct"/>
            <w:tcBorders>
              <w:left w:val="dashSmallGap" w:color="auto" w:sz="4" w:space="0"/>
            </w:tcBorders>
            <w:shd w:val="clear" w:color="auto" w:fill="FBE4D5"/>
            <w:vAlign w:val="center"/>
          </w:tcPr>
          <w:p w:rsidRPr="00A243CB" w:rsidR="0011790D" w:rsidP="0083442C" w:rsidRDefault="0011790D">
            <w:pPr>
              <w:jc w:val="center"/>
              <w:rPr>
                <w:rFonts w:asciiTheme="minorHAnsi" w:hAnsiTheme="minorHAnsi" w:cstheme="minorHAnsi"/>
                <w:sz w:val="18"/>
                <w:szCs w:val="18"/>
              </w:rPr>
            </w:pPr>
            <w:r w:rsidRPr="00A243CB">
              <w:rPr>
                <w:rFonts w:asciiTheme="minorHAnsi" w:hAnsiTheme="minorHAnsi" w:cstheme="minorHAnsi"/>
                <w:sz w:val="18"/>
                <w:szCs w:val="18"/>
              </w:rPr>
              <w:t>Previous</w:t>
            </w:r>
          </w:p>
        </w:tc>
        <w:tc>
          <w:tcPr>
            <w:tcW w:w="1680" w:type="pct"/>
            <w:vMerge/>
            <w:tcBorders>
              <w:right w:val="single" w:color="auto" w:sz="4" w:space="0"/>
            </w:tcBorders>
            <w:shd w:val="clear" w:color="auto" w:fill="FBE4D5"/>
            <w:vAlign w:val="center"/>
          </w:tcPr>
          <w:p w:rsidRPr="00A243CB" w:rsidR="0011790D" w:rsidP="0083442C" w:rsidRDefault="0011790D">
            <w:pPr>
              <w:rPr>
                <w:rFonts w:asciiTheme="minorHAnsi" w:hAnsiTheme="minorHAnsi" w:cstheme="minorHAnsi"/>
                <w:sz w:val="18"/>
                <w:szCs w:val="18"/>
              </w:rPr>
            </w:pP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 IHA Application</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$162,786.11</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 xml:space="preserve"> $20,558 </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 xml:space="preserve"> $20,558 </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IHA Interim Draft Report</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$914.70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 xml:space="preserve">IHA Draft Report </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$81,103.40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$20,558 </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$20,558 </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IHA Final Report</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$16,220.68</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$20,558 </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$20,558 </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 xml:space="preserve">LOA - Initial Application Preparation </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$36,588.00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sz w:val="18"/>
                <w:szCs w:val="18"/>
              </w:rPr>
              <w:t>LOA - Annual LOA Application</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w:t>
            </w:r>
            <w:r>
              <w:rPr>
                <w:rFonts w:asciiTheme="minorHAnsi" w:hAnsiTheme="minorHAnsi" w:cstheme="minorHAnsi"/>
                <w:color w:val="000000"/>
                <w:sz w:val="18"/>
                <w:szCs w:val="18"/>
              </w:rPr>
              <w:t>224,101.50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w:t>
            </w:r>
            <w:r>
              <w:rPr>
                <w:rFonts w:asciiTheme="minorHAnsi" w:hAnsiTheme="minorHAnsi" w:cstheme="minorHAnsi"/>
                <w:color w:val="000000"/>
                <w:sz w:val="18"/>
                <w:szCs w:val="18"/>
              </w:rPr>
              <w:t>113,610</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$10,820</w:t>
            </w:r>
          </w:p>
        </w:tc>
        <w:tc>
          <w:tcPr>
            <w:tcW w:w="1680" w:type="pct"/>
            <w:tcBorders>
              <w:left w:val="dotted" w:color="auto" w:sz="4" w:space="0"/>
              <w:bottom w:val="dotted" w:color="auto" w:sz="4" w:space="0"/>
            </w:tcBorders>
            <w:shd w:val="clear" w:color="auto" w:fill="auto"/>
            <w:vAlign w:val="center"/>
          </w:tcPr>
          <w:p w:rsidR="0011790D" w:rsidP="0083442C" w:rsidRDefault="0011790D">
            <w:pPr>
              <w:rPr>
                <w:rFonts w:asciiTheme="minorHAnsi" w:hAnsiTheme="minorHAnsi" w:cstheme="minorHAnsi"/>
                <w:sz w:val="18"/>
                <w:szCs w:val="18"/>
              </w:rPr>
            </w:pPr>
            <w:r>
              <w:rPr>
                <w:rFonts w:asciiTheme="minorHAnsi" w:hAnsiTheme="minorHAnsi" w:cstheme="minorHAnsi"/>
                <w:sz w:val="18"/>
                <w:szCs w:val="18"/>
              </w:rPr>
              <w:t>GOM Rule</w:t>
            </w:r>
          </w:p>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 xml:space="preserve">LOA - Draft Annual Report </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$68,602.50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$10,820</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$10,820</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 xml:space="preserve">LOA - Final Annual Report </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$21,343.00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$10,820</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$10,820</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LOA - LOA Draft Final Report</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$39,027.20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$2,164</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$2,164</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LOA - LOA Final Report</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$18,294.00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$2,164</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$2,164</w:t>
            </w:r>
          </w:p>
        </w:tc>
        <w:tc>
          <w:tcPr>
            <w:tcW w:w="1680" w:type="pct"/>
            <w:tcBorders>
              <w:left w:val="dotted" w:color="auto" w:sz="4" w:space="0"/>
              <w:bottom w:val="dotted" w:color="auto" w:sz="4" w:space="0"/>
            </w:tcBorders>
            <w:shd w:val="clear" w:color="auto" w:fill="auto"/>
            <w:vAlign w:val="center"/>
          </w:tcPr>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 xml:space="preserve">Labor Costs calculated using BLS Occupational </w:t>
            </w:r>
            <w:r>
              <w:rPr>
                <w:rFonts w:asciiTheme="minorHAnsi" w:hAnsiTheme="minorHAnsi" w:cstheme="minorHAnsi"/>
                <w:sz w:val="18"/>
                <w:szCs w:val="18"/>
              </w:rPr>
              <w:lastRenderedPageBreak/>
              <w:t>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lastRenderedPageBreak/>
              <w:t xml:space="preserve">GOM - Draft Annual Report </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w:t>
            </w:r>
            <w:r>
              <w:rPr>
                <w:rFonts w:asciiTheme="minorHAnsi" w:hAnsiTheme="minorHAnsi" w:cstheme="minorHAnsi"/>
                <w:color w:val="000000"/>
                <w:sz w:val="18"/>
                <w:szCs w:val="18"/>
              </w:rPr>
              <w:t>102,446.40</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w:t>
            </w:r>
            <w:r>
              <w:rPr>
                <w:rFonts w:asciiTheme="minorHAnsi" w:hAnsiTheme="minorHAnsi" w:cstheme="minorHAnsi"/>
                <w:color w:val="000000"/>
                <w:sz w:val="18"/>
                <w:szCs w:val="18"/>
              </w:rPr>
              <w:t>25,968</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$0</w:t>
            </w:r>
          </w:p>
        </w:tc>
        <w:tc>
          <w:tcPr>
            <w:tcW w:w="1680" w:type="pct"/>
            <w:tcBorders>
              <w:left w:val="dotted" w:color="auto" w:sz="4" w:space="0"/>
              <w:bottom w:val="dotted" w:color="auto" w:sz="4" w:space="0"/>
            </w:tcBorders>
            <w:shd w:val="clear" w:color="auto" w:fill="auto"/>
            <w:vAlign w:val="center"/>
          </w:tcPr>
          <w:p w:rsidR="0011790D" w:rsidP="0083442C" w:rsidRDefault="0011790D">
            <w:pPr>
              <w:rPr>
                <w:rFonts w:asciiTheme="minorHAnsi" w:hAnsiTheme="minorHAnsi" w:cstheme="minorHAnsi"/>
                <w:sz w:val="18"/>
                <w:szCs w:val="18"/>
              </w:rPr>
            </w:pPr>
            <w:r>
              <w:rPr>
                <w:rFonts w:asciiTheme="minorHAnsi" w:hAnsiTheme="minorHAnsi" w:cstheme="minorHAnsi"/>
                <w:sz w:val="18"/>
                <w:szCs w:val="18"/>
              </w:rPr>
              <w:t>GOM Rule</w:t>
            </w:r>
          </w:p>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tcBorders>
              <w:top w:val="nil"/>
              <w:left w:val="single" w:color="auto" w:sz="8" w:space="0"/>
              <w:bottom w:val="single" w:color="auto" w:sz="4" w:space="0"/>
              <w:right w:val="single" w:color="auto" w:sz="4" w:space="0"/>
            </w:tcBorders>
            <w:shd w:val="clear" w:color="auto" w:fill="auto"/>
            <w:vAlign w:val="bottom"/>
          </w:tcPr>
          <w:p w:rsidRPr="00A243CB" w:rsidR="0011790D" w:rsidP="0083442C" w:rsidRDefault="0011790D">
            <w:pPr>
              <w:ind w:left="-20" w:firstLine="20"/>
              <w:rPr>
                <w:rFonts w:asciiTheme="minorHAnsi" w:hAnsiTheme="minorHAnsi" w:cstheme="minorHAnsi"/>
                <w:sz w:val="18"/>
                <w:szCs w:val="18"/>
              </w:rPr>
            </w:pPr>
            <w:r w:rsidRPr="00A243CB">
              <w:rPr>
                <w:rFonts w:asciiTheme="minorHAnsi" w:hAnsiTheme="minorHAnsi" w:cstheme="minorHAnsi"/>
                <w:color w:val="000000"/>
                <w:sz w:val="18"/>
                <w:szCs w:val="18"/>
              </w:rPr>
              <w:t xml:space="preserve">GOM - Final Annual Report </w:t>
            </w:r>
          </w:p>
        </w:tc>
        <w:tc>
          <w:tcPr>
            <w:tcW w:w="545" w:type="pct"/>
            <w:tcBorders>
              <w:top w:val="single" w:color="auto" w:sz="4" w:space="0"/>
              <w:left w:val="nil"/>
              <w:bottom w:val="single" w:color="auto" w:sz="4" w:space="0"/>
              <w:right w:val="single"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w:t>
            </w:r>
            <w:r>
              <w:rPr>
                <w:rFonts w:asciiTheme="minorHAnsi" w:hAnsiTheme="minorHAnsi" w:cstheme="minorHAnsi"/>
                <w:sz w:val="18"/>
                <w:szCs w:val="18"/>
              </w:rPr>
              <w:t>20,489.28</w:t>
            </w:r>
          </w:p>
        </w:tc>
        <w:tc>
          <w:tcPr>
            <w:tcW w:w="553" w:type="pct"/>
            <w:tcBorders>
              <w:left w:val="dashSmallGap" w:color="auto" w:sz="4" w:space="0"/>
              <w:bottom w:val="dotted" w:color="auto" w:sz="4" w:space="0"/>
            </w:tcBorders>
            <w:shd w:val="clear" w:color="auto" w:fill="auto"/>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sz w:val="18"/>
                <w:szCs w:val="18"/>
              </w:rPr>
              <w:t>N/A</w:t>
            </w:r>
          </w:p>
        </w:tc>
        <w:tc>
          <w:tcPr>
            <w:tcW w:w="546"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w:t>
            </w:r>
            <w:r>
              <w:rPr>
                <w:rFonts w:asciiTheme="minorHAnsi" w:hAnsiTheme="minorHAnsi" w:cstheme="minorHAnsi"/>
                <w:color w:val="000000"/>
                <w:sz w:val="18"/>
                <w:szCs w:val="18"/>
              </w:rPr>
              <w:t>25,968</w:t>
            </w:r>
          </w:p>
        </w:tc>
        <w:tc>
          <w:tcPr>
            <w:tcW w:w="757" w:type="pct"/>
            <w:tcBorders>
              <w:top w:val="nil"/>
              <w:left w:val="nil"/>
              <w:bottom w:val="single" w:color="auto" w:sz="4" w:space="0"/>
              <w:right w:val="single" w:color="auto" w:sz="8" w:space="0"/>
            </w:tcBorders>
            <w:shd w:val="clear" w:color="000000" w:fill="FFFFFF"/>
            <w:vAlign w:val="center"/>
          </w:tcPr>
          <w:p w:rsidRPr="00A243CB" w:rsidR="0011790D" w:rsidP="0083442C" w:rsidRDefault="0011790D">
            <w:pPr>
              <w:jc w:val="right"/>
              <w:rPr>
                <w:rFonts w:asciiTheme="minorHAnsi" w:hAnsiTheme="minorHAnsi" w:cstheme="minorHAnsi"/>
                <w:sz w:val="18"/>
                <w:szCs w:val="18"/>
              </w:rPr>
            </w:pPr>
            <w:r w:rsidRPr="00A243CB">
              <w:rPr>
                <w:rFonts w:asciiTheme="minorHAnsi" w:hAnsiTheme="minorHAnsi" w:cstheme="minorHAnsi"/>
                <w:color w:val="000000"/>
                <w:sz w:val="18"/>
                <w:szCs w:val="18"/>
              </w:rPr>
              <w:t>$0</w:t>
            </w:r>
          </w:p>
        </w:tc>
        <w:tc>
          <w:tcPr>
            <w:tcW w:w="1680" w:type="pct"/>
            <w:tcBorders>
              <w:left w:val="dotted" w:color="auto" w:sz="4" w:space="0"/>
              <w:bottom w:val="dotted" w:color="auto" w:sz="4" w:space="0"/>
            </w:tcBorders>
            <w:shd w:val="clear" w:color="auto" w:fill="auto"/>
            <w:vAlign w:val="center"/>
          </w:tcPr>
          <w:p w:rsidR="0011790D" w:rsidP="0083442C" w:rsidRDefault="0011790D">
            <w:pPr>
              <w:rPr>
                <w:rFonts w:asciiTheme="minorHAnsi" w:hAnsiTheme="minorHAnsi" w:cstheme="minorHAnsi"/>
                <w:sz w:val="18"/>
                <w:szCs w:val="18"/>
              </w:rPr>
            </w:pPr>
            <w:r>
              <w:rPr>
                <w:rFonts w:asciiTheme="minorHAnsi" w:hAnsiTheme="minorHAnsi" w:cstheme="minorHAnsi"/>
                <w:sz w:val="18"/>
                <w:szCs w:val="18"/>
              </w:rPr>
              <w:t>GOM Rule</w:t>
            </w:r>
          </w:p>
          <w:p w:rsidRPr="00A243CB" w:rsidR="0011790D" w:rsidP="0083442C" w:rsidRDefault="0011790D">
            <w:pPr>
              <w:rPr>
                <w:rFonts w:asciiTheme="minorHAnsi" w:hAnsiTheme="minorHAnsi" w:cstheme="minorHAnsi"/>
                <w:sz w:val="18"/>
                <w:szCs w:val="18"/>
              </w:rPr>
            </w:pPr>
            <w:r>
              <w:rPr>
                <w:rFonts w:asciiTheme="minorHAnsi" w:hAnsiTheme="minorHAnsi" w:cstheme="minorHAnsi"/>
                <w:sz w:val="18"/>
                <w:szCs w:val="18"/>
              </w:rPr>
              <w:t>Labor Costs calculated using BLS Occupational Employment Data.  These costs were not previously calculated for this collection.</w:t>
            </w:r>
          </w:p>
        </w:tc>
      </w:tr>
      <w:tr w:rsidRPr="00A243CB" w:rsidR="0011790D" w:rsidTr="0083442C">
        <w:tc>
          <w:tcPr>
            <w:tcW w:w="919" w:type="pct"/>
            <w:shd w:val="clear" w:color="auto" w:fill="B8CCE4" w:themeFill="accent1" w:themeFillTint="66"/>
            <w:vAlign w:val="center"/>
          </w:tcPr>
          <w:p w:rsidRPr="00A243CB" w:rsidR="0011790D" w:rsidP="0083442C" w:rsidRDefault="0011790D">
            <w:pPr>
              <w:ind w:left="-20" w:firstLine="20"/>
              <w:rPr>
                <w:rFonts w:asciiTheme="minorHAnsi" w:hAnsiTheme="minorHAnsi" w:cstheme="minorHAnsi"/>
                <w:b/>
                <w:sz w:val="18"/>
                <w:szCs w:val="18"/>
              </w:rPr>
            </w:pPr>
            <w:r w:rsidRPr="00A243CB">
              <w:rPr>
                <w:rFonts w:asciiTheme="minorHAnsi" w:hAnsiTheme="minorHAnsi" w:cstheme="minorHAnsi"/>
                <w:b/>
                <w:sz w:val="18"/>
                <w:szCs w:val="18"/>
              </w:rPr>
              <w:t>Total for Collection</w:t>
            </w:r>
          </w:p>
        </w:tc>
        <w:tc>
          <w:tcPr>
            <w:tcW w:w="545" w:type="pct"/>
            <w:tcBorders>
              <w:right w:val="dashSmallGap" w:color="auto" w:sz="4" w:space="0"/>
            </w:tcBorders>
            <w:shd w:val="clear" w:color="auto" w:fill="B8CCE4" w:themeFill="accent1" w:themeFillTint="66"/>
            <w:vAlign w:val="center"/>
          </w:tcPr>
          <w:p w:rsidRPr="00A243CB" w:rsidR="0011790D" w:rsidP="0083442C" w:rsidRDefault="0011790D">
            <w:pPr>
              <w:jc w:val="right"/>
              <w:rPr>
                <w:rFonts w:asciiTheme="minorHAnsi" w:hAnsiTheme="minorHAnsi" w:cstheme="minorHAnsi"/>
                <w:b/>
                <w:sz w:val="18"/>
                <w:szCs w:val="18"/>
              </w:rPr>
            </w:pPr>
            <w:r w:rsidRPr="00A243CB">
              <w:rPr>
                <w:rFonts w:asciiTheme="minorHAnsi" w:hAnsiTheme="minorHAnsi" w:cstheme="minorHAnsi"/>
                <w:b/>
                <w:sz w:val="18"/>
                <w:szCs w:val="18"/>
              </w:rPr>
              <w:t>$</w:t>
            </w:r>
            <w:r w:rsidRPr="00317622">
              <w:rPr>
                <w:rFonts w:asciiTheme="minorHAnsi" w:hAnsiTheme="minorHAnsi" w:cstheme="minorHAnsi"/>
                <w:b/>
                <w:sz w:val="18"/>
                <w:szCs w:val="18"/>
              </w:rPr>
              <w:t>791,916.77</w:t>
            </w:r>
          </w:p>
        </w:tc>
        <w:tc>
          <w:tcPr>
            <w:tcW w:w="553" w:type="pct"/>
            <w:tcBorders>
              <w:left w:val="dashSmallGap" w:color="auto" w:sz="4" w:space="0"/>
            </w:tcBorders>
            <w:shd w:val="clear" w:color="auto" w:fill="B8CCE4" w:themeFill="accent1" w:themeFillTint="66"/>
            <w:vAlign w:val="center"/>
          </w:tcPr>
          <w:p w:rsidRPr="00A243CB" w:rsidR="0011790D" w:rsidP="0083442C" w:rsidRDefault="0011790D">
            <w:pPr>
              <w:jc w:val="right"/>
              <w:rPr>
                <w:rFonts w:asciiTheme="minorHAnsi" w:hAnsiTheme="minorHAnsi" w:cstheme="minorHAnsi"/>
                <w:b/>
                <w:bCs/>
                <w:sz w:val="18"/>
                <w:szCs w:val="18"/>
              </w:rPr>
            </w:pPr>
            <w:r w:rsidRPr="00A243CB">
              <w:rPr>
                <w:rFonts w:asciiTheme="minorHAnsi" w:hAnsiTheme="minorHAnsi" w:cstheme="minorHAnsi"/>
                <w:b/>
                <w:bCs/>
                <w:sz w:val="18"/>
                <w:szCs w:val="18"/>
              </w:rPr>
              <w:t>N/A</w:t>
            </w:r>
          </w:p>
        </w:tc>
        <w:tc>
          <w:tcPr>
            <w:tcW w:w="546" w:type="pct"/>
            <w:tcBorders>
              <w:left w:val="dotted" w:color="auto" w:sz="4" w:space="0"/>
              <w:right w:val="dashSmallGap" w:color="auto" w:sz="4" w:space="0"/>
            </w:tcBorders>
            <w:shd w:val="clear" w:color="auto" w:fill="B8CCE4" w:themeFill="accent1" w:themeFillTint="66"/>
            <w:vAlign w:val="center"/>
          </w:tcPr>
          <w:p w:rsidRPr="00A243CB" w:rsidR="0011790D" w:rsidP="0083442C" w:rsidRDefault="0011790D">
            <w:pPr>
              <w:jc w:val="right"/>
              <w:rPr>
                <w:rFonts w:asciiTheme="minorHAnsi" w:hAnsiTheme="minorHAnsi" w:cstheme="minorHAnsi"/>
                <w:b/>
                <w:sz w:val="18"/>
                <w:szCs w:val="18"/>
              </w:rPr>
            </w:pPr>
            <w:r w:rsidRPr="00A243CB">
              <w:rPr>
                <w:rFonts w:asciiTheme="minorHAnsi" w:hAnsiTheme="minorHAnsi" w:cstheme="minorHAnsi"/>
                <w:b/>
                <w:sz w:val="18"/>
                <w:szCs w:val="18"/>
              </w:rPr>
              <w:t>$</w:t>
            </w:r>
            <w:r>
              <w:rPr>
                <w:rFonts w:asciiTheme="minorHAnsi" w:hAnsiTheme="minorHAnsi" w:cstheme="minorHAnsi"/>
                <w:b/>
                <w:sz w:val="18"/>
                <w:szCs w:val="18"/>
              </w:rPr>
              <w:t>255,352</w:t>
            </w:r>
          </w:p>
        </w:tc>
        <w:tc>
          <w:tcPr>
            <w:tcW w:w="757" w:type="pct"/>
            <w:tcBorders>
              <w:left w:val="dashSmallGap" w:color="auto" w:sz="4" w:space="0"/>
              <w:right w:val="single" w:color="auto" w:sz="4" w:space="0"/>
            </w:tcBorders>
            <w:shd w:val="clear" w:color="auto" w:fill="B8CCE4" w:themeFill="accent1" w:themeFillTint="66"/>
            <w:vAlign w:val="center"/>
          </w:tcPr>
          <w:p w:rsidRPr="00A243CB" w:rsidR="0011790D" w:rsidP="0083442C" w:rsidRDefault="0011790D">
            <w:pPr>
              <w:jc w:val="right"/>
              <w:rPr>
                <w:rFonts w:asciiTheme="minorHAnsi" w:hAnsiTheme="minorHAnsi" w:cstheme="minorHAnsi"/>
                <w:b/>
                <w:sz w:val="18"/>
                <w:szCs w:val="18"/>
              </w:rPr>
            </w:pPr>
            <w:r w:rsidRPr="00A243CB">
              <w:rPr>
                <w:rFonts w:asciiTheme="minorHAnsi" w:hAnsiTheme="minorHAnsi" w:cstheme="minorHAnsi"/>
                <w:b/>
                <w:sz w:val="18"/>
                <w:szCs w:val="18"/>
              </w:rPr>
              <w:t>$100,626</w:t>
            </w:r>
          </w:p>
        </w:tc>
        <w:tc>
          <w:tcPr>
            <w:tcW w:w="1680" w:type="pct"/>
            <w:tcBorders>
              <w:left w:val="single" w:color="auto" w:sz="4" w:space="0"/>
              <w:right w:val="single" w:color="auto" w:sz="4" w:space="0"/>
            </w:tcBorders>
            <w:shd w:val="clear" w:color="auto" w:fill="000000" w:themeFill="text1"/>
            <w:vAlign w:val="center"/>
          </w:tcPr>
          <w:p w:rsidRPr="00A243CB" w:rsidR="0011790D" w:rsidP="0083442C" w:rsidRDefault="0011790D">
            <w:pPr>
              <w:rPr>
                <w:rFonts w:asciiTheme="minorHAnsi" w:hAnsiTheme="minorHAnsi" w:cstheme="minorHAnsi"/>
                <w:b/>
                <w:sz w:val="18"/>
                <w:szCs w:val="18"/>
              </w:rPr>
            </w:pPr>
          </w:p>
        </w:tc>
      </w:tr>
      <w:tr w:rsidRPr="00A243CB" w:rsidR="0011790D" w:rsidTr="0083442C">
        <w:tc>
          <w:tcPr>
            <w:tcW w:w="919" w:type="pct"/>
            <w:shd w:val="clear" w:color="auto" w:fill="FDE9D9" w:themeFill="accent6" w:themeFillTint="33"/>
            <w:vAlign w:val="center"/>
          </w:tcPr>
          <w:p w:rsidRPr="00A243CB" w:rsidR="0011790D" w:rsidP="0083442C" w:rsidRDefault="0011790D">
            <w:pPr>
              <w:ind w:left="-20" w:firstLine="20"/>
              <w:rPr>
                <w:rFonts w:asciiTheme="minorHAnsi" w:hAnsiTheme="minorHAnsi" w:cstheme="minorHAnsi"/>
                <w:b/>
                <w:sz w:val="18"/>
                <w:szCs w:val="18"/>
              </w:rPr>
            </w:pPr>
            <w:r>
              <w:rPr>
                <w:rFonts w:asciiTheme="minorHAnsi" w:hAnsiTheme="minorHAnsi" w:cstheme="minorHAnsi"/>
                <w:b/>
                <w:sz w:val="18"/>
                <w:szCs w:val="18"/>
              </w:rPr>
              <w:t>Difference</w:t>
            </w:r>
          </w:p>
        </w:tc>
        <w:tc>
          <w:tcPr>
            <w:tcW w:w="1098" w:type="pct"/>
            <w:gridSpan w:val="2"/>
            <w:shd w:val="clear" w:color="auto" w:fill="FDE9D9" w:themeFill="accent6" w:themeFillTint="33"/>
            <w:vAlign w:val="center"/>
          </w:tcPr>
          <w:p w:rsidRPr="00A243CB" w:rsidR="0011790D" w:rsidP="0083442C" w:rsidRDefault="0011790D">
            <w:pPr>
              <w:jc w:val="center"/>
              <w:rPr>
                <w:rFonts w:asciiTheme="minorHAnsi" w:hAnsiTheme="minorHAnsi" w:cstheme="minorHAnsi"/>
                <w:b/>
                <w:bCs/>
                <w:sz w:val="18"/>
                <w:szCs w:val="18"/>
              </w:rPr>
            </w:pPr>
            <w:r>
              <w:rPr>
                <w:rFonts w:asciiTheme="minorHAnsi" w:hAnsiTheme="minorHAnsi" w:cstheme="minorHAnsi"/>
                <w:b/>
                <w:bCs/>
                <w:sz w:val="18"/>
                <w:szCs w:val="18"/>
              </w:rPr>
              <w:t>$</w:t>
            </w:r>
            <w:r w:rsidRPr="00317622">
              <w:rPr>
                <w:rFonts w:asciiTheme="minorHAnsi" w:hAnsiTheme="minorHAnsi" w:cstheme="minorHAnsi"/>
                <w:b/>
                <w:bCs/>
                <w:sz w:val="18"/>
                <w:szCs w:val="18"/>
              </w:rPr>
              <w:t>791,916.77</w:t>
            </w:r>
          </w:p>
        </w:tc>
        <w:tc>
          <w:tcPr>
            <w:tcW w:w="1303" w:type="pct"/>
            <w:gridSpan w:val="2"/>
            <w:tcBorders>
              <w:left w:val="dotted" w:color="auto" w:sz="4" w:space="0"/>
              <w:right w:val="single" w:color="auto" w:sz="4" w:space="0"/>
            </w:tcBorders>
            <w:shd w:val="clear" w:color="auto" w:fill="FDE9D9" w:themeFill="accent6" w:themeFillTint="33"/>
            <w:vAlign w:val="center"/>
          </w:tcPr>
          <w:p w:rsidRPr="00A243CB" w:rsidR="0011790D" w:rsidP="0083442C" w:rsidRDefault="0011790D">
            <w:pPr>
              <w:jc w:val="center"/>
              <w:rPr>
                <w:rFonts w:asciiTheme="minorHAnsi" w:hAnsiTheme="minorHAnsi" w:cstheme="minorHAnsi"/>
                <w:b/>
                <w:sz w:val="18"/>
                <w:szCs w:val="18"/>
              </w:rPr>
            </w:pPr>
            <w:r>
              <w:rPr>
                <w:rFonts w:asciiTheme="minorHAnsi" w:hAnsiTheme="minorHAnsi" w:cstheme="minorHAnsi"/>
                <w:b/>
                <w:sz w:val="18"/>
                <w:szCs w:val="18"/>
              </w:rPr>
              <w:t>$154,726</w:t>
            </w:r>
          </w:p>
        </w:tc>
        <w:tc>
          <w:tcPr>
            <w:tcW w:w="1680" w:type="pct"/>
            <w:tcBorders>
              <w:left w:val="single" w:color="auto" w:sz="4" w:space="0"/>
              <w:bottom w:val="single" w:color="auto" w:sz="4" w:space="0"/>
              <w:right w:val="single" w:color="auto" w:sz="4" w:space="0"/>
            </w:tcBorders>
            <w:shd w:val="clear" w:color="auto" w:fill="000000" w:themeFill="text1"/>
            <w:vAlign w:val="center"/>
          </w:tcPr>
          <w:p w:rsidRPr="00A243CB" w:rsidR="0011790D" w:rsidP="0083442C" w:rsidRDefault="0011790D">
            <w:pPr>
              <w:rPr>
                <w:rFonts w:asciiTheme="minorHAnsi" w:hAnsiTheme="minorHAnsi" w:cstheme="minorHAnsi"/>
                <w:b/>
                <w:sz w:val="18"/>
                <w:szCs w:val="18"/>
              </w:rPr>
            </w:pPr>
          </w:p>
        </w:tc>
      </w:tr>
    </w:tbl>
    <w:p w:rsidRPr="00117F9B" w:rsidR="0011790D" w:rsidP="0011790D" w:rsidRDefault="0011790D">
      <w:pPr>
        <w:rPr>
          <w:szCs w:val="24"/>
        </w:rPr>
      </w:pPr>
      <w:r>
        <w:rPr>
          <w:szCs w:val="24"/>
        </w:rPr>
        <w:t>Note: labor costs were not quantified in dollar terms for original application in 2017.</w:t>
      </w:r>
    </w:p>
    <w:p w:rsidRPr="004E4785" w:rsidR="00DF0CE3" w:rsidP="00BD7237" w:rsidRDefault="00DF0CE3">
      <w:pPr>
        <w:pStyle w:val="BodyText"/>
        <w:spacing w:before="7"/>
        <w:ind w:left="0"/>
        <w:rPr>
          <w:rFonts w:cs="Times New Roman"/>
          <w:b/>
        </w:rPr>
      </w:pPr>
    </w:p>
    <w:p w:rsidRPr="00380BC0" w:rsidR="0011790D" w:rsidP="0011790D" w:rsidRDefault="0011790D">
      <w:pPr>
        <w:rPr>
          <w:b/>
          <w:szCs w:val="24"/>
          <w:u w:val="single"/>
        </w:rPr>
      </w:pPr>
      <w:r>
        <w:rPr>
          <w:b/>
          <w:szCs w:val="24"/>
          <w:u w:val="single"/>
        </w:rPr>
        <w:t>Changes</w:t>
      </w:r>
      <w:r w:rsidRPr="00380BC0">
        <w:rPr>
          <w:b/>
          <w:szCs w:val="24"/>
          <w:u w:val="single"/>
        </w:rPr>
        <w:t xml:space="preserve"> to Reponses and Burden</w:t>
      </w:r>
    </w:p>
    <w:p w:rsidR="0011790D" w:rsidP="0011790D" w:rsidRDefault="0011790D">
      <w:pPr>
        <w:spacing w:before="120"/>
        <w:rPr>
          <w:szCs w:val="24"/>
        </w:rPr>
      </w:pPr>
      <w:r w:rsidRPr="00380BC0">
        <w:rPr>
          <w:szCs w:val="24"/>
        </w:rPr>
        <w:t xml:space="preserve">We based our </w:t>
      </w:r>
      <w:r>
        <w:rPr>
          <w:szCs w:val="24"/>
        </w:rPr>
        <w:t xml:space="preserve">prior </w:t>
      </w:r>
      <w:r w:rsidRPr="00380BC0">
        <w:rPr>
          <w:szCs w:val="24"/>
        </w:rPr>
        <w:t xml:space="preserve">burden estimates on </w:t>
      </w:r>
      <w:r>
        <w:rPr>
          <w:szCs w:val="24"/>
        </w:rPr>
        <w:t xml:space="preserve">our </w:t>
      </w:r>
      <w:r w:rsidRPr="00380BC0">
        <w:rPr>
          <w:szCs w:val="24"/>
        </w:rPr>
        <w:t xml:space="preserve">discussions with current Authorization holders from three different sectors (e.g., oil and gas, state agency, and Federal government) and an accounting of the number and different types of actions that we have processed during the </w:t>
      </w:r>
      <w:r>
        <w:rPr>
          <w:szCs w:val="24"/>
        </w:rPr>
        <w:t>past three years for the existing Control Number approval</w:t>
      </w:r>
      <w:r w:rsidRPr="00380BC0">
        <w:rPr>
          <w:szCs w:val="24"/>
        </w:rPr>
        <w:t xml:space="preserve">. The total number of respondents </w:t>
      </w:r>
      <w:r>
        <w:rPr>
          <w:szCs w:val="24"/>
        </w:rPr>
        <w:t>is expected to increase as a result of the GOM proposed rule that is the basis for this revision request. T</w:t>
      </w:r>
      <w:r w:rsidRPr="00380BC0">
        <w:rPr>
          <w:szCs w:val="24"/>
        </w:rPr>
        <w:t xml:space="preserve">he </w:t>
      </w:r>
      <w:r>
        <w:rPr>
          <w:szCs w:val="24"/>
        </w:rPr>
        <w:t>percentage</w:t>
      </w:r>
      <w:r w:rsidRPr="00380BC0">
        <w:rPr>
          <w:szCs w:val="24"/>
        </w:rPr>
        <w:t xml:space="preserve"> of non-Federal applicants for regulations/Letters of Authorization </w:t>
      </w:r>
      <w:r>
        <w:rPr>
          <w:szCs w:val="24"/>
        </w:rPr>
        <w:t xml:space="preserve">is likely to increase </w:t>
      </w:r>
      <w:r w:rsidRPr="003B617F">
        <w:rPr>
          <w:szCs w:val="24"/>
        </w:rPr>
        <w:t>as a result of the GOM proposed rule</w:t>
      </w:r>
      <w:r>
        <w:rPr>
          <w:szCs w:val="24"/>
        </w:rPr>
        <w:t xml:space="preserve"> as all of those applicants would be non-Federal. </w:t>
      </w:r>
      <w:r w:rsidRPr="00117F9B">
        <w:rPr>
          <w:szCs w:val="24"/>
        </w:rPr>
        <w:t>For the change in number of respondents and responses due to the G</w:t>
      </w:r>
      <w:r>
        <w:rPr>
          <w:szCs w:val="24"/>
        </w:rPr>
        <w:t>OM proposed rule we estimate 95</w:t>
      </w:r>
      <w:r w:rsidRPr="00117F9B">
        <w:rPr>
          <w:szCs w:val="24"/>
        </w:rPr>
        <w:t xml:space="preserve"> new LOA applications, the low end of the annual estimate discussed in the proposed rule because the GOM rule is not expected to be finalized until late 2020 and this OMB Control Number expires less than a year later (June 30, 2021). Because there will be less than a year for respondents to carry out work under the GOM regulations before this OMB Control Number expires, we estimate no more than </w:t>
      </w:r>
      <w:r>
        <w:rPr>
          <w:szCs w:val="24"/>
        </w:rPr>
        <w:t>one-quarter</w:t>
      </w:r>
      <w:r w:rsidRPr="00117F9B">
        <w:rPr>
          <w:szCs w:val="24"/>
        </w:rPr>
        <w:t xml:space="preserve"> of respondents (</w:t>
      </w:r>
      <w:r>
        <w:rPr>
          <w:szCs w:val="24"/>
        </w:rPr>
        <w:t>24</w:t>
      </w:r>
      <w:r w:rsidRPr="00117F9B">
        <w:rPr>
          <w:szCs w:val="24"/>
        </w:rPr>
        <w:t>) will complete work to the point of developing an annual report.</w:t>
      </w:r>
    </w:p>
    <w:p w:rsidRPr="00380BC0" w:rsidR="0011790D" w:rsidP="0011790D" w:rsidRDefault="0011790D">
      <w:pPr>
        <w:spacing w:before="120"/>
        <w:rPr>
          <w:szCs w:val="24"/>
        </w:rPr>
      </w:pPr>
      <w:r w:rsidRPr="00117F9B">
        <w:rPr>
          <w:szCs w:val="24"/>
        </w:rPr>
        <w:t xml:space="preserve">The makeup of our applicant pool and the nature and complexity of their requested activities may vary from one information collection request cycle to the next. This inter-cycle variability will contribute to fluctuations in estimations. </w:t>
      </w:r>
    </w:p>
    <w:p w:rsidRPr="004E4785" w:rsidR="0011790D" w:rsidP="00BD7237" w:rsidRDefault="0011790D">
      <w:pPr>
        <w:pStyle w:val="BodyText"/>
        <w:spacing w:before="7"/>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790D" w:rsidP="0011790D" w:rsidRDefault="0011790D">
      <w:pPr>
        <w:rPr>
          <w:szCs w:val="24"/>
        </w:rPr>
      </w:pPr>
    </w:p>
    <w:p w:rsidRPr="0011790D" w:rsidR="0011790D" w:rsidP="0011790D" w:rsidRDefault="0011790D">
      <w:pPr>
        <w:rPr>
          <w:szCs w:val="24"/>
        </w:rPr>
      </w:pPr>
      <w:r w:rsidRPr="0011790D">
        <w:rPr>
          <w:szCs w:val="24"/>
        </w:rPr>
        <w:t>There are no immediate plans for the government to publish the data. However, at times the public may extract the information contained in annual reports to analyze and publish the information in peer-reviewed journals.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seeking approval to not display the expiration date for OMB approval of the information collection, explain the reasons that display would be inappropriate.</w:t>
      </w:r>
    </w:p>
    <w:p w:rsidRPr="004E4785" w:rsidR="00F60F98" w:rsidP="00BD7237" w:rsidRDefault="001477A3">
      <w:pPr>
        <w:spacing w:before="161"/>
        <w:rPr>
          <w:rFonts w:cs="Times New Roman"/>
          <w:szCs w:val="24"/>
        </w:rPr>
      </w:pPr>
      <w:r w:rsidRPr="004E4785">
        <w:rPr>
          <w:rFonts w:cs="Times New Roman"/>
          <w:szCs w:val="24"/>
        </w:rPr>
        <w:t>The agency plans to display the expiration date for OMB approval of the information</w:t>
      </w:r>
      <w:r w:rsidRPr="004E4785" w:rsidR="001C3806">
        <w:rPr>
          <w:rFonts w:cs="Times New Roman"/>
          <w:szCs w:val="24"/>
        </w:rPr>
        <w:t xml:space="preserve"> collection on all instruments.</w:t>
      </w:r>
    </w:p>
    <w:p w:rsidRPr="004E4785" w:rsidR="008E61C9" w:rsidP="00BD7237" w:rsidRDefault="008E61C9">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Pr="004E4785" w:rsidR="008E61C9" w:rsidP="004C4050" w:rsidRDefault="001477A3">
      <w:pPr>
        <w:spacing w:before="221" w:line="259" w:lineRule="auto"/>
        <w:jc w:val="both"/>
        <w:rPr>
          <w:rFonts w:cs="Times New Roman"/>
          <w:szCs w:val="24"/>
        </w:rPr>
      </w:pPr>
      <w:r w:rsidRPr="004E4785">
        <w:rPr>
          <w:rFonts w:cs="Times New Roman"/>
          <w:szCs w:val="24"/>
        </w:rPr>
        <w:lastRenderedPageBreak/>
        <w:t xml:space="preserve">The agency certifies compliance with </w:t>
      </w:r>
      <w:hyperlink r:id="rId27">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28">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29">
        <w:r w:rsidRPr="004E4785">
          <w:rPr>
            <w:rFonts w:cs="Times New Roman"/>
            <w:color w:val="0563C1"/>
            <w:szCs w:val="24"/>
            <w:u w:val="thick" w:color="0563C1"/>
          </w:rPr>
          <w:t>1320.8(b)(3)</w:t>
        </w:r>
      </w:hyperlink>
      <w:r w:rsidRPr="004E4785" w:rsidR="00F60F98">
        <w:rPr>
          <w:rFonts w:cs="Times New Roman"/>
          <w:szCs w:val="24"/>
        </w:rPr>
        <w:t>.</w:t>
      </w:r>
    </w:p>
    <w:sectPr w:rsidRPr="004E4785" w:rsidR="008E61C9" w:rsidSect="0011790D">
      <w:pgSz w:w="12240" w:h="15840"/>
      <w:pgMar w:top="640" w:right="1080" w:bottom="1200" w:left="108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C9" w:rsidRDefault="00426FC9">
      <w:r>
        <w:separator/>
      </w:r>
    </w:p>
  </w:endnote>
  <w:endnote w:type="continuationSeparator" w:id="0">
    <w:p w:rsidR="00426FC9" w:rsidRDefault="0042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467565"/>
      <w:docPartObj>
        <w:docPartGallery w:val="Page Numbers (Bottom of Page)"/>
        <w:docPartUnique/>
      </w:docPartObj>
    </w:sdtPr>
    <w:sdtEndPr>
      <w:rPr>
        <w:noProof/>
      </w:rPr>
    </w:sdtEndPr>
    <w:sdtContent>
      <w:p w:rsidR="0011790D" w:rsidRDefault="0011790D">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sdtContent>
  </w:sdt>
  <w:p w:rsidR="00426FC9" w:rsidRDefault="00426FC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C9" w:rsidRDefault="00426FC9">
      <w:r>
        <w:separator/>
      </w:r>
    </w:p>
  </w:footnote>
  <w:footnote w:type="continuationSeparator" w:id="0">
    <w:p w:rsidR="00426FC9" w:rsidRDefault="0042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0776A7E"/>
    <w:multiLevelType w:val="hybridMultilevel"/>
    <w:tmpl w:val="0366B17C"/>
    <w:lvl w:ilvl="0" w:tplc="BB6E0B6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2993259B"/>
    <w:multiLevelType w:val="hybridMultilevel"/>
    <w:tmpl w:val="ECF2C51C"/>
    <w:lvl w:ilvl="0" w:tplc="A4D63D5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9"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3ECC5509"/>
    <w:multiLevelType w:val="hybridMultilevel"/>
    <w:tmpl w:val="629090DA"/>
    <w:lvl w:ilvl="0" w:tplc="BB6E0B6E">
      <w:start w:val="1"/>
      <w:numFmt w:val="decimal"/>
      <w:lvlText w:val="(%1)"/>
      <w:lvlJc w:val="left"/>
      <w:pPr>
        <w:ind w:left="-360" w:hanging="360"/>
      </w:pPr>
      <w:rPr>
        <w:rFonts w:hint="default"/>
      </w:rPr>
    </w:lvl>
    <w:lvl w:ilvl="1" w:tplc="04090017">
      <w:start w:val="1"/>
      <w:numFmt w:val="lowerLetter"/>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9AF045F"/>
    <w:multiLevelType w:val="hybridMultilevel"/>
    <w:tmpl w:val="F79E18E2"/>
    <w:lvl w:ilvl="0" w:tplc="BB6E0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A19B7"/>
    <w:multiLevelType w:val="hybridMultilevel"/>
    <w:tmpl w:val="3BEAEACC"/>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5"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6"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7" w15:restartNumberingAfterBreak="0">
    <w:nsid w:val="74E54F3E"/>
    <w:multiLevelType w:val="hybridMultilevel"/>
    <w:tmpl w:val="AC4C880A"/>
    <w:lvl w:ilvl="0" w:tplc="A4D63D54">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9" w15:restartNumberingAfterBreak="0">
    <w:nsid w:val="7C772498"/>
    <w:multiLevelType w:val="hybridMultilevel"/>
    <w:tmpl w:val="43AA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4"/>
  </w:num>
  <w:num w:numId="2">
    <w:abstractNumId w:val="3"/>
  </w:num>
  <w:num w:numId="3">
    <w:abstractNumId w:val="16"/>
  </w:num>
  <w:num w:numId="4">
    <w:abstractNumId w:val="4"/>
  </w:num>
  <w:num w:numId="5">
    <w:abstractNumId w:val="8"/>
  </w:num>
  <w:num w:numId="6">
    <w:abstractNumId w:val="9"/>
  </w:num>
  <w:num w:numId="7">
    <w:abstractNumId w:val="5"/>
  </w:num>
  <w:num w:numId="8">
    <w:abstractNumId w:val="2"/>
  </w:num>
  <w:num w:numId="9">
    <w:abstractNumId w:val="11"/>
  </w:num>
  <w:num w:numId="10">
    <w:abstractNumId w:val="18"/>
  </w:num>
  <w:num w:numId="11">
    <w:abstractNumId w:val="6"/>
  </w:num>
  <w:num w:numId="12">
    <w:abstractNumId w:val="15"/>
  </w:num>
  <w:num w:numId="13">
    <w:abstractNumId w:val="0"/>
  </w:num>
  <w:num w:numId="14">
    <w:abstractNumId w:val="20"/>
  </w:num>
  <w:num w:numId="15">
    <w:abstractNumId w:val="13"/>
  </w:num>
  <w:num w:numId="16">
    <w:abstractNumId w:val="17"/>
  </w:num>
  <w:num w:numId="17">
    <w:abstractNumId w:val="19"/>
  </w:num>
  <w:num w:numId="18">
    <w:abstractNumId w:val="7"/>
  </w:num>
  <w:num w:numId="19">
    <w:abstractNumId w:val="1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A1E85"/>
    <w:rsid w:val="000F0BFB"/>
    <w:rsid w:val="00115034"/>
    <w:rsid w:val="0011790D"/>
    <w:rsid w:val="001477A3"/>
    <w:rsid w:val="00167FF4"/>
    <w:rsid w:val="0019212B"/>
    <w:rsid w:val="001C0FB0"/>
    <w:rsid w:val="001C3806"/>
    <w:rsid w:val="00210CE6"/>
    <w:rsid w:val="0036499A"/>
    <w:rsid w:val="00426FC9"/>
    <w:rsid w:val="004C4050"/>
    <w:rsid w:val="004E4785"/>
    <w:rsid w:val="004F32E9"/>
    <w:rsid w:val="0050663C"/>
    <w:rsid w:val="00677894"/>
    <w:rsid w:val="007A21BF"/>
    <w:rsid w:val="0082262E"/>
    <w:rsid w:val="008E61C9"/>
    <w:rsid w:val="009B116F"/>
    <w:rsid w:val="009C713E"/>
    <w:rsid w:val="00AD1431"/>
    <w:rsid w:val="00AD441D"/>
    <w:rsid w:val="00BD7237"/>
    <w:rsid w:val="00CA2C2D"/>
    <w:rsid w:val="00CC3B4D"/>
    <w:rsid w:val="00D64DF9"/>
    <w:rsid w:val="00DF0CE3"/>
    <w:rsid w:val="00E874CD"/>
    <w:rsid w:val="00EA79E9"/>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8D638"/>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rsid w:val="00167FF4"/>
    <w:rPr>
      <w:color w:val="0000FF"/>
      <w:u w:val="single"/>
    </w:rPr>
  </w:style>
  <w:style w:type="paragraph" w:styleId="Header">
    <w:name w:val="header"/>
    <w:basedOn w:val="Normal"/>
    <w:link w:val="HeaderChar"/>
    <w:uiPriority w:val="99"/>
    <w:unhideWhenUsed/>
    <w:rsid w:val="00167FF4"/>
    <w:pPr>
      <w:tabs>
        <w:tab w:val="center" w:pos="4680"/>
        <w:tab w:val="right" w:pos="9360"/>
      </w:tabs>
    </w:pPr>
  </w:style>
  <w:style w:type="character" w:customStyle="1" w:styleId="HeaderChar">
    <w:name w:val="Header Char"/>
    <w:basedOn w:val="DefaultParagraphFont"/>
    <w:link w:val="Header"/>
    <w:uiPriority w:val="99"/>
    <w:rsid w:val="00167FF4"/>
  </w:style>
  <w:style w:type="paragraph" w:styleId="Footer">
    <w:name w:val="footer"/>
    <w:basedOn w:val="Normal"/>
    <w:link w:val="FooterChar"/>
    <w:uiPriority w:val="99"/>
    <w:unhideWhenUsed/>
    <w:rsid w:val="00167FF4"/>
    <w:pPr>
      <w:tabs>
        <w:tab w:val="center" w:pos="4680"/>
        <w:tab w:val="right" w:pos="9360"/>
      </w:tabs>
    </w:pPr>
  </w:style>
  <w:style w:type="character" w:customStyle="1" w:styleId="FooterChar">
    <w:name w:val="Footer Char"/>
    <w:basedOn w:val="DefaultParagraphFont"/>
    <w:link w:val="Footer"/>
    <w:uiPriority w:val="99"/>
    <w:rsid w:val="00167FF4"/>
  </w:style>
  <w:style w:type="paragraph" w:customStyle="1" w:styleId="1AutoList1">
    <w:name w:val="1AutoList1"/>
    <w:rsid w:val="00167FF4"/>
    <w:pPr>
      <w:adjustRightInd w:val="0"/>
      <w:ind w:left="-1440"/>
      <w:jc w:val="both"/>
    </w:pPr>
    <w:rPr>
      <w:rFonts w:eastAsia="Times New Roman" w:cs="Times New Roman"/>
      <w:szCs w:val="24"/>
    </w:rPr>
  </w:style>
  <w:style w:type="paragraph" w:customStyle="1" w:styleId="2AutoList1">
    <w:name w:val="2AutoList1"/>
    <w:rsid w:val="00167FF4"/>
    <w:pPr>
      <w:adjustRightInd w:val="0"/>
      <w:ind w:left="-1440"/>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4678">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90b999d17b0aba186f0ee07d34579b4f&amp;mc=true&amp;node=se50.10.216_1104&amp;rgn=div8" TargetMode="External"/><Relationship Id="rId13" Type="http://schemas.openxmlformats.org/officeDocument/2006/relationships/hyperlink" Target="https://www.ecfr.gov/cgi-bin/text-idx?SID=90b999d17b0aba186f0ee07d34579b4f&amp;mc=true&amp;node=se50.10.216_1104&amp;rgn=div8" TargetMode="External"/><Relationship Id="rId18" Type="http://schemas.openxmlformats.org/officeDocument/2006/relationships/hyperlink" Target="http://epic.org/crypto/csa/csa.html" TargetMode="External"/><Relationship Id="rId26" Type="http://schemas.openxmlformats.org/officeDocument/2006/relationships/hyperlink" Target="https://www.bls.gov/oes/current/oes_nat.htm%2319-0000" TargetMode="External"/><Relationship Id="rId3" Type="http://schemas.openxmlformats.org/officeDocument/2006/relationships/settings" Target="settings.xml"/><Relationship Id="rId21" Type="http://schemas.openxmlformats.org/officeDocument/2006/relationships/hyperlink" Target="https://www.fisheries.noaa.gov/national/marine-mammal-protection/apply-incidental-take-authorization" TargetMode="External"/><Relationship Id="rId7" Type="http://schemas.openxmlformats.org/officeDocument/2006/relationships/hyperlink" Target="https://www.fisheries.noaa.gov/topic/laws-policies" TargetMode="External"/><Relationship Id="rId12" Type="http://schemas.openxmlformats.org/officeDocument/2006/relationships/hyperlink" Target="https://www.ecfr.gov/cgi-bin/text-idx?SID=90b999d17b0aba186f0ee07d34579b4f&amp;mc=true&amp;node=se50.10.216_1104&amp;rgn=div8" TargetMode="External"/><Relationship Id="rId17" Type="http://schemas.openxmlformats.org/officeDocument/2006/relationships/hyperlink" Target="https://obamawhitehouse.archives.gov/sites/default/files/omb/assets/OMB/circulars/a130/a130revised.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ws.gov/informationquality/section515.html" TargetMode="External"/><Relationship Id="rId20" Type="http://schemas.openxmlformats.org/officeDocument/2006/relationships/hyperlink" Target="https://www.fisheries.noaa.gov/permit/incidental-take-authorizations-under-marine-mammal-protection-act"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a.usda.gov/Internet/FSA_File/nepa_statute.pdf" TargetMode="External"/><Relationship Id="rId24" Type="http://schemas.openxmlformats.org/officeDocument/2006/relationships/hyperlink" Target="http://en.wikisource.org/wiki/Public_Law_93-579" TargetMode="External"/><Relationship Id="rId5" Type="http://schemas.openxmlformats.org/officeDocument/2006/relationships/footnotes" Target="footnotes.xml"/><Relationship Id="rId15" Type="http://schemas.openxmlformats.org/officeDocument/2006/relationships/hyperlink" Target="https://www.fisheries.noaa.gov/permit/incidental-take-authorizations-under-marine-mammal-protection-act" TargetMode="External"/><Relationship Id="rId23" Type="http://schemas.openxmlformats.org/officeDocument/2006/relationships/hyperlink" Target="http://www.justice.gov/oip/foia_updates/Vol_XVII_4/page2.htm" TargetMode="External"/><Relationship Id="rId28" Type="http://schemas.openxmlformats.org/officeDocument/2006/relationships/hyperlink" Target="http://www.gpo.gov/fdsys/pkg/CFR-2014-title5-vol3/pdf/CFR-2014-title5-vol3-sec1320-8.pdf" TargetMode="External"/><Relationship Id="rId10" Type="http://schemas.openxmlformats.org/officeDocument/2006/relationships/hyperlink" Target="http://www.fws.gov/endangered/laws-policies/esa.html" TargetMode="External"/><Relationship Id="rId19" Type="http://schemas.openxmlformats.org/officeDocument/2006/relationships/hyperlink" Target="http://www.law.cornell.edu/uscode/text/44/chapter-3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gi-bin/text-idx?SID=90b999d17b0aba186f0ee07d34579b4f&amp;mc=true&amp;node=se50.10.216_1105&amp;rgn=div8" TargetMode="External"/><Relationship Id="rId14" Type="http://schemas.openxmlformats.org/officeDocument/2006/relationships/hyperlink" Target="https://www.fisheries.noaa.gov/national/marine-mammal-protection/marine-mammal-protection-act" TargetMode="External"/><Relationship Id="rId22" Type="http://schemas.openxmlformats.org/officeDocument/2006/relationships/hyperlink" Target="https://www.fisheries.noaa.gov/permit/incidental-take-authorizations-under-marine-mammal-protection-act"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6150</Words>
  <Characters>35056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41124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7</cp:revision>
  <dcterms:created xsi:type="dcterms:W3CDTF">2020-09-04T15:25:00Z</dcterms:created>
  <dcterms:modified xsi:type="dcterms:W3CDTF">2020-09-08T22:13:00Z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