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1DEE" w:rsidR="00D61DEE" w:rsidP="00D61DEE" w:rsidRDefault="00D61DEE">
      <w:pPr>
        <w:spacing w:after="200" w:line="276" w:lineRule="auto"/>
        <w:jc w:val="center"/>
        <w:rPr>
          <w:rFonts w:ascii="Cambria" w:hAnsi="Cambria" w:eastAsia="Calibri" w:cs="Times New Roman"/>
          <w:sz w:val="28"/>
          <w:u w:val="single"/>
        </w:rPr>
      </w:pPr>
      <w:r w:rsidRPr="00D61DEE">
        <w:rPr>
          <w:rFonts w:ascii="Cambria" w:hAnsi="Cambria" w:eastAsia="Calibri" w:cs="Times New Roman"/>
          <w:sz w:val="28"/>
          <w:u w:val="single"/>
        </w:rPr>
        <w:t>SUPPORTING STATEMENT  - PART A</w:t>
      </w:r>
    </w:p>
    <w:p w:rsidRPr="00D61DEE" w:rsidR="00D61DEE" w:rsidP="00D61DEE" w:rsidRDefault="00D61DEE">
      <w:pPr>
        <w:spacing w:after="200" w:line="276" w:lineRule="auto"/>
        <w:jc w:val="center"/>
        <w:rPr>
          <w:rFonts w:ascii="Cambria" w:hAnsi="Cambria" w:eastAsia="Calibri" w:cs="Times New Roman"/>
          <w:sz w:val="24"/>
        </w:rPr>
      </w:pPr>
      <w:r w:rsidRPr="00D61DEE">
        <w:rPr>
          <w:rFonts w:ascii="Cambria" w:hAnsi="Cambria" w:eastAsia="Calibri" w:cs="Times New Roman"/>
          <w:sz w:val="24"/>
        </w:rPr>
        <w:t>(Data</w:t>
      </w:r>
      <w:r w:rsidR="00D53A70">
        <w:rPr>
          <w:rFonts w:ascii="Cambria" w:hAnsi="Cambria" w:eastAsia="Calibri" w:cs="Times New Roman"/>
          <w:sz w:val="24"/>
        </w:rPr>
        <w:t xml:space="preserve"> Services Management – 0704-AAKD</w:t>
      </w:r>
      <w:r w:rsidRPr="00D61DEE">
        <w:rPr>
          <w:rFonts w:ascii="Cambria" w:hAnsi="Cambria" w:eastAsia="Calibri" w:cs="Times New Roman"/>
          <w:sz w:val="24"/>
        </w:rPr>
        <w:t>)</w:t>
      </w:r>
    </w:p>
    <w:p w:rsidRPr="00D61DEE" w:rsidR="00D61DEE" w:rsidP="00D61DEE" w:rsidRDefault="00D61DEE">
      <w:pPr>
        <w:spacing w:after="0" w:line="240" w:lineRule="auto"/>
        <w:rPr>
          <w:rFonts w:ascii="Cambria" w:hAnsi="Cambria" w:eastAsia="Calibri" w:cs="Times New Roman"/>
          <w:sz w:val="24"/>
          <w:u w:val="single"/>
        </w:rPr>
      </w:pPr>
      <w:r w:rsidRPr="00D61DEE">
        <w:rPr>
          <w:rFonts w:ascii="Cambria" w:hAnsi="Cambria" w:eastAsia="Calibri" w:cs="Times New Roman"/>
          <w:sz w:val="24"/>
        </w:rPr>
        <w:t xml:space="preserve">1. </w:t>
      </w:r>
      <w:r w:rsidRPr="00D61DEE">
        <w:rPr>
          <w:rFonts w:ascii="Cambria" w:hAnsi="Cambria" w:eastAsia="Calibri" w:cs="Times New Roman"/>
          <w:sz w:val="24"/>
        </w:rPr>
        <w:tab/>
      </w:r>
      <w:r w:rsidRPr="00D61DEE">
        <w:rPr>
          <w:rFonts w:ascii="Cambria" w:hAnsi="Cambria" w:eastAsia="Calibri" w:cs="Times New Roman"/>
          <w:sz w:val="24"/>
          <w:u w:val="single"/>
        </w:rPr>
        <w:t>Need for the Information Collection</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The Defense Acquisition University (DAU) Data Services Management (DSM) supports institutional acquisition training missions for the Department of Defense (DoD) in accordance with: 10 U.S.C. 133, Under Secretary of Defense for Acquisition, Technology, and Logistics; and DoD Directive 5000.57, Defense Acquisition University. The Data Services Management provides administrative and academic capabilities and functions related to student registrations, account requests, courses attempted and completed, and graduation notifications to DoD training systems. The Data Services Management system hosts the associated DAU Learning Management Systems (LMSs). </w:t>
      </w:r>
    </w:p>
    <w:p w:rsidRPr="00D61DEE" w:rsidR="00D61DEE" w:rsidP="00D61DEE" w:rsidRDefault="00D61DEE">
      <w:pPr>
        <w:spacing w:after="0" w:line="240" w:lineRule="auto"/>
        <w:rPr>
          <w:rFonts w:ascii="Cambria" w:hAnsi="Cambria" w:eastAsia="Calibri" w:cs="Times New Roman"/>
          <w:i/>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2.</w:t>
      </w:r>
      <w:r w:rsidRPr="00D61DEE">
        <w:rPr>
          <w:rFonts w:ascii="Cambria" w:hAnsi="Cambria" w:eastAsia="Calibri" w:cs="Times New Roman"/>
          <w:sz w:val="24"/>
        </w:rPr>
        <w:tab/>
      </w:r>
      <w:r w:rsidRPr="00D61DEE">
        <w:rPr>
          <w:rFonts w:ascii="Cambria" w:hAnsi="Cambria" w:eastAsia="Calibri" w:cs="Times New Roman"/>
          <w:sz w:val="24"/>
          <w:u w:val="single"/>
        </w:rPr>
        <w:t>Use of the Information</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The DAU Data Services Management hosts various systems that manage administrative and academic functions related to student registration, student account requests, and student Distance Learning Authentication. </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Respondents are university applicants, DoD Acquisition Workforce students (contractor personnel sponsored by a DoD Program Management Office), and instructors who voluntarily provide personal information to take courses administered by DAU or access DAU training, knowledge-sharing, collaboration systems, and course offerings. Failure to provide required information results in the individual being denied access to these services and tools. All respondents are providing data which is used to support the academic functions, including: attendance, grades, statistical analysis, tracking, and reporting for Defense Acquisition Workforce Improvement Act (DAWIA) Certification purposes. These functions are necessary to support Acquisition Workforce Certifications; graduation data will be shared with the Services and Corporate Partners of DoD-sponsored students.</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Prior to authentication to a DAU-secure website, the user is presented with and must accept the DoD Standard Consent Banner as illustrated in the instrument screenshots included in the submission package. </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Information is collected either by automatic data feeds from other DoD systems or through the System Authorization Access Request (SAAR) webpage, Student Tracking and Registration System (STARS) locator card, EmpowerID Authentication System (EID), and the DAU One portal. The automatic data feeds are coming from the Army Training and Resources System (ATRRS) and the Defense Manpower Data Center (DMDC) systems, which Army is currently in the process of clearing with OMB. This supporting statement and collection package pertain strictly to those fields not covered by ATRRS and DMDC systems; thus, this collection is intended to clear the SAAR webpage, the STARS locator card, and the DAU One portal. The collection instruments are online and accessible via a secure webpage. Screenshots of these instruments are included in this package.</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Individuals have an opportunity to join DAU Community of Practices (COPs) through the DAU One portal. The focus of the COPs is acquisition-related topics and disciplines accessed </w:t>
      </w:r>
      <w:r w:rsidRPr="00D61DEE">
        <w:rPr>
          <w:rFonts w:ascii="Cambria" w:hAnsi="Cambria" w:eastAsia="Calibri" w:cs="Times New Roman"/>
          <w:sz w:val="24"/>
        </w:rPr>
        <w:lastRenderedPageBreak/>
        <w:t xml:space="preserve">by communities related to contracting, logistics, program management, business management, cost estimating, facilities engineering, financial management, life cycle logistics, science and technology management, production/quality/manufacturing, software acquisition management, systems engineering, and test and evaluation across DoD and the Federal government, as well as DoD contractors. The DSM collection and use of names supports verification during the registration process and enables members to: interact; share resources, ideas, and experience to support job performance; and avoid duplication of professional effort. </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For certain information in the Personal Details section of the SAAR collection instrument, pull-down menus are utilized. Pull-down menus are used for the fields Citizenship Type, Designation, Organization, and Sub Org. Based on the selections made, certain selections are made available to the individual requesting the account. A spreadsheet has been included which shows which selections are available under each of the menus in the Personal Details section of the SAAR.</w:t>
      </w:r>
    </w:p>
    <w:p w:rsidRPr="00D61DEE" w:rsidR="00D61DEE" w:rsidP="00D61DEE" w:rsidRDefault="00D61DEE">
      <w:pPr>
        <w:spacing w:after="0" w:line="240" w:lineRule="auto"/>
        <w:rPr>
          <w:rFonts w:ascii="Cambria" w:hAnsi="Cambria" w:eastAsia="Calibri" w:cs="Times New Roman"/>
          <w:i/>
          <w:sz w:val="24"/>
        </w:rPr>
      </w:pPr>
    </w:p>
    <w:p w:rsidRPr="00D61DEE" w:rsidR="00D61DEE" w:rsidP="00D61DEE" w:rsidRDefault="00D61DEE">
      <w:pPr>
        <w:spacing w:after="0" w:line="240" w:lineRule="auto"/>
        <w:rPr>
          <w:rFonts w:ascii="Cambria" w:hAnsi="Cambria" w:eastAsia="Calibri" w:cs="Times New Roman"/>
          <w:sz w:val="24"/>
          <w:u w:val="single"/>
        </w:rPr>
      </w:pPr>
      <w:r w:rsidRPr="00D61DEE">
        <w:rPr>
          <w:rFonts w:ascii="Cambria" w:hAnsi="Cambria" w:eastAsia="Calibri" w:cs="Times New Roman"/>
          <w:sz w:val="24"/>
        </w:rPr>
        <w:t xml:space="preserve">3. </w:t>
      </w:r>
      <w:r w:rsidRPr="00D61DEE">
        <w:rPr>
          <w:rFonts w:ascii="Cambria" w:hAnsi="Cambria" w:eastAsia="Calibri" w:cs="Times New Roman"/>
          <w:sz w:val="24"/>
        </w:rPr>
        <w:tab/>
      </w:r>
      <w:r w:rsidRPr="00D61DEE">
        <w:rPr>
          <w:rFonts w:ascii="Cambria" w:hAnsi="Cambria" w:eastAsia="Calibri" w:cs="Times New Roman"/>
          <w:sz w:val="24"/>
          <w:u w:val="single"/>
        </w:rPr>
        <w:t>Use of Information Technology</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All data (100%) is collected electronically. </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u w:val="single"/>
        </w:rPr>
      </w:pPr>
      <w:r w:rsidRPr="00D61DEE">
        <w:rPr>
          <w:rFonts w:ascii="Cambria" w:hAnsi="Cambria" w:eastAsia="Calibri" w:cs="Times New Roman"/>
          <w:sz w:val="24"/>
        </w:rPr>
        <w:t xml:space="preserve">4. </w:t>
      </w:r>
      <w:r w:rsidRPr="00D61DEE">
        <w:rPr>
          <w:rFonts w:ascii="Cambria" w:hAnsi="Cambria" w:eastAsia="Calibri" w:cs="Times New Roman"/>
          <w:sz w:val="24"/>
        </w:rPr>
        <w:tab/>
      </w:r>
      <w:r w:rsidRPr="00D61DEE">
        <w:rPr>
          <w:rFonts w:ascii="Cambria" w:hAnsi="Cambria" w:eastAsia="Calibri" w:cs="Times New Roman"/>
          <w:sz w:val="24"/>
          <w:u w:val="single"/>
        </w:rPr>
        <w:t>Non-duplication</w:t>
      </w:r>
    </w:p>
    <w:p w:rsidRPr="00D61DEE" w:rsidR="00D61DEE" w:rsidP="00D61DEE" w:rsidRDefault="00D61DEE">
      <w:pPr>
        <w:spacing w:after="0" w:line="240" w:lineRule="auto"/>
        <w:rPr>
          <w:rFonts w:ascii="Cambria" w:hAnsi="Cambria" w:eastAsia="Calibri" w:cs="Times New Roman"/>
          <w:i/>
          <w:sz w:val="24"/>
        </w:rPr>
      </w:pPr>
      <w:r w:rsidRPr="00D61DEE">
        <w:rPr>
          <w:rFonts w:ascii="Cambria" w:hAnsi="Cambria" w:eastAsia="Calibri" w:cs="Times New Roman"/>
          <w:sz w:val="24"/>
        </w:rPr>
        <w:t xml:space="preserve">The information obtained through this collection is unique and is not already available for use or adaptation from another cleared source. </w:t>
      </w:r>
    </w:p>
    <w:p w:rsidRPr="00D61DEE" w:rsidR="00D61DEE" w:rsidP="00D61DEE" w:rsidRDefault="00D61DEE">
      <w:pPr>
        <w:spacing w:after="0" w:line="240" w:lineRule="auto"/>
        <w:rPr>
          <w:rFonts w:ascii="Cambria" w:hAnsi="Cambria" w:eastAsia="Calibri" w:cs="Times New Roman"/>
          <w:i/>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5. </w:t>
      </w:r>
      <w:r w:rsidRPr="00D61DEE">
        <w:rPr>
          <w:rFonts w:ascii="Cambria" w:hAnsi="Cambria" w:eastAsia="Calibri" w:cs="Times New Roman"/>
          <w:sz w:val="24"/>
        </w:rPr>
        <w:tab/>
      </w:r>
      <w:r w:rsidRPr="00D61DEE">
        <w:rPr>
          <w:rFonts w:ascii="Cambria" w:hAnsi="Cambria" w:eastAsia="Calibri" w:cs="Times New Roman"/>
          <w:sz w:val="24"/>
          <w:u w:val="single"/>
        </w:rPr>
        <w:t>Burden on Small Businesses</w:t>
      </w:r>
      <w:r w:rsidRPr="00D61DEE">
        <w:rPr>
          <w:rFonts w:ascii="Cambria" w:hAnsi="Cambria" w:eastAsia="Calibri" w:cs="Times New Roman"/>
          <w:sz w:val="24"/>
        </w:rPr>
        <w:t xml:space="preserve"> </w:t>
      </w:r>
    </w:p>
    <w:p w:rsidRPr="00D61DEE" w:rsidR="00D61DEE" w:rsidP="00D61DEE" w:rsidRDefault="00D61DEE">
      <w:pPr>
        <w:spacing w:after="0" w:line="240" w:lineRule="auto"/>
        <w:rPr>
          <w:rFonts w:ascii="Cambria" w:hAnsi="Cambria" w:eastAsia="Calibri" w:cs="Times New Roman"/>
          <w:i/>
          <w:sz w:val="24"/>
        </w:rPr>
      </w:pPr>
      <w:r w:rsidRPr="00D61DEE">
        <w:rPr>
          <w:rFonts w:ascii="Cambria" w:hAnsi="Cambria" w:eastAsia="Calibri" w:cs="Times New Roman"/>
          <w:sz w:val="24"/>
        </w:rPr>
        <w:t>This information collection does not impose a significant economic impact on a substantial number of small businesses or entities.</w:t>
      </w:r>
      <w:r w:rsidRPr="00D61DEE">
        <w:rPr>
          <w:rFonts w:ascii="Cambria" w:hAnsi="Cambria" w:eastAsia="Calibri" w:cs="Times New Roman"/>
          <w:i/>
          <w:sz w:val="24"/>
        </w:rPr>
        <w:t xml:space="preserve"> </w:t>
      </w:r>
    </w:p>
    <w:p w:rsidRPr="00D61DEE" w:rsidR="00D61DEE" w:rsidP="00D61DEE" w:rsidRDefault="00D61DEE">
      <w:pPr>
        <w:spacing w:after="0" w:line="240" w:lineRule="auto"/>
        <w:rPr>
          <w:rFonts w:ascii="Cambria" w:hAnsi="Cambria" w:eastAsia="Calibri" w:cs="Times New Roman"/>
          <w:i/>
          <w:sz w:val="24"/>
        </w:rPr>
      </w:pPr>
    </w:p>
    <w:p w:rsidRPr="00D61DEE" w:rsidR="00D61DEE" w:rsidP="00D61DEE" w:rsidRDefault="00D61DEE">
      <w:pPr>
        <w:spacing w:after="0" w:line="240" w:lineRule="auto"/>
        <w:rPr>
          <w:rFonts w:ascii="Cambria" w:hAnsi="Cambria" w:eastAsia="Calibri" w:cs="Times New Roman"/>
          <w:sz w:val="24"/>
          <w:u w:val="single"/>
        </w:rPr>
      </w:pPr>
      <w:r w:rsidRPr="00D61DEE">
        <w:rPr>
          <w:rFonts w:ascii="Cambria" w:hAnsi="Cambria" w:eastAsia="Calibri" w:cs="Times New Roman"/>
          <w:sz w:val="24"/>
        </w:rPr>
        <w:t>6.</w:t>
      </w:r>
      <w:r w:rsidRPr="00D61DEE">
        <w:rPr>
          <w:rFonts w:ascii="Cambria" w:hAnsi="Cambria" w:eastAsia="Calibri" w:cs="Times New Roman"/>
          <w:sz w:val="24"/>
        </w:rPr>
        <w:tab/>
        <w:t xml:space="preserve"> </w:t>
      </w:r>
      <w:r w:rsidRPr="00D61DEE">
        <w:rPr>
          <w:rFonts w:ascii="Cambria" w:hAnsi="Cambria" w:eastAsia="Calibri" w:cs="Times New Roman"/>
          <w:sz w:val="24"/>
          <w:u w:val="single"/>
        </w:rPr>
        <w:t>Less Frequent Collection</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Less frequent collection of information would prevent DAU from providing the Acquisition workforce with timely student training accounts. This lack of accounts would adversely impact DoD’s training accountability systems and the DAWIA. Effective management of student-related emergencies which arise during training would also be impeded.</w:t>
      </w:r>
    </w:p>
    <w:p w:rsidRPr="00D61DEE" w:rsidR="00D61DEE" w:rsidP="00D61DEE" w:rsidRDefault="00D61DEE">
      <w:pPr>
        <w:spacing w:after="0" w:line="240" w:lineRule="auto"/>
        <w:rPr>
          <w:rFonts w:ascii="Cambria" w:hAnsi="Cambria" w:eastAsia="Calibri" w:cs="Times New Roman"/>
          <w:i/>
          <w:sz w:val="24"/>
        </w:rPr>
      </w:pPr>
    </w:p>
    <w:p w:rsidRPr="00D61DEE" w:rsidR="00D61DEE" w:rsidP="00D61DEE" w:rsidRDefault="00D61DEE">
      <w:pPr>
        <w:spacing w:after="0" w:line="240" w:lineRule="auto"/>
        <w:rPr>
          <w:rFonts w:ascii="Cambria" w:hAnsi="Cambria" w:eastAsia="Calibri" w:cs="Times New Roman"/>
          <w:sz w:val="24"/>
          <w:u w:val="single"/>
        </w:rPr>
      </w:pPr>
      <w:r w:rsidRPr="00D61DEE">
        <w:rPr>
          <w:rFonts w:ascii="Cambria" w:hAnsi="Cambria" w:eastAsia="Calibri" w:cs="Times New Roman"/>
          <w:i/>
          <w:sz w:val="24"/>
        </w:rPr>
        <w:t xml:space="preserve">7. </w:t>
      </w:r>
      <w:r w:rsidRPr="00D61DEE">
        <w:rPr>
          <w:rFonts w:ascii="Cambria" w:hAnsi="Cambria" w:eastAsia="Calibri" w:cs="Times New Roman"/>
          <w:i/>
          <w:sz w:val="24"/>
        </w:rPr>
        <w:tab/>
      </w:r>
      <w:r w:rsidRPr="00D61DEE">
        <w:rPr>
          <w:rFonts w:ascii="Cambria" w:hAnsi="Cambria" w:eastAsia="Calibri" w:cs="Times New Roman"/>
          <w:sz w:val="24"/>
          <w:u w:val="single"/>
        </w:rPr>
        <w:t>Paperwork Reduction Act Guidelines</w:t>
      </w:r>
    </w:p>
    <w:p w:rsidRPr="00D61DEE" w:rsidR="00D61DEE" w:rsidP="00D61DEE" w:rsidRDefault="00D61DEE">
      <w:pPr>
        <w:spacing w:after="100" w:afterAutospacing="1" w:line="288" w:lineRule="atLeast"/>
        <w:rPr>
          <w:rFonts w:ascii="Cambria" w:hAnsi="Cambria" w:eastAsia="Calibri" w:cs="Times New Roman"/>
          <w:i/>
          <w:sz w:val="24"/>
        </w:rPr>
      </w:pPr>
      <w:r w:rsidRPr="00D61DEE">
        <w:rPr>
          <w:rFonts w:ascii="Cambria" w:hAnsi="Cambria" w:eastAsia="Calibri" w:cs="Times New Roman"/>
          <w:sz w:val="24"/>
        </w:rPr>
        <w:t xml:space="preserve">This collection of information does not require collection to be conducted in a manner inconsistent with the guidelines delineated in 5 CFR 1320.5(d)(2). </w:t>
      </w:r>
    </w:p>
    <w:p w:rsidRPr="00D61DEE" w:rsidR="00D61DEE" w:rsidP="00D61DEE" w:rsidRDefault="00D61DEE">
      <w:pPr>
        <w:spacing w:before="100" w:beforeAutospacing="1" w:after="100" w:afterAutospacing="1" w:line="288" w:lineRule="atLeast"/>
        <w:rPr>
          <w:rFonts w:ascii="Cambria" w:hAnsi="Cambria" w:eastAsia="Calibri" w:cs="Times New Roman"/>
          <w:sz w:val="24"/>
          <w:u w:val="single"/>
        </w:rPr>
      </w:pPr>
      <w:r w:rsidRPr="00D61DEE">
        <w:rPr>
          <w:rFonts w:ascii="Cambria" w:hAnsi="Cambria" w:eastAsia="Calibri" w:cs="Times New Roman"/>
          <w:sz w:val="24"/>
        </w:rPr>
        <w:t xml:space="preserve">8. </w:t>
      </w:r>
      <w:r w:rsidRPr="00D61DEE">
        <w:rPr>
          <w:rFonts w:ascii="Cambria" w:hAnsi="Cambria" w:eastAsia="Calibri" w:cs="Times New Roman"/>
          <w:sz w:val="24"/>
        </w:rPr>
        <w:tab/>
      </w:r>
      <w:r w:rsidRPr="00D61DEE">
        <w:rPr>
          <w:rFonts w:ascii="Cambria" w:hAnsi="Cambria" w:eastAsia="Calibri" w:cs="Times New Roman"/>
          <w:sz w:val="24"/>
          <w:u w:val="single"/>
        </w:rPr>
        <w:t>Consultation and Public Comments</w:t>
      </w:r>
    </w:p>
    <w:p w:rsidRPr="00D61DEE" w:rsidR="00D61DEE" w:rsidP="00D61DEE" w:rsidRDefault="00D61DEE">
      <w:pPr>
        <w:spacing w:before="100" w:beforeAutospacing="1" w:after="100" w:afterAutospacing="1" w:line="288" w:lineRule="atLeast"/>
        <w:rPr>
          <w:rFonts w:ascii="Cambria" w:hAnsi="Cambria" w:eastAsia="Calibri" w:cs="Times New Roman"/>
          <w:sz w:val="24"/>
        </w:rPr>
      </w:pPr>
      <w:r w:rsidRPr="00D61DEE">
        <w:rPr>
          <w:rFonts w:ascii="Cambria" w:hAnsi="Cambria" w:eastAsia="Calibri" w:cs="Times New Roman"/>
          <w:sz w:val="24"/>
        </w:rPr>
        <w:t>Part A: PUBLIC NOTICE</w:t>
      </w:r>
    </w:p>
    <w:p w:rsidRPr="00D61DEE" w:rsidR="00D61DEE" w:rsidP="00D61DEE" w:rsidRDefault="00D61DEE">
      <w:pPr>
        <w:spacing w:before="100" w:beforeAutospacing="1" w:after="100" w:afterAutospacing="1" w:line="288" w:lineRule="atLeast"/>
        <w:rPr>
          <w:rFonts w:ascii="Cambria" w:hAnsi="Cambria" w:eastAsia="Calibri" w:cs="Times New Roman"/>
          <w:sz w:val="24"/>
          <w:szCs w:val="24"/>
        </w:rPr>
      </w:pPr>
      <w:r w:rsidRPr="00D61DEE">
        <w:rPr>
          <w:rFonts w:ascii="Cambria" w:hAnsi="Cambria" w:eastAsia="Calibri" w:cs="Times New Roman"/>
          <w:sz w:val="24"/>
          <w:szCs w:val="24"/>
        </w:rPr>
        <w:t xml:space="preserve">A 60-Day Federal Register Notice (FRN) for the collection published on Thursday, October 10th, 2019.  The 60-Day FRN citation is 84 FRN 54598. </w:t>
      </w:r>
    </w:p>
    <w:p w:rsidRPr="00D61DEE" w:rsidR="00D61DEE" w:rsidP="00D61DEE" w:rsidRDefault="00D61DEE">
      <w:pPr>
        <w:spacing w:before="100" w:beforeAutospacing="1" w:after="100" w:afterAutospacing="1" w:line="288" w:lineRule="atLeast"/>
        <w:rPr>
          <w:rFonts w:ascii="Cambria" w:hAnsi="Cambria" w:eastAsia="Calibri" w:cs="Times New Roman"/>
          <w:sz w:val="24"/>
          <w:szCs w:val="24"/>
        </w:rPr>
      </w:pPr>
      <w:r w:rsidRPr="00D61DEE">
        <w:rPr>
          <w:rFonts w:ascii="Cambria" w:hAnsi="Cambria" w:eastAsia="Calibri" w:cs="Times New Roman"/>
          <w:sz w:val="24"/>
          <w:szCs w:val="24"/>
        </w:rPr>
        <w:t xml:space="preserve">No comments were received during the 60-Day Comment Period. </w:t>
      </w:r>
    </w:p>
    <w:p w:rsidRPr="00D61DEE" w:rsidR="00D61DEE" w:rsidP="00D61DEE" w:rsidRDefault="00D61DEE">
      <w:pPr>
        <w:spacing w:before="100" w:beforeAutospacing="1" w:after="100" w:afterAutospacing="1" w:line="288" w:lineRule="atLeast"/>
        <w:rPr>
          <w:rFonts w:ascii="Cambria" w:hAnsi="Cambria" w:eastAsia="Calibri" w:cs="Times New Roman"/>
          <w:sz w:val="24"/>
          <w:szCs w:val="24"/>
        </w:rPr>
      </w:pPr>
    </w:p>
    <w:p w:rsidRPr="00D61DEE" w:rsidR="00D61DEE" w:rsidP="00D61DEE" w:rsidRDefault="00D61DEE">
      <w:pPr>
        <w:spacing w:before="100" w:beforeAutospacing="1" w:after="100" w:afterAutospacing="1" w:line="288" w:lineRule="atLeast"/>
        <w:rPr>
          <w:rFonts w:ascii="Cambria" w:hAnsi="Cambria" w:eastAsia="Calibri" w:cs="Times New Roman"/>
          <w:sz w:val="24"/>
          <w:szCs w:val="24"/>
        </w:rPr>
      </w:pPr>
      <w:r w:rsidRPr="00D61DEE">
        <w:rPr>
          <w:rFonts w:ascii="Cambria" w:hAnsi="Cambria" w:eastAsia="Calibri" w:cs="Times New Roman"/>
          <w:sz w:val="24"/>
          <w:szCs w:val="24"/>
        </w:rPr>
        <w:t>A 30-Day Federal Register Notice for the collection published on</w:t>
      </w:r>
      <w:r w:rsidR="00D53A70">
        <w:rPr>
          <w:rFonts w:ascii="Cambria" w:hAnsi="Cambria" w:eastAsia="Calibri" w:cs="Times New Roman"/>
          <w:sz w:val="24"/>
          <w:szCs w:val="24"/>
        </w:rPr>
        <w:t xml:space="preserve"> Friday, March 27, 2020</w:t>
      </w:r>
      <w:r w:rsidRPr="00D61DEE">
        <w:rPr>
          <w:rFonts w:ascii="Cambria" w:hAnsi="Cambria" w:eastAsia="Calibri" w:cs="Times New Roman"/>
          <w:sz w:val="24"/>
          <w:szCs w:val="24"/>
        </w:rPr>
        <w:t xml:space="preserve">.  The 30-Day FRN citation is </w:t>
      </w:r>
      <w:r w:rsidR="00D53A70">
        <w:rPr>
          <w:rFonts w:ascii="Cambria" w:hAnsi="Cambria" w:eastAsia="Calibri" w:cs="Times New Roman"/>
          <w:sz w:val="24"/>
          <w:szCs w:val="24"/>
        </w:rPr>
        <w:t>85</w:t>
      </w:r>
      <w:r w:rsidRPr="00D61DEE">
        <w:rPr>
          <w:rFonts w:ascii="Cambria" w:hAnsi="Cambria" w:eastAsia="Calibri" w:cs="Times New Roman"/>
          <w:sz w:val="24"/>
          <w:szCs w:val="24"/>
        </w:rPr>
        <w:t xml:space="preserve"> FRN </w:t>
      </w:r>
      <w:r w:rsidR="00D53A70">
        <w:rPr>
          <w:rFonts w:ascii="Cambria" w:hAnsi="Cambria" w:eastAsia="Calibri" w:cs="Times New Roman"/>
          <w:sz w:val="24"/>
          <w:szCs w:val="24"/>
        </w:rPr>
        <w:t>17323.</w:t>
      </w:r>
      <w:bookmarkStart w:name="_GoBack" w:id="0"/>
      <w:bookmarkEnd w:id="0"/>
    </w:p>
    <w:p w:rsidRPr="00D61DEE" w:rsidR="00D61DEE" w:rsidP="00D61DEE" w:rsidRDefault="00D61DEE">
      <w:pPr>
        <w:spacing w:before="100" w:beforeAutospacing="1" w:after="100" w:afterAutospacing="1" w:line="288" w:lineRule="atLeast"/>
        <w:rPr>
          <w:rFonts w:ascii="Cambria" w:hAnsi="Cambria" w:eastAsia="Calibri" w:cs="Times New Roman"/>
          <w:sz w:val="24"/>
        </w:rPr>
      </w:pPr>
      <w:r w:rsidRPr="00D61DEE">
        <w:rPr>
          <w:rFonts w:ascii="Cambria" w:hAnsi="Cambria" w:eastAsia="Calibri" w:cs="Times New Roman"/>
          <w:sz w:val="24"/>
        </w:rPr>
        <w:t>Part B: CONSULTATION</w:t>
      </w:r>
    </w:p>
    <w:p w:rsidRPr="00D61DEE" w:rsidR="00D61DEE" w:rsidP="00D61DEE" w:rsidRDefault="00D61DEE">
      <w:pPr>
        <w:spacing w:before="100" w:beforeAutospacing="1" w:after="100" w:afterAutospacing="1" w:line="288" w:lineRule="atLeast"/>
        <w:rPr>
          <w:rFonts w:ascii="Cambria" w:hAnsi="Cambria" w:eastAsia="Calibri" w:cs="Times New Roman"/>
          <w:sz w:val="24"/>
        </w:rPr>
      </w:pPr>
      <w:r w:rsidRPr="00D61DEE">
        <w:rPr>
          <w:rFonts w:ascii="Cambria" w:hAnsi="Cambria" w:eastAsia="Calibri" w:cs="Times New Roman"/>
          <w:sz w:val="24"/>
        </w:rPr>
        <w:t xml:space="preserve">No additional consultation apart from soliciting public comments through the 60-Day Federal Register Notice was conducted for this submission. </w:t>
      </w:r>
    </w:p>
    <w:p w:rsidRPr="00D61DEE" w:rsidR="00D61DEE" w:rsidP="00D61DEE" w:rsidRDefault="00D61DEE">
      <w:pPr>
        <w:spacing w:after="0" w:line="240" w:lineRule="auto"/>
        <w:rPr>
          <w:rFonts w:ascii="Cambria" w:hAnsi="Cambria" w:eastAsia="Calibri" w:cs="Times New Roman"/>
          <w:sz w:val="24"/>
          <w:u w:val="single"/>
        </w:rPr>
      </w:pPr>
      <w:r w:rsidRPr="00D61DEE">
        <w:rPr>
          <w:rFonts w:ascii="Cambria" w:hAnsi="Cambria" w:eastAsia="Calibri" w:cs="Times New Roman"/>
          <w:sz w:val="24"/>
        </w:rPr>
        <w:t xml:space="preserve">9. </w:t>
      </w:r>
      <w:r w:rsidRPr="00D61DEE">
        <w:rPr>
          <w:rFonts w:ascii="Cambria" w:hAnsi="Cambria" w:eastAsia="Calibri" w:cs="Times New Roman"/>
          <w:sz w:val="24"/>
        </w:rPr>
        <w:tab/>
      </w:r>
      <w:r w:rsidRPr="00D61DEE">
        <w:rPr>
          <w:rFonts w:ascii="Cambria" w:hAnsi="Cambria" w:eastAsia="Calibri" w:cs="Times New Roman"/>
          <w:sz w:val="24"/>
          <w:u w:val="single"/>
        </w:rPr>
        <w:t>Gifts or Payment</w:t>
      </w:r>
    </w:p>
    <w:p w:rsidRPr="00D61DEE" w:rsidR="00D61DEE" w:rsidP="00D61DEE" w:rsidRDefault="00D61DEE">
      <w:pPr>
        <w:spacing w:after="0" w:line="240" w:lineRule="auto"/>
        <w:rPr>
          <w:rFonts w:ascii="Cambria" w:hAnsi="Cambria" w:eastAsia="Calibri" w:cs="Times New Roman"/>
          <w:i/>
          <w:sz w:val="24"/>
        </w:rPr>
      </w:pPr>
      <w:r w:rsidRPr="00D61DEE">
        <w:rPr>
          <w:rFonts w:ascii="Cambria" w:hAnsi="Cambria" w:eastAsia="Calibri" w:cs="Times New Roman"/>
          <w:sz w:val="24"/>
        </w:rPr>
        <w:t>No payments or gifts are being offered to respondents as an incentive to participate in the collection.</w:t>
      </w:r>
      <w:r w:rsidRPr="00D61DEE">
        <w:rPr>
          <w:rFonts w:ascii="Cambria" w:hAnsi="Cambria" w:eastAsia="Calibri" w:cs="Times New Roman"/>
          <w:i/>
          <w:sz w:val="24"/>
        </w:rPr>
        <w:t xml:space="preserve"> </w:t>
      </w:r>
    </w:p>
    <w:p w:rsidRPr="00D61DEE" w:rsidR="00D61DEE" w:rsidP="00D61DEE" w:rsidRDefault="00D61DEE">
      <w:pPr>
        <w:spacing w:after="0" w:line="240" w:lineRule="auto"/>
        <w:rPr>
          <w:rFonts w:ascii="Cambria" w:hAnsi="Cambria" w:eastAsia="Calibri" w:cs="Times New Roman"/>
          <w:i/>
          <w:sz w:val="24"/>
        </w:rPr>
      </w:pPr>
    </w:p>
    <w:p w:rsidRPr="00D61DEE" w:rsidR="00D61DEE" w:rsidP="00D61DEE" w:rsidRDefault="00D61DEE">
      <w:pPr>
        <w:spacing w:after="0" w:line="240" w:lineRule="auto"/>
        <w:rPr>
          <w:rFonts w:ascii="Cambria" w:hAnsi="Cambria" w:eastAsia="Calibri" w:cs="Times New Roman"/>
          <w:sz w:val="24"/>
          <w:u w:val="single"/>
        </w:rPr>
      </w:pPr>
      <w:r w:rsidRPr="00D61DEE">
        <w:rPr>
          <w:rFonts w:ascii="Cambria" w:hAnsi="Cambria" w:eastAsia="Calibri" w:cs="Times New Roman"/>
          <w:sz w:val="24"/>
        </w:rPr>
        <w:t xml:space="preserve">10. </w:t>
      </w:r>
      <w:r w:rsidRPr="00D61DEE">
        <w:rPr>
          <w:rFonts w:ascii="Cambria" w:hAnsi="Cambria" w:eastAsia="Calibri" w:cs="Times New Roman"/>
          <w:sz w:val="24"/>
        </w:rPr>
        <w:tab/>
      </w:r>
      <w:r w:rsidRPr="00D61DEE">
        <w:rPr>
          <w:rFonts w:ascii="Cambria" w:hAnsi="Cambria" w:eastAsia="Calibri" w:cs="Times New Roman"/>
          <w:sz w:val="24"/>
          <w:u w:val="single"/>
        </w:rPr>
        <w:t>Confidentiality</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This collection requires an Agency Disclosure Notice, Privacy Advisory, and Privacy Act Statement. All statements will be visible at the top of the collection instrument (website). Screenshots are provided as part of this package. </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A draft copy of the SORN (DAU 02) has been provided with this package for OMB’s review. </w:t>
      </w:r>
    </w:p>
    <w:p w:rsidRPr="00D61DEE" w:rsidR="00D61DEE" w:rsidP="00D61DEE" w:rsidRDefault="00D61DEE">
      <w:pPr>
        <w:spacing w:after="0" w:line="240" w:lineRule="auto"/>
        <w:ind w:firstLine="720"/>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i/>
          <w:sz w:val="24"/>
        </w:rPr>
      </w:pPr>
      <w:r w:rsidRPr="00D61DEE">
        <w:rPr>
          <w:rFonts w:ascii="Cambria" w:hAnsi="Cambria" w:eastAsia="Calibri" w:cs="Times New Roman"/>
          <w:sz w:val="24"/>
        </w:rPr>
        <w:t>A draft copy of the Privacy Impact Assessment, DAU DSM – DAU 02 – PIA, has been provided with this package for OMB’s review.</w:t>
      </w:r>
      <w:r w:rsidRPr="00D61DEE">
        <w:rPr>
          <w:rFonts w:ascii="Cambria" w:hAnsi="Cambria" w:eastAsia="Calibri" w:cs="Times New Roman"/>
          <w:i/>
          <w:sz w:val="24"/>
        </w:rPr>
        <w:tab/>
      </w:r>
    </w:p>
    <w:p w:rsidRPr="00D61DEE" w:rsidR="00D61DEE" w:rsidP="00D61DEE" w:rsidRDefault="00D61DEE">
      <w:pPr>
        <w:spacing w:after="0" w:line="240" w:lineRule="auto"/>
        <w:rPr>
          <w:rFonts w:ascii="Cambria" w:hAnsi="Cambria" w:eastAsia="Calibri" w:cs="Times New Roman"/>
          <w:i/>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Student registration records are destroyed 50 years after graduation, transfer, withdrawal, or death (GTWD) of the student. All other records are destroyed five (5) years after GTWD of the student.</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11. </w:t>
      </w:r>
      <w:r w:rsidRPr="00D61DEE">
        <w:rPr>
          <w:rFonts w:ascii="Cambria" w:hAnsi="Cambria" w:eastAsia="Calibri" w:cs="Times New Roman"/>
          <w:sz w:val="24"/>
        </w:rPr>
        <w:tab/>
      </w:r>
      <w:r w:rsidRPr="00D61DEE">
        <w:rPr>
          <w:rFonts w:ascii="Cambria" w:hAnsi="Cambria" w:eastAsia="Calibri" w:cs="Times New Roman"/>
          <w:sz w:val="24"/>
          <w:u w:val="single"/>
        </w:rPr>
        <w:t>Sensitive Questions</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After the initial collection of the SSN, the number is systematically replaced by a unique DAU ID for each individual student. The SSNs are then securely stored in the Account Registration Database where they are not accessible by any outside entities. </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The SSN data is used to provide for the administration and recording of academic performance of current and former students, to include contractors and foreign nationals. The data is also used to verify attendance and grades, and as a management tool for statistical analysis, tracking, and reporting. </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12. </w:t>
      </w:r>
      <w:r w:rsidRPr="00D61DEE">
        <w:rPr>
          <w:rFonts w:ascii="Cambria" w:hAnsi="Cambria" w:eastAsia="Calibri" w:cs="Times New Roman"/>
          <w:sz w:val="24"/>
        </w:rPr>
        <w:tab/>
      </w:r>
      <w:r w:rsidRPr="00D61DEE">
        <w:rPr>
          <w:rFonts w:ascii="Cambria" w:hAnsi="Cambria" w:eastAsia="Calibri" w:cs="Times New Roman"/>
          <w:sz w:val="24"/>
          <w:u w:val="single"/>
        </w:rPr>
        <w:t>Respondent Burden and its Labor Costs</w:t>
      </w:r>
    </w:p>
    <w:p w:rsidRPr="00D61DEE" w:rsidR="00D61DEE" w:rsidP="00D61DEE" w:rsidRDefault="00D61DEE">
      <w:pPr>
        <w:spacing w:after="0" w:line="240" w:lineRule="auto"/>
        <w:rPr>
          <w:rFonts w:ascii="Cambria" w:hAnsi="Cambria" w:eastAsia="Calibri" w:cs="Times New Roman"/>
          <w:sz w:val="24"/>
          <w:u w:val="single"/>
        </w:rPr>
      </w:pPr>
    </w:p>
    <w:p w:rsidRPr="00D61DEE" w:rsidR="00D61DEE" w:rsidP="00D61DEE" w:rsidRDefault="00D61DEE">
      <w:pPr>
        <w:spacing w:after="0" w:line="240" w:lineRule="auto"/>
        <w:ind w:firstLine="720"/>
        <w:rPr>
          <w:rFonts w:ascii="Cambria" w:hAnsi="Cambria" w:eastAsia="Calibri" w:cs="Times New Roman"/>
          <w:sz w:val="24"/>
          <w:u w:val="single"/>
        </w:rPr>
      </w:pPr>
      <w:r w:rsidRPr="00D61DEE">
        <w:rPr>
          <w:rFonts w:ascii="Cambria" w:hAnsi="Cambria" w:eastAsia="Calibri" w:cs="Times New Roman"/>
          <w:sz w:val="24"/>
          <w:u w:val="single"/>
        </w:rPr>
        <w:t>a. Estimation of Respondent Burden</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ab/>
        <w:t xml:space="preserve">1. </w:t>
      </w:r>
      <w:r w:rsidRPr="00D61DEE">
        <w:rPr>
          <w:rFonts w:ascii="Cambria" w:hAnsi="Cambria" w:eastAsia="Calibri" w:cs="Times New Roman"/>
          <w:b/>
          <w:sz w:val="24"/>
        </w:rPr>
        <w:t>DAU System Authorization Access Request</w:t>
      </w:r>
      <w:r w:rsidRPr="00D61DEE">
        <w:rPr>
          <w:rFonts w:ascii="Cambria" w:hAnsi="Cambria" w:eastAsia="Calibri" w:cs="Times New Roman"/>
          <w:sz w:val="24"/>
        </w:rPr>
        <w:t xml:space="preserve"> </w:t>
      </w:r>
      <w:r w:rsidRPr="00D61DEE">
        <w:rPr>
          <w:rFonts w:ascii="Cambria" w:hAnsi="Cambria" w:eastAsia="Calibri" w:cs="Times New Roman"/>
          <w:b/>
          <w:sz w:val="24"/>
        </w:rPr>
        <w:t>(SAAR)</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ab/>
      </w:r>
      <w:r w:rsidRPr="00D61DEE">
        <w:rPr>
          <w:rFonts w:ascii="Cambria" w:hAnsi="Cambria" w:eastAsia="Calibri" w:cs="Times New Roman"/>
          <w:sz w:val="24"/>
        </w:rPr>
        <w:tab/>
        <w:t>a. Number of Respondents: 2500</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ab/>
      </w:r>
      <w:r w:rsidRPr="00D61DEE">
        <w:rPr>
          <w:rFonts w:ascii="Cambria" w:hAnsi="Cambria" w:eastAsia="Calibri" w:cs="Times New Roman"/>
          <w:sz w:val="24"/>
        </w:rPr>
        <w:tab/>
        <w:t>b. Number of Responses per Respondent: 1</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lastRenderedPageBreak/>
        <w:tab/>
      </w:r>
      <w:r w:rsidRPr="00D61DEE">
        <w:rPr>
          <w:rFonts w:ascii="Cambria" w:hAnsi="Cambria" w:eastAsia="Calibri" w:cs="Times New Roman"/>
          <w:sz w:val="24"/>
        </w:rPr>
        <w:tab/>
        <w:t>c. Number of Total Annual Responses: 2500</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ab/>
      </w:r>
      <w:r w:rsidRPr="00D61DEE">
        <w:rPr>
          <w:rFonts w:ascii="Cambria" w:hAnsi="Cambria" w:eastAsia="Calibri" w:cs="Times New Roman"/>
          <w:sz w:val="24"/>
        </w:rPr>
        <w:tab/>
        <w:t>d. Response Time</w:t>
      </w:r>
      <w:r w:rsidRPr="00D61DEE">
        <w:rPr>
          <w:rFonts w:ascii="Cambria" w:hAnsi="Cambria" w:eastAsia="Calibri" w:cs="Times New Roman"/>
        </w:rPr>
        <w:t>: 5 minutes</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ab/>
      </w:r>
      <w:r w:rsidRPr="00D61DEE">
        <w:rPr>
          <w:rFonts w:ascii="Cambria" w:hAnsi="Cambria" w:eastAsia="Calibri" w:cs="Times New Roman"/>
          <w:sz w:val="24"/>
        </w:rPr>
        <w:tab/>
        <w:t xml:space="preserve">e. Respondent Burden Hours: 208 </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ab/>
        <w:t xml:space="preserve">2. </w:t>
      </w:r>
      <w:r w:rsidRPr="00D61DEE">
        <w:rPr>
          <w:rFonts w:ascii="Cambria" w:hAnsi="Cambria" w:eastAsia="Calibri" w:cs="Times New Roman"/>
          <w:b/>
          <w:sz w:val="24"/>
        </w:rPr>
        <w:t xml:space="preserve">Total Submission Burden </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ab/>
      </w:r>
      <w:r w:rsidRPr="00D61DEE">
        <w:rPr>
          <w:rFonts w:ascii="Cambria" w:hAnsi="Cambria" w:eastAsia="Calibri" w:cs="Times New Roman"/>
          <w:sz w:val="24"/>
        </w:rPr>
        <w:tab/>
        <w:t>a. Total Number of Respondents: 2500</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ab/>
      </w:r>
      <w:r w:rsidRPr="00D61DEE">
        <w:rPr>
          <w:rFonts w:ascii="Cambria" w:hAnsi="Cambria" w:eastAsia="Calibri" w:cs="Times New Roman"/>
          <w:sz w:val="24"/>
        </w:rPr>
        <w:tab/>
        <w:t>b. Total Number of Annual Responses: 2500</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ab/>
      </w:r>
      <w:r w:rsidRPr="00D61DEE">
        <w:rPr>
          <w:rFonts w:ascii="Cambria" w:hAnsi="Cambria" w:eastAsia="Calibri" w:cs="Times New Roman"/>
          <w:sz w:val="24"/>
        </w:rPr>
        <w:tab/>
        <w:t xml:space="preserve">c. Total Respondent Burden Hours: 208 </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ind w:firstLine="720"/>
        <w:rPr>
          <w:rFonts w:ascii="Cambria" w:hAnsi="Cambria" w:eastAsia="Calibri" w:cs="Times New Roman"/>
          <w:sz w:val="24"/>
          <w:u w:val="single"/>
        </w:rPr>
      </w:pPr>
      <w:r w:rsidRPr="00D61DEE">
        <w:rPr>
          <w:rFonts w:ascii="Cambria" w:hAnsi="Cambria" w:eastAsia="Calibri" w:cs="Times New Roman"/>
          <w:sz w:val="24"/>
          <w:u w:val="single"/>
        </w:rPr>
        <w:t>b. Labor Cost of Respondent Burden</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ab/>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ab/>
        <w:t xml:space="preserve">1. </w:t>
      </w:r>
      <w:r w:rsidRPr="00D61DEE">
        <w:rPr>
          <w:rFonts w:ascii="Cambria" w:hAnsi="Cambria" w:eastAsia="Calibri" w:cs="Times New Roman"/>
          <w:b/>
          <w:sz w:val="24"/>
        </w:rPr>
        <w:t>DAU System Authorization Access Request (SAAR)</w:t>
      </w:r>
    </w:p>
    <w:p w:rsidRPr="00D61DEE" w:rsidR="00D61DEE" w:rsidP="00D61DEE" w:rsidRDefault="00D61DEE">
      <w:pPr>
        <w:spacing w:after="0" w:line="240" w:lineRule="auto"/>
        <w:ind w:left="720"/>
        <w:rPr>
          <w:rFonts w:ascii="Cambria" w:hAnsi="Cambria" w:eastAsia="Calibri" w:cs="Times New Roman"/>
          <w:sz w:val="24"/>
        </w:rPr>
      </w:pPr>
      <w:r w:rsidRPr="00D61DEE">
        <w:rPr>
          <w:rFonts w:ascii="Cambria" w:hAnsi="Cambria" w:eastAsia="Calibri" w:cs="Times New Roman"/>
          <w:sz w:val="24"/>
        </w:rPr>
        <w:tab/>
        <w:t>a. Number of Total Annual Responses: 2500</w:t>
      </w:r>
    </w:p>
    <w:p w:rsidRPr="00D61DEE" w:rsidR="00D61DEE" w:rsidP="00D61DEE" w:rsidRDefault="00D61DEE">
      <w:pPr>
        <w:spacing w:after="0" w:line="240" w:lineRule="auto"/>
        <w:ind w:left="720"/>
        <w:rPr>
          <w:rFonts w:ascii="Cambria" w:hAnsi="Cambria" w:eastAsia="Calibri" w:cs="Times New Roman"/>
          <w:sz w:val="24"/>
        </w:rPr>
      </w:pPr>
      <w:r w:rsidRPr="00D61DEE">
        <w:rPr>
          <w:rFonts w:ascii="Cambria" w:hAnsi="Cambria" w:eastAsia="Calibri" w:cs="Times New Roman"/>
          <w:sz w:val="24"/>
        </w:rPr>
        <w:tab/>
        <w:t>b. Response Time: 5 minutes</w:t>
      </w:r>
    </w:p>
    <w:p w:rsidRPr="00D61DEE" w:rsidR="00D61DEE" w:rsidP="00D61DEE" w:rsidRDefault="00D61DEE">
      <w:pPr>
        <w:spacing w:after="0" w:line="240" w:lineRule="auto"/>
        <w:ind w:left="720"/>
        <w:rPr>
          <w:rFonts w:ascii="Cambria" w:hAnsi="Cambria" w:eastAsia="Calibri" w:cs="Times New Roman"/>
          <w:sz w:val="24"/>
        </w:rPr>
      </w:pPr>
      <w:r w:rsidRPr="00D61DEE">
        <w:rPr>
          <w:rFonts w:ascii="Cambria" w:hAnsi="Cambria" w:eastAsia="Calibri" w:cs="Times New Roman"/>
          <w:sz w:val="24"/>
        </w:rPr>
        <w:tab/>
        <w:t>c. Respondent Hourly Wage: $38.49</w:t>
      </w:r>
    </w:p>
    <w:p w:rsidRPr="00D61DEE" w:rsidR="00D61DEE" w:rsidP="00D61DEE" w:rsidRDefault="00D61DEE">
      <w:pPr>
        <w:spacing w:after="0" w:line="240" w:lineRule="auto"/>
        <w:ind w:left="720"/>
        <w:rPr>
          <w:rFonts w:ascii="Cambria" w:hAnsi="Cambria" w:eastAsia="Calibri" w:cs="Times New Roman"/>
          <w:sz w:val="24"/>
        </w:rPr>
      </w:pPr>
      <w:r w:rsidRPr="00D61DEE">
        <w:rPr>
          <w:rFonts w:ascii="Cambria" w:hAnsi="Cambria" w:eastAsia="Calibri" w:cs="Times New Roman"/>
          <w:sz w:val="24"/>
        </w:rPr>
        <w:tab/>
        <w:t>d. Labor Burden per Response: $3.21</w:t>
      </w:r>
    </w:p>
    <w:p w:rsidRPr="00D61DEE" w:rsidR="00D61DEE" w:rsidP="00D61DEE" w:rsidRDefault="00D61DEE">
      <w:pPr>
        <w:spacing w:after="0" w:line="240" w:lineRule="auto"/>
        <w:ind w:left="720"/>
        <w:rPr>
          <w:rFonts w:ascii="Cambria" w:hAnsi="Cambria" w:eastAsia="Calibri" w:cs="Times New Roman"/>
          <w:sz w:val="24"/>
        </w:rPr>
      </w:pPr>
      <w:r w:rsidRPr="00D61DEE">
        <w:rPr>
          <w:rFonts w:ascii="Cambria" w:hAnsi="Cambria" w:eastAsia="Calibri" w:cs="Times New Roman"/>
          <w:sz w:val="24"/>
        </w:rPr>
        <w:tab/>
        <w:t>e. Total Labor Burden: $8,025.00</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b/>
          <w:sz w:val="24"/>
        </w:rPr>
      </w:pPr>
      <w:r w:rsidRPr="00D61DEE">
        <w:rPr>
          <w:rFonts w:ascii="Cambria" w:hAnsi="Cambria" w:eastAsia="Calibri" w:cs="Times New Roman"/>
          <w:b/>
          <w:sz w:val="24"/>
        </w:rPr>
        <w:tab/>
      </w:r>
      <w:r w:rsidRPr="00D61DEE">
        <w:rPr>
          <w:rFonts w:ascii="Cambria" w:hAnsi="Cambria" w:eastAsia="Calibri" w:cs="Times New Roman"/>
          <w:sz w:val="24"/>
        </w:rPr>
        <w:t xml:space="preserve">2. </w:t>
      </w:r>
      <w:r w:rsidRPr="00D61DEE">
        <w:rPr>
          <w:rFonts w:ascii="Cambria" w:hAnsi="Cambria" w:eastAsia="Calibri" w:cs="Times New Roman"/>
          <w:b/>
          <w:sz w:val="24"/>
        </w:rPr>
        <w:t>Overall Labor Burden</w:t>
      </w:r>
    </w:p>
    <w:p w:rsidRPr="00D61DEE" w:rsidR="00D61DEE" w:rsidP="00D61DEE" w:rsidRDefault="00D61DEE">
      <w:pPr>
        <w:spacing w:after="0" w:line="240" w:lineRule="auto"/>
        <w:ind w:left="720"/>
        <w:rPr>
          <w:rFonts w:ascii="Cambria" w:hAnsi="Cambria" w:eastAsia="Calibri" w:cs="Times New Roman"/>
          <w:sz w:val="24"/>
        </w:rPr>
      </w:pPr>
      <w:r w:rsidRPr="00D61DEE">
        <w:rPr>
          <w:rFonts w:ascii="Cambria" w:hAnsi="Cambria" w:eastAsia="Calibri" w:cs="Times New Roman"/>
          <w:sz w:val="24"/>
        </w:rPr>
        <w:tab/>
        <w:t>a. Total Number of Annual Responses: 2500</w:t>
      </w:r>
      <w:r w:rsidRPr="00D61DEE">
        <w:rPr>
          <w:rFonts w:ascii="Cambria" w:hAnsi="Cambria" w:eastAsia="Calibri" w:cs="Times New Roman"/>
          <w:sz w:val="24"/>
        </w:rPr>
        <w:tab/>
      </w:r>
    </w:p>
    <w:p w:rsidRPr="00D61DEE" w:rsidR="00D61DEE" w:rsidP="00D61DEE" w:rsidRDefault="00D61DEE">
      <w:pPr>
        <w:spacing w:after="0" w:line="240" w:lineRule="auto"/>
        <w:ind w:left="720" w:firstLine="720"/>
        <w:rPr>
          <w:rFonts w:ascii="Cambria" w:hAnsi="Cambria" w:eastAsia="Calibri" w:cs="Times New Roman"/>
          <w:sz w:val="24"/>
        </w:rPr>
      </w:pPr>
      <w:r w:rsidRPr="00D61DEE">
        <w:rPr>
          <w:rFonts w:ascii="Cambria" w:hAnsi="Cambria" w:eastAsia="Calibri" w:cs="Times New Roman"/>
          <w:sz w:val="24"/>
        </w:rPr>
        <w:t>b. Total Labor Burden: $8,025.00</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The respondent hourly wage is based on the average of three applicable occupations, including logisticians, general/operational managers, and business operations specialists. Wages were collected from </w:t>
      </w:r>
      <w:hyperlink w:history="1" r:id="rId7">
        <w:r w:rsidRPr="00D61DEE">
          <w:rPr>
            <w:rFonts w:ascii="Cambria" w:hAnsi="Cambria" w:eastAsia="Calibri" w:cs="Times New Roman"/>
            <w:color w:val="0000FF"/>
            <w:sz w:val="24"/>
            <w:u w:val="single"/>
          </w:rPr>
          <w:t>https://www.careeronestop.org/toolkit/wages/findsalary</w:t>
        </w:r>
      </w:hyperlink>
      <w:r w:rsidRPr="00D61DEE">
        <w:rPr>
          <w:rFonts w:ascii="Cambria" w:hAnsi="Cambria" w:eastAsia="Calibri" w:cs="Times New Roman"/>
          <w:sz w:val="24"/>
        </w:rPr>
        <w:t xml:space="preserve">. </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13.</w:t>
      </w:r>
      <w:r w:rsidRPr="00D61DEE">
        <w:rPr>
          <w:rFonts w:ascii="Cambria" w:hAnsi="Cambria" w:eastAsia="Calibri" w:cs="Times New Roman"/>
          <w:sz w:val="24"/>
        </w:rPr>
        <w:tab/>
      </w:r>
      <w:r w:rsidRPr="00D61DEE">
        <w:rPr>
          <w:rFonts w:ascii="Cambria" w:hAnsi="Cambria" w:eastAsia="Calibri" w:cs="Times New Roman"/>
          <w:sz w:val="24"/>
          <w:u w:val="single"/>
        </w:rPr>
        <w:t>Respondent Costs Other Than Burden Hour Costs</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There are no annualized costs to respondents other than the labor burden costs addressed in Section 12 of this document to complete this collection. </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14. </w:t>
      </w:r>
      <w:r w:rsidRPr="00D61DEE">
        <w:rPr>
          <w:rFonts w:ascii="Cambria" w:hAnsi="Cambria" w:eastAsia="Calibri" w:cs="Times New Roman"/>
          <w:sz w:val="24"/>
        </w:rPr>
        <w:tab/>
      </w:r>
      <w:r w:rsidRPr="00D61DEE">
        <w:rPr>
          <w:rFonts w:ascii="Cambria" w:hAnsi="Cambria" w:eastAsia="Calibri" w:cs="Times New Roman"/>
          <w:sz w:val="24"/>
          <w:u w:val="single"/>
        </w:rPr>
        <w:t>Cost to the Federal Government</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ind w:firstLine="720"/>
        <w:rPr>
          <w:rFonts w:ascii="Cambria" w:hAnsi="Cambria" w:eastAsia="Calibri" w:cs="Times New Roman"/>
          <w:sz w:val="24"/>
          <w:u w:val="single"/>
        </w:rPr>
      </w:pPr>
      <w:r w:rsidRPr="00D61DEE">
        <w:rPr>
          <w:rFonts w:ascii="Cambria" w:hAnsi="Cambria" w:eastAsia="Calibri" w:cs="Times New Roman"/>
          <w:sz w:val="24"/>
          <w:u w:val="single"/>
        </w:rPr>
        <w:t>a. Labor Cost to the Federal Government</w:t>
      </w:r>
      <w:r w:rsidRPr="00D61DEE">
        <w:rPr>
          <w:rFonts w:ascii="Cambria" w:hAnsi="Cambria" w:eastAsia="Calibri" w:cs="Times New Roman"/>
          <w:sz w:val="24"/>
          <w:u w:val="single"/>
        </w:rPr>
        <w:br/>
      </w:r>
    </w:p>
    <w:p w:rsidRPr="00D61DEE" w:rsidR="00D61DEE" w:rsidP="00D61DEE" w:rsidRDefault="00D61DEE">
      <w:pPr>
        <w:spacing w:after="0" w:line="240" w:lineRule="auto"/>
        <w:ind w:firstLine="720"/>
        <w:rPr>
          <w:rFonts w:ascii="Cambria" w:hAnsi="Cambria" w:eastAsia="Calibri" w:cs="Times New Roman"/>
          <w:sz w:val="24"/>
        </w:rPr>
      </w:pPr>
      <w:r w:rsidRPr="00D61DEE">
        <w:rPr>
          <w:rFonts w:ascii="Cambria" w:hAnsi="Cambria" w:eastAsia="Calibri" w:cs="Times New Roman"/>
          <w:sz w:val="24"/>
        </w:rPr>
        <w:t xml:space="preserve">1. </w:t>
      </w:r>
      <w:r w:rsidRPr="00D61DEE">
        <w:rPr>
          <w:rFonts w:ascii="Cambria" w:hAnsi="Cambria" w:eastAsia="Calibri" w:cs="Times New Roman"/>
          <w:b/>
          <w:sz w:val="24"/>
        </w:rPr>
        <w:t>DAU System Authorization Access Request (SAAR)</w:t>
      </w:r>
    </w:p>
    <w:p w:rsidRPr="00D61DEE" w:rsidR="00D61DEE" w:rsidP="00D61DEE" w:rsidRDefault="00D61DEE">
      <w:pPr>
        <w:spacing w:after="0" w:line="240" w:lineRule="auto"/>
        <w:ind w:left="720" w:firstLine="720"/>
        <w:rPr>
          <w:rFonts w:ascii="Cambria" w:hAnsi="Cambria" w:eastAsia="Calibri" w:cs="Times New Roman"/>
          <w:sz w:val="24"/>
        </w:rPr>
      </w:pPr>
      <w:r w:rsidRPr="00D61DEE">
        <w:rPr>
          <w:rFonts w:ascii="Cambria" w:hAnsi="Cambria" w:eastAsia="Calibri" w:cs="Times New Roman"/>
          <w:sz w:val="24"/>
        </w:rPr>
        <w:t>a. Number of Total Annual Responses: 2500</w:t>
      </w:r>
    </w:p>
    <w:p w:rsidRPr="00D61DEE" w:rsidR="00D61DEE" w:rsidP="00D61DEE" w:rsidRDefault="00D61DEE">
      <w:pPr>
        <w:spacing w:after="0" w:line="240" w:lineRule="auto"/>
        <w:ind w:left="1440"/>
        <w:rPr>
          <w:rFonts w:ascii="Cambria" w:hAnsi="Cambria" w:eastAsia="Calibri" w:cs="Times New Roman"/>
          <w:sz w:val="24"/>
        </w:rPr>
      </w:pPr>
      <w:r w:rsidRPr="00D61DEE">
        <w:rPr>
          <w:rFonts w:ascii="Cambria" w:hAnsi="Cambria" w:eastAsia="Calibri" w:cs="Times New Roman"/>
          <w:sz w:val="24"/>
        </w:rPr>
        <w:t xml:space="preserve">b. Processing Time per Response: 15 minutes  </w:t>
      </w:r>
    </w:p>
    <w:p w:rsidRPr="00D61DEE" w:rsidR="00D61DEE" w:rsidP="00D61DEE" w:rsidRDefault="00D61DEE">
      <w:pPr>
        <w:spacing w:after="0" w:line="240" w:lineRule="auto"/>
        <w:ind w:left="720"/>
        <w:rPr>
          <w:rFonts w:ascii="Cambria" w:hAnsi="Cambria" w:eastAsia="Calibri" w:cs="Times New Roman"/>
          <w:sz w:val="24"/>
        </w:rPr>
      </w:pPr>
      <w:r w:rsidRPr="00D61DEE">
        <w:rPr>
          <w:rFonts w:ascii="Cambria" w:hAnsi="Cambria" w:eastAsia="Calibri" w:cs="Times New Roman"/>
          <w:sz w:val="24"/>
        </w:rPr>
        <w:tab/>
        <w:t>c. Hourly Wage of Worker(s) Processing Responses: $35.06</w:t>
      </w:r>
    </w:p>
    <w:p w:rsidRPr="00D61DEE" w:rsidR="00D61DEE" w:rsidP="00D61DEE" w:rsidRDefault="00D61DEE">
      <w:pPr>
        <w:spacing w:after="0" w:line="240" w:lineRule="auto"/>
        <w:ind w:left="720"/>
        <w:rPr>
          <w:rFonts w:ascii="Cambria" w:hAnsi="Cambria" w:eastAsia="Calibri" w:cs="Times New Roman"/>
          <w:sz w:val="24"/>
        </w:rPr>
      </w:pPr>
      <w:r w:rsidRPr="00D61DEE">
        <w:rPr>
          <w:rFonts w:ascii="Cambria" w:hAnsi="Cambria" w:eastAsia="Calibri" w:cs="Times New Roman"/>
          <w:sz w:val="24"/>
        </w:rPr>
        <w:tab/>
        <w:t>d. Cost to Process Each Response: $8.77</w:t>
      </w:r>
      <w:r w:rsidRPr="00D61DEE">
        <w:rPr>
          <w:rFonts w:ascii="Cambria" w:hAnsi="Cambria" w:eastAsia="Calibri" w:cs="Times New Roman"/>
          <w:sz w:val="24"/>
        </w:rPr>
        <w:tab/>
      </w:r>
    </w:p>
    <w:p w:rsidRPr="00D61DEE" w:rsidR="00D61DEE" w:rsidP="00D61DEE" w:rsidRDefault="00D61DEE">
      <w:pPr>
        <w:spacing w:after="0" w:line="240" w:lineRule="auto"/>
        <w:ind w:left="720" w:firstLine="720"/>
        <w:rPr>
          <w:rFonts w:ascii="Cambria" w:hAnsi="Cambria" w:eastAsia="Calibri" w:cs="Times New Roman"/>
          <w:sz w:val="24"/>
        </w:rPr>
      </w:pPr>
      <w:r w:rsidRPr="00D61DEE">
        <w:rPr>
          <w:rFonts w:ascii="Cambria" w:hAnsi="Cambria" w:eastAsia="Calibri" w:cs="Times New Roman"/>
          <w:sz w:val="24"/>
        </w:rPr>
        <w:t>e. Total Cost to Process Responses: $21,925</w:t>
      </w:r>
    </w:p>
    <w:p w:rsidRPr="00D61DEE" w:rsidR="00D61DEE" w:rsidP="00D61DEE" w:rsidRDefault="00D61DEE">
      <w:pPr>
        <w:spacing w:after="0" w:line="240" w:lineRule="auto"/>
        <w:ind w:firstLine="720"/>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ab/>
        <w:t xml:space="preserve">2. </w:t>
      </w:r>
      <w:r w:rsidRPr="00D61DEE">
        <w:rPr>
          <w:rFonts w:ascii="Cambria" w:hAnsi="Cambria" w:eastAsia="Calibri" w:cs="Times New Roman"/>
          <w:b/>
          <w:sz w:val="24"/>
        </w:rPr>
        <w:t>Overall Labor Burden to Federal Government</w:t>
      </w:r>
      <w:r w:rsidRPr="00D61DEE">
        <w:rPr>
          <w:rFonts w:ascii="Cambria" w:hAnsi="Cambria" w:eastAsia="Calibri" w:cs="Times New Roman"/>
          <w:sz w:val="24"/>
        </w:rPr>
        <w:t xml:space="preserve"> </w:t>
      </w:r>
    </w:p>
    <w:p w:rsidRPr="00D61DEE" w:rsidR="00D61DEE" w:rsidP="00D61DEE" w:rsidRDefault="00D61DEE">
      <w:pPr>
        <w:spacing w:after="0" w:line="240" w:lineRule="auto"/>
        <w:ind w:left="720"/>
        <w:rPr>
          <w:rFonts w:ascii="Cambria" w:hAnsi="Cambria" w:eastAsia="Calibri" w:cs="Times New Roman"/>
          <w:sz w:val="24"/>
        </w:rPr>
      </w:pPr>
      <w:r w:rsidRPr="00D61DEE">
        <w:rPr>
          <w:rFonts w:ascii="Cambria" w:hAnsi="Cambria" w:eastAsia="Calibri" w:cs="Times New Roman"/>
          <w:sz w:val="24"/>
        </w:rPr>
        <w:tab/>
        <w:t>a. Total Number of Annual Responses: 2500</w:t>
      </w:r>
    </w:p>
    <w:p w:rsidRPr="00D61DEE" w:rsidR="00D61DEE" w:rsidP="00D61DEE" w:rsidRDefault="00D61DEE">
      <w:pPr>
        <w:spacing w:after="0" w:line="240" w:lineRule="auto"/>
        <w:ind w:left="720"/>
        <w:rPr>
          <w:rFonts w:ascii="Cambria" w:hAnsi="Cambria" w:eastAsia="Calibri" w:cs="Times New Roman"/>
          <w:sz w:val="24"/>
        </w:rPr>
      </w:pPr>
      <w:r w:rsidRPr="00D61DEE">
        <w:rPr>
          <w:rFonts w:ascii="Cambria" w:hAnsi="Cambria" w:eastAsia="Calibri" w:cs="Times New Roman"/>
          <w:sz w:val="24"/>
        </w:rPr>
        <w:tab/>
        <w:t>b. Total Labor Burden: $21,925</w:t>
      </w:r>
    </w:p>
    <w:p w:rsidRPr="00D61DEE" w:rsidR="00D61DEE" w:rsidP="00D61DEE" w:rsidRDefault="00D61DEE">
      <w:pPr>
        <w:spacing w:after="0" w:line="240" w:lineRule="auto"/>
        <w:rPr>
          <w:rFonts w:ascii="Cambria" w:hAnsi="Cambria" w:eastAsia="Calibri" w:cs="Times New Roman"/>
          <w:sz w:val="24"/>
          <w:u w:val="single"/>
        </w:rPr>
      </w:pPr>
    </w:p>
    <w:p w:rsidRPr="00D61DEE" w:rsidR="00D61DEE" w:rsidP="00D61DEE" w:rsidRDefault="00D61DEE">
      <w:pPr>
        <w:spacing w:after="0" w:line="240" w:lineRule="auto"/>
        <w:ind w:firstLine="720"/>
        <w:rPr>
          <w:rFonts w:ascii="Cambria" w:hAnsi="Cambria" w:eastAsia="Calibri" w:cs="Times New Roman"/>
          <w:sz w:val="24"/>
          <w:u w:val="single"/>
        </w:rPr>
      </w:pPr>
      <w:r w:rsidRPr="00D61DEE">
        <w:rPr>
          <w:rFonts w:ascii="Cambria" w:hAnsi="Cambria" w:eastAsia="Calibri" w:cs="Times New Roman"/>
          <w:sz w:val="24"/>
          <w:u w:val="single"/>
        </w:rPr>
        <w:t>b. Operational and Maintenance Costs</w:t>
      </w:r>
    </w:p>
    <w:p w:rsidRPr="00D61DEE" w:rsidR="00D61DEE" w:rsidP="00D61DEE" w:rsidRDefault="00D61DEE">
      <w:pPr>
        <w:numPr>
          <w:ilvl w:val="0"/>
          <w:numId w:val="1"/>
        </w:numPr>
        <w:spacing w:after="200" w:line="276" w:lineRule="auto"/>
        <w:ind w:left="1440"/>
        <w:contextualSpacing/>
        <w:rPr>
          <w:rFonts w:ascii="Cambria" w:hAnsi="Cambria" w:eastAsia="Calibri" w:cs="Times New Roman"/>
          <w:sz w:val="24"/>
        </w:rPr>
      </w:pPr>
      <w:r w:rsidRPr="00D61DEE">
        <w:rPr>
          <w:rFonts w:ascii="Cambria" w:hAnsi="Cambria" w:eastAsia="Calibri" w:cs="Times New Roman"/>
          <w:sz w:val="24"/>
        </w:rPr>
        <w:lastRenderedPageBreak/>
        <w:t>Equipment: $1,000.00</w:t>
      </w:r>
    </w:p>
    <w:p w:rsidRPr="00D61DEE" w:rsidR="00D61DEE" w:rsidP="00D61DEE" w:rsidRDefault="00D61DEE">
      <w:pPr>
        <w:numPr>
          <w:ilvl w:val="0"/>
          <w:numId w:val="1"/>
        </w:numPr>
        <w:spacing w:after="200" w:line="276" w:lineRule="auto"/>
        <w:ind w:left="1440"/>
        <w:contextualSpacing/>
        <w:rPr>
          <w:rFonts w:ascii="Cambria" w:hAnsi="Cambria" w:eastAsia="Calibri" w:cs="Times New Roman"/>
          <w:sz w:val="24"/>
        </w:rPr>
      </w:pPr>
      <w:r w:rsidRPr="00D61DEE">
        <w:rPr>
          <w:rFonts w:ascii="Cambria" w:hAnsi="Cambria" w:eastAsia="Calibri" w:cs="Times New Roman"/>
          <w:sz w:val="24"/>
        </w:rPr>
        <w:t>Printing: $0</w:t>
      </w:r>
    </w:p>
    <w:p w:rsidRPr="00D61DEE" w:rsidR="00D61DEE" w:rsidP="00D61DEE" w:rsidRDefault="00D61DEE">
      <w:pPr>
        <w:numPr>
          <w:ilvl w:val="0"/>
          <w:numId w:val="1"/>
        </w:numPr>
        <w:spacing w:after="200" w:line="276" w:lineRule="auto"/>
        <w:ind w:left="1440"/>
        <w:contextualSpacing/>
        <w:rPr>
          <w:rFonts w:ascii="Cambria" w:hAnsi="Cambria" w:eastAsia="Calibri" w:cs="Times New Roman"/>
          <w:sz w:val="24"/>
        </w:rPr>
      </w:pPr>
      <w:r w:rsidRPr="00D61DEE">
        <w:rPr>
          <w:rFonts w:ascii="Cambria" w:hAnsi="Cambria" w:eastAsia="Calibri" w:cs="Times New Roman"/>
          <w:sz w:val="24"/>
        </w:rPr>
        <w:t>Postage: $0</w:t>
      </w:r>
    </w:p>
    <w:p w:rsidRPr="00D61DEE" w:rsidR="00D61DEE" w:rsidP="00D61DEE" w:rsidRDefault="00D61DEE">
      <w:pPr>
        <w:numPr>
          <w:ilvl w:val="0"/>
          <w:numId w:val="1"/>
        </w:numPr>
        <w:spacing w:after="200" w:line="276" w:lineRule="auto"/>
        <w:ind w:left="1440"/>
        <w:contextualSpacing/>
        <w:rPr>
          <w:rFonts w:ascii="Cambria" w:hAnsi="Cambria" w:eastAsia="Calibri" w:cs="Times New Roman"/>
          <w:sz w:val="24"/>
        </w:rPr>
      </w:pPr>
      <w:r w:rsidRPr="00D61DEE">
        <w:rPr>
          <w:rFonts w:ascii="Cambria" w:hAnsi="Cambria" w:eastAsia="Calibri" w:cs="Times New Roman"/>
          <w:sz w:val="24"/>
        </w:rPr>
        <w:t>Software Purchases: $0</w:t>
      </w:r>
    </w:p>
    <w:p w:rsidRPr="00D61DEE" w:rsidR="00D61DEE" w:rsidP="00D61DEE" w:rsidRDefault="00D61DEE">
      <w:pPr>
        <w:numPr>
          <w:ilvl w:val="0"/>
          <w:numId w:val="1"/>
        </w:numPr>
        <w:spacing w:after="200" w:line="276" w:lineRule="auto"/>
        <w:ind w:left="1440"/>
        <w:contextualSpacing/>
        <w:rPr>
          <w:rFonts w:ascii="Cambria" w:hAnsi="Cambria" w:eastAsia="Calibri" w:cs="Times New Roman"/>
          <w:sz w:val="24"/>
        </w:rPr>
      </w:pPr>
      <w:r w:rsidRPr="00D61DEE">
        <w:rPr>
          <w:rFonts w:ascii="Cambria" w:hAnsi="Cambria" w:eastAsia="Calibri" w:cs="Times New Roman"/>
          <w:sz w:val="24"/>
        </w:rPr>
        <w:t>Licensing Costs: $800.00</w:t>
      </w:r>
    </w:p>
    <w:p w:rsidRPr="00D61DEE" w:rsidR="00D61DEE" w:rsidP="00D61DEE" w:rsidRDefault="00D61DEE">
      <w:pPr>
        <w:numPr>
          <w:ilvl w:val="0"/>
          <w:numId w:val="1"/>
        </w:numPr>
        <w:spacing w:after="200" w:line="276" w:lineRule="auto"/>
        <w:ind w:left="1440"/>
        <w:contextualSpacing/>
        <w:rPr>
          <w:rFonts w:ascii="Cambria" w:hAnsi="Cambria" w:eastAsia="Calibri" w:cs="Times New Roman"/>
          <w:sz w:val="24"/>
        </w:rPr>
      </w:pPr>
      <w:r w:rsidRPr="00D61DEE">
        <w:rPr>
          <w:rFonts w:ascii="Cambria" w:hAnsi="Cambria" w:eastAsia="Calibri" w:cs="Times New Roman"/>
          <w:sz w:val="24"/>
        </w:rPr>
        <w:t>Other: $0</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ind w:left="720"/>
        <w:rPr>
          <w:rFonts w:ascii="Cambria" w:hAnsi="Cambria" w:eastAsia="Calibri" w:cs="Times New Roman"/>
          <w:sz w:val="24"/>
        </w:rPr>
      </w:pPr>
      <w:r w:rsidRPr="00D61DEE">
        <w:rPr>
          <w:rFonts w:ascii="Cambria" w:hAnsi="Cambria" w:eastAsia="Calibri" w:cs="Times New Roman"/>
          <w:sz w:val="24"/>
        </w:rPr>
        <w:t>1. Total Operational and Maintenance Costs: $1,800.00</w:t>
      </w:r>
    </w:p>
    <w:p w:rsidRPr="00D61DEE" w:rsidR="00D61DEE" w:rsidP="00D61DEE" w:rsidRDefault="00D61DEE">
      <w:pPr>
        <w:spacing w:after="0" w:line="240" w:lineRule="auto"/>
        <w:ind w:left="720"/>
        <w:rPr>
          <w:rFonts w:ascii="Cambria" w:hAnsi="Cambria" w:eastAsia="Calibri" w:cs="Times New Roman"/>
          <w:sz w:val="24"/>
        </w:rPr>
      </w:pPr>
      <w:r w:rsidRPr="00D61DEE">
        <w:rPr>
          <w:rFonts w:ascii="Cambria" w:hAnsi="Cambria" w:eastAsia="Calibri" w:cs="Times New Roman"/>
          <w:sz w:val="24"/>
        </w:rPr>
        <w:t>2. Total Labor Cost to the Federal Government: $21,925</w:t>
      </w:r>
    </w:p>
    <w:p w:rsidRPr="00D61DEE" w:rsidR="00D61DEE" w:rsidP="00D61DEE" w:rsidRDefault="00D61DEE">
      <w:pPr>
        <w:spacing w:after="0" w:line="240" w:lineRule="auto"/>
        <w:ind w:left="720"/>
        <w:rPr>
          <w:rFonts w:ascii="Cambria" w:hAnsi="Cambria" w:eastAsia="Calibri" w:cs="Times New Roman"/>
          <w:sz w:val="24"/>
        </w:rPr>
      </w:pPr>
      <w:r w:rsidRPr="00D61DEE">
        <w:rPr>
          <w:rFonts w:ascii="Cambria" w:hAnsi="Cambria" w:eastAsia="Calibri" w:cs="Times New Roman"/>
          <w:sz w:val="24"/>
        </w:rPr>
        <w:t>3. Total Cost to the Federal Government: $23,725</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u w:val="single"/>
        </w:rPr>
      </w:pPr>
      <w:r w:rsidRPr="00D61DEE">
        <w:rPr>
          <w:rFonts w:ascii="Cambria" w:hAnsi="Cambria" w:eastAsia="Calibri" w:cs="Times New Roman"/>
          <w:sz w:val="24"/>
        </w:rPr>
        <w:t xml:space="preserve">15. </w:t>
      </w:r>
      <w:r w:rsidRPr="00D61DEE">
        <w:rPr>
          <w:rFonts w:ascii="Cambria" w:hAnsi="Cambria" w:eastAsia="Calibri" w:cs="Times New Roman"/>
          <w:sz w:val="24"/>
        </w:rPr>
        <w:tab/>
      </w:r>
      <w:r w:rsidRPr="00D61DEE">
        <w:rPr>
          <w:rFonts w:ascii="Cambria" w:hAnsi="Cambria" w:eastAsia="Calibri" w:cs="Times New Roman"/>
          <w:sz w:val="24"/>
          <w:u w:val="single"/>
        </w:rPr>
        <w:t>Reasons for Change in Burden</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This is an existing collection currently in use without an OMB Control Number. </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16. </w:t>
      </w:r>
      <w:r w:rsidRPr="00D61DEE">
        <w:rPr>
          <w:rFonts w:ascii="Cambria" w:hAnsi="Cambria" w:eastAsia="Calibri" w:cs="Times New Roman"/>
          <w:sz w:val="24"/>
        </w:rPr>
        <w:tab/>
      </w:r>
      <w:r w:rsidRPr="00D61DEE">
        <w:rPr>
          <w:rFonts w:ascii="Cambria" w:hAnsi="Cambria" w:eastAsia="Calibri" w:cs="Times New Roman"/>
          <w:sz w:val="24"/>
          <w:u w:val="single"/>
        </w:rPr>
        <w:t>Publication of Results</w:t>
      </w:r>
      <w:r w:rsidRPr="00D61DEE">
        <w:rPr>
          <w:rFonts w:ascii="Cambria" w:hAnsi="Cambria" w:eastAsia="Calibri" w:cs="Times New Roman"/>
          <w:sz w:val="24"/>
        </w:rPr>
        <w:t xml:space="preserve"> </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The results of this information collection will not be published. </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17. </w:t>
      </w:r>
      <w:r w:rsidRPr="00D61DEE">
        <w:rPr>
          <w:rFonts w:ascii="Cambria" w:hAnsi="Cambria" w:eastAsia="Calibri" w:cs="Times New Roman"/>
          <w:sz w:val="24"/>
        </w:rPr>
        <w:tab/>
      </w:r>
      <w:r w:rsidRPr="00D61DEE">
        <w:rPr>
          <w:rFonts w:ascii="Cambria" w:hAnsi="Cambria" w:eastAsia="Calibri" w:cs="Times New Roman"/>
          <w:sz w:val="24"/>
          <w:u w:val="single"/>
        </w:rPr>
        <w:t>Non-Display of OMB Expiration Date</w:t>
      </w:r>
    </w:p>
    <w:p w:rsidRPr="00D61DEE" w:rsidR="00D61DEE" w:rsidP="00D61DEE" w:rsidRDefault="00D61DEE">
      <w:pPr>
        <w:spacing w:after="0" w:line="240" w:lineRule="auto"/>
        <w:rPr>
          <w:rFonts w:ascii="Cambria" w:hAnsi="Cambria" w:eastAsia="Calibri" w:cs="Times New Roman"/>
          <w:sz w:val="24"/>
        </w:rPr>
      </w:pPr>
      <w:r w:rsidRPr="00D61DEE">
        <w:rPr>
          <w:rFonts w:ascii="Cambria" w:hAnsi="Cambria" w:eastAsia="Calibri" w:cs="Times New Roman"/>
          <w:sz w:val="24"/>
        </w:rPr>
        <w:t xml:space="preserve">We are not seeking approval to omit the display of the expiration date of the OMB approval on the collection instrument. </w:t>
      </w:r>
    </w:p>
    <w:p w:rsidRPr="00D61DEE" w:rsidR="00D61DEE" w:rsidP="00D61DEE" w:rsidRDefault="00D61DEE">
      <w:pPr>
        <w:spacing w:after="0" w:line="240" w:lineRule="auto"/>
        <w:rPr>
          <w:rFonts w:ascii="Cambria" w:hAnsi="Cambria" w:eastAsia="Calibri" w:cs="Times New Roman"/>
          <w:sz w:val="24"/>
        </w:rPr>
      </w:pPr>
    </w:p>
    <w:p w:rsidRPr="00D61DEE" w:rsidR="00D61DEE" w:rsidP="00D61DEE" w:rsidRDefault="00D61DEE">
      <w:pPr>
        <w:spacing w:after="0" w:line="240" w:lineRule="auto"/>
        <w:rPr>
          <w:rFonts w:ascii="Cambria" w:hAnsi="Cambria" w:eastAsia="Calibri" w:cs="Times New Roman"/>
          <w:sz w:val="24"/>
          <w:u w:val="single"/>
        </w:rPr>
      </w:pPr>
      <w:r w:rsidRPr="00D61DEE">
        <w:rPr>
          <w:rFonts w:ascii="Cambria" w:hAnsi="Cambria" w:eastAsia="Calibri" w:cs="Times New Roman"/>
          <w:sz w:val="24"/>
        </w:rPr>
        <w:t xml:space="preserve">18. </w:t>
      </w:r>
      <w:r w:rsidRPr="00D61DEE">
        <w:rPr>
          <w:rFonts w:ascii="Cambria" w:hAnsi="Cambria" w:eastAsia="Calibri" w:cs="Times New Roman"/>
          <w:sz w:val="24"/>
        </w:rPr>
        <w:tab/>
      </w:r>
      <w:r w:rsidRPr="00D61DEE">
        <w:rPr>
          <w:rFonts w:ascii="Cambria" w:hAnsi="Cambria" w:eastAsia="Calibri" w:cs="Times New Roman"/>
          <w:sz w:val="24"/>
          <w:u w:val="single"/>
        </w:rPr>
        <w:t>Exceptions to “Certification for Paperwork Reduction Submissions”</w:t>
      </w:r>
    </w:p>
    <w:p w:rsidRPr="00D61DEE" w:rsidR="00D61DEE" w:rsidP="00D61DEE" w:rsidRDefault="00D61DEE">
      <w:pPr>
        <w:spacing w:after="0" w:line="240" w:lineRule="auto"/>
        <w:rPr>
          <w:rFonts w:ascii="Cambria" w:hAnsi="Cambria" w:eastAsia="Calibri" w:cs="Times New Roman"/>
          <w:i/>
          <w:sz w:val="24"/>
        </w:rPr>
      </w:pPr>
      <w:r w:rsidRPr="00D61DEE">
        <w:rPr>
          <w:rFonts w:ascii="Cambria" w:hAnsi="Cambria" w:eastAsia="Calibri" w:cs="Times New Roman"/>
          <w:sz w:val="24"/>
        </w:rPr>
        <w:t xml:space="preserve">We are not requesting any exemptions to the provisions stated in 5 CFR 1320.9. </w:t>
      </w:r>
    </w:p>
    <w:p w:rsidR="008A2F13" w:rsidRDefault="008A2F13"/>
    <w:sectPr w:rsidR="008A2F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DEE" w:rsidRDefault="00D61DEE" w:rsidP="00D61DEE">
      <w:pPr>
        <w:spacing w:after="0" w:line="240" w:lineRule="auto"/>
      </w:pPr>
      <w:r>
        <w:separator/>
      </w:r>
    </w:p>
  </w:endnote>
  <w:endnote w:type="continuationSeparator" w:id="0">
    <w:p w:rsidR="00D61DEE" w:rsidRDefault="00D61DEE" w:rsidP="00D6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DEE" w:rsidRDefault="00D61DEE" w:rsidP="00D61DEE">
      <w:pPr>
        <w:spacing w:after="0" w:line="240" w:lineRule="auto"/>
      </w:pPr>
      <w:r>
        <w:separator/>
      </w:r>
    </w:p>
  </w:footnote>
  <w:footnote w:type="continuationSeparator" w:id="0">
    <w:p w:rsidR="00D61DEE" w:rsidRDefault="00D61DEE" w:rsidP="00D61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030AB"/>
    <w:multiLevelType w:val="hybridMultilevel"/>
    <w:tmpl w:val="84A6480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EE"/>
    <w:rsid w:val="008A2F13"/>
    <w:rsid w:val="00D53A70"/>
    <w:rsid w:val="00D6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8C12"/>
  <w15:chartTrackingRefBased/>
  <w15:docId w15:val="{A0654A47-391A-4D17-AD10-A153704C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DEE"/>
  </w:style>
  <w:style w:type="paragraph" w:styleId="Footer">
    <w:name w:val="footer"/>
    <w:basedOn w:val="Normal"/>
    <w:link w:val="FooterChar"/>
    <w:uiPriority w:val="99"/>
    <w:unhideWhenUsed/>
    <w:rsid w:val="00D6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DEE"/>
  </w:style>
  <w:style w:type="character" w:styleId="CommentReference">
    <w:name w:val="annotation reference"/>
    <w:uiPriority w:val="99"/>
    <w:semiHidden/>
    <w:unhideWhenUsed/>
    <w:rsid w:val="00D61DEE"/>
    <w:rPr>
      <w:sz w:val="16"/>
      <w:szCs w:val="16"/>
    </w:rPr>
  </w:style>
  <w:style w:type="paragraph" w:styleId="CommentText">
    <w:name w:val="annotation text"/>
    <w:basedOn w:val="Normal"/>
    <w:link w:val="CommentTextChar"/>
    <w:uiPriority w:val="99"/>
    <w:semiHidden/>
    <w:unhideWhenUsed/>
    <w:rsid w:val="00D61DE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1DE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1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reeronestop.org/toolkit/wages/findsal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Comander, Courtney C CTR WHS ESD</dc:creator>
  <cp:keywords/>
  <dc:description/>
  <cp:lastModifiedBy>Comander, Courtney C CTR WHS ESD</cp:lastModifiedBy>
  <cp:revision>2</cp:revision>
  <dcterms:created xsi:type="dcterms:W3CDTF">2020-03-04T12:39:00Z</dcterms:created>
  <dcterms:modified xsi:type="dcterms:W3CDTF">2020-03-27T12:17:00Z</dcterms:modified>
</cp:coreProperties>
</file>